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D4147D" w14:textId="18B5C7C6" w:rsidR="00F82637" w:rsidRPr="00E96B60" w:rsidRDefault="00F82637" w:rsidP="00562759">
      <w:pPr>
        <w:spacing w:after="0" w:line="360" w:lineRule="auto"/>
        <w:rPr>
          <w:rFonts w:cs="Tahoma"/>
          <w:bCs/>
        </w:rPr>
      </w:pPr>
      <w:r w:rsidRPr="00E96B60">
        <w:rPr>
          <w:rFonts w:eastAsiaTheme="minorHAnsi" w:cs="Tahoma"/>
          <w:bCs/>
        </w:rPr>
        <w:t xml:space="preserve">Resolución del Pleno del Instituto de Transparencia, Acceso a la Información Pública y </w:t>
      </w:r>
      <w:r w:rsidRPr="00E96B60">
        <w:rPr>
          <w:rFonts w:cs="Tahoma"/>
          <w:bCs/>
        </w:rPr>
        <w:t xml:space="preserve">Protección de Datos Personales del Estado de México y Municipios, con domicilio en Metepec, Estado de México, de fecha </w:t>
      </w:r>
      <w:r w:rsidR="00D005C2" w:rsidRPr="00E96B60">
        <w:rPr>
          <w:rFonts w:cs="Tahoma"/>
          <w:bCs/>
        </w:rPr>
        <w:t>veinti</w:t>
      </w:r>
      <w:r w:rsidR="00A8529E" w:rsidRPr="00E96B60">
        <w:rPr>
          <w:rFonts w:cs="Tahoma"/>
          <w:bCs/>
        </w:rPr>
        <w:t xml:space="preserve">siete </w:t>
      </w:r>
      <w:r w:rsidR="00D005C2" w:rsidRPr="00E96B60">
        <w:rPr>
          <w:rFonts w:cs="Tahoma"/>
          <w:bCs/>
        </w:rPr>
        <w:t>de noviembre</w:t>
      </w:r>
      <w:r w:rsidR="009D3908" w:rsidRPr="00E96B60">
        <w:rPr>
          <w:rFonts w:cs="Tahoma"/>
          <w:bCs/>
        </w:rPr>
        <w:t xml:space="preserve"> de dos mil veinticuatro</w:t>
      </w:r>
      <w:r w:rsidRPr="00E96B60">
        <w:rPr>
          <w:rFonts w:cs="Tahoma"/>
          <w:bCs/>
        </w:rPr>
        <w:t xml:space="preserve">. </w:t>
      </w:r>
    </w:p>
    <w:p w14:paraId="7922BAAD" w14:textId="77777777" w:rsidR="00F82637" w:rsidRPr="00E96B60" w:rsidRDefault="00F82637" w:rsidP="00562759">
      <w:pPr>
        <w:spacing w:after="0" w:line="360" w:lineRule="auto"/>
        <w:rPr>
          <w:rFonts w:eastAsiaTheme="minorHAnsi" w:cstheme="minorBidi"/>
        </w:rPr>
      </w:pPr>
    </w:p>
    <w:p w14:paraId="446072B0" w14:textId="55E6DAAF" w:rsidR="00F82637" w:rsidRPr="00E96B60" w:rsidRDefault="00F82637" w:rsidP="00562759">
      <w:pPr>
        <w:spacing w:after="0" w:line="360" w:lineRule="auto"/>
        <w:rPr>
          <w:rFonts w:eastAsiaTheme="minorHAnsi" w:cstheme="minorBidi"/>
        </w:rPr>
      </w:pPr>
      <w:r w:rsidRPr="00E96B60">
        <w:rPr>
          <w:rFonts w:eastAsiaTheme="minorHAnsi" w:cstheme="minorBidi"/>
          <w:b/>
          <w:bCs/>
        </w:rPr>
        <w:t xml:space="preserve">VISTO </w:t>
      </w:r>
      <w:r w:rsidRPr="00E96B60">
        <w:rPr>
          <w:rFonts w:eastAsiaTheme="minorHAnsi" w:cstheme="minorBidi"/>
          <w:bCs/>
        </w:rPr>
        <w:t>el expediente conformado con motivo de</w:t>
      </w:r>
      <w:r w:rsidR="00750B21" w:rsidRPr="00E96B60">
        <w:rPr>
          <w:rFonts w:eastAsiaTheme="minorHAnsi" w:cstheme="minorBidi"/>
          <w:bCs/>
        </w:rPr>
        <w:t xml:space="preserve"> </w:t>
      </w:r>
      <w:r w:rsidRPr="00E96B60">
        <w:rPr>
          <w:rFonts w:eastAsiaTheme="minorHAnsi" w:cstheme="minorBidi"/>
          <w:bCs/>
        </w:rPr>
        <w:t>l</w:t>
      </w:r>
      <w:r w:rsidR="00750B21" w:rsidRPr="00E96B60">
        <w:rPr>
          <w:rFonts w:eastAsiaTheme="minorHAnsi" w:cstheme="minorBidi"/>
          <w:bCs/>
        </w:rPr>
        <w:t>os</w:t>
      </w:r>
      <w:r w:rsidRPr="00E96B60">
        <w:rPr>
          <w:rFonts w:eastAsiaTheme="minorHAnsi" w:cstheme="minorBidi"/>
          <w:bCs/>
        </w:rPr>
        <w:t xml:space="preserve"> Recurso</w:t>
      </w:r>
      <w:r w:rsidR="00750B21" w:rsidRPr="00E96B60">
        <w:rPr>
          <w:rFonts w:eastAsiaTheme="minorHAnsi" w:cstheme="minorBidi"/>
          <w:bCs/>
        </w:rPr>
        <w:t>s</w:t>
      </w:r>
      <w:r w:rsidRPr="00E96B60">
        <w:rPr>
          <w:rFonts w:eastAsiaTheme="minorHAnsi" w:cstheme="minorBidi"/>
          <w:bCs/>
        </w:rPr>
        <w:t xml:space="preserve"> de </w:t>
      </w:r>
      <w:r w:rsidR="00C76FCF" w:rsidRPr="00E96B60">
        <w:rPr>
          <w:rFonts w:eastAsiaTheme="minorHAnsi" w:cstheme="minorBidi"/>
          <w:bCs/>
        </w:rPr>
        <w:t xml:space="preserve">Revisión </w:t>
      </w:r>
      <w:r w:rsidR="00A8529E" w:rsidRPr="00E96B60">
        <w:rPr>
          <w:rFonts w:eastAsiaTheme="minorHAnsi" w:cstheme="minorBidi"/>
          <w:b/>
        </w:rPr>
        <w:t>06156</w:t>
      </w:r>
      <w:r w:rsidR="00CA6131" w:rsidRPr="00E96B60">
        <w:rPr>
          <w:rFonts w:eastAsiaTheme="minorHAnsi" w:cstheme="minorBidi"/>
          <w:b/>
        </w:rPr>
        <w:t>/INFOEM/IP/RR/2024</w:t>
      </w:r>
      <w:r w:rsidR="00202494" w:rsidRPr="00E96B60">
        <w:rPr>
          <w:rFonts w:eastAsiaTheme="minorHAnsi" w:cstheme="minorBidi"/>
          <w:b/>
        </w:rPr>
        <w:t xml:space="preserve">, </w:t>
      </w:r>
      <w:r w:rsidR="00A8529E" w:rsidRPr="00E96B60">
        <w:rPr>
          <w:rFonts w:cs="Tahoma"/>
          <w:b/>
        </w:rPr>
        <w:t>06157/INFOEM/IP/RR/2024, 06177/INFOEM/IP/RR/2024 y 06204/INFOEM/IP/RR/2024</w:t>
      </w:r>
      <w:r w:rsidR="00A8529E" w:rsidRPr="00E96B60">
        <w:rPr>
          <w:rFonts w:cs="Tahoma"/>
        </w:rPr>
        <w:t xml:space="preserve"> </w:t>
      </w:r>
      <w:r w:rsidRPr="00E96B60">
        <w:rPr>
          <w:rFonts w:eastAsiaTheme="minorHAnsi" w:cstheme="minorBidi"/>
        </w:rPr>
        <w:t>interpuesto</w:t>
      </w:r>
      <w:r w:rsidR="009D55C8" w:rsidRPr="00E96B60">
        <w:rPr>
          <w:rFonts w:eastAsiaTheme="minorHAnsi" w:cstheme="minorBidi"/>
        </w:rPr>
        <w:t xml:space="preserve"> </w:t>
      </w:r>
      <w:r w:rsidR="00C76FCF" w:rsidRPr="00E96B60">
        <w:rPr>
          <w:rFonts w:eastAsiaTheme="minorHAnsi" w:cstheme="minorBidi"/>
        </w:rPr>
        <w:t>por la persona</w:t>
      </w:r>
      <w:r w:rsidR="00750B21" w:rsidRPr="00E96B60">
        <w:rPr>
          <w:rFonts w:eastAsiaTheme="minorHAnsi" w:cstheme="minorBidi"/>
        </w:rPr>
        <w:t xml:space="preserve"> </w:t>
      </w:r>
      <w:r w:rsidRPr="00E96B60">
        <w:rPr>
          <w:rFonts w:eastAsiaTheme="minorHAnsi" w:cs="Tahoma"/>
          <w:color w:val="0D0D0D" w:themeColor="text1" w:themeTint="F2"/>
        </w:rPr>
        <w:t>Recurrente o Particular</w:t>
      </w:r>
      <w:r w:rsidRPr="00E96B60">
        <w:rPr>
          <w:rFonts w:eastAsiaTheme="minorHAnsi" w:cstheme="minorBidi"/>
        </w:rPr>
        <w:t>, en contra de la</w:t>
      </w:r>
      <w:r w:rsidR="00363853" w:rsidRPr="00E96B60">
        <w:rPr>
          <w:rFonts w:eastAsiaTheme="minorHAnsi" w:cstheme="minorBidi"/>
        </w:rPr>
        <w:t xml:space="preserve"> </w:t>
      </w:r>
      <w:r w:rsidRPr="00E96B60">
        <w:rPr>
          <w:rFonts w:eastAsiaTheme="minorHAnsi" w:cstheme="minorBidi"/>
        </w:rPr>
        <w:t xml:space="preserve">respuesta del Sujeto Obligado, </w:t>
      </w:r>
      <w:r w:rsidR="00CA6131" w:rsidRPr="00790DCE">
        <w:rPr>
          <w:rFonts w:cs="Tahoma"/>
          <w:b/>
        </w:rPr>
        <w:t>Unidad de Asuntos Internos</w:t>
      </w:r>
      <w:r w:rsidRPr="00E96B60">
        <w:rPr>
          <w:rFonts w:eastAsiaTheme="minorHAnsi" w:cstheme="minorBidi"/>
        </w:rPr>
        <w:t>, a la</w:t>
      </w:r>
      <w:r w:rsidR="00363853" w:rsidRPr="00E96B60">
        <w:rPr>
          <w:rFonts w:eastAsiaTheme="minorHAnsi" w:cstheme="minorBidi"/>
        </w:rPr>
        <w:t>s</w:t>
      </w:r>
      <w:r w:rsidRPr="00E96B60">
        <w:rPr>
          <w:rFonts w:eastAsiaTheme="minorHAnsi" w:cstheme="minorBidi"/>
        </w:rPr>
        <w:t xml:space="preserve"> solicitud</w:t>
      </w:r>
      <w:r w:rsidR="00363853" w:rsidRPr="00E96B60">
        <w:rPr>
          <w:rFonts w:eastAsiaTheme="minorHAnsi" w:cstheme="minorBidi"/>
        </w:rPr>
        <w:t>es</w:t>
      </w:r>
      <w:r w:rsidRPr="00E96B60">
        <w:rPr>
          <w:rFonts w:eastAsiaTheme="minorHAnsi" w:cstheme="minorBidi"/>
        </w:rPr>
        <w:t xml:space="preserve"> de acceso a la información pública </w:t>
      </w:r>
      <w:bookmarkStart w:id="0" w:name="_Hlk178199987"/>
      <w:bookmarkStart w:id="1" w:name="_Hlk176993023"/>
      <w:r w:rsidR="00CA6131" w:rsidRPr="00E96B60">
        <w:rPr>
          <w:rFonts w:eastAsiaTheme="minorHAnsi" w:cstheme="minorBidi"/>
        </w:rPr>
        <w:t>00</w:t>
      </w:r>
      <w:r w:rsidR="00A8529E" w:rsidRPr="00E96B60">
        <w:rPr>
          <w:rFonts w:eastAsiaTheme="minorHAnsi" w:cstheme="minorBidi"/>
        </w:rPr>
        <w:t>067</w:t>
      </w:r>
      <w:r w:rsidR="00CA6131" w:rsidRPr="00E96B60">
        <w:rPr>
          <w:rFonts w:eastAsiaTheme="minorHAnsi" w:cstheme="minorBidi"/>
        </w:rPr>
        <w:t>/UAI/IP/2024</w:t>
      </w:r>
      <w:r w:rsidR="00202494" w:rsidRPr="00E96B60">
        <w:rPr>
          <w:rFonts w:eastAsiaTheme="minorHAnsi" w:cstheme="minorBidi"/>
        </w:rPr>
        <w:t xml:space="preserve">, </w:t>
      </w:r>
      <w:r w:rsidR="00CA6131" w:rsidRPr="00E96B60">
        <w:rPr>
          <w:rFonts w:eastAsiaTheme="minorHAnsi" w:cstheme="minorBidi"/>
        </w:rPr>
        <w:t>00</w:t>
      </w:r>
      <w:r w:rsidR="00A8529E" w:rsidRPr="00E96B60">
        <w:rPr>
          <w:rFonts w:eastAsiaTheme="minorHAnsi" w:cstheme="minorBidi"/>
        </w:rPr>
        <w:t>066</w:t>
      </w:r>
      <w:r w:rsidR="00CA6131" w:rsidRPr="00E96B60">
        <w:rPr>
          <w:rFonts w:eastAsiaTheme="minorHAnsi" w:cstheme="minorBidi"/>
        </w:rPr>
        <w:t>/UAI/IP/2024</w:t>
      </w:r>
      <w:r w:rsidR="00202494" w:rsidRPr="00E96B60">
        <w:rPr>
          <w:rFonts w:eastAsiaTheme="minorHAnsi" w:cstheme="minorBidi"/>
        </w:rPr>
        <w:t xml:space="preserve">, </w:t>
      </w:r>
      <w:bookmarkEnd w:id="0"/>
      <w:r w:rsidR="00A8529E" w:rsidRPr="00E96B60">
        <w:rPr>
          <w:rFonts w:eastAsiaTheme="minorHAnsi" w:cstheme="minorBidi"/>
        </w:rPr>
        <w:t>00020</w:t>
      </w:r>
      <w:r w:rsidR="00CA6131" w:rsidRPr="00E96B60">
        <w:rPr>
          <w:rFonts w:eastAsiaTheme="minorHAnsi" w:cstheme="minorBidi"/>
        </w:rPr>
        <w:t xml:space="preserve">/UAI/IP/2024 </w:t>
      </w:r>
      <w:r w:rsidR="00202494" w:rsidRPr="00E96B60">
        <w:rPr>
          <w:rFonts w:eastAsiaTheme="minorHAnsi" w:cstheme="minorBidi"/>
        </w:rPr>
        <w:t xml:space="preserve">y </w:t>
      </w:r>
      <w:bookmarkEnd w:id="1"/>
      <w:r w:rsidR="00CA6131" w:rsidRPr="00E96B60">
        <w:rPr>
          <w:rFonts w:eastAsiaTheme="minorHAnsi" w:cstheme="minorBidi"/>
        </w:rPr>
        <w:t>00</w:t>
      </w:r>
      <w:r w:rsidR="00A8529E" w:rsidRPr="00E96B60">
        <w:rPr>
          <w:rFonts w:eastAsiaTheme="minorHAnsi" w:cstheme="minorBidi"/>
        </w:rPr>
        <w:t>042</w:t>
      </w:r>
      <w:r w:rsidR="00CA6131" w:rsidRPr="00E96B60">
        <w:rPr>
          <w:rFonts w:eastAsiaTheme="minorHAnsi" w:cstheme="minorBidi"/>
        </w:rPr>
        <w:t>/UAI/IP/2024</w:t>
      </w:r>
      <w:r w:rsidR="000D6387" w:rsidRPr="00E96B60">
        <w:rPr>
          <w:rFonts w:eastAsiaTheme="minorHAnsi" w:cstheme="minorBidi"/>
        </w:rPr>
        <w:t xml:space="preserve">, </w:t>
      </w:r>
      <w:r w:rsidRPr="00E96B60">
        <w:rPr>
          <w:rFonts w:eastAsiaTheme="minorHAnsi" w:cstheme="minorBidi"/>
        </w:rPr>
        <w:t>se emite la presente Resolución, con base en los Antecedentes y Considerandos que a continuación</w:t>
      </w:r>
      <w:r w:rsidRPr="00E96B60">
        <w:rPr>
          <w:rFonts w:eastAsiaTheme="minorHAnsi" w:cstheme="minorBidi"/>
          <w:bCs/>
        </w:rPr>
        <w:t xml:space="preserve"> se exponen:</w:t>
      </w:r>
    </w:p>
    <w:p w14:paraId="38162D29" w14:textId="77777777" w:rsidR="008F4B45" w:rsidRPr="00E96B60" w:rsidRDefault="008F4B45" w:rsidP="00562759">
      <w:pPr>
        <w:tabs>
          <w:tab w:val="left" w:pos="2835"/>
        </w:tabs>
        <w:spacing w:after="0" w:line="360" w:lineRule="auto"/>
        <w:ind w:right="-93"/>
        <w:contextualSpacing/>
        <w:rPr>
          <w:rFonts w:cs="Tahoma"/>
          <w:bCs/>
        </w:rPr>
      </w:pPr>
    </w:p>
    <w:p w14:paraId="45CF508A" w14:textId="5A726B69" w:rsidR="008F4B45" w:rsidRPr="00E96B60" w:rsidRDefault="003F5E0D" w:rsidP="00562759">
      <w:pPr>
        <w:spacing w:after="0" w:line="360" w:lineRule="auto"/>
        <w:ind w:right="-93"/>
        <w:contextualSpacing/>
        <w:jc w:val="center"/>
        <w:rPr>
          <w:rFonts w:cs="Tahoma"/>
          <w:b/>
          <w:bCs/>
        </w:rPr>
      </w:pPr>
      <w:r w:rsidRPr="00E96B60">
        <w:rPr>
          <w:rFonts w:cs="Tahoma"/>
          <w:b/>
          <w:bCs/>
        </w:rPr>
        <w:t>A N T E C E D E N T E S</w:t>
      </w:r>
    </w:p>
    <w:p w14:paraId="3D51A562" w14:textId="77777777" w:rsidR="008F4B45" w:rsidRPr="00E96B60" w:rsidRDefault="008F4B45" w:rsidP="00562759">
      <w:pPr>
        <w:spacing w:after="0" w:line="360" w:lineRule="auto"/>
        <w:ind w:right="-93"/>
        <w:contextualSpacing/>
        <w:rPr>
          <w:rFonts w:cs="Tahoma"/>
          <w:bCs/>
        </w:rPr>
      </w:pPr>
    </w:p>
    <w:p w14:paraId="07539392" w14:textId="0422AFB6" w:rsidR="00F469B3" w:rsidRPr="00E96B60" w:rsidRDefault="00F469B3" w:rsidP="00562759">
      <w:pPr>
        <w:tabs>
          <w:tab w:val="left" w:pos="567"/>
        </w:tabs>
        <w:spacing w:after="0" w:line="360" w:lineRule="auto"/>
        <w:rPr>
          <w:rFonts w:cs="Tahoma"/>
          <w:b/>
        </w:rPr>
      </w:pPr>
      <w:r w:rsidRPr="00E96B60">
        <w:rPr>
          <w:rFonts w:cs="Tahoma"/>
          <w:b/>
        </w:rPr>
        <w:t>I. Presentación</w:t>
      </w:r>
      <w:r w:rsidR="00E96B60" w:rsidRPr="00E96B60">
        <w:rPr>
          <w:rFonts w:cs="Tahoma"/>
          <w:b/>
        </w:rPr>
        <w:t xml:space="preserve"> de la solicitud de información</w:t>
      </w:r>
    </w:p>
    <w:p w14:paraId="2C510854" w14:textId="77777777" w:rsidR="00F469B3" w:rsidRPr="00E96B60" w:rsidRDefault="00F469B3" w:rsidP="00562759">
      <w:pPr>
        <w:tabs>
          <w:tab w:val="left" w:pos="567"/>
        </w:tabs>
        <w:spacing w:after="0" w:line="360" w:lineRule="auto"/>
        <w:rPr>
          <w:rFonts w:cs="Tahoma"/>
        </w:rPr>
      </w:pPr>
    </w:p>
    <w:p w14:paraId="4A2F775D" w14:textId="6B3EAD0E" w:rsidR="00363853" w:rsidRPr="00E96B60" w:rsidRDefault="00F469B3" w:rsidP="00562759">
      <w:pPr>
        <w:autoSpaceDE w:val="0"/>
        <w:autoSpaceDN w:val="0"/>
        <w:adjustRightInd w:val="0"/>
        <w:spacing w:after="0" w:line="360" w:lineRule="auto"/>
        <w:rPr>
          <w:rFonts w:eastAsia="Batang" w:cs="Tahoma"/>
        </w:rPr>
      </w:pPr>
      <w:r w:rsidRPr="00E96B60">
        <w:rPr>
          <w:rFonts w:eastAsiaTheme="minorHAnsi" w:cs="Tahoma"/>
        </w:rPr>
        <w:t>Con fecha</w:t>
      </w:r>
      <w:r w:rsidR="00366230" w:rsidRPr="00E96B60">
        <w:rPr>
          <w:rFonts w:eastAsiaTheme="minorHAnsi" w:cs="Tahoma"/>
        </w:rPr>
        <w:t xml:space="preserve"> catorce</w:t>
      </w:r>
      <w:r w:rsidR="00A8529E" w:rsidRPr="00E96B60">
        <w:rPr>
          <w:rFonts w:eastAsiaTheme="minorHAnsi" w:cs="Tahoma"/>
        </w:rPr>
        <w:t xml:space="preserve"> y</w:t>
      </w:r>
      <w:r w:rsidR="00672DBF" w:rsidRPr="00E96B60">
        <w:rPr>
          <w:rFonts w:eastAsiaTheme="minorHAnsi" w:cs="Tahoma"/>
        </w:rPr>
        <w:t xml:space="preserve"> </w:t>
      </w:r>
      <w:r w:rsidR="00AA11D8" w:rsidRPr="00E96B60">
        <w:rPr>
          <w:rFonts w:eastAsiaTheme="minorHAnsi" w:cs="Tahoma"/>
        </w:rPr>
        <w:t xml:space="preserve">diecisiete de septiembre </w:t>
      </w:r>
      <w:r w:rsidR="00FF2CDD" w:rsidRPr="00E96B60">
        <w:rPr>
          <w:rFonts w:eastAsiaTheme="minorHAnsi" w:cs="Tahoma"/>
        </w:rPr>
        <w:t>de dos mil veinti</w:t>
      </w:r>
      <w:r w:rsidR="00AA11D8" w:rsidRPr="00E96B60">
        <w:rPr>
          <w:rFonts w:eastAsiaTheme="minorHAnsi" w:cs="Tahoma"/>
        </w:rPr>
        <w:t>cuatro</w:t>
      </w:r>
      <w:r w:rsidRPr="00E96B60">
        <w:rPr>
          <w:rFonts w:eastAsiaTheme="minorHAnsi" w:cs="Tahoma"/>
        </w:rPr>
        <w:t xml:space="preserve">, </w:t>
      </w:r>
      <w:r w:rsidR="00A8529E" w:rsidRPr="00E96B60">
        <w:rPr>
          <w:rFonts w:eastAsiaTheme="minorHAnsi" w:cs="Tahoma"/>
        </w:rPr>
        <w:t xml:space="preserve">respectivamente, </w:t>
      </w:r>
      <w:r w:rsidRPr="00E96B60">
        <w:rPr>
          <w:rFonts w:eastAsiaTheme="minorHAnsi" w:cs="Tahoma"/>
        </w:rPr>
        <w:t xml:space="preserve">el Particular presentó </w:t>
      </w:r>
      <w:r w:rsidR="00AA11D8" w:rsidRPr="00E96B60">
        <w:rPr>
          <w:rFonts w:eastAsiaTheme="minorHAnsi" w:cs="Tahoma"/>
        </w:rPr>
        <w:t xml:space="preserve">cuatro </w:t>
      </w:r>
      <w:r w:rsidRPr="00E96B60">
        <w:rPr>
          <w:rFonts w:eastAsiaTheme="minorHAnsi" w:cs="Tahoma"/>
        </w:rPr>
        <w:t>solicitud</w:t>
      </w:r>
      <w:r w:rsidR="00B27A5E" w:rsidRPr="00E96B60">
        <w:rPr>
          <w:rFonts w:eastAsiaTheme="minorHAnsi" w:cs="Tahoma"/>
        </w:rPr>
        <w:t>es</w:t>
      </w:r>
      <w:r w:rsidRPr="00E96B60">
        <w:rPr>
          <w:rFonts w:eastAsiaTheme="minorHAnsi" w:cs="Tahoma"/>
        </w:rPr>
        <w:t xml:space="preserve"> de acceso a la información pública, a través del Sistema de Acceso a la Información Mexiquense (SAIMEX), ante </w:t>
      </w:r>
      <w:r w:rsidR="00AA11D8" w:rsidRPr="00E96B60">
        <w:rPr>
          <w:rFonts w:eastAsiaTheme="minorHAnsi" w:cs="Tahoma"/>
        </w:rPr>
        <w:t xml:space="preserve">la </w:t>
      </w:r>
      <w:r w:rsidR="00AA11D8" w:rsidRPr="00E96B60">
        <w:rPr>
          <w:rFonts w:cs="Tahoma"/>
        </w:rPr>
        <w:t>Unidad de Asuntos Internos</w:t>
      </w:r>
      <w:r w:rsidRPr="00E96B60">
        <w:rPr>
          <w:rFonts w:eastAsiaTheme="minorHAnsi" w:cs="Tahoma"/>
          <w:bCs/>
        </w:rPr>
        <w:t xml:space="preserve">, </w:t>
      </w:r>
      <w:r w:rsidRPr="00E96B60">
        <w:rPr>
          <w:rFonts w:eastAsia="Batang" w:cs="Tahoma"/>
        </w:rPr>
        <w:t>mediante la cual requirió:</w:t>
      </w:r>
    </w:p>
    <w:p w14:paraId="72526C7A" w14:textId="77777777" w:rsidR="00C6425F" w:rsidRPr="00E96B60" w:rsidRDefault="00C6425F" w:rsidP="00562759">
      <w:pPr>
        <w:tabs>
          <w:tab w:val="left" w:pos="567"/>
        </w:tabs>
        <w:spacing w:after="0" w:line="360" w:lineRule="auto"/>
        <w:ind w:right="-28"/>
        <w:rPr>
          <w:rFonts w:cs="Tahoma"/>
          <w:sz w:val="16"/>
        </w:rPr>
      </w:pPr>
    </w:p>
    <w:tbl>
      <w:tblPr>
        <w:tblStyle w:val="Tablaconcuadrcula1"/>
        <w:tblW w:w="9067" w:type="dxa"/>
        <w:tblInd w:w="0" w:type="dxa"/>
        <w:tblLook w:val="04A0" w:firstRow="1" w:lastRow="0" w:firstColumn="1" w:lastColumn="0" w:noHBand="0" w:noVBand="1"/>
      </w:tblPr>
      <w:tblGrid>
        <w:gridCol w:w="2405"/>
        <w:gridCol w:w="6662"/>
      </w:tblGrid>
      <w:tr w:rsidR="00A33154" w:rsidRPr="00E96B60" w14:paraId="79AC3016" w14:textId="77777777" w:rsidTr="00A33154">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74E00B5" w14:textId="77777777" w:rsidR="00A33154" w:rsidRPr="00E96B60" w:rsidRDefault="00A33154" w:rsidP="00562759">
            <w:pPr>
              <w:tabs>
                <w:tab w:val="left" w:pos="567"/>
              </w:tabs>
              <w:spacing w:line="360" w:lineRule="auto"/>
              <w:ind w:right="-28"/>
              <w:contextualSpacing/>
              <w:rPr>
                <w:rFonts w:cs="Tahoma"/>
                <w:b/>
                <w:sz w:val="19"/>
                <w:szCs w:val="19"/>
                <w:lang w:val="es-MX"/>
              </w:rPr>
            </w:pPr>
            <w:r w:rsidRPr="00E96B60">
              <w:rPr>
                <w:rFonts w:cs="Tahoma"/>
                <w:b/>
                <w:sz w:val="19"/>
                <w:szCs w:val="19"/>
                <w:lang w:val="es-MX"/>
              </w:rPr>
              <w:t>FOLIO DE SOLICITUD</w:t>
            </w:r>
          </w:p>
        </w:tc>
        <w:tc>
          <w:tcPr>
            <w:tcW w:w="666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67DF852" w14:textId="77777777" w:rsidR="00A33154" w:rsidRPr="00E96B60" w:rsidRDefault="00A33154" w:rsidP="00562759">
            <w:pPr>
              <w:tabs>
                <w:tab w:val="left" w:pos="567"/>
              </w:tabs>
              <w:spacing w:line="360" w:lineRule="auto"/>
              <w:ind w:right="-28"/>
              <w:contextualSpacing/>
              <w:rPr>
                <w:rFonts w:cs="Tahoma"/>
                <w:b/>
                <w:sz w:val="19"/>
                <w:szCs w:val="19"/>
                <w:lang w:val="es-MX"/>
              </w:rPr>
            </w:pPr>
            <w:r w:rsidRPr="00E96B60">
              <w:rPr>
                <w:rFonts w:cs="Tahoma"/>
                <w:b/>
                <w:sz w:val="19"/>
                <w:szCs w:val="19"/>
                <w:lang w:val="es-MX"/>
              </w:rPr>
              <w:t>DESCRIPCIÓN CLARA Y PRECISA DE LA INFORMACIÓN SOLICITADA</w:t>
            </w:r>
          </w:p>
        </w:tc>
      </w:tr>
      <w:tr w:rsidR="00A33154" w:rsidRPr="00E96B60" w14:paraId="21CD3551" w14:textId="77777777" w:rsidTr="00A33154">
        <w:tc>
          <w:tcPr>
            <w:tcW w:w="2405" w:type="dxa"/>
            <w:tcBorders>
              <w:top w:val="single" w:sz="4" w:space="0" w:color="auto"/>
              <w:left w:val="single" w:sz="4" w:space="0" w:color="auto"/>
              <w:bottom w:val="single" w:sz="4" w:space="0" w:color="auto"/>
              <w:right w:val="single" w:sz="4" w:space="0" w:color="auto"/>
            </w:tcBorders>
            <w:hideMark/>
          </w:tcPr>
          <w:p w14:paraId="51D8881F" w14:textId="476FAE32" w:rsidR="00A33154" w:rsidRPr="00E96B60" w:rsidRDefault="00A8529E" w:rsidP="00562759">
            <w:pPr>
              <w:tabs>
                <w:tab w:val="left" w:pos="567"/>
              </w:tabs>
              <w:spacing w:line="360" w:lineRule="auto"/>
              <w:ind w:right="-28"/>
              <w:contextualSpacing/>
              <w:rPr>
                <w:i/>
                <w:color w:val="000000"/>
                <w:sz w:val="19"/>
                <w:szCs w:val="19"/>
                <w:lang w:val="es-MX"/>
              </w:rPr>
            </w:pPr>
            <w:r w:rsidRPr="00E96B60">
              <w:rPr>
                <w:rFonts w:cs="Tahoma"/>
                <w:b/>
                <w:bCs/>
                <w:sz w:val="19"/>
                <w:szCs w:val="19"/>
                <w:lang w:val="es-MX"/>
              </w:rPr>
              <w:t>00067</w:t>
            </w:r>
            <w:r w:rsidR="00A33154" w:rsidRPr="00E96B60">
              <w:rPr>
                <w:rFonts w:cs="Tahoma"/>
                <w:b/>
                <w:bCs/>
                <w:sz w:val="19"/>
                <w:szCs w:val="19"/>
                <w:lang w:val="es-MX"/>
              </w:rPr>
              <w:t>/UAI/IP/2024</w:t>
            </w:r>
          </w:p>
        </w:tc>
        <w:tc>
          <w:tcPr>
            <w:tcW w:w="6662" w:type="dxa"/>
            <w:tcBorders>
              <w:top w:val="single" w:sz="4" w:space="0" w:color="auto"/>
              <w:left w:val="single" w:sz="4" w:space="0" w:color="auto"/>
              <w:bottom w:val="single" w:sz="4" w:space="0" w:color="auto"/>
              <w:right w:val="single" w:sz="4" w:space="0" w:color="auto"/>
            </w:tcBorders>
            <w:hideMark/>
          </w:tcPr>
          <w:p w14:paraId="7AEAEE84" w14:textId="01EEBBF6" w:rsidR="00A33154" w:rsidRPr="00E96B60" w:rsidRDefault="00A33154" w:rsidP="00562759">
            <w:pPr>
              <w:tabs>
                <w:tab w:val="left" w:pos="567"/>
              </w:tabs>
              <w:spacing w:line="360" w:lineRule="auto"/>
              <w:ind w:right="-28"/>
              <w:contextualSpacing/>
              <w:rPr>
                <w:rFonts w:cs="Tahoma"/>
                <w:i/>
                <w:sz w:val="19"/>
                <w:szCs w:val="19"/>
                <w:lang w:val="es-MX"/>
              </w:rPr>
            </w:pPr>
            <w:r w:rsidRPr="00E96B60">
              <w:rPr>
                <w:i/>
                <w:color w:val="000000"/>
                <w:sz w:val="19"/>
                <w:szCs w:val="19"/>
                <w:lang w:val="es-MX"/>
              </w:rPr>
              <w:t>“</w:t>
            </w:r>
            <w:r w:rsidR="00A8529E" w:rsidRPr="00E96B60">
              <w:rPr>
                <w:i/>
                <w:color w:val="000000"/>
                <w:sz w:val="19"/>
                <w:szCs w:val="19"/>
                <w:lang w:val="es-MX"/>
              </w:rPr>
              <w:t>versión pública de todos los oficios firmados por el C. DAVID ALBERTO MALDONADO HERNANDEZ COMO ENCARGADO DE LA UNIDAD DE ASUNTOS INTERNOS</w:t>
            </w:r>
            <w:r w:rsidRPr="00E96B60">
              <w:rPr>
                <w:i/>
                <w:color w:val="000000"/>
                <w:sz w:val="19"/>
                <w:szCs w:val="19"/>
                <w:lang w:val="es-MX"/>
              </w:rPr>
              <w:t>” (Sic)</w:t>
            </w:r>
          </w:p>
        </w:tc>
      </w:tr>
      <w:tr w:rsidR="00A33154" w:rsidRPr="00E96B60" w14:paraId="5B0F3004" w14:textId="77777777" w:rsidTr="00A33154">
        <w:tc>
          <w:tcPr>
            <w:tcW w:w="2405" w:type="dxa"/>
            <w:tcBorders>
              <w:top w:val="single" w:sz="4" w:space="0" w:color="auto"/>
              <w:left w:val="single" w:sz="4" w:space="0" w:color="auto"/>
              <w:bottom w:val="single" w:sz="4" w:space="0" w:color="auto"/>
              <w:right w:val="single" w:sz="4" w:space="0" w:color="auto"/>
            </w:tcBorders>
            <w:hideMark/>
          </w:tcPr>
          <w:p w14:paraId="3A43F30E" w14:textId="25B3FB57" w:rsidR="00A33154" w:rsidRPr="00E96B60" w:rsidRDefault="00A8529E" w:rsidP="00562759">
            <w:pPr>
              <w:tabs>
                <w:tab w:val="left" w:pos="567"/>
              </w:tabs>
              <w:spacing w:line="360" w:lineRule="auto"/>
              <w:ind w:right="-28"/>
              <w:contextualSpacing/>
              <w:rPr>
                <w:i/>
                <w:color w:val="000000"/>
                <w:sz w:val="19"/>
                <w:szCs w:val="19"/>
                <w:lang w:val="es-MX"/>
              </w:rPr>
            </w:pPr>
            <w:r w:rsidRPr="00E96B60">
              <w:rPr>
                <w:rFonts w:cs="Tahoma"/>
                <w:b/>
                <w:bCs/>
                <w:sz w:val="19"/>
                <w:szCs w:val="19"/>
                <w:lang w:val="es-MX"/>
              </w:rPr>
              <w:lastRenderedPageBreak/>
              <w:t>00066</w:t>
            </w:r>
            <w:r w:rsidR="00A33154" w:rsidRPr="00E96B60">
              <w:rPr>
                <w:rFonts w:cs="Tahoma"/>
                <w:b/>
                <w:bCs/>
                <w:sz w:val="19"/>
                <w:szCs w:val="19"/>
                <w:lang w:val="es-MX"/>
              </w:rPr>
              <w:t>/UAI/IP/2024</w:t>
            </w:r>
          </w:p>
        </w:tc>
        <w:tc>
          <w:tcPr>
            <w:tcW w:w="6662" w:type="dxa"/>
            <w:tcBorders>
              <w:top w:val="single" w:sz="4" w:space="0" w:color="auto"/>
              <w:left w:val="single" w:sz="4" w:space="0" w:color="auto"/>
              <w:bottom w:val="single" w:sz="4" w:space="0" w:color="auto"/>
              <w:right w:val="single" w:sz="4" w:space="0" w:color="auto"/>
            </w:tcBorders>
            <w:hideMark/>
          </w:tcPr>
          <w:p w14:paraId="5BD02458" w14:textId="3E2AB0D9" w:rsidR="00A33154" w:rsidRPr="00E96B60" w:rsidRDefault="00A33154" w:rsidP="00A8529E">
            <w:pPr>
              <w:tabs>
                <w:tab w:val="left" w:pos="567"/>
              </w:tabs>
              <w:spacing w:line="360" w:lineRule="auto"/>
              <w:ind w:right="-28"/>
              <w:contextualSpacing/>
              <w:rPr>
                <w:i/>
                <w:color w:val="000000"/>
                <w:sz w:val="19"/>
                <w:szCs w:val="19"/>
                <w:lang w:val="es-MX"/>
              </w:rPr>
            </w:pPr>
            <w:r w:rsidRPr="00E96B60">
              <w:rPr>
                <w:i/>
                <w:color w:val="000000"/>
                <w:sz w:val="19"/>
                <w:szCs w:val="19"/>
                <w:lang w:val="es-MX"/>
              </w:rPr>
              <w:t>“</w:t>
            </w:r>
            <w:r w:rsidR="00A8529E" w:rsidRPr="00E96B60">
              <w:rPr>
                <w:i/>
                <w:color w:val="000000"/>
                <w:sz w:val="19"/>
                <w:szCs w:val="19"/>
                <w:lang w:val="es-MX"/>
              </w:rPr>
              <w:t>versión pública de todos los oficios firmados por el C. DAVID ALBERTO MALDONADO HERNANDEZ COMO TITULAR DE LA UNIDAD DE ASUNTOS INTERNOS</w:t>
            </w:r>
            <w:r w:rsidRPr="00E96B60">
              <w:rPr>
                <w:i/>
                <w:color w:val="000000"/>
                <w:sz w:val="19"/>
                <w:szCs w:val="19"/>
                <w:lang w:val="es-MX"/>
              </w:rPr>
              <w:t>” (Sic)</w:t>
            </w:r>
          </w:p>
        </w:tc>
      </w:tr>
      <w:tr w:rsidR="00A33154" w:rsidRPr="00E96B60" w14:paraId="406FD612" w14:textId="77777777" w:rsidTr="00A33154">
        <w:tc>
          <w:tcPr>
            <w:tcW w:w="2405" w:type="dxa"/>
            <w:tcBorders>
              <w:top w:val="single" w:sz="4" w:space="0" w:color="auto"/>
              <w:left w:val="single" w:sz="4" w:space="0" w:color="auto"/>
              <w:bottom w:val="single" w:sz="4" w:space="0" w:color="auto"/>
              <w:right w:val="single" w:sz="4" w:space="0" w:color="auto"/>
            </w:tcBorders>
          </w:tcPr>
          <w:p w14:paraId="2F0F7817" w14:textId="4FB51050" w:rsidR="00A33154" w:rsidRPr="00E96B60" w:rsidRDefault="00A33154" w:rsidP="00A8529E">
            <w:pPr>
              <w:tabs>
                <w:tab w:val="left" w:pos="567"/>
              </w:tabs>
              <w:spacing w:line="360" w:lineRule="auto"/>
              <w:ind w:right="-28"/>
              <w:contextualSpacing/>
              <w:rPr>
                <w:rFonts w:cs="Tahoma"/>
                <w:b/>
                <w:bCs/>
                <w:sz w:val="19"/>
                <w:szCs w:val="19"/>
                <w:lang w:val="es-MX"/>
              </w:rPr>
            </w:pPr>
            <w:r w:rsidRPr="00E96B60">
              <w:rPr>
                <w:rFonts w:cs="Tahoma"/>
                <w:b/>
                <w:bCs/>
                <w:sz w:val="19"/>
                <w:szCs w:val="19"/>
                <w:lang w:val="es-MX"/>
              </w:rPr>
              <w:t>00</w:t>
            </w:r>
            <w:r w:rsidR="00A8529E" w:rsidRPr="00E96B60">
              <w:rPr>
                <w:rFonts w:cs="Tahoma"/>
                <w:b/>
                <w:bCs/>
                <w:sz w:val="19"/>
                <w:szCs w:val="19"/>
                <w:lang w:val="es-MX"/>
              </w:rPr>
              <w:t>020</w:t>
            </w:r>
            <w:r w:rsidRPr="00E96B60">
              <w:rPr>
                <w:rFonts w:cs="Tahoma"/>
                <w:b/>
                <w:bCs/>
                <w:sz w:val="19"/>
                <w:szCs w:val="19"/>
                <w:lang w:val="es-MX"/>
              </w:rPr>
              <w:t>/UAI/IP/2024</w:t>
            </w:r>
          </w:p>
        </w:tc>
        <w:tc>
          <w:tcPr>
            <w:tcW w:w="6662" w:type="dxa"/>
            <w:tcBorders>
              <w:top w:val="single" w:sz="4" w:space="0" w:color="auto"/>
              <w:left w:val="single" w:sz="4" w:space="0" w:color="auto"/>
              <w:bottom w:val="single" w:sz="4" w:space="0" w:color="auto"/>
              <w:right w:val="single" w:sz="4" w:space="0" w:color="auto"/>
            </w:tcBorders>
          </w:tcPr>
          <w:p w14:paraId="7F7ED9A0" w14:textId="3C9CAEC2" w:rsidR="00A33154" w:rsidRPr="00E96B60" w:rsidRDefault="00A33154" w:rsidP="00A8529E">
            <w:pPr>
              <w:tabs>
                <w:tab w:val="left" w:pos="567"/>
              </w:tabs>
              <w:spacing w:line="360" w:lineRule="auto"/>
              <w:ind w:right="-28"/>
              <w:contextualSpacing/>
              <w:rPr>
                <w:i/>
                <w:color w:val="000000"/>
                <w:sz w:val="19"/>
                <w:szCs w:val="19"/>
                <w:lang w:val="es-MX"/>
              </w:rPr>
            </w:pPr>
            <w:r w:rsidRPr="00E96B60">
              <w:rPr>
                <w:i/>
                <w:color w:val="000000"/>
                <w:sz w:val="19"/>
                <w:szCs w:val="19"/>
                <w:lang w:val="es-MX"/>
              </w:rPr>
              <w:t>“</w:t>
            </w:r>
            <w:r w:rsidR="00A8529E" w:rsidRPr="00E96B60">
              <w:rPr>
                <w:i/>
                <w:color w:val="000000"/>
                <w:sz w:val="19"/>
                <w:szCs w:val="19"/>
                <w:lang w:val="es-MX"/>
              </w:rPr>
              <w:t xml:space="preserve">versión pública de todos los oficios emitidos por el C. DAVID ALBERTO MALDONADO HERNANDEZ; </w:t>
            </w:r>
            <w:r w:rsidR="00D4426C" w:rsidRPr="00E96B60">
              <w:rPr>
                <w:i/>
                <w:color w:val="000000"/>
                <w:sz w:val="19"/>
                <w:szCs w:val="19"/>
                <w:lang w:val="es-MX"/>
              </w:rPr>
              <w:t>a partir</w:t>
            </w:r>
            <w:bookmarkStart w:id="2" w:name="_GoBack"/>
            <w:bookmarkEnd w:id="2"/>
            <w:r w:rsidR="00A8529E" w:rsidRPr="00E96B60">
              <w:rPr>
                <w:i/>
                <w:color w:val="000000"/>
                <w:sz w:val="19"/>
                <w:szCs w:val="19"/>
                <w:lang w:val="es-MX"/>
              </w:rPr>
              <w:t xml:space="preserve"> de que tomo posesión como Titular de la Unidad de Asuntos Internos a la fecha</w:t>
            </w:r>
            <w:r w:rsidRPr="00E96B60">
              <w:rPr>
                <w:i/>
                <w:color w:val="000000"/>
                <w:sz w:val="19"/>
                <w:szCs w:val="19"/>
                <w:lang w:val="es-MX"/>
              </w:rPr>
              <w:t>” (Sic)</w:t>
            </w:r>
          </w:p>
        </w:tc>
      </w:tr>
      <w:tr w:rsidR="00A33154" w:rsidRPr="00E96B60" w14:paraId="3587CB61" w14:textId="77777777" w:rsidTr="00A33154">
        <w:tc>
          <w:tcPr>
            <w:tcW w:w="2405" w:type="dxa"/>
            <w:tcBorders>
              <w:top w:val="single" w:sz="4" w:space="0" w:color="auto"/>
              <w:left w:val="single" w:sz="4" w:space="0" w:color="auto"/>
              <w:bottom w:val="single" w:sz="4" w:space="0" w:color="auto"/>
              <w:right w:val="single" w:sz="4" w:space="0" w:color="auto"/>
            </w:tcBorders>
          </w:tcPr>
          <w:p w14:paraId="3D9C486B" w14:textId="39913571" w:rsidR="00A33154" w:rsidRPr="00E96B60" w:rsidRDefault="00A33154" w:rsidP="00A8529E">
            <w:pPr>
              <w:tabs>
                <w:tab w:val="left" w:pos="567"/>
              </w:tabs>
              <w:spacing w:line="360" w:lineRule="auto"/>
              <w:ind w:right="-28"/>
              <w:contextualSpacing/>
              <w:rPr>
                <w:rFonts w:cs="Tahoma"/>
                <w:b/>
                <w:bCs/>
                <w:sz w:val="19"/>
                <w:szCs w:val="19"/>
                <w:lang w:val="es-MX"/>
              </w:rPr>
            </w:pPr>
            <w:r w:rsidRPr="00E96B60">
              <w:rPr>
                <w:rFonts w:cs="Tahoma"/>
                <w:b/>
                <w:bCs/>
                <w:sz w:val="19"/>
                <w:szCs w:val="19"/>
                <w:lang w:val="es-MX"/>
              </w:rPr>
              <w:t>00</w:t>
            </w:r>
            <w:r w:rsidR="00A8529E" w:rsidRPr="00E96B60">
              <w:rPr>
                <w:rFonts w:cs="Tahoma"/>
                <w:b/>
                <w:bCs/>
                <w:sz w:val="19"/>
                <w:szCs w:val="19"/>
                <w:lang w:val="es-MX"/>
              </w:rPr>
              <w:t>042</w:t>
            </w:r>
            <w:r w:rsidRPr="00E96B60">
              <w:rPr>
                <w:rFonts w:cs="Tahoma"/>
                <w:b/>
                <w:bCs/>
                <w:sz w:val="19"/>
                <w:szCs w:val="19"/>
                <w:lang w:val="es-MX"/>
              </w:rPr>
              <w:t>/UAI/IP/2024</w:t>
            </w:r>
          </w:p>
        </w:tc>
        <w:tc>
          <w:tcPr>
            <w:tcW w:w="6662" w:type="dxa"/>
            <w:tcBorders>
              <w:top w:val="single" w:sz="4" w:space="0" w:color="auto"/>
              <w:left w:val="single" w:sz="4" w:space="0" w:color="auto"/>
              <w:bottom w:val="single" w:sz="4" w:space="0" w:color="auto"/>
              <w:right w:val="single" w:sz="4" w:space="0" w:color="auto"/>
            </w:tcBorders>
          </w:tcPr>
          <w:p w14:paraId="2F930085" w14:textId="7BB2EE55" w:rsidR="00A33154" w:rsidRPr="00E96B60" w:rsidRDefault="00A33154" w:rsidP="00A8529E">
            <w:pPr>
              <w:tabs>
                <w:tab w:val="left" w:pos="567"/>
              </w:tabs>
              <w:spacing w:line="360" w:lineRule="auto"/>
              <w:ind w:right="-28"/>
              <w:contextualSpacing/>
              <w:rPr>
                <w:i/>
                <w:color w:val="000000"/>
                <w:sz w:val="19"/>
                <w:szCs w:val="19"/>
                <w:lang w:val="es-MX"/>
              </w:rPr>
            </w:pPr>
            <w:r w:rsidRPr="00E96B60">
              <w:rPr>
                <w:i/>
                <w:color w:val="000000"/>
                <w:sz w:val="19"/>
                <w:szCs w:val="19"/>
                <w:lang w:val="es-MX"/>
              </w:rPr>
              <w:t>“</w:t>
            </w:r>
            <w:r w:rsidR="00A8529E" w:rsidRPr="00E96B60">
              <w:rPr>
                <w:i/>
                <w:color w:val="000000"/>
                <w:sz w:val="19"/>
                <w:szCs w:val="19"/>
                <w:lang w:val="es-MX"/>
              </w:rPr>
              <w:t>versión pública de todos los oficios emitidos por a la unidad de asuntos internos de la primera y segunda quincena de febrero de 2024</w:t>
            </w:r>
            <w:r w:rsidRPr="00E96B60">
              <w:rPr>
                <w:i/>
                <w:color w:val="000000"/>
                <w:sz w:val="19"/>
                <w:szCs w:val="19"/>
                <w:lang w:val="es-MX"/>
              </w:rPr>
              <w:t>” (Sic)</w:t>
            </w:r>
          </w:p>
        </w:tc>
      </w:tr>
    </w:tbl>
    <w:p w14:paraId="1F9F6952" w14:textId="77777777" w:rsidR="00363853" w:rsidRPr="00E96B60" w:rsidRDefault="00363853" w:rsidP="00562759">
      <w:pPr>
        <w:spacing w:after="0" w:line="360" w:lineRule="auto"/>
        <w:ind w:right="567"/>
        <w:contextualSpacing/>
        <w:rPr>
          <w:rFonts w:cs="Tahoma"/>
          <w:b/>
          <w:bCs/>
        </w:rPr>
      </w:pPr>
    </w:p>
    <w:p w14:paraId="41982D94" w14:textId="3A6ECF59" w:rsidR="00363853" w:rsidRPr="00E96B60" w:rsidRDefault="00363853" w:rsidP="00562759">
      <w:pPr>
        <w:tabs>
          <w:tab w:val="left" w:pos="4667"/>
        </w:tabs>
        <w:spacing w:after="0" w:line="360" w:lineRule="auto"/>
        <w:rPr>
          <w:rFonts w:cs="Tahoma"/>
          <w:bCs/>
          <w:i/>
        </w:rPr>
      </w:pPr>
      <w:r w:rsidRPr="00E96B60">
        <w:rPr>
          <w:rFonts w:cs="Tahoma"/>
          <w:bCs/>
          <w:iCs/>
        </w:rPr>
        <w:t xml:space="preserve">Es de señalar que en las </w:t>
      </w:r>
      <w:r w:rsidR="00AA11D8" w:rsidRPr="00E96B60">
        <w:rPr>
          <w:rFonts w:cs="Tahoma"/>
          <w:bCs/>
          <w:iCs/>
        </w:rPr>
        <w:t>cuatro</w:t>
      </w:r>
      <w:r w:rsidR="00CF47FE" w:rsidRPr="00E96B60">
        <w:rPr>
          <w:rFonts w:cs="Tahoma"/>
          <w:bCs/>
          <w:iCs/>
        </w:rPr>
        <w:t xml:space="preserve"> </w:t>
      </w:r>
      <w:r w:rsidRPr="00E96B60">
        <w:rPr>
          <w:rFonts w:cs="Tahoma"/>
          <w:bCs/>
          <w:iCs/>
        </w:rPr>
        <w:t xml:space="preserve">solicitudes de acceso a la información la ahora Recurrente eligió como modalidad de entrega de la información </w:t>
      </w:r>
      <w:r w:rsidRPr="00E96B60">
        <w:rPr>
          <w:rFonts w:cs="Tahoma"/>
          <w:bCs/>
          <w:i/>
        </w:rPr>
        <w:t>“A través del SAIMEX”.</w:t>
      </w:r>
    </w:p>
    <w:p w14:paraId="1314E6EE" w14:textId="23EBEB30" w:rsidR="008D0855" w:rsidRPr="00E96B60" w:rsidRDefault="008D0855" w:rsidP="00562759">
      <w:pPr>
        <w:tabs>
          <w:tab w:val="left" w:pos="4667"/>
        </w:tabs>
        <w:spacing w:after="0" w:line="360" w:lineRule="auto"/>
        <w:rPr>
          <w:rFonts w:cs="Tahoma"/>
          <w:bCs/>
          <w:i/>
        </w:rPr>
      </w:pPr>
    </w:p>
    <w:p w14:paraId="4A453407" w14:textId="4BC8DE90" w:rsidR="00F469B3" w:rsidRPr="00E96B60" w:rsidRDefault="0066348D" w:rsidP="00433077">
      <w:pPr>
        <w:tabs>
          <w:tab w:val="left" w:pos="4667"/>
        </w:tabs>
        <w:spacing w:after="0" w:line="360" w:lineRule="auto"/>
        <w:rPr>
          <w:rFonts w:eastAsiaTheme="minorHAnsi" w:cstheme="minorBidi"/>
          <w:b/>
        </w:rPr>
      </w:pPr>
      <w:r w:rsidRPr="00E96B60">
        <w:rPr>
          <w:rFonts w:cs="Tahoma"/>
          <w:b/>
          <w:iCs/>
        </w:rPr>
        <w:t>II</w:t>
      </w:r>
      <w:r w:rsidR="008D0855" w:rsidRPr="00E96B60">
        <w:rPr>
          <w:rFonts w:cs="Tahoma"/>
          <w:b/>
          <w:iCs/>
        </w:rPr>
        <w:t>.</w:t>
      </w:r>
      <w:r w:rsidR="00E96B60" w:rsidRPr="00E96B60">
        <w:rPr>
          <w:rFonts w:eastAsiaTheme="minorHAnsi" w:cstheme="minorBidi"/>
          <w:b/>
        </w:rPr>
        <w:t xml:space="preserve"> Respuesta del Sujeto Obligado</w:t>
      </w:r>
    </w:p>
    <w:p w14:paraId="289CAD4D" w14:textId="77777777" w:rsidR="00AA557E" w:rsidRPr="00E96B60" w:rsidRDefault="00AA557E" w:rsidP="00562759">
      <w:pPr>
        <w:spacing w:after="0" w:line="360" w:lineRule="auto"/>
        <w:rPr>
          <w:rFonts w:eastAsiaTheme="minorHAnsi" w:cstheme="minorBidi"/>
          <w:b/>
        </w:rPr>
      </w:pPr>
    </w:p>
    <w:p w14:paraId="6356E4C0" w14:textId="515B7FD4" w:rsidR="001223E5" w:rsidRPr="00E96B60" w:rsidRDefault="001223E5" w:rsidP="00562759">
      <w:pPr>
        <w:tabs>
          <w:tab w:val="left" w:pos="567"/>
        </w:tabs>
        <w:spacing w:after="0" w:line="360" w:lineRule="auto"/>
        <w:contextualSpacing/>
        <w:rPr>
          <w:rFonts w:cs="Tahoma"/>
          <w:bCs/>
        </w:rPr>
      </w:pPr>
      <w:r w:rsidRPr="00E96B60">
        <w:rPr>
          <w:rFonts w:cs="Tahoma"/>
          <w:bCs/>
        </w:rPr>
        <w:t>Con fecha</w:t>
      </w:r>
      <w:r w:rsidR="00F426A8" w:rsidRPr="00E96B60">
        <w:rPr>
          <w:rFonts w:cs="Tahoma"/>
          <w:bCs/>
        </w:rPr>
        <w:t xml:space="preserve"> </w:t>
      </w:r>
      <w:r w:rsidR="00433077" w:rsidRPr="00E96B60">
        <w:rPr>
          <w:rFonts w:cs="Tahoma"/>
          <w:bCs/>
        </w:rPr>
        <w:t xml:space="preserve">nueve </w:t>
      </w:r>
      <w:r w:rsidR="00D5260C" w:rsidRPr="00E96B60">
        <w:rPr>
          <w:rFonts w:cs="Tahoma"/>
          <w:bCs/>
        </w:rPr>
        <w:t>de octubre</w:t>
      </w:r>
      <w:r w:rsidR="000C0493" w:rsidRPr="00E96B60">
        <w:rPr>
          <w:rFonts w:cs="Tahoma"/>
          <w:bCs/>
        </w:rPr>
        <w:t xml:space="preserve"> de dos mil veinticuatro</w:t>
      </w:r>
      <w:r w:rsidRPr="00E96B60">
        <w:rPr>
          <w:rFonts w:cs="Tahoma"/>
          <w:bCs/>
        </w:rPr>
        <w:t xml:space="preserve"> el Sujeto Obligado notificó la respuesta a las </w:t>
      </w:r>
      <w:r w:rsidR="00272742" w:rsidRPr="00E96B60">
        <w:rPr>
          <w:rFonts w:cs="Tahoma"/>
          <w:bCs/>
        </w:rPr>
        <w:t xml:space="preserve">cuatro </w:t>
      </w:r>
      <w:r w:rsidRPr="00E96B60">
        <w:rPr>
          <w:rFonts w:cs="Tahoma"/>
          <w:bCs/>
        </w:rPr>
        <w:t xml:space="preserve">solicitudes de acceso a la información, a través del </w:t>
      </w:r>
      <w:r w:rsidRPr="00E96B60">
        <w:rPr>
          <w:rFonts w:cs="Tahoma"/>
        </w:rPr>
        <w:t xml:space="preserve">Sistema de Acceso a la Información Mexiquense (SAIMEX), en los mismos términos, </w:t>
      </w:r>
      <w:r w:rsidR="00272742" w:rsidRPr="00E96B60">
        <w:rPr>
          <w:rFonts w:cs="Tahoma"/>
        </w:rPr>
        <w:t xml:space="preserve">conforme a lo </w:t>
      </w:r>
      <w:r w:rsidR="00131C88" w:rsidRPr="00E96B60">
        <w:rPr>
          <w:rFonts w:cs="Tahoma"/>
        </w:rPr>
        <w:t>siguiente</w:t>
      </w:r>
      <w:r w:rsidRPr="00E96B60">
        <w:rPr>
          <w:rFonts w:cs="Tahoma"/>
        </w:rPr>
        <w:t xml:space="preserve">: </w:t>
      </w:r>
    </w:p>
    <w:p w14:paraId="29CF74F3" w14:textId="77777777" w:rsidR="0052179E" w:rsidRPr="00E96B60" w:rsidRDefault="0052179E" w:rsidP="0052179E">
      <w:pPr>
        <w:autoSpaceDE w:val="0"/>
        <w:autoSpaceDN w:val="0"/>
        <w:adjustRightInd w:val="0"/>
        <w:spacing w:after="0" w:line="360" w:lineRule="auto"/>
        <w:ind w:right="-28"/>
        <w:rPr>
          <w:rFonts w:cs="Tahoma"/>
          <w:bCs/>
        </w:rPr>
      </w:pPr>
    </w:p>
    <w:p w14:paraId="4827EB61" w14:textId="750A8790" w:rsidR="0052179E" w:rsidRPr="00E96B60" w:rsidRDefault="0052179E" w:rsidP="00E525EF">
      <w:pPr>
        <w:pStyle w:val="Prrafodelista"/>
        <w:numPr>
          <w:ilvl w:val="0"/>
          <w:numId w:val="45"/>
        </w:numPr>
        <w:autoSpaceDE w:val="0"/>
        <w:autoSpaceDN w:val="0"/>
        <w:adjustRightInd w:val="0"/>
        <w:spacing w:after="0" w:line="360" w:lineRule="auto"/>
        <w:ind w:left="426" w:right="-28"/>
        <w:rPr>
          <w:rFonts w:ascii="Palatino Linotype" w:hAnsi="Palatino Linotype" w:cs="Tahoma"/>
          <w:b/>
          <w:bCs/>
        </w:rPr>
      </w:pPr>
      <w:r w:rsidRPr="00E96B60">
        <w:rPr>
          <w:rFonts w:ascii="Palatino Linotype" w:hAnsi="Palatino Linotype" w:cs="Tahoma"/>
          <w:b/>
          <w:bCs/>
        </w:rPr>
        <w:t>FOLIO DE LA SOLICITUD 00067/UAI/IP/2024</w:t>
      </w:r>
      <w:r w:rsidR="00E525EF" w:rsidRPr="00E96B60">
        <w:rPr>
          <w:rFonts w:ascii="Palatino Linotype" w:hAnsi="Palatino Linotype" w:cs="Tahoma"/>
          <w:b/>
          <w:bCs/>
        </w:rPr>
        <w:t xml:space="preserve">, 00066/UAI/IP/2024 y 00020/UAI/IP/2024. </w:t>
      </w:r>
    </w:p>
    <w:p w14:paraId="4997531A" w14:textId="73FC394C" w:rsidR="0052179E" w:rsidRPr="00E96B60" w:rsidRDefault="0052179E" w:rsidP="00897F22">
      <w:pPr>
        <w:pStyle w:val="Prrafodelista"/>
        <w:numPr>
          <w:ilvl w:val="0"/>
          <w:numId w:val="43"/>
        </w:numPr>
        <w:autoSpaceDE w:val="0"/>
        <w:autoSpaceDN w:val="0"/>
        <w:adjustRightInd w:val="0"/>
        <w:spacing w:after="0" w:line="360" w:lineRule="auto"/>
        <w:ind w:right="-28"/>
        <w:rPr>
          <w:rFonts w:ascii="Palatino Linotype" w:hAnsi="Palatino Linotype" w:cs="Tahoma"/>
          <w:bCs/>
        </w:rPr>
      </w:pPr>
      <w:r w:rsidRPr="00E96B60">
        <w:rPr>
          <w:rFonts w:ascii="Palatino Linotype" w:hAnsi="Palatino Linotype" w:cs="Tahoma"/>
          <w:b/>
          <w:bCs/>
          <w:i/>
          <w:iCs/>
        </w:rPr>
        <w:t>f-67.pdf</w:t>
      </w:r>
      <w:r w:rsidR="00E525EF" w:rsidRPr="00E96B60">
        <w:rPr>
          <w:rFonts w:ascii="Palatino Linotype" w:hAnsi="Palatino Linotype" w:cs="Tahoma"/>
          <w:b/>
          <w:bCs/>
          <w:i/>
          <w:iCs/>
        </w:rPr>
        <w:t>, f-66.pdf y f-20.pdf</w:t>
      </w:r>
      <w:r w:rsidRPr="00E96B60">
        <w:rPr>
          <w:rFonts w:ascii="Palatino Linotype" w:hAnsi="Palatino Linotype" w:cs="Tahoma"/>
          <w:b/>
          <w:bCs/>
        </w:rPr>
        <w:t xml:space="preserve">: </w:t>
      </w:r>
      <w:r w:rsidRPr="00E96B60">
        <w:rPr>
          <w:rFonts w:ascii="Palatino Linotype" w:hAnsi="Palatino Linotype" w:cs="Tahoma"/>
          <w:bCs/>
        </w:rPr>
        <w:t>Oficio suscrito por el Titular de la Unidad de Transparencia en el que en su parte medular manifestó lo siguiente:</w:t>
      </w:r>
    </w:p>
    <w:p w14:paraId="47B3C2B9" w14:textId="77777777" w:rsidR="0052179E" w:rsidRPr="00E96B60" w:rsidRDefault="0052179E" w:rsidP="0052179E">
      <w:pPr>
        <w:autoSpaceDE w:val="0"/>
        <w:autoSpaceDN w:val="0"/>
        <w:adjustRightInd w:val="0"/>
        <w:spacing w:after="0" w:line="360" w:lineRule="auto"/>
        <w:ind w:right="-28"/>
        <w:rPr>
          <w:rFonts w:cs="Tahoma"/>
          <w:bCs/>
        </w:rPr>
      </w:pPr>
    </w:p>
    <w:p w14:paraId="55F08D0F" w14:textId="77777777" w:rsidR="0052179E" w:rsidRPr="00E96B60" w:rsidRDefault="0052179E" w:rsidP="0052179E">
      <w:pPr>
        <w:autoSpaceDE w:val="0"/>
        <w:autoSpaceDN w:val="0"/>
        <w:adjustRightInd w:val="0"/>
        <w:spacing w:after="0" w:line="360" w:lineRule="auto"/>
        <w:ind w:left="567" w:right="680"/>
        <w:rPr>
          <w:rFonts w:cs="Tahoma"/>
          <w:bCs/>
          <w:i/>
          <w:sz w:val="20"/>
        </w:rPr>
      </w:pPr>
      <w:r w:rsidRPr="00E96B60">
        <w:rPr>
          <w:rFonts w:cs="Tahoma"/>
          <w:bCs/>
          <w:i/>
          <w:sz w:val="20"/>
        </w:rPr>
        <w:t>“…</w:t>
      </w:r>
    </w:p>
    <w:p w14:paraId="516C8314" w14:textId="086055E3" w:rsidR="0052179E" w:rsidRPr="00E96B60" w:rsidRDefault="0052179E" w:rsidP="0052179E">
      <w:pPr>
        <w:autoSpaceDE w:val="0"/>
        <w:autoSpaceDN w:val="0"/>
        <w:adjustRightInd w:val="0"/>
        <w:spacing w:after="0" w:line="360" w:lineRule="auto"/>
        <w:ind w:left="567" w:right="680"/>
        <w:rPr>
          <w:rFonts w:cs="Tahoma"/>
          <w:bCs/>
          <w:i/>
          <w:sz w:val="20"/>
        </w:rPr>
      </w:pPr>
      <w:r w:rsidRPr="00E96B60">
        <w:rPr>
          <w:rFonts w:cs="Tahoma"/>
          <w:bCs/>
          <w:i/>
          <w:sz w:val="20"/>
        </w:rPr>
        <w:t xml:space="preserve">Atento a lo anterior, el pasado 03 de octubre del año en curso se llevó a cabo la Cuarta Sesión Ordinaria 2024 del Comité de Transparencia en la que, entre otros, se tomó el Acuerdo UAI//CT/ORDINARIA/2024/04/03 en el que se aprobó por unanimidad de votos de los integrantes del Comité de Transparencia, la clasificación de la información como reservada de </w:t>
      </w:r>
      <w:r w:rsidRPr="00E96B60">
        <w:rPr>
          <w:rFonts w:cs="Tahoma"/>
          <w:bCs/>
          <w:i/>
          <w:sz w:val="20"/>
        </w:rPr>
        <w:lastRenderedPageBreak/>
        <w:t>manera total respecto de todos los oficios firmados por el citado servidor público como Encargado de la Unidad de Asuntos Internos, de conformidad con lo dispuesto en la legislación antes señalada, de la cual se levantó Acta número UAI-CT-ORD-04-2024 que consta de 86 fojas; documentos que adjunto al presente para pronta referencia.</w:t>
      </w:r>
    </w:p>
    <w:p w14:paraId="72CBAC58" w14:textId="64FB89C8" w:rsidR="0052179E" w:rsidRPr="00E96B60" w:rsidRDefault="0052179E" w:rsidP="0052179E">
      <w:pPr>
        <w:autoSpaceDE w:val="0"/>
        <w:autoSpaceDN w:val="0"/>
        <w:adjustRightInd w:val="0"/>
        <w:spacing w:after="0" w:line="360" w:lineRule="auto"/>
        <w:ind w:left="567" w:right="680"/>
        <w:rPr>
          <w:rFonts w:cs="Tahoma"/>
          <w:bCs/>
          <w:i/>
          <w:sz w:val="20"/>
        </w:rPr>
      </w:pPr>
      <w:r w:rsidRPr="00E96B60">
        <w:rPr>
          <w:rFonts w:cs="Tahoma"/>
          <w:bCs/>
          <w:i/>
          <w:sz w:val="20"/>
        </w:rPr>
        <w:t>…”</w:t>
      </w:r>
    </w:p>
    <w:p w14:paraId="4AED7D11" w14:textId="77777777" w:rsidR="0052179E" w:rsidRPr="00E96B60" w:rsidRDefault="0052179E" w:rsidP="0052179E">
      <w:pPr>
        <w:autoSpaceDE w:val="0"/>
        <w:autoSpaceDN w:val="0"/>
        <w:adjustRightInd w:val="0"/>
        <w:spacing w:after="0" w:line="360" w:lineRule="auto"/>
        <w:ind w:right="-28"/>
        <w:rPr>
          <w:rFonts w:cs="Tahoma"/>
          <w:bCs/>
        </w:rPr>
      </w:pPr>
    </w:p>
    <w:p w14:paraId="788B04D7" w14:textId="77777777" w:rsidR="00897F22" w:rsidRPr="00E96B60" w:rsidRDefault="0052179E" w:rsidP="00897F22">
      <w:pPr>
        <w:pStyle w:val="Prrafodelista"/>
        <w:numPr>
          <w:ilvl w:val="0"/>
          <w:numId w:val="42"/>
        </w:numPr>
        <w:autoSpaceDE w:val="0"/>
        <w:autoSpaceDN w:val="0"/>
        <w:adjustRightInd w:val="0"/>
        <w:spacing w:after="0" w:line="360" w:lineRule="auto"/>
        <w:ind w:right="-28"/>
        <w:rPr>
          <w:rFonts w:ascii="Palatino Linotype" w:hAnsi="Palatino Linotype" w:cs="Tahoma"/>
          <w:bCs/>
        </w:rPr>
      </w:pPr>
      <w:r w:rsidRPr="00E96B60">
        <w:rPr>
          <w:rFonts w:ascii="Palatino Linotype" w:hAnsi="Palatino Linotype" w:cs="Tahoma"/>
          <w:b/>
          <w:bCs/>
        </w:rPr>
        <w:t>ACTA CUARTA SESIÓN ORDINARIA.pdf</w:t>
      </w:r>
      <w:r w:rsidR="00897F22" w:rsidRPr="00E96B60">
        <w:rPr>
          <w:rFonts w:ascii="Palatino Linotype" w:hAnsi="Palatino Linotype" w:cs="Tahoma"/>
          <w:b/>
          <w:bCs/>
        </w:rPr>
        <w:t xml:space="preserve">: </w:t>
      </w:r>
      <w:r w:rsidR="00897F22" w:rsidRPr="00E96B60">
        <w:rPr>
          <w:rFonts w:ascii="Palatino Linotype" w:hAnsi="Palatino Linotype" w:cs="Tahoma"/>
          <w:bCs/>
        </w:rPr>
        <w:t>Corresponde al Acta mencionada en la respuesta arriba transcrita.</w:t>
      </w:r>
    </w:p>
    <w:p w14:paraId="4D5BD5A6" w14:textId="0845B4B4" w:rsidR="0052179E" w:rsidRPr="00E96B60" w:rsidRDefault="00897F22" w:rsidP="0052179E">
      <w:pPr>
        <w:autoSpaceDE w:val="0"/>
        <w:autoSpaceDN w:val="0"/>
        <w:adjustRightInd w:val="0"/>
        <w:spacing w:after="0" w:line="360" w:lineRule="auto"/>
        <w:ind w:right="-28"/>
        <w:rPr>
          <w:rFonts w:cs="Tahoma"/>
          <w:bCs/>
          <w:i/>
        </w:rPr>
      </w:pPr>
      <w:r w:rsidRPr="00E96B60">
        <w:rPr>
          <w:rFonts w:cs="Tahoma"/>
          <w:bCs/>
          <w:i/>
        </w:rPr>
        <w:t xml:space="preserve"> </w:t>
      </w:r>
    </w:p>
    <w:p w14:paraId="17927BAF" w14:textId="48145610" w:rsidR="001223E5" w:rsidRPr="00E96B60" w:rsidRDefault="0052179E" w:rsidP="00897F22">
      <w:pPr>
        <w:pStyle w:val="Prrafodelista"/>
        <w:numPr>
          <w:ilvl w:val="0"/>
          <w:numId w:val="42"/>
        </w:numPr>
        <w:autoSpaceDE w:val="0"/>
        <w:autoSpaceDN w:val="0"/>
        <w:adjustRightInd w:val="0"/>
        <w:spacing w:after="0" w:line="360" w:lineRule="auto"/>
        <w:ind w:right="-28"/>
        <w:rPr>
          <w:rFonts w:ascii="Palatino Linotype" w:hAnsi="Palatino Linotype" w:cs="Tahoma"/>
          <w:bCs/>
        </w:rPr>
      </w:pPr>
      <w:r w:rsidRPr="00E96B60">
        <w:rPr>
          <w:rFonts w:ascii="Palatino Linotype" w:hAnsi="Palatino Linotype" w:cs="Tahoma"/>
          <w:b/>
          <w:bCs/>
        </w:rPr>
        <w:t xml:space="preserve">Prueba de Daño 00020, 00066 y 00067.pdf: </w:t>
      </w:r>
      <w:r w:rsidRPr="00E96B60">
        <w:rPr>
          <w:rFonts w:ascii="Palatino Linotype" w:hAnsi="Palatino Linotype" w:cs="Tahoma"/>
          <w:bCs/>
        </w:rPr>
        <w:t>Consiste en la prueba de daño realizada por el Sujeto Obligado en el que manifestó lo siguiente.</w:t>
      </w:r>
    </w:p>
    <w:p w14:paraId="71632426" w14:textId="77777777" w:rsidR="0052179E" w:rsidRPr="00E96B60" w:rsidRDefault="0052179E" w:rsidP="0052179E">
      <w:pPr>
        <w:autoSpaceDE w:val="0"/>
        <w:autoSpaceDN w:val="0"/>
        <w:adjustRightInd w:val="0"/>
        <w:spacing w:after="0" w:line="360" w:lineRule="auto"/>
        <w:ind w:right="-28"/>
        <w:rPr>
          <w:rFonts w:cs="Tahoma"/>
          <w:bCs/>
        </w:rPr>
      </w:pPr>
    </w:p>
    <w:p w14:paraId="02DF3604" w14:textId="1CE58060" w:rsidR="0052179E" w:rsidRPr="00E96B60" w:rsidRDefault="00897F22" w:rsidP="00897F22">
      <w:pPr>
        <w:autoSpaceDE w:val="0"/>
        <w:autoSpaceDN w:val="0"/>
        <w:adjustRightInd w:val="0"/>
        <w:spacing w:after="0" w:line="360" w:lineRule="auto"/>
        <w:ind w:left="567" w:right="539"/>
        <w:rPr>
          <w:rFonts w:cs="Tahoma"/>
          <w:bCs/>
          <w:i/>
          <w:sz w:val="20"/>
        </w:rPr>
      </w:pPr>
      <w:r w:rsidRPr="00E96B60">
        <w:rPr>
          <w:rFonts w:cs="Tahoma"/>
          <w:bCs/>
          <w:i/>
          <w:sz w:val="20"/>
        </w:rPr>
        <w:t>“</w:t>
      </w:r>
      <w:r w:rsidR="0052179E" w:rsidRPr="00E96B60">
        <w:rPr>
          <w:rFonts w:cs="Tahoma"/>
          <w:bCs/>
          <w:i/>
          <w:sz w:val="20"/>
        </w:rPr>
        <w:t>Respecto de las solicitudes de información con números de folio 00020/UAI/IP/2024, 00066/UAI/IP/2024 y 00067/UAI/IP/2024, es dable señalar que la Unidad de Asuntos Internos advierte que lo solicitado versa en información relacionada con oficios que contienen acciones de coordinación y operación de este organismo público descentralizado que aseguran la investigación e integración de los expedientes de quejas y denuncias por presuntas faltas administrativas o incumplimiento al régimen disciplinario de los integrantes de la Secretaría de Seguridad, cuya divulgación pueda afectar el debido proceso ya que dicha información se relaciona con procedimientos administrativos de los citados integrantes, ello de conformidad con lo dispuesto en los artículos 113, fracción X de la Ley General de Transparencia y Acceso a la Información Pública; 140, fracción X de la Ley de Transparencia y Acceso a la Información Pública del Estado de México y Municipios y numeral Vigésimo Noveno de los Lineamientos Generales en materia de Clasificación y</w:t>
      </w:r>
      <w:r w:rsidRPr="00E96B60">
        <w:rPr>
          <w:rFonts w:cs="Tahoma"/>
          <w:bCs/>
          <w:i/>
          <w:sz w:val="20"/>
        </w:rPr>
        <w:t xml:space="preserve"> </w:t>
      </w:r>
      <w:r w:rsidR="0052179E" w:rsidRPr="00E96B60">
        <w:rPr>
          <w:rFonts w:cs="Tahoma"/>
          <w:bCs/>
          <w:i/>
          <w:sz w:val="20"/>
        </w:rPr>
        <w:t>Desclasificación de la Información, así como para la Elaboración de Versiones Públicas.</w:t>
      </w:r>
    </w:p>
    <w:p w14:paraId="26B937B3" w14:textId="6E06F257" w:rsidR="00897F22" w:rsidRPr="00E96B60" w:rsidRDefault="00897F22" w:rsidP="00897F22">
      <w:pPr>
        <w:autoSpaceDE w:val="0"/>
        <w:autoSpaceDN w:val="0"/>
        <w:adjustRightInd w:val="0"/>
        <w:spacing w:after="0" w:line="360" w:lineRule="auto"/>
        <w:ind w:left="567" w:right="539"/>
        <w:rPr>
          <w:rFonts w:cs="Tahoma"/>
          <w:bCs/>
          <w:i/>
          <w:sz w:val="20"/>
        </w:rPr>
      </w:pPr>
      <w:r w:rsidRPr="00E96B60">
        <w:rPr>
          <w:rFonts w:cs="Tahoma"/>
          <w:bCs/>
          <w:i/>
          <w:sz w:val="20"/>
        </w:rPr>
        <w:t>…”</w:t>
      </w:r>
    </w:p>
    <w:p w14:paraId="221BFABC" w14:textId="77777777" w:rsidR="00897F22" w:rsidRPr="00E96B60" w:rsidRDefault="00897F22" w:rsidP="0052179E">
      <w:pPr>
        <w:autoSpaceDE w:val="0"/>
        <w:autoSpaceDN w:val="0"/>
        <w:adjustRightInd w:val="0"/>
        <w:spacing w:after="0" w:line="360" w:lineRule="auto"/>
        <w:ind w:right="-28"/>
        <w:rPr>
          <w:rFonts w:cs="Tahoma"/>
          <w:bCs/>
        </w:rPr>
      </w:pPr>
    </w:p>
    <w:p w14:paraId="266EB97E" w14:textId="38D33040" w:rsidR="00897F22" w:rsidRPr="00E96B60" w:rsidRDefault="00E525EF" w:rsidP="00E525EF">
      <w:pPr>
        <w:pStyle w:val="Prrafodelista"/>
        <w:numPr>
          <w:ilvl w:val="0"/>
          <w:numId w:val="44"/>
        </w:numPr>
        <w:autoSpaceDE w:val="0"/>
        <w:autoSpaceDN w:val="0"/>
        <w:adjustRightInd w:val="0"/>
        <w:spacing w:after="0" w:line="360" w:lineRule="auto"/>
        <w:ind w:left="567" w:right="-28"/>
        <w:rPr>
          <w:rFonts w:ascii="Palatino Linotype" w:hAnsi="Palatino Linotype" w:cs="Tahoma"/>
          <w:b/>
          <w:bCs/>
        </w:rPr>
      </w:pPr>
      <w:r w:rsidRPr="00E96B60">
        <w:rPr>
          <w:rFonts w:ascii="Palatino Linotype" w:hAnsi="Palatino Linotype" w:cs="Tahoma"/>
          <w:b/>
          <w:bCs/>
        </w:rPr>
        <w:t>FOLIO DE LA SOLICITUD 00067/UAI/IP/2024</w:t>
      </w:r>
    </w:p>
    <w:p w14:paraId="1E524BA2" w14:textId="31DCBE49" w:rsidR="00E525EF" w:rsidRPr="00E96B60" w:rsidRDefault="00E525EF" w:rsidP="00E525EF">
      <w:pPr>
        <w:pStyle w:val="Prrafodelista"/>
        <w:numPr>
          <w:ilvl w:val="0"/>
          <w:numId w:val="43"/>
        </w:numPr>
        <w:autoSpaceDE w:val="0"/>
        <w:autoSpaceDN w:val="0"/>
        <w:adjustRightInd w:val="0"/>
        <w:spacing w:after="0" w:line="360" w:lineRule="auto"/>
        <w:ind w:right="-28"/>
        <w:rPr>
          <w:rFonts w:ascii="Palatino Linotype" w:hAnsi="Palatino Linotype" w:cs="Tahoma"/>
          <w:bCs/>
        </w:rPr>
      </w:pPr>
      <w:r w:rsidRPr="00E96B60">
        <w:rPr>
          <w:rFonts w:ascii="Palatino Linotype" w:hAnsi="Palatino Linotype" w:cs="Tahoma"/>
          <w:b/>
          <w:bCs/>
          <w:i/>
          <w:iCs/>
        </w:rPr>
        <w:lastRenderedPageBreak/>
        <w:t>f-42.pdf</w:t>
      </w:r>
      <w:r w:rsidRPr="00E96B60">
        <w:rPr>
          <w:rFonts w:ascii="Palatino Linotype" w:hAnsi="Palatino Linotype" w:cs="Tahoma"/>
          <w:b/>
          <w:bCs/>
        </w:rPr>
        <w:t xml:space="preserve">: </w:t>
      </w:r>
      <w:r w:rsidRPr="00E96B60">
        <w:rPr>
          <w:rFonts w:ascii="Palatino Linotype" w:hAnsi="Palatino Linotype" w:cs="Tahoma"/>
          <w:bCs/>
        </w:rPr>
        <w:t>Oficio suscrito por el Titular de la Unidad de Transparencia en el que en su parte medular manifestó lo siguiente:</w:t>
      </w:r>
    </w:p>
    <w:p w14:paraId="562C57E6" w14:textId="77777777" w:rsidR="00E525EF" w:rsidRPr="00E96B60" w:rsidRDefault="00E525EF" w:rsidP="00E525EF">
      <w:pPr>
        <w:autoSpaceDE w:val="0"/>
        <w:autoSpaceDN w:val="0"/>
        <w:adjustRightInd w:val="0"/>
        <w:spacing w:after="0" w:line="360" w:lineRule="auto"/>
        <w:ind w:right="-28"/>
        <w:rPr>
          <w:rFonts w:cs="Tahoma"/>
          <w:bCs/>
        </w:rPr>
      </w:pPr>
    </w:p>
    <w:p w14:paraId="7E34E86B" w14:textId="77777777" w:rsidR="00E525EF" w:rsidRPr="00E96B60" w:rsidRDefault="00E525EF" w:rsidP="00E525EF">
      <w:pPr>
        <w:autoSpaceDE w:val="0"/>
        <w:autoSpaceDN w:val="0"/>
        <w:adjustRightInd w:val="0"/>
        <w:spacing w:after="0" w:line="360" w:lineRule="auto"/>
        <w:ind w:left="567" w:right="680"/>
        <w:rPr>
          <w:rFonts w:cs="Tahoma"/>
          <w:bCs/>
          <w:i/>
          <w:sz w:val="20"/>
        </w:rPr>
      </w:pPr>
      <w:r w:rsidRPr="00E96B60">
        <w:rPr>
          <w:rFonts w:cs="Tahoma"/>
          <w:bCs/>
          <w:i/>
          <w:sz w:val="20"/>
        </w:rPr>
        <w:t>“…</w:t>
      </w:r>
    </w:p>
    <w:p w14:paraId="4EC55738" w14:textId="77777777" w:rsidR="00E525EF" w:rsidRPr="00E96B60" w:rsidRDefault="00E525EF" w:rsidP="00E525EF">
      <w:pPr>
        <w:autoSpaceDE w:val="0"/>
        <w:autoSpaceDN w:val="0"/>
        <w:adjustRightInd w:val="0"/>
        <w:spacing w:after="0" w:line="360" w:lineRule="auto"/>
        <w:ind w:left="567" w:right="680"/>
        <w:rPr>
          <w:rFonts w:cs="Tahoma"/>
          <w:bCs/>
          <w:i/>
          <w:sz w:val="20"/>
        </w:rPr>
      </w:pPr>
      <w:r w:rsidRPr="00E96B60">
        <w:rPr>
          <w:rFonts w:cs="Tahoma"/>
          <w:bCs/>
          <w:i/>
          <w:sz w:val="20"/>
        </w:rPr>
        <w:t>Atento a lo anterior, el pasado 03 de octubre del año en curso se llevó a cabo la Cuarta Sesión Ordinaria 2024 del Comité de Transparencia en la que, entre otros, se tomó el Acuerdo UAI//CT/ORDINARIA/2024/04/03 en el que se aprobó por unanimidad de votos de los integrantes del Comité de Transparencia, la clasificación de la información como reservada de manera total respecto de todos los oficios firmados por el citado servidor público como Encargado de la Unidad de Asuntos Internos, de conformidad con lo dispuesto en la legislación antes señalada, de la cual se levantó Acta número UAI-CT-ORD-04-2024 que consta de 86 fojas; documentos que adjunto al presente para pronta referencia.</w:t>
      </w:r>
    </w:p>
    <w:p w14:paraId="03AFCD0C" w14:textId="77777777" w:rsidR="00E525EF" w:rsidRPr="00E96B60" w:rsidRDefault="00E525EF" w:rsidP="00E525EF">
      <w:pPr>
        <w:autoSpaceDE w:val="0"/>
        <w:autoSpaceDN w:val="0"/>
        <w:adjustRightInd w:val="0"/>
        <w:spacing w:after="0" w:line="360" w:lineRule="auto"/>
        <w:ind w:left="567" w:right="680"/>
        <w:rPr>
          <w:rFonts w:cs="Tahoma"/>
          <w:bCs/>
          <w:i/>
          <w:sz w:val="20"/>
        </w:rPr>
      </w:pPr>
      <w:r w:rsidRPr="00E96B60">
        <w:rPr>
          <w:rFonts w:cs="Tahoma"/>
          <w:bCs/>
          <w:i/>
          <w:sz w:val="20"/>
        </w:rPr>
        <w:t>…”</w:t>
      </w:r>
    </w:p>
    <w:p w14:paraId="0A5A06B3" w14:textId="77777777" w:rsidR="00E525EF" w:rsidRPr="00E96B60" w:rsidRDefault="00E525EF" w:rsidP="00E525EF">
      <w:pPr>
        <w:autoSpaceDE w:val="0"/>
        <w:autoSpaceDN w:val="0"/>
        <w:adjustRightInd w:val="0"/>
        <w:spacing w:after="0" w:line="360" w:lineRule="auto"/>
        <w:ind w:right="-28"/>
        <w:rPr>
          <w:rFonts w:cs="Tahoma"/>
          <w:bCs/>
        </w:rPr>
      </w:pPr>
    </w:p>
    <w:p w14:paraId="3ABFC37D" w14:textId="77777777" w:rsidR="00E525EF" w:rsidRPr="00E96B60" w:rsidRDefault="00E525EF" w:rsidP="00E525EF">
      <w:pPr>
        <w:pStyle w:val="Prrafodelista"/>
        <w:numPr>
          <w:ilvl w:val="0"/>
          <w:numId w:val="42"/>
        </w:numPr>
        <w:autoSpaceDE w:val="0"/>
        <w:autoSpaceDN w:val="0"/>
        <w:adjustRightInd w:val="0"/>
        <w:spacing w:after="0" w:line="360" w:lineRule="auto"/>
        <w:ind w:right="-28"/>
        <w:rPr>
          <w:rFonts w:ascii="Palatino Linotype" w:hAnsi="Palatino Linotype" w:cs="Tahoma"/>
          <w:bCs/>
        </w:rPr>
      </w:pPr>
      <w:r w:rsidRPr="00E96B60">
        <w:rPr>
          <w:rFonts w:ascii="Palatino Linotype" w:hAnsi="Palatino Linotype" w:cs="Tahoma"/>
          <w:b/>
          <w:bCs/>
          <w:i/>
          <w:iCs/>
        </w:rPr>
        <w:t>ACTA CUARTA SESIÓN ORDINARIA.pdf</w:t>
      </w:r>
      <w:r w:rsidRPr="00E96B60">
        <w:rPr>
          <w:rFonts w:ascii="Palatino Linotype" w:hAnsi="Palatino Linotype" w:cs="Tahoma"/>
          <w:b/>
          <w:bCs/>
        </w:rPr>
        <w:t xml:space="preserve">: </w:t>
      </w:r>
      <w:r w:rsidRPr="00E96B60">
        <w:rPr>
          <w:rFonts w:ascii="Palatino Linotype" w:hAnsi="Palatino Linotype" w:cs="Tahoma"/>
          <w:bCs/>
        </w:rPr>
        <w:t>Corresponde al Acta mencionada en la respuesta arriba transcrita.</w:t>
      </w:r>
    </w:p>
    <w:p w14:paraId="69BB70AB" w14:textId="6EADA422" w:rsidR="00E525EF" w:rsidRPr="00E96B60" w:rsidRDefault="00E525EF" w:rsidP="00E525EF">
      <w:pPr>
        <w:autoSpaceDE w:val="0"/>
        <w:autoSpaceDN w:val="0"/>
        <w:adjustRightInd w:val="0"/>
        <w:spacing w:after="0" w:line="360" w:lineRule="auto"/>
        <w:ind w:right="-28"/>
        <w:rPr>
          <w:rFonts w:cs="Tahoma"/>
          <w:bCs/>
          <w:i/>
        </w:rPr>
      </w:pPr>
    </w:p>
    <w:p w14:paraId="56DE3D4A" w14:textId="7DD4FAFC" w:rsidR="00E525EF" w:rsidRPr="00E96B60" w:rsidRDefault="00E525EF" w:rsidP="00E525EF">
      <w:pPr>
        <w:pStyle w:val="Prrafodelista"/>
        <w:numPr>
          <w:ilvl w:val="0"/>
          <w:numId w:val="42"/>
        </w:numPr>
        <w:autoSpaceDE w:val="0"/>
        <w:autoSpaceDN w:val="0"/>
        <w:adjustRightInd w:val="0"/>
        <w:spacing w:after="0" w:line="360" w:lineRule="auto"/>
        <w:ind w:right="-28"/>
        <w:rPr>
          <w:rFonts w:ascii="Palatino Linotype" w:hAnsi="Palatino Linotype" w:cs="Tahoma"/>
          <w:bCs/>
        </w:rPr>
      </w:pPr>
      <w:r w:rsidRPr="00E96B60">
        <w:rPr>
          <w:rFonts w:ascii="Palatino Linotype" w:hAnsi="Palatino Linotype" w:cs="Tahoma"/>
          <w:b/>
          <w:bCs/>
          <w:i/>
          <w:iCs/>
        </w:rPr>
        <w:t>Prueba de Daño 00042.pdf:</w:t>
      </w:r>
      <w:r w:rsidRPr="00E96B60">
        <w:rPr>
          <w:rFonts w:ascii="Palatino Linotype" w:hAnsi="Palatino Linotype" w:cs="Tahoma"/>
          <w:b/>
          <w:bCs/>
        </w:rPr>
        <w:t xml:space="preserve"> </w:t>
      </w:r>
      <w:r w:rsidRPr="00E96B60">
        <w:rPr>
          <w:rFonts w:ascii="Palatino Linotype" w:hAnsi="Palatino Linotype" w:cs="Tahoma"/>
          <w:bCs/>
        </w:rPr>
        <w:t>Consiste en la prueba de daño realizada por el Sujeto Obligado en el que manifestó lo siguiente.</w:t>
      </w:r>
    </w:p>
    <w:p w14:paraId="26E232AD" w14:textId="77777777" w:rsidR="00E525EF" w:rsidRPr="00E96B60" w:rsidRDefault="00E525EF" w:rsidP="00E525EF">
      <w:pPr>
        <w:autoSpaceDE w:val="0"/>
        <w:autoSpaceDN w:val="0"/>
        <w:adjustRightInd w:val="0"/>
        <w:spacing w:after="0" w:line="360" w:lineRule="auto"/>
        <w:ind w:right="-28"/>
        <w:rPr>
          <w:rFonts w:cs="Tahoma"/>
          <w:bCs/>
        </w:rPr>
      </w:pPr>
    </w:p>
    <w:p w14:paraId="18EEDAF3" w14:textId="5A41FE2E" w:rsidR="00E525EF" w:rsidRPr="00E96B60" w:rsidRDefault="00E525EF" w:rsidP="00E525EF">
      <w:pPr>
        <w:autoSpaceDE w:val="0"/>
        <w:autoSpaceDN w:val="0"/>
        <w:adjustRightInd w:val="0"/>
        <w:spacing w:after="0" w:line="360" w:lineRule="auto"/>
        <w:ind w:left="567" w:right="539"/>
        <w:rPr>
          <w:rFonts w:cs="Tahoma"/>
          <w:bCs/>
          <w:i/>
          <w:sz w:val="20"/>
        </w:rPr>
      </w:pPr>
      <w:r w:rsidRPr="00E96B60">
        <w:rPr>
          <w:rFonts w:cs="Tahoma"/>
          <w:bCs/>
          <w:i/>
          <w:sz w:val="20"/>
        </w:rPr>
        <w:t xml:space="preserve">“Respecto de la solicitud de información con número de folio 00042/UAI/IP/2024, es dable señalar que la Unidad de Asuntos Internos advierte que lo solicitado versa en información relacionada con oficios que contienen acciones de coordinación y operación de este organismo público descentralizado que aseguran la investigación e integración de los expedientes de quejas y denuncias por presuntas faltas administrativas o incumplimiento al régimen disciplinario de los integrantes de la Secretaría de Seguridad, cuya divulgación pueda afectar el debido proceso ya que dicha información se relaciona con procedimientos administrativos de los citados integrantes, ello de conformidad con lo dispuesto </w:t>
      </w:r>
      <w:r w:rsidRPr="00E96B60">
        <w:rPr>
          <w:rFonts w:cs="Tahoma"/>
          <w:bCs/>
          <w:i/>
          <w:sz w:val="20"/>
        </w:rPr>
        <w:lastRenderedPageBreak/>
        <w:t>en los artículos 113, fracción X de la Ley General de Transparencia y Acceso a la Información Pública; 140, fracción X de la Ley de Transparencia y Acceso a la Información Pública del Estado de México y Municipios y numeral Vigésimo Noveno de los Lineamientos Generales en materia de Clasificación y Desclasificación de la Información, así como para la Elaboración de Versiones Públicas.</w:t>
      </w:r>
    </w:p>
    <w:p w14:paraId="30C11A0E" w14:textId="6B703926" w:rsidR="00E525EF" w:rsidRPr="00E96B60" w:rsidRDefault="00E525EF" w:rsidP="00E525EF">
      <w:pPr>
        <w:autoSpaceDE w:val="0"/>
        <w:autoSpaceDN w:val="0"/>
        <w:adjustRightInd w:val="0"/>
        <w:spacing w:after="0" w:line="360" w:lineRule="auto"/>
        <w:ind w:left="567" w:right="539"/>
        <w:rPr>
          <w:rFonts w:cs="Tahoma"/>
          <w:b/>
          <w:bCs/>
        </w:rPr>
      </w:pPr>
      <w:r w:rsidRPr="00E96B60">
        <w:rPr>
          <w:rFonts w:cs="Tahoma"/>
          <w:bCs/>
          <w:i/>
          <w:sz w:val="20"/>
        </w:rPr>
        <w:t>…”</w:t>
      </w:r>
    </w:p>
    <w:p w14:paraId="72B21244" w14:textId="77777777" w:rsidR="00E525EF" w:rsidRPr="00E96B60" w:rsidRDefault="00E525EF" w:rsidP="00562759">
      <w:pPr>
        <w:spacing w:after="0" w:line="360" w:lineRule="auto"/>
        <w:rPr>
          <w:rFonts w:eastAsiaTheme="minorHAnsi" w:cstheme="minorBidi"/>
          <w:b/>
          <w:bCs/>
        </w:rPr>
      </w:pPr>
    </w:p>
    <w:p w14:paraId="6E7C6651" w14:textId="65375BEE" w:rsidR="00F469B3" w:rsidRPr="00E96B60" w:rsidRDefault="00F469B3" w:rsidP="00562759">
      <w:pPr>
        <w:spacing w:after="0" w:line="360" w:lineRule="auto"/>
        <w:rPr>
          <w:rFonts w:eastAsiaTheme="minorHAnsi" w:cstheme="minorBidi"/>
          <w:b/>
          <w:bCs/>
        </w:rPr>
      </w:pPr>
      <w:r w:rsidRPr="00E96B60">
        <w:rPr>
          <w:rFonts w:eastAsiaTheme="minorHAnsi" w:cstheme="minorBidi"/>
          <w:b/>
          <w:bCs/>
        </w:rPr>
        <w:t xml:space="preserve">III. Interposición </w:t>
      </w:r>
      <w:r w:rsidR="00E96B60" w:rsidRPr="00E96B60">
        <w:rPr>
          <w:rFonts w:eastAsiaTheme="minorHAnsi" w:cstheme="minorBidi"/>
          <w:b/>
          <w:bCs/>
        </w:rPr>
        <w:t>del Recurso de Revisión</w:t>
      </w:r>
    </w:p>
    <w:p w14:paraId="356E2604" w14:textId="77777777" w:rsidR="00F469B3" w:rsidRPr="00E96B60" w:rsidRDefault="00F469B3" w:rsidP="00562759">
      <w:pPr>
        <w:spacing w:after="0" w:line="360" w:lineRule="auto"/>
        <w:rPr>
          <w:rFonts w:eastAsiaTheme="minorHAnsi" w:cstheme="minorBidi"/>
          <w:b/>
          <w:bCs/>
        </w:rPr>
      </w:pPr>
    </w:p>
    <w:p w14:paraId="0072ABDD" w14:textId="084F3214" w:rsidR="00D95958" w:rsidRPr="00E96B60" w:rsidRDefault="00D95958" w:rsidP="00562759">
      <w:pPr>
        <w:autoSpaceDE w:val="0"/>
        <w:autoSpaceDN w:val="0"/>
        <w:adjustRightInd w:val="0"/>
        <w:spacing w:after="0" w:line="360" w:lineRule="auto"/>
        <w:rPr>
          <w:rFonts w:cs="Tahoma"/>
        </w:rPr>
      </w:pPr>
      <w:r w:rsidRPr="00E96B60">
        <w:rPr>
          <w:rFonts w:cs="Tahoma"/>
        </w:rPr>
        <w:t xml:space="preserve">Con fecha </w:t>
      </w:r>
      <w:r w:rsidR="0067010C" w:rsidRPr="00E96B60">
        <w:rPr>
          <w:rFonts w:cs="Tahoma"/>
        </w:rPr>
        <w:t>die</w:t>
      </w:r>
      <w:r w:rsidR="00E525EF" w:rsidRPr="00E96B60">
        <w:rPr>
          <w:rFonts w:cs="Tahoma"/>
        </w:rPr>
        <w:t>z</w:t>
      </w:r>
      <w:r w:rsidR="0067010C" w:rsidRPr="00E96B60">
        <w:rPr>
          <w:rFonts w:cs="Tahoma"/>
        </w:rPr>
        <w:t xml:space="preserve"> de octubre</w:t>
      </w:r>
      <w:r w:rsidR="00D87627" w:rsidRPr="00E96B60">
        <w:rPr>
          <w:rFonts w:cs="Tahoma"/>
        </w:rPr>
        <w:t xml:space="preserve"> </w:t>
      </w:r>
      <w:r w:rsidR="00880118" w:rsidRPr="00E96B60">
        <w:rPr>
          <w:rFonts w:cs="Tahoma"/>
        </w:rPr>
        <w:t>de dos mil veinticuatro</w:t>
      </w:r>
      <w:r w:rsidR="00A6280E" w:rsidRPr="00E96B60">
        <w:rPr>
          <w:rFonts w:cs="Tahoma"/>
        </w:rPr>
        <w:t>,</w:t>
      </w:r>
      <w:r w:rsidRPr="00E96B60">
        <w:rPr>
          <w:rFonts w:cs="Tahoma"/>
        </w:rPr>
        <w:t xml:space="preserve"> se recibieron en este Instituto, a través del Sistema de Acceso a la Información Mexiquense (SAIMEX), </w:t>
      </w:r>
      <w:r w:rsidR="0067010C" w:rsidRPr="00E96B60">
        <w:rPr>
          <w:rFonts w:cs="Tahoma"/>
        </w:rPr>
        <w:t>cuatro</w:t>
      </w:r>
      <w:r w:rsidRPr="00E96B60">
        <w:rPr>
          <w:rFonts w:cs="Tahoma"/>
        </w:rPr>
        <w:t xml:space="preserve"> Recursos de Revisión interpuestos por el Particular, </w:t>
      </w:r>
      <w:r w:rsidR="00DD3E5D" w:rsidRPr="00E96B60">
        <w:rPr>
          <w:rFonts w:cs="Tahoma"/>
        </w:rPr>
        <w:t>ante el</w:t>
      </w:r>
      <w:r w:rsidRPr="00E96B60">
        <w:rPr>
          <w:rFonts w:cs="Tahoma"/>
        </w:rPr>
        <w:t xml:space="preserve"> Sujeto Obligad</w:t>
      </w:r>
      <w:r w:rsidR="00892C8C" w:rsidRPr="00E96B60">
        <w:rPr>
          <w:rFonts w:cs="Tahoma"/>
        </w:rPr>
        <w:t>o</w:t>
      </w:r>
      <w:r w:rsidR="00DD3E5D" w:rsidRPr="00E96B60">
        <w:rPr>
          <w:rFonts w:cs="Tahoma"/>
        </w:rPr>
        <w:t xml:space="preserve"> </w:t>
      </w:r>
      <w:r w:rsidR="0067010C" w:rsidRPr="00E96B60">
        <w:rPr>
          <w:rFonts w:cs="Tahoma"/>
        </w:rPr>
        <w:t xml:space="preserve">en </w:t>
      </w:r>
      <w:r w:rsidR="00E525EF" w:rsidRPr="00E96B60">
        <w:rPr>
          <w:rFonts w:cs="Tahoma"/>
        </w:rPr>
        <w:t xml:space="preserve">similares </w:t>
      </w:r>
      <w:r w:rsidR="0067010C" w:rsidRPr="00E96B60">
        <w:rPr>
          <w:rFonts w:cs="Tahoma"/>
        </w:rPr>
        <w:t>términos</w:t>
      </w:r>
      <w:r w:rsidR="00E525EF" w:rsidRPr="00E96B60">
        <w:rPr>
          <w:rFonts w:cs="Tahoma"/>
        </w:rPr>
        <w:t>,</w:t>
      </w:r>
      <w:r w:rsidR="0067010C" w:rsidRPr="00E96B60">
        <w:rPr>
          <w:rFonts w:cs="Tahoma"/>
        </w:rPr>
        <w:t xml:space="preserve"> en los que señaló </w:t>
      </w:r>
      <w:r w:rsidRPr="00E96B60">
        <w:rPr>
          <w:rFonts w:cs="Tahoma"/>
        </w:rPr>
        <w:t>lo siguiente:</w:t>
      </w:r>
    </w:p>
    <w:p w14:paraId="2291AF9B" w14:textId="77777777" w:rsidR="00C76FCF" w:rsidRPr="00E96B60" w:rsidRDefault="00C76FCF" w:rsidP="00562759">
      <w:pPr>
        <w:autoSpaceDE w:val="0"/>
        <w:autoSpaceDN w:val="0"/>
        <w:adjustRightInd w:val="0"/>
        <w:spacing w:after="0" w:line="360" w:lineRule="auto"/>
        <w:rPr>
          <w:rFonts w:cs="Tahoma"/>
        </w:rPr>
      </w:pPr>
    </w:p>
    <w:p w14:paraId="281B12AC" w14:textId="2CE7ADBA" w:rsidR="00D95958" w:rsidRPr="00E96B60" w:rsidRDefault="00D95958" w:rsidP="00562759">
      <w:pPr>
        <w:spacing w:after="0" w:line="360" w:lineRule="auto"/>
        <w:ind w:left="567" w:right="567"/>
        <w:contextualSpacing/>
        <w:rPr>
          <w:rFonts w:cs="Tahoma"/>
          <w:b/>
          <w:bCs/>
          <w:i/>
          <w:sz w:val="20"/>
          <w:szCs w:val="20"/>
        </w:rPr>
      </w:pPr>
      <w:r w:rsidRPr="00E96B60">
        <w:rPr>
          <w:rFonts w:cs="Tahoma"/>
          <w:b/>
          <w:bCs/>
          <w:i/>
          <w:sz w:val="20"/>
          <w:szCs w:val="20"/>
        </w:rPr>
        <w:t>“ACTO IMPUGNADO</w:t>
      </w:r>
    </w:p>
    <w:p w14:paraId="31A81E1C" w14:textId="64B6D77A" w:rsidR="00D95958" w:rsidRPr="00E96B60" w:rsidRDefault="00E525EF" w:rsidP="00562759">
      <w:pPr>
        <w:tabs>
          <w:tab w:val="left" w:pos="4667"/>
        </w:tabs>
        <w:spacing w:after="0" w:line="360" w:lineRule="auto"/>
        <w:ind w:left="567" w:right="567"/>
        <w:rPr>
          <w:rFonts w:cs="Tahoma"/>
          <w:bCs/>
          <w:i/>
          <w:sz w:val="20"/>
          <w:szCs w:val="20"/>
        </w:rPr>
      </w:pPr>
      <w:r w:rsidRPr="00E96B60">
        <w:rPr>
          <w:rFonts w:cs="Tahoma"/>
          <w:bCs/>
          <w:i/>
          <w:sz w:val="20"/>
          <w:szCs w:val="20"/>
        </w:rPr>
        <w:t>la declaración de reserva de información en virtud que si bien mediante la entrega pudieran contener datos personales, por lo que, resulta oportuno observar lo dispuesto en los artículos 3, fracciones IX, XX, XXI y XLV; 4, 51, 91, 137 y 143 de la Ley de Transparencia y Acceso a la Información Pública del Estado de México y Municipios publicada el día cuatro de mayo de dos mil dieciséis, en el periódico oficial del Gobierno del Estado de México "Gaceta del Gobierno", de los cuales se desprende que el derecho de acceso a la información pública tiene como limitante el respeto a la intimidad y a la vida privada de las personas, por lo que la entrega de la información, en caso de contener datos personales, deberá ser en versión pública en la que se suprima aquella información relacionada con la vida privada de los particulares y de los servidores públicos.</w:t>
      </w:r>
      <w:r w:rsidR="00D95958" w:rsidRPr="00E96B60">
        <w:rPr>
          <w:rFonts w:cs="Tahoma"/>
          <w:bCs/>
          <w:i/>
          <w:sz w:val="20"/>
          <w:szCs w:val="20"/>
        </w:rPr>
        <w:t>” (Sic.)</w:t>
      </w:r>
    </w:p>
    <w:p w14:paraId="78DA7F4C" w14:textId="77777777" w:rsidR="00C76FCF" w:rsidRPr="00E96B60" w:rsidRDefault="00C76FCF" w:rsidP="00562759">
      <w:pPr>
        <w:tabs>
          <w:tab w:val="left" w:pos="4667"/>
        </w:tabs>
        <w:spacing w:after="0" w:line="360" w:lineRule="auto"/>
        <w:ind w:left="567" w:right="567"/>
        <w:rPr>
          <w:rFonts w:cs="Tahoma"/>
          <w:bCs/>
          <w:i/>
          <w:sz w:val="20"/>
          <w:szCs w:val="20"/>
        </w:rPr>
      </w:pPr>
    </w:p>
    <w:p w14:paraId="7634A2DC" w14:textId="47BDB27E" w:rsidR="00D95958" w:rsidRPr="00E96B60" w:rsidRDefault="00D95958" w:rsidP="00E525EF">
      <w:pPr>
        <w:tabs>
          <w:tab w:val="left" w:pos="4667"/>
        </w:tabs>
        <w:spacing w:after="0" w:line="360" w:lineRule="auto"/>
        <w:ind w:left="567" w:right="567"/>
        <w:rPr>
          <w:rFonts w:cs="Tahoma"/>
          <w:b/>
          <w:bCs/>
          <w:i/>
          <w:sz w:val="20"/>
          <w:szCs w:val="20"/>
        </w:rPr>
      </w:pPr>
      <w:r w:rsidRPr="00E96B60">
        <w:rPr>
          <w:rFonts w:cs="Tahoma"/>
          <w:b/>
          <w:bCs/>
          <w:i/>
          <w:sz w:val="20"/>
          <w:szCs w:val="20"/>
        </w:rPr>
        <w:t>“RAZONES O MOTIVOS DE LA INCONFORMIDAD</w:t>
      </w:r>
    </w:p>
    <w:p w14:paraId="675F1866" w14:textId="47EF1DFC" w:rsidR="00E134D7" w:rsidRPr="00E96B60" w:rsidRDefault="00E525EF" w:rsidP="00562759">
      <w:pPr>
        <w:tabs>
          <w:tab w:val="left" w:pos="4667"/>
        </w:tabs>
        <w:spacing w:after="0" w:line="360" w:lineRule="auto"/>
        <w:ind w:left="567" w:right="567"/>
        <w:rPr>
          <w:rFonts w:cs="Tahoma"/>
          <w:i/>
          <w:sz w:val="20"/>
          <w:szCs w:val="20"/>
        </w:rPr>
      </w:pPr>
      <w:r w:rsidRPr="00E96B60">
        <w:rPr>
          <w:rFonts w:cs="Tahoma"/>
          <w:i/>
          <w:sz w:val="20"/>
          <w:szCs w:val="20"/>
        </w:rPr>
        <w:lastRenderedPageBreak/>
        <w:t>la declaración de reserva de información en virtud que si bien mediante la entrega pudieran contener datos personales, por lo que, resulta oportuno observar lo dispuesto en los artículos 3, fracciones IX, XX, XXI y XLV; 4, 51, 91, 137 y 143 de la Ley de Transparencia y Acceso a la Información Pública del Estado de México y Municipios publicada el día cuatro de mayo de dos mil dieciséis, en el periódico oficial del Gobierno del Estado de México "Gaceta del Gobierno", de los cuales se desprende que el derecho de acceso a la información pública tiene como limitante el respeto a la intimidad y a la vida privada de las personas, por lo que la entrega de la información, en caso de contener datos personales, deberá ser en versión pública en la que se suprima aquella información relacionada con la vida privada de los particulares y de los servidores públicos.</w:t>
      </w:r>
      <w:r w:rsidR="00D95958" w:rsidRPr="00E96B60">
        <w:rPr>
          <w:rFonts w:cs="Tahoma"/>
          <w:i/>
          <w:sz w:val="20"/>
          <w:szCs w:val="20"/>
        </w:rPr>
        <w:t>” (Sic.)</w:t>
      </w:r>
    </w:p>
    <w:p w14:paraId="4A898379" w14:textId="77777777" w:rsidR="00131C88" w:rsidRPr="00E96B60" w:rsidRDefault="00131C88" w:rsidP="00562759">
      <w:pPr>
        <w:spacing w:after="0" w:line="360" w:lineRule="auto"/>
        <w:rPr>
          <w:rFonts w:eastAsiaTheme="minorHAnsi" w:cstheme="minorBidi"/>
          <w:b/>
          <w:bCs/>
        </w:rPr>
      </w:pPr>
    </w:p>
    <w:p w14:paraId="2FFD3A79" w14:textId="6E8D9942" w:rsidR="00F469B3" w:rsidRPr="00E96B60" w:rsidRDefault="00F469B3" w:rsidP="00562759">
      <w:pPr>
        <w:spacing w:after="0" w:line="360" w:lineRule="auto"/>
        <w:rPr>
          <w:rFonts w:eastAsiaTheme="minorHAnsi" w:cstheme="minorBidi"/>
          <w:b/>
          <w:bCs/>
        </w:rPr>
      </w:pPr>
      <w:r w:rsidRPr="00E96B60">
        <w:rPr>
          <w:rFonts w:eastAsiaTheme="minorHAnsi" w:cstheme="minorBidi"/>
          <w:b/>
          <w:bCs/>
        </w:rPr>
        <w:t>IV. Trámite del Recurs</w:t>
      </w:r>
      <w:r w:rsidR="00E96B60" w:rsidRPr="00E96B60">
        <w:rPr>
          <w:rFonts w:eastAsiaTheme="minorHAnsi" w:cstheme="minorBidi"/>
          <w:b/>
          <w:bCs/>
        </w:rPr>
        <w:t>o de Revisión ante el Instituto</w:t>
      </w:r>
    </w:p>
    <w:p w14:paraId="20B8FED1" w14:textId="77777777" w:rsidR="00F469B3" w:rsidRPr="00E96B60" w:rsidRDefault="00F469B3" w:rsidP="00562759">
      <w:pPr>
        <w:spacing w:after="0" w:line="360" w:lineRule="auto"/>
        <w:rPr>
          <w:rFonts w:eastAsiaTheme="minorHAnsi" w:cstheme="minorBidi"/>
        </w:rPr>
      </w:pPr>
    </w:p>
    <w:p w14:paraId="74144DA6" w14:textId="18541ED5" w:rsidR="00F469B3" w:rsidRPr="00E96B60" w:rsidRDefault="00F469B3" w:rsidP="00562759">
      <w:pPr>
        <w:spacing w:after="0" w:line="360" w:lineRule="auto"/>
        <w:rPr>
          <w:rFonts w:eastAsia="Batang" w:cs="Tahoma"/>
          <w:b/>
          <w:bCs/>
        </w:rPr>
      </w:pPr>
      <w:r w:rsidRPr="00E96B60">
        <w:rPr>
          <w:rFonts w:eastAsiaTheme="minorHAnsi" w:cstheme="minorBidi"/>
          <w:b/>
          <w:bCs/>
        </w:rPr>
        <w:t xml:space="preserve">a) Turno del </w:t>
      </w:r>
      <w:r w:rsidR="00CB35C5" w:rsidRPr="00E96B60">
        <w:rPr>
          <w:rFonts w:eastAsiaTheme="minorHAnsi" w:cstheme="minorBidi"/>
          <w:b/>
          <w:bCs/>
        </w:rPr>
        <w:t>Medio de Impugnación</w:t>
      </w:r>
      <w:r w:rsidRPr="00E96B60">
        <w:rPr>
          <w:rFonts w:eastAsiaTheme="minorHAnsi" w:cstheme="minorBidi"/>
          <w:b/>
          <w:bCs/>
        </w:rPr>
        <w:t xml:space="preserve">. </w:t>
      </w:r>
      <w:r w:rsidRPr="00E96B60">
        <w:rPr>
          <w:rFonts w:eastAsiaTheme="minorHAnsi" w:cstheme="minorBidi"/>
        </w:rPr>
        <w:t xml:space="preserve">El </w:t>
      </w:r>
      <w:r w:rsidR="00DA3779" w:rsidRPr="00E96B60">
        <w:rPr>
          <w:rFonts w:cs="Tahoma"/>
          <w:bCs/>
          <w:iCs/>
        </w:rPr>
        <w:t>die</w:t>
      </w:r>
      <w:r w:rsidR="00E525EF" w:rsidRPr="00E96B60">
        <w:rPr>
          <w:rFonts w:cs="Tahoma"/>
          <w:bCs/>
          <w:iCs/>
        </w:rPr>
        <w:t>z</w:t>
      </w:r>
      <w:r w:rsidR="00DA3779" w:rsidRPr="00E96B60">
        <w:rPr>
          <w:rFonts w:cs="Tahoma"/>
          <w:bCs/>
          <w:iCs/>
        </w:rPr>
        <w:t xml:space="preserve"> de octubre </w:t>
      </w:r>
      <w:r w:rsidR="002B4561" w:rsidRPr="00E96B60">
        <w:rPr>
          <w:rFonts w:cs="Tahoma"/>
          <w:bCs/>
          <w:iCs/>
        </w:rPr>
        <w:t>de dos mil veinticuatro</w:t>
      </w:r>
      <w:r w:rsidR="00AC7E85" w:rsidRPr="00E96B60">
        <w:rPr>
          <w:rFonts w:cs="Tahoma"/>
          <w:bCs/>
          <w:iCs/>
        </w:rPr>
        <w:t xml:space="preserve"> </w:t>
      </w:r>
      <w:r w:rsidRPr="00E96B60">
        <w:rPr>
          <w:rFonts w:eastAsia="Batang" w:cs="Tahoma"/>
          <w:bCs/>
        </w:rPr>
        <w:t xml:space="preserve">, el </w:t>
      </w:r>
      <w:r w:rsidRPr="00E96B60">
        <w:rPr>
          <w:rFonts w:cs="Tahoma"/>
        </w:rPr>
        <w:t>Sistema de Acceso a la Información Mexiquense (SAIMEX),</w:t>
      </w:r>
      <w:r w:rsidRPr="00E96B60">
        <w:rPr>
          <w:rFonts w:eastAsia="Batang" w:cs="Tahoma"/>
          <w:bCs/>
        </w:rPr>
        <w:t xml:space="preserve"> asignó </w:t>
      </w:r>
      <w:r w:rsidR="00CB35C5" w:rsidRPr="00E96B60">
        <w:rPr>
          <w:rFonts w:eastAsia="Batang" w:cs="Tahoma"/>
          <w:bCs/>
        </w:rPr>
        <w:t>los</w:t>
      </w:r>
      <w:r w:rsidRPr="00E96B60">
        <w:rPr>
          <w:rFonts w:eastAsia="Batang" w:cs="Tahoma"/>
          <w:bCs/>
        </w:rPr>
        <w:t xml:space="preserve"> número de expediente</w:t>
      </w:r>
      <w:r w:rsidR="00CB35C5" w:rsidRPr="00E96B60">
        <w:rPr>
          <w:rFonts w:eastAsia="Batang" w:cs="Tahoma"/>
          <w:bCs/>
        </w:rPr>
        <w:t>s</w:t>
      </w:r>
      <w:r w:rsidRPr="00E96B60">
        <w:rPr>
          <w:rFonts w:eastAsia="Batang" w:cs="Tahoma"/>
          <w:bCs/>
        </w:rPr>
        <w:t xml:space="preserve"> </w:t>
      </w:r>
      <w:r w:rsidR="00E525EF" w:rsidRPr="00E96B60">
        <w:rPr>
          <w:rFonts w:eastAsia="Batang" w:cs="Tahoma"/>
          <w:b/>
          <w:bCs/>
        </w:rPr>
        <w:t>06156</w:t>
      </w:r>
      <w:r w:rsidR="00DA3779" w:rsidRPr="00E96B60">
        <w:rPr>
          <w:rFonts w:eastAsia="Batang" w:cs="Tahoma"/>
          <w:b/>
          <w:bCs/>
        </w:rPr>
        <w:t>/INFOEM/IP/RR/2024</w:t>
      </w:r>
      <w:r w:rsidR="00492E43" w:rsidRPr="00E96B60">
        <w:rPr>
          <w:rFonts w:eastAsia="Batang" w:cs="Tahoma"/>
          <w:b/>
          <w:bCs/>
        </w:rPr>
        <w:t xml:space="preserve">, </w:t>
      </w:r>
      <w:r w:rsidR="00E525EF" w:rsidRPr="00E96B60">
        <w:rPr>
          <w:rFonts w:eastAsia="Batang" w:cs="Tahoma"/>
          <w:b/>
          <w:bCs/>
        </w:rPr>
        <w:t>06157</w:t>
      </w:r>
      <w:r w:rsidR="00DA3779" w:rsidRPr="00E96B60">
        <w:rPr>
          <w:rFonts w:eastAsia="Batang" w:cs="Tahoma"/>
          <w:b/>
          <w:bCs/>
        </w:rPr>
        <w:t>/INFOEM/IP/RR/2024</w:t>
      </w:r>
      <w:r w:rsidR="00492E43" w:rsidRPr="00E96B60">
        <w:rPr>
          <w:rFonts w:eastAsia="Batang" w:cs="Tahoma"/>
          <w:b/>
          <w:bCs/>
        </w:rPr>
        <w:t xml:space="preserve">, </w:t>
      </w:r>
      <w:r w:rsidR="00DA3779" w:rsidRPr="00E96B60">
        <w:rPr>
          <w:rFonts w:eastAsia="Batang" w:cs="Tahoma"/>
          <w:b/>
          <w:bCs/>
        </w:rPr>
        <w:tab/>
      </w:r>
      <w:r w:rsidR="00E525EF" w:rsidRPr="00E96B60">
        <w:rPr>
          <w:rFonts w:eastAsia="Batang" w:cs="Tahoma"/>
          <w:b/>
          <w:bCs/>
        </w:rPr>
        <w:t>06177</w:t>
      </w:r>
      <w:r w:rsidR="00DA3779" w:rsidRPr="00E96B60">
        <w:rPr>
          <w:rFonts w:eastAsia="Batang" w:cs="Tahoma"/>
          <w:b/>
          <w:bCs/>
        </w:rPr>
        <w:t xml:space="preserve">/INFOEM/IP/RR/2024 </w:t>
      </w:r>
      <w:r w:rsidR="00492E43" w:rsidRPr="00E96B60">
        <w:rPr>
          <w:rFonts w:eastAsia="Batang" w:cs="Tahoma"/>
          <w:b/>
          <w:bCs/>
        </w:rPr>
        <w:t xml:space="preserve">y </w:t>
      </w:r>
      <w:r w:rsidR="00E525EF" w:rsidRPr="00E96B60">
        <w:rPr>
          <w:rFonts w:eastAsia="Batang" w:cs="Tahoma"/>
          <w:b/>
          <w:bCs/>
        </w:rPr>
        <w:t>06204</w:t>
      </w:r>
      <w:r w:rsidR="00DA3779" w:rsidRPr="00E96B60">
        <w:rPr>
          <w:rFonts w:eastAsia="Batang" w:cs="Tahoma"/>
          <w:b/>
          <w:bCs/>
        </w:rPr>
        <w:t>/INFOEM/IP/RR/2024</w:t>
      </w:r>
      <w:r w:rsidR="005B7263" w:rsidRPr="00E96B60">
        <w:rPr>
          <w:rFonts w:eastAsia="Batang" w:cs="Tahoma"/>
          <w:b/>
          <w:bCs/>
        </w:rPr>
        <w:t xml:space="preserve">, </w:t>
      </w:r>
      <w:r w:rsidRPr="00E96B60">
        <w:rPr>
          <w:rFonts w:eastAsia="Batang" w:cs="Tahoma"/>
          <w:bCs/>
        </w:rPr>
        <w:t>a</w:t>
      </w:r>
      <w:r w:rsidR="00DD3E5D" w:rsidRPr="00E96B60">
        <w:rPr>
          <w:rFonts w:eastAsia="Batang" w:cs="Tahoma"/>
          <w:bCs/>
        </w:rPr>
        <w:t xml:space="preserve"> </w:t>
      </w:r>
      <w:r w:rsidRPr="00E96B60">
        <w:rPr>
          <w:rFonts w:eastAsia="Batang" w:cs="Tahoma"/>
          <w:bCs/>
        </w:rPr>
        <w:t>l</w:t>
      </w:r>
      <w:r w:rsidR="00DD3E5D" w:rsidRPr="00E96B60">
        <w:rPr>
          <w:rFonts w:eastAsia="Batang" w:cs="Tahoma"/>
          <w:bCs/>
        </w:rPr>
        <w:t>os</w:t>
      </w:r>
      <w:r w:rsidRPr="00E96B60">
        <w:rPr>
          <w:rFonts w:eastAsia="Batang" w:cs="Tahoma"/>
          <w:bCs/>
        </w:rPr>
        <w:t xml:space="preserve"> medio</w:t>
      </w:r>
      <w:r w:rsidR="00DD3E5D" w:rsidRPr="00E96B60">
        <w:rPr>
          <w:rFonts w:eastAsia="Batang" w:cs="Tahoma"/>
          <w:bCs/>
        </w:rPr>
        <w:t>s</w:t>
      </w:r>
      <w:r w:rsidRPr="00E96B60">
        <w:rPr>
          <w:rFonts w:eastAsia="Batang" w:cs="Tahoma"/>
          <w:bCs/>
        </w:rPr>
        <w:t xml:space="preserve"> de impugnación que nos ocupa</w:t>
      </w:r>
      <w:r w:rsidR="00DD3E5D" w:rsidRPr="00E96B60">
        <w:rPr>
          <w:rFonts w:eastAsia="Batang" w:cs="Tahoma"/>
          <w:bCs/>
        </w:rPr>
        <w:t>n</w:t>
      </w:r>
      <w:r w:rsidRPr="00E96B60">
        <w:rPr>
          <w:rFonts w:eastAsia="Batang" w:cs="Tahoma"/>
          <w:bCs/>
        </w:rPr>
        <w:t>, con base en el sistema aprobado por el Pleno de este Órgano Garante y lo</w:t>
      </w:r>
      <w:r w:rsidR="00CB35C5" w:rsidRPr="00E96B60">
        <w:rPr>
          <w:rFonts w:eastAsia="Batang" w:cs="Tahoma"/>
          <w:bCs/>
        </w:rPr>
        <w:t>s</w:t>
      </w:r>
      <w:r w:rsidRPr="00E96B60">
        <w:rPr>
          <w:rFonts w:eastAsia="Batang" w:cs="Tahoma"/>
          <w:bCs/>
        </w:rPr>
        <w:t xml:space="preserve"> turnó al Comisionado Ponente Luis Gustavo Parra Noriega, para los efectos del artículo 185, fracción I de la Ley de Transparencia y Acceso a la Información Pública del Estado de México y Municipios.</w:t>
      </w:r>
    </w:p>
    <w:p w14:paraId="46389D2F" w14:textId="6E2F841A" w:rsidR="00492E43" w:rsidRPr="00E96B60" w:rsidRDefault="00492E43" w:rsidP="00562759">
      <w:pPr>
        <w:spacing w:after="0" w:line="360" w:lineRule="auto"/>
        <w:contextualSpacing/>
        <w:rPr>
          <w:rFonts w:eastAsia="Batang" w:cs="Tahoma"/>
          <w:bCs/>
          <w:color w:val="000000"/>
        </w:rPr>
      </w:pPr>
    </w:p>
    <w:p w14:paraId="26883477" w14:textId="252DAECC" w:rsidR="00F469B3" w:rsidRPr="00E96B60" w:rsidRDefault="00E525EF" w:rsidP="00562759">
      <w:pPr>
        <w:spacing w:after="0" w:line="360" w:lineRule="auto"/>
        <w:rPr>
          <w:rFonts w:eastAsia="Batang" w:cs="Tahoma"/>
          <w:bCs/>
        </w:rPr>
      </w:pPr>
      <w:r w:rsidRPr="00E96B60">
        <w:rPr>
          <w:rFonts w:eastAsia="Batang" w:cs="Tahoma"/>
          <w:b/>
          <w:bCs/>
        </w:rPr>
        <w:t>b</w:t>
      </w:r>
      <w:r w:rsidR="00F469B3" w:rsidRPr="00E96B60">
        <w:rPr>
          <w:rFonts w:eastAsia="Batang" w:cs="Tahoma"/>
          <w:b/>
          <w:bCs/>
        </w:rPr>
        <w:t>) Admisión de</w:t>
      </w:r>
      <w:r w:rsidR="00CB35C5" w:rsidRPr="00E96B60">
        <w:rPr>
          <w:rFonts w:eastAsia="Batang" w:cs="Tahoma"/>
          <w:b/>
          <w:bCs/>
        </w:rPr>
        <w:t xml:space="preserve"> </w:t>
      </w:r>
      <w:r w:rsidR="00F469B3" w:rsidRPr="00E96B60">
        <w:rPr>
          <w:rFonts w:eastAsia="Batang" w:cs="Tahoma"/>
          <w:b/>
          <w:bCs/>
        </w:rPr>
        <w:t>l</w:t>
      </w:r>
      <w:r w:rsidR="00CB35C5" w:rsidRPr="00E96B60">
        <w:rPr>
          <w:rFonts w:eastAsia="Batang" w:cs="Tahoma"/>
          <w:b/>
          <w:bCs/>
        </w:rPr>
        <w:t>os</w:t>
      </w:r>
      <w:r w:rsidR="00F469B3" w:rsidRPr="00E96B60">
        <w:rPr>
          <w:rFonts w:eastAsia="Batang" w:cs="Tahoma"/>
          <w:b/>
          <w:bCs/>
        </w:rPr>
        <w:t xml:space="preserve"> </w:t>
      </w:r>
      <w:r w:rsidR="00F469B3" w:rsidRPr="00E96B60">
        <w:rPr>
          <w:rFonts w:cs="Tahoma"/>
          <w:b/>
        </w:rPr>
        <w:t>Recurso</w:t>
      </w:r>
      <w:r w:rsidR="00CB35C5" w:rsidRPr="00E96B60">
        <w:rPr>
          <w:rFonts w:cs="Tahoma"/>
          <w:b/>
        </w:rPr>
        <w:t>s</w:t>
      </w:r>
      <w:r w:rsidR="00F469B3" w:rsidRPr="00E96B60">
        <w:rPr>
          <w:rFonts w:cs="Tahoma"/>
          <w:b/>
        </w:rPr>
        <w:t xml:space="preserve"> de Revisión</w:t>
      </w:r>
      <w:r w:rsidR="00F469B3" w:rsidRPr="00E96B60">
        <w:rPr>
          <w:rFonts w:eastAsia="Batang" w:cs="Tahoma"/>
          <w:b/>
          <w:bCs/>
        </w:rPr>
        <w:t xml:space="preserve">. </w:t>
      </w:r>
      <w:r w:rsidR="00F469B3" w:rsidRPr="00E96B60">
        <w:rPr>
          <w:rFonts w:eastAsia="Batang" w:cs="Tahoma"/>
          <w:bCs/>
        </w:rPr>
        <w:t>El</w:t>
      </w:r>
      <w:r w:rsidR="00517189" w:rsidRPr="00E96B60">
        <w:rPr>
          <w:rFonts w:eastAsia="Batang" w:cs="Tahoma"/>
          <w:bCs/>
        </w:rPr>
        <w:t xml:space="preserve"> </w:t>
      </w:r>
      <w:r w:rsidR="002D4A59" w:rsidRPr="00E96B60">
        <w:rPr>
          <w:rFonts w:eastAsia="Batang" w:cs="Tahoma"/>
          <w:bCs/>
        </w:rPr>
        <w:t xml:space="preserve">catorce y quince </w:t>
      </w:r>
      <w:r w:rsidR="00A8787B" w:rsidRPr="00E96B60">
        <w:rPr>
          <w:rFonts w:eastAsia="Batang" w:cs="Tahoma"/>
          <w:bCs/>
        </w:rPr>
        <w:t>de octubre</w:t>
      </w:r>
      <w:r w:rsidR="0066415D" w:rsidRPr="00E96B60">
        <w:rPr>
          <w:rFonts w:eastAsia="Batang" w:cs="Tahoma"/>
          <w:bCs/>
        </w:rPr>
        <w:t xml:space="preserve"> </w:t>
      </w:r>
      <w:r w:rsidR="00517189" w:rsidRPr="00E96B60">
        <w:rPr>
          <w:rFonts w:eastAsia="Batang" w:cs="Tahoma"/>
          <w:bCs/>
        </w:rPr>
        <w:t>de dos mil veinticuatro</w:t>
      </w:r>
      <w:r w:rsidR="00F469B3" w:rsidRPr="00E96B60">
        <w:rPr>
          <w:rFonts w:eastAsia="Batang" w:cs="Tahoma"/>
          <w:bCs/>
        </w:rPr>
        <w:t xml:space="preserve">, </w:t>
      </w:r>
      <w:r w:rsidR="002D4A59" w:rsidRPr="00E96B60">
        <w:rPr>
          <w:rFonts w:eastAsia="Batang" w:cs="Tahoma"/>
          <w:bCs/>
        </w:rPr>
        <w:t xml:space="preserve">respectivamente, </w:t>
      </w:r>
      <w:r w:rsidR="00F469B3" w:rsidRPr="00E96B60">
        <w:rPr>
          <w:rFonts w:eastAsia="Batang" w:cs="Tahoma"/>
          <w:bCs/>
        </w:rPr>
        <w:t>se acordó la admisión de</w:t>
      </w:r>
      <w:r w:rsidR="00ED2844" w:rsidRPr="00E96B60">
        <w:rPr>
          <w:rFonts w:eastAsia="Batang" w:cs="Tahoma"/>
          <w:bCs/>
        </w:rPr>
        <w:t xml:space="preserve"> </w:t>
      </w:r>
      <w:r w:rsidR="00F469B3" w:rsidRPr="00E96B60">
        <w:rPr>
          <w:rFonts w:eastAsia="Batang" w:cs="Tahoma"/>
          <w:bCs/>
        </w:rPr>
        <w:t>l</w:t>
      </w:r>
      <w:r w:rsidR="00ED2844" w:rsidRPr="00E96B60">
        <w:rPr>
          <w:rFonts w:eastAsia="Batang" w:cs="Tahoma"/>
          <w:bCs/>
        </w:rPr>
        <w:t>os</w:t>
      </w:r>
      <w:r w:rsidR="00F469B3" w:rsidRPr="00E96B60">
        <w:rPr>
          <w:rFonts w:eastAsia="Batang" w:cs="Tahoma"/>
          <w:bCs/>
        </w:rPr>
        <w:t xml:space="preserve"> Recurso</w:t>
      </w:r>
      <w:r w:rsidR="00ED2844" w:rsidRPr="00E96B60">
        <w:rPr>
          <w:rFonts w:eastAsia="Batang" w:cs="Tahoma"/>
          <w:bCs/>
        </w:rPr>
        <w:t>s</w:t>
      </w:r>
      <w:r w:rsidR="00F469B3" w:rsidRPr="00E96B60">
        <w:rPr>
          <w:rFonts w:eastAsia="Batang" w:cs="Tahoma"/>
          <w:bCs/>
        </w:rPr>
        <w:t xml:space="preserve"> de Revisión interpuesto</w:t>
      </w:r>
      <w:r w:rsidR="00ED2844" w:rsidRPr="00E96B60">
        <w:rPr>
          <w:rFonts w:eastAsia="Batang" w:cs="Tahoma"/>
          <w:bCs/>
        </w:rPr>
        <w:t>s</w:t>
      </w:r>
      <w:r w:rsidR="00F469B3" w:rsidRPr="00E96B60">
        <w:rPr>
          <w:rFonts w:eastAsia="Batang" w:cs="Tahoma"/>
          <w:bCs/>
        </w:rPr>
        <w:t xml:space="preserve"> por el Recurrente en contra del Sujeto Obligado, en términos del artículo 185, fracciones I y II de la Ley de Transparencia y Acceso a la Información Pública del Estado de México y Municipios, el cual fue notificado a las partes</w:t>
      </w:r>
      <w:r w:rsidR="00FF0CC0" w:rsidRPr="00E96B60">
        <w:rPr>
          <w:rFonts w:eastAsia="Batang" w:cs="Tahoma"/>
          <w:bCs/>
        </w:rPr>
        <w:t xml:space="preserve"> </w:t>
      </w:r>
      <w:r w:rsidR="00517189" w:rsidRPr="00E96B60">
        <w:rPr>
          <w:rFonts w:eastAsia="Batang" w:cs="Tahoma"/>
          <w:bCs/>
        </w:rPr>
        <w:t xml:space="preserve">el </w:t>
      </w:r>
      <w:r w:rsidR="00343495" w:rsidRPr="00E96B60">
        <w:rPr>
          <w:rFonts w:eastAsia="Batang" w:cs="Tahoma"/>
          <w:bCs/>
        </w:rPr>
        <w:t>mismo día</w:t>
      </w:r>
      <w:r w:rsidR="00F469B3" w:rsidRPr="00E96B60">
        <w:rPr>
          <w:rFonts w:eastAsia="Batang" w:cs="Tahoma"/>
          <w:bCs/>
        </w:rPr>
        <w:t xml:space="preserve">, a través del Sistema de Acceso a la Información Mexiquense (SAIMEX), en el que se les otorgó un plazo de siete días hábiles </w:t>
      </w:r>
      <w:r w:rsidR="00F469B3" w:rsidRPr="00E96B60">
        <w:rPr>
          <w:rFonts w:eastAsia="Batang" w:cs="Tahoma"/>
          <w:bCs/>
        </w:rPr>
        <w:lastRenderedPageBreak/>
        <w:t>posteriores a la misma, para que manifestaran lo que a su derecho conviniera y formularan alegatos.</w:t>
      </w:r>
      <w:r w:rsidR="00343495" w:rsidRPr="00E96B60">
        <w:rPr>
          <w:rFonts w:eastAsia="Batang" w:cs="Tahoma"/>
          <w:bCs/>
        </w:rPr>
        <w:t xml:space="preserve"> </w:t>
      </w:r>
    </w:p>
    <w:p w14:paraId="58F199F8" w14:textId="77777777" w:rsidR="007D2E75" w:rsidRPr="00E96B60" w:rsidRDefault="007D2E75" w:rsidP="00562759">
      <w:pPr>
        <w:spacing w:after="0" w:line="360" w:lineRule="auto"/>
        <w:rPr>
          <w:rFonts w:eastAsia="Batang" w:cs="Tahoma"/>
          <w:bCs/>
        </w:rPr>
      </w:pPr>
    </w:p>
    <w:p w14:paraId="7BA18FD9" w14:textId="5C46D31A" w:rsidR="002D4A59" w:rsidRPr="00E96B60" w:rsidRDefault="002D4A59" w:rsidP="002D4A59">
      <w:pPr>
        <w:spacing w:line="360" w:lineRule="auto"/>
        <w:rPr>
          <w:rFonts w:cs="Tahoma"/>
          <w:szCs w:val="24"/>
        </w:rPr>
      </w:pPr>
      <w:r w:rsidRPr="00E96B60">
        <w:rPr>
          <w:rFonts w:eastAsia="Times New Roman" w:cs="Tahoma"/>
          <w:b/>
          <w:color w:val="000000"/>
          <w:lang w:eastAsia="es-ES"/>
        </w:rPr>
        <w:t>c</w:t>
      </w:r>
      <w:r w:rsidR="00343495" w:rsidRPr="00E96B60">
        <w:rPr>
          <w:rFonts w:eastAsia="Times New Roman" w:cs="Tahoma"/>
          <w:b/>
          <w:color w:val="000000"/>
          <w:lang w:eastAsia="es-ES"/>
        </w:rPr>
        <w:t xml:space="preserve">) </w:t>
      </w:r>
      <w:r w:rsidR="00343495" w:rsidRPr="00E96B60">
        <w:rPr>
          <w:rFonts w:cs="Tahoma"/>
          <w:b/>
          <w:color w:val="000000"/>
        </w:rPr>
        <w:t>Acumulación de los asuntos.</w:t>
      </w:r>
      <w:r w:rsidR="00343495" w:rsidRPr="00E96B60">
        <w:rPr>
          <w:rFonts w:cs="Tahoma"/>
          <w:color w:val="000000"/>
        </w:rPr>
        <w:t xml:space="preserve"> El </w:t>
      </w:r>
      <w:r w:rsidRPr="00E96B60">
        <w:rPr>
          <w:rFonts w:cs="Tahoma"/>
          <w:color w:val="000000"/>
        </w:rPr>
        <w:t>seis</w:t>
      </w:r>
      <w:r w:rsidR="00343495" w:rsidRPr="00E96B60">
        <w:rPr>
          <w:rFonts w:cs="Tahoma"/>
          <w:color w:val="000000"/>
        </w:rPr>
        <w:t xml:space="preserve"> de noviembre de dos mil veinticuatro,</w:t>
      </w:r>
      <w:r w:rsidRPr="00E96B60">
        <w:rPr>
          <w:rFonts w:cs="Tahoma"/>
          <w:color w:val="000000"/>
        </w:rPr>
        <w:t xml:space="preserve"> </w:t>
      </w:r>
      <w:r w:rsidRPr="00E96B60">
        <w:rPr>
          <w:rFonts w:cs="Tahoma"/>
          <w:szCs w:val="24"/>
        </w:rPr>
        <w:t xml:space="preserve">el Pleno del Instituto de Transparencia, Acceso a la Información Pública y Protección de Datos Personales del Estado de México y Municipios, durante la Trigésima Octava Sesión Ordinaria con el propósito de privilegiar la resolución expedita y evitar resoluciones contradictorias, con fundamento en el artículo 18 del Código de Procedimientos Administrativos del Estado de México, de aplicación supletoria a la Ley de Transparencia y Acceso a la Información Pública del Estado de México y Municipios, según lo previsto en su artículo 195, </w:t>
      </w:r>
      <w:r w:rsidRPr="00E96B60">
        <w:rPr>
          <w:rFonts w:cs="Tahoma"/>
          <w:b/>
          <w:szCs w:val="24"/>
        </w:rPr>
        <w:t>acordó</w:t>
      </w:r>
      <w:r w:rsidRPr="00E96B60">
        <w:rPr>
          <w:rFonts w:cs="Tahoma"/>
          <w:szCs w:val="24"/>
        </w:rPr>
        <w:t xml:space="preserve"> la acumulación de los Recursos de Revisión</w:t>
      </w:r>
      <w:r w:rsidRPr="00E96B60">
        <w:rPr>
          <w:rFonts w:cs="Tahoma"/>
        </w:rPr>
        <w:t xml:space="preserve"> </w:t>
      </w:r>
      <w:r w:rsidRPr="00E96B60">
        <w:rPr>
          <w:rFonts w:cs="Tahoma"/>
          <w:b/>
        </w:rPr>
        <w:t>06157/INFOEM/IP/RR/2024, 06177/INFOEM/IP/RR/2024 y 06204/INFOEM/IP/RR/2024</w:t>
      </w:r>
      <w:r w:rsidRPr="00E96B60">
        <w:rPr>
          <w:rFonts w:cs="Tahoma"/>
          <w:b/>
          <w:bCs/>
          <w:sz w:val="23"/>
          <w:szCs w:val="23"/>
        </w:rPr>
        <w:t xml:space="preserve">, </w:t>
      </w:r>
      <w:r w:rsidRPr="00E96B60">
        <w:rPr>
          <w:rFonts w:cs="Tahoma"/>
          <w:sz w:val="23"/>
          <w:szCs w:val="23"/>
        </w:rPr>
        <w:t>al diverso</w:t>
      </w:r>
      <w:r w:rsidRPr="00E96B60">
        <w:rPr>
          <w:rFonts w:cs="Tahoma"/>
          <w:b/>
          <w:bCs/>
          <w:sz w:val="23"/>
          <w:szCs w:val="23"/>
        </w:rPr>
        <w:t xml:space="preserve"> 06156/INFOEM/IP/RR/2024</w:t>
      </w:r>
      <w:r w:rsidRPr="00E96B60">
        <w:rPr>
          <w:rFonts w:cs="Tahoma"/>
          <w:b/>
          <w:bCs/>
          <w:color w:val="0D0D0D" w:themeColor="text1" w:themeTint="F2"/>
        </w:rPr>
        <w:t xml:space="preserve">, </w:t>
      </w:r>
      <w:r w:rsidRPr="00E96B60">
        <w:rPr>
          <w:rFonts w:cs="Tahoma"/>
        </w:rPr>
        <w:t>por ser este</w:t>
      </w:r>
      <w:r w:rsidRPr="00E96B60">
        <w:rPr>
          <w:rFonts w:cs="Tahoma"/>
          <w:szCs w:val="24"/>
        </w:rPr>
        <w:t xml:space="preserve"> último el más antiguo, sustanciado bajo el índice de esta Ponencia, al advertir conexidad entre estos, ya que fueron promovidos por la misma persona, en los que se señaló como Sujeto Obligado recurrido Unidad de Asuntos Internos y en los cuales, además, se manifestaron idénticos actos recurridos.</w:t>
      </w:r>
    </w:p>
    <w:p w14:paraId="53D6E27F" w14:textId="00187C62" w:rsidR="002D4A59" w:rsidRPr="00E96B60" w:rsidRDefault="002D4A59" w:rsidP="003248BD">
      <w:pPr>
        <w:spacing w:after="0" w:line="360" w:lineRule="auto"/>
        <w:contextualSpacing/>
        <w:rPr>
          <w:rFonts w:cs="Tahoma"/>
          <w:color w:val="000000"/>
        </w:rPr>
      </w:pPr>
    </w:p>
    <w:p w14:paraId="6AF9D21E" w14:textId="17E58FC8" w:rsidR="002D4A59" w:rsidRPr="00E96B60" w:rsidRDefault="002D4A59" w:rsidP="003248BD">
      <w:pPr>
        <w:spacing w:line="360" w:lineRule="auto"/>
        <w:contextualSpacing/>
        <w:rPr>
          <w:rFonts w:eastAsia="Batang" w:cs="Tahoma"/>
          <w:bCs/>
          <w:lang w:val="es-ES_tradnl"/>
        </w:rPr>
      </w:pPr>
      <w:r w:rsidRPr="00E96B60">
        <w:rPr>
          <w:rFonts w:cs="Tahoma"/>
          <w:b/>
          <w:color w:val="000000"/>
        </w:rPr>
        <w:t>d</w:t>
      </w:r>
      <w:r w:rsidR="00343495" w:rsidRPr="00E96B60">
        <w:rPr>
          <w:rFonts w:cs="Tahoma"/>
          <w:b/>
          <w:color w:val="000000"/>
        </w:rPr>
        <w:t xml:space="preserve">) </w:t>
      </w:r>
      <w:r w:rsidR="00343495" w:rsidRPr="00E96B60">
        <w:rPr>
          <w:rFonts w:cs="Tahoma"/>
          <w:b/>
          <w:bCs/>
          <w:iCs/>
          <w:color w:val="000000"/>
        </w:rPr>
        <w:t>Informe Justificado</w:t>
      </w:r>
      <w:r w:rsidRPr="00E96B60">
        <w:rPr>
          <w:rFonts w:eastAsia="Batang" w:cs="Tahoma"/>
          <w:b/>
          <w:bCs/>
          <w:lang w:val="es-ES_tradnl"/>
        </w:rPr>
        <w:t xml:space="preserve">. </w:t>
      </w:r>
      <w:r w:rsidRPr="00E96B60">
        <w:rPr>
          <w:rFonts w:eastAsia="Batang" w:cs="Tahoma"/>
          <w:bCs/>
          <w:lang w:val="es-ES_tradnl"/>
        </w:rPr>
        <w:t>El</w:t>
      </w:r>
      <w:r w:rsidR="00C43835" w:rsidRPr="00E96B60">
        <w:rPr>
          <w:rFonts w:eastAsia="Batang" w:cs="Tahoma"/>
          <w:bCs/>
          <w:lang w:val="es-ES_tradnl"/>
        </w:rPr>
        <w:t xml:space="preserve"> </w:t>
      </w:r>
      <w:r w:rsidR="003248BD" w:rsidRPr="00E96B60">
        <w:rPr>
          <w:rFonts w:eastAsia="Batang" w:cs="Tahoma"/>
          <w:bCs/>
          <w:lang w:val="es-ES_tradnl"/>
        </w:rPr>
        <w:t xml:space="preserve">veintitrés y </w:t>
      </w:r>
      <w:r w:rsidR="00C43835" w:rsidRPr="00E96B60">
        <w:rPr>
          <w:rFonts w:eastAsia="Batang" w:cs="Tahoma"/>
          <w:bCs/>
          <w:lang w:val="es-ES_tradnl"/>
        </w:rPr>
        <w:t>veinticuatro de octubre</w:t>
      </w:r>
      <w:r w:rsidR="003248BD" w:rsidRPr="00E96B60">
        <w:rPr>
          <w:rFonts w:eastAsia="Batang" w:cs="Tahoma"/>
          <w:bCs/>
          <w:lang w:val="es-ES_tradnl"/>
        </w:rPr>
        <w:t xml:space="preserve"> y el</w:t>
      </w:r>
      <w:r w:rsidRPr="00E96B60">
        <w:rPr>
          <w:rFonts w:eastAsia="Batang" w:cs="Tahoma"/>
          <w:bCs/>
          <w:lang w:val="es-ES_tradnl"/>
        </w:rPr>
        <w:t xml:space="preserve"> </w:t>
      </w:r>
      <w:r w:rsidRPr="00E96B60">
        <w:rPr>
          <w:rFonts w:cs="Tahoma"/>
        </w:rPr>
        <w:t>cinco de noviembre de dos mil veinticuatro</w:t>
      </w:r>
      <w:r w:rsidRPr="00E96B60">
        <w:rPr>
          <w:rFonts w:eastAsia="Batang" w:cs="Tahoma"/>
          <w:bCs/>
          <w:lang w:val="es-ES_tradnl"/>
        </w:rPr>
        <w:t xml:space="preserve">, </w:t>
      </w:r>
      <w:r w:rsidR="003248BD" w:rsidRPr="00E96B60">
        <w:rPr>
          <w:rFonts w:eastAsia="Batang" w:cs="Tahoma"/>
          <w:bCs/>
          <w:lang w:val="es-ES_tradnl"/>
        </w:rPr>
        <w:t xml:space="preserve">respectivamente, </w:t>
      </w:r>
      <w:r w:rsidRPr="00E96B60">
        <w:rPr>
          <w:rFonts w:eastAsia="Batang" w:cs="Tahoma"/>
          <w:bCs/>
          <w:lang w:val="es-ES_tradnl"/>
        </w:rPr>
        <w:t>a través del Sistema de Acceso a la Información Mexiquense (SAIMEX), se recibió en este Inst</w:t>
      </w:r>
      <w:r w:rsidR="00C43835" w:rsidRPr="00E96B60">
        <w:rPr>
          <w:rFonts w:eastAsia="Batang" w:cs="Tahoma"/>
          <w:bCs/>
          <w:lang w:val="es-ES_tradnl"/>
        </w:rPr>
        <w:t>it</w:t>
      </w:r>
      <w:r w:rsidRPr="00E96B60">
        <w:rPr>
          <w:rFonts w:eastAsia="Batang" w:cs="Tahoma"/>
          <w:bCs/>
          <w:lang w:val="es-ES_tradnl"/>
        </w:rPr>
        <w:t>uto l</w:t>
      </w:r>
      <w:r w:rsidR="00C43835" w:rsidRPr="00E96B60">
        <w:rPr>
          <w:rFonts w:eastAsia="Batang" w:cs="Tahoma"/>
          <w:bCs/>
          <w:lang w:val="es-ES_tradnl"/>
        </w:rPr>
        <w:t>os</w:t>
      </w:r>
      <w:r w:rsidRPr="00E96B60">
        <w:rPr>
          <w:rFonts w:eastAsia="Batang" w:cs="Tahoma"/>
          <w:bCs/>
          <w:lang w:val="es-ES_tradnl"/>
        </w:rPr>
        <w:t xml:space="preserve"> informe</w:t>
      </w:r>
      <w:r w:rsidR="00C43835" w:rsidRPr="00E96B60">
        <w:rPr>
          <w:rFonts w:eastAsia="Batang" w:cs="Tahoma"/>
          <w:bCs/>
          <w:lang w:val="es-ES_tradnl"/>
        </w:rPr>
        <w:t>s</w:t>
      </w:r>
      <w:r w:rsidRPr="00E96B60">
        <w:rPr>
          <w:rFonts w:eastAsia="Batang" w:cs="Tahoma"/>
          <w:bCs/>
          <w:lang w:val="es-ES_tradnl"/>
        </w:rPr>
        <w:t xml:space="preserve"> justificado</w:t>
      </w:r>
      <w:r w:rsidR="00C43835" w:rsidRPr="00E96B60">
        <w:rPr>
          <w:rFonts w:eastAsia="Batang" w:cs="Tahoma"/>
          <w:bCs/>
          <w:lang w:val="es-ES_tradnl"/>
        </w:rPr>
        <w:t>s</w:t>
      </w:r>
      <w:r w:rsidRPr="00E96B60">
        <w:rPr>
          <w:rFonts w:eastAsia="Batang" w:cs="Tahoma"/>
          <w:bCs/>
          <w:lang w:val="es-ES_tradnl"/>
        </w:rPr>
        <w:t xml:space="preserve"> por parte del Sujeto Obligado en</w:t>
      </w:r>
      <w:r w:rsidR="00C43835" w:rsidRPr="00E96B60">
        <w:rPr>
          <w:rFonts w:eastAsia="Batang" w:cs="Tahoma"/>
          <w:bCs/>
          <w:lang w:val="es-ES_tradnl"/>
        </w:rPr>
        <w:t xml:space="preserve"> similares términos, en</w:t>
      </w:r>
      <w:r w:rsidRPr="00E96B60">
        <w:rPr>
          <w:rFonts w:eastAsia="Batang" w:cs="Tahoma"/>
          <w:bCs/>
          <w:lang w:val="es-ES_tradnl"/>
        </w:rPr>
        <w:t xml:space="preserve"> l</w:t>
      </w:r>
      <w:r w:rsidR="00C43835" w:rsidRPr="00E96B60">
        <w:rPr>
          <w:rFonts w:eastAsia="Batang" w:cs="Tahoma"/>
          <w:bCs/>
          <w:lang w:val="es-ES_tradnl"/>
        </w:rPr>
        <w:t>os</w:t>
      </w:r>
      <w:r w:rsidRPr="00E96B60">
        <w:rPr>
          <w:rFonts w:eastAsia="Batang" w:cs="Tahoma"/>
          <w:bCs/>
          <w:lang w:val="es-ES_tradnl"/>
        </w:rPr>
        <w:t xml:space="preserve"> que </w:t>
      </w:r>
      <w:r w:rsidR="00C43835" w:rsidRPr="00E96B60">
        <w:rPr>
          <w:rFonts w:eastAsia="Batang" w:cs="Tahoma"/>
          <w:bCs/>
          <w:lang w:val="es-ES_tradnl"/>
        </w:rPr>
        <w:t xml:space="preserve">en su parte medular </w:t>
      </w:r>
      <w:r w:rsidRPr="00E96B60">
        <w:rPr>
          <w:rFonts w:eastAsia="Batang" w:cs="Tahoma"/>
          <w:bCs/>
          <w:lang w:val="es-ES_tradnl"/>
        </w:rPr>
        <w:t>señaló lo siguiente:</w:t>
      </w:r>
    </w:p>
    <w:p w14:paraId="0CFEC788" w14:textId="5CC9B8D5" w:rsidR="002D4A59" w:rsidRPr="00E96B60" w:rsidRDefault="002D4A59" w:rsidP="003248BD">
      <w:pPr>
        <w:spacing w:line="360" w:lineRule="auto"/>
        <w:contextualSpacing/>
        <w:rPr>
          <w:rFonts w:eastAsia="Batang" w:cs="Tahoma"/>
          <w:bCs/>
          <w:lang w:val="es-ES_tradnl"/>
        </w:rPr>
      </w:pPr>
    </w:p>
    <w:p w14:paraId="7E9501C8" w14:textId="77777777" w:rsidR="002D4A59" w:rsidRPr="00E96B60" w:rsidRDefault="002D4A59" w:rsidP="003248BD">
      <w:pPr>
        <w:spacing w:line="360" w:lineRule="auto"/>
        <w:ind w:left="567" w:right="539"/>
        <w:contextualSpacing/>
        <w:rPr>
          <w:i/>
        </w:rPr>
      </w:pPr>
      <w:r w:rsidRPr="00E96B60">
        <w:rPr>
          <w:i/>
        </w:rPr>
        <w:t>“…</w:t>
      </w:r>
    </w:p>
    <w:p w14:paraId="107DAFF1" w14:textId="34532265" w:rsidR="00C43835" w:rsidRPr="00E96B60" w:rsidRDefault="00C43835" w:rsidP="003248BD">
      <w:pPr>
        <w:spacing w:line="360" w:lineRule="auto"/>
        <w:ind w:left="567" w:right="539"/>
        <w:contextualSpacing/>
        <w:rPr>
          <w:i/>
          <w:sz w:val="20"/>
          <w:szCs w:val="20"/>
        </w:rPr>
      </w:pPr>
      <w:r w:rsidRPr="00E96B60">
        <w:rPr>
          <w:b/>
          <w:bCs/>
          <w:i/>
          <w:sz w:val="20"/>
          <w:szCs w:val="20"/>
        </w:rPr>
        <w:t xml:space="preserve">SEGUNDO: </w:t>
      </w:r>
      <w:r w:rsidRPr="00E96B60">
        <w:rPr>
          <w:i/>
          <w:sz w:val="20"/>
          <w:szCs w:val="20"/>
        </w:rPr>
        <w:t xml:space="preserve">Con fundamento en lo previsto en los artículos 186, fracción II de la Ley de Transparencia y Acceso a la Información Pública del Estado de México y Municipios, </w:t>
      </w:r>
      <w:r w:rsidRPr="00E96B60">
        <w:rPr>
          <w:b/>
          <w:bCs/>
          <w:i/>
          <w:sz w:val="20"/>
          <w:szCs w:val="20"/>
        </w:rPr>
        <w:t xml:space="preserve">SE </w:t>
      </w:r>
      <w:r w:rsidRPr="00E96B60">
        <w:rPr>
          <w:b/>
          <w:bCs/>
          <w:i/>
          <w:sz w:val="20"/>
          <w:szCs w:val="20"/>
        </w:rPr>
        <w:lastRenderedPageBreak/>
        <w:t xml:space="preserve">CONFIRME </w:t>
      </w:r>
      <w:r w:rsidRPr="00E96B60">
        <w:rPr>
          <w:i/>
          <w:sz w:val="20"/>
          <w:szCs w:val="20"/>
        </w:rPr>
        <w:t xml:space="preserve">la respuesta emitida por la Unidad de Asuntos Internos en la que se declaró </w:t>
      </w:r>
      <w:r w:rsidR="003248BD" w:rsidRPr="00E96B60">
        <w:rPr>
          <w:i/>
          <w:sz w:val="20"/>
          <w:szCs w:val="20"/>
        </w:rPr>
        <w:t>la reserva total de la información requerida en la solicitud de acceso a la información pública con número de folio …”</w:t>
      </w:r>
    </w:p>
    <w:p w14:paraId="64DFF65C" w14:textId="77777777" w:rsidR="002D4A59" w:rsidRPr="00E96B60" w:rsidRDefault="002D4A59" w:rsidP="003248BD">
      <w:pPr>
        <w:spacing w:line="360" w:lineRule="auto"/>
        <w:ind w:right="539"/>
        <w:contextualSpacing/>
        <w:rPr>
          <w:rFonts w:eastAsia="Batang" w:cs="Tahoma"/>
          <w:bCs/>
          <w:i/>
          <w:iCs/>
          <w:lang w:val="es-ES_tradnl"/>
        </w:rPr>
      </w:pPr>
    </w:p>
    <w:p w14:paraId="7EFB0B39" w14:textId="6400CCF5" w:rsidR="002D4A59" w:rsidRPr="00E96B60" w:rsidRDefault="003248BD" w:rsidP="003248BD">
      <w:pPr>
        <w:spacing w:line="360" w:lineRule="auto"/>
        <w:contextualSpacing/>
        <w:rPr>
          <w:rFonts w:cs="Tahoma"/>
        </w:rPr>
      </w:pPr>
      <w:r w:rsidRPr="00E96B60">
        <w:rPr>
          <w:rFonts w:cs="Tahoma"/>
          <w:b/>
        </w:rPr>
        <w:t>e</w:t>
      </w:r>
      <w:r w:rsidR="002D4A59" w:rsidRPr="00E96B60">
        <w:rPr>
          <w:rFonts w:cs="Tahoma"/>
          <w:b/>
        </w:rPr>
        <w:t>). Vista del Informe Justificado</w:t>
      </w:r>
      <w:r w:rsidR="002D4A59" w:rsidRPr="00E96B60">
        <w:rPr>
          <w:rFonts w:cs="Tahoma"/>
        </w:rPr>
        <w:t xml:space="preserve">. El </w:t>
      </w:r>
      <w:r w:rsidRPr="00E96B60">
        <w:rPr>
          <w:rFonts w:cs="Tahoma"/>
        </w:rPr>
        <w:t>once</w:t>
      </w:r>
      <w:r w:rsidR="002D4A59" w:rsidRPr="00E96B60">
        <w:rPr>
          <w:rFonts w:cs="Tahoma"/>
        </w:rPr>
        <w:t xml:space="preserve"> de noviembre de dos mil veinticuatro, se dictó acuerdo mediante el cual se puso a la vista del Particular, el Informe Justificado, el cual le fue notificado, en esa misma fecha, a través del Sistema de Acceso a la Información Mexiquense (SAIMEX). No obstante, lo anterior, el Recurrente omitió realizar manifestación alguna que a su derecho conviniera y asistiera.</w:t>
      </w:r>
    </w:p>
    <w:p w14:paraId="632A6C10" w14:textId="77777777" w:rsidR="003248BD" w:rsidRPr="00E96B60" w:rsidRDefault="003248BD" w:rsidP="00562759">
      <w:pPr>
        <w:spacing w:after="0" w:line="360" w:lineRule="auto"/>
        <w:contextualSpacing/>
        <w:rPr>
          <w:rFonts w:cs="Tahoma"/>
          <w:b/>
        </w:rPr>
      </w:pPr>
    </w:p>
    <w:p w14:paraId="7BB94FD2" w14:textId="37D4FA98" w:rsidR="008F4B45" w:rsidRPr="00E96B60" w:rsidRDefault="003248BD" w:rsidP="00562759">
      <w:pPr>
        <w:spacing w:after="0" w:line="360" w:lineRule="auto"/>
        <w:contextualSpacing/>
        <w:rPr>
          <w:rFonts w:cs="Tahoma"/>
        </w:rPr>
      </w:pPr>
      <w:r w:rsidRPr="00E96B60">
        <w:rPr>
          <w:rFonts w:cs="Tahoma"/>
          <w:b/>
        </w:rPr>
        <w:t>f</w:t>
      </w:r>
      <w:r w:rsidR="000553B4" w:rsidRPr="00E96B60">
        <w:rPr>
          <w:rFonts w:cs="Tahoma"/>
          <w:b/>
        </w:rPr>
        <w:t xml:space="preserve">) </w:t>
      </w:r>
      <w:r w:rsidR="0063734D" w:rsidRPr="00E96B60">
        <w:rPr>
          <w:rFonts w:cs="Tahoma"/>
          <w:b/>
        </w:rPr>
        <w:t>Cierre de instrucción.</w:t>
      </w:r>
      <w:r w:rsidR="00763D85" w:rsidRPr="00E96B60">
        <w:rPr>
          <w:rFonts w:cs="Tahoma"/>
          <w:b/>
        </w:rPr>
        <w:t xml:space="preserve"> </w:t>
      </w:r>
      <w:r w:rsidR="008F4B45" w:rsidRPr="00E96B60">
        <w:rPr>
          <w:rFonts w:cs="Tahoma"/>
        </w:rPr>
        <w:t xml:space="preserve">El </w:t>
      </w:r>
      <w:r w:rsidR="00690080" w:rsidRPr="00E96B60">
        <w:rPr>
          <w:rFonts w:cs="Tahoma"/>
        </w:rPr>
        <w:t>veintiséis d</w:t>
      </w:r>
      <w:r w:rsidR="00343495" w:rsidRPr="00E96B60">
        <w:rPr>
          <w:rFonts w:cs="Tahoma"/>
        </w:rPr>
        <w:t>e noviembre</w:t>
      </w:r>
      <w:r w:rsidR="000307EE" w:rsidRPr="00E96B60">
        <w:rPr>
          <w:rFonts w:cs="Tahoma"/>
        </w:rPr>
        <w:t xml:space="preserve"> </w:t>
      </w:r>
      <w:r w:rsidR="008F4B45" w:rsidRPr="00E96B60">
        <w:rPr>
          <w:rFonts w:cs="Tahoma"/>
        </w:rPr>
        <w:t xml:space="preserve">de dos mil </w:t>
      </w:r>
      <w:r w:rsidR="00CE1FC5" w:rsidRPr="00E96B60">
        <w:rPr>
          <w:rFonts w:cs="Tahoma"/>
        </w:rPr>
        <w:t>veinticuatro</w:t>
      </w:r>
      <w:r w:rsidR="008F4B45" w:rsidRPr="00E96B60">
        <w:rPr>
          <w:rFonts w:cs="Tahoma"/>
        </w:rPr>
        <w:t xml:space="preserve">, al no existir diligencias pendientes por desahogar, se emitió el acuerdo por medio del cual se declaró cerrada la instrucción y, se pasó el expediente a resolución, en términos de lo dispuesto en los artículos 185, fracciones VI y VIII, de la Ley de Transparencia y Acceso a la Información Pública del Estado de México y Municipios; acto que fue notificado a las partes el mismo día, a través del Sistema de Acceso a la Información Mexiquense (SAIMEX). </w:t>
      </w:r>
    </w:p>
    <w:p w14:paraId="58F79D70" w14:textId="77777777" w:rsidR="00471DA8" w:rsidRPr="00E96B60" w:rsidRDefault="00471DA8" w:rsidP="00562759">
      <w:pPr>
        <w:spacing w:after="0" w:line="360" w:lineRule="auto"/>
        <w:contextualSpacing/>
        <w:rPr>
          <w:rFonts w:cs="Tahoma"/>
          <w:b/>
        </w:rPr>
      </w:pPr>
    </w:p>
    <w:p w14:paraId="0F3812D8" w14:textId="77777777" w:rsidR="008F4B45" w:rsidRPr="00E96B60" w:rsidRDefault="008F4B45" w:rsidP="00562759">
      <w:pPr>
        <w:spacing w:after="0" w:line="360" w:lineRule="auto"/>
        <w:contextualSpacing/>
        <w:rPr>
          <w:rFonts w:cs="Tahoma"/>
          <w:color w:val="000000"/>
        </w:rPr>
      </w:pPr>
      <w:r w:rsidRPr="00E96B60">
        <w:rPr>
          <w:rFonts w:cs="Tahoma"/>
          <w:color w:val="000000"/>
        </w:rPr>
        <w:t xml:space="preserve">En razón de que fue debidamente sustanciado el expediente electrónico y no existe diligencia pendiente de desahogo, se emite la Resolución que conforme a Derecho proceda, de acuerdo con los siguientes: </w:t>
      </w:r>
    </w:p>
    <w:p w14:paraId="75379D24" w14:textId="77777777" w:rsidR="003F5E0D" w:rsidRPr="00E96B60" w:rsidRDefault="003F5E0D" w:rsidP="00562759">
      <w:pPr>
        <w:spacing w:after="0" w:line="360" w:lineRule="auto"/>
        <w:contextualSpacing/>
        <w:rPr>
          <w:rFonts w:cs="Tahoma"/>
          <w:color w:val="000000"/>
        </w:rPr>
      </w:pPr>
    </w:p>
    <w:p w14:paraId="71946284" w14:textId="493D6A58" w:rsidR="008F4B45" w:rsidRPr="00E96B60" w:rsidRDefault="008F4B45" w:rsidP="00562759">
      <w:pPr>
        <w:spacing w:after="0" w:line="360" w:lineRule="auto"/>
        <w:contextualSpacing/>
        <w:jc w:val="center"/>
        <w:rPr>
          <w:rFonts w:cs="Tahoma"/>
          <w:b/>
        </w:rPr>
      </w:pPr>
      <w:r w:rsidRPr="00E96B60">
        <w:rPr>
          <w:rFonts w:cs="Tahoma"/>
          <w:b/>
        </w:rPr>
        <w:t>C</w:t>
      </w:r>
      <w:r w:rsidR="00861107" w:rsidRPr="00E96B60">
        <w:rPr>
          <w:rFonts w:cs="Tahoma"/>
          <w:b/>
        </w:rPr>
        <w:t xml:space="preserve"> </w:t>
      </w:r>
      <w:r w:rsidRPr="00E96B60">
        <w:rPr>
          <w:rFonts w:cs="Tahoma"/>
          <w:b/>
        </w:rPr>
        <w:t>O</w:t>
      </w:r>
      <w:r w:rsidR="00861107" w:rsidRPr="00E96B60">
        <w:rPr>
          <w:rFonts w:cs="Tahoma"/>
          <w:b/>
        </w:rPr>
        <w:t xml:space="preserve"> </w:t>
      </w:r>
      <w:r w:rsidRPr="00E96B60">
        <w:rPr>
          <w:rFonts w:cs="Tahoma"/>
          <w:b/>
        </w:rPr>
        <w:t>N</w:t>
      </w:r>
      <w:r w:rsidR="00861107" w:rsidRPr="00E96B60">
        <w:rPr>
          <w:rFonts w:cs="Tahoma"/>
          <w:b/>
        </w:rPr>
        <w:t xml:space="preserve"> </w:t>
      </w:r>
      <w:r w:rsidRPr="00E96B60">
        <w:rPr>
          <w:rFonts w:cs="Tahoma"/>
          <w:b/>
        </w:rPr>
        <w:t>S</w:t>
      </w:r>
      <w:r w:rsidR="00861107" w:rsidRPr="00E96B60">
        <w:rPr>
          <w:rFonts w:cs="Tahoma"/>
          <w:b/>
        </w:rPr>
        <w:t xml:space="preserve"> </w:t>
      </w:r>
      <w:r w:rsidRPr="00E96B60">
        <w:rPr>
          <w:rFonts w:cs="Tahoma"/>
          <w:b/>
        </w:rPr>
        <w:t>I</w:t>
      </w:r>
      <w:r w:rsidR="00861107" w:rsidRPr="00E96B60">
        <w:rPr>
          <w:rFonts w:cs="Tahoma"/>
          <w:b/>
        </w:rPr>
        <w:t xml:space="preserve"> </w:t>
      </w:r>
      <w:r w:rsidRPr="00E96B60">
        <w:rPr>
          <w:rFonts w:cs="Tahoma"/>
          <w:b/>
        </w:rPr>
        <w:t>D</w:t>
      </w:r>
      <w:r w:rsidR="00861107" w:rsidRPr="00E96B60">
        <w:rPr>
          <w:rFonts w:cs="Tahoma"/>
          <w:b/>
        </w:rPr>
        <w:t xml:space="preserve"> </w:t>
      </w:r>
      <w:r w:rsidRPr="00E96B60">
        <w:rPr>
          <w:rFonts w:cs="Tahoma"/>
          <w:b/>
        </w:rPr>
        <w:t>E</w:t>
      </w:r>
      <w:r w:rsidR="00861107" w:rsidRPr="00E96B60">
        <w:rPr>
          <w:rFonts w:cs="Tahoma"/>
          <w:b/>
        </w:rPr>
        <w:t xml:space="preserve"> </w:t>
      </w:r>
      <w:r w:rsidRPr="00E96B60">
        <w:rPr>
          <w:rFonts w:cs="Tahoma"/>
          <w:b/>
        </w:rPr>
        <w:t>R</w:t>
      </w:r>
      <w:r w:rsidR="00861107" w:rsidRPr="00E96B60">
        <w:rPr>
          <w:rFonts w:cs="Tahoma"/>
          <w:b/>
        </w:rPr>
        <w:t xml:space="preserve"> </w:t>
      </w:r>
      <w:r w:rsidRPr="00E96B60">
        <w:rPr>
          <w:rFonts w:cs="Tahoma"/>
          <w:b/>
        </w:rPr>
        <w:t>A</w:t>
      </w:r>
      <w:r w:rsidR="00861107" w:rsidRPr="00E96B60">
        <w:rPr>
          <w:rFonts w:cs="Tahoma"/>
          <w:b/>
        </w:rPr>
        <w:t xml:space="preserve"> </w:t>
      </w:r>
      <w:r w:rsidRPr="00E96B60">
        <w:rPr>
          <w:rFonts w:cs="Tahoma"/>
          <w:b/>
        </w:rPr>
        <w:t>N</w:t>
      </w:r>
      <w:r w:rsidR="00861107" w:rsidRPr="00E96B60">
        <w:rPr>
          <w:rFonts w:cs="Tahoma"/>
          <w:b/>
        </w:rPr>
        <w:t xml:space="preserve"> </w:t>
      </w:r>
      <w:r w:rsidRPr="00E96B60">
        <w:rPr>
          <w:rFonts w:cs="Tahoma"/>
          <w:b/>
        </w:rPr>
        <w:t>D</w:t>
      </w:r>
      <w:r w:rsidR="00861107" w:rsidRPr="00E96B60">
        <w:rPr>
          <w:rFonts w:cs="Tahoma"/>
          <w:b/>
        </w:rPr>
        <w:t xml:space="preserve"> </w:t>
      </w:r>
      <w:r w:rsidRPr="00E96B60">
        <w:rPr>
          <w:rFonts w:cs="Tahoma"/>
          <w:b/>
        </w:rPr>
        <w:t>O</w:t>
      </w:r>
      <w:r w:rsidR="00861107" w:rsidRPr="00E96B60">
        <w:rPr>
          <w:rFonts w:cs="Tahoma"/>
          <w:b/>
        </w:rPr>
        <w:t xml:space="preserve"> </w:t>
      </w:r>
      <w:r w:rsidR="003F5E0D" w:rsidRPr="00E96B60">
        <w:rPr>
          <w:rFonts w:cs="Tahoma"/>
          <w:b/>
        </w:rPr>
        <w:t>S</w:t>
      </w:r>
    </w:p>
    <w:p w14:paraId="64944648" w14:textId="77777777" w:rsidR="003F5E0D" w:rsidRPr="00E96B60" w:rsidRDefault="003F5E0D" w:rsidP="00562759">
      <w:pPr>
        <w:spacing w:after="0" w:line="360" w:lineRule="auto"/>
        <w:contextualSpacing/>
        <w:rPr>
          <w:rFonts w:cs="Tahoma"/>
          <w:b/>
        </w:rPr>
      </w:pPr>
    </w:p>
    <w:p w14:paraId="4E228342" w14:textId="139AD988" w:rsidR="0007186E" w:rsidRPr="00E96B60" w:rsidRDefault="0007186E" w:rsidP="00562759">
      <w:pPr>
        <w:autoSpaceDE w:val="0"/>
        <w:autoSpaceDN w:val="0"/>
        <w:adjustRightInd w:val="0"/>
        <w:spacing w:after="0" w:line="360" w:lineRule="auto"/>
        <w:rPr>
          <w:rFonts w:cs="Tahoma"/>
          <w:b/>
          <w:szCs w:val="24"/>
        </w:rPr>
      </w:pPr>
      <w:r w:rsidRPr="00E96B60">
        <w:rPr>
          <w:rFonts w:cs="Tahoma"/>
          <w:b/>
          <w:color w:val="000000"/>
          <w:szCs w:val="24"/>
          <w:lang w:eastAsia="es-MX"/>
        </w:rPr>
        <w:t>PRIMERO</w:t>
      </w:r>
      <w:r w:rsidRPr="00E96B60">
        <w:rPr>
          <w:rFonts w:cs="Tahoma"/>
          <w:color w:val="000000"/>
          <w:szCs w:val="24"/>
          <w:lang w:eastAsia="es-MX"/>
        </w:rPr>
        <w:t xml:space="preserve">. </w:t>
      </w:r>
      <w:r w:rsidRPr="00E96B60">
        <w:rPr>
          <w:rFonts w:cs="Tahoma"/>
          <w:b/>
          <w:szCs w:val="24"/>
        </w:rPr>
        <w:t>Competencia</w:t>
      </w:r>
    </w:p>
    <w:p w14:paraId="1D1249E1" w14:textId="77777777" w:rsidR="0007186E" w:rsidRPr="00E96B60" w:rsidRDefault="0007186E" w:rsidP="00562759">
      <w:pPr>
        <w:autoSpaceDE w:val="0"/>
        <w:autoSpaceDN w:val="0"/>
        <w:adjustRightInd w:val="0"/>
        <w:spacing w:after="0" w:line="360" w:lineRule="auto"/>
        <w:rPr>
          <w:rFonts w:cs="Tahoma"/>
          <w:b/>
          <w:szCs w:val="24"/>
        </w:rPr>
      </w:pPr>
    </w:p>
    <w:p w14:paraId="66EC0352" w14:textId="3AE63945" w:rsidR="0007186E" w:rsidRPr="00E96B60" w:rsidRDefault="00CE1FC5" w:rsidP="00562759">
      <w:pPr>
        <w:spacing w:after="0" w:line="360" w:lineRule="auto"/>
        <w:rPr>
          <w:rFonts w:cs="Tahoma"/>
          <w:bCs/>
        </w:rPr>
      </w:pPr>
      <w:bookmarkStart w:id="3" w:name="_Hlk63334754"/>
      <w:r w:rsidRPr="00E96B60">
        <w:rPr>
          <w:rFonts w:cs="Tahoma"/>
          <w:bCs/>
        </w:rPr>
        <w:lastRenderedPageBreak/>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bookmarkEnd w:id="3"/>
    </w:p>
    <w:p w14:paraId="2D2FD400" w14:textId="77777777" w:rsidR="00B103E0" w:rsidRPr="00E96B60" w:rsidRDefault="00B103E0" w:rsidP="00562759">
      <w:pPr>
        <w:spacing w:after="0" w:line="360" w:lineRule="auto"/>
        <w:rPr>
          <w:rFonts w:cs="Tahoma"/>
          <w:bCs/>
        </w:rPr>
      </w:pPr>
    </w:p>
    <w:p w14:paraId="7916EDE2" w14:textId="77777777" w:rsidR="00AC3C69" w:rsidRPr="00E96B60" w:rsidRDefault="00AC3C69" w:rsidP="00562759">
      <w:pPr>
        <w:spacing w:after="0" w:line="360" w:lineRule="auto"/>
        <w:rPr>
          <w:rFonts w:cs="Tahoma"/>
          <w:b/>
          <w:iCs/>
          <w:lang w:eastAsia="es-ES_tradnl"/>
        </w:rPr>
      </w:pPr>
      <w:r w:rsidRPr="00E96B60">
        <w:rPr>
          <w:rFonts w:cs="Tahoma"/>
          <w:b/>
          <w:iCs/>
          <w:lang w:eastAsia="es-ES_tradnl"/>
        </w:rPr>
        <w:t>SEGUNDO</w:t>
      </w:r>
      <w:r w:rsidRPr="00E96B60">
        <w:rPr>
          <w:rFonts w:cs="Tahoma"/>
          <w:iCs/>
          <w:lang w:eastAsia="es-ES_tradnl"/>
        </w:rPr>
        <w:t xml:space="preserve">. </w:t>
      </w:r>
      <w:r w:rsidRPr="00E96B60">
        <w:rPr>
          <w:rFonts w:cs="Tahoma"/>
          <w:b/>
          <w:iCs/>
          <w:lang w:eastAsia="es-ES_tradnl"/>
        </w:rPr>
        <w:t>Causales de improcedencia y sobreseimiento</w:t>
      </w:r>
    </w:p>
    <w:p w14:paraId="54258510" w14:textId="77777777" w:rsidR="00E96B60" w:rsidRPr="00E96B60" w:rsidRDefault="00E96B60" w:rsidP="00562759">
      <w:pPr>
        <w:spacing w:after="0" w:line="360" w:lineRule="auto"/>
        <w:rPr>
          <w:rFonts w:cs="Tahoma"/>
          <w:iCs/>
          <w:lang w:eastAsia="es-ES_tradnl"/>
        </w:rPr>
      </w:pPr>
    </w:p>
    <w:p w14:paraId="413D71FB" w14:textId="77777777" w:rsidR="00AC3C69" w:rsidRPr="00E96B60" w:rsidRDefault="00AC3C69" w:rsidP="00562759">
      <w:pPr>
        <w:spacing w:after="0" w:line="360" w:lineRule="auto"/>
        <w:rPr>
          <w:rFonts w:cs="Tahoma"/>
          <w:iCs/>
          <w:lang w:eastAsia="es-ES_tradnl"/>
        </w:rPr>
      </w:pPr>
      <w:r w:rsidRPr="00E96B60">
        <w:rPr>
          <w:rFonts w:cs="Tahoma"/>
          <w:iCs/>
          <w:lang w:eastAsia="es-ES_tradnl"/>
        </w:rPr>
        <w:t xml:space="preserve">De las constancias que forma parte del Recurso de Revisión que se analiza, se advierte que previo al estudio del fondo de la </w:t>
      </w:r>
      <w:r w:rsidRPr="00E96B60">
        <w:rPr>
          <w:rFonts w:cs="Tahoma"/>
          <w:i/>
          <w:iCs/>
          <w:lang w:eastAsia="es-ES_tradnl"/>
        </w:rPr>
        <w:t>litis</w:t>
      </w:r>
      <w:r w:rsidRPr="00E96B60">
        <w:rPr>
          <w:rFonts w:cs="Tahoma"/>
          <w:iCs/>
          <w:lang w:eastAsia="es-ES_tradnl"/>
        </w:rPr>
        <w:t>, es necesario estudiar las causales de improcedencia y sobreseimiento que se adviertan, para determinar lo que en Derecho proceda.</w:t>
      </w:r>
    </w:p>
    <w:p w14:paraId="6D4A7688" w14:textId="77777777" w:rsidR="00AC3C69" w:rsidRPr="00E96B60" w:rsidRDefault="00AC3C69" w:rsidP="00562759">
      <w:pPr>
        <w:spacing w:after="0" w:line="360" w:lineRule="auto"/>
        <w:rPr>
          <w:rFonts w:cs="Tahoma"/>
          <w:b/>
          <w:iCs/>
          <w:lang w:eastAsia="es-ES_tradnl"/>
        </w:rPr>
      </w:pPr>
    </w:p>
    <w:p w14:paraId="5CB24321" w14:textId="77777777" w:rsidR="00AC3C69" w:rsidRPr="00E96B60" w:rsidRDefault="00AC3C69" w:rsidP="00562759">
      <w:pPr>
        <w:spacing w:after="0" w:line="360" w:lineRule="auto"/>
        <w:rPr>
          <w:rFonts w:cs="Tahoma"/>
          <w:b/>
          <w:iCs/>
          <w:lang w:eastAsia="es-ES_tradnl"/>
        </w:rPr>
      </w:pPr>
      <w:r w:rsidRPr="00E96B60">
        <w:rPr>
          <w:rFonts w:cs="Tahoma"/>
          <w:b/>
          <w:iCs/>
          <w:lang w:eastAsia="es-ES_tradnl"/>
        </w:rPr>
        <w:t>Causales de improcedencia</w:t>
      </w:r>
    </w:p>
    <w:p w14:paraId="3DC62F6A" w14:textId="77777777" w:rsidR="00AC3C69" w:rsidRPr="00E96B60" w:rsidRDefault="00AC3C69" w:rsidP="00562759">
      <w:pPr>
        <w:spacing w:after="0" w:line="360" w:lineRule="auto"/>
        <w:rPr>
          <w:rFonts w:cs="Tahoma"/>
          <w:iCs/>
          <w:lang w:eastAsia="es-ES_tradnl"/>
        </w:rPr>
      </w:pPr>
    </w:p>
    <w:p w14:paraId="7715DAF5" w14:textId="77777777" w:rsidR="00AC3C69" w:rsidRPr="00E96B60" w:rsidRDefault="00AC3C69" w:rsidP="00562759">
      <w:pPr>
        <w:spacing w:after="0" w:line="360" w:lineRule="auto"/>
        <w:rPr>
          <w:rFonts w:cs="Tahoma"/>
          <w:iCs/>
          <w:lang w:eastAsia="es-ES_tradnl"/>
        </w:rPr>
      </w:pPr>
      <w:r w:rsidRPr="00E96B60">
        <w:rPr>
          <w:rFonts w:cs="Tahoma"/>
          <w:iCs/>
          <w:lang w:eastAsia="es-ES_tradnl"/>
        </w:rPr>
        <w:t xml:space="preserve">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w:t>
      </w:r>
      <w:r w:rsidRPr="00E96B60">
        <w:rPr>
          <w:rFonts w:cs="Tahoma"/>
          <w:iCs/>
          <w:lang w:eastAsia="es-ES_tradnl"/>
        </w:rPr>
        <w:lastRenderedPageBreak/>
        <w:t>suerte, deberá ser desechado cualquier Recurso de Revisión que actualice alguno de los supuestos establecidos en el artículo 191 de la Ley de Transparencia y Acceso a la Información Pública del Estado de México y Municipios, por ser improcedente.</w:t>
      </w:r>
    </w:p>
    <w:p w14:paraId="1C7DE6F6" w14:textId="77777777" w:rsidR="00AC3C69" w:rsidRPr="00E96B60" w:rsidRDefault="00AC3C69" w:rsidP="00562759">
      <w:pPr>
        <w:spacing w:after="0" w:line="360" w:lineRule="auto"/>
        <w:rPr>
          <w:rFonts w:cs="Tahoma"/>
          <w:iCs/>
          <w:lang w:eastAsia="es-ES_tradnl"/>
        </w:rPr>
      </w:pPr>
    </w:p>
    <w:p w14:paraId="25122BE2" w14:textId="77777777" w:rsidR="00AC3C69" w:rsidRPr="00E96B60" w:rsidRDefault="00AC3C69" w:rsidP="00562759">
      <w:pPr>
        <w:spacing w:after="0" w:line="360" w:lineRule="auto"/>
        <w:rPr>
          <w:rFonts w:cs="Tahoma"/>
          <w:iCs/>
          <w:lang w:eastAsia="es-ES_tradnl"/>
        </w:rPr>
      </w:pPr>
      <w:r w:rsidRPr="00E96B60">
        <w:rPr>
          <w:rFonts w:cs="Tahoma"/>
          <w:iCs/>
          <w:lang w:eastAsia="es-ES_tradnl"/>
        </w:rPr>
        <w:t>En el presente caso, </w:t>
      </w:r>
      <w:r w:rsidRPr="00E96B60">
        <w:rPr>
          <w:rFonts w:cs="Tahoma"/>
          <w:b/>
          <w:iCs/>
          <w:lang w:eastAsia="es-ES_tradnl"/>
        </w:rPr>
        <w:t>no se actualiza ninguna de las causales de improcedencia</w:t>
      </w:r>
      <w:r w:rsidRPr="00E96B60">
        <w:rPr>
          <w:rFonts w:cs="Tahoma"/>
          <w:iCs/>
          <w:lang w:eastAsia="es-ES_tradnl"/>
        </w:rPr>
        <w:t> establecidas en el ordenamiento jurídico previamente señalado, toda vez que: este Instituto no tiene conocimiento de que se encuentre en trámite algún medio de defensa presentado por la Recurrente ante otra instancia; no existió prevención alguna; la veracidad de la respuesta no formó parte del agravio; ni se realizó una consulta o ampliación a los alcances del requerimiento informativo.</w:t>
      </w:r>
    </w:p>
    <w:p w14:paraId="452A3FA3" w14:textId="5079C3A6" w:rsidR="00AC3C69" w:rsidRPr="00E96B60" w:rsidRDefault="00AC3C69" w:rsidP="00562759">
      <w:pPr>
        <w:spacing w:after="0" w:line="360" w:lineRule="auto"/>
        <w:rPr>
          <w:rFonts w:cs="Tahoma"/>
          <w:iCs/>
          <w:lang w:eastAsia="es-ES_tradnl"/>
        </w:rPr>
      </w:pPr>
    </w:p>
    <w:p w14:paraId="36DAC740" w14:textId="36109B54" w:rsidR="00AC3C69" w:rsidRPr="00E96B60" w:rsidRDefault="00AC3C69" w:rsidP="00562759">
      <w:pPr>
        <w:spacing w:after="0" w:line="360" w:lineRule="auto"/>
        <w:rPr>
          <w:rFonts w:cs="Tahoma"/>
          <w:b/>
          <w:iCs/>
          <w:lang w:eastAsia="es-ES_tradnl"/>
        </w:rPr>
      </w:pPr>
      <w:r w:rsidRPr="00E96B60">
        <w:rPr>
          <w:rFonts w:cs="Tahoma"/>
          <w:b/>
          <w:iCs/>
          <w:lang w:eastAsia="es-ES_tradnl"/>
        </w:rPr>
        <w:t>Causales de sobreseimiento</w:t>
      </w:r>
    </w:p>
    <w:p w14:paraId="3623A714" w14:textId="77777777" w:rsidR="00343495" w:rsidRPr="00E96B60" w:rsidRDefault="00343495" w:rsidP="00562759">
      <w:pPr>
        <w:spacing w:after="0" w:line="360" w:lineRule="auto"/>
        <w:rPr>
          <w:rFonts w:cs="Tahoma"/>
          <w:iCs/>
          <w:lang w:eastAsia="es-ES_tradnl"/>
        </w:rPr>
      </w:pPr>
    </w:p>
    <w:p w14:paraId="40E2BDEC" w14:textId="77777777" w:rsidR="00343495" w:rsidRPr="00E96B60" w:rsidRDefault="00343495" w:rsidP="00562759">
      <w:pPr>
        <w:spacing w:after="0" w:line="360" w:lineRule="auto"/>
        <w:rPr>
          <w:rFonts w:eastAsia="Palatino Linotype" w:cs="Palatino Linotype"/>
          <w:color w:val="0D0D0D"/>
          <w:lang w:eastAsia="es-MX"/>
        </w:rPr>
      </w:pPr>
      <w:r w:rsidRPr="00E96B60">
        <w:rPr>
          <w:rFonts w:eastAsia="Palatino Linotype" w:cs="Palatino Linotype"/>
          <w:color w:val="0D0D0D"/>
          <w:lang w:eastAsia="es-MX"/>
        </w:rPr>
        <w:t>Por ser de previo y especial pronunciamiento, este Instituto analiza si se actualiza alguna causal de sobreseimiento.</w:t>
      </w:r>
    </w:p>
    <w:p w14:paraId="559CDB1A" w14:textId="77777777" w:rsidR="00343495" w:rsidRPr="00E96B60" w:rsidRDefault="00343495" w:rsidP="00562759">
      <w:pPr>
        <w:spacing w:after="0" w:line="360" w:lineRule="auto"/>
        <w:rPr>
          <w:rFonts w:eastAsia="Palatino Linotype" w:cs="Palatino Linotype"/>
          <w:color w:val="0D0D0D"/>
          <w:lang w:eastAsia="es-MX"/>
        </w:rPr>
      </w:pPr>
    </w:p>
    <w:p w14:paraId="7D8E6283" w14:textId="77777777" w:rsidR="00343495" w:rsidRPr="00E96B60" w:rsidRDefault="00343495" w:rsidP="00562759">
      <w:pPr>
        <w:spacing w:after="0" w:line="360" w:lineRule="auto"/>
        <w:rPr>
          <w:rFonts w:eastAsia="Palatino Linotype" w:cs="Palatino Linotype"/>
          <w:color w:val="000000"/>
          <w:lang w:eastAsia="es-MX"/>
        </w:rPr>
      </w:pPr>
      <w:r w:rsidRPr="00E96B60">
        <w:rPr>
          <w:rFonts w:eastAsia="Palatino Linotype" w:cs="Palatino Linotype"/>
          <w:color w:val="0D0D0D"/>
          <w:lang w:eastAsia="es-MX"/>
        </w:rPr>
        <w:t>Sobre el tema, e</w:t>
      </w:r>
      <w:r w:rsidRPr="00E96B60">
        <w:rPr>
          <w:rFonts w:eastAsia="Palatino Linotype" w:cs="Palatino Linotype"/>
          <w:color w:val="000000"/>
          <w:lang w:eastAsia="es-MX"/>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Recurrente se haya desistido del recurso, haya fallecido, sobreviniera alguna causal de improcedencia, que el Sujeto Obligado hubiese modificado o revocado el acto impugnado o bien, haya quedado sin materia.</w:t>
      </w:r>
    </w:p>
    <w:p w14:paraId="5A663546" w14:textId="77777777" w:rsidR="00343495" w:rsidRPr="00E96B60" w:rsidRDefault="00343495" w:rsidP="00562759">
      <w:pPr>
        <w:spacing w:after="0" w:line="360" w:lineRule="auto"/>
        <w:rPr>
          <w:rFonts w:eastAsia="Palatino Linotype" w:cs="Palatino Linotype"/>
          <w:color w:val="000000"/>
          <w:lang w:eastAsia="es-MX"/>
        </w:rPr>
      </w:pPr>
    </w:p>
    <w:p w14:paraId="1E1697AC" w14:textId="77777777" w:rsidR="00343495" w:rsidRPr="00E96B60" w:rsidRDefault="00343495" w:rsidP="00562759">
      <w:pPr>
        <w:spacing w:after="0" w:line="360" w:lineRule="auto"/>
        <w:rPr>
          <w:rFonts w:eastAsia="Palatino Linotype" w:cs="Palatino Linotype"/>
          <w:color w:val="0D0D0D"/>
          <w:lang w:eastAsia="es-MX"/>
        </w:rPr>
      </w:pPr>
      <w:r w:rsidRPr="00E96B60">
        <w:rPr>
          <w:rFonts w:eastAsia="Palatino Linotype" w:cs="Palatino Linotype"/>
          <w:color w:val="0D0D0D"/>
          <w:lang w:eastAsia="es-MX"/>
        </w:rPr>
        <w:t xml:space="preserve">Por tales motivos, se considera procedente entrar al fondo del presente asunto. </w:t>
      </w:r>
    </w:p>
    <w:p w14:paraId="728D0EBA" w14:textId="77777777" w:rsidR="00863BC8" w:rsidRPr="00E96B60" w:rsidRDefault="00863BC8" w:rsidP="00562759">
      <w:pPr>
        <w:spacing w:after="0" w:line="360" w:lineRule="auto"/>
        <w:rPr>
          <w:rFonts w:cs="Tahoma"/>
          <w:iCs/>
          <w:lang w:eastAsia="es-ES_tradnl"/>
        </w:rPr>
      </w:pPr>
    </w:p>
    <w:p w14:paraId="61638DA0" w14:textId="46684290" w:rsidR="007852F7" w:rsidRPr="00E96B60" w:rsidRDefault="007852F7" w:rsidP="00562759">
      <w:pPr>
        <w:spacing w:after="0" w:line="360" w:lineRule="auto"/>
        <w:contextualSpacing/>
        <w:rPr>
          <w:rFonts w:cs="Tahoma"/>
          <w:b/>
          <w:bCs/>
          <w:iCs/>
        </w:rPr>
      </w:pPr>
      <w:r w:rsidRPr="00E96B60">
        <w:rPr>
          <w:rFonts w:cs="Tahoma"/>
          <w:b/>
          <w:bCs/>
          <w:iCs/>
        </w:rPr>
        <w:lastRenderedPageBreak/>
        <w:t>TERCERO. Determinación de la Controversia</w:t>
      </w:r>
      <w:r w:rsidR="00343495" w:rsidRPr="00E96B60">
        <w:rPr>
          <w:rFonts w:cs="Tahoma"/>
          <w:b/>
          <w:bCs/>
          <w:iCs/>
        </w:rPr>
        <w:t xml:space="preserve"> </w:t>
      </w:r>
    </w:p>
    <w:p w14:paraId="28CE763D" w14:textId="77777777" w:rsidR="00343495" w:rsidRPr="00E96B60" w:rsidRDefault="00343495" w:rsidP="00562759">
      <w:pPr>
        <w:spacing w:after="0" w:line="360" w:lineRule="auto"/>
        <w:contextualSpacing/>
        <w:rPr>
          <w:rFonts w:cs="Tahoma"/>
          <w:color w:val="000000"/>
          <w:lang w:eastAsia="es-MX"/>
        </w:rPr>
      </w:pPr>
    </w:p>
    <w:p w14:paraId="391B6F98" w14:textId="11B18240" w:rsidR="003248BD" w:rsidRPr="00E96B60" w:rsidRDefault="007852F7" w:rsidP="00562759">
      <w:pPr>
        <w:spacing w:after="0" w:line="360" w:lineRule="auto"/>
        <w:rPr>
          <w:rFonts w:eastAsiaTheme="minorHAnsi" w:cs="Tahoma"/>
        </w:rPr>
      </w:pPr>
      <w:r w:rsidRPr="00E96B60">
        <w:rPr>
          <w:rFonts w:cs="Tahoma"/>
          <w:iCs/>
          <w:lang w:eastAsia="es-ES_tradnl"/>
        </w:rPr>
        <w:t xml:space="preserve">Una vez realizado el estudio de las constancias que integran el expediente en que se actúa, se desprende </w:t>
      </w:r>
      <w:r w:rsidRPr="00E96B60">
        <w:rPr>
          <w:rFonts w:eastAsiaTheme="minorHAnsi" w:cs="Tahoma"/>
        </w:rPr>
        <w:t>que el Recurrente requirió</w:t>
      </w:r>
      <w:r w:rsidR="00F53BD4" w:rsidRPr="00E96B60">
        <w:rPr>
          <w:rFonts w:eastAsiaTheme="minorHAnsi" w:cs="Tahoma"/>
        </w:rPr>
        <w:t>, por medio de cuatro solicitudes de información</w:t>
      </w:r>
      <w:r w:rsidR="002A6AEF" w:rsidRPr="00E96B60">
        <w:rPr>
          <w:rFonts w:eastAsiaTheme="minorHAnsi" w:cs="Tahoma"/>
        </w:rPr>
        <w:t>,</w:t>
      </w:r>
      <w:r w:rsidR="003248BD" w:rsidRPr="00E96B60">
        <w:rPr>
          <w:rFonts w:eastAsiaTheme="minorHAnsi" w:cs="Tahoma"/>
        </w:rPr>
        <w:t xml:space="preserve"> oficios firmados por el Encargado de la Unidad de Asuntos Internos y oficios emitidos por la Unidad de </w:t>
      </w:r>
      <w:r w:rsidR="002C63C5" w:rsidRPr="00E96B60">
        <w:rPr>
          <w:rFonts w:eastAsiaTheme="minorHAnsi" w:cs="Tahoma"/>
        </w:rPr>
        <w:t xml:space="preserve">Asuntos Internos </w:t>
      </w:r>
      <w:r w:rsidR="003248BD" w:rsidRPr="00E96B60">
        <w:rPr>
          <w:rFonts w:eastAsiaTheme="minorHAnsi" w:cs="Tahoma"/>
        </w:rPr>
        <w:t xml:space="preserve">de la primera y segunda quincena de febrero </w:t>
      </w:r>
      <w:r w:rsidR="002C63C5" w:rsidRPr="00E96B60">
        <w:rPr>
          <w:rFonts w:eastAsiaTheme="minorHAnsi" w:cs="Tahoma"/>
        </w:rPr>
        <w:t>de dos mil veinticuatro.</w:t>
      </w:r>
    </w:p>
    <w:p w14:paraId="40F55232" w14:textId="77777777" w:rsidR="003248BD" w:rsidRPr="00E96B60" w:rsidRDefault="003248BD" w:rsidP="00562759">
      <w:pPr>
        <w:spacing w:after="0" w:line="360" w:lineRule="auto"/>
        <w:rPr>
          <w:rFonts w:eastAsiaTheme="minorHAnsi" w:cs="Tahoma"/>
        </w:rPr>
      </w:pPr>
    </w:p>
    <w:p w14:paraId="7499BED2" w14:textId="6723FA4E" w:rsidR="007852F7" w:rsidRPr="00E96B60" w:rsidRDefault="007852F7" w:rsidP="00562759">
      <w:pPr>
        <w:spacing w:after="0" w:line="360" w:lineRule="auto"/>
        <w:ind w:right="-28"/>
        <w:rPr>
          <w:rFonts w:cs="Tahoma"/>
        </w:rPr>
      </w:pPr>
      <w:r w:rsidRPr="00E96B60">
        <w:rPr>
          <w:rFonts w:eastAsiaTheme="minorHAnsi" w:cs="Tahoma"/>
          <w:bCs/>
          <w:iCs/>
        </w:rPr>
        <w:t>En respuesta, el Sujeto Obligado, precisó a través de la</w:t>
      </w:r>
      <w:r w:rsidR="00477B67" w:rsidRPr="00E96B60">
        <w:rPr>
          <w:rFonts w:eastAsiaTheme="minorHAnsi" w:cs="Tahoma"/>
          <w:bCs/>
          <w:iCs/>
        </w:rPr>
        <w:t xml:space="preserve"> </w:t>
      </w:r>
      <w:r w:rsidR="00B35E5B" w:rsidRPr="00E96B60">
        <w:rPr>
          <w:rFonts w:eastAsiaTheme="minorHAnsi" w:cs="Tahoma"/>
          <w:bCs/>
          <w:iCs/>
        </w:rPr>
        <w:t xml:space="preserve">Unidad de Apoyo Administrativo de la Unidad de Asuntos Internos señaló </w:t>
      </w:r>
      <w:r w:rsidR="00477B67" w:rsidRPr="00E96B60">
        <w:rPr>
          <w:rFonts w:eastAsiaTheme="minorHAnsi" w:cs="Tahoma"/>
          <w:bCs/>
          <w:iCs/>
        </w:rPr>
        <w:t xml:space="preserve">que </w:t>
      </w:r>
      <w:r w:rsidR="00B35E5B" w:rsidRPr="00E96B60">
        <w:rPr>
          <w:rFonts w:eastAsiaTheme="minorHAnsi" w:cs="Tahoma"/>
          <w:bCs/>
          <w:iCs/>
        </w:rPr>
        <w:t>la información solicitada  se encontraba clasificada como reservada en términos del artículo 140, fracción X de la Ley de Transparencia local</w:t>
      </w:r>
      <w:r w:rsidRPr="00E96B60">
        <w:rPr>
          <w:rFonts w:eastAsiaTheme="minorHAnsi" w:cs="Tahoma"/>
          <w:bCs/>
          <w:iCs/>
        </w:rPr>
        <w:t xml:space="preserve">; </w:t>
      </w:r>
      <w:r w:rsidRPr="00E96B60">
        <w:rPr>
          <w:rFonts w:eastAsiaTheme="minorHAnsi" w:cs="Tahoma"/>
        </w:rPr>
        <w:t>ante dicha circunstancia</w:t>
      </w:r>
      <w:r w:rsidR="00504819" w:rsidRPr="00E96B60">
        <w:rPr>
          <w:rFonts w:eastAsiaTheme="minorHAnsi" w:cs="Tahoma"/>
        </w:rPr>
        <w:t xml:space="preserve"> y en atención al desahogó de la prevención</w:t>
      </w:r>
      <w:r w:rsidRPr="00E96B60">
        <w:rPr>
          <w:rFonts w:eastAsiaTheme="minorHAnsi" w:cs="Tahoma"/>
        </w:rPr>
        <w:t xml:space="preserve">, el Particular se inconformó de la </w:t>
      </w:r>
      <w:r w:rsidR="00B35E5B" w:rsidRPr="00E96B60">
        <w:rPr>
          <w:rFonts w:eastAsiaTheme="minorHAnsi" w:cs="Tahoma"/>
        </w:rPr>
        <w:t>clasificación de información</w:t>
      </w:r>
      <w:r w:rsidRPr="00E96B60">
        <w:rPr>
          <w:rFonts w:eastAsiaTheme="minorHAnsi" w:cs="Tahoma"/>
        </w:rPr>
        <w:t>, lo cual,</w:t>
      </w:r>
      <w:r w:rsidRPr="00E96B60">
        <w:rPr>
          <w:rFonts w:cs="Tahoma"/>
        </w:rPr>
        <w:t xml:space="preserve"> actualiza la causal de procedencia </w:t>
      </w:r>
      <w:r w:rsidR="001030DC" w:rsidRPr="00E96B60">
        <w:rPr>
          <w:rFonts w:cs="Tahoma"/>
        </w:rPr>
        <w:t>prevista</w:t>
      </w:r>
      <w:r w:rsidR="00B35E5B" w:rsidRPr="00E96B60">
        <w:rPr>
          <w:rFonts w:cs="Tahoma"/>
        </w:rPr>
        <w:t xml:space="preserve"> </w:t>
      </w:r>
      <w:r w:rsidRPr="00E96B60">
        <w:rPr>
          <w:rFonts w:cs="Tahoma"/>
        </w:rPr>
        <w:t xml:space="preserve">en la </w:t>
      </w:r>
      <w:r w:rsidR="00B35E5B" w:rsidRPr="00E96B60">
        <w:rPr>
          <w:rFonts w:cs="Tahoma"/>
        </w:rPr>
        <w:t>fracción II</w:t>
      </w:r>
      <w:r w:rsidRPr="00E96B60">
        <w:rPr>
          <w:rFonts w:cs="Tahoma"/>
        </w:rPr>
        <w:t xml:space="preserve">, del artículo 179 de la Ley de Transparencia y Acceso a la Información Pública del Estado de México y Municipios. Así, las cosas, una vez admitido y notificado el Recurso de Revisión, </w:t>
      </w:r>
      <w:r w:rsidR="00B35E5B" w:rsidRPr="00E96B60">
        <w:rPr>
          <w:rFonts w:cs="Tahoma"/>
        </w:rPr>
        <w:t xml:space="preserve">las partes omitieron manifestarse. </w:t>
      </w:r>
      <w:r w:rsidR="00477B67" w:rsidRPr="00E96B60">
        <w:rPr>
          <w:rFonts w:cs="Tahoma"/>
        </w:rPr>
        <w:t xml:space="preserve"> </w:t>
      </w:r>
    </w:p>
    <w:p w14:paraId="599F9BA9" w14:textId="77777777" w:rsidR="00C76FCF" w:rsidRPr="00E96B60" w:rsidRDefault="00C76FCF" w:rsidP="00562759">
      <w:pPr>
        <w:tabs>
          <w:tab w:val="left" w:pos="4962"/>
        </w:tabs>
        <w:spacing w:after="0" w:line="360" w:lineRule="auto"/>
        <w:contextualSpacing/>
        <w:rPr>
          <w:rFonts w:cs="Tahoma"/>
          <w:iCs/>
          <w:lang w:eastAsia="es-ES_tradnl"/>
        </w:rPr>
      </w:pPr>
    </w:p>
    <w:p w14:paraId="5AA6381A" w14:textId="203C79BD" w:rsidR="007852F7" w:rsidRPr="00E96B60" w:rsidRDefault="007852F7" w:rsidP="00562759">
      <w:pPr>
        <w:tabs>
          <w:tab w:val="left" w:pos="4962"/>
        </w:tabs>
        <w:spacing w:after="0" w:line="360" w:lineRule="auto"/>
        <w:contextualSpacing/>
        <w:rPr>
          <w:rFonts w:cs="Tahoma"/>
          <w:bCs/>
          <w:szCs w:val="24"/>
        </w:rPr>
      </w:pPr>
      <w:r w:rsidRPr="00E96B60">
        <w:rPr>
          <w:rFonts w:cs="Tahoma"/>
          <w:iCs/>
          <w:lang w:eastAsia="es-ES_tradnl"/>
        </w:rPr>
        <w:t>Lo anterior, se desprende de las documentales que obran en el expediente de referencia, materia de la presente resolución, consistente en: la</w:t>
      </w:r>
      <w:r w:rsidR="00B35E5B" w:rsidRPr="00E96B60">
        <w:rPr>
          <w:rFonts w:cs="Tahoma"/>
          <w:iCs/>
          <w:lang w:eastAsia="es-ES_tradnl"/>
        </w:rPr>
        <w:t>s</w:t>
      </w:r>
      <w:r w:rsidRPr="00E96B60">
        <w:rPr>
          <w:rFonts w:cs="Tahoma"/>
          <w:iCs/>
          <w:lang w:eastAsia="es-ES_tradnl"/>
        </w:rPr>
        <w:t xml:space="preserve"> solicitud</w:t>
      </w:r>
      <w:r w:rsidR="00B35E5B" w:rsidRPr="00E96B60">
        <w:rPr>
          <w:rFonts w:cs="Tahoma"/>
          <w:iCs/>
          <w:lang w:eastAsia="es-ES_tradnl"/>
        </w:rPr>
        <w:t>es</w:t>
      </w:r>
      <w:r w:rsidRPr="00E96B60">
        <w:rPr>
          <w:rFonts w:cs="Tahoma"/>
          <w:iCs/>
          <w:lang w:eastAsia="es-ES_tradnl"/>
        </w:rPr>
        <w:t xml:space="preserve"> de acceso a la información, </w:t>
      </w:r>
      <w:r w:rsidR="00B35E5B" w:rsidRPr="00E96B60">
        <w:rPr>
          <w:rFonts w:cs="Tahoma"/>
          <w:iCs/>
          <w:lang w:eastAsia="es-ES_tradnl"/>
        </w:rPr>
        <w:t>la respuesta del Sujeto Obligado y los</w:t>
      </w:r>
      <w:r w:rsidRPr="00E96B60">
        <w:rPr>
          <w:rFonts w:cs="Tahoma"/>
          <w:iCs/>
          <w:lang w:eastAsia="es-ES_tradnl"/>
        </w:rPr>
        <w:t xml:space="preserve"> escrito</w:t>
      </w:r>
      <w:r w:rsidR="00B35E5B" w:rsidRPr="00E96B60">
        <w:rPr>
          <w:rFonts w:cs="Tahoma"/>
          <w:iCs/>
          <w:lang w:eastAsia="es-ES_tradnl"/>
        </w:rPr>
        <w:t>s</w:t>
      </w:r>
      <w:r w:rsidRPr="00E96B60">
        <w:rPr>
          <w:rFonts w:cs="Tahoma"/>
          <w:iCs/>
          <w:lang w:eastAsia="es-ES_tradnl"/>
        </w:rPr>
        <w:t xml:space="preserve"> </w:t>
      </w:r>
      <w:proofErr w:type="spellStart"/>
      <w:r w:rsidRPr="00E96B60">
        <w:rPr>
          <w:rFonts w:cs="Tahoma"/>
          <w:iCs/>
          <w:lang w:eastAsia="es-ES_tradnl"/>
        </w:rPr>
        <w:t>recursal</w:t>
      </w:r>
      <w:r w:rsidR="00B35E5B" w:rsidRPr="00E96B60">
        <w:rPr>
          <w:rFonts w:cs="Tahoma"/>
          <w:iCs/>
          <w:lang w:eastAsia="es-ES_tradnl"/>
        </w:rPr>
        <w:t>es</w:t>
      </w:r>
      <w:proofErr w:type="spellEnd"/>
      <w:r w:rsidRPr="00E96B60">
        <w:rPr>
          <w:rFonts w:cs="Tahoma"/>
          <w:iCs/>
          <w:lang w:eastAsia="es-ES_tradnl"/>
        </w:rPr>
        <w:t xml:space="preserve">; </w:t>
      </w:r>
      <w:r w:rsidRPr="00E96B60">
        <w:rPr>
          <w:rFonts w:cs="Tahoma"/>
          <w:bCs/>
          <w:szCs w:val="24"/>
        </w:rPr>
        <w:t>instrumentales que se toman en cuenta a efecto de resolver el presente medio de impugnación, conforme a lo dispuesto por el artículo 185, fracción IV, de la Ley de Transparencia y Acceso a la Información Pública del Estado de México y Municipios.</w:t>
      </w:r>
    </w:p>
    <w:p w14:paraId="0AC647EB" w14:textId="77777777" w:rsidR="00B103E0" w:rsidRPr="00E96B60" w:rsidRDefault="00B103E0" w:rsidP="00562759">
      <w:pPr>
        <w:tabs>
          <w:tab w:val="left" w:pos="4962"/>
        </w:tabs>
        <w:spacing w:after="0" w:line="360" w:lineRule="auto"/>
        <w:contextualSpacing/>
        <w:rPr>
          <w:rFonts w:cs="Tahoma"/>
          <w:bCs/>
          <w:szCs w:val="24"/>
        </w:rPr>
      </w:pPr>
    </w:p>
    <w:p w14:paraId="35C3193C" w14:textId="3697E1F1" w:rsidR="007852F7" w:rsidRPr="00E96B60" w:rsidRDefault="007852F7" w:rsidP="00562759">
      <w:pPr>
        <w:spacing w:after="0" w:line="360" w:lineRule="auto"/>
        <w:contextualSpacing/>
        <w:rPr>
          <w:rFonts w:cs="Tahoma"/>
          <w:b/>
          <w:bCs/>
          <w:iCs/>
        </w:rPr>
      </w:pPr>
      <w:r w:rsidRPr="00E96B60">
        <w:rPr>
          <w:rFonts w:cs="Tahoma"/>
          <w:b/>
          <w:bCs/>
          <w:iCs/>
        </w:rPr>
        <w:t>CUARTO. Marco normativo aplicable en materia de transparencia y acceso a la información pública</w:t>
      </w:r>
    </w:p>
    <w:p w14:paraId="18ABD9D5" w14:textId="77777777" w:rsidR="007852F7" w:rsidRPr="00E96B60" w:rsidRDefault="007852F7" w:rsidP="00562759">
      <w:pPr>
        <w:autoSpaceDE w:val="0"/>
        <w:autoSpaceDN w:val="0"/>
        <w:adjustRightInd w:val="0"/>
        <w:spacing w:after="0" w:line="360" w:lineRule="auto"/>
        <w:contextualSpacing/>
        <w:rPr>
          <w:rFonts w:cs="Tahoma"/>
          <w:bCs/>
          <w:iCs/>
        </w:rPr>
      </w:pPr>
    </w:p>
    <w:p w14:paraId="13D07B5A" w14:textId="77777777" w:rsidR="007852F7" w:rsidRPr="00E96B60" w:rsidRDefault="007852F7" w:rsidP="00562759">
      <w:pPr>
        <w:spacing w:after="0" w:line="360" w:lineRule="auto"/>
        <w:contextualSpacing/>
        <w:rPr>
          <w:rFonts w:cs="Tahoma"/>
          <w:bCs/>
          <w:iCs/>
        </w:rPr>
      </w:pPr>
      <w:r w:rsidRPr="00E96B60">
        <w:rPr>
          <w:rFonts w:cs="Tahoma"/>
          <w:bCs/>
          <w:iCs/>
        </w:rPr>
        <w:lastRenderedPageBreak/>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4018DD4C" w14:textId="77777777" w:rsidR="007852F7" w:rsidRPr="00E96B60" w:rsidRDefault="007852F7" w:rsidP="00562759">
      <w:pPr>
        <w:spacing w:after="0" w:line="360" w:lineRule="auto"/>
        <w:contextualSpacing/>
        <w:rPr>
          <w:rFonts w:cs="Tahoma"/>
          <w:bCs/>
          <w:iCs/>
        </w:rPr>
      </w:pPr>
    </w:p>
    <w:p w14:paraId="14EE8FE4" w14:textId="77777777" w:rsidR="007852F7" w:rsidRPr="00E96B60" w:rsidRDefault="007852F7" w:rsidP="00562759">
      <w:pPr>
        <w:spacing w:after="0" w:line="360" w:lineRule="auto"/>
        <w:contextualSpacing/>
        <w:rPr>
          <w:rFonts w:cs="Tahoma"/>
          <w:bCs/>
          <w:iCs/>
        </w:rPr>
      </w:pPr>
      <w:r w:rsidRPr="00E96B60">
        <w:rPr>
          <w:rFonts w:cs="Tahoma"/>
          <w:bCs/>
          <w:iCs/>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1F12EB28" w14:textId="77777777" w:rsidR="007852F7" w:rsidRPr="00E96B60" w:rsidRDefault="007852F7" w:rsidP="00562759">
      <w:pPr>
        <w:spacing w:after="0" w:line="360" w:lineRule="auto"/>
        <w:contextualSpacing/>
        <w:rPr>
          <w:rFonts w:cs="Tahoma"/>
          <w:bCs/>
          <w:iCs/>
        </w:rPr>
      </w:pPr>
    </w:p>
    <w:p w14:paraId="33D42264" w14:textId="77777777" w:rsidR="007852F7" w:rsidRPr="00E96B60" w:rsidRDefault="007852F7" w:rsidP="00562759">
      <w:pPr>
        <w:spacing w:after="0" w:line="360" w:lineRule="auto"/>
        <w:contextualSpacing/>
        <w:rPr>
          <w:rFonts w:cs="Tahoma"/>
          <w:bCs/>
          <w:iCs/>
        </w:rPr>
      </w:pPr>
      <w:r w:rsidRPr="00E96B60">
        <w:rPr>
          <w:rFonts w:cs="Tahoma"/>
          <w:bCs/>
          <w:iCs/>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6C382D64" w14:textId="77777777" w:rsidR="007852F7" w:rsidRPr="00E96B60" w:rsidRDefault="007852F7" w:rsidP="00562759">
      <w:pPr>
        <w:spacing w:after="0" w:line="360" w:lineRule="auto"/>
        <w:contextualSpacing/>
        <w:rPr>
          <w:rFonts w:cs="Tahoma"/>
          <w:bCs/>
          <w:iCs/>
        </w:rPr>
      </w:pPr>
    </w:p>
    <w:p w14:paraId="42325814" w14:textId="77777777" w:rsidR="007852F7" w:rsidRPr="00E96B60" w:rsidRDefault="007852F7" w:rsidP="00562759">
      <w:pPr>
        <w:spacing w:after="0" w:line="360" w:lineRule="auto"/>
        <w:contextualSpacing/>
        <w:rPr>
          <w:rFonts w:cs="Tahoma"/>
          <w:bCs/>
          <w:iCs/>
        </w:rPr>
      </w:pPr>
      <w:r w:rsidRPr="00E96B60">
        <w:rPr>
          <w:rFonts w:cs="Tahoma"/>
          <w:bCs/>
          <w:iCs/>
        </w:rPr>
        <w:t>Por su parte, la Ley de Transparencia y Acceso a la Información Pública del Estado de México y Municipios (Reglamentaria del artículo 5° de la Constitución Local), establece lo siguiente:</w:t>
      </w:r>
    </w:p>
    <w:p w14:paraId="2069CFC2" w14:textId="77777777" w:rsidR="007852F7" w:rsidRPr="00E96B60" w:rsidRDefault="007852F7" w:rsidP="00562759">
      <w:pPr>
        <w:spacing w:after="0" w:line="360" w:lineRule="auto"/>
        <w:contextualSpacing/>
        <w:rPr>
          <w:rFonts w:cs="Tahoma"/>
          <w:bCs/>
          <w:iCs/>
        </w:rPr>
      </w:pPr>
    </w:p>
    <w:p w14:paraId="16540CD0" w14:textId="77777777" w:rsidR="007852F7" w:rsidRPr="00E96B60" w:rsidRDefault="007852F7" w:rsidP="00562759">
      <w:pPr>
        <w:spacing w:after="0" w:line="360" w:lineRule="auto"/>
        <w:contextualSpacing/>
        <w:rPr>
          <w:rFonts w:cs="Tahoma"/>
          <w:bCs/>
          <w:iCs/>
        </w:rPr>
      </w:pPr>
      <w:r w:rsidRPr="00E96B60">
        <w:rPr>
          <w:rFonts w:cs="Tahoma"/>
          <w:bCs/>
          <w:iCs/>
        </w:rPr>
        <w:t>El artículo 12, que, quienes generen, recopilen, administren, manejen, procesen, archiven o conserven información pública serán responsables de la misma.</w:t>
      </w:r>
    </w:p>
    <w:p w14:paraId="317C380B" w14:textId="77777777" w:rsidR="007852F7" w:rsidRPr="00E96B60" w:rsidRDefault="007852F7" w:rsidP="00562759">
      <w:pPr>
        <w:spacing w:after="0" w:line="360" w:lineRule="auto"/>
        <w:contextualSpacing/>
        <w:rPr>
          <w:rFonts w:cs="Tahoma"/>
          <w:bCs/>
          <w:iCs/>
        </w:rPr>
      </w:pPr>
    </w:p>
    <w:p w14:paraId="057EC57B" w14:textId="77777777" w:rsidR="007852F7" w:rsidRPr="00E96B60" w:rsidRDefault="007852F7" w:rsidP="00562759">
      <w:pPr>
        <w:widowControl w:val="0"/>
        <w:spacing w:after="0" w:line="360" w:lineRule="auto"/>
        <w:contextualSpacing/>
        <w:rPr>
          <w:rFonts w:cs="Tahoma"/>
          <w:bCs/>
          <w:iCs/>
        </w:rPr>
      </w:pPr>
      <w:r w:rsidRPr="00E96B60">
        <w:rPr>
          <w:rFonts w:cs="Tahoma"/>
          <w:bCs/>
          <w:iCs/>
        </w:rPr>
        <w:t>El artículo 18, que, los Sujetos Obligados deberán documentar todo acto que derive del ejercicio de sus facultades, competencias o funciones, considerando desde su origen la eventual publicidad y reutilización de la información que generen.</w:t>
      </w:r>
    </w:p>
    <w:p w14:paraId="6B6ABE19" w14:textId="77777777" w:rsidR="007852F7" w:rsidRPr="00E96B60" w:rsidRDefault="007852F7" w:rsidP="00562759">
      <w:pPr>
        <w:spacing w:after="0" w:line="360" w:lineRule="auto"/>
        <w:contextualSpacing/>
        <w:rPr>
          <w:rFonts w:cs="Tahoma"/>
          <w:bCs/>
          <w:iCs/>
        </w:rPr>
      </w:pPr>
    </w:p>
    <w:p w14:paraId="790BAAAE" w14:textId="77777777" w:rsidR="007852F7" w:rsidRPr="00E96B60" w:rsidRDefault="007852F7" w:rsidP="00562759">
      <w:pPr>
        <w:spacing w:after="0" w:line="360" w:lineRule="auto"/>
        <w:contextualSpacing/>
        <w:rPr>
          <w:rFonts w:cs="Tahoma"/>
          <w:bCs/>
          <w:iCs/>
        </w:rPr>
      </w:pPr>
      <w:r w:rsidRPr="00E96B60">
        <w:rPr>
          <w:rFonts w:cs="Tahoma"/>
          <w:bCs/>
          <w:iCs/>
        </w:rPr>
        <w:t xml:space="preserve">El artículo 19, que, se presume que la información debe existir si se refiere a las facultades, competencias y funciones que los ordenamientos jurídicos aplicables otorgan a los sujetos </w:t>
      </w:r>
      <w:r w:rsidRPr="00E96B60">
        <w:rPr>
          <w:rFonts w:cs="Tahoma"/>
          <w:bCs/>
          <w:iCs/>
        </w:rPr>
        <w:lastRenderedPageBreak/>
        <w:t>obligados y en caso de que dichas facultades no se hayan ejercido, se deberá motivar la respuesta en función de las causas que motivaron tal circunstancia.</w:t>
      </w:r>
    </w:p>
    <w:p w14:paraId="59E3C5EA" w14:textId="77777777" w:rsidR="007852F7" w:rsidRPr="00E96B60" w:rsidRDefault="007852F7" w:rsidP="00562759">
      <w:pPr>
        <w:spacing w:after="0" w:line="360" w:lineRule="auto"/>
        <w:contextualSpacing/>
        <w:rPr>
          <w:rFonts w:cs="Tahoma"/>
          <w:bCs/>
          <w:iCs/>
        </w:rPr>
      </w:pPr>
    </w:p>
    <w:p w14:paraId="4F35FE11" w14:textId="7BC3A27B" w:rsidR="009916A6" w:rsidRPr="00E96B60" w:rsidRDefault="009916A6" w:rsidP="00562759">
      <w:pPr>
        <w:spacing w:after="0" w:line="360" w:lineRule="auto"/>
        <w:rPr>
          <w:rFonts w:cs="Tahoma"/>
          <w:b/>
        </w:rPr>
      </w:pPr>
      <w:r w:rsidRPr="00E96B60">
        <w:rPr>
          <w:rFonts w:cs="Tahoma"/>
          <w:b/>
        </w:rPr>
        <w:t>QUINTO. Estudio de Fondo</w:t>
      </w:r>
    </w:p>
    <w:p w14:paraId="6560AC76" w14:textId="77777777" w:rsidR="009916A6" w:rsidRPr="00E96B60" w:rsidRDefault="009916A6" w:rsidP="00562759">
      <w:pPr>
        <w:spacing w:after="0" w:line="360" w:lineRule="auto"/>
        <w:rPr>
          <w:rFonts w:cs="Tahoma"/>
          <w:b/>
        </w:rPr>
      </w:pPr>
    </w:p>
    <w:p w14:paraId="2B5650FD" w14:textId="6C2FE4D2" w:rsidR="002C63C5" w:rsidRPr="00E96B60" w:rsidRDefault="00B22D34" w:rsidP="00BC6871">
      <w:pPr>
        <w:widowControl w:val="0"/>
        <w:spacing w:after="0" w:line="360" w:lineRule="auto"/>
        <w:rPr>
          <w:rFonts w:cs="Tahoma"/>
          <w:iCs/>
          <w:lang w:val="es-ES" w:eastAsia="es-ES_tradnl"/>
        </w:rPr>
      </w:pPr>
      <w:r w:rsidRPr="00E96B60">
        <w:rPr>
          <w:rFonts w:eastAsia="Palatino Linotype" w:cs="Palatino Linotype"/>
          <w:lang w:eastAsia="es-MX"/>
        </w:rPr>
        <w:t xml:space="preserve">Expuestas las posturas de las partes, se procede al análisis de los agravios hechos valer por la persona Recurrente, concerniente </w:t>
      </w:r>
      <w:r w:rsidR="00504819" w:rsidRPr="00E96B60">
        <w:rPr>
          <w:rFonts w:eastAsia="Palatino Linotype" w:cs="Palatino Linotype"/>
          <w:lang w:eastAsia="es-MX"/>
        </w:rPr>
        <w:t>a la clasificación de la información</w:t>
      </w:r>
      <w:r w:rsidR="001030DC" w:rsidRPr="00E96B60">
        <w:rPr>
          <w:rFonts w:eastAsia="Palatino Linotype" w:cs="Palatino Linotype"/>
          <w:lang w:eastAsia="es-MX"/>
        </w:rPr>
        <w:t xml:space="preserve">, </w:t>
      </w:r>
      <w:r w:rsidRPr="00E96B60">
        <w:rPr>
          <w:rFonts w:eastAsia="Palatino Linotype" w:cs="Palatino Linotype"/>
          <w:lang w:eastAsia="es-MX"/>
        </w:rPr>
        <w:t xml:space="preserve">para lo cual, </w:t>
      </w:r>
      <w:r w:rsidR="00BC6871" w:rsidRPr="00E96B60">
        <w:rPr>
          <w:rFonts w:eastAsia="Palatino Linotype" w:cs="Palatino Linotype"/>
          <w:lang w:eastAsia="es-MX"/>
        </w:rPr>
        <w:t>es necesario señalar</w:t>
      </w:r>
      <w:r w:rsidR="002C63C5" w:rsidRPr="00E96B60">
        <w:rPr>
          <w:rFonts w:cs="Tahoma"/>
          <w:iCs/>
          <w:lang w:val="es-ES" w:eastAsia="es-ES_tradnl"/>
        </w:rPr>
        <w:t xml:space="preserve">, sobre la información solicitada, que todos los actos que realicen los sujetos obligados deben estar documentados y, bajo el más alto estándar de transparencia deberán poner toda la información que se encuentre en su posesión, a disposición de los particulares que la soliciten, resulta necesario referir que, el 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los Sujetos Obligados deberán documentar todo acto que se derive del ejercicio de sus facultades, competencias o funciones, considerando desde su origen la eventual publicidad y reutilización de la información que generen, posean o administren. </w:t>
      </w:r>
    </w:p>
    <w:p w14:paraId="046A4740" w14:textId="7C3C1892" w:rsidR="0096304B" w:rsidRPr="00E96B60" w:rsidRDefault="0096304B" w:rsidP="00BC6871">
      <w:pPr>
        <w:widowControl w:val="0"/>
        <w:spacing w:after="0" w:line="360" w:lineRule="auto"/>
        <w:rPr>
          <w:rFonts w:cs="Tahoma"/>
          <w:iCs/>
          <w:lang w:val="es-ES" w:eastAsia="es-ES_tradnl"/>
        </w:rPr>
      </w:pPr>
    </w:p>
    <w:p w14:paraId="28878D54" w14:textId="4D04EFF4" w:rsidR="0096304B" w:rsidRPr="00E96B60" w:rsidRDefault="0096304B" w:rsidP="00BC6871">
      <w:pPr>
        <w:widowControl w:val="0"/>
        <w:spacing w:after="0" w:line="360" w:lineRule="auto"/>
        <w:rPr>
          <w:rFonts w:cs="Tahoma"/>
          <w:iCs/>
          <w:lang w:val="es-ES" w:eastAsia="es-ES_tradnl"/>
        </w:rPr>
      </w:pPr>
      <w:r w:rsidRPr="00E96B60">
        <w:rPr>
          <w:rFonts w:cs="Tahoma"/>
          <w:iCs/>
          <w:lang w:val="es-ES" w:eastAsia="es-ES_tradnl"/>
        </w:rPr>
        <w:t>En un principio es de señalar que el servidor público mencionado en las solicitudes 00067/UAI/IP/2024, 00066/UAI/IP/2024 y 00020/UAI/IP/2024</w:t>
      </w:r>
      <w:r w:rsidR="00B956B0" w:rsidRPr="00E96B60">
        <w:rPr>
          <w:rFonts w:cs="Tahoma"/>
          <w:iCs/>
          <w:lang w:val="es-ES" w:eastAsia="es-ES_tradnl"/>
        </w:rPr>
        <w:t xml:space="preserve"> se localizó en la liga electrónica </w:t>
      </w:r>
      <w:hyperlink r:id="rId8" w:history="1">
        <w:r w:rsidR="00B956B0" w:rsidRPr="00E96B60">
          <w:rPr>
            <w:rStyle w:val="Hipervnculo"/>
            <w:rFonts w:cs="Tahoma"/>
            <w:iCs/>
            <w:lang w:val="es-ES" w:eastAsia="es-ES_tradnl"/>
          </w:rPr>
          <w:t>https://datos-abiertos.edomex.gob.mx/index.php/servidor/directorio/206C03000000000</w:t>
        </w:r>
      </w:hyperlink>
      <w:r w:rsidR="00B956B0" w:rsidRPr="00E96B60">
        <w:rPr>
          <w:rFonts w:cs="Tahoma"/>
          <w:iCs/>
          <w:lang w:val="es-ES" w:eastAsia="es-ES_tradnl"/>
        </w:rPr>
        <w:t xml:space="preserve"> que contiene directorio de servidores públicos dentro de la que se observa lo siguiente:</w:t>
      </w:r>
    </w:p>
    <w:p w14:paraId="5176499E" w14:textId="41F31468" w:rsidR="00B956B0" w:rsidRPr="00E96B60" w:rsidRDefault="00B956B0" w:rsidP="00BC6871">
      <w:pPr>
        <w:widowControl w:val="0"/>
        <w:spacing w:after="0" w:line="360" w:lineRule="auto"/>
        <w:rPr>
          <w:rFonts w:cs="Tahoma"/>
          <w:iCs/>
          <w:lang w:val="es-ES" w:eastAsia="es-ES_tradnl"/>
        </w:rPr>
      </w:pPr>
    </w:p>
    <w:p w14:paraId="2562A3BD" w14:textId="243A8783" w:rsidR="00B956B0" w:rsidRPr="00E96B60" w:rsidRDefault="007927A4" w:rsidP="00BC6871">
      <w:pPr>
        <w:widowControl w:val="0"/>
        <w:spacing w:after="0" w:line="360" w:lineRule="auto"/>
        <w:rPr>
          <w:rFonts w:cs="Tahoma"/>
          <w:iCs/>
          <w:lang w:val="es-ES" w:eastAsia="es-ES_tradnl"/>
        </w:rPr>
      </w:pPr>
      <w:r w:rsidRPr="00E96B60">
        <w:rPr>
          <w:noProof/>
          <w:lang w:eastAsia="es-MX"/>
        </w:rPr>
        <w:lastRenderedPageBreak/>
        <w:drawing>
          <wp:inline distT="0" distB="0" distL="0" distR="0" wp14:anchorId="746D6648" wp14:editId="32322F73">
            <wp:extent cx="5742940" cy="14954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b="44523"/>
                    <a:stretch/>
                  </pic:blipFill>
                  <pic:spPr bwMode="auto">
                    <a:xfrm>
                      <a:off x="0" y="0"/>
                      <a:ext cx="5742940" cy="1495425"/>
                    </a:xfrm>
                    <a:prstGeom prst="rect">
                      <a:avLst/>
                    </a:prstGeom>
                    <a:ln>
                      <a:noFill/>
                    </a:ln>
                    <a:extLst>
                      <a:ext uri="{53640926-AAD7-44D8-BBD7-CCE9431645EC}">
                        <a14:shadowObscured xmlns:a14="http://schemas.microsoft.com/office/drawing/2010/main"/>
                      </a:ext>
                    </a:extLst>
                  </pic:spPr>
                </pic:pic>
              </a:graphicData>
            </a:graphic>
          </wp:inline>
        </w:drawing>
      </w:r>
    </w:p>
    <w:p w14:paraId="0AC2D62C" w14:textId="77777777" w:rsidR="00116DA4" w:rsidRPr="00E96B60" w:rsidRDefault="007927A4" w:rsidP="00BC6871">
      <w:pPr>
        <w:spacing w:after="0" w:line="360" w:lineRule="auto"/>
        <w:contextualSpacing/>
        <w:rPr>
          <w:rFonts w:cs="Tahoma"/>
          <w:bCs/>
          <w:iCs/>
          <w:lang w:val="es-ES"/>
        </w:rPr>
      </w:pPr>
      <w:r w:rsidRPr="00E96B60">
        <w:rPr>
          <w:rFonts w:cs="Tahoma"/>
          <w:bCs/>
          <w:iCs/>
          <w:lang w:val="es-ES"/>
        </w:rPr>
        <w:t xml:space="preserve">Derivado de lo anterior, se observa que el servidor público mencionado si labora en el Sujeto </w:t>
      </w:r>
      <w:r w:rsidR="00116DA4" w:rsidRPr="00E96B60">
        <w:rPr>
          <w:rFonts w:cs="Tahoma"/>
          <w:bCs/>
          <w:iCs/>
          <w:lang w:val="es-ES"/>
        </w:rPr>
        <w:t>Obligado</w:t>
      </w:r>
      <w:r w:rsidRPr="00E96B60">
        <w:rPr>
          <w:rFonts w:cs="Tahoma"/>
          <w:bCs/>
          <w:iCs/>
          <w:lang w:val="es-ES"/>
        </w:rPr>
        <w:t>, además de que de la respuesta proporcionada no existe manifestación contraria a lo señalado, por lo que hace a la solicitud 00042/UAI/IP/2024 se observa que va ceñida a los oficios emitidos por la Unidad de Asuntos Internos</w:t>
      </w:r>
      <w:r w:rsidR="00116DA4" w:rsidRPr="00E96B60">
        <w:rPr>
          <w:rFonts w:cs="Tahoma"/>
          <w:bCs/>
          <w:iCs/>
          <w:lang w:val="es-ES"/>
        </w:rPr>
        <w:t xml:space="preserve"> en específico</w:t>
      </w:r>
      <w:r w:rsidRPr="00E96B60">
        <w:rPr>
          <w:rFonts w:cs="Tahoma"/>
          <w:bCs/>
          <w:iCs/>
          <w:lang w:val="es-ES"/>
        </w:rPr>
        <w:t xml:space="preserve">, al respecto el Manual General de Organización de la Unidad de Asuntos Internos publicado en el Periódico Oficial “Gaceta del Gobierno” el veintiuno de julio de dos mil veintitrés, identifica las diferentes unidades administrativas que conforman al Sujeto Obligado </w:t>
      </w:r>
      <w:r w:rsidR="00116DA4" w:rsidRPr="00E96B60">
        <w:rPr>
          <w:rFonts w:cs="Tahoma"/>
          <w:bCs/>
          <w:iCs/>
          <w:lang w:val="es-ES"/>
        </w:rPr>
        <w:t>como se muestra con la siguiente imagen:</w:t>
      </w:r>
    </w:p>
    <w:p w14:paraId="1891B2B0" w14:textId="4CEB59A8" w:rsidR="00116DA4" w:rsidRPr="00E96B60" w:rsidRDefault="00116DA4" w:rsidP="00116DA4">
      <w:pPr>
        <w:spacing w:after="0" w:line="360" w:lineRule="auto"/>
        <w:contextualSpacing/>
        <w:jc w:val="center"/>
        <w:rPr>
          <w:rFonts w:cs="Tahoma"/>
          <w:bCs/>
          <w:iCs/>
          <w:lang w:val="es-ES"/>
        </w:rPr>
      </w:pPr>
      <w:r w:rsidRPr="00E96B60">
        <w:rPr>
          <w:noProof/>
          <w:lang w:eastAsia="es-MX"/>
        </w:rPr>
        <mc:AlternateContent>
          <mc:Choice Requires="wps">
            <w:drawing>
              <wp:anchor distT="0" distB="0" distL="114300" distR="114300" simplePos="0" relativeHeight="251659264" behindDoc="0" locked="0" layoutInCell="1" allowOverlap="1" wp14:anchorId="0221293B" wp14:editId="7A6E7A37">
                <wp:simplePos x="0" y="0"/>
                <wp:positionH relativeFrom="margin">
                  <wp:posOffset>2430145</wp:posOffset>
                </wp:positionH>
                <wp:positionV relativeFrom="paragraph">
                  <wp:posOffset>1173480</wp:posOffset>
                </wp:positionV>
                <wp:extent cx="1000125" cy="419100"/>
                <wp:effectExtent l="19050" t="19050" r="28575" b="19050"/>
                <wp:wrapNone/>
                <wp:docPr id="3" name="Rectángulo 3"/>
                <wp:cNvGraphicFramePr/>
                <a:graphic xmlns:a="http://schemas.openxmlformats.org/drawingml/2006/main">
                  <a:graphicData uri="http://schemas.microsoft.com/office/word/2010/wordprocessingShape">
                    <wps:wsp>
                      <wps:cNvSpPr/>
                      <wps:spPr>
                        <a:xfrm>
                          <a:off x="0" y="0"/>
                          <a:ext cx="1000125" cy="4191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2196A2" id="Rectángulo 3" o:spid="_x0000_s1026" style="position:absolute;margin-left:191.35pt;margin-top:92.4pt;width:78.75pt;height:3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" filled="f" strokecolor="red" strokeweight="2.25pt">
                <w10:wrap anchorx="margin"/>
              </v:rect>
            </w:pict>
          </mc:Fallback>
        </mc:AlternateContent>
      </w:r>
      <w:r w:rsidRPr="00E96B60">
        <w:rPr>
          <w:noProof/>
          <w:lang w:eastAsia="es-MX"/>
        </w:rPr>
        <w:drawing>
          <wp:inline distT="0" distB="0" distL="0" distR="0" wp14:anchorId="3B0D41EE" wp14:editId="438008C9">
            <wp:extent cx="3277849" cy="26670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6402" r="25479" b="50284"/>
                    <a:stretch/>
                  </pic:blipFill>
                  <pic:spPr bwMode="auto">
                    <a:xfrm>
                      <a:off x="0" y="0"/>
                      <a:ext cx="3297513" cy="2682999"/>
                    </a:xfrm>
                    <a:prstGeom prst="rect">
                      <a:avLst/>
                    </a:prstGeom>
                    <a:ln>
                      <a:noFill/>
                    </a:ln>
                    <a:extLst>
                      <a:ext uri="{53640926-AAD7-44D8-BBD7-CCE9431645EC}">
                        <a14:shadowObscured xmlns:a14="http://schemas.microsoft.com/office/drawing/2010/main"/>
                      </a:ext>
                    </a:extLst>
                  </pic:spPr>
                </pic:pic>
              </a:graphicData>
            </a:graphic>
          </wp:inline>
        </w:drawing>
      </w:r>
      <w:r w:rsidRPr="00E96B60">
        <w:rPr>
          <w:rFonts w:cs="Tahoma"/>
          <w:bCs/>
          <w:iCs/>
          <w:lang w:val="es-ES"/>
        </w:rPr>
        <w:t>…</w:t>
      </w:r>
    </w:p>
    <w:p w14:paraId="6D9EE0CC" w14:textId="77777777" w:rsidR="00116DA4" w:rsidRPr="00E96B60" w:rsidRDefault="00116DA4" w:rsidP="00BC6871">
      <w:pPr>
        <w:spacing w:after="0" w:line="360" w:lineRule="auto"/>
        <w:contextualSpacing/>
        <w:rPr>
          <w:rFonts w:cs="Tahoma"/>
          <w:bCs/>
          <w:iCs/>
          <w:lang w:val="es-ES"/>
        </w:rPr>
      </w:pPr>
    </w:p>
    <w:p w14:paraId="6A154A9C" w14:textId="40617EA8" w:rsidR="001024BE" w:rsidRPr="00E96B60" w:rsidRDefault="00116DA4" w:rsidP="00BC6871">
      <w:pPr>
        <w:spacing w:after="0" w:line="360" w:lineRule="auto"/>
        <w:contextualSpacing/>
        <w:rPr>
          <w:rFonts w:cs="Tahoma"/>
          <w:bCs/>
          <w:iCs/>
          <w:lang w:val="es-ES"/>
        </w:rPr>
      </w:pPr>
      <w:r w:rsidRPr="00E96B60">
        <w:rPr>
          <w:rFonts w:cs="Tahoma"/>
          <w:bCs/>
          <w:iCs/>
          <w:lang w:val="es-ES"/>
        </w:rPr>
        <w:lastRenderedPageBreak/>
        <w:t>Derivado de lo anterior, se observa que es de esa unidad de la cual quiere los oficios el Particular; a</w:t>
      </w:r>
      <w:r w:rsidR="001024BE" w:rsidRPr="00E96B60">
        <w:rPr>
          <w:rFonts w:cs="Tahoma"/>
          <w:bCs/>
          <w:iCs/>
          <w:lang w:val="es-ES"/>
        </w:rPr>
        <w:t xml:space="preserve">hora bien, </w:t>
      </w:r>
      <w:r w:rsidR="00BC6871" w:rsidRPr="00E96B60">
        <w:rPr>
          <w:rFonts w:cs="Tahoma"/>
          <w:bCs/>
          <w:iCs/>
          <w:lang w:val="es-ES"/>
        </w:rPr>
        <w:t xml:space="preserve">en respuesta a los oficios solicitados, el Sujeto Obligado </w:t>
      </w:r>
      <w:r w:rsidR="001024BE" w:rsidRPr="00E96B60">
        <w:rPr>
          <w:rFonts w:cs="Tahoma"/>
          <w:bCs/>
          <w:iCs/>
          <w:lang w:val="es-ES"/>
        </w:rPr>
        <w:t>señal</w:t>
      </w:r>
      <w:r w:rsidR="00BC6871" w:rsidRPr="00E96B60">
        <w:rPr>
          <w:rFonts w:cs="Tahoma"/>
          <w:bCs/>
          <w:iCs/>
          <w:lang w:val="es-ES"/>
        </w:rPr>
        <w:t>ó</w:t>
      </w:r>
      <w:r w:rsidR="001024BE" w:rsidRPr="00E96B60">
        <w:rPr>
          <w:rFonts w:cs="Tahoma"/>
          <w:bCs/>
          <w:iCs/>
          <w:lang w:val="es-ES"/>
        </w:rPr>
        <w:t xml:space="preserve"> que la información estaba reservada, en términos del artículo 113, fracción X, de la Ley General de Transparencia y Acceso a la Información Pública, con relación al 140, fracción X, de la Ley de Transparencia y Acceso a la Información Pública del Estado de México y Municipios y el Vigésimo Noveno de los Lineamientos Generales en Materia de Clasificación y Desclasificación de la Información, así como, para la Elaboración de Versiones Públic</w:t>
      </w:r>
      <w:r w:rsidR="00245E04" w:rsidRPr="00E96B60">
        <w:rPr>
          <w:rFonts w:cs="Tahoma"/>
          <w:bCs/>
          <w:iCs/>
          <w:lang w:val="es-ES"/>
        </w:rPr>
        <w:t>as, al señalar lo siguiente:</w:t>
      </w:r>
    </w:p>
    <w:p w14:paraId="6089C622" w14:textId="77777777" w:rsidR="00245E04" w:rsidRPr="00E96B60" w:rsidRDefault="00245E04" w:rsidP="00562759">
      <w:pPr>
        <w:spacing w:after="0" w:line="360" w:lineRule="auto"/>
        <w:contextualSpacing/>
        <w:rPr>
          <w:rFonts w:cs="Tahoma"/>
          <w:bCs/>
          <w:iCs/>
          <w:lang w:val="es-ES"/>
        </w:rPr>
      </w:pPr>
    </w:p>
    <w:p w14:paraId="6965905C" w14:textId="44A63324" w:rsidR="00245E04" w:rsidRPr="00E96B60" w:rsidRDefault="00245E04" w:rsidP="00562759">
      <w:pPr>
        <w:pStyle w:val="Prrafodelista"/>
        <w:numPr>
          <w:ilvl w:val="0"/>
          <w:numId w:val="30"/>
        </w:numPr>
        <w:spacing w:after="0" w:line="360" w:lineRule="auto"/>
        <w:rPr>
          <w:rFonts w:cs="Tahoma"/>
          <w:bCs/>
          <w:iCs/>
          <w:lang w:val="es-ES"/>
        </w:rPr>
      </w:pPr>
      <w:r w:rsidRPr="00E96B60">
        <w:rPr>
          <w:rFonts w:ascii="Palatino Linotype" w:hAnsi="Palatino Linotype" w:cs="Tahoma"/>
          <w:bCs/>
          <w:iCs/>
          <w:lang w:val="es-ES"/>
        </w:rPr>
        <w:t>Que la información podía ser utilizada por servidores públicos que estén sujetos a investigaciones realizadas;</w:t>
      </w:r>
    </w:p>
    <w:p w14:paraId="4B01B2E0" w14:textId="558B59A7" w:rsidR="00245E04" w:rsidRPr="00E96B60" w:rsidRDefault="00245E04" w:rsidP="00562759">
      <w:pPr>
        <w:pStyle w:val="Prrafodelista"/>
        <w:numPr>
          <w:ilvl w:val="0"/>
          <w:numId w:val="30"/>
        </w:numPr>
        <w:spacing w:after="0" w:line="360" w:lineRule="auto"/>
        <w:rPr>
          <w:rFonts w:cs="Tahoma"/>
          <w:bCs/>
          <w:iCs/>
          <w:lang w:val="es-ES"/>
        </w:rPr>
      </w:pPr>
      <w:r w:rsidRPr="00E96B60">
        <w:rPr>
          <w:rFonts w:ascii="Palatino Linotype" w:hAnsi="Palatino Linotype" w:cs="Tahoma"/>
          <w:bCs/>
          <w:iCs/>
          <w:lang w:val="es-ES"/>
        </w:rPr>
        <w:t>Que el Organismo contaba con procedimientos administrativos en trámite, además que era la autoridad investigadora;</w:t>
      </w:r>
    </w:p>
    <w:p w14:paraId="1688EEB2" w14:textId="09F253F4" w:rsidR="00245E04" w:rsidRPr="00E96B60" w:rsidRDefault="00245E04" w:rsidP="00562759">
      <w:pPr>
        <w:pStyle w:val="Prrafodelista"/>
        <w:numPr>
          <w:ilvl w:val="0"/>
          <w:numId w:val="30"/>
        </w:numPr>
        <w:spacing w:after="0" w:line="360" w:lineRule="auto"/>
        <w:rPr>
          <w:rFonts w:cs="Tahoma"/>
          <w:bCs/>
          <w:iCs/>
          <w:lang w:val="es-ES"/>
        </w:rPr>
      </w:pPr>
      <w:r w:rsidRPr="00E96B60">
        <w:rPr>
          <w:rFonts w:ascii="Palatino Linotype" w:hAnsi="Palatino Linotype" w:cs="Tahoma"/>
          <w:bCs/>
          <w:iCs/>
          <w:lang w:val="es-ES"/>
        </w:rPr>
        <w:t>Que la Unidad recibe quejas y denuncias, asimismo implementa investigaciones de oficio, con el fin de identificar la posible comisión de faltas administrativas, infracciones disciplinarias o incumplimiento de deberes; y una vez integrado el expediente, con los elementos suficientes que acrediten la comisión de una falta administrativa, lo remite a la Comisión de Honor y Justicia o al Órgano Interno de Control, para dar inicio al procedimiento de responsabilidad procedente;</w:t>
      </w:r>
    </w:p>
    <w:p w14:paraId="732768DF" w14:textId="743B0624" w:rsidR="00562759" w:rsidRPr="00E96B60" w:rsidRDefault="00245E04" w:rsidP="00562759">
      <w:pPr>
        <w:pStyle w:val="Prrafodelista"/>
        <w:numPr>
          <w:ilvl w:val="0"/>
          <w:numId w:val="30"/>
        </w:numPr>
        <w:spacing w:after="0" w:line="360" w:lineRule="auto"/>
        <w:rPr>
          <w:rFonts w:cs="Tahoma"/>
          <w:bCs/>
          <w:iCs/>
          <w:lang w:val="es-ES"/>
        </w:rPr>
      </w:pPr>
      <w:r w:rsidRPr="00E96B60">
        <w:rPr>
          <w:rFonts w:ascii="Palatino Linotype" w:hAnsi="Palatino Linotype" w:cs="Tahoma"/>
          <w:bCs/>
          <w:iCs/>
          <w:lang w:val="es-ES"/>
        </w:rPr>
        <w:t>Que los presuntos responsables o servidores públicos no conocen al persona</w:t>
      </w:r>
      <w:r w:rsidR="00562759" w:rsidRPr="00E96B60">
        <w:rPr>
          <w:rFonts w:ascii="Palatino Linotype" w:hAnsi="Palatino Linotype" w:cs="Tahoma"/>
          <w:bCs/>
          <w:iCs/>
          <w:lang w:val="es-ES"/>
        </w:rPr>
        <w:t>l</w:t>
      </w:r>
      <w:r w:rsidRPr="00E96B60">
        <w:rPr>
          <w:rFonts w:ascii="Palatino Linotype" w:hAnsi="Palatino Linotype" w:cs="Tahoma"/>
          <w:bCs/>
          <w:iCs/>
          <w:lang w:val="es-ES"/>
        </w:rPr>
        <w:t xml:space="preserve"> que realiza la indagación</w:t>
      </w:r>
      <w:r w:rsidR="00562759" w:rsidRPr="00E96B60">
        <w:rPr>
          <w:rFonts w:ascii="Palatino Linotype" w:hAnsi="Palatino Linotype" w:cs="Tahoma"/>
          <w:bCs/>
          <w:iCs/>
          <w:lang w:val="es-ES"/>
        </w:rPr>
        <w:t>, para recabar los elementos probatorios y determinar una probable responsabilidad;</w:t>
      </w:r>
    </w:p>
    <w:p w14:paraId="5D81B9F6" w14:textId="46F6D5D0" w:rsidR="00562759" w:rsidRPr="00E96B60" w:rsidRDefault="00562759" w:rsidP="00562759">
      <w:pPr>
        <w:pStyle w:val="Prrafodelista"/>
        <w:numPr>
          <w:ilvl w:val="0"/>
          <w:numId w:val="30"/>
        </w:numPr>
        <w:spacing w:after="0" w:line="360" w:lineRule="auto"/>
        <w:rPr>
          <w:rFonts w:cs="Tahoma"/>
          <w:bCs/>
          <w:iCs/>
          <w:lang w:val="es-ES"/>
        </w:rPr>
      </w:pPr>
      <w:r w:rsidRPr="00E96B60">
        <w:rPr>
          <w:rFonts w:ascii="Palatino Linotype" w:hAnsi="Palatino Linotype" w:cs="Tahoma"/>
          <w:bCs/>
          <w:iCs/>
          <w:lang w:val="es-ES"/>
        </w:rPr>
        <w:t>Que proporcionar la información, podría menoscabar el debido proceso, la presunción de inocencia, el derecho a tener un juicio justo y la prerrogativa a ser informado de la responsabilidad administrativa por loa cual se le investiga.</w:t>
      </w:r>
    </w:p>
    <w:p w14:paraId="630E3642" w14:textId="2D4BCF05" w:rsidR="00562759" w:rsidRPr="00E96B60" w:rsidRDefault="00562759" w:rsidP="00562759">
      <w:pPr>
        <w:pStyle w:val="Prrafodelista"/>
        <w:numPr>
          <w:ilvl w:val="0"/>
          <w:numId w:val="30"/>
        </w:numPr>
        <w:spacing w:after="0" w:line="360" w:lineRule="auto"/>
        <w:rPr>
          <w:rFonts w:cs="Tahoma"/>
          <w:bCs/>
          <w:iCs/>
          <w:lang w:val="es-ES"/>
        </w:rPr>
      </w:pPr>
      <w:r w:rsidRPr="00E96B60">
        <w:rPr>
          <w:rFonts w:ascii="Palatino Linotype" w:hAnsi="Palatino Linotype" w:cs="Tahoma"/>
          <w:bCs/>
          <w:iCs/>
          <w:lang w:val="es-ES"/>
        </w:rPr>
        <w:lastRenderedPageBreak/>
        <w:t>Que entregar los registros de asistencia afectarían las estrategias de investigación, técnicas de inspección y supervisión.</w:t>
      </w:r>
    </w:p>
    <w:p w14:paraId="520C3E83" w14:textId="77777777" w:rsidR="004E4F22" w:rsidRPr="00E96B60" w:rsidRDefault="004E4F22" w:rsidP="00562759">
      <w:pPr>
        <w:spacing w:after="0" w:line="360" w:lineRule="auto"/>
        <w:rPr>
          <w:rFonts w:cs="Tahoma"/>
          <w:iCs/>
          <w:color w:val="auto"/>
        </w:rPr>
      </w:pPr>
    </w:p>
    <w:p w14:paraId="639D7C90" w14:textId="77777777" w:rsidR="002D739A" w:rsidRPr="00E96B60" w:rsidRDefault="002D739A" w:rsidP="002D739A">
      <w:pPr>
        <w:spacing w:line="360" w:lineRule="auto"/>
        <w:contextualSpacing/>
        <w:rPr>
          <w:rFonts w:eastAsia="Times New Roman" w:cs="Arial"/>
          <w:bCs/>
          <w:color w:val="0D0D0D"/>
          <w:lang w:val="es-ES_tradnl" w:eastAsia="es-ES"/>
        </w:rPr>
      </w:pPr>
      <w:r w:rsidRPr="00E96B60">
        <w:rPr>
          <w:rFonts w:eastAsia="Times New Roman" w:cs="Arial"/>
          <w:bCs/>
          <w:color w:val="auto"/>
          <w:lang w:val="es-ES_tradnl" w:eastAsia="es-ES"/>
        </w:rPr>
        <w:t xml:space="preserve">En </w:t>
      </w:r>
      <w:r w:rsidRPr="00E96B60">
        <w:rPr>
          <w:rFonts w:eastAsia="Times New Roman" w:cs="Arial"/>
          <w:bCs/>
          <w:color w:val="0D0D0D"/>
          <w:lang w:val="es-ES_tradnl" w:eastAsia="es-ES"/>
        </w:rPr>
        <w:t xml:space="preserve">ese sentido, según Trujillo, Humberto (2019), en el “Diccionario de Transparencia y Acceso a la Información Pública” (p. 201), </w:t>
      </w:r>
      <w:r w:rsidRPr="00E96B60">
        <w:rPr>
          <w:rFonts w:eastAsia="Times New Roman" w:cs="Arial"/>
          <w:b/>
          <w:bCs/>
          <w:color w:val="0D0D0D"/>
          <w:lang w:val="es-ES_tradnl" w:eastAsia="es-ES"/>
        </w:rPr>
        <w:t xml:space="preserve">la negativa de acceso a la información </w:t>
      </w:r>
      <w:r w:rsidRPr="00E96B60">
        <w:rPr>
          <w:rFonts w:eastAsia="Times New Roman" w:cs="Arial"/>
          <w:bCs/>
          <w:color w:val="0D0D0D"/>
          <w:lang w:val="es-ES_tradnl" w:eastAsia="es-ES"/>
        </w:rPr>
        <w:t xml:space="preserve">ocurre cuanto de manera fundada y motivada, una autoridad la niega o la limita, por alguna de las siguientes razones: </w:t>
      </w:r>
    </w:p>
    <w:p w14:paraId="2BC08312" w14:textId="77777777" w:rsidR="002D739A" w:rsidRPr="00E96B60" w:rsidRDefault="002D739A" w:rsidP="002D739A">
      <w:pPr>
        <w:spacing w:line="360" w:lineRule="auto"/>
        <w:contextualSpacing/>
        <w:rPr>
          <w:rFonts w:eastAsia="Times New Roman" w:cs="Arial"/>
          <w:bCs/>
          <w:color w:val="0D0D0D"/>
          <w:lang w:val="es-ES_tradnl" w:eastAsia="es-ES"/>
        </w:rPr>
      </w:pPr>
    </w:p>
    <w:p w14:paraId="13710C74" w14:textId="77777777" w:rsidR="002D739A" w:rsidRPr="00E96B60" w:rsidRDefault="002D739A" w:rsidP="002D739A">
      <w:pPr>
        <w:numPr>
          <w:ilvl w:val="0"/>
          <w:numId w:val="31"/>
        </w:numPr>
        <w:spacing w:line="360" w:lineRule="auto"/>
        <w:contextualSpacing/>
        <w:jc w:val="left"/>
        <w:rPr>
          <w:rFonts w:eastAsia="Times New Roman" w:cs="Arial"/>
          <w:b/>
          <w:bCs/>
          <w:color w:val="0D0D0D"/>
          <w:lang w:val="es-ES_tradnl" w:eastAsia="es-ES"/>
        </w:rPr>
      </w:pPr>
      <w:r w:rsidRPr="00E96B60">
        <w:rPr>
          <w:rFonts w:eastAsia="Times New Roman" w:cs="Arial"/>
          <w:b/>
          <w:bCs/>
          <w:color w:val="0D0D0D"/>
          <w:lang w:val="es-ES_tradnl" w:eastAsia="es-ES"/>
        </w:rPr>
        <w:t xml:space="preserve">La inexistencia de la información (p. 171): </w:t>
      </w:r>
      <w:r w:rsidRPr="00E96B60">
        <w:rPr>
          <w:rFonts w:eastAsia="Times New Roman" w:cs="Arial"/>
          <w:bCs/>
          <w:color w:val="0D0D0D"/>
          <w:lang w:val="es-ES_tradnl" w:eastAsia="es-ES"/>
        </w:rPr>
        <w:t>Sucede cuando la información solicitada no se encuentra en los archivos públicos o clasificados de los entes sujetos a las Leyes de Transparencia.</w:t>
      </w:r>
    </w:p>
    <w:p w14:paraId="72F7797B" w14:textId="77777777" w:rsidR="002D739A" w:rsidRPr="00E96B60" w:rsidRDefault="002D739A" w:rsidP="002D739A">
      <w:pPr>
        <w:spacing w:after="0" w:line="360" w:lineRule="auto"/>
        <w:ind w:left="720"/>
        <w:contextualSpacing/>
        <w:rPr>
          <w:rFonts w:eastAsia="Times New Roman" w:cs="Arial"/>
          <w:b/>
          <w:bCs/>
          <w:color w:val="0D0D0D"/>
          <w:lang w:val="es-ES_tradnl" w:eastAsia="es-ES"/>
        </w:rPr>
      </w:pPr>
    </w:p>
    <w:p w14:paraId="1AFC5E7E" w14:textId="77777777" w:rsidR="002D739A" w:rsidRPr="00E96B60" w:rsidRDefault="002D739A" w:rsidP="002D739A">
      <w:pPr>
        <w:numPr>
          <w:ilvl w:val="0"/>
          <w:numId w:val="31"/>
        </w:numPr>
        <w:spacing w:line="360" w:lineRule="auto"/>
        <w:contextualSpacing/>
        <w:jc w:val="left"/>
        <w:rPr>
          <w:rFonts w:eastAsia="Times New Roman" w:cs="Arial"/>
          <w:b/>
          <w:bCs/>
          <w:color w:val="0D0D0D"/>
          <w:lang w:val="es-ES_tradnl" w:eastAsia="es-ES"/>
        </w:rPr>
      </w:pPr>
      <w:r w:rsidRPr="00E96B60">
        <w:rPr>
          <w:rFonts w:eastAsia="Times New Roman" w:cs="Arial"/>
          <w:b/>
          <w:bCs/>
          <w:color w:val="0D0D0D"/>
          <w:lang w:val="es-ES_tradnl" w:eastAsia="es-ES"/>
        </w:rPr>
        <w:t xml:space="preserve">La incompetencia del Sujeto Obligado (p. 171): </w:t>
      </w:r>
      <w:r w:rsidRPr="00E96B60">
        <w:rPr>
          <w:rFonts w:eastAsia="Times New Roman" w:cs="Arial"/>
          <w:bCs/>
          <w:color w:val="0D0D0D"/>
          <w:lang w:val="es-ES_tradnl" w:eastAsia="es-ES"/>
        </w:rPr>
        <w:t>Ocurre cuando el Sujeto Obligado carece de atribuciones para poseer la información peticionada.</w:t>
      </w:r>
    </w:p>
    <w:p w14:paraId="5EC1D686" w14:textId="77777777" w:rsidR="002D739A" w:rsidRPr="00E96B60" w:rsidRDefault="002D739A" w:rsidP="002D739A">
      <w:pPr>
        <w:spacing w:after="0" w:line="360" w:lineRule="auto"/>
        <w:ind w:left="720"/>
        <w:contextualSpacing/>
        <w:rPr>
          <w:rFonts w:eastAsia="Times New Roman" w:cs="Arial"/>
          <w:b/>
          <w:bCs/>
          <w:color w:val="0D0D0D"/>
          <w:lang w:val="es-ES_tradnl" w:eastAsia="es-ES"/>
        </w:rPr>
      </w:pPr>
    </w:p>
    <w:p w14:paraId="4D4FA8D9" w14:textId="77777777" w:rsidR="002D739A" w:rsidRPr="00E96B60" w:rsidRDefault="002D739A" w:rsidP="002D739A">
      <w:pPr>
        <w:numPr>
          <w:ilvl w:val="0"/>
          <w:numId w:val="31"/>
        </w:numPr>
        <w:spacing w:line="360" w:lineRule="auto"/>
        <w:contextualSpacing/>
        <w:jc w:val="left"/>
        <w:rPr>
          <w:rFonts w:eastAsia="Times New Roman" w:cs="Arial"/>
          <w:b/>
          <w:bCs/>
          <w:color w:val="0D0D0D"/>
          <w:lang w:val="es-ES_tradnl" w:eastAsia="es-ES"/>
        </w:rPr>
      </w:pPr>
      <w:r w:rsidRPr="00E96B60">
        <w:rPr>
          <w:rFonts w:eastAsia="Times New Roman" w:cs="Arial"/>
          <w:b/>
          <w:bCs/>
          <w:color w:val="0D0D0D"/>
          <w:lang w:val="es-ES_tradnl" w:eastAsia="es-ES"/>
        </w:rPr>
        <w:t xml:space="preserve">La clasificación de la información (p. 70): </w:t>
      </w:r>
      <w:r w:rsidRPr="00E96B60">
        <w:rPr>
          <w:rFonts w:eastAsia="Times New Roman" w:cs="Arial"/>
          <w:bCs/>
          <w:color w:val="0D0D0D"/>
          <w:lang w:val="es-ES_tradnl" w:eastAsia="es-ES"/>
        </w:rPr>
        <w:t>Es el proceso o conjunto de acciones que realizan los sujetos obligados para establecer que determinada información se encuentra en alguno de los supuestos de reserva o confidencialidad establecidos en la legislación en materia de transparencia.</w:t>
      </w:r>
    </w:p>
    <w:p w14:paraId="040D6254" w14:textId="77777777" w:rsidR="002D739A" w:rsidRPr="00E96B60" w:rsidRDefault="002D739A" w:rsidP="002D739A">
      <w:pPr>
        <w:spacing w:line="360" w:lineRule="auto"/>
        <w:contextualSpacing/>
        <w:rPr>
          <w:rFonts w:eastAsia="Times New Roman" w:cs="Tahoma"/>
          <w:color w:val="0D0D0D"/>
          <w:lang w:val="es-ES_tradnl" w:eastAsia="es-MX"/>
        </w:rPr>
      </w:pPr>
    </w:p>
    <w:p w14:paraId="1081EDA9" w14:textId="77777777" w:rsidR="002D739A" w:rsidRPr="00E96B60" w:rsidRDefault="002D739A" w:rsidP="002D739A">
      <w:pPr>
        <w:spacing w:line="360" w:lineRule="auto"/>
        <w:contextualSpacing/>
        <w:rPr>
          <w:rFonts w:eastAsia="Times New Roman" w:cs="Tahoma"/>
          <w:b/>
          <w:bCs/>
          <w:iCs/>
          <w:color w:val="0D0D0D"/>
          <w:lang w:val="es-ES" w:eastAsia="es-MX"/>
        </w:rPr>
      </w:pPr>
      <w:r w:rsidRPr="00E96B60">
        <w:rPr>
          <w:rFonts w:eastAsia="Times New Roman" w:cs="Tahoma"/>
          <w:color w:val="0D0D0D"/>
          <w:lang w:val="es-ES_tradnl" w:eastAsia="es-MX"/>
        </w:rPr>
        <w:t>En ese orden de ideas y en atención a lo anterior, es de señalar que l</w:t>
      </w:r>
      <w:r w:rsidRPr="00E96B60">
        <w:rPr>
          <w:rFonts w:eastAsia="Times New Roman" w:cs="Tahoma"/>
          <w:color w:val="0D0D0D"/>
          <w:lang w:val="es-ES" w:eastAsia="es-MX"/>
        </w:rPr>
        <w:t xml:space="preserve">as </w:t>
      </w:r>
      <w:r w:rsidRPr="00E96B60">
        <w:rPr>
          <w:rFonts w:eastAsia="Times New Roman" w:cs="Tahoma"/>
          <w:bCs/>
          <w:iCs/>
          <w:color w:val="0D0D0D"/>
          <w:lang w:val="es-ES" w:eastAsia="es-MX"/>
        </w:rPr>
        <w:t xml:space="preserve">excepciones al derecho de acceso a la información, consisten en que la documentación sea inexistente, </w:t>
      </w:r>
      <w:r w:rsidRPr="00E96B60">
        <w:rPr>
          <w:rFonts w:eastAsia="Times New Roman" w:cs="Tahoma"/>
          <w:b/>
          <w:bCs/>
          <w:iCs/>
          <w:color w:val="0D0D0D"/>
          <w:lang w:val="es-ES" w:eastAsia="es-MX"/>
        </w:rPr>
        <w:t>se encuentre clasificada</w:t>
      </w:r>
      <w:r w:rsidRPr="00E96B60">
        <w:rPr>
          <w:rFonts w:eastAsia="Times New Roman" w:cs="Tahoma"/>
          <w:bCs/>
          <w:iCs/>
          <w:color w:val="0D0D0D"/>
          <w:lang w:val="es-ES" w:eastAsia="es-MX"/>
        </w:rPr>
        <w:t xml:space="preserve">, o bien, el Sujeto Obligado sea incompetente para contar con esta; esto es, la negativa de acceso a la información, recae cuando la documentación no se encuentre en los archivos del sujeto obligado, o bien exista, pero no pueda proporcionarse por contener datos </w:t>
      </w:r>
      <w:r w:rsidRPr="00E96B60">
        <w:rPr>
          <w:rFonts w:eastAsia="Times New Roman" w:cs="Tahoma"/>
          <w:b/>
          <w:bCs/>
          <w:iCs/>
          <w:color w:val="0D0D0D"/>
          <w:lang w:val="es-ES" w:eastAsia="es-MX"/>
        </w:rPr>
        <w:t>confidenciales o reservados.</w:t>
      </w:r>
    </w:p>
    <w:p w14:paraId="63872843" w14:textId="77777777" w:rsidR="002D739A" w:rsidRPr="00E96B60" w:rsidRDefault="002D739A" w:rsidP="002D739A">
      <w:pPr>
        <w:spacing w:line="360" w:lineRule="auto"/>
        <w:contextualSpacing/>
        <w:rPr>
          <w:rFonts w:eastAsia="Times New Roman" w:cs="Tahoma"/>
          <w:b/>
          <w:bCs/>
          <w:iCs/>
          <w:color w:val="0D0D0D"/>
          <w:lang w:val="es-ES" w:eastAsia="es-MX"/>
        </w:rPr>
      </w:pPr>
    </w:p>
    <w:p w14:paraId="53207133" w14:textId="77777777" w:rsidR="002D739A" w:rsidRPr="00E96B60" w:rsidRDefault="002D739A" w:rsidP="002D739A">
      <w:pPr>
        <w:spacing w:line="360" w:lineRule="auto"/>
        <w:contextualSpacing/>
        <w:rPr>
          <w:rFonts w:eastAsia="Times New Roman" w:cs="Tahoma"/>
          <w:color w:val="0D0D0D"/>
          <w:lang w:val="es-ES" w:eastAsia="es-MX"/>
        </w:rPr>
      </w:pPr>
      <w:r w:rsidRPr="00E96B60">
        <w:rPr>
          <w:rFonts w:eastAsia="Times New Roman" w:cs="Tahoma"/>
          <w:color w:val="0D0D0D"/>
          <w:lang w:val="es-ES_tradnl" w:eastAsia="es-MX"/>
        </w:rPr>
        <w:t xml:space="preserve">Así, en los artículos 122, 128 y 130 de la Ley Transparencia y Acceso a la Información Pública del Estado de México y Municipios, se prevé que </w:t>
      </w:r>
      <w:r w:rsidRPr="00E96B60">
        <w:rPr>
          <w:rFonts w:eastAsia="Times New Roman" w:cs="Tahoma"/>
          <w:b/>
          <w:color w:val="0D0D0D"/>
          <w:lang w:val="es-ES_tradnl" w:eastAsia="es-MX"/>
        </w:rPr>
        <w:t xml:space="preserve">la clasificación </w:t>
      </w:r>
      <w:r w:rsidRPr="00E96B60">
        <w:rPr>
          <w:rFonts w:eastAsia="Times New Roman" w:cs="Tahoma"/>
          <w:color w:val="0D0D0D"/>
          <w:lang w:val="es-ES_tradnl" w:eastAsia="es-MX"/>
        </w:rPr>
        <w:t xml:space="preserve">es el proceso mediante el cual los sujetos obligados determinan que la información en su poder, actualiza alguno de los supuestos de reserva o confidencialidad. </w:t>
      </w:r>
      <w:r w:rsidRPr="00E96B60">
        <w:rPr>
          <w:rFonts w:eastAsia="Times New Roman" w:cs="Tahoma"/>
          <w:color w:val="0D0D0D"/>
          <w:lang w:val="es-ES" w:eastAsia="es-MX"/>
        </w:rPr>
        <w:t>Además, que dichos entes deberán aplicar de manera restrictiva y limitada, las excepciones al derecho de acceso a la información, por lo que, tendrán que acreditar la procedencia.</w:t>
      </w:r>
    </w:p>
    <w:p w14:paraId="1EA389B8" w14:textId="77777777" w:rsidR="002D739A" w:rsidRPr="00E96B60" w:rsidRDefault="002D739A" w:rsidP="002D739A">
      <w:pPr>
        <w:spacing w:line="360" w:lineRule="auto"/>
        <w:contextualSpacing/>
        <w:rPr>
          <w:rFonts w:eastAsia="Times New Roman" w:cs="Tahoma"/>
          <w:color w:val="0D0D0D"/>
          <w:lang w:val="es-ES_tradnl" w:eastAsia="es-MX"/>
        </w:rPr>
      </w:pPr>
    </w:p>
    <w:p w14:paraId="02E729AB" w14:textId="77777777" w:rsidR="002D739A" w:rsidRPr="00E96B60" w:rsidRDefault="002D739A" w:rsidP="002D739A">
      <w:pPr>
        <w:spacing w:line="360" w:lineRule="auto"/>
        <w:contextualSpacing/>
        <w:rPr>
          <w:rFonts w:eastAsia="Times New Roman" w:cs="Tahoma"/>
          <w:color w:val="0D0D0D"/>
          <w:lang w:val="es-ES" w:eastAsia="es-MX"/>
        </w:rPr>
      </w:pPr>
      <w:r w:rsidRPr="00E96B60">
        <w:rPr>
          <w:rFonts w:eastAsia="Times New Roman" w:cs="Tahoma"/>
          <w:color w:val="0D0D0D"/>
          <w:lang w:val="es-ES" w:eastAsia="es-MX"/>
        </w:rPr>
        <w:t xml:space="preserve">Por lo cual, en los casos en que se niegue el acceso a la información, por actualizarse alguno de los supuestos de clasificación, </w:t>
      </w:r>
      <w:r w:rsidRPr="00E96B60">
        <w:rPr>
          <w:rFonts w:eastAsia="Times New Roman" w:cs="Tahoma"/>
          <w:b/>
          <w:color w:val="0D0D0D"/>
          <w:lang w:val="es-ES" w:eastAsia="es-MX"/>
        </w:rPr>
        <w:t xml:space="preserve">el Comité de Transparencia deberá confirmar, modificar o revocar la decisión; </w:t>
      </w:r>
      <w:r w:rsidRPr="00E96B60">
        <w:rPr>
          <w:rFonts w:eastAsia="Times New Roman" w:cs="Tahoma"/>
          <w:color w:val="0D0D0D"/>
          <w:lang w:val="es-ES" w:eastAsia="es-MX"/>
        </w:rPr>
        <w:t>además, deberá motivar la confirmación de dicha situación, señalando las razones, motivos o circunstancias especiales que llevaron al sujeto obligado a concluir que en el caso particular se ajusta al supuesto previsto por la norma legal invocada como fundamento.</w:t>
      </w:r>
    </w:p>
    <w:p w14:paraId="79364615" w14:textId="77777777" w:rsidR="002D739A" w:rsidRPr="00E96B60" w:rsidRDefault="002D739A" w:rsidP="002D739A">
      <w:pPr>
        <w:spacing w:line="360" w:lineRule="auto"/>
        <w:contextualSpacing/>
        <w:rPr>
          <w:rFonts w:eastAsia="Times New Roman" w:cs="Tahoma"/>
          <w:color w:val="0D0D0D"/>
          <w:lang w:val="es-ES" w:eastAsia="es-MX"/>
        </w:rPr>
      </w:pPr>
    </w:p>
    <w:p w14:paraId="322B7FFB" w14:textId="77777777" w:rsidR="002D739A" w:rsidRPr="00E96B60" w:rsidRDefault="002D739A" w:rsidP="002D739A">
      <w:pPr>
        <w:spacing w:line="360" w:lineRule="auto"/>
        <w:contextualSpacing/>
        <w:rPr>
          <w:rFonts w:eastAsia="Times New Roman" w:cs="Arial"/>
          <w:b/>
          <w:bCs/>
          <w:color w:val="0D0D0D"/>
          <w:lang w:val="es-ES_tradnl" w:eastAsia="es-ES"/>
        </w:rPr>
      </w:pPr>
      <w:r w:rsidRPr="00E96B60">
        <w:rPr>
          <w:rFonts w:eastAsia="Times New Roman" w:cs="Tahoma"/>
          <w:color w:val="0D0D0D"/>
          <w:lang w:val="es-ES" w:eastAsia="es-ES"/>
        </w:rPr>
        <w:t xml:space="preserve">Por su parte, </w:t>
      </w:r>
      <w:r w:rsidRPr="00E96B60">
        <w:rPr>
          <w:rFonts w:eastAsia="Times New Roman" w:cs="Arial"/>
          <w:bCs/>
          <w:color w:val="0D0D0D"/>
          <w:lang w:val="es-ES_tradnl" w:eastAsia="es-ES"/>
        </w:rPr>
        <w:t xml:space="preserve">según Bonifaz, Leticia (2016), en la “Ley General de Transparencia y Acceso a la Información Pública Comentada” (p. 342), la </w:t>
      </w:r>
      <w:r w:rsidRPr="00E96B60">
        <w:rPr>
          <w:rFonts w:eastAsia="Times New Roman" w:cs="Arial"/>
          <w:b/>
          <w:bCs/>
          <w:color w:val="0D0D0D"/>
          <w:lang w:val="es-ES_tradnl" w:eastAsia="es-ES"/>
        </w:rPr>
        <w:t>clasificación de la información</w:t>
      </w:r>
      <w:r w:rsidRPr="00E96B60">
        <w:rPr>
          <w:rFonts w:eastAsia="Times New Roman" w:cs="Arial"/>
          <w:bCs/>
          <w:color w:val="0D0D0D"/>
          <w:lang w:val="es-ES_tradnl" w:eastAsia="es-ES"/>
        </w:rPr>
        <w:t xml:space="preserve">, ocurre cuando la autoridad niega el acceso a esta, por ser confidencial o reservada, para lo cual, los sujetos obligados, deberán realizar el proceso de clasificación, a la luz de los principios y disposiciones establecidas en las Leyes de Transparencia, fundando y motivando, </w:t>
      </w:r>
      <w:r w:rsidRPr="00E96B60">
        <w:rPr>
          <w:rFonts w:eastAsia="Times New Roman" w:cs="Arial"/>
          <w:b/>
          <w:bCs/>
          <w:color w:val="0D0D0D"/>
          <w:lang w:val="es-ES_tradnl" w:eastAsia="es-ES"/>
        </w:rPr>
        <w:t>de manera adecuada la negativa de información.</w:t>
      </w:r>
    </w:p>
    <w:p w14:paraId="49D97D66" w14:textId="77777777" w:rsidR="002D739A" w:rsidRPr="00E96B60" w:rsidRDefault="002D739A" w:rsidP="002D739A">
      <w:pPr>
        <w:autoSpaceDE w:val="0"/>
        <w:autoSpaceDN w:val="0"/>
        <w:adjustRightInd w:val="0"/>
        <w:spacing w:line="360" w:lineRule="auto"/>
        <w:contextualSpacing/>
        <w:rPr>
          <w:rFonts w:eastAsia="Times New Roman" w:cs="Tahoma"/>
          <w:color w:val="auto"/>
          <w:lang w:eastAsia="es-ES"/>
        </w:rPr>
      </w:pPr>
    </w:p>
    <w:p w14:paraId="37AC9B41" w14:textId="66C660B1" w:rsidR="002D739A" w:rsidRPr="00E96B60" w:rsidRDefault="002D739A" w:rsidP="002D739A">
      <w:pPr>
        <w:spacing w:line="360" w:lineRule="auto"/>
        <w:contextualSpacing/>
        <w:rPr>
          <w:rFonts w:eastAsia="Times New Roman" w:cs="Tahoma"/>
          <w:b/>
          <w:color w:val="0D0D0D"/>
          <w:lang w:val="es-ES_tradnl" w:eastAsia="es-ES"/>
        </w:rPr>
      </w:pPr>
      <w:r w:rsidRPr="00E96B60">
        <w:rPr>
          <w:rFonts w:eastAsia="Times New Roman" w:cs="Tahoma"/>
          <w:color w:val="auto"/>
          <w:lang w:eastAsia="es-ES"/>
        </w:rPr>
        <w:t xml:space="preserve">Conforme a lo anterior, en el presente caso, la </w:t>
      </w:r>
      <w:r w:rsidR="0008009A" w:rsidRPr="00E96B60">
        <w:rPr>
          <w:rFonts w:eastAsia="Times New Roman" w:cs="Tahoma"/>
          <w:iCs/>
          <w:lang w:eastAsia="es-ES"/>
        </w:rPr>
        <w:t>Unidad de Asuntos Internos</w:t>
      </w:r>
      <w:r w:rsidRPr="00E96B60">
        <w:rPr>
          <w:rFonts w:eastAsia="Times New Roman" w:cs="Tahoma"/>
          <w:color w:val="auto"/>
          <w:lang w:eastAsia="es-ES"/>
        </w:rPr>
        <w:t xml:space="preserve">, precisó que </w:t>
      </w:r>
      <w:r w:rsidR="0049092E" w:rsidRPr="00E96B60">
        <w:rPr>
          <w:rFonts w:eastAsia="Times New Roman" w:cs="Tahoma"/>
          <w:color w:val="auto"/>
          <w:lang w:eastAsia="es-ES"/>
        </w:rPr>
        <w:t>l</w:t>
      </w:r>
      <w:r w:rsidRPr="00E96B60">
        <w:rPr>
          <w:rFonts w:eastAsia="Times New Roman" w:cs="Tahoma"/>
          <w:color w:val="auto"/>
          <w:lang w:eastAsia="es-ES"/>
        </w:rPr>
        <w:t xml:space="preserve">os oficios requeridos, era información clasificada; </w:t>
      </w:r>
      <w:r w:rsidRPr="00E96B60">
        <w:rPr>
          <w:rFonts w:cs="Tahoma"/>
          <w:bCs/>
          <w:color w:val="0D0D0D"/>
          <w:lang w:val="es-ES_tradnl" w:eastAsia="es-ES"/>
        </w:rPr>
        <w:t>en ese sen</w:t>
      </w:r>
      <w:r w:rsidRPr="00E96B60">
        <w:rPr>
          <w:rFonts w:eastAsia="Times New Roman" w:cs="Tahoma"/>
          <w:color w:val="0D0D0D"/>
          <w:lang w:val="es-ES_tradnl" w:eastAsia="es-ES"/>
        </w:rPr>
        <w:t xml:space="preserve">tido, conforme al artículo 108 de la Ley General de Transparencia y Acceso a la Información Pública y 134 de la Ley de Transparencia y Acceso a la Información Pública del Estado de México y Municipios, los sujetos obligados no podrán emitir acuerdos de carácter general que clasifiquen documentos </w:t>
      </w:r>
      <w:r w:rsidRPr="00E96B60">
        <w:rPr>
          <w:rFonts w:eastAsia="Times New Roman" w:cs="Tahoma"/>
          <w:color w:val="0D0D0D"/>
          <w:lang w:val="es-ES_tradnl" w:eastAsia="es-ES"/>
        </w:rPr>
        <w:lastRenderedPageBreak/>
        <w:t xml:space="preserve">o expedientes; por lo que, la clasificación de información se llevará a cabo mediante un </w:t>
      </w:r>
      <w:r w:rsidRPr="00E96B60">
        <w:rPr>
          <w:rFonts w:eastAsia="Times New Roman" w:cs="Tahoma"/>
          <w:b/>
          <w:color w:val="0D0D0D"/>
          <w:lang w:val="es-ES_tradnl" w:eastAsia="es-ES"/>
        </w:rPr>
        <w:t>análisis caso por caso.</w:t>
      </w:r>
    </w:p>
    <w:p w14:paraId="73CCE759" w14:textId="77777777" w:rsidR="002D739A" w:rsidRPr="00E96B60" w:rsidRDefault="002D739A" w:rsidP="002D739A">
      <w:pPr>
        <w:spacing w:line="360" w:lineRule="auto"/>
        <w:contextualSpacing/>
        <w:rPr>
          <w:rFonts w:eastAsia="Times New Roman" w:cs="Tahoma"/>
          <w:b/>
          <w:color w:val="0D0D0D"/>
          <w:lang w:val="es-ES_tradnl" w:eastAsia="es-ES"/>
        </w:rPr>
      </w:pPr>
    </w:p>
    <w:p w14:paraId="16D44043" w14:textId="77777777" w:rsidR="002D739A" w:rsidRPr="00E96B60" w:rsidRDefault="002D739A" w:rsidP="002D739A">
      <w:pPr>
        <w:spacing w:line="360" w:lineRule="auto"/>
        <w:contextualSpacing/>
        <w:rPr>
          <w:rFonts w:eastAsia="Times New Roman" w:cs="Tahoma"/>
          <w:color w:val="0D0D0D"/>
          <w:lang w:val="es-ES_tradnl" w:eastAsia="es-ES"/>
        </w:rPr>
      </w:pPr>
      <w:r w:rsidRPr="00E96B60">
        <w:rPr>
          <w:rFonts w:eastAsia="Times New Roman" w:cs="Tahoma"/>
          <w:color w:val="0D0D0D"/>
          <w:lang w:val="es-ES_tradnl" w:eastAsia="es-ES"/>
        </w:rPr>
        <w:t xml:space="preserve">Además, el artículo 131 de la Ley referida, así como el Quinto de los Lineamientos Generales en Materia de Clasificación y Desclasificación de la Información, así como para la Elaboración de Versiones Públicas –Lineamientos Generales-, establecen que los sujetos obligados </w:t>
      </w:r>
      <w:r w:rsidRPr="00E96B60">
        <w:rPr>
          <w:rFonts w:eastAsia="Times New Roman" w:cs="Tahoma"/>
          <w:b/>
          <w:color w:val="0D0D0D"/>
          <w:lang w:val="es-ES_tradnl" w:eastAsia="es-ES"/>
        </w:rPr>
        <w:t>deberán fundar y motivar</w:t>
      </w:r>
      <w:r w:rsidRPr="00E96B60">
        <w:rPr>
          <w:rFonts w:eastAsia="Times New Roman" w:cs="Tahoma"/>
          <w:color w:val="0D0D0D"/>
          <w:lang w:val="es-ES_tradnl" w:eastAsia="es-ES"/>
        </w:rPr>
        <w:t xml:space="preserve"> debidamente la clasificación de la información.</w:t>
      </w:r>
    </w:p>
    <w:p w14:paraId="67B218CA" w14:textId="77777777" w:rsidR="002D739A" w:rsidRPr="00E96B60" w:rsidRDefault="002D739A" w:rsidP="002D739A">
      <w:pPr>
        <w:spacing w:line="360" w:lineRule="auto"/>
        <w:contextualSpacing/>
        <w:rPr>
          <w:rFonts w:eastAsia="Times New Roman" w:cs="Tahoma"/>
          <w:b/>
          <w:color w:val="0D0D0D"/>
          <w:lang w:val="es-ES_tradnl" w:eastAsia="es-ES"/>
        </w:rPr>
      </w:pPr>
    </w:p>
    <w:p w14:paraId="366DDE0B" w14:textId="77777777" w:rsidR="002D739A" w:rsidRPr="00E96B60" w:rsidRDefault="002D739A" w:rsidP="002D739A">
      <w:pPr>
        <w:spacing w:line="360" w:lineRule="auto"/>
        <w:contextualSpacing/>
        <w:rPr>
          <w:rFonts w:eastAsia="Times New Roman" w:cs="Tahoma"/>
          <w:bCs/>
          <w:iCs/>
          <w:color w:val="0D0D0D"/>
          <w:lang w:val="es-ES_tradnl" w:eastAsia="es-ES"/>
        </w:rPr>
      </w:pPr>
      <w:r w:rsidRPr="00E96B60">
        <w:rPr>
          <w:rFonts w:eastAsia="Times New Roman" w:cs="Tahoma"/>
          <w:color w:val="0D0D0D"/>
          <w:lang w:val="es-ES_tradnl" w:eastAsia="es-ES"/>
        </w:rPr>
        <w:t>Al respecto, e</w:t>
      </w:r>
      <w:r w:rsidRPr="00E96B60">
        <w:rPr>
          <w:rFonts w:eastAsia="Times New Roman" w:cs="Tahoma"/>
          <w:bCs/>
          <w:iCs/>
          <w:color w:val="0D0D0D"/>
          <w:lang w:val="es-ES_tradnl" w:eastAsia="es-ES"/>
        </w:rPr>
        <w:t>l Octavo de los Lineamientos Generales, precisa lo siguiente:</w:t>
      </w:r>
    </w:p>
    <w:p w14:paraId="2FEC0B9D" w14:textId="77777777" w:rsidR="002D739A" w:rsidRPr="00E96B60" w:rsidRDefault="002D739A" w:rsidP="002D739A">
      <w:pPr>
        <w:spacing w:line="360" w:lineRule="auto"/>
        <w:contextualSpacing/>
        <w:rPr>
          <w:rFonts w:eastAsia="Times New Roman" w:cs="Tahoma"/>
          <w:bCs/>
          <w:iCs/>
          <w:color w:val="0D0D0D"/>
          <w:lang w:val="es-ES_tradnl" w:eastAsia="es-ES"/>
        </w:rPr>
      </w:pPr>
    </w:p>
    <w:p w14:paraId="0D8641AE" w14:textId="77777777" w:rsidR="002D739A" w:rsidRPr="00E96B60" w:rsidRDefault="002D739A" w:rsidP="00471DA8">
      <w:pPr>
        <w:numPr>
          <w:ilvl w:val="0"/>
          <w:numId w:val="32"/>
        </w:numPr>
        <w:spacing w:line="360" w:lineRule="auto"/>
        <w:contextualSpacing/>
        <w:rPr>
          <w:rFonts w:eastAsia="Times New Roman" w:cs="Tahoma"/>
          <w:bCs/>
          <w:color w:val="0D0D0D"/>
          <w:lang w:val="es-ES_tradnl" w:eastAsia="es-ES"/>
        </w:rPr>
      </w:pPr>
      <w:r w:rsidRPr="00E96B60">
        <w:rPr>
          <w:rFonts w:eastAsia="Times New Roman" w:cs="Tahoma"/>
          <w:b/>
          <w:bCs/>
          <w:color w:val="0D0D0D"/>
          <w:lang w:val="es-ES_tradnl" w:eastAsia="es-ES"/>
        </w:rPr>
        <w:t>Para fundar la clasificación</w:t>
      </w:r>
      <w:r w:rsidRPr="00E96B60">
        <w:rPr>
          <w:rFonts w:eastAsia="Times New Roman" w:cs="Tahoma"/>
          <w:bCs/>
          <w:color w:val="0D0D0D"/>
          <w:lang w:val="es-ES_tradnl" w:eastAsia="es-ES"/>
        </w:rPr>
        <w:t xml:space="preserve"> de la información se deberán señalar el artículo, fracción, inciso, párrafo o numeral de la Ley aplicable;</w:t>
      </w:r>
    </w:p>
    <w:p w14:paraId="786581CF" w14:textId="77777777" w:rsidR="002D739A" w:rsidRPr="00E96B60" w:rsidRDefault="002D739A" w:rsidP="00471DA8">
      <w:pPr>
        <w:numPr>
          <w:ilvl w:val="0"/>
          <w:numId w:val="32"/>
        </w:numPr>
        <w:spacing w:line="360" w:lineRule="auto"/>
        <w:contextualSpacing/>
        <w:rPr>
          <w:rFonts w:eastAsia="Times New Roman" w:cs="Tahoma"/>
          <w:bCs/>
          <w:color w:val="0D0D0D"/>
          <w:lang w:val="es-ES_tradnl" w:eastAsia="es-ES"/>
        </w:rPr>
      </w:pPr>
      <w:r w:rsidRPr="00E96B60">
        <w:rPr>
          <w:rFonts w:eastAsia="Times New Roman" w:cs="Tahoma"/>
          <w:b/>
          <w:bCs/>
          <w:color w:val="0D0D0D"/>
          <w:lang w:val="es-ES_tradnl" w:eastAsia="es-ES"/>
        </w:rPr>
        <w:t>Para motivar la clasificación</w:t>
      </w:r>
      <w:r w:rsidRPr="00E96B60">
        <w:rPr>
          <w:rFonts w:eastAsia="Times New Roman" w:cs="Tahoma"/>
          <w:bCs/>
          <w:color w:val="0D0D0D"/>
          <w:lang w:val="es-ES_tradnl" w:eastAsia="es-ES"/>
        </w:rPr>
        <w:t xml:space="preserve"> se deberán indicar las razones y circunstancias especiales que lo llevaron a concluir que el caso particular se ajusta al supuesto previsto por la norma legal invocada; la cual, en el caso de que se trate de información reservada, la motivación, deberá comprender el análisis de la prueba de daño, así como, las circunstancias que justifican el establecimiento de determinado plazo de reserva.</w:t>
      </w:r>
    </w:p>
    <w:p w14:paraId="6931D968" w14:textId="77777777" w:rsidR="002D739A" w:rsidRPr="00E96B60" w:rsidRDefault="002D739A" w:rsidP="002D739A">
      <w:pPr>
        <w:spacing w:after="0" w:line="360" w:lineRule="auto"/>
        <w:ind w:left="720"/>
        <w:contextualSpacing/>
        <w:rPr>
          <w:rFonts w:eastAsia="Times New Roman" w:cs="Tahoma"/>
          <w:bCs/>
          <w:color w:val="0D0D0D"/>
          <w:lang w:val="es-ES_tradnl" w:eastAsia="es-ES"/>
        </w:rPr>
      </w:pPr>
    </w:p>
    <w:p w14:paraId="386E6AAF" w14:textId="77777777" w:rsidR="002D739A" w:rsidRPr="00E96B60" w:rsidRDefault="002D739A" w:rsidP="002D739A">
      <w:pPr>
        <w:spacing w:line="360" w:lineRule="auto"/>
        <w:contextualSpacing/>
        <w:rPr>
          <w:rFonts w:eastAsia="Times New Roman" w:cs="Tahoma"/>
          <w:color w:val="0D0D0D"/>
          <w:lang w:val="es-ES_tradnl" w:eastAsia="es-ES"/>
        </w:rPr>
      </w:pPr>
      <w:r w:rsidRPr="00E96B60">
        <w:rPr>
          <w:rFonts w:eastAsia="Times New Roman" w:cs="Tahoma"/>
          <w:color w:val="0D0D0D"/>
          <w:lang w:val="es-ES_tradnl" w:eastAsia="es-ES"/>
        </w:rPr>
        <w:t>Lo anterior, toma sustento en la fracción VII, del artículo 1.8, del Código Administrativo del Estado de México, que establece que todo acto administrativo, debe estar fundado y motivado, esto es, que contenga con precisión, los preceptos legales aplicables, las circunstancias generales o especiales, razones particulares y causas que se hayan tomado en cuenta para la emisión del mismo; asimismo, la Tesis aislada número I. 4o. P. 56 P, Octava Época, publicada en el Semanario Judicial de la Federación, Tomo XIV, noviembre de mil novecientos noventa y cuatro, (p. 450), que establece lo siguiente:</w:t>
      </w:r>
    </w:p>
    <w:p w14:paraId="7EFF97BC" w14:textId="77777777" w:rsidR="002D739A" w:rsidRPr="00E96B60" w:rsidRDefault="002D739A" w:rsidP="002D739A">
      <w:pPr>
        <w:spacing w:line="360" w:lineRule="auto"/>
        <w:contextualSpacing/>
        <w:rPr>
          <w:rFonts w:eastAsia="Times New Roman" w:cs="Tahoma"/>
          <w:color w:val="0D0D0D"/>
          <w:lang w:val="es-ES_tradnl" w:eastAsia="es-ES"/>
        </w:rPr>
      </w:pPr>
    </w:p>
    <w:p w14:paraId="2E6CF12C" w14:textId="77777777" w:rsidR="002D739A" w:rsidRPr="00E96B60" w:rsidRDefault="002D739A" w:rsidP="002D739A">
      <w:pPr>
        <w:spacing w:after="0" w:line="360" w:lineRule="auto"/>
        <w:ind w:left="567" w:right="567"/>
        <w:contextualSpacing/>
        <w:rPr>
          <w:rFonts w:eastAsia="Times New Roman" w:cs="Tahoma"/>
          <w:i/>
          <w:color w:val="0D0D0D"/>
          <w:sz w:val="20"/>
          <w:szCs w:val="20"/>
          <w:lang w:val="es-ES_tradnl" w:eastAsia="es-ES"/>
        </w:rPr>
      </w:pPr>
      <w:r w:rsidRPr="00E96B60">
        <w:rPr>
          <w:rFonts w:eastAsia="Times New Roman" w:cs="Tahoma"/>
          <w:b/>
          <w:i/>
          <w:color w:val="0D0D0D"/>
          <w:sz w:val="20"/>
          <w:szCs w:val="20"/>
          <w:lang w:val="es-ES_tradnl" w:eastAsia="es-ES"/>
        </w:rPr>
        <w:lastRenderedPageBreak/>
        <w:t xml:space="preserve">“FUNDAMENTACION Y MOTIVACION, CONCEPTO DE. </w:t>
      </w:r>
      <w:r w:rsidRPr="00E96B60">
        <w:rPr>
          <w:rFonts w:eastAsia="Times New Roman" w:cs="Tahoma"/>
          <w:i/>
          <w:color w:val="0D0D0D"/>
          <w:sz w:val="20"/>
          <w:szCs w:val="20"/>
          <w:lang w:val="es-ES_tradnl" w:eastAsia="es-ES"/>
        </w:rPr>
        <w:t>La garantía de legalidad consagrada en el artículo 16 de nuestra Carta Magna, establece que todo acto de autoridad precisa encontrarse debidamente fundado y motivado, entendiéndose por lo primero la obligación de la autoridad que lo emite, para citar los preceptos legales, sustantivos y adjetivos, en que se apoye la determinación adoptada; y por lo segundo, que exprese una serie de razonamientos lógico-jurídicos sobre el por qué consideró que el caso concreto se ajusta a la hipótesis normativa.”</w:t>
      </w:r>
    </w:p>
    <w:p w14:paraId="246CF1CA" w14:textId="77777777" w:rsidR="002D739A" w:rsidRPr="00E96B60" w:rsidRDefault="002D739A" w:rsidP="002D739A">
      <w:pPr>
        <w:spacing w:line="360" w:lineRule="auto"/>
        <w:contextualSpacing/>
        <w:rPr>
          <w:rFonts w:eastAsia="Times New Roman" w:cs="Tahoma"/>
          <w:color w:val="0D0D0D"/>
          <w:lang w:val="es-ES_tradnl" w:eastAsia="es-ES"/>
        </w:rPr>
      </w:pPr>
    </w:p>
    <w:p w14:paraId="02848CD5" w14:textId="77777777" w:rsidR="002D739A" w:rsidRPr="00E96B60" w:rsidRDefault="002D739A" w:rsidP="002D739A">
      <w:pPr>
        <w:spacing w:line="360" w:lineRule="auto"/>
        <w:contextualSpacing/>
        <w:rPr>
          <w:rFonts w:eastAsia="Times New Roman" w:cs="Tahoma"/>
          <w:color w:val="0D0D0D"/>
          <w:lang w:val="es-ES_tradnl" w:eastAsia="es-ES"/>
        </w:rPr>
      </w:pPr>
      <w:r w:rsidRPr="00E96B60">
        <w:rPr>
          <w:rFonts w:eastAsia="Times New Roman" w:cs="Tahoma"/>
          <w:color w:val="0D0D0D"/>
          <w:lang w:val="es-ES_tradnl" w:eastAsia="es-ES"/>
        </w:rPr>
        <w:t>Conforme a lo anterior, se advierte lo siguiente:</w:t>
      </w:r>
    </w:p>
    <w:p w14:paraId="321B6E91" w14:textId="77777777" w:rsidR="002D739A" w:rsidRPr="00E96B60" w:rsidRDefault="002D739A" w:rsidP="002D739A">
      <w:pPr>
        <w:spacing w:line="360" w:lineRule="auto"/>
        <w:contextualSpacing/>
        <w:rPr>
          <w:rFonts w:eastAsia="Times New Roman" w:cs="Tahoma"/>
          <w:color w:val="0D0D0D"/>
          <w:lang w:val="es-ES_tradnl" w:eastAsia="es-ES"/>
        </w:rPr>
      </w:pPr>
    </w:p>
    <w:p w14:paraId="616D8A71" w14:textId="77777777" w:rsidR="002D739A" w:rsidRPr="00E96B60" w:rsidRDefault="002D739A" w:rsidP="002D739A">
      <w:pPr>
        <w:numPr>
          <w:ilvl w:val="0"/>
          <w:numId w:val="33"/>
        </w:numPr>
        <w:spacing w:line="360" w:lineRule="auto"/>
        <w:contextualSpacing/>
        <w:jc w:val="left"/>
        <w:rPr>
          <w:rFonts w:eastAsia="Times New Roman" w:cs="Tahoma"/>
          <w:b/>
          <w:color w:val="0D0D0D"/>
          <w:lang w:val="es-ES_tradnl" w:eastAsia="es-ES"/>
        </w:rPr>
      </w:pPr>
      <w:r w:rsidRPr="00E96B60">
        <w:rPr>
          <w:rFonts w:eastAsia="Times New Roman" w:cs="Tahoma"/>
          <w:b/>
          <w:color w:val="0D0D0D"/>
          <w:lang w:val="es-ES_tradnl" w:eastAsia="es-ES"/>
        </w:rPr>
        <w:t xml:space="preserve">Fundamentación: </w:t>
      </w:r>
      <w:r w:rsidRPr="00E96B60">
        <w:rPr>
          <w:rFonts w:eastAsia="Times New Roman" w:cs="Tahoma"/>
          <w:color w:val="0D0D0D"/>
          <w:lang w:val="es-ES_tradnl" w:eastAsia="es-ES"/>
        </w:rPr>
        <w:t>Obligación de la autoridad que emite un acto, para citar los preceptos legales, sustantivos y adjetivos, en que se apoye para la determinación tomada.</w:t>
      </w:r>
    </w:p>
    <w:p w14:paraId="35C1D0EC" w14:textId="77777777" w:rsidR="002D739A" w:rsidRPr="00E96B60" w:rsidRDefault="002D739A" w:rsidP="002D739A">
      <w:pPr>
        <w:numPr>
          <w:ilvl w:val="0"/>
          <w:numId w:val="33"/>
        </w:numPr>
        <w:spacing w:line="360" w:lineRule="auto"/>
        <w:contextualSpacing/>
        <w:jc w:val="left"/>
        <w:rPr>
          <w:rFonts w:eastAsia="Times New Roman" w:cs="Tahoma"/>
          <w:b/>
          <w:color w:val="0D0D0D"/>
          <w:lang w:val="es-ES_tradnl" w:eastAsia="es-ES"/>
        </w:rPr>
      </w:pPr>
      <w:r w:rsidRPr="00E96B60">
        <w:rPr>
          <w:rFonts w:eastAsia="Times New Roman" w:cs="Tahoma"/>
          <w:b/>
          <w:color w:val="0D0D0D"/>
          <w:lang w:val="es-ES_tradnl" w:eastAsia="es-ES"/>
        </w:rPr>
        <w:t xml:space="preserve">Motivación: </w:t>
      </w:r>
      <w:r w:rsidRPr="00E96B60">
        <w:rPr>
          <w:rFonts w:eastAsia="Times New Roman" w:cs="Tahoma"/>
          <w:color w:val="0D0D0D"/>
          <w:lang w:val="es-ES_tradnl" w:eastAsia="es-ES"/>
        </w:rPr>
        <w:t>Razonamientos lógico-jurídicos sobre porque se consideró en el caso en concreto, que se ajusta a la hipótesis normativa.</w:t>
      </w:r>
    </w:p>
    <w:p w14:paraId="6778BC68" w14:textId="77777777" w:rsidR="002D739A" w:rsidRPr="00E96B60" w:rsidRDefault="002D739A" w:rsidP="002D739A">
      <w:pPr>
        <w:spacing w:line="360" w:lineRule="auto"/>
        <w:contextualSpacing/>
        <w:rPr>
          <w:rFonts w:eastAsia="Times New Roman" w:cs="Tahoma"/>
          <w:color w:val="0D0D0D"/>
          <w:lang w:val="es-ES_tradnl" w:eastAsia="es-ES"/>
        </w:rPr>
      </w:pPr>
    </w:p>
    <w:p w14:paraId="1DE0D759" w14:textId="77777777" w:rsidR="002D739A" w:rsidRPr="00E96B60" w:rsidRDefault="002D739A" w:rsidP="002D739A">
      <w:pPr>
        <w:spacing w:line="360" w:lineRule="auto"/>
        <w:contextualSpacing/>
        <w:rPr>
          <w:rFonts w:eastAsia="Times New Roman" w:cs="Tahoma"/>
          <w:color w:val="0D0D0D"/>
          <w:lang w:val="es-ES" w:eastAsia="es-ES"/>
        </w:rPr>
      </w:pPr>
      <w:r w:rsidRPr="00E96B60">
        <w:rPr>
          <w:rFonts w:eastAsia="Times New Roman" w:cs="Tahoma"/>
          <w:color w:val="0D0D0D"/>
          <w:lang w:val="es-ES" w:eastAsia="es-ES"/>
        </w:rPr>
        <w:t>En ese orden de ideas, el Trigésimo tercero de los Lineamientos Generales, establece la forma en que se debe fundamentar y motivar la reserva de la información, es decir, a través de los siguientes pasos:</w:t>
      </w:r>
    </w:p>
    <w:p w14:paraId="55B22495" w14:textId="77777777" w:rsidR="002D739A" w:rsidRPr="00E96B60" w:rsidRDefault="002D739A" w:rsidP="002D739A">
      <w:pPr>
        <w:spacing w:line="360" w:lineRule="auto"/>
        <w:contextualSpacing/>
        <w:rPr>
          <w:rFonts w:eastAsia="Times New Roman" w:cs="Tahoma"/>
          <w:color w:val="0D0D0D"/>
          <w:lang w:val="es-ES_tradnl" w:eastAsia="es-ES"/>
        </w:rPr>
      </w:pPr>
    </w:p>
    <w:p w14:paraId="2E324B43" w14:textId="77777777" w:rsidR="002D739A" w:rsidRPr="00E96B60" w:rsidRDefault="002D739A" w:rsidP="004C47FA">
      <w:pPr>
        <w:numPr>
          <w:ilvl w:val="0"/>
          <w:numId w:val="34"/>
        </w:numPr>
        <w:spacing w:line="360" w:lineRule="auto"/>
        <w:contextualSpacing/>
        <w:rPr>
          <w:rFonts w:eastAsia="Times New Roman" w:cs="Tahoma"/>
          <w:color w:val="0D0D0D"/>
          <w:lang w:val="es-ES_tradnl" w:eastAsia="es-ES"/>
        </w:rPr>
      </w:pPr>
      <w:r w:rsidRPr="00E96B60">
        <w:rPr>
          <w:rFonts w:eastAsia="Times New Roman" w:cs="Tahoma"/>
          <w:color w:val="0D0D0D"/>
          <w:lang w:val="es-ES_tradnl" w:eastAsia="es-ES"/>
        </w:rPr>
        <w:t xml:space="preserve">Se deberá fundar la clasificación, al citar la fracción y, en su caso, la causal aplicable de las Ley General de Transparencia y Acceso a la Información Pública o, en el presente caso, de la Ley de Transparencia y Acceso a la Información Pública del Estado de México y Municipios, vinculándola con el Lineamiento específico; </w:t>
      </w:r>
    </w:p>
    <w:p w14:paraId="5A7E08BA" w14:textId="77777777" w:rsidR="002D739A" w:rsidRPr="00E96B60" w:rsidRDefault="002D739A" w:rsidP="004C47FA">
      <w:pPr>
        <w:spacing w:after="0" w:line="360" w:lineRule="auto"/>
        <w:ind w:left="720"/>
        <w:contextualSpacing/>
        <w:rPr>
          <w:rFonts w:eastAsia="Times New Roman" w:cs="Tahoma"/>
          <w:color w:val="0D0D0D"/>
          <w:lang w:val="es-ES_tradnl" w:eastAsia="es-ES"/>
        </w:rPr>
      </w:pPr>
    </w:p>
    <w:p w14:paraId="3021BB09" w14:textId="77777777" w:rsidR="002D739A" w:rsidRPr="00E96B60" w:rsidRDefault="002D739A" w:rsidP="004C47FA">
      <w:pPr>
        <w:numPr>
          <w:ilvl w:val="0"/>
          <w:numId w:val="34"/>
        </w:numPr>
        <w:spacing w:line="360" w:lineRule="auto"/>
        <w:contextualSpacing/>
        <w:rPr>
          <w:rFonts w:eastAsia="Times New Roman" w:cs="Tahoma"/>
          <w:color w:val="0D0D0D"/>
          <w:lang w:val="es-ES" w:eastAsia="es-ES"/>
        </w:rPr>
      </w:pPr>
      <w:r w:rsidRPr="00E96B60">
        <w:rPr>
          <w:rFonts w:eastAsia="Times New Roman" w:cs="Tahoma"/>
          <w:color w:val="0D0D0D"/>
          <w:lang w:val="es-ES" w:eastAsia="es-ES"/>
        </w:rPr>
        <w:lastRenderedPageBreak/>
        <w:t>Se deberá motivar la clasificación, al señalar las circunstancias de modo, tiempo y lugar del daño</w:t>
      </w:r>
      <w:r w:rsidRPr="00E96B60">
        <w:rPr>
          <w:rFonts w:eastAsia="Times New Roman"/>
          <w:color w:val="auto"/>
          <w:lang w:val="es-ES_tradnl" w:eastAsia="es-ES"/>
        </w:rPr>
        <w:t xml:space="preserve"> </w:t>
      </w:r>
      <w:r w:rsidRPr="00E96B60">
        <w:rPr>
          <w:rFonts w:eastAsia="Times New Roman" w:cs="Tahoma"/>
          <w:color w:val="0D0D0D"/>
          <w:lang w:val="es-ES" w:eastAsia="es-ES"/>
        </w:rPr>
        <w:t>que acrediten el vínculo entre la difusión de la información y la afectación al interés público.</w:t>
      </w:r>
    </w:p>
    <w:p w14:paraId="19111E97" w14:textId="77777777" w:rsidR="002D739A" w:rsidRPr="00E96B60" w:rsidRDefault="002D739A" w:rsidP="004C47FA">
      <w:pPr>
        <w:spacing w:after="0" w:line="360" w:lineRule="auto"/>
        <w:ind w:left="720"/>
        <w:contextualSpacing/>
        <w:rPr>
          <w:rFonts w:eastAsia="Times New Roman" w:cs="Tahoma"/>
          <w:color w:val="0D0D0D"/>
          <w:lang w:val="es-ES" w:eastAsia="es-ES"/>
        </w:rPr>
      </w:pPr>
    </w:p>
    <w:p w14:paraId="40CF43EC" w14:textId="77777777" w:rsidR="002D739A" w:rsidRPr="00E96B60" w:rsidRDefault="002D739A" w:rsidP="004C47FA">
      <w:pPr>
        <w:numPr>
          <w:ilvl w:val="0"/>
          <w:numId w:val="34"/>
        </w:numPr>
        <w:spacing w:line="360" w:lineRule="auto"/>
        <w:contextualSpacing/>
        <w:rPr>
          <w:rFonts w:eastAsia="Times New Roman" w:cs="Tahoma"/>
          <w:color w:val="0D0D0D"/>
          <w:lang w:val="es-ES" w:eastAsia="es-ES"/>
        </w:rPr>
      </w:pPr>
      <w:r w:rsidRPr="00E96B60">
        <w:rPr>
          <w:rFonts w:eastAsia="Times New Roman" w:cs="Tahoma"/>
          <w:color w:val="0D0D0D"/>
          <w:lang w:val="es-ES" w:eastAsia="es-ES"/>
        </w:rPr>
        <w:t>Se tendrán que indicar las razones objetivas por las que la apertura de la información generaría una afectación, por medio del riesgo real, demostrable e identificable;</w:t>
      </w:r>
    </w:p>
    <w:p w14:paraId="6A6D8FFF" w14:textId="77777777" w:rsidR="002D739A" w:rsidRPr="00E96B60" w:rsidRDefault="002D739A" w:rsidP="004C47FA">
      <w:pPr>
        <w:spacing w:after="0" w:line="360" w:lineRule="auto"/>
        <w:ind w:left="720"/>
        <w:contextualSpacing/>
        <w:rPr>
          <w:rFonts w:eastAsia="Times New Roman" w:cs="Tahoma"/>
          <w:color w:val="0D0D0D"/>
          <w:lang w:val="es-ES" w:eastAsia="es-ES"/>
        </w:rPr>
      </w:pPr>
    </w:p>
    <w:p w14:paraId="083A0C9F" w14:textId="77777777" w:rsidR="002D739A" w:rsidRPr="00E96B60" w:rsidRDefault="002D739A" w:rsidP="004C47FA">
      <w:pPr>
        <w:numPr>
          <w:ilvl w:val="0"/>
          <w:numId w:val="34"/>
        </w:numPr>
        <w:spacing w:line="360" w:lineRule="auto"/>
        <w:contextualSpacing/>
        <w:rPr>
          <w:rFonts w:eastAsia="Times New Roman" w:cs="Tahoma"/>
          <w:color w:val="0D0D0D"/>
          <w:lang w:val="es-ES" w:eastAsia="es-ES"/>
        </w:rPr>
      </w:pPr>
      <w:r w:rsidRPr="00E96B60">
        <w:rPr>
          <w:rFonts w:eastAsia="Times New Roman" w:cs="Tahoma"/>
          <w:color w:val="0D0D0D"/>
          <w:lang w:val="es-ES" w:eastAsia="es-ES"/>
        </w:rPr>
        <w:t>Mediante un ejercicio de ponderación, se tendrá que acreditar que la publicidad de la información, generaría un riesgo de perjuicio que supera el interés público;</w:t>
      </w:r>
    </w:p>
    <w:p w14:paraId="3602E137" w14:textId="77777777" w:rsidR="002D739A" w:rsidRPr="00E96B60" w:rsidRDefault="002D739A" w:rsidP="004C47FA">
      <w:pPr>
        <w:spacing w:after="0" w:line="360" w:lineRule="auto"/>
        <w:ind w:left="720"/>
        <w:contextualSpacing/>
        <w:rPr>
          <w:rFonts w:eastAsia="Times New Roman" w:cs="Tahoma"/>
          <w:color w:val="0D0D0D"/>
          <w:lang w:val="es-ES" w:eastAsia="es-ES"/>
        </w:rPr>
      </w:pPr>
    </w:p>
    <w:p w14:paraId="2786D053" w14:textId="77777777" w:rsidR="002D739A" w:rsidRPr="00E96B60" w:rsidRDefault="002D739A" w:rsidP="004C47FA">
      <w:pPr>
        <w:numPr>
          <w:ilvl w:val="0"/>
          <w:numId w:val="34"/>
        </w:numPr>
        <w:spacing w:line="360" w:lineRule="auto"/>
        <w:contextualSpacing/>
        <w:rPr>
          <w:rFonts w:eastAsia="Times New Roman" w:cs="Tahoma"/>
          <w:color w:val="0D0D0D"/>
          <w:lang w:val="es-ES" w:eastAsia="es-ES"/>
        </w:rPr>
      </w:pPr>
      <w:r w:rsidRPr="00E96B60">
        <w:rPr>
          <w:rFonts w:eastAsia="Times New Roman" w:cs="Tahoma"/>
          <w:color w:val="0D0D0D"/>
          <w:lang w:val="es-ES" w:eastAsia="es-ES"/>
        </w:rPr>
        <w:t>Se elegirá la opción de excepción al acceso a la información que menos restrinja, la cual será adecuada y proporcional para la protección del interés público, y</w:t>
      </w:r>
    </w:p>
    <w:p w14:paraId="79F2D5B8" w14:textId="77777777" w:rsidR="002D739A" w:rsidRPr="00E96B60" w:rsidRDefault="002D739A" w:rsidP="004C47FA">
      <w:pPr>
        <w:spacing w:after="0" w:line="360" w:lineRule="auto"/>
        <w:ind w:left="720"/>
        <w:contextualSpacing/>
        <w:rPr>
          <w:rFonts w:eastAsia="Times New Roman" w:cs="Tahoma"/>
          <w:color w:val="0D0D0D"/>
          <w:lang w:val="es-ES" w:eastAsia="es-ES"/>
        </w:rPr>
      </w:pPr>
    </w:p>
    <w:p w14:paraId="73FDDE50" w14:textId="77777777" w:rsidR="002D739A" w:rsidRPr="00E96B60" w:rsidRDefault="002D739A" w:rsidP="004C47FA">
      <w:pPr>
        <w:numPr>
          <w:ilvl w:val="0"/>
          <w:numId w:val="34"/>
        </w:numPr>
        <w:spacing w:line="360" w:lineRule="auto"/>
        <w:contextualSpacing/>
        <w:rPr>
          <w:rFonts w:eastAsia="Times New Roman" w:cs="Tahoma"/>
          <w:color w:val="0D0D0D"/>
          <w:lang w:val="es-ES" w:eastAsia="es-ES"/>
        </w:rPr>
      </w:pPr>
      <w:r w:rsidRPr="00E96B60">
        <w:rPr>
          <w:rFonts w:eastAsia="Times New Roman" w:cs="Tahoma"/>
          <w:color w:val="0D0D0D"/>
          <w:lang w:val="es-ES" w:eastAsia="es-ES"/>
        </w:rPr>
        <w:t>Se deberá desarrollar la prueba de daño con la mayor claridad y precisión posible.</w:t>
      </w:r>
    </w:p>
    <w:p w14:paraId="6D46A79C" w14:textId="77777777" w:rsidR="002D739A" w:rsidRPr="00E96B60" w:rsidRDefault="002D739A" w:rsidP="002D739A">
      <w:pPr>
        <w:spacing w:line="360" w:lineRule="auto"/>
        <w:contextualSpacing/>
        <w:rPr>
          <w:rFonts w:eastAsia="Times New Roman" w:cs="Tahoma"/>
          <w:b/>
          <w:color w:val="0D0D0D"/>
          <w:lang w:val="es-ES_tradnl" w:eastAsia="es-ES"/>
        </w:rPr>
      </w:pPr>
    </w:p>
    <w:p w14:paraId="4A98F1F3" w14:textId="52A5A506" w:rsidR="002D739A" w:rsidRPr="00E96B60" w:rsidRDefault="002D739A" w:rsidP="002D739A">
      <w:pPr>
        <w:autoSpaceDE w:val="0"/>
        <w:autoSpaceDN w:val="0"/>
        <w:adjustRightInd w:val="0"/>
        <w:spacing w:line="360" w:lineRule="auto"/>
        <w:contextualSpacing/>
        <w:rPr>
          <w:rFonts w:eastAsia="Times New Roman" w:cs="Tahoma"/>
          <w:color w:val="auto"/>
          <w:lang w:eastAsia="es-ES"/>
        </w:rPr>
      </w:pPr>
      <w:r w:rsidRPr="00E96B60">
        <w:rPr>
          <w:rFonts w:eastAsia="Times New Roman" w:cs="Tahoma"/>
          <w:color w:val="auto"/>
          <w:lang w:eastAsia="es-ES"/>
        </w:rPr>
        <w:t>Ahora bien, del análisis de la respuesta, se logró vislumbrar que, no se fundamentó, ni motivó la clasificación de la información de manera correcta, por las siguientes circunstancias:</w:t>
      </w:r>
    </w:p>
    <w:p w14:paraId="6886CEDE" w14:textId="77777777" w:rsidR="002D739A" w:rsidRPr="00E96B60" w:rsidRDefault="002D739A" w:rsidP="002D739A">
      <w:pPr>
        <w:spacing w:line="360" w:lineRule="auto"/>
        <w:contextualSpacing/>
        <w:rPr>
          <w:rFonts w:eastAsia="Times New Roman" w:cs="Tahoma"/>
          <w:color w:val="0D0D0D"/>
          <w:sz w:val="20"/>
          <w:szCs w:val="20"/>
          <w:lang w:val="es-ES" w:eastAsia="es-ES"/>
        </w:rPr>
      </w:pPr>
    </w:p>
    <w:p w14:paraId="16BB0174" w14:textId="4B1FBADF" w:rsidR="002D739A" w:rsidRPr="00E96B60" w:rsidRDefault="002D739A" w:rsidP="00986CDA">
      <w:pPr>
        <w:numPr>
          <w:ilvl w:val="0"/>
          <w:numId w:val="35"/>
        </w:numPr>
        <w:spacing w:line="360" w:lineRule="auto"/>
        <w:contextualSpacing/>
        <w:rPr>
          <w:rFonts w:cs="Tahoma"/>
          <w:bCs/>
          <w:color w:val="0D0D0D"/>
          <w:lang w:val="es-ES_tradnl" w:eastAsia="es-ES"/>
        </w:rPr>
      </w:pPr>
      <w:r w:rsidRPr="00E96B60">
        <w:rPr>
          <w:rFonts w:cs="Tahoma"/>
          <w:bCs/>
          <w:color w:val="0D0D0D"/>
          <w:lang w:val="es-ES_tradnl" w:eastAsia="es-ES"/>
        </w:rPr>
        <w:t xml:space="preserve">No señaló de manera clara y precisa los artículos de los ordenamientos jurídicos aplicables, pues </w:t>
      </w:r>
      <w:r w:rsidR="00986CDA" w:rsidRPr="00E96B60">
        <w:rPr>
          <w:rFonts w:cs="Tahoma"/>
          <w:bCs/>
          <w:color w:val="0D0D0D"/>
          <w:lang w:val="es-ES_tradnl" w:eastAsia="es-ES"/>
        </w:rPr>
        <w:t>el artículo 113, fracción X de la Ley General de Transparencia y el Vigésimo Noveno, hablan del debido proceso, mientras que la fracción X, del 140 de la Ley Local de Transparencia, habla de juicios o procedimientos en trámite.</w:t>
      </w:r>
    </w:p>
    <w:p w14:paraId="1F337AB6" w14:textId="77777777" w:rsidR="002D739A" w:rsidRPr="00E96B60" w:rsidRDefault="002D739A" w:rsidP="002D739A">
      <w:pPr>
        <w:spacing w:after="0" w:line="360" w:lineRule="auto"/>
        <w:ind w:left="720"/>
        <w:contextualSpacing/>
        <w:rPr>
          <w:rFonts w:cs="Tahoma"/>
          <w:bCs/>
          <w:color w:val="0D0D0D"/>
          <w:lang w:val="es-ES_tradnl" w:eastAsia="es-ES"/>
        </w:rPr>
      </w:pPr>
    </w:p>
    <w:p w14:paraId="14F75B1B" w14:textId="09295AF8" w:rsidR="002D739A" w:rsidRPr="00E96B60" w:rsidRDefault="002D739A" w:rsidP="00986CDA">
      <w:pPr>
        <w:numPr>
          <w:ilvl w:val="0"/>
          <w:numId w:val="35"/>
        </w:numPr>
        <w:spacing w:line="360" w:lineRule="auto"/>
        <w:contextualSpacing/>
        <w:rPr>
          <w:rFonts w:cs="Tahoma"/>
          <w:bCs/>
          <w:color w:val="0D0D0D"/>
          <w:lang w:val="es-ES_tradnl" w:eastAsia="es-ES"/>
        </w:rPr>
      </w:pPr>
      <w:r w:rsidRPr="00E96B60">
        <w:rPr>
          <w:rFonts w:cs="Tahoma"/>
          <w:bCs/>
          <w:color w:val="0D0D0D"/>
          <w:lang w:val="es-ES_tradnl" w:eastAsia="es-ES"/>
        </w:rPr>
        <w:t xml:space="preserve">No acreditó las razones objetivas, concretas y específicas por las cuales la apertura de la información generaría una afectación que rebase el interés público, pues, el Sujeto Obligado </w:t>
      </w:r>
      <w:r w:rsidR="00986CDA" w:rsidRPr="00E96B60">
        <w:rPr>
          <w:rFonts w:cs="Tahoma"/>
          <w:bCs/>
          <w:color w:val="0D0D0D"/>
          <w:lang w:val="es-ES_tradnl" w:eastAsia="es-ES"/>
        </w:rPr>
        <w:t>realiz</w:t>
      </w:r>
      <w:r w:rsidR="004C47FA" w:rsidRPr="00E96B60">
        <w:rPr>
          <w:rFonts w:cs="Tahoma"/>
          <w:bCs/>
          <w:color w:val="0D0D0D"/>
          <w:lang w:val="es-ES_tradnl" w:eastAsia="es-ES"/>
        </w:rPr>
        <w:t>ó</w:t>
      </w:r>
      <w:r w:rsidR="00986CDA" w:rsidRPr="00E96B60">
        <w:rPr>
          <w:rFonts w:cs="Tahoma"/>
          <w:bCs/>
          <w:color w:val="0D0D0D"/>
          <w:lang w:val="es-ES_tradnl" w:eastAsia="es-ES"/>
        </w:rPr>
        <w:t xml:space="preserve"> diversas manifestaciones relacionadas con procedimientos de </w:t>
      </w:r>
      <w:r w:rsidR="00986CDA" w:rsidRPr="00E96B60">
        <w:rPr>
          <w:rFonts w:cs="Tahoma"/>
          <w:bCs/>
          <w:color w:val="0D0D0D"/>
          <w:lang w:val="es-ES_tradnl" w:eastAsia="es-ES"/>
        </w:rPr>
        <w:lastRenderedPageBreak/>
        <w:t>investigación, cuando la información requerida recae en</w:t>
      </w:r>
      <w:r w:rsidR="004723F7" w:rsidRPr="00E96B60">
        <w:rPr>
          <w:rFonts w:cs="Tahoma"/>
          <w:bCs/>
          <w:color w:val="0D0D0D"/>
          <w:lang w:val="es-ES_tradnl" w:eastAsia="es-ES"/>
        </w:rPr>
        <w:t xml:space="preserve"> oficios realizados en ejercicio de sus funciones. </w:t>
      </w:r>
    </w:p>
    <w:p w14:paraId="706EDD1E" w14:textId="77777777" w:rsidR="002D739A" w:rsidRPr="00E96B60" w:rsidRDefault="002D739A" w:rsidP="002D739A">
      <w:pPr>
        <w:spacing w:after="0" w:line="360" w:lineRule="auto"/>
        <w:ind w:left="720"/>
        <w:contextualSpacing/>
        <w:rPr>
          <w:rFonts w:cs="Tahoma"/>
          <w:bCs/>
          <w:color w:val="0D0D0D"/>
          <w:lang w:val="es-ES_tradnl" w:eastAsia="es-ES"/>
        </w:rPr>
      </w:pPr>
    </w:p>
    <w:p w14:paraId="032FB00E" w14:textId="7EB54A2B" w:rsidR="00986CDA" w:rsidRPr="00E96B60" w:rsidRDefault="002D739A" w:rsidP="0052179E">
      <w:pPr>
        <w:numPr>
          <w:ilvl w:val="0"/>
          <w:numId w:val="35"/>
        </w:numPr>
        <w:spacing w:line="360" w:lineRule="auto"/>
        <w:contextualSpacing/>
        <w:rPr>
          <w:rFonts w:eastAsia="Times New Roman" w:cs="Tahoma"/>
          <w:color w:val="0D0D0D"/>
          <w:lang w:val="es-ES_tradnl" w:eastAsia="es-ES"/>
        </w:rPr>
      </w:pPr>
      <w:r w:rsidRPr="00E96B60">
        <w:rPr>
          <w:rFonts w:eastAsia="Times New Roman" w:cs="Tahoma"/>
          <w:color w:val="0D0D0D"/>
          <w:lang w:val="es-ES_tradnl" w:eastAsia="es-ES"/>
        </w:rPr>
        <w:t xml:space="preserve">No acreditó el vínculo entre la información peticionada y la afectación que podría causar, pues únicamente </w:t>
      </w:r>
      <w:r w:rsidR="00986CDA" w:rsidRPr="00E96B60">
        <w:rPr>
          <w:rFonts w:eastAsia="Times New Roman" w:cs="Tahoma"/>
          <w:color w:val="0D0D0D"/>
          <w:lang w:val="es-ES_tradnl" w:eastAsia="es-ES"/>
        </w:rPr>
        <w:t>que podía podría menoscabar el debido proceso, las estrategias de investigación, técnicas de inspección y supervisión.</w:t>
      </w:r>
    </w:p>
    <w:p w14:paraId="0B0D4F8C" w14:textId="77777777" w:rsidR="002D739A" w:rsidRPr="00E96B60" w:rsidRDefault="002D739A" w:rsidP="002D739A">
      <w:pPr>
        <w:spacing w:after="0" w:line="360" w:lineRule="auto"/>
        <w:ind w:left="720"/>
        <w:contextualSpacing/>
        <w:rPr>
          <w:rFonts w:eastAsia="Times New Roman" w:cs="Tahoma"/>
          <w:color w:val="0D0D0D"/>
          <w:lang w:val="es-ES_tradnl" w:eastAsia="es-ES"/>
        </w:rPr>
      </w:pPr>
    </w:p>
    <w:p w14:paraId="065E0A5D" w14:textId="2647DD5B" w:rsidR="00986CDA" w:rsidRPr="00E96B60" w:rsidRDefault="002D739A" w:rsidP="00986CDA">
      <w:pPr>
        <w:numPr>
          <w:ilvl w:val="0"/>
          <w:numId w:val="35"/>
        </w:numPr>
        <w:spacing w:line="360" w:lineRule="auto"/>
        <w:contextualSpacing/>
        <w:rPr>
          <w:rFonts w:cs="Tahoma"/>
          <w:bCs/>
          <w:color w:val="0D0D0D"/>
          <w:lang w:eastAsia="es-ES"/>
        </w:rPr>
      </w:pPr>
      <w:r w:rsidRPr="00E96B60">
        <w:rPr>
          <w:rFonts w:cs="Tahoma"/>
          <w:bCs/>
          <w:color w:val="0D0D0D"/>
          <w:lang w:val="es-ES_tradnl" w:eastAsia="es-ES"/>
        </w:rPr>
        <w:t xml:space="preserve">No se establecieron las razones, por las cuales la reserva era el medio menos restrictivo, para la protección del interés jurídico, pues </w:t>
      </w:r>
      <w:r w:rsidRPr="00E96B60">
        <w:rPr>
          <w:rFonts w:cs="Tahoma"/>
          <w:bCs/>
          <w:color w:val="0D0D0D"/>
          <w:lang w:val="x-none" w:eastAsia="es-ES"/>
        </w:rPr>
        <w:t xml:space="preserve">únicamente </w:t>
      </w:r>
      <w:r w:rsidR="00986CDA" w:rsidRPr="00E96B60">
        <w:rPr>
          <w:rFonts w:cs="Tahoma"/>
          <w:bCs/>
          <w:color w:val="0D0D0D"/>
          <w:lang w:eastAsia="es-ES"/>
        </w:rPr>
        <w:t xml:space="preserve">precisó que podría afectar la presunción de inocencia, el derecho a tener un juicio justo y la prerrogativa a ser informado de la responsabilidad administrativa por lo cual se le investiga; sin </w:t>
      </w:r>
      <w:r w:rsidR="003476AC" w:rsidRPr="00E96B60">
        <w:rPr>
          <w:rFonts w:cs="Tahoma"/>
          <w:bCs/>
          <w:color w:val="0D0D0D"/>
          <w:lang w:eastAsia="es-ES"/>
        </w:rPr>
        <w:t>embargo,</w:t>
      </w:r>
      <w:r w:rsidR="00986CDA" w:rsidRPr="00E96B60">
        <w:rPr>
          <w:rFonts w:cs="Tahoma"/>
          <w:bCs/>
          <w:color w:val="0D0D0D"/>
          <w:lang w:eastAsia="es-ES"/>
        </w:rPr>
        <w:t xml:space="preserve"> no se requirió información de las indagaciones y procedimientos </w:t>
      </w:r>
      <w:r w:rsidR="003476AC" w:rsidRPr="00E96B60">
        <w:rPr>
          <w:rFonts w:cs="Tahoma"/>
          <w:bCs/>
          <w:color w:val="0D0D0D"/>
          <w:lang w:eastAsia="es-ES"/>
        </w:rPr>
        <w:t xml:space="preserve">ejecutados por la Unidad de Asuntos Internos, pues únicamente quiere </w:t>
      </w:r>
      <w:r w:rsidR="004723F7" w:rsidRPr="00E96B60">
        <w:rPr>
          <w:rFonts w:cs="Tahoma"/>
          <w:bCs/>
          <w:color w:val="0D0D0D"/>
          <w:lang w:eastAsia="es-ES"/>
        </w:rPr>
        <w:t xml:space="preserve">oficios. </w:t>
      </w:r>
    </w:p>
    <w:p w14:paraId="65D0AA5B" w14:textId="77777777" w:rsidR="002D739A" w:rsidRPr="00E96B60" w:rsidRDefault="002D739A" w:rsidP="002D739A">
      <w:pPr>
        <w:autoSpaceDE w:val="0"/>
        <w:autoSpaceDN w:val="0"/>
        <w:adjustRightInd w:val="0"/>
        <w:spacing w:line="360" w:lineRule="auto"/>
        <w:contextualSpacing/>
        <w:rPr>
          <w:rFonts w:eastAsia="Times New Roman" w:cs="Tahoma"/>
          <w:color w:val="auto"/>
          <w:lang w:eastAsia="es-ES"/>
        </w:rPr>
      </w:pPr>
      <w:r w:rsidRPr="00E96B60">
        <w:rPr>
          <w:rFonts w:eastAsia="Times New Roman" w:cs="Tahoma"/>
          <w:color w:val="auto"/>
          <w:lang w:val="es-ES_tradnl" w:eastAsia="es-ES"/>
        </w:rPr>
        <w:t xml:space="preserve"> </w:t>
      </w:r>
    </w:p>
    <w:p w14:paraId="5A6E456C" w14:textId="282F9220" w:rsidR="000B1D07" w:rsidRPr="00E96B60" w:rsidRDefault="002D739A" w:rsidP="003476AC">
      <w:pPr>
        <w:spacing w:line="360" w:lineRule="auto"/>
        <w:contextualSpacing/>
        <w:rPr>
          <w:rFonts w:cs="Tahoma"/>
          <w:bCs/>
          <w:color w:val="0D0D0D"/>
          <w:lang w:val="es-ES_tradnl" w:eastAsia="es-ES"/>
        </w:rPr>
      </w:pPr>
      <w:bookmarkStart w:id="4" w:name="_Hlk182416306"/>
      <w:r w:rsidRPr="00E96B60">
        <w:rPr>
          <w:rFonts w:cs="Tahoma"/>
          <w:bCs/>
          <w:color w:val="0D0D0D"/>
          <w:lang w:val="es-ES_tradnl" w:eastAsia="es-ES"/>
        </w:rPr>
        <w:t>Así, se advierte que el Sujeto Obligado, no fundamentó y motivó la reserva, pues no realizó de manera correcta, la prueba de daño, señalada en el Trigésimo tercero de los Lineamientos Generales, relacionado con el artículo 129 de la Ley de Transparencia y Acceso a la Información Pública del Estado de México y Municipios</w:t>
      </w:r>
      <w:r w:rsidR="003476AC" w:rsidRPr="00E96B60">
        <w:rPr>
          <w:rFonts w:cs="Tahoma"/>
          <w:bCs/>
          <w:color w:val="0D0D0D"/>
          <w:lang w:val="es-ES_tradnl" w:eastAsia="es-ES"/>
        </w:rPr>
        <w:t>; sin menoscabar, lo anterior, se procede analizar la causal de reserva aludida por el Sujeto Obligado, es decir, la del debido proceso.</w:t>
      </w:r>
    </w:p>
    <w:bookmarkEnd w:id="4"/>
    <w:p w14:paraId="241BB41A" w14:textId="77777777" w:rsidR="003476AC" w:rsidRPr="00E96B60" w:rsidRDefault="003476AC" w:rsidP="003476AC">
      <w:pPr>
        <w:spacing w:line="360" w:lineRule="auto"/>
        <w:contextualSpacing/>
        <w:rPr>
          <w:rFonts w:cs="Tahoma"/>
          <w:bCs/>
          <w:color w:val="0D0D0D"/>
          <w:lang w:val="es-ES_tradnl" w:eastAsia="es-ES"/>
        </w:rPr>
      </w:pPr>
    </w:p>
    <w:p w14:paraId="5D8822CB" w14:textId="3C4F8B74" w:rsidR="003476AC" w:rsidRPr="00E96B60" w:rsidRDefault="004C47FA" w:rsidP="003476AC">
      <w:pPr>
        <w:spacing w:after="0" w:line="360" w:lineRule="auto"/>
        <w:rPr>
          <w:rFonts w:eastAsia="Times New Roman" w:cs="Tahoma"/>
          <w:color w:val="0D0D0D" w:themeColor="text1" w:themeTint="F2"/>
          <w:lang w:val="es-ES" w:eastAsia="es-ES"/>
        </w:rPr>
      </w:pPr>
      <w:r w:rsidRPr="00E96B60">
        <w:rPr>
          <w:rFonts w:eastAsia="Times New Roman" w:cs="Tahoma"/>
          <w:color w:val="0D0D0D" w:themeColor="text1" w:themeTint="F2"/>
          <w:lang w:val="es-ES" w:eastAsia="es-ES"/>
        </w:rPr>
        <w:t xml:space="preserve">Al respecto, </w:t>
      </w:r>
      <w:r w:rsidR="003476AC" w:rsidRPr="00E96B60">
        <w:rPr>
          <w:rFonts w:eastAsia="Times New Roman" w:cs="Tahoma"/>
          <w:color w:val="0D0D0D" w:themeColor="text1" w:themeTint="F2"/>
          <w:lang w:val="es-ES" w:eastAsia="es-ES"/>
        </w:rPr>
        <w:t xml:space="preserve">el 140, fracción </w:t>
      </w:r>
      <w:r w:rsidR="005B064B" w:rsidRPr="00E96B60">
        <w:rPr>
          <w:rFonts w:eastAsia="Times New Roman" w:cs="Tahoma"/>
          <w:color w:val="0D0D0D" w:themeColor="text1" w:themeTint="F2"/>
          <w:lang w:val="es-ES" w:eastAsia="es-ES"/>
        </w:rPr>
        <w:t>X</w:t>
      </w:r>
      <w:r w:rsidR="003476AC" w:rsidRPr="00E96B60">
        <w:rPr>
          <w:rFonts w:eastAsia="Times New Roman" w:cs="Tahoma"/>
          <w:color w:val="0D0D0D" w:themeColor="text1" w:themeTint="F2"/>
          <w:lang w:val="es-ES" w:eastAsia="es-ES"/>
        </w:rPr>
        <w:t>, de la Ley de Transparencia y Acceso a la Información Pública del Estado de México y Municipios (homólogo al 113, fracción X, de la Ley General de Transparencia y Acceso a la Información Pública), mismo que establece que será información reservada, aquella que vulnere los derechos al debido proceso en los procedimientos judiciales o administrativos.</w:t>
      </w:r>
    </w:p>
    <w:p w14:paraId="4AAB9CD0" w14:textId="77777777" w:rsidR="003476AC" w:rsidRPr="00E96B60" w:rsidRDefault="003476AC" w:rsidP="003476AC">
      <w:pPr>
        <w:spacing w:after="0" w:line="360" w:lineRule="auto"/>
        <w:rPr>
          <w:rFonts w:eastAsia="Times New Roman" w:cs="Tahoma"/>
          <w:color w:val="0D0D0D" w:themeColor="text1" w:themeTint="F2"/>
          <w:lang w:val="es-ES" w:eastAsia="es-ES"/>
        </w:rPr>
      </w:pPr>
    </w:p>
    <w:p w14:paraId="34ABB3F3" w14:textId="77777777" w:rsidR="003476AC" w:rsidRPr="00E96B60" w:rsidRDefault="003476AC" w:rsidP="003476AC">
      <w:pPr>
        <w:spacing w:after="0" w:line="360" w:lineRule="auto"/>
        <w:rPr>
          <w:rFonts w:eastAsia="Times New Roman" w:cs="Tahoma"/>
          <w:color w:val="0D0D0D" w:themeColor="text1" w:themeTint="F2"/>
          <w:lang w:val="es-ES" w:eastAsia="es-ES"/>
        </w:rPr>
      </w:pPr>
      <w:r w:rsidRPr="00E96B60">
        <w:rPr>
          <w:rFonts w:eastAsia="Times New Roman" w:cs="Tahoma"/>
          <w:color w:val="0D0D0D" w:themeColor="text1" w:themeTint="F2"/>
          <w:lang w:val="es-ES" w:eastAsia="es-ES"/>
        </w:rPr>
        <w:t>En ese sentido, los Lineamientos Generales, prevén lo siguiente:</w:t>
      </w:r>
    </w:p>
    <w:p w14:paraId="3A2349B2" w14:textId="77777777" w:rsidR="003476AC" w:rsidRPr="00E96B60" w:rsidRDefault="003476AC" w:rsidP="003476AC">
      <w:pPr>
        <w:spacing w:after="0" w:line="360" w:lineRule="auto"/>
        <w:rPr>
          <w:rFonts w:eastAsia="Times New Roman" w:cs="Tahoma"/>
          <w:color w:val="0D0D0D" w:themeColor="text1" w:themeTint="F2"/>
          <w:lang w:val="es-ES" w:eastAsia="es-ES"/>
        </w:rPr>
      </w:pPr>
    </w:p>
    <w:p w14:paraId="76CEF206" w14:textId="77777777" w:rsidR="003476AC" w:rsidRPr="00E96B60" w:rsidRDefault="003476AC" w:rsidP="003476AC">
      <w:pPr>
        <w:spacing w:after="0" w:line="360" w:lineRule="auto"/>
        <w:ind w:left="567" w:right="567"/>
        <w:rPr>
          <w:rFonts w:eastAsia="Times New Roman" w:cs="Tahoma"/>
          <w:i/>
          <w:iCs/>
          <w:color w:val="0D0D0D" w:themeColor="text1" w:themeTint="F2"/>
          <w:sz w:val="20"/>
          <w:szCs w:val="20"/>
          <w:lang w:val="es-ES" w:eastAsia="es-ES"/>
        </w:rPr>
      </w:pPr>
      <w:r w:rsidRPr="00E96B60">
        <w:rPr>
          <w:rFonts w:eastAsia="Times New Roman" w:cs="Tahoma"/>
          <w:i/>
          <w:iCs/>
          <w:color w:val="0D0D0D" w:themeColor="text1" w:themeTint="F2"/>
          <w:sz w:val="20"/>
          <w:szCs w:val="20"/>
          <w:lang w:val="es-ES" w:eastAsia="es-ES"/>
        </w:rPr>
        <w:t>“</w:t>
      </w:r>
      <w:r w:rsidRPr="00E96B60">
        <w:rPr>
          <w:rFonts w:eastAsia="Times New Roman" w:cs="Tahoma"/>
          <w:b/>
          <w:i/>
          <w:iCs/>
          <w:color w:val="0D0D0D" w:themeColor="text1" w:themeTint="F2"/>
          <w:sz w:val="20"/>
          <w:szCs w:val="20"/>
          <w:lang w:val="es-ES" w:eastAsia="es-ES"/>
        </w:rPr>
        <w:t>Vigésimo noveno.</w:t>
      </w:r>
      <w:r w:rsidRPr="00E96B60">
        <w:rPr>
          <w:rFonts w:eastAsia="Times New Roman" w:cs="Tahoma"/>
          <w:i/>
          <w:iCs/>
          <w:color w:val="0D0D0D" w:themeColor="text1" w:themeTint="F2"/>
          <w:sz w:val="20"/>
          <w:szCs w:val="20"/>
          <w:lang w:val="es-ES" w:eastAsia="es-ES"/>
        </w:rPr>
        <w:t xml:space="preserve"> De conformidad con el artículo 113, fracción X de la Ley General, podrá considerarse como información reservada, aquella que de divulgarse afecte el debido proceso al actualizarse los siguientes elementos:</w:t>
      </w:r>
    </w:p>
    <w:p w14:paraId="1E9D2F7C" w14:textId="77777777" w:rsidR="003476AC" w:rsidRPr="00E96B60" w:rsidRDefault="003476AC" w:rsidP="003476AC">
      <w:pPr>
        <w:spacing w:after="0" w:line="360" w:lineRule="auto"/>
        <w:ind w:left="567" w:right="567"/>
        <w:rPr>
          <w:rFonts w:eastAsia="Times New Roman" w:cs="Tahoma"/>
          <w:i/>
          <w:iCs/>
          <w:color w:val="0D0D0D" w:themeColor="text1" w:themeTint="F2"/>
          <w:sz w:val="20"/>
          <w:szCs w:val="20"/>
          <w:lang w:val="es-ES" w:eastAsia="es-ES"/>
        </w:rPr>
      </w:pPr>
    </w:p>
    <w:p w14:paraId="0F337800" w14:textId="77777777" w:rsidR="003476AC" w:rsidRPr="00E96B60" w:rsidRDefault="003476AC" w:rsidP="003476AC">
      <w:pPr>
        <w:spacing w:after="0" w:line="360" w:lineRule="auto"/>
        <w:ind w:left="567" w:right="567"/>
        <w:rPr>
          <w:rFonts w:eastAsia="Times New Roman" w:cs="Tahoma"/>
          <w:i/>
          <w:iCs/>
          <w:color w:val="0D0D0D" w:themeColor="text1" w:themeTint="F2"/>
          <w:sz w:val="20"/>
          <w:szCs w:val="20"/>
          <w:lang w:val="es-ES" w:eastAsia="es-ES"/>
        </w:rPr>
      </w:pPr>
      <w:r w:rsidRPr="00E96B60">
        <w:rPr>
          <w:rFonts w:eastAsia="Times New Roman" w:cs="Tahoma"/>
          <w:b/>
          <w:i/>
          <w:iCs/>
          <w:color w:val="0D0D0D" w:themeColor="text1" w:themeTint="F2"/>
          <w:sz w:val="20"/>
          <w:szCs w:val="20"/>
          <w:lang w:val="es-ES" w:eastAsia="es-ES"/>
        </w:rPr>
        <w:t>I.</w:t>
      </w:r>
      <w:r w:rsidRPr="00E96B60">
        <w:rPr>
          <w:rFonts w:eastAsia="Times New Roman" w:cs="Tahoma"/>
          <w:i/>
          <w:iCs/>
          <w:color w:val="0D0D0D" w:themeColor="text1" w:themeTint="F2"/>
          <w:sz w:val="20"/>
          <w:szCs w:val="20"/>
          <w:lang w:val="es-ES" w:eastAsia="es-ES"/>
        </w:rPr>
        <w:t xml:space="preserve"> La existencia de un procedimiento judicial, administrativo o arbitral en trámite;</w:t>
      </w:r>
    </w:p>
    <w:p w14:paraId="448F4435" w14:textId="77777777" w:rsidR="003476AC" w:rsidRPr="00E96B60" w:rsidRDefault="003476AC" w:rsidP="003476AC">
      <w:pPr>
        <w:spacing w:after="0" w:line="360" w:lineRule="auto"/>
        <w:ind w:left="567" w:right="567"/>
        <w:rPr>
          <w:rFonts w:eastAsia="Times New Roman" w:cs="Tahoma"/>
          <w:i/>
          <w:iCs/>
          <w:color w:val="0D0D0D" w:themeColor="text1" w:themeTint="F2"/>
          <w:sz w:val="20"/>
          <w:szCs w:val="20"/>
          <w:lang w:val="es-ES" w:eastAsia="es-ES"/>
        </w:rPr>
      </w:pPr>
      <w:r w:rsidRPr="00E96B60">
        <w:rPr>
          <w:rFonts w:eastAsia="Times New Roman" w:cs="Tahoma"/>
          <w:b/>
          <w:i/>
          <w:iCs/>
          <w:color w:val="0D0D0D" w:themeColor="text1" w:themeTint="F2"/>
          <w:sz w:val="20"/>
          <w:szCs w:val="20"/>
          <w:lang w:val="es-ES" w:eastAsia="es-ES"/>
        </w:rPr>
        <w:t>II.</w:t>
      </w:r>
      <w:r w:rsidRPr="00E96B60">
        <w:rPr>
          <w:rFonts w:eastAsia="Times New Roman" w:cs="Tahoma"/>
          <w:i/>
          <w:iCs/>
          <w:color w:val="0D0D0D" w:themeColor="text1" w:themeTint="F2"/>
          <w:sz w:val="20"/>
          <w:szCs w:val="20"/>
          <w:lang w:val="es-ES" w:eastAsia="es-ES"/>
        </w:rPr>
        <w:t xml:space="preserve"> Que el sujeto obligado sea parte en ese procedimiento;</w:t>
      </w:r>
    </w:p>
    <w:p w14:paraId="47388589" w14:textId="77777777" w:rsidR="003476AC" w:rsidRPr="00E96B60" w:rsidRDefault="003476AC" w:rsidP="003476AC">
      <w:pPr>
        <w:spacing w:after="0" w:line="360" w:lineRule="auto"/>
        <w:ind w:left="567" w:right="567"/>
        <w:rPr>
          <w:rFonts w:eastAsia="Times New Roman" w:cs="Tahoma"/>
          <w:i/>
          <w:iCs/>
          <w:color w:val="0D0D0D" w:themeColor="text1" w:themeTint="F2"/>
          <w:sz w:val="20"/>
          <w:szCs w:val="20"/>
          <w:lang w:val="es-ES" w:eastAsia="es-ES"/>
        </w:rPr>
      </w:pPr>
      <w:r w:rsidRPr="00E96B60">
        <w:rPr>
          <w:rFonts w:eastAsia="Times New Roman" w:cs="Tahoma"/>
          <w:b/>
          <w:i/>
          <w:iCs/>
          <w:color w:val="0D0D0D" w:themeColor="text1" w:themeTint="F2"/>
          <w:sz w:val="20"/>
          <w:szCs w:val="20"/>
          <w:lang w:val="es-ES" w:eastAsia="es-ES"/>
        </w:rPr>
        <w:t>III.</w:t>
      </w:r>
      <w:r w:rsidRPr="00E96B60">
        <w:rPr>
          <w:rFonts w:eastAsia="Times New Roman" w:cs="Tahoma"/>
          <w:i/>
          <w:iCs/>
          <w:color w:val="0D0D0D" w:themeColor="text1" w:themeTint="F2"/>
          <w:sz w:val="20"/>
          <w:szCs w:val="20"/>
          <w:lang w:val="es-ES" w:eastAsia="es-ES"/>
        </w:rPr>
        <w:t xml:space="preserve"> Que la información no sea conocida por la contraparte antes de la presentación de la misma en el proceso, y</w:t>
      </w:r>
    </w:p>
    <w:p w14:paraId="5E67C244" w14:textId="77777777" w:rsidR="003476AC" w:rsidRPr="00E96B60" w:rsidRDefault="003476AC" w:rsidP="003476AC">
      <w:pPr>
        <w:spacing w:after="0" w:line="360" w:lineRule="auto"/>
        <w:ind w:left="567" w:right="567"/>
        <w:rPr>
          <w:rFonts w:eastAsia="Times New Roman" w:cs="Tahoma"/>
          <w:i/>
          <w:iCs/>
          <w:color w:val="0D0D0D" w:themeColor="text1" w:themeTint="F2"/>
          <w:sz w:val="20"/>
          <w:szCs w:val="20"/>
          <w:lang w:val="es-ES" w:eastAsia="es-ES"/>
        </w:rPr>
      </w:pPr>
      <w:r w:rsidRPr="00E96B60">
        <w:rPr>
          <w:rFonts w:eastAsia="Times New Roman" w:cs="Tahoma"/>
          <w:b/>
          <w:i/>
          <w:iCs/>
          <w:color w:val="0D0D0D" w:themeColor="text1" w:themeTint="F2"/>
          <w:sz w:val="20"/>
          <w:szCs w:val="20"/>
          <w:lang w:val="es-ES" w:eastAsia="es-ES"/>
        </w:rPr>
        <w:t xml:space="preserve">IV. </w:t>
      </w:r>
      <w:r w:rsidRPr="00E96B60">
        <w:rPr>
          <w:rFonts w:eastAsia="Times New Roman" w:cs="Tahoma"/>
          <w:i/>
          <w:iCs/>
          <w:color w:val="0D0D0D" w:themeColor="text1" w:themeTint="F2"/>
          <w:sz w:val="20"/>
          <w:szCs w:val="20"/>
          <w:lang w:val="es-ES" w:eastAsia="es-ES"/>
        </w:rPr>
        <w:t>Que con su divulgación se afecte la oportunidad de llevar a cabo alguna de las garantías del debido proceso.”</w:t>
      </w:r>
    </w:p>
    <w:p w14:paraId="4D94A150" w14:textId="77777777" w:rsidR="003476AC" w:rsidRPr="00E96B60" w:rsidRDefault="003476AC" w:rsidP="003476AC">
      <w:pPr>
        <w:spacing w:after="0" w:line="360" w:lineRule="auto"/>
        <w:rPr>
          <w:rFonts w:eastAsia="Times New Roman" w:cs="Tahoma"/>
          <w:color w:val="0D0D0D" w:themeColor="text1" w:themeTint="F2"/>
          <w:lang w:val="es-ES" w:eastAsia="es-ES"/>
        </w:rPr>
      </w:pPr>
    </w:p>
    <w:p w14:paraId="59FD6881" w14:textId="77777777" w:rsidR="003476AC" w:rsidRPr="00E96B60" w:rsidRDefault="003476AC" w:rsidP="003476AC">
      <w:pPr>
        <w:spacing w:after="0" w:line="360" w:lineRule="auto"/>
        <w:rPr>
          <w:rFonts w:eastAsia="Times New Roman" w:cs="Tahoma"/>
          <w:color w:val="0D0D0D" w:themeColor="text1" w:themeTint="F2"/>
          <w:lang w:val="es-ES" w:eastAsia="es-ES"/>
        </w:rPr>
      </w:pPr>
      <w:r w:rsidRPr="00E96B60">
        <w:rPr>
          <w:rFonts w:eastAsia="Times New Roman" w:cs="Tahoma"/>
          <w:color w:val="0D0D0D" w:themeColor="text1" w:themeTint="F2"/>
          <w:lang w:val="es-ES" w:eastAsia="es-ES"/>
        </w:rPr>
        <w:t>Del lineamiento citado, se colige que como información reservada podrá clasificarse aquella cuya publicación afecte los derechos del debido proceso. En ese contexto, para considerar que se actualiza dicha causal es necesario que se configuren los siguientes elementos:</w:t>
      </w:r>
    </w:p>
    <w:p w14:paraId="699F1306" w14:textId="77777777" w:rsidR="003476AC" w:rsidRPr="00E96B60" w:rsidRDefault="003476AC" w:rsidP="003476AC">
      <w:pPr>
        <w:spacing w:after="0" w:line="360" w:lineRule="auto"/>
        <w:rPr>
          <w:rFonts w:eastAsia="Times New Roman" w:cs="Tahoma"/>
          <w:color w:val="0D0D0D" w:themeColor="text1" w:themeTint="F2"/>
          <w:lang w:val="es-ES" w:eastAsia="es-ES"/>
        </w:rPr>
      </w:pPr>
    </w:p>
    <w:p w14:paraId="16A9B82E" w14:textId="77777777" w:rsidR="003476AC" w:rsidRPr="00E96B60" w:rsidRDefault="003476AC" w:rsidP="003476AC">
      <w:pPr>
        <w:numPr>
          <w:ilvl w:val="0"/>
          <w:numId w:val="36"/>
        </w:numPr>
        <w:spacing w:after="0" w:line="360" w:lineRule="auto"/>
        <w:jc w:val="left"/>
        <w:rPr>
          <w:rFonts w:eastAsia="Times New Roman" w:cs="Tahoma"/>
          <w:color w:val="0D0D0D" w:themeColor="text1" w:themeTint="F2"/>
          <w:lang w:val="es-ES" w:eastAsia="es-ES"/>
        </w:rPr>
      </w:pPr>
      <w:r w:rsidRPr="00E96B60">
        <w:rPr>
          <w:rFonts w:eastAsia="Times New Roman" w:cs="Tahoma"/>
          <w:color w:val="0D0D0D" w:themeColor="text1" w:themeTint="F2"/>
          <w:lang w:val="es-ES" w:eastAsia="es-ES"/>
        </w:rPr>
        <w:t>Que exista un procedimiento judicial, administrativo o arbitral en trámite.</w:t>
      </w:r>
    </w:p>
    <w:p w14:paraId="3C0F19C3" w14:textId="77777777" w:rsidR="003476AC" w:rsidRPr="00E96B60" w:rsidRDefault="003476AC" w:rsidP="003476AC">
      <w:pPr>
        <w:numPr>
          <w:ilvl w:val="0"/>
          <w:numId w:val="36"/>
        </w:numPr>
        <w:spacing w:after="0" w:line="360" w:lineRule="auto"/>
        <w:jc w:val="left"/>
        <w:rPr>
          <w:rFonts w:eastAsia="Times New Roman" w:cs="Tahoma"/>
          <w:color w:val="0D0D0D" w:themeColor="text1" w:themeTint="F2"/>
          <w:lang w:val="es-ES" w:eastAsia="es-ES"/>
        </w:rPr>
      </w:pPr>
      <w:r w:rsidRPr="00E96B60">
        <w:rPr>
          <w:rFonts w:eastAsia="Times New Roman" w:cs="Tahoma"/>
          <w:color w:val="0D0D0D" w:themeColor="text1" w:themeTint="F2"/>
          <w:lang w:val="es-ES" w:eastAsia="es-ES"/>
        </w:rPr>
        <w:t>Que el sujeto obligado sea parte en ese procedimiento.</w:t>
      </w:r>
    </w:p>
    <w:p w14:paraId="2C095448" w14:textId="77777777" w:rsidR="003476AC" w:rsidRPr="00E96B60" w:rsidRDefault="003476AC" w:rsidP="003476AC">
      <w:pPr>
        <w:numPr>
          <w:ilvl w:val="0"/>
          <w:numId w:val="36"/>
        </w:numPr>
        <w:spacing w:after="0" w:line="360" w:lineRule="auto"/>
        <w:jc w:val="left"/>
        <w:rPr>
          <w:rFonts w:eastAsia="Times New Roman" w:cs="Tahoma"/>
          <w:color w:val="0D0D0D" w:themeColor="text1" w:themeTint="F2"/>
          <w:lang w:val="es-ES" w:eastAsia="es-ES"/>
        </w:rPr>
      </w:pPr>
      <w:r w:rsidRPr="00E96B60">
        <w:rPr>
          <w:rFonts w:eastAsia="Times New Roman" w:cs="Tahoma"/>
          <w:color w:val="0D0D0D" w:themeColor="text1" w:themeTint="F2"/>
          <w:lang w:val="es-ES" w:eastAsia="es-ES"/>
        </w:rPr>
        <w:t>Que la información no sea conocida por la contraparte antes de la presentación de la misma en el proceso.</w:t>
      </w:r>
    </w:p>
    <w:p w14:paraId="15414B1C" w14:textId="77777777" w:rsidR="003476AC" w:rsidRPr="00E96B60" w:rsidRDefault="003476AC" w:rsidP="003476AC">
      <w:pPr>
        <w:numPr>
          <w:ilvl w:val="0"/>
          <w:numId w:val="36"/>
        </w:numPr>
        <w:spacing w:after="0" w:line="360" w:lineRule="auto"/>
        <w:jc w:val="left"/>
        <w:rPr>
          <w:rFonts w:eastAsia="Times New Roman" w:cs="Tahoma"/>
          <w:color w:val="0D0D0D" w:themeColor="text1" w:themeTint="F2"/>
          <w:lang w:val="es-ES" w:eastAsia="es-ES"/>
        </w:rPr>
      </w:pPr>
      <w:r w:rsidRPr="00E96B60">
        <w:rPr>
          <w:rFonts w:eastAsia="Times New Roman" w:cs="Tahoma"/>
          <w:color w:val="0D0D0D" w:themeColor="text1" w:themeTint="F2"/>
          <w:lang w:val="es-ES" w:eastAsia="es-ES"/>
        </w:rPr>
        <w:t>Que con su divulgación se afecte la oportunidad de llevar a cabo alguna de las garantías del debido proceso.</w:t>
      </w:r>
    </w:p>
    <w:p w14:paraId="04EB1B5C" w14:textId="77777777" w:rsidR="003476AC" w:rsidRPr="00E96B60" w:rsidRDefault="003476AC" w:rsidP="003476AC">
      <w:pPr>
        <w:spacing w:after="0" w:line="360" w:lineRule="auto"/>
        <w:rPr>
          <w:rFonts w:eastAsia="Times New Roman" w:cs="Tahoma"/>
          <w:color w:val="0D0D0D" w:themeColor="text1" w:themeTint="F2"/>
          <w:lang w:val="es-ES" w:eastAsia="es-ES"/>
        </w:rPr>
      </w:pPr>
    </w:p>
    <w:p w14:paraId="1742624A" w14:textId="1B602D9C" w:rsidR="003476AC" w:rsidRPr="00E96B60" w:rsidRDefault="003476AC" w:rsidP="003476AC">
      <w:pPr>
        <w:spacing w:after="0" w:line="360" w:lineRule="auto"/>
        <w:rPr>
          <w:rFonts w:eastAsia="Times New Roman" w:cs="Tahoma"/>
          <w:color w:val="0D0D0D" w:themeColor="text1" w:themeTint="F2"/>
          <w:lang w:val="es-ES" w:eastAsia="es-ES"/>
        </w:rPr>
      </w:pPr>
      <w:r w:rsidRPr="00E96B60">
        <w:rPr>
          <w:rFonts w:eastAsia="Times New Roman" w:cs="Tahoma"/>
          <w:color w:val="0D0D0D" w:themeColor="text1" w:themeTint="F2"/>
          <w:lang w:val="es-ES" w:eastAsia="es-ES"/>
        </w:rPr>
        <w:t xml:space="preserve">Con base en lo expuesto, se desprende que la información susceptible de clasificarse como reservada bajo el supuesto aludido, es aquella cuya difusión </w:t>
      </w:r>
      <w:r w:rsidR="007448FE" w:rsidRPr="00E96B60">
        <w:rPr>
          <w:rFonts w:eastAsia="Times New Roman" w:cs="Tahoma"/>
          <w:color w:val="0D0D0D" w:themeColor="text1" w:themeTint="F2"/>
          <w:lang w:val="es-ES" w:eastAsia="es-ES"/>
        </w:rPr>
        <w:t>vulneré</w:t>
      </w:r>
      <w:r w:rsidRPr="00E96B60">
        <w:rPr>
          <w:rFonts w:eastAsia="Times New Roman" w:cs="Tahoma"/>
          <w:color w:val="0D0D0D" w:themeColor="text1" w:themeTint="F2"/>
          <w:lang w:val="es-ES" w:eastAsia="es-ES"/>
        </w:rPr>
        <w:t xml:space="preserve"> los derechos del debido </w:t>
      </w:r>
      <w:r w:rsidRPr="00E96B60">
        <w:rPr>
          <w:rFonts w:eastAsia="Times New Roman" w:cs="Tahoma"/>
          <w:color w:val="0D0D0D" w:themeColor="text1" w:themeTint="F2"/>
          <w:lang w:val="es-ES" w:eastAsia="es-ES"/>
        </w:rPr>
        <w:lastRenderedPageBreak/>
        <w:t>proceso, dado que los procedimientos siguen en tramit</w:t>
      </w:r>
      <w:r w:rsidR="007448FE" w:rsidRPr="00E96B60">
        <w:rPr>
          <w:rFonts w:eastAsia="Times New Roman" w:cs="Tahoma"/>
          <w:color w:val="0D0D0D" w:themeColor="text1" w:themeTint="F2"/>
          <w:lang w:val="es-ES" w:eastAsia="es-ES"/>
        </w:rPr>
        <w:t>é</w:t>
      </w:r>
      <w:r w:rsidRPr="00E96B60">
        <w:rPr>
          <w:rFonts w:eastAsia="Times New Roman" w:cs="Tahoma"/>
          <w:color w:val="0D0D0D" w:themeColor="text1" w:themeTint="F2"/>
          <w:lang w:val="es-ES" w:eastAsia="es-ES"/>
        </w:rPr>
        <w:t>.</w:t>
      </w:r>
      <w:r w:rsidR="007448FE" w:rsidRPr="00E96B60">
        <w:rPr>
          <w:rFonts w:eastAsia="Times New Roman" w:cs="Tahoma"/>
          <w:color w:val="0D0D0D" w:themeColor="text1" w:themeTint="F2"/>
          <w:lang w:val="es-ES" w:eastAsia="es-ES"/>
        </w:rPr>
        <w:t xml:space="preserve"> </w:t>
      </w:r>
      <w:r w:rsidRPr="00E96B60">
        <w:rPr>
          <w:rFonts w:eastAsia="Times New Roman" w:cs="Tahoma"/>
          <w:color w:val="0D0D0D" w:themeColor="text1" w:themeTint="F2"/>
          <w:lang w:val="es-ES" w:eastAsia="es-ES"/>
        </w:rPr>
        <w:t>Por lo cual, se procede analizar cada uno de los requisitos señalados en los Lineamientos Generales, con la finalidad de verificar si se configura la hipótesis de reserva en estudio:</w:t>
      </w:r>
    </w:p>
    <w:p w14:paraId="68C1694E" w14:textId="77777777" w:rsidR="003476AC" w:rsidRPr="00E96B60" w:rsidRDefault="003476AC" w:rsidP="003476AC">
      <w:pPr>
        <w:spacing w:after="0" w:line="360" w:lineRule="auto"/>
        <w:rPr>
          <w:rFonts w:eastAsia="Times New Roman" w:cs="Tahoma"/>
          <w:color w:val="0D0D0D" w:themeColor="text1" w:themeTint="F2"/>
          <w:lang w:val="es-ES" w:eastAsia="es-ES"/>
        </w:rPr>
      </w:pPr>
    </w:p>
    <w:p w14:paraId="5EF1BD8F" w14:textId="0122C73E" w:rsidR="003476AC" w:rsidRPr="00E96B60" w:rsidRDefault="003476AC" w:rsidP="003476AC">
      <w:pPr>
        <w:numPr>
          <w:ilvl w:val="0"/>
          <w:numId w:val="37"/>
        </w:numPr>
        <w:spacing w:after="0" w:line="360" w:lineRule="auto"/>
        <w:jc w:val="left"/>
        <w:rPr>
          <w:rFonts w:eastAsia="Times New Roman" w:cs="Tahoma"/>
          <w:b/>
          <w:color w:val="0D0D0D" w:themeColor="text1" w:themeTint="F2"/>
          <w:lang w:val="es-ES" w:eastAsia="es-ES"/>
        </w:rPr>
      </w:pPr>
      <w:r w:rsidRPr="00E96B60">
        <w:rPr>
          <w:rFonts w:eastAsia="Times New Roman" w:cs="Tahoma"/>
          <w:b/>
          <w:color w:val="0D0D0D" w:themeColor="text1" w:themeTint="F2"/>
          <w:lang w:val="es-ES" w:eastAsia="es-ES"/>
        </w:rPr>
        <w:t>Que exista un procedimiento judicial, administrativo o arbitral en trámite</w:t>
      </w:r>
    </w:p>
    <w:p w14:paraId="7B020A30" w14:textId="77777777" w:rsidR="003476AC" w:rsidRPr="00E96B60" w:rsidRDefault="003476AC" w:rsidP="003476AC">
      <w:pPr>
        <w:spacing w:after="0" w:line="360" w:lineRule="auto"/>
        <w:rPr>
          <w:rFonts w:eastAsia="Times New Roman" w:cs="Tahoma"/>
          <w:color w:val="0D0D0D" w:themeColor="text1" w:themeTint="F2"/>
          <w:lang w:val="es-ES" w:eastAsia="es-ES"/>
        </w:rPr>
      </w:pPr>
    </w:p>
    <w:p w14:paraId="184DBB37" w14:textId="6EA5BC82" w:rsidR="003476AC" w:rsidRPr="00E96B60" w:rsidRDefault="007448FE" w:rsidP="003476AC">
      <w:pPr>
        <w:spacing w:after="0" w:line="360" w:lineRule="auto"/>
      </w:pPr>
      <w:r w:rsidRPr="00E96B60">
        <w:rPr>
          <w:rFonts w:eastAsia="Times New Roman" w:cs="Tahoma"/>
          <w:color w:val="0D0D0D" w:themeColor="text1" w:themeTint="F2"/>
          <w:lang w:val="es-ES" w:eastAsia="es-ES"/>
        </w:rPr>
        <w:t xml:space="preserve">Al respecto, el Manual General de Organización de la Unidad de Asuntos Internos, precisa que el objetivo del Organismo Público Descentralizado es coordinar las </w:t>
      </w:r>
      <w:r w:rsidRPr="00E96B60">
        <w:t>estrategias y programas de supervisión y vigilancia en la operación del desempeño de las personas servidoras públicas de la Secretaría de Seguridad, así como realizar análisis, métodos y técnicas de investigación y, de proceder, solicitar a la Comisión de Honor y Justicia el inicio del procedimiento administrativo sancionador, para prevenir e inhibir anomalías e irregularidades.</w:t>
      </w:r>
    </w:p>
    <w:p w14:paraId="0D2BD3A5" w14:textId="77777777" w:rsidR="004C47FA" w:rsidRPr="00E96B60" w:rsidRDefault="004C47FA" w:rsidP="003476AC">
      <w:pPr>
        <w:spacing w:after="0" w:line="360" w:lineRule="auto"/>
        <w:rPr>
          <w:rFonts w:cs="Tahoma"/>
          <w:color w:val="0D0D0D" w:themeColor="text1" w:themeTint="F2"/>
        </w:rPr>
      </w:pPr>
    </w:p>
    <w:p w14:paraId="77A96333" w14:textId="24FC2E4F" w:rsidR="007448FE" w:rsidRPr="00E96B60" w:rsidRDefault="007448FE" w:rsidP="003476AC">
      <w:pPr>
        <w:spacing w:after="0" w:line="360" w:lineRule="auto"/>
        <w:rPr>
          <w:rFonts w:eastAsia="Times New Roman" w:cs="Tahoma"/>
          <w:color w:val="0D0D0D" w:themeColor="text1" w:themeTint="F2"/>
          <w:lang w:eastAsia="es-ES"/>
        </w:rPr>
      </w:pPr>
      <w:r w:rsidRPr="00E96B60">
        <w:rPr>
          <w:rFonts w:eastAsia="Times New Roman" w:cs="Tahoma"/>
          <w:color w:val="0D0D0D" w:themeColor="text1" w:themeTint="F2"/>
          <w:lang w:eastAsia="es-ES"/>
        </w:rPr>
        <w:t>Conforme a lo anterior, se advierte que una de las actividades realizadas por el Sujeto Obligado, como lo señaló este es investigar las irregularidades para determinar una presunta responsabilidad; sin embargo, cuenta con áreas que se encargan de realizar dichas actividades y otras que realizan otro tipo de funciones, tales como la Unidad de Normatividad, Apoyo Jurídico e Igualdad de Género, la Unidad de Apoyo Administrativo, la Unidad de Gestión Documental, Quejas y Denuncias y la Dirección de Información, Planeación, Programación y Evaluación.</w:t>
      </w:r>
    </w:p>
    <w:p w14:paraId="1F680AF9" w14:textId="77777777" w:rsidR="007448FE" w:rsidRPr="00E96B60" w:rsidRDefault="007448FE" w:rsidP="003476AC">
      <w:pPr>
        <w:spacing w:after="0" w:line="360" w:lineRule="auto"/>
        <w:rPr>
          <w:rFonts w:eastAsia="Times New Roman" w:cs="Tahoma"/>
          <w:color w:val="0D0D0D" w:themeColor="text1" w:themeTint="F2"/>
          <w:lang w:val="es-ES" w:eastAsia="es-ES"/>
        </w:rPr>
      </w:pPr>
    </w:p>
    <w:p w14:paraId="14298B2E" w14:textId="42602BB4" w:rsidR="007448FE" w:rsidRPr="00E96B60" w:rsidRDefault="004C47FA" w:rsidP="003476AC">
      <w:pPr>
        <w:spacing w:after="0" w:line="360" w:lineRule="auto"/>
        <w:rPr>
          <w:rFonts w:eastAsia="Times New Roman" w:cs="Tahoma"/>
          <w:color w:val="0D0D0D" w:themeColor="text1" w:themeTint="F2"/>
          <w:lang w:val="es-ES" w:eastAsia="es-ES"/>
        </w:rPr>
      </w:pPr>
      <w:r w:rsidRPr="00E96B60">
        <w:rPr>
          <w:rFonts w:eastAsia="Times New Roman" w:cs="Tahoma"/>
          <w:color w:val="0D0D0D" w:themeColor="text1" w:themeTint="F2"/>
          <w:lang w:val="es-ES" w:eastAsia="es-ES"/>
        </w:rPr>
        <w:t>Así</w:t>
      </w:r>
      <w:r w:rsidR="007448FE" w:rsidRPr="00E96B60">
        <w:rPr>
          <w:rFonts w:eastAsia="Times New Roman" w:cs="Tahoma"/>
          <w:color w:val="0D0D0D" w:themeColor="text1" w:themeTint="F2"/>
          <w:lang w:val="es-ES" w:eastAsia="es-ES"/>
        </w:rPr>
        <w:t>, se logra vislumbrar que no todo el personal realiza las funciones referidas en respuesta; aunado a que, en el presente caso, no se solicita información específica de los procedimientos en trámite, es decir, no requieren constancias propias de procedimientos</w:t>
      </w:r>
      <w:r w:rsidR="004723F7" w:rsidRPr="00E96B60">
        <w:rPr>
          <w:rFonts w:eastAsia="Times New Roman" w:cs="Tahoma"/>
          <w:color w:val="0D0D0D" w:themeColor="text1" w:themeTint="F2"/>
          <w:lang w:val="es-ES" w:eastAsia="es-ES"/>
        </w:rPr>
        <w:t xml:space="preserve">, o en su caso de que </w:t>
      </w:r>
      <w:r w:rsidR="004723F7" w:rsidRPr="00E96B60">
        <w:rPr>
          <w:rFonts w:eastAsia="Times New Roman" w:cs="Tahoma"/>
          <w:color w:val="0D0D0D" w:themeColor="text1" w:themeTint="F2"/>
          <w:lang w:val="es-ES" w:eastAsia="es-ES"/>
        </w:rPr>
        <w:lastRenderedPageBreak/>
        <w:t>los oficios solicitados formen parte de los procedimientos se pueden entregar en versión pública.</w:t>
      </w:r>
      <w:r w:rsidR="007448FE" w:rsidRPr="00E96B60">
        <w:rPr>
          <w:rFonts w:eastAsia="Times New Roman" w:cs="Tahoma"/>
          <w:color w:val="0D0D0D" w:themeColor="text1" w:themeTint="F2"/>
          <w:lang w:val="es-ES" w:eastAsia="es-ES"/>
        </w:rPr>
        <w:t xml:space="preserve"> </w:t>
      </w:r>
    </w:p>
    <w:p w14:paraId="0DB1ED1D" w14:textId="77777777" w:rsidR="007448FE" w:rsidRPr="00E96B60" w:rsidRDefault="007448FE" w:rsidP="003476AC">
      <w:pPr>
        <w:spacing w:after="0" w:line="360" w:lineRule="auto"/>
        <w:rPr>
          <w:rFonts w:eastAsia="Times New Roman" w:cs="Tahoma"/>
          <w:color w:val="0D0D0D" w:themeColor="text1" w:themeTint="F2"/>
          <w:lang w:val="es-ES" w:eastAsia="es-ES"/>
        </w:rPr>
      </w:pPr>
    </w:p>
    <w:p w14:paraId="600924F8" w14:textId="119492D1" w:rsidR="007448FE" w:rsidRPr="00E96B60" w:rsidRDefault="004C47FA" w:rsidP="003476AC">
      <w:pPr>
        <w:spacing w:after="0" w:line="360" w:lineRule="auto"/>
        <w:rPr>
          <w:rFonts w:eastAsia="Times New Roman" w:cs="Tahoma"/>
          <w:color w:val="0D0D0D" w:themeColor="text1" w:themeTint="F2"/>
          <w:lang w:val="es-ES" w:eastAsia="es-ES"/>
        </w:rPr>
      </w:pPr>
      <w:r w:rsidRPr="00E96B60">
        <w:rPr>
          <w:rFonts w:eastAsia="Times New Roman" w:cs="Tahoma"/>
          <w:color w:val="0D0D0D" w:themeColor="text1" w:themeTint="F2"/>
          <w:lang w:val="es-ES" w:eastAsia="es-ES"/>
        </w:rPr>
        <w:t>Por lo que</w:t>
      </w:r>
      <w:r w:rsidR="007448FE" w:rsidRPr="00E96B60">
        <w:rPr>
          <w:rFonts w:eastAsia="Times New Roman" w:cs="Tahoma"/>
          <w:color w:val="0D0D0D" w:themeColor="text1" w:themeTint="F2"/>
          <w:lang w:val="es-ES" w:eastAsia="es-ES"/>
        </w:rPr>
        <w:t xml:space="preserve">, en el presente caso, este Instituto logra vislumbrar que la información solicitada </w:t>
      </w:r>
      <w:r w:rsidR="004723F7" w:rsidRPr="00E96B60">
        <w:rPr>
          <w:rFonts w:eastAsia="Times New Roman" w:cs="Tahoma"/>
          <w:color w:val="0D0D0D" w:themeColor="text1" w:themeTint="F2"/>
          <w:lang w:val="es-ES" w:eastAsia="es-ES"/>
        </w:rPr>
        <w:t>si</w:t>
      </w:r>
      <w:r w:rsidR="007448FE" w:rsidRPr="00E96B60">
        <w:rPr>
          <w:rFonts w:eastAsia="Times New Roman" w:cs="Tahoma"/>
          <w:color w:val="0D0D0D" w:themeColor="text1" w:themeTint="F2"/>
          <w:lang w:val="es-ES" w:eastAsia="es-ES"/>
        </w:rPr>
        <w:t xml:space="preserve"> guarda relación con procedimientos en trámite, </w:t>
      </w:r>
      <w:r w:rsidR="004723F7" w:rsidRPr="00E96B60">
        <w:rPr>
          <w:rFonts w:eastAsia="Times New Roman" w:cs="Tahoma"/>
          <w:color w:val="0D0D0D" w:themeColor="text1" w:themeTint="F2"/>
          <w:lang w:val="es-ES" w:eastAsia="es-ES"/>
        </w:rPr>
        <w:t xml:space="preserve">pero se puede entregar en versión pública, para verificar el desempeño de las funciones del Sujeto Obligado. </w:t>
      </w:r>
    </w:p>
    <w:p w14:paraId="594997B1" w14:textId="77777777" w:rsidR="007448FE" w:rsidRPr="00E96B60" w:rsidRDefault="007448FE" w:rsidP="003476AC">
      <w:pPr>
        <w:spacing w:after="0" w:line="360" w:lineRule="auto"/>
        <w:rPr>
          <w:rFonts w:eastAsia="Times New Roman" w:cs="Tahoma"/>
          <w:color w:val="0D0D0D" w:themeColor="text1" w:themeTint="F2"/>
          <w:lang w:val="es-ES" w:eastAsia="es-ES"/>
        </w:rPr>
      </w:pPr>
    </w:p>
    <w:p w14:paraId="0DE3D428" w14:textId="229D21B4" w:rsidR="003476AC" w:rsidRPr="00E96B60" w:rsidRDefault="003476AC" w:rsidP="003476AC">
      <w:pPr>
        <w:numPr>
          <w:ilvl w:val="0"/>
          <w:numId w:val="37"/>
        </w:numPr>
        <w:spacing w:after="0" w:line="360" w:lineRule="auto"/>
        <w:jc w:val="left"/>
        <w:rPr>
          <w:rFonts w:eastAsia="Times New Roman" w:cs="Tahoma"/>
          <w:b/>
          <w:color w:val="0D0D0D" w:themeColor="text1" w:themeTint="F2"/>
          <w:lang w:val="es-ES" w:eastAsia="es-ES"/>
        </w:rPr>
      </w:pPr>
      <w:r w:rsidRPr="00E96B60">
        <w:rPr>
          <w:rFonts w:eastAsia="Times New Roman" w:cs="Tahoma"/>
          <w:b/>
          <w:color w:val="0D0D0D" w:themeColor="text1" w:themeTint="F2"/>
          <w:lang w:val="es-ES" w:eastAsia="es-ES"/>
        </w:rPr>
        <w:t>Que el sujeto obligado sea parte en ese procedimiento</w:t>
      </w:r>
    </w:p>
    <w:p w14:paraId="784EC597" w14:textId="77777777" w:rsidR="003476AC" w:rsidRPr="00E96B60" w:rsidRDefault="003476AC" w:rsidP="003476AC">
      <w:pPr>
        <w:spacing w:after="0" w:line="360" w:lineRule="auto"/>
        <w:rPr>
          <w:rFonts w:eastAsia="Times New Roman" w:cs="Tahoma"/>
          <w:color w:val="0D0D0D" w:themeColor="text1" w:themeTint="F2"/>
          <w:lang w:val="es-ES" w:eastAsia="es-ES"/>
        </w:rPr>
      </w:pPr>
    </w:p>
    <w:p w14:paraId="00FF2181" w14:textId="5CEEE7A4" w:rsidR="003476AC" w:rsidRPr="00E96B60" w:rsidRDefault="003476AC" w:rsidP="003476AC">
      <w:pPr>
        <w:spacing w:after="0" w:line="360" w:lineRule="auto"/>
        <w:rPr>
          <w:rFonts w:eastAsia="Times New Roman" w:cs="Tahoma"/>
          <w:color w:val="0D0D0D" w:themeColor="text1" w:themeTint="F2"/>
          <w:lang w:val="es-ES" w:eastAsia="es-ES"/>
        </w:rPr>
      </w:pPr>
      <w:r w:rsidRPr="00E96B60">
        <w:rPr>
          <w:rFonts w:eastAsia="Times New Roman" w:cs="Tahoma"/>
          <w:color w:val="0D0D0D" w:themeColor="text1" w:themeTint="F2"/>
          <w:lang w:val="es-ES" w:eastAsia="es-ES"/>
        </w:rPr>
        <w:t>En el presente caso, al tratarse de procedimientos administrativos</w:t>
      </w:r>
      <w:r w:rsidR="003C3EC5" w:rsidRPr="00E96B60">
        <w:rPr>
          <w:rFonts w:eastAsia="Times New Roman" w:cs="Tahoma"/>
          <w:color w:val="0D0D0D" w:themeColor="text1" w:themeTint="F2"/>
          <w:lang w:val="es-ES" w:eastAsia="es-ES"/>
        </w:rPr>
        <w:t xml:space="preserve"> de investigación</w:t>
      </w:r>
      <w:r w:rsidRPr="00E96B60">
        <w:rPr>
          <w:rFonts w:eastAsia="Times New Roman" w:cs="Tahoma"/>
          <w:color w:val="0D0D0D" w:themeColor="text1" w:themeTint="F2"/>
          <w:lang w:val="es-ES" w:eastAsia="es-ES"/>
        </w:rPr>
        <w:t>, se puede observar, que el Sujeto Obligado es la autoridad que sustancia estos, y, por lo tanto, se acredita</w:t>
      </w:r>
      <w:r w:rsidR="003C3EC5" w:rsidRPr="00E96B60">
        <w:rPr>
          <w:rFonts w:eastAsia="Times New Roman" w:cs="Tahoma"/>
          <w:color w:val="0D0D0D" w:themeColor="text1" w:themeTint="F2"/>
          <w:lang w:val="es-ES" w:eastAsia="es-ES"/>
        </w:rPr>
        <w:t>ría</w:t>
      </w:r>
      <w:r w:rsidRPr="00E96B60">
        <w:rPr>
          <w:rFonts w:eastAsia="Times New Roman" w:cs="Tahoma"/>
          <w:color w:val="0D0D0D" w:themeColor="text1" w:themeTint="F2"/>
          <w:lang w:val="es-ES" w:eastAsia="es-ES"/>
        </w:rPr>
        <w:t xml:space="preserve"> el segundo requisito para actualizar la causal de reserv</w:t>
      </w:r>
      <w:r w:rsidR="004723F7" w:rsidRPr="00E96B60">
        <w:rPr>
          <w:rFonts w:eastAsia="Times New Roman" w:cs="Tahoma"/>
          <w:color w:val="0D0D0D" w:themeColor="text1" w:themeTint="F2"/>
          <w:lang w:val="es-ES" w:eastAsia="es-ES"/>
        </w:rPr>
        <w:t>a.</w:t>
      </w:r>
    </w:p>
    <w:p w14:paraId="7EDE6CA5" w14:textId="77777777" w:rsidR="00F53BD4" w:rsidRPr="00E96B60" w:rsidRDefault="00F53BD4" w:rsidP="003476AC">
      <w:pPr>
        <w:spacing w:after="0" w:line="360" w:lineRule="auto"/>
        <w:rPr>
          <w:rFonts w:eastAsia="Times New Roman" w:cs="Tahoma"/>
          <w:color w:val="0D0D0D" w:themeColor="text1" w:themeTint="F2"/>
          <w:lang w:val="es-ES" w:eastAsia="es-ES"/>
        </w:rPr>
      </w:pPr>
    </w:p>
    <w:p w14:paraId="7795438E" w14:textId="7564444D" w:rsidR="003476AC" w:rsidRPr="00E96B60" w:rsidRDefault="003476AC" w:rsidP="003476AC">
      <w:pPr>
        <w:numPr>
          <w:ilvl w:val="0"/>
          <w:numId w:val="37"/>
        </w:numPr>
        <w:spacing w:after="0" w:line="360" w:lineRule="auto"/>
        <w:jc w:val="left"/>
        <w:rPr>
          <w:rFonts w:eastAsia="Times New Roman" w:cs="Tahoma"/>
          <w:b/>
          <w:color w:val="0D0D0D" w:themeColor="text1" w:themeTint="F2"/>
          <w:lang w:val="es-ES" w:eastAsia="es-ES"/>
        </w:rPr>
      </w:pPr>
      <w:r w:rsidRPr="00E96B60">
        <w:rPr>
          <w:rFonts w:eastAsia="Times New Roman" w:cs="Tahoma"/>
          <w:b/>
          <w:color w:val="0D0D0D" w:themeColor="text1" w:themeTint="F2"/>
          <w:lang w:val="es-ES" w:eastAsia="es-ES"/>
        </w:rPr>
        <w:t>Que la información no sea conocida por la contraparte antes de la presentación de la misma en el proceso</w:t>
      </w:r>
    </w:p>
    <w:p w14:paraId="344D9054" w14:textId="77777777" w:rsidR="003476AC" w:rsidRPr="00E96B60" w:rsidRDefault="003476AC" w:rsidP="003476AC">
      <w:pPr>
        <w:tabs>
          <w:tab w:val="left" w:pos="2355"/>
        </w:tabs>
        <w:spacing w:after="0" w:line="360" w:lineRule="auto"/>
        <w:rPr>
          <w:rFonts w:eastAsia="Times New Roman" w:cs="Tahoma"/>
          <w:color w:val="0D0D0D" w:themeColor="text1" w:themeTint="F2"/>
          <w:lang w:val="es-ES" w:eastAsia="es-ES"/>
        </w:rPr>
      </w:pPr>
    </w:p>
    <w:p w14:paraId="1EA6B62B" w14:textId="1DE16F2E" w:rsidR="003476AC" w:rsidRPr="00E96B60" w:rsidRDefault="003476AC" w:rsidP="003476AC">
      <w:pPr>
        <w:tabs>
          <w:tab w:val="left" w:pos="2355"/>
        </w:tabs>
        <w:spacing w:after="0" w:line="360" w:lineRule="auto"/>
        <w:rPr>
          <w:rFonts w:eastAsia="Times New Roman" w:cs="Tahoma"/>
          <w:color w:val="0D0D0D" w:themeColor="text1" w:themeTint="F2"/>
          <w:lang w:val="es-ES" w:eastAsia="es-ES"/>
        </w:rPr>
      </w:pPr>
      <w:r w:rsidRPr="00E96B60">
        <w:rPr>
          <w:rFonts w:eastAsia="Times New Roman" w:cs="Tahoma"/>
          <w:color w:val="0D0D0D" w:themeColor="text1" w:themeTint="F2"/>
          <w:lang w:val="es-ES" w:eastAsia="es-ES"/>
        </w:rPr>
        <w:t xml:space="preserve">Respecto a dicho requisito, en principio resulta necesario puntualizar que, dado la naturaleza de los procedimientos administrativos en análisis, en los cuales el </w:t>
      </w:r>
      <w:r w:rsidR="003C3EC5" w:rsidRPr="00E96B60">
        <w:rPr>
          <w:rFonts w:eastAsia="Times New Roman" w:cs="Tahoma"/>
          <w:color w:val="0D0D0D" w:themeColor="text1" w:themeTint="F2"/>
          <w:lang w:val="es-ES" w:eastAsia="es-ES"/>
        </w:rPr>
        <w:t>S</w:t>
      </w:r>
      <w:r w:rsidRPr="00E96B60">
        <w:rPr>
          <w:rFonts w:eastAsia="Times New Roman" w:cs="Tahoma"/>
          <w:color w:val="0D0D0D" w:themeColor="text1" w:themeTint="F2"/>
          <w:lang w:val="es-ES" w:eastAsia="es-ES"/>
        </w:rPr>
        <w:t xml:space="preserve">ujeto </w:t>
      </w:r>
      <w:r w:rsidR="003C3EC5" w:rsidRPr="00E96B60">
        <w:rPr>
          <w:rFonts w:eastAsia="Times New Roman" w:cs="Tahoma"/>
          <w:color w:val="0D0D0D" w:themeColor="text1" w:themeTint="F2"/>
          <w:lang w:val="es-ES" w:eastAsia="es-ES"/>
        </w:rPr>
        <w:t>O</w:t>
      </w:r>
      <w:r w:rsidRPr="00E96B60">
        <w:rPr>
          <w:rFonts w:eastAsia="Times New Roman" w:cs="Tahoma"/>
          <w:color w:val="0D0D0D" w:themeColor="text1" w:themeTint="F2"/>
          <w:lang w:val="es-ES" w:eastAsia="es-ES"/>
        </w:rPr>
        <w:t>bligado es la autoridad, y existe la otra parte, que es la investigada.</w:t>
      </w:r>
    </w:p>
    <w:p w14:paraId="7CA74651" w14:textId="77777777" w:rsidR="003476AC" w:rsidRPr="00E96B60" w:rsidRDefault="003476AC" w:rsidP="003476AC">
      <w:pPr>
        <w:tabs>
          <w:tab w:val="left" w:pos="2355"/>
        </w:tabs>
        <w:spacing w:after="0" w:line="360" w:lineRule="auto"/>
        <w:rPr>
          <w:rFonts w:eastAsia="Times New Roman" w:cs="Tahoma"/>
          <w:color w:val="0D0D0D" w:themeColor="text1" w:themeTint="F2"/>
          <w:lang w:val="es-ES" w:eastAsia="es-ES"/>
        </w:rPr>
      </w:pPr>
    </w:p>
    <w:p w14:paraId="38418232" w14:textId="1B35EF5C" w:rsidR="003476AC" w:rsidRPr="00E96B60" w:rsidRDefault="003476AC" w:rsidP="003476AC">
      <w:pPr>
        <w:spacing w:after="0" w:line="360" w:lineRule="auto"/>
        <w:rPr>
          <w:rFonts w:eastAsia="Times New Roman" w:cs="Tahoma"/>
          <w:color w:val="0D0D0D" w:themeColor="text1" w:themeTint="F2"/>
          <w:lang w:eastAsia="es-ES"/>
        </w:rPr>
      </w:pPr>
      <w:r w:rsidRPr="00E96B60">
        <w:rPr>
          <w:rFonts w:eastAsia="Times New Roman" w:cs="Tahoma"/>
          <w:color w:val="0D0D0D" w:themeColor="text1" w:themeTint="F2"/>
          <w:lang w:eastAsia="es-ES"/>
        </w:rPr>
        <w:t>En ese sentido, a la última parte referida, se le debe garantizar su derecho al debido proceso, permitiéndole, entre otras cosas, a ofrecer pruebas, presentar alegatos o bien, armar su estrategia procesal</w:t>
      </w:r>
      <w:r w:rsidR="003C3EC5" w:rsidRPr="00E96B60">
        <w:rPr>
          <w:rFonts w:eastAsia="Times New Roman" w:cs="Tahoma"/>
          <w:color w:val="0D0D0D" w:themeColor="text1" w:themeTint="F2"/>
          <w:lang w:eastAsia="es-ES"/>
        </w:rPr>
        <w:t>, siempre y cuando ya se le haya hecho del conocimiento la investigación</w:t>
      </w:r>
      <w:r w:rsidRPr="00E96B60">
        <w:rPr>
          <w:rFonts w:eastAsia="Times New Roman" w:cs="Tahoma"/>
          <w:color w:val="0D0D0D" w:themeColor="text1" w:themeTint="F2"/>
          <w:lang w:eastAsia="es-ES"/>
        </w:rPr>
        <w:t xml:space="preserve">; en el presente caso, es de señalar que los documentos </w:t>
      </w:r>
      <w:r w:rsidR="003C3EC5" w:rsidRPr="00E96B60">
        <w:rPr>
          <w:rFonts w:eastAsia="Times New Roman" w:cs="Tahoma"/>
          <w:color w:val="0D0D0D" w:themeColor="text1" w:themeTint="F2"/>
          <w:lang w:eastAsia="es-ES"/>
        </w:rPr>
        <w:t xml:space="preserve">solicitados </w:t>
      </w:r>
      <w:r w:rsidR="004723F7" w:rsidRPr="00E96B60">
        <w:rPr>
          <w:rFonts w:eastAsia="Times New Roman" w:cs="Tahoma"/>
          <w:color w:val="0D0D0D" w:themeColor="text1" w:themeTint="F2"/>
          <w:lang w:eastAsia="es-ES"/>
        </w:rPr>
        <w:t>se pueden entregar en versión pública, sin hacer del conocimiento la</w:t>
      </w:r>
      <w:r w:rsidR="001C4DDC" w:rsidRPr="00E96B60">
        <w:rPr>
          <w:rFonts w:eastAsia="Times New Roman" w:cs="Tahoma"/>
          <w:color w:val="0D0D0D" w:themeColor="text1" w:themeTint="F2"/>
          <w:lang w:eastAsia="es-ES"/>
        </w:rPr>
        <w:t xml:space="preserve"> información que encuadre en el presente supuesto.</w:t>
      </w:r>
    </w:p>
    <w:p w14:paraId="5387D062" w14:textId="77777777" w:rsidR="003C3EC5" w:rsidRPr="00E96B60" w:rsidRDefault="003C3EC5" w:rsidP="003476AC">
      <w:pPr>
        <w:spacing w:after="0" w:line="360" w:lineRule="auto"/>
        <w:rPr>
          <w:rFonts w:eastAsia="Times New Roman" w:cs="Tahoma"/>
          <w:color w:val="0D0D0D" w:themeColor="text1" w:themeTint="F2"/>
          <w:lang w:eastAsia="es-ES"/>
        </w:rPr>
      </w:pPr>
    </w:p>
    <w:p w14:paraId="64C873F2" w14:textId="5AC291E7" w:rsidR="003476AC" w:rsidRPr="00E96B60" w:rsidRDefault="003476AC" w:rsidP="003C3EC5">
      <w:pPr>
        <w:numPr>
          <w:ilvl w:val="0"/>
          <w:numId w:val="37"/>
        </w:numPr>
        <w:spacing w:after="0" w:line="360" w:lineRule="auto"/>
        <w:rPr>
          <w:rFonts w:eastAsia="Times New Roman" w:cs="Tahoma"/>
          <w:b/>
          <w:color w:val="0D0D0D" w:themeColor="text1" w:themeTint="F2"/>
          <w:lang w:val="es-ES" w:eastAsia="es-ES"/>
        </w:rPr>
      </w:pPr>
      <w:r w:rsidRPr="00E96B60">
        <w:rPr>
          <w:rFonts w:eastAsia="Times New Roman" w:cs="Tahoma"/>
          <w:b/>
          <w:color w:val="0D0D0D" w:themeColor="text1" w:themeTint="F2"/>
          <w:lang w:val="es-ES" w:eastAsia="es-ES"/>
        </w:rPr>
        <w:lastRenderedPageBreak/>
        <w:t>Que con su divulgación se afecte la oportunidad de llevar a cabo alguna de las garantías del debido proceso</w:t>
      </w:r>
    </w:p>
    <w:p w14:paraId="761C38C4" w14:textId="77777777" w:rsidR="003476AC" w:rsidRPr="00E96B60" w:rsidRDefault="003476AC" w:rsidP="003476AC">
      <w:pPr>
        <w:spacing w:after="0" w:line="360" w:lineRule="auto"/>
        <w:rPr>
          <w:rFonts w:eastAsia="Times New Roman" w:cs="Tahoma"/>
          <w:color w:val="0D0D0D" w:themeColor="text1" w:themeTint="F2"/>
          <w:lang w:val="es-ES" w:eastAsia="es-ES"/>
        </w:rPr>
      </w:pPr>
    </w:p>
    <w:p w14:paraId="024EA5AF" w14:textId="23F9CA7A" w:rsidR="003476AC" w:rsidRPr="00E96B60" w:rsidRDefault="003476AC" w:rsidP="003C3EC5">
      <w:pPr>
        <w:spacing w:after="0" w:line="360" w:lineRule="auto"/>
        <w:rPr>
          <w:rFonts w:eastAsia="Times New Roman" w:cs="Tahoma"/>
          <w:bCs/>
          <w:color w:val="0D0D0D" w:themeColor="text1" w:themeTint="F2"/>
          <w:lang w:val="es-ES" w:eastAsia="es-ES"/>
        </w:rPr>
      </w:pPr>
      <w:r w:rsidRPr="00E96B60">
        <w:rPr>
          <w:rFonts w:eastAsia="Times New Roman" w:cs="Tahoma"/>
          <w:color w:val="0D0D0D" w:themeColor="text1" w:themeTint="F2"/>
          <w:lang w:val="es-ES" w:eastAsia="es-ES"/>
        </w:rPr>
        <w:t xml:space="preserve">Conforme a lo </w:t>
      </w:r>
      <w:r w:rsidR="003C3EC5" w:rsidRPr="00E96B60">
        <w:rPr>
          <w:rFonts w:eastAsia="Times New Roman" w:cs="Tahoma"/>
          <w:color w:val="0D0D0D" w:themeColor="text1" w:themeTint="F2"/>
          <w:lang w:val="es-ES" w:eastAsia="es-ES"/>
        </w:rPr>
        <w:t>ya analizado</w:t>
      </w:r>
      <w:r w:rsidRPr="00E96B60">
        <w:rPr>
          <w:rFonts w:eastAsia="Times New Roman" w:cs="Tahoma"/>
          <w:color w:val="0D0D0D" w:themeColor="text1" w:themeTint="F2"/>
          <w:lang w:val="es-ES" w:eastAsia="es-ES"/>
        </w:rPr>
        <w:t xml:space="preserve">, este Instituto estima que se actualiza el cuarto de los elementos pues la divulgación de dicha </w:t>
      </w:r>
      <w:r w:rsidR="003C3EC5" w:rsidRPr="00E96B60">
        <w:rPr>
          <w:rFonts w:eastAsia="Times New Roman" w:cs="Tahoma"/>
          <w:color w:val="0D0D0D" w:themeColor="text1" w:themeTint="F2"/>
          <w:lang w:val="es-ES" w:eastAsia="es-ES"/>
        </w:rPr>
        <w:t>información</w:t>
      </w:r>
      <w:r w:rsidRPr="00E96B60">
        <w:rPr>
          <w:rFonts w:eastAsia="Times New Roman" w:cs="Tahoma"/>
          <w:color w:val="0D0D0D" w:themeColor="text1" w:themeTint="F2"/>
          <w:lang w:val="es-ES" w:eastAsia="es-ES"/>
        </w:rPr>
        <w:t xml:space="preserve"> podría afectar la oportunidad de llevar a cabo alguna de las garantías del debido proceso dado que se trata de información que </w:t>
      </w:r>
      <w:r w:rsidR="003C3EC5" w:rsidRPr="00E96B60">
        <w:rPr>
          <w:rFonts w:eastAsia="Times New Roman" w:cs="Tahoma"/>
          <w:color w:val="0D0D0D" w:themeColor="text1" w:themeTint="F2"/>
          <w:lang w:val="es-ES" w:eastAsia="es-ES"/>
        </w:rPr>
        <w:t>guarda relación con l</w:t>
      </w:r>
      <w:r w:rsidR="004723F7" w:rsidRPr="00E96B60">
        <w:rPr>
          <w:rFonts w:eastAsia="Times New Roman" w:cs="Tahoma"/>
          <w:color w:val="0D0D0D" w:themeColor="text1" w:themeTint="F2"/>
          <w:lang w:val="es-ES" w:eastAsia="es-ES"/>
        </w:rPr>
        <w:t>a</w:t>
      </w:r>
      <w:r w:rsidR="003C3EC5" w:rsidRPr="00E96B60">
        <w:rPr>
          <w:rFonts w:eastAsia="Times New Roman" w:cs="Tahoma"/>
          <w:color w:val="0D0D0D" w:themeColor="text1" w:themeTint="F2"/>
          <w:lang w:val="es-ES" w:eastAsia="es-ES"/>
        </w:rPr>
        <w:t xml:space="preserve">s </w:t>
      </w:r>
      <w:r w:rsidR="004723F7" w:rsidRPr="00E96B60">
        <w:rPr>
          <w:rFonts w:eastAsia="Times New Roman" w:cs="Tahoma"/>
          <w:color w:val="0D0D0D" w:themeColor="text1" w:themeTint="F2"/>
          <w:lang w:val="es-ES" w:eastAsia="es-ES"/>
        </w:rPr>
        <w:t>funciones que debe realizar el Sujeto Obligado</w:t>
      </w:r>
      <w:r w:rsidR="003C3EC5" w:rsidRPr="00E96B60">
        <w:rPr>
          <w:rFonts w:eastAsia="Times New Roman" w:cs="Tahoma"/>
          <w:color w:val="0D0D0D" w:themeColor="text1" w:themeTint="F2"/>
          <w:lang w:val="es-ES" w:eastAsia="es-ES"/>
        </w:rPr>
        <w:t>, y</w:t>
      </w:r>
      <w:r w:rsidRPr="00E96B60">
        <w:rPr>
          <w:rFonts w:eastAsia="Times New Roman" w:cs="Tahoma"/>
          <w:color w:val="0D0D0D" w:themeColor="text1" w:themeTint="F2"/>
          <w:lang w:val="es-ES" w:eastAsia="es-ES"/>
        </w:rPr>
        <w:t xml:space="preserve"> por lo tanto, </w:t>
      </w:r>
      <w:r w:rsidRPr="00E96B60">
        <w:rPr>
          <w:rFonts w:eastAsia="Times New Roman" w:cs="Tahoma"/>
          <w:b/>
          <w:color w:val="0D0D0D" w:themeColor="text1" w:themeTint="F2"/>
          <w:lang w:val="es-ES" w:eastAsia="es-ES"/>
        </w:rPr>
        <w:t>es procedente la causal de reserva prevista en el artículo 140, fracción VI, de la Ley de Transparencia y Acceso a la Información Pública del Estado de México y Municipios</w:t>
      </w:r>
      <w:r w:rsidR="001C4DDC" w:rsidRPr="00E96B60">
        <w:rPr>
          <w:rFonts w:eastAsia="Times New Roman" w:cs="Tahoma"/>
          <w:b/>
          <w:color w:val="0D0D0D" w:themeColor="text1" w:themeTint="F2"/>
          <w:lang w:val="es-ES" w:eastAsia="es-ES"/>
        </w:rPr>
        <w:t xml:space="preserve">, </w:t>
      </w:r>
      <w:r w:rsidR="001C4DDC" w:rsidRPr="00E96B60">
        <w:rPr>
          <w:rFonts w:eastAsia="Times New Roman" w:cs="Tahoma"/>
          <w:bCs/>
          <w:color w:val="0D0D0D" w:themeColor="text1" w:themeTint="F2"/>
          <w:lang w:val="es-ES" w:eastAsia="es-ES"/>
        </w:rPr>
        <w:t>sin embargo se puede entregar la información en versión pública.</w:t>
      </w:r>
    </w:p>
    <w:p w14:paraId="68C7B4AC" w14:textId="77777777" w:rsidR="003C3EC5" w:rsidRPr="00E96B60" w:rsidRDefault="003C3EC5" w:rsidP="003C3EC5">
      <w:pPr>
        <w:spacing w:after="0" w:line="360" w:lineRule="auto"/>
        <w:rPr>
          <w:rFonts w:eastAsia="Times New Roman" w:cs="Tahoma"/>
          <w:color w:val="0D0D0D" w:themeColor="text1" w:themeTint="F2"/>
          <w:lang w:val="es-ES" w:eastAsia="es-ES"/>
        </w:rPr>
      </w:pPr>
    </w:p>
    <w:p w14:paraId="71932564" w14:textId="40EE9164" w:rsidR="003C3EC5" w:rsidRPr="00E96B60" w:rsidRDefault="003C3EC5" w:rsidP="003C3EC5">
      <w:pPr>
        <w:spacing w:after="0" w:line="360" w:lineRule="auto"/>
        <w:rPr>
          <w:rFonts w:eastAsia="Times New Roman" w:cs="Tahoma"/>
          <w:b/>
          <w:bCs/>
          <w:color w:val="0D0D0D" w:themeColor="text1" w:themeTint="F2"/>
          <w:lang w:val="es-ES" w:eastAsia="es-ES"/>
        </w:rPr>
      </w:pPr>
      <w:r w:rsidRPr="00E96B60">
        <w:rPr>
          <w:rFonts w:eastAsia="Times New Roman" w:cs="Tahoma"/>
          <w:color w:val="0D0D0D" w:themeColor="text1" w:themeTint="F2"/>
          <w:lang w:val="es-ES" w:eastAsia="es-ES"/>
        </w:rPr>
        <w:t xml:space="preserve">Lo anterior, toma relevancia pues la información rinde cuentas de que los servidores públicos </w:t>
      </w:r>
      <w:r w:rsidR="001C4DDC" w:rsidRPr="00E96B60">
        <w:rPr>
          <w:rFonts w:eastAsia="Times New Roman" w:cs="Tahoma"/>
          <w:color w:val="0D0D0D" w:themeColor="text1" w:themeTint="F2"/>
          <w:lang w:val="es-ES" w:eastAsia="es-ES"/>
        </w:rPr>
        <w:t>ejercen sus funciones por la que reciben una retribución económica</w:t>
      </w:r>
      <w:r w:rsidRPr="00E96B60">
        <w:rPr>
          <w:rFonts w:eastAsia="Times New Roman" w:cs="Tahoma"/>
          <w:color w:val="0D0D0D" w:themeColor="text1" w:themeTint="F2"/>
          <w:lang w:val="es-ES" w:eastAsia="es-ES"/>
        </w:rPr>
        <w:t xml:space="preserve">; por lo que, se considera que el agravio es </w:t>
      </w:r>
      <w:r w:rsidRPr="00E96B60">
        <w:rPr>
          <w:rFonts w:eastAsia="Times New Roman" w:cs="Tahoma"/>
          <w:b/>
          <w:bCs/>
          <w:color w:val="0D0D0D" w:themeColor="text1" w:themeTint="F2"/>
          <w:lang w:val="es-ES" w:eastAsia="es-ES"/>
        </w:rPr>
        <w:t>FUNDADO.</w:t>
      </w:r>
    </w:p>
    <w:p w14:paraId="23ADA53D" w14:textId="77777777" w:rsidR="003C3EC5" w:rsidRPr="00E96B60" w:rsidRDefault="003C3EC5" w:rsidP="003C3EC5">
      <w:pPr>
        <w:spacing w:after="0" w:line="360" w:lineRule="auto"/>
        <w:rPr>
          <w:rFonts w:eastAsia="Times New Roman" w:cs="Tahoma"/>
          <w:b/>
          <w:bCs/>
          <w:color w:val="0D0D0D" w:themeColor="text1" w:themeTint="F2"/>
          <w:lang w:val="es-ES" w:eastAsia="es-ES"/>
        </w:rPr>
      </w:pPr>
    </w:p>
    <w:p w14:paraId="5A28D97B" w14:textId="1436BD4B" w:rsidR="003C3EC5" w:rsidRPr="00E96B60" w:rsidRDefault="003C3EC5" w:rsidP="003C3EC5">
      <w:pPr>
        <w:spacing w:line="360" w:lineRule="auto"/>
        <w:contextualSpacing/>
        <w:rPr>
          <w:rFonts w:cs="Tahoma"/>
          <w:bCs/>
          <w:color w:val="0D0D0D"/>
          <w:lang w:val="es-ES"/>
        </w:rPr>
      </w:pPr>
      <w:r w:rsidRPr="00E96B60">
        <w:rPr>
          <w:rFonts w:cs="Tahoma"/>
          <w:color w:val="auto"/>
          <w:lang w:eastAsia="es-MX"/>
        </w:rPr>
        <w:t xml:space="preserve">Así, para atender el requerimiento de información, </w:t>
      </w:r>
      <w:r w:rsidRPr="00E96B60">
        <w:rPr>
          <w:rFonts w:cs="Tahoma"/>
          <w:color w:val="auto"/>
          <w:lang w:val="x-none" w:eastAsia="es-MX"/>
        </w:rPr>
        <w:t xml:space="preserve">deberá </w:t>
      </w:r>
      <w:r w:rsidR="001C4DDC" w:rsidRPr="00E96B60">
        <w:rPr>
          <w:rFonts w:cs="Tahoma"/>
          <w:color w:val="auto"/>
          <w:lang w:val="es-ES" w:eastAsia="es-MX"/>
        </w:rPr>
        <w:t>hacer entrega de los oficios solicitados en versión pública en la que se elimine la información que encuadre en el supuesto de reserva analizado</w:t>
      </w:r>
      <w:r w:rsidRPr="00E96B60">
        <w:rPr>
          <w:rFonts w:cs="Tahoma"/>
          <w:color w:val="auto"/>
          <w:lang w:val="es-ES" w:eastAsia="es-MX"/>
        </w:rPr>
        <w:t>;</w:t>
      </w:r>
      <w:r w:rsidRPr="00E96B60">
        <w:rPr>
          <w:color w:val="000000"/>
          <w:lang w:val="es-ES"/>
        </w:rPr>
        <w:t xml:space="preserve"> </w:t>
      </w:r>
      <w:r w:rsidR="001C4DDC" w:rsidRPr="00E96B60">
        <w:rPr>
          <w:rFonts w:cs="Tahoma"/>
          <w:bCs/>
          <w:color w:val="0D0D0D"/>
          <w:szCs w:val="24"/>
          <w:lang w:val="es-ES"/>
        </w:rPr>
        <w:t xml:space="preserve">dicha </w:t>
      </w:r>
      <w:r w:rsidRPr="00E96B60">
        <w:rPr>
          <w:rFonts w:cs="Tahoma"/>
          <w:bCs/>
          <w:iCs/>
          <w:color w:val="000000"/>
        </w:rPr>
        <w:t>situación toma sustento en</w:t>
      </w:r>
      <w:r w:rsidRPr="00E96B60">
        <w:rPr>
          <w:rFonts w:cs="Tahoma"/>
          <w:bCs/>
          <w:color w:val="000000"/>
        </w:rPr>
        <w:t xml:space="preserve"> el</w:t>
      </w:r>
      <w:r w:rsidRPr="00E96B60">
        <w:rPr>
          <w:rFonts w:cs="Tahoma"/>
          <w:color w:val="000000"/>
        </w:rPr>
        <w:t xml:space="preserve"> artículo 12 de la Ley de Transparencia y Acceso a la Información Pública del Estado de México y Municipios, que establece que los Sujetos Obligados sólo están constreñidos a proporcionar la información pública que obre en sus archivos, en el estado en que esta se encuentre; por lo que, la entrega no comprende el procesamiento de la misma, ni presentarla conforme al interés del Solicitante.</w:t>
      </w:r>
    </w:p>
    <w:p w14:paraId="6C2C3B57" w14:textId="77777777" w:rsidR="003C3EC5" w:rsidRPr="00E96B60" w:rsidRDefault="003C3EC5" w:rsidP="003C3EC5">
      <w:pPr>
        <w:spacing w:line="360" w:lineRule="auto"/>
        <w:contextualSpacing/>
        <w:rPr>
          <w:rFonts w:cs="Tahoma"/>
          <w:bCs/>
          <w:iCs/>
          <w:color w:val="000000"/>
          <w:lang w:val="es-ES_tradnl"/>
        </w:rPr>
      </w:pPr>
    </w:p>
    <w:p w14:paraId="77ED7BE0" w14:textId="77777777" w:rsidR="003C3EC5" w:rsidRPr="00E96B60" w:rsidRDefault="003C3EC5" w:rsidP="003C3EC5">
      <w:pPr>
        <w:tabs>
          <w:tab w:val="left" w:pos="4962"/>
        </w:tabs>
        <w:spacing w:line="360" w:lineRule="auto"/>
        <w:contextualSpacing/>
        <w:rPr>
          <w:rFonts w:cs="Tahoma"/>
          <w:color w:val="000000"/>
        </w:rPr>
      </w:pPr>
      <w:r w:rsidRPr="00E96B60">
        <w:rPr>
          <w:rFonts w:cs="Tahoma"/>
          <w:color w:val="000000"/>
        </w:rPr>
        <w:t xml:space="preserve">De esta manera, </w:t>
      </w:r>
      <w:r w:rsidRPr="00E96B60">
        <w:rPr>
          <w:rFonts w:cs="Tahoma"/>
          <w:color w:val="000000"/>
          <w:szCs w:val="24"/>
          <w:lang w:val="es-ES"/>
        </w:rPr>
        <w:t xml:space="preserve">el derecho de acceso a la información pública se satisface en aquellos casos en que se entregue el soporte documental en el que conste la información solicitada, sin necesidad de elaborar documentos </w:t>
      </w:r>
      <w:r w:rsidRPr="00E96B60">
        <w:rPr>
          <w:rFonts w:cs="Tahoma"/>
          <w:i/>
          <w:color w:val="000000"/>
        </w:rPr>
        <w:t>ad hoc</w:t>
      </w:r>
      <w:r w:rsidRPr="00E96B60">
        <w:rPr>
          <w:rFonts w:cs="Tahoma"/>
          <w:color w:val="000000"/>
        </w:rPr>
        <w:t xml:space="preserve">; lo cual, de conformidad con en el artículo 160 de la Ley de </w:t>
      </w:r>
      <w:r w:rsidRPr="00E96B60">
        <w:rPr>
          <w:rFonts w:cs="Tahoma"/>
          <w:color w:val="000000"/>
        </w:rPr>
        <w:lastRenderedPageBreak/>
        <w:t xml:space="preserve">Transparencia y Acceso a la Información Pública del Estado de México y Municipios, el cual refiere que los sujetos obligados deberán entregar la información que obre en sus archivos. </w:t>
      </w:r>
    </w:p>
    <w:p w14:paraId="461A6FD3" w14:textId="7F15B045" w:rsidR="000B1D07" w:rsidRPr="00E96B60" w:rsidRDefault="003C3EC5" w:rsidP="00562759">
      <w:pPr>
        <w:spacing w:after="0" w:line="360" w:lineRule="auto"/>
        <w:rPr>
          <w:rFonts w:cs="Tahoma"/>
          <w:color w:val="000000"/>
          <w:lang w:eastAsia="es-MX"/>
        </w:rPr>
      </w:pPr>
      <w:r w:rsidRPr="00E96B60">
        <w:rPr>
          <w:rFonts w:cs="Tahoma"/>
          <w:color w:val="000000"/>
          <w:lang w:val="es-ES" w:eastAsia="es-MX"/>
        </w:rPr>
        <w:t>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deber</w:t>
      </w:r>
      <w:r w:rsidRPr="00E96B60">
        <w:rPr>
          <w:rFonts w:cs="Tahoma"/>
          <w:color w:val="000000"/>
          <w:lang w:val="x-none" w:eastAsia="es-MX"/>
        </w:rPr>
        <w:t xml:space="preserve">á proporcionar </w:t>
      </w:r>
      <w:r w:rsidRPr="00E96B60">
        <w:rPr>
          <w:rFonts w:cs="Tahoma"/>
          <w:color w:val="000000"/>
          <w:lang w:eastAsia="es-MX"/>
        </w:rPr>
        <w:t xml:space="preserve">las expresiones documentales donde consten </w:t>
      </w:r>
      <w:r w:rsidR="00471DA8" w:rsidRPr="00E96B60">
        <w:rPr>
          <w:rFonts w:cs="Tahoma"/>
          <w:color w:val="000000"/>
          <w:lang w:eastAsia="es-MX"/>
        </w:rPr>
        <w:t>los registros de asistencia, de los periodos señalados en la solicitud.</w:t>
      </w:r>
    </w:p>
    <w:p w14:paraId="05B20589" w14:textId="77777777" w:rsidR="00471DA8" w:rsidRPr="00E96B60" w:rsidRDefault="00471DA8" w:rsidP="00562759">
      <w:pPr>
        <w:spacing w:after="0" w:line="360" w:lineRule="auto"/>
        <w:rPr>
          <w:rFonts w:cs="Tahoma"/>
          <w:color w:val="000000"/>
          <w:lang w:eastAsia="es-MX"/>
        </w:rPr>
      </w:pPr>
    </w:p>
    <w:p w14:paraId="0C45BA05" w14:textId="4161D4FB" w:rsidR="00471DA8" w:rsidRPr="00E96B60" w:rsidRDefault="00471DA8" w:rsidP="00471DA8">
      <w:pPr>
        <w:spacing w:after="0" w:line="360" w:lineRule="auto"/>
        <w:rPr>
          <w:rFonts w:cs="Tahoma"/>
          <w:bCs/>
          <w:iCs/>
          <w:color w:val="000000"/>
          <w:lang w:val="es-ES"/>
        </w:rPr>
      </w:pPr>
      <w:r w:rsidRPr="00E96B60">
        <w:rPr>
          <w:rFonts w:cs="Tahoma"/>
          <w:bCs/>
          <w:iCs/>
          <w:color w:val="000000"/>
          <w:lang w:val="es-ES_tradnl"/>
        </w:rPr>
        <w:t xml:space="preserve">Finalmente, </w:t>
      </w:r>
      <w:r w:rsidR="001C4DDC" w:rsidRPr="00E96B60">
        <w:rPr>
          <w:rFonts w:cs="Tahoma"/>
          <w:bCs/>
          <w:iCs/>
          <w:color w:val="000000"/>
          <w:lang w:val="es-ES_tradnl"/>
        </w:rPr>
        <w:t>como ya se señaló se deberá hacer entrega de los oficios solicitados en versión pública</w:t>
      </w:r>
      <w:r w:rsidRPr="00E96B60">
        <w:rPr>
          <w:rFonts w:cs="Tahoma"/>
          <w:bCs/>
          <w:iCs/>
          <w:color w:val="000000"/>
          <w:lang w:val="es-ES_tradnl"/>
        </w:rPr>
        <w:t xml:space="preserve">; </w:t>
      </w:r>
      <w:r w:rsidRPr="00E96B60">
        <w:rPr>
          <w:rFonts w:cs="Tahoma"/>
          <w:b/>
          <w:iCs/>
          <w:color w:val="000000"/>
          <w:lang w:val="es-ES_tradnl"/>
        </w:rPr>
        <w:t>(Cabe precisar que no podrá clasificar el nombre, cargo, área y firma de los servidores públicos, en caso de que obren en los documentos)</w:t>
      </w:r>
      <w:r w:rsidRPr="00E96B60">
        <w:rPr>
          <w:rFonts w:cs="Tahoma"/>
          <w:bCs/>
          <w:iCs/>
          <w:color w:val="000000"/>
          <w:lang w:val="es-ES_tradnl"/>
        </w:rPr>
        <w:t>; a</w:t>
      </w:r>
      <w:r w:rsidRPr="00E96B60">
        <w:rPr>
          <w:rFonts w:cs="Tahoma"/>
          <w:bCs/>
          <w:iCs/>
          <w:color w:val="000000"/>
          <w:lang w:val="es-ES"/>
        </w:rPr>
        <w:t xml:space="preserve">l respecto, conforme al artículo 3°, fracción XLV, relacionado con el 137, ambos de la Ley de Transparencia y Acceso a la Información Pública del Estado de México y Municipios, cuando un documento contenga información pública y </w:t>
      </w:r>
      <w:r w:rsidR="001C4DDC" w:rsidRPr="00E96B60">
        <w:rPr>
          <w:rFonts w:cs="Tahoma"/>
          <w:bCs/>
          <w:iCs/>
          <w:color w:val="000000"/>
          <w:lang w:val="es-ES"/>
        </w:rPr>
        <w:t>reservada</w:t>
      </w:r>
      <w:r w:rsidRPr="00E96B60">
        <w:rPr>
          <w:rFonts w:cs="Tahoma"/>
          <w:bCs/>
          <w:iCs/>
          <w:color w:val="000000"/>
          <w:lang w:val="es-ES"/>
        </w:rPr>
        <w:t>, la Unidad de Transparencia para efectos de atender al requerimiento informativo, deberá elaborar una versión Pública en la que se testen las partes o secciones clasificadas, indicando su contenido de manera genérica y fundando y motivando su clasificación.</w:t>
      </w:r>
    </w:p>
    <w:p w14:paraId="69FE0537" w14:textId="77777777" w:rsidR="00471DA8" w:rsidRPr="00E96B60" w:rsidRDefault="00471DA8" w:rsidP="00471DA8">
      <w:pPr>
        <w:spacing w:after="0" w:line="360" w:lineRule="auto"/>
        <w:rPr>
          <w:rFonts w:cs="Tahoma"/>
          <w:bCs/>
          <w:iCs/>
          <w:color w:val="000000"/>
          <w:lang w:val="es-ES"/>
        </w:rPr>
      </w:pPr>
    </w:p>
    <w:p w14:paraId="511B000C" w14:textId="77777777" w:rsidR="00471DA8" w:rsidRPr="00E96B60" w:rsidRDefault="00471DA8" w:rsidP="00471DA8">
      <w:pPr>
        <w:spacing w:after="0" w:line="360" w:lineRule="auto"/>
        <w:rPr>
          <w:rFonts w:cs="Tahoma"/>
          <w:bCs/>
          <w:iCs/>
          <w:color w:val="000000"/>
          <w:lang w:val="es-ES"/>
        </w:rPr>
      </w:pPr>
      <w:r w:rsidRPr="00E96B60">
        <w:rPr>
          <w:rFonts w:cs="Tahoma"/>
          <w:bCs/>
          <w:iCs/>
          <w:color w:val="000000"/>
          <w:lang w:val="es-ES"/>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240FAE7F" w14:textId="77777777" w:rsidR="00471DA8" w:rsidRPr="00E96B60" w:rsidRDefault="00471DA8" w:rsidP="00562759">
      <w:pPr>
        <w:spacing w:after="0" w:line="360" w:lineRule="auto"/>
        <w:rPr>
          <w:rFonts w:cs="Tahoma"/>
          <w:iCs/>
          <w:color w:val="FF0000"/>
          <w:lang w:val="es-ES"/>
        </w:rPr>
      </w:pPr>
    </w:p>
    <w:p w14:paraId="248FDEA6" w14:textId="77777777" w:rsidR="00471DA8" w:rsidRPr="00E96B60" w:rsidRDefault="00471DA8" w:rsidP="00471DA8">
      <w:pPr>
        <w:spacing w:after="0" w:line="360" w:lineRule="auto"/>
        <w:rPr>
          <w:b/>
        </w:rPr>
      </w:pPr>
      <w:r w:rsidRPr="00E96B60">
        <w:rPr>
          <w:b/>
        </w:rPr>
        <w:t>SEXTO. Decisión</w:t>
      </w:r>
    </w:p>
    <w:p w14:paraId="3E5D434C" w14:textId="77777777" w:rsidR="00471DA8" w:rsidRPr="00E96B60" w:rsidRDefault="00471DA8" w:rsidP="00471DA8">
      <w:pPr>
        <w:spacing w:after="0" w:line="360" w:lineRule="auto"/>
        <w:rPr>
          <w:b/>
        </w:rPr>
      </w:pPr>
    </w:p>
    <w:p w14:paraId="1AEB8EE8" w14:textId="2F456806" w:rsidR="00471DA8" w:rsidRPr="00E96B60" w:rsidRDefault="00471DA8" w:rsidP="00471DA8">
      <w:pPr>
        <w:spacing w:after="0" w:line="360" w:lineRule="auto"/>
        <w:rPr>
          <w:rFonts w:cs="Tahoma"/>
          <w:bCs/>
          <w:iCs/>
        </w:rPr>
      </w:pPr>
      <w:r w:rsidRPr="00E96B60">
        <w:rPr>
          <w:rFonts w:cs="Tahoma"/>
        </w:rPr>
        <w:lastRenderedPageBreak/>
        <w:t xml:space="preserve">Con fundamento en el artículo 186, fracción III, de la Ley de Transparencia y Acceso a la Información Pública del Estado de México y Municipios, este Instituto considera procedente </w:t>
      </w:r>
      <w:r w:rsidR="00615ADD" w:rsidRPr="00E96B60">
        <w:rPr>
          <w:rFonts w:cs="Tahoma"/>
          <w:b/>
        </w:rPr>
        <w:t>REVOCAR</w:t>
      </w:r>
      <w:r w:rsidRPr="00E96B60">
        <w:rPr>
          <w:rFonts w:cs="Tahoma"/>
          <w:b/>
        </w:rPr>
        <w:t xml:space="preserve"> </w:t>
      </w:r>
      <w:r w:rsidRPr="00E96B60">
        <w:rPr>
          <w:rFonts w:cs="Tahoma"/>
          <w:bCs/>
        </w:rPr>
        <w:t>la</w:t>
      </w:r>
      <w:r w:rsidRPr="00E96B60">
        <w:rPr>
          <w:rFonts w:cs="Tahoma"/>
        </w:rPr>
        <w:t xml:space="preserve"> respuesta otorgada por la Unidad de Asuntos Internos, a efecto de que, </w:t>
      </w:r>
      <w:r w:rsidR="001C4DDC" w:rsidRPr="00E96B60">
        <w:rPr>
          <w:rFonts w:cs="Tahoma"/>
        </w:rPr>
        <w:t xml:space="preserve">remita los oficios solicitados en versión pública. </w:t>
      </w:r>
    </w:p>
    <w:p w14:paraId="59D61B05" w14:textId="77777777" w:rsidR="00471DA8" w:rsidRPr="00E96B60" w:rsidRDefault="00471DA8" w:rsidP="00471DA8">
      <w:pPr>
        <w:tabs>
          <w:tab w:val="left" w:pos="4962"/>
        </w:tabs>
        <w:spacing w:after="0" w:line="360" w:lineRule="auto"/>
        <w:rPr>
          <w:lang w:val="es-ES_tradnl"/>
        </w:rPr>
      </w:pPr>
    </w:p>
    <w:p w14:paraId="05D76643" w14:textId="77777777" w:rsidR="00471DA8" w:rsidRPr="00E96B60" w:rsidRDefault="00471DA8" w:rsidP="00471DA8">
      <w:pPr>
        <w:spacing w:after="0" w:line="360" w:lineRule="auto"/>
        <w:rPr>
          <w:b/>
        </w:rPr>
      </w:pPr>
      <w:r w:rsidRPr="00E96B60">
        <w:rPr>
          <w:b/>
        </w:rPr>
        <w:t>Términos de la Resolución para conocimiento del Particular</w:t>
      </w:r>
    </w:p>
    <w:p w14:paraId="337ACAD8" w14:textId="77777777" w:rsidR="00471DA8" w:rsidRPr="00E96B60" w:rsidRDefault="00471DA8" w:rsidP="00471DA8">
      <w:pPr>
        <w:spacing w:after="0" w:line="360" w:lineRule="auto"/>
        <w:rPr>
          <w:b/>
        </w:rPr>
      </w:pPr>
    </w:p>
    <w:p w14:paraId="40126AE2" w14:textId="6C435334" w:rsidR="00F53BD4" w:rsidRPr="00E96B60" w:rsidRDefault="00471DA8" w:rsidP="00471DA8">
      <w:pPr>
        <w:spacing w:after="0" w:line="360" w:lineRule="auto"/>
      </w:pPr>
      <w:r w:rsidRPr="00E96B60">
        <w:t>Se le hace del conocimiento al ahora Recurrente, que, en el presente caso, se le da la razón, pues el Ente Recurrido clasificó la información</w:t>
      </w:r>
      <w:r w:rsidR="001C4DDC" w:rsidRPr="00E96B60">
        <w:t xml:space="preserve"> en su totalidad y lo procedente es entregarla en versión pública. </w:t>
      </w:r>
    </w:p>
    <w:p w14:paraId="6594F508" w14:textId="77777777" w:rsidR="00F53BD4" w:rsidRPr="00E96B60" w:rsidRDefault="00F53BD4" w:rsidP="00471DA8">
      <w:pPr>
        <w:spacing w:after="0" w:line="360" w:lineRule="auto"/>
      </w:pPr>
    </w:p>
    <w:p w14:paraId="22177D2D" w14:textId="77777777" w:rsidR="00F53BD4" w:rsidRPr="00E96B60" w:rsidRDefault="00F53BD4" w:rsidP="00F53BD4">
      <w:pPr>
        <w:spacing w:line="360" w:lineRule="auto"/>
        <w:contextualSpacing/>
        <w:rPr>
          <w:rFonts w:cs="Tahoma"/>
          <w:bCs/>
          <w:iCs/>
          <w:color w:val="auto"/>
          <w:lang w:val="es-ES_tradnl"/>
        </w:rPr>
      </w:pPr>
      <w:r w:rsidRPr="00E96B60">
        <w:rPr>
          <w:rFonts w:cs="Tahoma"/>
          <w:bCs/>
          <w:iCs/>
          <w:lang w:val="es-ES_tradnl"/>
        </w:rPr>
        <w:t>Finalmente, se le informa que la labor de este Instituto de Transparencia, Acceso a la Información Pública y Protección de Datos Personales del Estado de México y Municipios, es apoyar a la población a acceder a la información pública y es garantizar la protección de los datos personales.</w:t>
      </w:r>
    </w:p>
    <w:p w14:paraId="7361173A" w14:textId="77777777" w:rsidR="000B1D07" w:rsidRPr="00E96B60" w:rsidRDefault="000B1D07" w:rsidP="00562759">
      <w:pPr>
        <w:spacing w:after="0" w:line="360" w:lineRule="auto"/>
        <w:rPr>
          <w:rFonts w:cs="Tahoma"/>
          <w:iCs/>
          <w:color w:val="FF0000"/>
          <w:lang w:val="es-ES_tradnl"/>
        </w:rPr>
      </w:pPr>
    </w:p>
    <w:p w14:paraId="4D076CB3" w14:textId="7744BFAE" w:rsidR="00471DA8" w:rsidRPr="00E96B60" w:rsidRDefault="00471DA8" w:rsidP="00471DA8">
      <w:pPr>
        <w:spacing w:after="0" w:line="360" w:lineRule="auto"/>
        <w:rPr>
          <w:rFonts w:eastAsia="Palatino Linotype" w:cs="Palatino Linotype"/>
          <w:color w:val="auto"/>
        </w:rPr>
      </w:pPr>
      <w:r w:rsidRPr="00E96B60">
        <w:rPr>
          <w:rFonts w:eastAsia="Palatino Linotype" w:cs="Palatino Linotype"/>
          <w:color w:val="auto"/>
        </w:rPr>
        <w:t>Por lo expuesto y fundado, este Pleno:</w:t>
      </w:r>
    </w:p>
    <w:p w14:paraId="237A6F72" w14:textId="77777777" w:rsidR="00116DA4" w:rsidRPr="00E96B60" w:rsidRDefault="00116DA4" w:rsidP="00471DA8">
      <w:pPr>
        <w:spacing w:after="0" w:line="360" w:lineRule="auto"/>
        <w:rPr>
          <w:rFonts w:eastAsia="Palatino Linotype" w:cs="Palatino Linotype"/>
          <w:color w:val="auto"/>
        </w:rPr>
      </w:pPr>
    </w:p>
    <w:p w14:paraId="30E1E831" w14:textId="77777777" w:rsidR="00471DA8" w:rsidRPr="00E96B60" w:rsidRDefault="00471DA8" w:rsidP="00471DA8">
      <w:pPr>
        <w:spacing w:after="0" w:line="360" w:lineRule="auto"/>
        <w:jc w:val="center"/>
        <w:rPr>
          <w:rFonts w:eastAsia="Palatino Linotype" w:cs="Palatino Linotype"/>
          <w:b/>
          <w:color w:val="auto"/>
        </w:rPr>
      </w:pPr>
      <w:r w:rsidRPr="00E96B60">
        <w:rPr>
          <w:rFonts w:eastAsia="Palatino Linotype" w:cs="Palatino Linotype"/>
          <w:b/>
          <w:color w:val="auto"/>
        </w:rPr>
        <w:t>R E S U E L V E</w:t>
      </w:r>
    </w:p>
    <w:p w14:paraId="65957F7B" w14:textId="77777777" w:rsidR="00471DA8" w:rsidRPr="00E96B60" w:rsidRDefault="00471DA8" w:rsidP="00471DA8">
      <w:pPr>
        <w:spacing w:after="0" w:line="360" w:lineRule="auto"/>
        <w:rPr>
          <w:rFonts w:eastAsia="Palatino Linotype" w:cs="Palatino Linotype"/>
          <w:color w:val="auto"/>
        </w:rPr>
      </w:pPr>
    </w:p>
    <w:p w14:paraId="3348902A" w14:textId="5DBE15D6" w:rsidR="00471DA8" w:rsidRPr="00E96B60" w:rsidRDefault="00471DA8" w:rsidP="00471DA8">
      <w:pPr>
        <w:spacing w:after="0" w:line="360" w:lineRule="auto"/>
        <w:rPr>
          <w:rFonts w:eastAsia="Palatino Linotype" w:cs="Palatino Linotype"/>
          <w:color w:val="auto"/>
        </w:rPr>
      </w:pPr>
      <w:r w:rsidRPr="00E96B60">
        <w:rPr>
          <w:rFonts w:eastAsia="Palatino Linotype" w:cs="Palatino Linotype"/>
          <w:b/>
          <w:color w:val="auto"/>
        </w:rPr>
        <w:t xml:space="preserve">PRIMERO. </w:t>
      </w:r>
      <w:r w:rsidRPr="00E96B60">
        <w:rPr>
          <w:rFonts w:eastAsia="Palatino Linotype" w:cs="Palatino Linotype"/>
          <w:color w:val="auto"/>
        </w:rPr>
        <w:t xml:space="preserve">Se </w:t>
      </w:r>
      <w:r w:rsidR="00615ADD" w:rsidRPr="00E96B60">
        <w:rPr>
          <w:rFonts w:eastAsia="Palatino Linotype" w:cs="Palatino Linotype"/>
          <w:b/>
          <w:color w:val="auto"/>
        </w:rPr>
        <w:t>REVOCAN</w:t>
      </w:r>
      <w:r w:rsidRPr="00E96B60">
        <w:rPr>
          <w:rFonts w:eastAsia="Palatino Linotype" w:cs="Palatino Linotype"/>
          <w:b/>
          <w:color w:val="auto"/>
        </w:rPr>
        <w:t xml:space="preserve"> </w:t>
      </w:r>
      <w:r w:rsidRPr="00E96B60">
        <w:rPr>
          <w:rFonts w:eastAsia="Palatino Linotype" w:cs="Palatino Linotype"/>
          <w:color w:val="auto"/>
        </w:rPr>
        <w:t>la</w:t>
      </w:r>
      <w:r w:rsidR="001C4DDC" w:rsidRPr="00E96B60">
        <w:rPr>
          <w:rFonts w:eastAsia="Palatino Linotype" w:cs="Palatino Linotype"/>
          <w:color w:val="auto"/>
        </w:rPr>
        <w:t>s</w:t>
      </w:r>
      <w:r w:rsidRPr="00E96B60">
        <w:rPr>
          <w:rFonts w:eastAsia="Palatino Linotype" w:cs="Palatino Linotype"/>
          <w:color w:val="auto"/>
        </w:rPr>
        <w:t xml:space="preserve"> respuesta</w:t>
      </w:r>
      <w:r w:rsidR="001C4DDC" w:rsidRPr="00E96B60">
        <w:rPr>
          <w:rFonts w:eastAsia="Palatino Linotype" w:cs="Palatino Linotype"/>
          <w:color w:val="auto"/>
        </w:rPr>
        <w:t>s</w:t>
      </w:r>
      <w:r w:rsidRPr="00E96B60">
        <w:rPr>
          <w:rFonts w:eastAsia="Palatino Linotype" w:cs="Palatino Linotype"/>
          <w:color w:val="auto"/>
        </w:rPr>
        <w:t xml:space="preserve"> entregada</w:t>
      </w:r>
      <w:r w:rsidR="001C4DDC" w:rsidRPr="00E96B60">
        <w:rPr>
          <w:rFonts w:eastAsia="Palatino Linotype" w:cs="Palatino Linotype"/>
          <w:color w:val="auto"/>
        </w:rPr>
        <w:t>s</w:t>
      </w:r>
      <w:r w:rsidRPr="00E96B60">
        <w:rPr>
          <w:rFonts w:eastAsia="Palatino Linotype" w:cs="Palatino Linotype"/>
          <w:color w:val="auto"/>
        </w:rPr>
        <w:t xml:space="preserve"> por la Unidad de Asuntos Internos, a las solicitudes de información </w:t>
      </w:r>
      <w:r w:rsidR="001C4DDC" w:rsidRPr="00E96B60">
        <w:rPr>
          <w:rFonts w:eastAsiaTheme="minorHAnsi" w:cstheme="minorBidi"/>
        </w:rPr>
        <w:t>00067</w:t>
      </w:r>
      <w:r w:rsidRPr="00E96B60">
        <w:rPr>
          <w:rFonts w:eastAsiaTheme="minorHAnsi" w:cstheme="minorBidi"/>
        </w:rPr>
        <w:t xml:space="preserve">/UAI/IP/2024, </w:t>
      </w:r>
      <w:r w:rsidR="001C4DDC" w:rsidRPr="00E96B60">
        <w:rPr>
          <w:rFonts w:eastAsiaTheme="minorHAnsi" w:cstheme="minorBidi"/>
        </w:rPr>
        <w:t>00066</w:t>
      </w:r>
      <w:r w:rsidRPr="00E96B60">
        <w:rPr>
          <w:rFonts w:eastAsiaTheme="minorHAnsi" w:cstheme="minorBidi"/>
        </w:rPr>
        <w:t xml:space="preserve">/UAI/IP/2024, </w:t>
      </w:r>
      <w:r w:rsidR="001C4DDC" w:rsidRPr="00E96B60">
        <w:rPr>
          <w:rFonts w:eastAsiaTheme="minorHAnsi" w:cstheme="minorBidi"/>
        </w:rPr>
        <w:t>00020</w:t>
      </w:r>
      <w:r w:rsidRPr="00E96B60">
        <w:rPr>
          <w:rFonts w:eastAsiaTheme="minorHAnsi" w:cstheme="minorBidi"/>
        </w:rPr>
        <w:t xml:space="preserve">/UAI/IP/2024 y </w:t>
      </w:r>
      <w:r w:rsidR="001C4DDC" w:rsidRPr="00E96B60">
        <w:rPr>
          <w:rFonts w:eastAsiaTheme="minorHAnsi" w:cstheme="minorBidi"/>
        </w:rPr>
        <w:t>00042</w:t>
      </w:r>
      <w:r w:rsidRPr="00E96B60">
        <w:rPr>
          <w:rFonts w:eastAsiaTheme="minorHAnsi" w:cstheme="minorBidi"/>
        </w:rPr>
        <w:t>/UAI/IP/2024</w:t>
      </w:r>
      <w:r w:rsidRPr="00E96B60">
        <w:rPr>
          <w:rFonts w:eastAsia="Palatino Linotype" w:cs="Palatino Linotype"/>
          <w:color w:val="000000"/>
        </w:rPr>
        <w:t>,</w:t>
      </w:r>
      <w:r w:rsidRPr="00E96B60">
        <w:rPr>
          <w:rFonts w:eastAsia="Palatino Linotype" w:cs="Palatino Linotype"/>
          <w:color w:val="auto"/>
        </w:rPr>
        <w:t xml:space="preserve"> por resultar</w:t>
      </w:r>
      <w:r w:rsidRPr="00E96B60">
        <w:rPr>
          <w:rFonts w:eastAsia="Palatino Linotype" w:cs="Palatino Linotype"/>
          <w:b/>
          <w:color w:val="auto"/>
        </w:rPr>
        <w:t xml:space="preserve"> FUNDADAS </w:t>
      </w:r>
      <w:r w:rsidRPr="00E96B60">
        <w:rPr>
          <w:rFonts w:eastAsia="Palatino Linotype" w:cs="Palatino Linotype"/>
          <w:color w:val="auto"/>
        </w:rPr>
        <w:t>las razones o motivos de inconformidad hechos valer por el Recurrente, en términos de los considerandos QUINTO y SEXTO de la presente Resolución.</w:t>
      </w:r>
    </w:p>
    <w:p w14:paraId="01CF661E" w14:textId="77777777" w:rsidR="00471DA8" w:rsidRPr="00E96B60" w:rsidRDefault="00471DA8" w:rsidP="00471DA8">
      <w:pPr>
        <w:spacing w:after="0" w:line="360" w:lineRule="auto"/>
        <w:rPr>
          <w:rFonts w:eastAsia="Palatino Linotype" w:cs="Palatino Linotype"/>
          <w:color w:val="auto"/>
        </w:rPr>
      </w:pPr>
    </w:p>
    <w:p w14:paraId="67705001" w14:textId="2E258C36" w:rsidR="00D36853" w:rsidRPr="00E96B60" w:rsidRDefault="00471DA8" w:rsidP="00471DA8">
      <w:pPr>
        <w:spacing w:after="0" w:line="360" w:lineRule="auto"/>
        <w:rPr>
          <w:rFonts w:eastAsia="Palatino Linotype" w:cs="Palatino Linotype"/>
        </w:rPr>
      </w:pPr>
      <w:r w:rsidRPr="00E96B60">
        <w:rPr>
          <w:rFonts w:eastAsia="Palatino Linotype" w:cs="Palatino Linotype"/>
          <w:b/>
          <w:color w:val="auto"/>
        </w:rPr>
        <w:lastRenderedPageBreak/>
        <w:t xml:space="preserve">SEGUNDO. </w:t>
      </w:r>
      <w:r w:rsidRPr="00E96B60">
        <w:rPr>
          <w:rFonts w:eastAsia="Palatino Linotype" w:cs="Palatino Linotype"/>
          <w:color w:val="auto"/>
        </w:rPr>
        <w:t xml:space="preserve">Se </w:t>
      </w:r>
      <w:r w:rsidRPr="00E96B60">
        <w:rPr>
          <w:rFonts w:eastAsia="Palatino Linotype" w:cs="Palatino Linotype"/>
          <w:b/>
          <w:color w:val="auto"/>
        </w:rPr>
        <w:t>ORDENA</w:t>
      </w:r>
      <w:r w:rsidRPr="00E96B60">
        <w:rPr>
          <w:rFonts w:eastAsia="Palatino Linotype" w:cs="Palatino Linotype"/>
          <w:color w:val="auto"/>
        </w:rPr>
        <w:t xml:space="preserve"> al Ente Recurrido</w:t>
      </w:r>
      <w:r w:rsidRPr="00E96B60">
        <w:rPr>
          <w:rFonts w:eastAsia="Palatino Linotype" w:cs="Palatino Linotype"/>
          <w:b/>
          <w:color w:val="auto"/>
        </w:rPr>
        <w:t xml:space="preserve">, </w:t>
      </w:r>
      <w:r w:rsidRPr="00E96B60">
        <w:rPr>
          <w:rFonts w:eastAsia="Palatino Linotype" w:cs="Palatino Linotype"/>
          <w:color w:val="auto"/>
        </w:rPr>
        <w:t xml:space="preserve">a efecto de que, </w:t>
      </w:r>
      <w:r w:rsidR="00366230" w:rsidRPr="00E96B60">
        <w:rPr>
          <w:rFonts w:eastAsia="Palatino Linotype" w:cs="Palatino Linotype"/>
          <w:color w:val="000000"/>
        </w:rPr>
        <w:t xml:space="preserve">a efecto de que entregue, </w:t>
      </w:r>
      <w:r w:rsidRPr="00E96B60">
        <w:rPr>
          <w:rFonts w:eastAsia="Palatino Linotype" w:cs="Palatino Linotype"/>
          <w:color w:val="auto"/>
        </w:rPr>
        <w:t>a través del</w:t>
      </w:r>
      <w:r w:rsidR="001C4DDC" w:rsidRPr="00E96B60">
        <w:rPr>
          <w:rFonts w:eastAsia="Palatino Linotype" w:cs="Palatino Linotype"/>
          <w:color w:val="auto"/>
        </w:rPr>
        <w:t xml:space="preserve"> </w:t>
      </w:r>
      <w:r w:rsidRPr="00E96B60">
        <w:rPr>
          <w:rFonts w:eastAsia="Palatino Linotype" w:cs="Palatino Linotype"/>
          <w:color w:val="auto"/>
        </w:rPr>
        <w:t xml:space="preserve">SAIMEX, </w:t>
      </w:r>
      <w:r w:rsidR="00366230" w:rsidRPr="00E96B60">
        <w:rPr>
          <w:rFonts w:eastAsia="Palatino Linotype" w:cs="Palatino Linotype"/>
          <w:color w:val="000000"/>
        </w:rPr>
        <w:t xml:space="preserve">en su caso en versión pública, los documentos que den cuenta de </w:t>
      </w:r>
      <w:r w:rsidR="00366230" w:rsidRPr="00E96B60">
        <w:rPr>
          <w:rFonts w:eastAsia="Palatino Linotype" w:cs="Palatino Linotype"/>
        </w:rPr>
        <w:t>lo siguiente:</w:t>
      </w:r>
    </w:p>
    <w:p w14:paraId="1A69DD4F" w14:textId="77777777" w:rsidR="00366230" w:rsidRPr="00E96B60" w:rsidRDefault="00366230" w:rsidP="00471DA8">
      <w:pPr>
        <w:spacing w:after="0" w:line="360" w:lineRule="auto"/>
        <w:rPr>
          <w:rFonts w:eastAsia="Palatino Linotype" w:cs="Palatino Linotype"/>
          <w:lang w:eastAsia="es-MX"/>
        </w:rPr>
      </w:pPr>
    </w:p>
    <w:p w14:paraId="06EC489D" w14:textId="0273D58C" w:rsidR="00471DA8" w:rsidRPr="00E96B60" w:rsidRDefault="00116DA4" w:rsidP="00D36853">
      <w:pPr>
        <w:pStyle w:val="Prrafodelista"/>
        <w:numPr>
          <w:ilvl w:val="0"/>
          <w:numId w:val="46"/>
        </w:numPr>
        <w:spacing w:after="0" w:line="360" w:lineRule="auto"/>
        <w:rPr>
          <w:rFonts w:ascii="Palatino Linotype" w:eastAsia="Palatino Linotype" w:hAnsi="Palatino Linotype" w:cs="Palatino Linotype"/>
          <w:lang w:eastAsia="es-MX"/>
        </w:rPr>
      </w:pPr>
      <w:r w:rsidRPr="00E96B60">
        <w:rPr>
          <w:rFonts w:ascii="Palatino Linotype" w:eastAsia="Palatino Linotype" w:hAnsi="Palatino Linotype" w:cs="Palatino Linotype"/>
          <w:lang w:eastAsia="es-MX"/>
        </w:rPr>
        <w:t>O</w:t>
      </w:r>
      <w:r w:rsidR="00D36853" w:rsidRPr="00E96B60">
        <w:rPr>
          <w:rFonts w:ascii="Palatino Linotype" w:eastAsia="Palatino Linotype" w:hAnsi="Palatino Linotype" w:cs="Palatino Linotype"/>
          <w:lang w:eastAsia="es-MX"/>
        </w:rPr>
        <w:t>ficios emitidos por la Unidad de Asuntos Internos de la primera y segunda quincena de febrero de dos mil veinticuatro.</w:t>
      </w:r>
    </w:p>
    <w:p w14:paraId="2FCC7410" w14:textId="560C42BE" w:rsidR="00D36853" w:rsidRPr="00E96B60" w:rsidRDefault="00D36853" w:rsidP="00D36853">
      <w:pPr>
        <w:pStyle w:val="Prrafodelista"/>
        <w:numPr>
          <w:ilvl w:val="0"/>
          <w:numId w:val="46"/>
        </w:numPr>
        <w:spacing w:after="0" w:line="360" w:lineRule="auto"/>
        <w:rPr>
          <w:rFonts w:ascii="Palatino Linotype" w:eastAsia="Palatino Linotype" w:hAnsi="Palatino Linotype" w:cs="Palatino Linotype"/>
          <w:lang w:eastAsia="es-MX"/>
        </w:rPr>
      </w:pPr>
      <w:r w:rsidRPr="00E96B60">
        <w:rPr>
          <w:rFonts w:ascii="Palatino Linotype" w:eastAsia="Palatino Linotype" w:hAnsi="Palatino Linotype" w:cs="Palatino Linotype"/>
          <w:lang w:eastAsia="es-MX"/>
        </w:rPr>
        <w:t>Oficios emitidos por el servidor público mencionado en la</w:t>
      </w:r>
      <w:r w:rsidR="00366230" w:rsidRPr="00E96B60">
        <w:rPr>
          <w:rFonts w:ascii="Palatino Linotype" w:eastAsia="Palatino Linotype" w:hAnsi="Palatino Linotype" w:cs="Palatino Linotype"/>
          <w:lang w:eastAsia="es-MX"/>
        </w:rPr>
        <w:t>s</w:t>
      </w:r>
      <w:r w:rsidRPr="00E96B60">
        <w:rPr>
          <w:rFonts w:ascii="Palatino Linotype" w:eastAsia="Palatino Linotype" w:hAnsi="Palatino Linotype" w:cs="Palatino Linotype"/>
          <w:lang w:eastAsia="es-MX"/>
        </w:rPr>
        <w:t xml:space="preserve"> solicitud</w:t>
      </w:r>
      <w:r w:rsidR="00366230" w:rsidRPr="00E96B60">
        <w:rPr>
          <w:rFonts w:ascii="Palatino Linotype" w:eastAsia="Palatino Linotype" w:hAnsi="Palatino Linotype" w:cs="Palatino Linotype"/>
          <w:lang w:eastAsia="es-MX"/>
        </w:rPr>
        <w:t>es</w:t>
      </w:r>
      <w:r w:rsidRPr="00E96B60">
        <w:rPr>
          <w:rFonts w:ascii="Palatino Linotype" w:eastAsia="Palatino Linotype" w:hAnsi="Palatino Linotype" w:cs="Palatino Linotype"/>
          <w:lang w:eastAsia="es-MX"/>
        </w:rPr>
        <w:t xml:space="preserve"> 00067/UAI/IP/2024</w:t>
      </w:r>
      <w:r w:rsidR="00366230" w:rsidRPr="00E96B60">
        <w:rPr>
          <w:rFonts w:ascii="Palatino Linotype" w:eastAsia="Palatino Linotype" w:hAnsi="Palatino Linotype" w:cs="Palatino Linotype"/>
          <w:lang w:eastAsia="es-MX"/>
        </w:rPr>
        <w:t>,</w:t>
      </w:r>
      <w:r w:rsidRPr="00E96B60">
        <w:rPr>
          <w:rFonts w:ascii="Palatino Linotype" w:eastAsia="Palatino Linotype" w:hAnsi="Palatino Linotype" w:cs="Palatino Linotype"/>
          <w:lang w:eastAsia="es-MX"/>
        </w:rPr>
        <w:t xml:space="preserve"> 00066/UAI/IP/2024 y </w:t>
      </w:r>
      <w:r w:rsidR="00366230" w:rsidRPr="00E96B60">
        <w:rPr>
          <w:rFonts w:ascii="Palatino Linotype" w:eastAsia="Palatino Linotype" w:hAnsi="Palatino Linotype" w:cs="Palatino Linotype"/>
          <w:lang w:eastAsia="es-MX"/>
        </w:rPr>
        <w:t>00020/UAI/IP/2024 desde que tomó</w:t>
      </w:r>
      <w:r w:rsidRPr="00E96B60">
        <w:rPr>
          <w:rFonts w:ascii="Palatino Linotype" w:eastAsia="Palatino Linotype" w:hAnsi="Palatino Linotype" w:cs="Palatino Linotype"/>
          <w:lang w:eastAsia="es-MX"/>
        </w:rPr>
        <w:t xml:space="preserve"> el cargo al diecisiete de septiembre de dos mil veinticuatro. </w:t>
      </w:r>
    </w:p>
    <w:p w14:paraId="33E41A4B" w14:textId="77777777" w:rsidR="00471DA8" w:rsidRPr="00E96B60" w:rsidRDefault="00471DA8" w:rsidP="0096304B">
      <w:pPr>
        <w:spacing w:after="0" w:line="360" w:lineRule="auto"/>
        <w:contextualSpacing/>
        <w:rPr>
          <w:rFonts w:eastAsia="Palatino Linotype" w:cs="Palatino Linotype"/>
          <w:color w:val="auto"/>
        </w:rPr>
      </w:pPr>
    </w:p>
    <w:p w14:paraId="52EE370E" w14:textId="77777777" w:rsidR="00366230" w:rsidRPr="00E96B60" w:rsidRDefault="00366230" w:rsidP="00F175BD">
      <w:pPr>
        <w:spacing w:line="360" w:lineRule="auto"/>
        <w:contextualSpacing/>
        <w:rPr>
          <w:rFonts w:cs="Tahoma"/>
        </w:rPr>
      </w:pPr>
      <w:r w:rsidRPr="00E96B60">
        <w:rPr>
          <w:rFonts w:cs="Tahoma"/>
        </w:rPr>
        <w:t>Para el caso de ser necesarias las versiones públicas, deberá proporcionar el Acuerdo de Clasificación donde el Comité de Transparencia, confirme la eliminación de los datos clasificados como confidenciales, de conformidad con los artículos 49, fracciones II y VIII, 132, fracción II, 143, fracción I y 149, de la Ley de Transparencia y Acceso a la Información Pública del Estado de México y Municipios.</w:t>
      </w:r>
    </w:p>
    <w:p w14:paraId="5E81EC25" w14:textId="3ED3804F" w:rsidR="00366230" w:rsidRPr="00E96B60" w:rsidRDefault="00366230" w:rsidP="0096304B">
      <w:pPr>
        <w:spacing w:after="0" w:line="360" w:lineRule="auto"/>
        <w:contextualSpacing/>
        <w:rPr>
          <w:rFonts w:eastAsia="Palatino Linotype" w:cs="Palatino Linotype"/>
          <w:color w:val="auto"/>
        </w:rPr>
      </w:pPr>
    </w:p>
    <w:p w14:paraId="5B06C7A3" w14:textId="0C4F7E23" w:rsidR="00366230" w:rsidRPr="00E96B60" w:rsidRDefault="00366230" w:rsidP="00366230">
      <w:pPr>
        <w:spacing w:line="360" w:lineRule="auto"/>
        <w:ind w:right="-93"/>
        <w:contextualSpacing/>
        <w:rPr>
          <w:rFonts w:cs="Tahoma"/>
          <w:bCs/>
        </w:rPr>
      </w:pPr>
      <w:r w:rsidRPr="00E96B60">
        <w:rPr>
          <w:rFonts w:cs="Tahoma"/>
          <w:bCs/>
        </w:rPr>
        <w:t xml:space="preserve">Para el caso de que haya </w:t>
      </w:r>
      <w:r w:rsidR="001B37E5" w:rsidRPr="00E96B60">
        <w:rPr>
          <w:rFonts w:cs="Tahoma"/>
          <w:bCs/>
        </w:rPr>
        <w:t>oficios</w:t>
      </w:r>
      <w:r w:rsidRPr="00E96B60">
        <w:rPr>
          <w:rFonts w:cs="Tahoma"/>
          <w:bCs/>
        </w:rPr>
        <w:t xml:space="preserve"> cancelados, deberá hacerlo del conocimiento del Recurrente, de manera precisa y clara.</w:t>
      </w:r>
    </w:p>
    <w:p w14:paraId="756C7800" w14:textId="77777777" w:rsidR="00471DA8" w:rsidRPr="00E96B60" w:rsidRDefault="00471DA8" w:rsidP="0096304B">
      <w:pPr>
        <w:spacing w:after="0" w:line="360" w:lineRule="auto"/>
        <w:contextualSpacing/>
        <w:rPr>
          <w:rFonts w:cs="Tahoma"/>
          <w:bCs/>
          <w:iCs/>
          <w:color w:val="auto"/>
          <w:lang w:eastAsia="es-ES_tradnl"/>
        </w:rPr>
      </w:pPr>
    </w:p>
    <w:p w14:paraId="2D05418C" w14:textId="728CCC51" w:rsidR="00471DA8" w:rsidRPr="00E96B60" w:rsidRDefault="00471DA8" w:rsidP="0096304B">
      <w:pPr>
        <w:spacing w:after="0" w:line="360" w:lineRule="auto"/>
        <w:ind w:right="-28"/>
        <w:contextualSpacing/>
        <w:rPr>
          <w:rFonts w:eastAsia="Palatino Linotype" w:cs="Palatino Linotype"/>
          <w:b/>
          <w:color w:val="auto"/>
        </w:rPr>
      </w:pPr>
      <w:r w:rsidRPr="00E96B60">
        <w:rPr>
          <w:rFonts w:eastAsia="Palatino Linotype" w:cs="Palatino Linotype"/>
          <w:b/>
          <w:color w:val="auto"/>
        </w:rPr>
        <w:t xml:space="preserve">TERCERO. NOTIFÍQUESE POR SAIMEX </w:t>
      </w:r>
      <w:r w:rsidRPr="00E96B60">
        <w:rPr>
          <w:rFonts w:eastAsia="Palatino Linotype" w:cs="Palatino Linotype"/>
          <w:color w:val="auto"/>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w:t>
      </w:r>
      <w:r w:rsidRPr="00E96B60">
        <w:rPr>
          <w:rFonts w:eastAsia="Palatino Linotype" w:cs="Palatino Linotype"/>
          <w:color w:val="auto"/>
        </w:rPr>
        <w:lastRenderedPageBreak/>
        <w:t>conformidad con lo previsto en los artículos 198, 200, fracción III, 214, 215 y 216 de la Ley referida.</w:t>
      </w:r>
    </w:p>
    <w:p w14:paraId="3DB06928" w14:textId="77777777" w:rsidR="00471DA8" w:rsidRPr="00E96B60" w:rsidRDefault="00471DA8" w:rsidP="00471DA8">
      <w:pPr>
        <w:spacing w:after="0" w:line="360" w:lineRule="auto"/>
        <w:ind w:right="-28"/>
        <w:rPr>
          <w:rFonts w:eastAsia="Palatino Linotype" w:cs="Palatino Linotype"/>
          <w:color w:val="000000"/>
        </w:rPr>
      </w:pPr>
    </w:p>
    <w:p w14:paraId="33BF0072" w14:textId="5F2A23F7" w:rsidR="00471DA8" w:rsidRPr="00E96B60" w:rsidRDefault="00471DA8" w:rsidP="00471DA8">
      <w:pPr>
        <w:spacing w:after="0" w:line="360" w:lineRule="auto"/>
        <w:rPr>
          <w:rFonts w:eastAsia="Palatino Linotype" w:cs="Palatino Linotype"/>
          <w:color w:val="000000"/>
        </w:rPr>
      </w:pPr>
      <w:r w:rsidRPr="00E96B60">
        <w:rPr>
          <w:rFonts w:eastAsia="Palatino Linotype" w:cs="Palatino Linotype"/>
          <w:color w:val="000000"/>
        </w:rPr>
        <w:t xml:space="preserve">De conformidad con el artículo 198 de la </w:t>
      </w:r>
      <w:r w:rsidR="00F53BD4" w:rsidRPr="00E96B60">
        <w:rPr>
          <w:rFonts w:eastAsia="Palatino Linotype" w:cs="Palatino Linotype"/>
          <w:color w:val="000000"/>
        </w:rPr>
        <w:t>Ley de la materia</w:t>
      </w:r>
      <w:r w:rsidRPr="00E96B60">
        <w:rPr>
          <w:rFonts w:eastAsia="Palatino Linotype" w:cs="Palatino Linotype"/>
          <w:color w:val="000000"/>
        </w:rPr>
        <w:t>, de considerarlo procedente, el Sujeto Obligado de manera fundada y motivada, podrá solicitar una ampliación de plazo para el cumplimiento de la presente resolución.</w:t>
      </w:r>
    </w:p>
    <w:p w14:paraId="4180D1E2" w14:textId="77777777" w:rsidR="00471DA8" w:rsidRPr="00E96B60" w:rsidRDefault="00471DA8" w:rsidP="00471DA8">
      <w:pPr>
        <w:spacing w:after="0" w:line="360" w:lineRule="auto"/>
        <w:rPr>
          <w:rFonts w:eastAsia="Palatino Linotype" w:cs="Palatino Linotype"/>
          <w:color w:val="000000"/>
        </w:rPr>
      </w:pPr>
    </w:p>
    <w:p w14:paraId="060094FC" w14:textId="53F8792B" w:rsidR="00471DA8" w:rsidRPr="00E96B60" w:rsidRDefault="00471DA8" w:rsidP="00471DA8">
      <w:pPr>
        <w:spacing w:after="0" w:line="360" w:lineRule="auto"/>
        <w:rPr>
          <w:rFonts w:eastAsia="Palatino Linotype" w:cs="Palatino Linotype"/>
          <w:color w:val="auto"/>
        </w:rPr>
      </w:pPr>
      <w:r w:rsidRPr="00E96B60">
        <w:rPr>
          <w:rFonts w:eastAsia="Palatino Linotype" w:cs="Palatino Linotype"/>
          <w:b/>
          <w:color w:val="auto"/>
        </w:rPr>
        <w:t>CUARTO. NOTIFÍQUESE POR SAIMEX</w:t>
      </w:r>
      <w:r w:rsidRPr="00E96B60">
        <w:rPr>
          <w:rFonts w:eastAsia="Palatino Linotype" w:cs="Palatino Linotype"/>
          <w:color w:val="auto"/>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3BC94352" w14:textId="77777777" w:rsidR="00470CA9" w:rsidRPr="00E96B60" w:rsidRDefault="00470CA9" w:rsidP="00562759">
      <w:pPr>
        <w:spacing w:after="0" w:line="360" w:lineRule="auto"/>
        <w:rPr>
          <w:color w:val="FF0000"/>
        </w:rPr>
      </w:pPr>
    </w:p>
    <w:p w14:paraId="347F704A" w14:textId="776F0FB7" w:rsidR="00CB2EC0" w:rsidRPr="000F3E68" w:rsidRDefault="00CB2EC0" w:rsidP="00562759">
      <w:pPr>
        <w:spacing w:after="0" w:line="360" w:lineRule="auto"/>
        <w:rPr>
          <w:rFonts w:eastAsiaTheme="minorHAnsi" w:cstheme="minorBidi"/>
        </w:rPr>
      </w:pPr>
      <w:r w:rsidRPr="00E96B60">
        <w:rPr>
          <w:rFonts w:eastAsiaTheme="minorHAnsi" w:cstheme="minorBidi"/>
        </w:rPr>
        <w:t>ASÍ LO RESUELVE, POR </w:t>
      </w:r>
      <w:r w:rsidRPr="00E96B60">
        <w:rPr>
          <w:rFonts w:eastAsiaTheme="minorHAnsi" w:cstheme="minorBidi"/>
          <w:b/>
        </w:rPr>
        <w:t>UNANIMIDAD</w:t>
      </w:r>
      <w:r w:rsidRPr="00E96B60">
        <w:rPr>
          <w:rFonts w:eastAsiaTheme="minorHAnsi" w:cstheme="minorBidi"/>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AA7C05" w:rsidRPr="00E96B60">
        <w:rPr>
          <w:rFonts w:eastAsiaTheme="minorHAnsi" w:cstheme="minorBidi"/>
        </w:rPr>
        <w:t>CUADRAGÉSIMA</w:t>
      </w:r>
      <w:r w:rsidRPr="00E96B60">
        <w:rPr>
          <w:rFonts w:eastAsiaTheme="minorHAnsi" w:cstheme="minorBidi"/>
        </w:rPr>
        <w:t xml:space="preserve"> </w:t>
      </w:r>
      <w:r w:rsidR="0096304B" w:rsidRPr="00E96B60">
        <w:rPr>
          <w:rFonts w:eastAsiaTheme="minorHAnsi" w:cstheme="minorBidi"/>
        </w:rPr>
        <w:t xml:space="preserve">PRIMERA </w:t>
      </w:r>
      <w:r w:rsidRPr="00E96B60">
        <w:rPr>
          <w:rFonts w:eastAsiaTheme="minorHAnsi" w:cstheme="minorBidi"/>
        </w:rPr>
        <w:t xml:space="preserve">SESIÓN ORDINARIA, CELEBRADA EL </w:t>
      </w:r>
      <w:r w:rsidR="00AA7C05" w:rsidRPr="00E96B60">
        <w:rPr>
          <w:rFonts w:eastAsiaTheme="minorHAnsi" w:cstheme="minorBidi"/>
        </w:rPr>
        <w:t>VEINTI</w:t>
      </w:r>
      <w:r w:rsidR="0096304B" w:rsidRPr="00E96B60">
        <w:rPr>
          <w:rFonts w:eastAsiaTheme="minorHAnsi" w:cstheme="minorBidi"/>
        </w:rPr>
        <w:t xml:space="preserve">SIETE </w:t>
      </w:r>
      <w:r w:rsidR="00AA7C05" w:rsidRPr="00E96B60">
        <w:rPr>
          <w:rFonts w:eastAsiaTheme="minorHAnsi" w:cstheme="minorBidi"/>
        </w:rPr>
        <w:t>DE NOVIEMBRE</w:t>
      </w:r>
      <w:r w:rsidRPr="00E96B60">
        <w:rPr>
          <w:rFonts w:eastAsiaTheme="minorHAnsi" w:cstheme="minorBidi"/>
        </w:rPr>
        <w:t xml:space="preserve"> DE DOS MIL VEINTICUATRO, ANTE EL SECRETARIO TÉCNICO DEL PLENO, ALEXIS TAPIA RAMÍREZ.</w:t>
      </w:r>
    </w:p>
    <w:p w14:paraId="1FEF1424" w14:textId="702FD552" w:rsidR="00B103E0" w:rsidRPr="000F3E68" w:rsidRDefault="00B103E0" w:rsidP="00562759">
      <w:pPr>
        <w:spacing w:after="0" w:line="360" w:lineRule="auto"/>
        <w:rPr>
          <w:rFonts w:eastAsiaTheme="minorHAnsi" w:cstheme="minorBidi"/>
          <w:b/>
        </w:rPr>
      </w:pPr>
    </w:p>
    <w:p w14:paraId="429F6CEB" w14:textId="5AE79F7B" w:rsidR="001720AA" w:rsidRPr="000F3E68" w:rsidRDefault="00B103E0" w:rsidP="00F53BD4">
      <w:pPr>
        <w:spacing w:after="0" w:line="360" w:lineRule="auto"/>
        <w:jc w:val="left"/>
        <w:rPr>
          <w:rFonts w:eastAsiaTheme="minorHAnsi" w:cs="Tahoma"/>
          <w:bCs/>
          <w:lang w:eastAsia="es-MX"/>
        </w:rPr>
      </w:pPr>
      <w:r w:rsidRPr="000F3E68">
        <w:rPr>
          <w:rFonts w:eastAsiaTheme="minorHAnsi" w:cstheme="minorBidi"/>
          <w:b/>
        </w:rPr>
        <w:br w:type="page"/>
      </w:r>
    </w:p>
    <w:sectPr w:rsidR="001720AA" w:rsidRPr="000F3E68" w:rsidSect="00DB7E5F">
      <w:headerReference w:type="default" r:id="rId11"/>
      <w:footerReference w:type="default" r:id="rId12"/>
      <w:headerReference w:type="first" r:id="rId13"/>
      <w:footerReference w:type="first" r:id="rId14"/>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BCA49" w14:textId="77777777" w:rsidR="00A5296A" w:rsidRDefault="00A5296A" w:rsidP="00B31222">
      <w:r>
        <w:separator/>
      </w:r>
    </w:p>
  </w:endnote>
  <w:endnote w:type="continuationSeparator" w:id="0">
    <w:p w14:paraId="0974CD11" w14:textId="77777777" w:rsidR="00A5296A" w:rsidRDefault="00A5296A" w:rsidP="00B31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412018"/>
      <w:docPartObj>
        <w:docPartGallery w:val="Page Numbers (Bottom of Page)"/>
        <w:docPartUnique/>
      </w:docPartObj>
    </w:sdtPr>
    <w:sdtEndPr/>
    <w:sdtContent>
      <w:sdt>
        <w:sdtPr>
          <w:id w:val="-1769616900"/>
          <w:docPartObj>
            <w:docPartGallery w:val="Page Numbers (Top of Page)"/>
            <w:docPartUnique/>
          </w:docPartObj>
        </w:sdtPr>
        <w:sdtEndPr/>
        <w:sdtContent>
          <w:p w14:paraId="4EA60772" w14:textId="6541D427" w:rsidR="0052179E" w:rsidRPr="00131C88" w:rsidRDefault="0052179E" w:rsidP="00131C88">
            <w:pPr>
              <w:pStyle w:val="Piedepgina"/>
              <w:ind w:left="7371"/>
              <w:jc w:val="center"/>
              <w:rPr>
                <w:sz w:val="26"/>
                <w:szCs w:val="26"/>
              </w:rP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4426C">
              <w:rPr>
                <w:b/>
                <w:bCs/>
                <w:noProof/>
              </w:rPr>
              <w:t>27</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4426C">
              <w:rPr>
                <w:b/>
                <w:bCs/>
                <w:noProof/>
              </w:rPr>
              <w:t>30</w:t>
            </w:r>
            <w:r>
              <w:rPr>
                <w:b/>
                <w:bCs/>
                <w:sz w:val="24"/>
                <w:szCs w:val="24"/>
              </w:rPr>
              <w:fldChar w:fldCharType="end"/>
            </w:r>
          </w:p>
        </w:sdtContent>
      </w:sdt>
    </w:sdtContent>
  </w:sdt>
  <w:p w14:paraId="52786F2A" w14:textId="77777777" w:rsidR="0052179E" w:rsidRDefault="0052179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767700"/>
      <w:docPartObj>
        <w:docPartGallery w:val="Page Numbers (Bottom of Page)"/>
        <w:docPartUnique/>
      </w:docPartObj>
    </w:sdtPr>
    <w:sdtEndPr/>
    <w:sdtContent>
      <w:sdt>
        <w:sdtPr>
          <w:id w:val="315386424"/>
          <w:docPartObj>
            <w:docPartGallery w:val="Page Numbers (Top of Page)"/>
            <w:docPartUnique/>
          </w:docPartObj>
        </w:sdtPr>
        <w:sdtEndPr/>
        <w:sdtContent>
          <w:p w14:paraId="59E12402" w14:textId="77777777" w:rsidR="0052179E" w:rsidRDefault="0052179E">
            <w:pPr>
              <w:pStyle w:val="Piedepgina"/>
              <w:jc w:val="right"/>
            </w:pPr>
          </w:p>
          <w:p w14:paraId="2D2F5338" w14:textId="4CDB5F75" w:rsidR="0052179E" w:rsidRDefault="0052179E">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4426C">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4426C">
              <w:rPr>
                <w:b/>
                <w:bCs/>
                <w:noProof/>
              </w:rPr>
              <w:t>30</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037AA6" w14:textId="77777777" w:rsidR="00A5296A" w:rsidRDefault="00A5296A" w:rsidP="00B31222">
      <w:r>
        <w:separator/>
      </w:r>
    </w:p>
  </w:footnote>
  <w:footnote w:type="continuationSeparator" w:id="0">
    <w:p w14:paraId="2FBC1053" w14:textId="77777777" w:rsidR="00A5296A" w:rsidRDefault="00A5296A" w:rsidP="00B31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5" w:type="dxa"/>
      <w:tblLayout w:type="fixed"/>
      <w:tblLook w:val="04A0" w:firstRow="1" w:lastRow="0" w:firstColumn="1" w:lastColumn="0" w:noHBand="0" w:noVBand="1"/>
    </w:tblPr>
    <w:tblGrid>
      <w:gridCol w:w="2268"/>
      <w:gridCol w:w="7087"/>
    </w:tblGrid>
    <w:tr w:rsidR="0052179E" w:rsidRPr="005C106F" w14:paraId="50E888ED" w14:textId="77777777" w:rsidTr="00131C88">
      <w:trPr>
        <w:trHeight w:val="1412"/>
      </w:trPr>
      <w:tc>
        <w:tcPr>
          <w:tcW w:w="2268" w:type="dxa"/>
          <w:shd w:val="clear" w:color="auto" w:fill="auto"/>
        </w:tcPr>
        <w:p w14:paraId="47CC9BEB" w14:textId="3772E258" w:rsidR="0052179E" w:rsidRPr="005C106F" w:rsidRDefault="0052179E" w:rsidP="00EF4A64">
          <w:pPr>
            <w:tabs>
              <w:tab w:val="right" w:pos="4273"/>
            </w:tabs>
            <w:rPr>
              <w:rFonts w:ascii="Garamond" w:hAnsi="Garamond"/>
              <w:sz w:val="16"/>
              <w:szCs w:val="16"/>
            </w:rPr>
          </w:pPr>
        </w:p>
      </w:tc>
      <w:tc>
        <w:tcPr>
          <w:tcW w:w="7087" w:type="dxa"/>
          <w:shd w:val="clear" w:color="auto" w:fill="auto"/>
        </w:tcPr>
        <w:p w14:paraId="0F865653" w14:textId="77777777" w:rsidR="0052179E" w:rsidRDefault="0052179E" w:rsidP="005743D2"/>
        <w:tbl>
          <w:tblPr>
            <w:tblStyle w:val="Tablaconcuadrcula"/>
            <w:tblW w:w="6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52"/>
            <w:gridCol w:w="4427"/>
          </w:tblGrid>
          <w:tr w:rsidR="0052179E" w14:paraId="401FF1E4" w14:textId="77777777" w:rsidTr="00131C88">
            <w:trPr>
              <w:trHeight w:val="144"/>
            </w:trPr>
            <w:tc>
              <w:tcPr>
                <w:tcW w:w="2552" w:type="dxa"/>
              </w:tcPr>
              <w:p w14:paraId="2FAA5A5D" w14:textId="77777777" w:rsidR="0052179E" w:rsidRPr="00026EBB" w:rsidRDefault="0052179E" w:rsidP="005743D2">
                <w:pPr>
                  <w:tabs>
                    <w:tab w:val="right" w:pos="8838"/>
                  </w:tabs>
                  <w:rPr>
                    <w:rFonts w:cs="Tahoma"/>
                    <w:b/>
                    <w:lang w:val="es-MX"/>
                  </w:rPr>
                </w:pPr>
                <w:r w:rsidRPr="00026EBB">
                  <w:rPr>
                    <w:rFonts w:cs="Tahoma"/>
                    <w:b/>
                    <w:lang w:val="es-MX"/>
                  </w:rPr>
                  <w:t>Recurso de Revisión:</w:t>
                </w:r>
              </w:p>
            </w:tc>
            <w:tc>
              <w:tcPr>
                <w:tcW w:w="4427" w:type="dxa"/>
              </w:tcPr>
              <w:p w14:paraId="35595BB5" w14:textId="4EC7955C" w:rsidR="0052179E" w:rsidRPr="008B3548" w:rsidRDefault="0052179E" w:rsidP="00C76FCF">
                <w:pPr>
                  <w:tabs>
                    <w:tab w:val="right" w:pos="8838"/>
                  </w:tabs>
                  <w:ind w:left="-108"/>
                  <w:rPr>
                    <w:rFonts w:cs="Tahoma"/>
                  </w:rPr>
                </w:pPr>
                <w:r>
                  <w:rPr>
                    <w:rFonts w:cs="Tahoma"/>
                  </w:rPr>
                  <w:t>06156</w:t>
                </w:r>
                <w:r w:rsidRPr="00D005C2">
                  <w:rPr>
                    <w:rFonts w:cs="Tahoma"/>
                  </w:rPr>
                  <w:t>/INFOEM/IP/RR/2024</w:t>
                </w:r>
                <w:r>
                  <w:rPr>
                    <w:rFonts w:cs="Tahoma"/>
                  </w:rPr>
                  <w:t xml:space="preserve"> </w:t>
                </w:r>
                <w:r w:rsidRPr="004B7F4A">
                  <w:rPr>
                    <w:rFonts w:cs="Tahoma"/>
                  </w:rPr>
                  <w:t>y</w:t>
                </w:r>
                <w:r>
                  <w:rPr>
                    <w:rFonts w:cs="Tahoma"/>
                  </w:rPr>
                  <w:t xml:space="preserve"> </w:t>
                </w:r>
                <w:r w:rsidRPr="004B7F4A">
                  <w:rPr>
                    <w:rFonts w:cs="Tahoma"/>
                  </w:rPr>
                  <w:t>acumulados</w:t>
                </w:r>
              </w:p>
            </w:tc>
          </w:tr>
          <w:tr w:rsidR="0052179E" w14:paraId="6B793921" w14:textId="77777777" w:rsidTr="00131C88">
            <w:trPr>
              <w:trHeight w:val="144"/>
            </w:trPr>
            <w:tc>
              <w:tcPr>
                <w:tcW w:w="2552" w:type="dxa"/>
              </w:tcPr>
              <w:p w14:paraId="248F8814" w14:textId="77777777" w:rsidR="0052179E" w:rsidRPr="00026EBB" w:rsidRDefault="0052179E" w:rsidP="005743D2">
                <w:pPr>
                  <w:tabs>
                    <w:tab w:val="right" w:pos="8838"/>
                  </w:tabs>
                  <w:rPr>
                    <w:rFonts w:cs="Tahoma"/>
                    <w:b/>
                    <w:lang w:val="es-MX"/>
                  </w:rPr>
                </w:pPr>
                <w:r w:rsidRPr="00026EBB">
                  <w:rPr>
                    <w:rFonts w:cs="Tahoma"/>
                    <w:b/>
                    <w:lang w:val="es-MX"/>
                  </w:rPr>
                  <w:t>Sujeto Obligado:</w:t>
                </w:r>
              </w:p>
            </w:tc>
            <w:tc>
              <w:tcPr>
                <w:tcW w:w="4427" w:type="dxa"/>
              </w:tcPr>
              <w:p w14:paraId="31642F59" w14:textId="5013A24B" w:rsidR="0052179E" w:rsidRPr="00A404EA" w:rsidRDefault="0052179E" w:rsidP="00885230">
                <w:pPr>
                  <w:tabs>
                    <w:tab w:val="right" w:pos="8838"/>
                  </w:tabs>
                  <w:ind w:left="-108"/>
                  <w:rPr>
                    <w:rFonts w:cs="Tahoma"/>
                    <w:lang w:val="es-MX"/>
                  </w:rPr>
                </w:pPr>
                <w:r w:rsidRPr="00D005C2">
                  <w:rPr>
                    <w:rFonts w:cs="Tahoma"/>
                    <w:lang w:val="es-MX"/>
                  </w:rPr>
                  <w:t>Unidad de Asuntos Internos</w:t>
                </w:r>
              </w:p>
            </w:tc>
          </w:tr>
          <w:tr w:rsidR="0052179E" w14:paraId="5F57F04A" w14:textId="77777777" w:rsidTr="00131C88">
            <w:trPr>
              <w:trHeight w:val="138"/>
            </w:trPr>
            <w:tc>
              <w:tcPr>
                <w:tcW w:w="2552" w:type="dxa"/>
              </w:tcPr>
              <w:p w14:paraId="249191FD" w14:textId="77777777" w:rsidR="0052179E" w:rsidRPr="00026EBB" w:rsidRDefault="0052179E" w:rsidP="005743D2">
                <w:pPr>
                  <w:tabs>
                    <w:tab w:val="right" w:pos="8838"/>
                  </w:tabs>
                  <w:rPr>
                    <w:rFonts w:cs="Tahoma"/>
                    <w:b/>
                    <w:lang w:val="es-MX"/>
                  </w:rPr>
                </w:pPr>
                <w:r w:rsidRPr="00026EBB">
                  <w:rPr>
                    <w:rFonts w:cs="Tahoma"/>
                    <w:b/>
                    <w:lang w:val="es-MX"/>
                  </w:rPr>
                  <w:t>Comisionado Ponente:</w:t>
                </w:r>
              </w:p>
            </w:tc>
            <w:tc>
              <w:tcPr>
                <w:tcW w:w="4427" w:type="dxa"/>
              </w:tcPr>
              <w:p w14:paraId="7F9A5911" w14:textId="43A399FE" w:rsidR="0052179E" w:rsidRPr="00131C88" w:rsidRDefault="0052179E" w:rsidP="00131C88">
                <w:pPr>
                  <w:tabs>
                    <w:tab w:val="right" w:pos="8838"/>
                  </w:tabs>
                  <w:ind w:left="-108"/>
                  <w:rPr>
                    <w:rFonts w:cs="Tahoma"/>
                    <w:lang w:val="es-MX"/>
                  </w:rPr>
                </w:pPr>
                <w:r w:rsidRPr="00026EBB">
                  <w:rPr>
                    <w:rFonts w:cs="Tahoma"/>
                    <w:lang w:val="es-MX"/>
                  </w:rPr>
                  <w:t>Luis Gustavo Parra Noriega</w:t>
                </w:r>
              </w:p>
            </w:tc>
          </w:tr>
        </w:tbl>
        <w:p w14:paraId="750160B9" w14:textId="77777777" w:rsidR="0052179E" w:rsidRPr="005C106F" w:rsidRDefault="0052179E" w:rsidP="005743D2">
          <w:pPr>
            <w:tabs>
              <w:tab w:val="right" w:pos="8838"/>
            </w:tabs>
            <w:ind w:left="-28"/>
            <w:rPr>
              <w:rFonts w:ascii="Arial" w:hAnsi="Arial" w:cs="Arial"/>
              <w:b/>
            </w:rPr>
          </w:pPr>
        </w:p>
      </w:tc>
    </w:tr>
  </w:tbl>
  <w:p w14:paraId="03D9BF59" w14:textId="4D62241B" w:rsidR="0052179E" w:rsidRDefault="00A5296A" w:rsidP="000930AE">
    <w:pPr>
      <w:pStyle w:val="Encabezado"/>
      <w:rPr>
        <w:sz w:val="14"/>
      </w:rPr>
    </w:pPr>
    <w:r>
      <w:rPr>
        <w:rFonts w:ascii="Garamond" w:hAnsi="Garamond"/>
        <w:noProof/>
        <w:sz w:val="16"/>
        <w:szCs w:val="16"/>
        <w:lang w:eastAsia="es-MX"/>
      </w:rPr>
      <w:pict w14:anchorId="74112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MARCA DE AGUA - HOJA RESOLUCIÓN" style="position:absolute;left:0;text-align:left;margin-left:-81.55pt;margin-top:-127.3pt;width:663.5pt;height:12in;z-index:-251657216;mso-wrap-edited:f;mso-position-horizontal-relative:margin;mso-position-vertical-relative:margin"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84F17" w14:textId="0A90E6D4" w:rsidR="0052179E" w:rsidRPr="00C76FCF" w:rsidRDefault="00A5296A">
    <w:pPr>
      <w:rPr>
        <w:sz w:val="2"/>
        <w:szCs w:val="2"/>
      </w:rPr>
    </w:pPr>
    <w:r>
      <w:rPr>
        <w:rFonts w:cs="Tahoma"/>
        <w:b/>
        <w:noProof/>
        <w:lang w:eastAsia="es-MX"/>
      </w:rPr>
      <w:pict w14:anchorId="74112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273984" o:spid="_x0000_s2049" type="#_x0000_t75" alt="MARCA DE AGUA - HOJA RESOLUCIÓN" style="position:absolute;left:0;text-align:left;margin-left:-77.9pt;margin-top:-131.1pt;width:663.5pt;height:12in;z-index:-251658240;mso-wrap-edited:f;mso-position-horizontal-relative:margin;mso-position-vertical-relative:margin" o:allowincell="f">
          <v:imagedata r:id="rId1" o:title="MARCA DE AGUA - HOJA RESOLUCIÓN"/>
          <w10:wrap anchorx="margin" anchory="margin"/>
        </v:shape>
      </w:pict>
    </w:r>
  </w:p>
  <w:tbl>
    <w:tblPr>
      <w:tblStyle w:val="Tablaconcuadrcula"/>
      <w:tblpPr w:leftFromText="141" w:rightFromText="141" w:vertAnchor="page" w:horzAnchor="margin" w:tblpY="556"/>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410"/>
      <w:gridCol w:w="2405"/>
      <w:gridCol w:w="5108"/>
    </w:tblGrid>
    <w:tr w:rsidR="0052179E" w:rsidRPr="00264223" w14:paraId="47FE01F0" w14:textId="77777777" w:rsidTr="00C76FCF">
      <w:trPr>
        <w:trHeight w:val="466"/>
      </w:trPr>
      <w:tc>
        <w:tcPr>
          <w:tcW w:w="2410" w:type="dxa"/>
          <w:vAlign w:val="bottom"/>
        </w:tcPr>
        <w:p w14:paraId="797F08EF" w14:textId="77777777" w:rsidR="0052179E" w:rsidRPr="00026EBB" w:rsidRDefault="0052179E" w:rsidP="00913B76">
          <w:pPr>
            <w:tabs>
              <w:tab w:val="right" w:pos="8838"/>
            </w:tabs>
            <w:ind w:right="-105"/>
            <w:rPr>
              <w:rFonts w:cs="Tahoma"/>
              <w:b/>
              <w:lang w:val="es-MX"/>
            </w:rPr>
          </w:pPr>
        </w:p>
      </w:tc>
      <w:tc>
        <w:tcPr>
          <w:tcW w:w="2405" w:type="dxa"/>
          <w:vAlign w:val="bottom"/>
        </w:tcPr>
        <w:p w14:paraId="7BEF2F93" w14:textId="77777777" w:rsidR="0052179E" w:rsidRDefault="0052179E" w:rsidP="00F82637">
          <w:pPr>
            <w:tabs>
              <w:tab w:val="left" w:pos="1735"/>
              <w:tab w:val="right" w:pos="8838"/>
            </w:tabs>
            <w:spacing w:line="276" w:lineRule="auto"/>
            <w:ind w:left="-28"/>
            <w:rPr>
              <w:rFonts w:cs="Tahoma"/>
              <w:b/>
              <w:lang w:val="es-MX"/>
            </w:rPr>
          </w:pPr>
        </w:p>
        <w:p w14:paraId="1986A207" w14:textId="14B4ECDA" w:rsidR="0052179E" w:rsidRPr="0091633A" w:rsidRDefault="0052179E" w:rsidP="00F82637">
          <w:pPr>
            <w:tabs>
              <w:tab w:val="left" w:pos="1735"/>
              <w:tab w:val="right" w:pos="8838"/>
            </w:tabs>
            <w:spacing w:line="276" w:lineRule="auto"/>
            <w:ind w:left="-28"/>
            <w:rPr>
              <w:rFonts w:cs="Tahoma"/>
              <w:b/>
              <w:bCs/>
            </w:rPr>
          </w:pPr>
          <w:r w:rsidRPr="00026EBB">
            <w:rPr>
              <w:rFonts w:cs="Tahoma"/>
              <w:b/>
              <w:lang w:val="es-MX"/>
            </w:rPr>
            <w:t>Recurso de Revisión:</w:t>
          </w:r>
        </w:p>
      </w:tc>
      <w:tc>
        <w:tcPr>
          <w:tcW w:w="5108" w:type="dxa"/>
          <w:vAlign w:val="bottom"/>
        </w:tcPr>
        <w:p w14:paraId="745B797F" w14:textId="77777777" w:rsidR="0052179E" w:rsidRPr="00D005C2" w:rsidRDefault="0052179E" w:rsidP="00D005C2">
          <w:pPr>
            <w:tabs>
              <w:tab w:val="left" w:pos="3435"/>
              <w:tab w:val="right" w:pos="8838"/>
            </w:tabs>
            <w:spacing w:line="276" w:lineRule="auto"/>
            <w:ind w:left="-28" w:right="39"/>
            <w:rPr>
              <w:rFonts w:cs="Tahoma"/>
            </w:rPr>
          </w:pPr>
          <w:r w:rsidRPr="00D005C2">
            <w:rPr>
              <w:rFonts w:cs="Tahoma"/>
            </w:rPr>
            <w:tab/>
          </w:r>
        </w:p>
        <w:p w14:paraId="5D029AEB" w14:textId="48F9837B" w:rsidR="0052179E" w:rsidRPr="00A404EA" w:rsidRDefault="0052179E" w:rsidP="00D005C2">
          <w:pPr>
            <w:tabs>
              <w:tab w:val="left" w:pos="3435"/>
              <w:tab w:val="right" w:pos="8838"/>
            </w:tabs>
            <w:spacing w:line="276" w:lineRule="auto"/>
            <w:ind w:left="-28" w:right="39"/>
            <w:rPr>
              <w:rFonts w:cs="Tahoma"/>
            </w:rPr>
          </w:pPr>
          <w:r>
            <w:rPr>
              <w:rFonts w:cs="Tahoma"/>
            </w:rPr>
            <w:t>06156</w:t>
          </w:r>
          <w:r w:rsidRPr="00D005C2">
            <w:rPr>
              <w:rFonts w:cs="Tahoma"/>
            </w:rPr>
            <w:t>/INFOEM/IP/RR/2024</w:t>
          </w:r>
          <w:r>
            <w:rPr>
              <w:rFonts w:cs="Tahoma"/>
            </w:rPr>
            <w:t xml:space="preserve"> </w:t>
          </w:r>
          <w:r w:rsidRPr="004B7F4A">
            <w:rPr>
              <w:rFonts w:cs="Tahoma"/>
            </w:rPr>
            <w:t>y</w:t>
          </w:r>
          <w:r>
            <w:rPr>
              <w:rFonts w:cs="Tahoma"/>
            </w:rPr>
            <w:t xml:space="preserve"> </w:t>
          </w:r>
          <w:r w:rsidRPr="004B7F4A">
            <w:rPr>
              <w:rFonts w:cs="Tahoma"/>
            </w:rPr>
            <w:t>acumulados</w:t>
          </w:r>
        </w:p>
      </w:tc>
    </w:tr>
    <w:tr w:rsidR="0052179E" w:rsidRPr="00264223" w14:paraId="3B115A83" w14:textId="77777777" w:rsidTr="00C76FCF">
      <w:trPr>
        <w:trHeight w:val="119"/>
      </w:trPr>
      <w:tc>
        <w:tcPr>
          <w:tcW w:w="2410" w:type="dxa"/>
        </w:tcPr>
        <w:p w14:paraId="769D227C" w14:textId="77777777" w:rsidR="0052179E" w:rsidRPr="00026EBB" w:rsidRDefault="0052179E" w:rsidP="00913B76">
          <w:pPr>
            <w:tabs>
              <w:tab w:val="right" w:pos="8838"/>
            </w:tabs>
            <w:ind w:right="-105"/>
            <w:rPr>
              <w:rFonts w:cs="Tahoma"/>
              <w:b/>
              <w:lang w:val="es-MX"/>
            </w:rPr>
          </w:pPr>
        </w:p>
      </w:tc>
      <w:tc>
        <w:tcPr>
          <w:tcW w:w="2405" w:type="dxa"/>
        </w:tcPr>
        <w:p w14:paraId="0540E823" w14:textId="77777777" w:rsidR="0052179E" w:rsidRPr="00026EBB" w:rsidRDefault="0052179E" w:rsidP="00F82637">
          <w:pPr>
            <w:tabs>
              <w:tab w:val="right" w:pos="8838"/>
            </w:tabs>
            <w:spacing w:line="276" w:lineRule="auto"/>
            <w:ind w:right="171"/>
            <w:rPr>
              <w:rFonts w:cs="Tahoma"/>
              <w:lang w:val="es-MX"/>
            </w:rPr>
          </w:pPr>
          <w:r w:rsidRPr="00026EBB">
            <w:rPr>
              <w:rFonts w:cs="Tahoma"/>
              <w:b/>
              <w:lang w:val="es-MX"/>
            </w:rPr>
            <w:t>Recurrente:</w:t>
          </w:r>
        </w:p>
      </w:tc>
      <w:tc>
        <w:tcPr>
          <w:tcW w:w="5108" w:type="dxa"/>
        </w:tcPr>
        <w:p w14:paraId="26162836" w14:textId="26452809" w:rsidR="0052179E" w:rsidRPr="0055002A" w:rsidRDefault="00123ECD" w:rsidP="00C76FCF">
          <w:pPr>
            <w:tabs>
              <w:tab w:val="right" w:pos="8838"/>
            </w:tabs>
            <w:spacing w:line="276" w:lineRule="auto"/>
            <w:ind w:right="-391"/>
            <w:rPr>
              <w:rFonts w:cs="Tahoma"/>
            </w:rPr>
          </w:pPr>
          <w:r w:rsidRPr="00123ECD">
            <w:rPr>
              <w:rFonts w:cs="Tahoma"/>
              <w:highlight w:val="black"/>
            </w:rPr>
            <w:t>XXXXXXXXXXXXXXXXXX</w:t>
          </w:r>
        </w:p>
      </w:tc>
    </w:tr>
    <w:tr w:rsidR="0052179E" w:rsidRPr="00264223" w14:paraId="111B16D3" w14:textId="77777777" w:rsidTr="00C76FCF">
      <w:trPr>
        <w:trHeight w:val="234"/>
      </w:trPr>
      <w:tc>
        <w:tcPr>
          <w:tcW w:w="2410" w:type="dxa"/>
        </w:tcPr>
        <w:p w14:paraId="23CA2497" w14:textId="2D869CFF" w:rsidR="0052179E" w:rsidRPr="00026EBB" w:rsidRDefault="0052179E" w:rsidP="00913B76">
          <w:pPr>
            <w:tabs>
              <w:tab w:val="right" w:pos="8838"/>
            </w:tabs>
            <w:ind w:right="-105"/>
            <w:rPr>
              <w:rFonts w:cs="Tahoma"/>
              <w:b/>
              <w:lang w:val="es-MX"/>
            </w:rPr>
          </w:pPr>
        </w:p>
      </w:tc>
      <w:tc>
        <w:tcPr>
          <w:tcW w:w="2405" w:type="dxa"/>
        </w:tcPr>
        <w:p w14:paraId="1CEA75E5" w14:textId="77777777" w:rsidR="0052179E" w:rsidRPr="00026EBB" w:rsidRDefault="0052179E" w:rsidP="00F82637">
          <w:pPr>
            <w:tabs>
              <w:tab w:val="right" w:pos="8838"/>
            </w:tabs>
            <w:spacing w:line="276" w:lineRule="auto"/>
            <w:ind w:right="171"/>
            <w:rPr>
              <w:rFonts w:cs="Tahoma"/>
              <w:b/>
              <w:lang w:val="es-MX"/>
            </w:rPr>
          </w:pPr>
          <w:r w:rsidRPr="00026EBB">
            <w:rPr>
              <w:rFonts w:cs="Tahoma"/>
              <w:b/>
              <w:lang w:val="es-MX"/>
            </w:rPr>
            <w:t>Sujeto Obligado:</w:t>
          </w:r>
        </w:p>
      </w:tc>
      <w:tc>
        <w:tcPr>
          <w:tcW w:w="5108" w:type="dxa"/>
        </w:tcPr>
        <w:p w14:paraId="69B99F24" w14:textId="44188EDE" w:rsidR="0052179E" w:rsidRPr="00A404EA" w:rsidRDefault="0052179E" w:rsidP="00F82637">
          <w:pPr>
            <w:tabs>
              <w:tab w:val="right" w:pos="8838"/>
            </w:tabs>
            <w:spacing w:line="276" w:lineRule="auto"/>
            <w:ind w:right="171"/>
            <w:rPr>
              <w:rFonts w:cs="Tahoma"/>
            </w:rPr>
          </w:pPr>
          <w:r w:rsidRPr="00D005C2">
            <w:rPr>
              <w:rFonts w:cs="Tahoma"/>
              <w:lang w:val="es-MX"/>
            </w:rPr>
            <w:t>Unidad de Asuntos Internos</w:t>
          </w:r>
        </w:p>
      </w:tc>
    </w:tr>
    <w:tr w:rsidR="0052179E" w:rsidRPr="00264223" w14:paraId="69512480" w14:textId="77777777" w:rsidTr="00C76FCF">
      <w:trPr>
        <w:trHeight w:val="234"/>
      </w:trPr>
      <w:tc>
        <w:tcPr>
          <w:tcW w:w="2410" w:type="dxa"/>
        </w:tcPr>
        <w:p w14:paraId="574761F6" w14:textId="77777777" w:rsidR="0052179E" w:rsidRPr="00026EBB" w:rsidRDefault="0052179E" w:rsidP="00913B76">
          <w:pPr>
            <w:tabs>
              <w:tab w:val="right" w:pos="8838"/>
            </w:tabs>
            <w:ind w:right="-105"/>
            <w:rPr>
              <w:rFonts w:cs="Tahoma"/>
              <w:b/>
              <w:lang w:val="es-MX"/>
            </w:rPr>
          </w:pPr>
        </w:p>
      </w:tc>
      <w:tc>
        <w:tcPr>
          <w:tcW w:w="2405" w:type="dxa"/>
        </w:tcPr>
        <w:p w14:paraId="6885F4E1" w14:textId="77777777" w:rsidR="0052179E" w:rsidRPr="00026EBB" w:rsidRDefault="0052179E" w:rsidP="00F82637">
          <w:pPr>
            <w:tabs>
              <w:tab w:val="right" w:pos="8838"/>
            </w:tabs>
            <w:spacing w:line="276" w:lineRule="auto"/>
            <w:ind w:right="-108"/>
            <w:rPr>
              <w:rFonts w:cs="Tahoma"/>
              <w:b/>
              <w:lang w:val="es-MX"/>
            </w:rPr>
          </w:pPr>
          <w:r w:rsidRPr="00026EBB">
            <w:rPr>
              <w:rFonts w:cs="Tahoma"/>
              <w:b/>
              <w:lang w:val="es-MX"/>
            </w:rPr>
            <w:t>Comisionado Ponente:</w:t>
          </w:r>
        </w:p>
      </w:tc>
      <w:tc>
        <w:tcPr>
          <w:tcW w:w="5108" w:type="dxa"/>
        </w:tcPr>
        <w:p w14:paraId="761045C2" w14:textId="77777777" w:rsidR="0052179E" w:rsidRDefault="0052179E" w:rsidP="00F82637">
          <w:pPr>
            <w:tabs>
              <w:tab w:val="right" w:pos="8838"/>
            </w:tabs>
            <w:spacing w:line="276" w:lineRule="auto"/>
            <w:ind w:right="171"/>
            <w:rPr>
              <w:rFonts w:cs="Tahoma"/>
            </w:rPr>
          </w:pPr>
          <w:r w:rsidRPr="00026EBB">
            <w:rPr>
              <w:rFonts w:cs="Tahoma"/>
              <w:lang w:val="es-MX"/>
            </w:rPr>
            <w:t>Luis Gustavo Parra Noriega</w:t>
          </w:r>
        </w:p>
      </w:tc>
    </w:tr>
  </w:tbl>
  <w:p w14:paraId="68F23A9C" w14:textId="5611F92C" w:rsidR="0052179E" w:rsidRPr="0026742F" w:rsidRDefault="0052179E" w:rsidP="0026742F">
    <w:pPr>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24E06CE"/>
    <w:multiLevelType w:val="hybridMultilevel"/>
    <w:tmpl w:val="78D61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0D312A"/>
    <w:multiLevelType w:val="hybridMultilevel"/>
    <w:tmpl w:val="87C4DA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4A0294A"/>
    <w:multiLevelType w:val="hybridMultilevel"/>
    <w:tmpl w:val="2EAE36CC"/>
    <w:lvl w:ilvl="0" w:tplc="9A7040E6">
      <w:start w:val="1"/>
      <w:numFmt w:val="lowerLetter"/>
      <w:lvlText w:val="%1)"/>
      <w:lvlJc w:val="left"/>
      <w:pPr>
        <w:ind w:left="720" w:hanging="360"/>
      </w:pPr>
      <w:rPr>
        <w:rFonts w:ascii="Palatino Linotype" w:hAnsi="Palatino Linotype"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F3811E1"/>
    <w:multiLevelType w:val="hybridMultilevel"/>
    <w:tmpl w:val="2FC4BB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C603AC"/>
    <w:multiLevelType w:val="hybridMultilevel"/>
    <w:tmpl w:val="08BC8E1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6D068CE"/>
    <w:multiLevelType w:val="hybridMultilevel"/>
    <w:tmpl w:val="DFD8199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1B2C2FCD"/>
    <w:multiLevelType w:val="hybridMultilevel"/>
    <w:tmpl w:val="E1EE0F2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1CBE4B77"/>
    <w:multiLevelType w:val="hybridMultilevel"/>
    <w:tmpl w:val="A9686E64"/>
    <w:lvl w:ilvl="0" w:tplc="0B0AF04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DAF6A4E"/>
    <w:multiLevelType w:val="hybridMultilevel"/>
    <w:tmpl w:val="ECE25ED8"/>
    <w:lvl w:ilvl="0" w:tplc="7AA0B6C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FBA60E1"/>
    <w:multiLevelType w:val="hybridMultilevel"/>
    <w:tmpl w:val="BAB8BFE2"/>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49B791D"/>
    <w:multiLevelType w:val="hybridMultilevel"/>
    <w:tmpl w:val="BD308EDC"/>
    <w:lvl w:ilvl="0" w:tplc="12B4CAB8">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26EA2186"/>
    <w:multiLevelType w:val="hybridMultilevel"/>
    <w:tmpl w:val="97447120"/>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27F764C3"/>
    <w:multiLevelType w:val="hybridMultilevel"/>
    <w:tmpl w:val="CB7C10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F8362F"/>
    <w:multiLevelType w:val="hybridMultilevel"/>
    <w:tmpl w:val="7C761C9C"/>
    <w:lvl w:ilvl="0" w:tplc="87B47F84">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72F31AE"/>
    <w:multiLevelType w:val="hybridMultilevel"/>
    <w:tmpl w:val="27C0729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3A3C59DC"/>
    <w:multiLevelType w:val="hybridMultilevel"/>
    <w:tmpl w:val="E0AA9472"/>
    <w:lvl w:ilvl="0" w:tplc="7AA0B6C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AA916B2"/>
    <w:multiLevelType w:val="hybridMultilevel"/>
    <w:tmpl w:val="E482EC18"/>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2AC7F10"/>
    <w:multiLevelType w:val="hybridMultilevel"/>
    <w:tmpl w:val="3F7017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423486A"/>
    <w:multiLevelType w:val="hybridMultilevel"/>
    <w:tmpl w:val="79B0D170"/>
    <w:lvl w:ilvl="0" w:tplc="4410712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453A0854"/>
    <w:multiLevelType w:val="hybridMultilevel"/>
    <w:tmpl w:val="43CC45D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5F46A4"/>
    <w:multiLevelType w:val="hybridMultilevel"/>
    <w:tmpl w:val="69FA2F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86F0590"/>
    <w:multiLevelType w:val="hybridMultilevel"/>
    <w:tmpl w:val="08FCF2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97548EC"/>
    <w:multiLevelType w:val="hybridMultilevel"/>
    <w:tmpl w:val="9A344A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49D950C2"/>
    <w:multiLevelType w:val="hybridMultilevel"/>
    <w:tmpl w:val="D0EEF1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CA04B0B"/>
    <w:multiLevelType w:val="hybridMultilevel"/>
    <w:tmpl w:val="5168850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3A17E30"/>
    <w:multiLevelType w:val="hybridMultilevel"/>
    <w:tmpl w:val="550C0A00"/>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54F574F0"/>
    <w:multiLevelType w:val="hybridMultilevel"/>
    <w:tmpl w:val="F90E22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FB60BBE"/>
    <w:multiLevelType w:val="hybridMultilevel"/>
    <w:tmpl w:val="4176CA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31B52B1"/>
    <w:multiLevelType w:val="hybridMultilevel"/>
    <w:tmpl w:val="384631D8"/>
    <w:lvl w:ilvl="0" w:tplc="08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B820A8"/>
    <w:multiLevelType w:val="hybridMultilevel"/>
    <w:tmpl w:val="BF0266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6E36A86"/>
    <w:multiLevelType w:val="hybridMultilevel"/>
    <w:tmpl w:val="2502099A"/>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67A628F5"/>
    <w:multiLevelType w:val="multilevel"/>
    <w:tmpl w:val="D388B63E"/>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15:restartNumberingAfterBreak="0">
    <w:nsid w:val="6C1653C7"/>
    <w:multiLevelType w:val="hybridMultilevel"/>
    <w:tmpl w:val="7EE822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0471EE5"/>
    <w:multiLevelType w:val="hybridMultilevel"/>
    <w:tmpl w:val="BD482C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747094"/>
    <w:multiLevelType w:val="hybridMultilevel"/>
    <w:tmpl w:val="0442C4D8"/>
    <w:lvl w:ilvl="0" w:tplc="0B0AF04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262792D"/>
    <w:multiLevelType w:val="hybridMultilevel"/>
    <w:tmpl w:val="D7F2FB56"/>
    <w:lvl w:ilvl="0" w:tplc="48FA2CB0">
      <w:start w:val="4"/>
      <w:numFmt w:val="bullet"/>
      <w:lvlText w:val="-"/>
      <w:lvlJc w:val="left"/>
      <w:pPr>
        <w:ind w:left="720" w:hanging="360"/>
      </w:pPr>
      <w:rPr>
        <w:rFonts w:ascii="Palatino Linotype" w:eastAsia="Calibri"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5311D81"/>
    <w:multiLevelType w:val="hybridMultilevel"/>
    <w:tmpl w:val="2C1A26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C3F5B0C"/>
    <w:multiLevelType w:val="hybridMultilevel"/>
    <w:tmpl w:val="475AD25C"/>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1"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33"/>
  </w:num>
  <w:num w:numId="3">
    <w:abstractNumId w:val="32"/>
  </w:num>
  <w:num w:numId="4">
    <w:abstractNumId w:val="23"/>
  </w:num>
  <w:num w:numId="5">
    <w:abstractNumId w:val="12"/>
  </w:num>
  <w:num w:numId="6">
    <w:abstractNumId w:val="2"/>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4"/>
  </w:num>
  <w:num w:numId="10">
    <w:abstractNumId w:val="19"/>
  </w:num>
  <w:num w:numId="11">
    <w:abstractNumId w:val="12"/>
  </w:num>
  <w:num w:numId="12">
    <w:abstractNumId w:val="20"/>
  </w:num>
  <w:num w:numId="13">
    <w:abstractNumId w:val="16"/>
  </w:num>
  <w:num w:numId="14">
    <w:abstractNumId w:val="33"/>
  </w:num>
  <w:num w:numId="15">
    <w:abstractNumId w:val="22"/>
  </w:num>
  <w:num w:numId="16">
    <w:abstractNumId w:val="31"/>
  </w:num>
  <w:num w:numId="17">
    <w:abstractNumId w:val="37"/>
  </w:num>
  <w:num w:numId="18">
    <w:abstractNumId w:val="14"/>
  </w:num>
  <w:num w:numId="19">
    <w:abstractNumId w:val="40"/>
  </w:num>
  <w:num w:numId="20">
    <w:abstractNumId w:val="6"/>
  </w:num>
  <w:num w:numId="21">
    <w:abstractNumId w:val="10"/>
  </w:num>
  <w:num w:numId="22">
    <w:abstractNumId w:val="12"/>
  </w:num>
  <w:num w:numId="23">
    <w:abstractNumId w:val="11"/>
  </w:num>
  <w:num w:numId="24">
    <w:abstractNumId w:val="18"/>
  </w:num>
  <w:num w:numId="25">
    <w:abstractNumId w:val="36"/>
  </w:num>
  <w:num w:numId="26">
    <w:abstractNumId w:val="3"/>
  </w:num>
  <w:num w:numId="27">
    <w:abstractNumId w:val="38"/>
  </w:num>
  <w:num w:numId="28">
    <w:abstractNumId w:val="29"/>
  </w:num>
  <w:num w:numId="29">
    <w:abstractNumId w:val="35"/>
  </w:num>
  <w:num w:numId="30">
    <w:abstractNumId w:val="30"/>
  </w:num>
  <w:num w:numId="31">
    <w:abstractNumId w:val="7"/>
  </w:num>
  <w:num w:numId="32">
    <w:abstractNumId w:val="41"/>
  </w:num>
  <w:num w:numId="33">
    <w:abstractNumId w:val="9"/>
  </w:num>
  <w:num w:numId="34">
    <w:abstractNumId w:val="25"/>
  </w:num>
  <w:num w:numId="35">
    <w:abstractNumId w:val="17"/>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28"/>
  </w:num>
  <w:num w:numId="40">
    <w:abstractNumId w:val="8"/>
  </w:num>
  <w:num w:numId="41">
    <w:abstractNumId w:val="1"/>
  </w:num>
  <w:num w:numId="42">
    <w:abstractNumId w:val="39"/>
  </w:num>
  <w:num w:numId="43">
    <w:abstractNumId w:val="26"/>
  </w:num>
  <w:num w:numId="44">
    <w:abstractNumId w:val="27"/>
  </w:num>
  <w:num w:numId="45">
    <w:abstractNumId w:val="5"/>
  </w:num>
  <w:num w:numId="46">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27EB"/>
    <w:rsid w:val="0000328D"/>
    <w:rsid w:val="0000485A"/>
    <w:rsid w:val="00004DF1"/>
    <w:rsid w:val="00006543"/>
    <w:rsid w:val="00007CA1"/>
    <w:rsid w:val="00010447"/>
    <w:rsid w:val="00011CE8"/>
    <w:rsid w:val="00012C57"/>
    <w:rsid w:val="00013A19"/>
    <w:rsid w:val="00014465"/>
    <w:rsid w:val="0001559E"/>
    <w:rsid w:val="000156FF"/>
    <w:rsid w:val="00017019"/>
    <w:rsid w:val="00020FAA"/>
    <w:rsid w:val="000212E5"/>
    <w:rsid w:val="00021C64"/>
    <w:rsid w:val="00023837"/>
    <w:rsid w:val="0002405C"/>
    <w:rsid w:val="000241C5"/>
    <w:rsid w:val="00026EBB"/>
    <w:rsid w:val="00027E3E"/>
    <w:rsid w:val="000307EE"/>
    <w:rsid w:val="000313A7"/>
    <w:rsid w:val="000313C2"/>
    <w:rsid w:val="00031B9F"/>
    <w:rsid w:val="00032F5B"/>
    <w:rsid w:val="00034E9D"/>
    <w:rsid w:val="0003645D"/>
    <w:rsid w:val="000373BC"/>
    <w:rsid w:val="00037B34"/>
    <w:rsid w:val="00037F4B"/>
    <w:rsid w:val="0004168D"/>
    <w:rsid w:val="000421D3"/>
    <w:rsid w:val="00043C4B"/>
    <w:rsid w:val="00043E6F"/>
    <w:rsid w:val="00044C31"/>
    <w:rsid w:val="0004646B"/>
    <w:rsid w:val="000475E4"/>
    <w:rsid w:val="00047D67"/>
    <w:rsid w:val="00050DF6"/>
    <w:rsid w:val="00051964"/>
    <w:rsid w:val="00051A65"/>
    <w:rsid w:val="000520C2"/>
    <w:rsid w:val="000528E6"/>
    <w:rsid w:val="00053EBE"/>
    <w:rsid w:val="00055043"/>
    <w:rsid w:val="000551C1"/>
    <w:rsid w:val="00055251"/>
    <w:rsid w:val="000553B4"/>
    <w:rsid w:val="00057236"/>
    <w:rsid w:val="000575C3"/>
    <w:rsid w:val="00060166"/>
    <w:rsid w:val="0006017B"/>
    <w:rsid w:val="00063366"/>
    <w:rsid w:val="0007186E"/>
    <w:rsid w:val="00073274"/>
    <w:rsid w:val="000735A4"/>
    <w:rsid w:val="00074579"/>
    <w:rsid w:val="00076A8D"/>
    <w:rsid w:val="0008009A"/>
    <w:rsid w:val="000813B0"/>
    <w:rsid w:val="0008148B"/>
    <w:rsid w:val="0008165E"/>
    <w:rsid w:val="00081C8C"/>
    <w:rsid w:val="000827B9"/>
    <w:rsid w:val="00082F59"/>
    <w:rsid w:val="00087B93"/>
    <w:rsid w:val="000930AE"/>
    <w:rsid w:val="00093D95"/>
    <w:rsid w:val="00094124"/>
    <w:rsid w:val="00094683"/>
    <w:rsid w:val="0009668A"/>
    <w:rsid w:val="00097211"/>
    <w:rsid w:val="0009793B"/>
    <w:rsid w:val="000A1A06"/>
    <w:rsid w:val="000A20A4"/>
    <w:rsid w:val="000A2275"/>
    <w:rsid w:val="000A2389"/>
    <w:rsid w:val="000A238F"/>
    <w:rsid w:val="000A2C7C"/>
    <w:rsid w:val="000A66FD"/>
    <w:rsid w:val="000A7211"/>
    <w:rsid w:val="000B0B4E"/>
    <w:rsid w:val="000B1D07"/>
    <w:rsid w:val="000B1D37"/>
    <w:rsid w:val="000B2C93"/>
    <w:rsid w:val="000B36DD"/>
    <w:rsid w:val="000B5711"/>
    <w:rsid w:val="000B6020"/>
    <w:rsid w:val="000B691A"/>
    <w:rsid w:val="000C0493"/>
    <w:rsid w:val="000C1F42"/>
    <w:rsid w:val="000C2283"/>
    <w:rsid w:val="000C27CA"/>
    <w:rsid w:val="000C46DF"/>
    <w:rsid w:val="000C5940"/>
    <w:rsid w:val="000C59CB"/>
    <w:rsid w:val="000C6D13"/>
    <w:rsid w:val="000D0B08"/>
    <w:rsid w:val="000D0CE1"/>
    <w:rsid w:val="000D199C"/>
    <w:rsid w:val="000D514C"/>
    <w:rsid w:val="000D6387"/>
    <w:rsid w:val="000D6664"/>
    <w:rsid w:val="000D71F7"/>
    <w:rsid w:val="000E087D"/>
    <w:rsid w:val="000E0BEA"/>
    <w:rsid w:val="000E17F3"/>
    <w:rsid w:val="000E1EF4"/>
    <w:rsid w:val="000E2513"/>
    <w:rsid w:val="000E4C0C"/>
    <w:rsid w:val="000E67E4"/>
    <w:rsid w:val="000F24C8"/>
    <w:rsid w:val="000F3DA0"/>
    <w:rsid w:val="000F3E68"/>
    <w:rsid w:val="000F470F"/>
    <w:rsid w:val="000F4876"/>
    <w:rsid w:val="000F555D"/>
    <w:rsid w:val="000F57B1"/>
    <w:rsid w:val="000F6B9F"/>
    <w:rsid w:val="000F7A45"/>
    <w:rsid w:val="000F7FD8"/>
    <w:rsid w:val="00100BAC"/>
    <w:rsid w:val="001017B7"/>
    <w:rsid w:val="001024BE"/>
    <w:rsid w:val="001030DC"/>
    <w:rsid w:val="001034C6"/>
    <w:rsid w:val="00103D64"/>
    <w:rsid w:val="001049B0"/>
    <w:rsid w:val="00104ADB"/>
    <w:rsid w:val="001057BC"/>
    <w:rsid w:val="00106127"/>
    <w:rsid w:val="00107D2F"/>
    <w:rsid w:val="00112F0B"/>
    <w:rsid w:val="001133D5"/>
    <w:rsid w:val="00113837"/>
    <w:rsid w:val="00114068"/>
    <w:rsid w:val="00114CEA"/>
    <w:rsid w:val="001150E9"/>
    <w:rsid w:val="00116DA4"/>
    <w:rsid w:val="00117C08"/>
    <w:rsid w:val="001223E5"/>
    <w:rsid w:val="001224BA"/>
    <w:rsid w:val="001239BF"/>
    <w:rsid w:val="00123ECD"/>
    <w:rsid w:val="00127757"/>
    <w:rsid w:val="00127E51"/>
    <w:rsid w:val="00130F33"/>
    <w:rsid w:val="001311C3"/>
    <w:rsid w:val="00131C88"/>
    <w:rsid w:val="00132A80"/>
    <w:rsid w:val="00132F95"/>
    <w:rsid w:val="00135F5A"/>
    <w:rsid w:val="00136927"/>
    <w:rsid w:val="00136CBF"/>
    <w:rsid w:val="001373A9"/>
    <w:rsid w:val="00141846"/>
    <w:rsid w:val="001426E4"/>
    <w:rsid w:val="0014307A"/>
    <w:rsid w:val="00144D0B"/>
    <w:rsid w:val="00145C9A"/>
    <w:rsid w:val="00146080"/>
    <w:rsid w:val="00147566"/>
    <w:rsid w:val="001507FD"/>
    <w:rsid w:val="00150A0A"/>
    <w:rsid w:val="00151053"/>
    <w:rsid w:val="00151442"/>
    <w:rsid w:val="00151FBB"/>
    <w:rsid w:val="0015211F"/>
    <w:rsid w:val="00155F96"/>
    <w:rsid w:val="00156408"/>
    <w:rsid w:val="00156A6B"/>
    <w:rsid w:val="00161DF9"/>
    <w:rsid w:val="00161ED0"/>
    <w:rsid w:val="00162CCE"/>
    <w:rsid w:val="00165891"/>
    <w:rsid w:val="00166954"/>
    <w:rsid w:val="00167281"/>
    <w:rsid w:val="00167C4B"/>
    <w:rsid w:val="00170301"/>
    <w:rsid w:val="00170545"/>
    <w:rsid w:val="00171ADD"/>
    <w:rsid w:val="00171DB3"/>
    <w:rsid w:val="001720AA"/>
    <w:rsid w:val="001720DD"/>
    <w:rsid w:val="001734B1"/>
    <w:rsid w:val="00173688"/>
    <w:rsid w:val="0017459B"/>
    <w:rsid w:val="00174ABA"/>
    <w:rsid w:val="001758E3"/>
    <w:rsid w:val="00175B2F"/>
    <w:rsid w:val="0017695F"/>
    <w:rsid w:val="0018044A"/>
    <w:rsid w:val="001815C5"/>
    <w:rsid w:val="00182F0F"/>
    <w:rsid w:val="00183C9D"/>
    <w:rsid w:val="00183D24"/>
    <w:rsid w:val="001843F8"/>
    <w:rsid w:val="001851A6"/>
    <w:rsid w:val="001875A7"/>
    <w:rsid w:val="001879E1"/>
    <w:rsid w:val="001905AB"/>
    <w:rsid w:val="001923B6"/>
    <w:rsid w:val="0019389B"/>
    <w:rsid w:val="00194314"/>
    <w:rsid w:val="00194582"/>
    <w:rsid w:val="0019576A"/>
    <w:rsid w:val="001A1B88"/>
    <w:rsid w:val="001A1B94"/>
    <w:rsid w:val="001A22F5"/>
    <w:rsid w:val="001A7FD2"/>
    <w:rsid w:val="001B107D"/>
    <w:rsid w:val="001B2CD9"/>
    <w:rsid w:val="001B3581"/>
    <w:rsid w:val="001B37E5"/>
    <w:rsid w:val="001B5FC3"/>
    <w:rsid w:val="001B6049"/>
    <w:rsid w:val="001B62A0"/>
    <w:rsid w:val="001B71FA"/>
    <w:rsid w:val="001B73CC"/>
    <w:rsid w:val="001B790F"/>
    <w:rsid w:val="001B7D42"/>
    <w:rsid w:val="001C0299"/>
    <w:rsid w:val="001C1655"/>
    <w:rsid w:val="001C282F"/>
    <w:rsid w:val="001C4DDC"/>
    <w:rsid w:val="001C4E35"/>
    <w:rsid w:val="001D0086"/>
    <w:rsid w:val="001D0094"/>
    <w:rsid w:val="001D22EC"/>
    <w:rsid w:val="001D33B5"/>
    <w:rsid w:val="001D425D"/>
    <w:rsid w:val="001D47C9"/>
    <w:rsid w:val="001D7012"/>
    <w:rsid w:val="001D7BD2"/>
    <w:rsid w:val="001E1355"/>
    <w:rsid w:val="001E2A4D"/>
    <w:rsid w:val="001E47C1"/>
    <w:rsid w:val="001E4D69"/>
    <w:rsid w:val="001E53C2"/>
    <w:rsid w:val="001E551B"/>
    <w:rsid w:val="001F0E9C"/>
    <w:rsid w:val="001F1540"/>
    <w:rsid w:val="001F3076"/>
    <w:rsid w:val="001F4726"/>
    <w:rsid w:val="001F652C"/>
    <w:rsid w:val="001F739F"/>
    <w:rsid w:val="001F78D9"/>
    <w:rsid w:val="002010D1"/>
    <w:rsid w:val="00202494"/>
    <w:rsid w:val="00202DB8"/>
    <w:rsid w:val="00205B1E"/>
    <w:rsid w:val="002072BE"/>
    <w:rsid w:val="00207736"/>
    <w:rsid w:val="00212460"/>
    <w:rsid w:val="00213783"/>
    <w:rsid w:val="00215731"/>
    <w:rsid w:val="00215D0D"/>
    <w:rsid w:val="00217AEF"/>
    <w:rsid w:val="0022119B"/>
    <w:rsid w:val="00221576"/>
    <w:rsid w:val="00221EC9"/>
    <w:rsid w:val="00223ECD"/>
    <w:rsid w:val="002240FC"/>
    <w:rsid w:val="002241A6"/>
    <w:rsid w:val="002241E8"/>
    <w:rsid w:val="002243A5"/>
    <w:rsid w:val="00224774"/>
    <w:rsid w:val="002247B0"/>
    <w:rsid w:val="00224D5D"/>
    <w:rsid w:val="00224F7A"/>
    <w:rsid w:val="00225152"/>
    <w:rsid w:val="00226633"/>
    <w:rsid w:val="00230E81"/>
    <w:rsid w:val="00232673"/>
    <w:rsid w:val="00236863"/>
    <w:rsid w:val="00237C1F"/>
    <w:rsid w:val="00237D0D"/>
    <w:rsid w:val="0024089F"/>
    <w:rsid w:val="00241A8E"/>
    <w:rsid w:val="0024332D"/>
    <w:rsid w:val="002433A4"/>
    <w:rsid w:val="002435DC"/>
    <w:rsid w:val="00245E04"/>
    <w:rsid w:val="002463A1"/>
    <w:rsid w:val="00247B17"/>
    <w:rsid w:val="00250389"/>
    <w:rsid w:val="00250EC0"/>
    <w:rsid w:val="00251F2E"/>
    <w:rsid w:val="00252669"/>
    <w:rsid w:val="002534FB"/>
    <w:rsid w:val="00254209"/>
    <w:rsid w:val="00254288"/>
    <w:rsid w:val="002545AA"/>
    <w:rsid w:val="0025469C"/>
    <w:rsid w:val="002579CE"/>
    <w:rsid w:val="00257F01"/>
    <w:rsid w:val="00260AF7"/>
    <w:rsid w:val="00260D0F"/>
    <w:rsid w:val="00260FEC"/>
    <w:rsid w:val="00261DD6"/>
    <w:rsid w:val="00262B28"/>
    <w:rsid w:val="00263545"/>
    <w:rsid w:val="00264223"/>
    <w:rsid w:val="002657E2"/>
    <w:rsid w:val="0026609C"/>
    <w:rsid w:val="0026742F"/>
    <w:rsid w:val="002705D2"/>
    <w:rsid w:val="00272742"/>
    <w:rsid w:val="002727CC"/>
    <w:rsid w:val="00273679"/>
    <w:rsid w:val="002741BF"/>
    <w:rsid w:val="0028009F"/>
    <w:rsid w:val="002805A9"/>
    <w:rsid w:val="00281A35"/>
    <w:rsid w:val="00283E90"/>
    <w:rsid w:val="00284486"/>
    <w:rsid w:val="00285644"/>
    <w:rsid w:val="0028581E"/>
    <w:rsid w:val="002921EB"/>
    <w:rsid w:val="00292DE5"/>
    <w:rsid w:val="0029330C"/>
    <w:rsid w:val="00293491"/>
    <w:rsid w:val="00293A8C"/>
    <w:rsid w:val="00296187"/>
    <w:rsid w:val="002A0FB8"/>
    <w:rsid w:val="002A1D01"/>
    <w:rsid w:val="002A30E4"/>
    <w:rsid w:val="002A3B3C"/>
    <w:rsid w:val="002A5D21"/>
    <w:rsid w:val="002A6193"/>
    <w:rsid w:val="002A643B"/>
    <w:rsid w:val="002A6AEF"/>
    <w:rsid w:val="002A7216"/>
    <w:rsid w:val="002A792F"/>
    <w:rsid w:val="002A7BD4"/>
    <w:rsid w:val="002A7F32"/>
    <w:rsid w:val="002B20A1"/>
    <w:rsid w:val="002B2147"/>
    <w:rsid w:val="002B226E"/>
    <w:rsid w:val="002B40AC"/>
    <w:rsid w:val="002B4524"/>
    <w:rsid w:val="002B4561"/>
    <w:rsid w:val="002B46D4"/>
    <w:rsid w:val="002B54CF"/>
    <w:rsid w:val="002C1274"/>
    <w:rsid w:val="002C1A9C"/>
    <w:rsid w:val="002C51F7"/>
    <w:rsid w:val="002C63C5"/>
    <w:rsid w:val="002C6FE0"/>
    <w:rsid w:val="002D179F"/>
    <w:rsid w:val="002D1BE4"/>
    <w:rsid w:val="002D3936"/>
    <w:rsid w:val="002D4A59"/>
    <w:rsid w:val="002D5DDD"/>
    <w:rsid w:val="002D6C69"/>
    <w:rsid w:val="002D724D"/>
    <w:rsid w:val="002D739A"/>
    <w:rsid w:val="002D7B5B"/>
    <w:rsid w:val="002D7C69"/>
    <w:rsid w:val="002E07C6"/>
    <w:rsid w:val="002E258E"/>
    <w:rsid w:val="002E5015"/>
    <w:rsid w:val="002E5D49"/>
    <w:rsid w:val="002E7ACF"/>
    <w:rsid w:val="002F0CE9"/>
    <w:rsid w:val="002F18C3"/>
    <w:rsid w:val="002F199F"/>
    <w:rsid w:val="002F3691"/>
    <w:rsid w:val="002F3BD0"/>
    <w:rsid w:val="002F5B19"/>
    <w:rsid w:val="002F746F"/>
    <w:rsid w:val="00300A0B"/>
    <w:rsid w:val="00301F46"/>
    <w:rsid w:val="00302306"/>
    <w:rsid w:val="00303776"/>
    <w:rsid w:val="0030387B"/>
    <w:rsid w:val="00303CAD"/>
    <w:rsid w:val="00304689"/>
    <w:rsid w:val="003046FD"/>
    <w:rsid w:val="003053CA"/>
    <w:rsid w:val="00306418"/>
    <w:rsid w:val="003068F2"/>
    <w:rsid w:val="0030726B"/>
    <w:rsid w:val="003074AB"/>
    <w:rsid w:val="003100F3"/>
    <w:rsid w:val="00310C11"/>
    <w:rsid w:val="003142D9"/>
    <w:rsid w:val="00315492"/>
    <w:rsid w:val="00316600"/>
    <w:rsid w:val="003172EC"/>
    <w:rsid w:val="003201BA"/>
    <w:rsid w:val="0032170B"/>
    <w:rsid w:val="00321F30"/>
    <w:rsid w:val="00322128"/>
    <w:rsid w:val="00322F87"/>
    <w:rsid w:val="00323325"/>
    <w:rsid w:val="003243B0"/>
    <w:rsid w:val="003248BD"/>
    <w:rsid w:val="00325EC0"/>
    <w:rsid w:val="00326578"/>
    <w:rsid w:val="00331748"/>
    <w:rsid w:val="003340EC"/>
    <w:rsid w:val="003350FF"/>
    <w:rsid w:val="00336332"/>
    <w:rsid w:val="00336991"/>
    <w:rsid w:val="00337F5F"/>
    <w:rsid w:val="0034057C"/>
    <w:rsid w:val="00343495"/>
    <w:rsid w:val="00343E36"/>
    <w:rsid w:val="0034591E"/>
    <w:rsid w:val="003476AC"/>
    <w:rsid w:val="00350142"/>
    <w:rsid w:val="00351628"/>
    <w:rsid w:val="00351F58"/>
    <w:rsid w:val="003526FB"/>
    <w:rsid w:val="00353B6D"/>
    <w:rsid w:val="00354920"/>
    <w:rsid w:val="00355AA1"/>
    <w:rsid w:val="00355DC6"/>
    <w:rsid w:val="00357C81"/>
    <w:rsid w:val="003604D7"/>
    <w:rsid w:val="003619C7"/>
    <w:rsid w:val="0036324F"/>
    <w:rsid w:val="0036351E"/>
    <w:rsid w:val="0036382F"/>
    <w:rsid w:val="00363853"/>
    <w:rsid w:val="00364521"/>
    <w:rsid w:val="00365026"/>
    <w:rsid w:val="00366230"/>
    <w:rsid w:val="00366E16"/>
    <w:rsid w:val="00367F82"/>
    <w:rsid w:val="00372255"/>
    <w:rsid w:val="003756AF"/>
    <w:rsid w:val="00375815"/>
    <w:rsid w:val="00376EC8"/>
    <w:rsid w:val="00380441"/>
    <w:rsid w:val="00381323"/>
    <w:rsid w:val="003816A3"/>
    <w:rsid w:val="00382696"/>
    <w:rsid w:val="0038438A"/>
    <w:rsid w:val="003864D2"/>
    <w:rsid w:val="003869FC"/>
    <w:rsid w:val="00387B0F"/>
    <w:rsid w:val="00390249"/>
    <w:rsid w:val="00390724"/>
    <w:rsid w:val="00390BF8"/>
    <w:rsid w:val="00392877"/>
    <w:rsid w:val="00392E12"/>
    <w:rsid w:val="003932E8"/>
    <w:rsid w:val="00394645"/>
    <w:rsid w:val="00394D7E"/>
    <w:rsid w:val="003956E9"/>
    <w:rsid w:val="00395930"/>
    <w:rsid w:val="003965EC"/>
    <w:rsid w:val="00396BA0"/>
    <w:rsid w:val="003A0E17"/>
    <w:rsid w:val="003A111E"/>
    <w:rsid w:val="003A16D4"/>
    <w:rsid w:val="003A357E"/>
    <w:rsid w:val="003A6757"/>
    <w:rsid w:val="003A69C5"/>
    <w:rsid w:val="003A6E62"/>
    <w:rsid w:val="003A78B5"/>
    <w:rsid w:val="003A7BE8"/>
    <w:rsid w:val="003A7C85"/>
    <w:rsid w:val="003A7FBE"/>
    <w:rsid w:val="003B0D09"/>
    <w:rsid w:val="003B165A"/>
    <w:rsid w:val="003B2140"/>
    <w:rsid w:val="003B3EF3"/>
    <w:rsid w:val="003C1510"/>
    <w:rsid w:val="003C2478"/>
    <w:rsid w:val="003C28B8"/>
    <w:rsid w:val="003C2948"/>
    <w:rsid w:val="003C3768"/>
    <w:rsid w:val="003C3EC5"/>
    <w:rsid w:val="003C4067"/>
    <w:rsid w:val="003C6934"/>
    <w:rsid w:val="003C74F9"/>
    <w:rsid w:val="003C7827"/>
    <w:rsid w:val="003C7FD0"/>
    <w:rsid w:val="003D0268"/>
    <w:rsid w:val="003D0323"/>
    <w:rsid w:val="003D1A43"/>
    <w:rsid w:val="003D1A64"/>
    <w:rsid w:val="003D2200"/>
    <w:rsid w:val="003D2632"/>
    <w:rsid w:val="003D3757"/>
    <w:rsid w:val="003D37E4"/>
    <w:rsid w:val="003D3A9C"/>
    <w:rsid w:val="003E13A6"/>
    <w:rsid w:val="003E1EE5"/>
    <w:rsid w:val="003E31E5"/>
    <w:rsid w:val="003E32ED"/>
    <w:rsid w:val="003E3A39"/>
    <w:rsid w:val="003E4693"/>
    <w:rsid w:val="003E56BD"/>
    <w:rsid w:val="003E58C9"/>
    <w:rsid w:val="003E79C7"/>
    <w:rsid w:val="003F204B"/>
    <w:rsid w:val="003F321A"/>
    <w:rsid w:val="003F36D7"/>
    <w:rsid w:val="003F578D"/>
    <w:rsid w:val="003F5E0D"/>
    <w:rsid w:val="003F650B"/>
    <w:rsid w:val="003F67B8"/>
    <w:rsid w:val="003F67E3"/>
    <w:rsid w:val="003F7A60"/>
    <w:rsid w:val="004004E9"/>
    <w:rsid w:val="00400FDE"/>
    <w:rsid w:val="00402109"/>
    <w:rsid w:val="00402595"/>
    <w:rsid w:val="00402C5E"/>
    <w:rsid w:val="004033A7"/>
    <w:rsid w:val="00404F33"/>
    <w:rsid w:val="004052C5"/>
    <w:rsid w:val="00405DBA"/>
    <w:rsid w:val="004100AA"/>
    <w:rsid w:val="00411467"/>
    <w:rsid w:val="00412203"/>
    <w:rsid w:val="00413ADA"/>
    <w:rsid w:val="00414815"/>
    <w:rsid w:val="0041563A"/>
    <w:rsid w:val="00417DE3"/>
    <w:rsid w:val="004203EE"/>
    <w:rsid w:val="00420B07"/>
    <w:rsid w:val="00422292"/>
    <w:rsid w:val="00422869"/>
    <w:rsid w:val="0042383A"/>
    <w:rsid w:val="00426448"/>
    <w:rsid w:val="0043197C"/>
    <w:rsid w:val="0043257A"/>
    <w:rsid w:val="00433077"/>
    <w:rsid w:val="00434C45"/>
    <w:rsid w:val="00436FD3"/>
    <w:rsid w:val="004406CF"/>
    <w:rsid w:val="00441804"/>
    <w:rsid w:val="0044293C"/>
    <w:rsid w:val="004435B4"/>
    <w:rsid w:val="00444335"/>
    <w:rsid w:val="0044446C"/>
    <w:rsid w:val="00444AC3"/>
    <w:rsid w:val="004471B4"/>
    <w:rsid w:val="00450248"/>
    <w:rsid w:val="004517E5"/>
    <w:rsid w:val="004520DF"/>
    <w:rsid w:val="00452310"/>
    <w:rsid w:val="00457325"/>
    <w:rsid w:val="0046048A"/>
    <w:rsid w:val="00461690"/>
    <w:rsid w:val="00462ED7"/>
    <w:rsid w:val="00464C62"/>
    <w:rsid w:val="004655E4"/>
    <w:rsid w:val="00466346"/>
    <w:rsid w:val="00466662"/>
    <w:rsid w:val="0046783A"/>
    <w:rsid w:val="00470928"/>
    <w:rsid w:val="00470CA9"/>
    <w:rsid w:val="00471DA8"/>
    <w:rsid w:val="004723F7"/>
    <w:rsid w:val="00473F17"/>
    <w:rsid w:val="004751D6"/>
    <w:rsid w:val="00476345"/>
    <w:rsid w:val="00477B67"/>
    <w:rsid w:val="00477DBA"/>
    <w:rsid w:val="00477E20"/>
    <w:rsid w:val="0048033F"/>
    <w:rsid w:val="00480BB8"/>
    <w:rsid w:val="00481674"/>
    <w:rsid w:val="00481D51"/>
    <w:rsid w:val="00483FCD"/>
    <w:rsid w:val="0048519E"/>
    <w:rsid w:val="00485EC7"/>
    <w:rsid w:val="00485F1D"/>
    <w:rsid w:val="004860BD"/>
    <w:rsid w:val="00487430"/>
    <w:rsid w:val="0049092E"/>
    <w:rsid w:val="00492519"/>
    <w:rsid w:val="00492DCA"/>
    <w:rsid w:val="00492E43"/>
    <w:rsid w:val="00493283"/>
    <w:rsid w:val="0049484A"/>
    <w:rsid w:val="0049667A"/>
    <w:rsid w:val="004979A2"/>
    <w:rsid w:val="004A0A7B"/>
    <w:rsid w:val="004A0BB0"/>
    <w:rsid w:val="004A1FE5"/>
    <w:rsid w:val="004A26CD"/>
    <w:rsid w:val="004A2A21"/>
    <w:rsid w:val="004A3584"/>
    <w:rsid w:val="004A3CBE"/>
    <w:rsid w:val="004A5121"/>
    <w:rsid w:val="004A577A"/>
    <w:rsid w:val="004A7966"/>
    <w:rsid w:val="004A7990"/>
    <w:rsid w:val="004B134D"/>
    <w:rsid w:val="004B1796"/>
    <w:rsid w:val="004B2C95"/>
    <w:rsid w:val="004B3AFE"/>
    <w:rsid w:val="004B591D"/>
    <w:rsid w:val="004B7542"/>
    <w:rsid w:val="004B7F4A"/>
    <w:rsid w:val="004C2299"/>
    <w:rsid w:val="004C37AA"/>
    <w:rsid w:val="004C47FA"/>
    <w:rsid w:val="004C4ACC"/>
    <w:rsid w:val="004C6AC1"/>
    <w:rsid w:val="004C7C6A"/>
    <w:rsid w:val="004C7E83"/>
    <w:rsid w:val="004D1776"/>
    <w:rsid w:val="004D2A6A"/>
    <w:rsid w:val="004D4A82"/>
    <w:rsid w:val="004D5893"/>
    <w:rsid w:val="004D5DB3"/>
    <w:rsid w:val="004E0096"/>
    <w:rsid w:val="004E0478"/>
    <w:rsid w:val="004E345F"/>
    <w:rsid w:val="004E3545"/>
    <w:rsid w:val="004E41C7"/>
    <w:rsid w:val="004E4F22"/>
    <w:rsid w:val="004E58C3"/>
    <w:rsid w:val="004E5A21"/>
    <w:rsid w:val="004E7FE7"/>
    <w:rsid w:val="004F13F0"/>
    <w:rsid w:val="004F2D88"/>
    <w:rsid w:val="004F41A2"/>
    <w:rsid w:val="005001F3"/>
    <w:rsid w:val="00500283"/>
    <w:rsid w:val="005008D7"/>
    <w:rsid w:val="00502D8D"/>
    <w:rsid w:val="005032CC"/>
    <w:rsid w:val="0050434B"/>
    <w:rsid w:val="00504819"/>
    <w:rsid w:val="0050485B"/>
    <w:rsid w:val="005070C3"/>
    <w:rsid w:val="005124DC"/>
    <w:rsid w:val="00512F7F"/>
    <w:rsid w:val="00515991"/>
    <w:rsid w:val="00517189"/>
    <w:rsid w:val="0052179E"/>
    <w:rsid w:val="005220BE"/>
    <w:rsid w:val="00525BFE"/>
    <w:rsid w:val="00526667"/>
    <w:rsid w:val="00526B39"/>
    <w:rsid w:val="00540DFD"/>
    <w:rsid w:val="00541D46"/>
    <w:rsid w:val="00542D5F"/>
    <w:rsid w:val="005435DE"/>
    <w:rsid w:val="00544365"/>
    <w:rsid w:val="0054474A"/>
    <w:rsid w:val="00544C28"/>
    <w:rsid w:val="00545159"/>
    <w:rsid w:val="00546BAE"/>
    <w:rsid w:val="0055002A"/>
    <w:rsid w:val="00550057"/>
    <w:rsid w:val="005510CC"/>
    <w:rsid w:val="00552EBD"/>
    <w:rsid w:val="00553827"/>
    <w:rsid w:val="00554B00"/>
    <w:rsid w:val="005557CA"/>
    <w:rsid w:val="00555F71"/>
    <w:rsid w:val="00560AC9"/>
    <w:rsid w:val="00562759"/>
    <w:rsid w:val="005635A8"/>
    <w:rsid w:val="005643DB"/>
    <w:rsid w:val="0056521E"/>
    <w:rsid w:val="00565955"/>
    <w:rsid w:val="00570E92"/>
    <w:rsid w:val="0057338D"/>
    <w:rsid w:val="00573B8E"/>
    <w:rsid w:val="00573C9A"/>
    <w:rsid w:val="005740F6"/>
    <w:rsid w:val="005743D2"/>
    <w:rsid w:val="00575CB8"/>
    <w:rsid w:val="00575DE3"/>
    <w:rsid w:val="00576F74"/>
    <w:rsid w:val="0057773B"/>
    <w:rsid w:val="0057786A"/>
    <w:rsid w:val="005802BD"/>
    <w:rsid w:val="0058573A"/>
    <w:rsid w:val="005867C4"/>
    <w:rsid w:val="00586FA8"/>
    <w:rsid w:val="00587F23"/>
    <w:rsid w:val="00591E3A"/>
    <w:rsid w:val="00593CB4"/>
    <w:rsid w:val="00597635"/>
    <w:rsid w:val="00597A04"/>
    <w:rsid w:val="005A1156"/>
    <w:rsid w:val="005A1803"/>
    <w:rsid w:val="005A3131"/>
    <w:rsid w:val="005A4096"/>
    <w:rsid w:val="005B0196"/>
    <w:rsid w:val="005B064B"/>
    <w:rsid w:val="005B0D7C"/>
    <w:rsid w:val="005B0E86"/>
    <w:rsid w:val="005B27D6"/>
    <w:rsid w:val="005B2CD4"/>
    <w:rsid w:val="005B3A3B"/>
    <w:rsid w:val="005B4D87"/>
    <w:rsid w:val="005B5DEE"/>
    <w:rsid w:val="005B6854"/>
    <w:rsid w:val="005B7263"/>
    <w:rsid w:val="005C0DBE"/>
    <w:rsid w:val="005C3721"/>
    <w:rsid w:val="005C4034"/>
    <w:rsid w:val="005C465F"/>
    <w:rsid w:val="005C651C"/>
    <w:rsid w:val="005C6D3A"/>
    <w:rsid w:val="005D0D06"/>
    <w:rsid w:val="005D1427"/>
    <w:rsid w:val="005D257C"/>
    <w:rsid w:val="005D2B62"/>
    <w:rsid w:val="005D3B24"/>
    <w:rsid w:val="005D49C8"/>
    <w:rsid w:val="005D4C33"/>
    <w:rsid w:val="005D5607"/>
    <w:rsid w:val="005D573F"/>
    <w:rsid w:val="005E1D8E"/>
    <w:rsid w:val="005E37E9"/>
    <w:rsid w:val="005E7F6C"/>
    <w:rsid w:val="005F03DB"/>
    <w:rsid w:val="005F11C2"/>
    <w:rsid w:val="005F1701"/>
    <w:rsid w:val="005F3C27"/>
    <w:rsid w:val="005F56B1"/>
    <w:rsid w:val="005F77BB"/>
    <w:rsid w:val="005F7B67"/>
    <w:rsid w:val="005F7B7F"/>
    <w:rsid w:val="00602E30"/>
    <w:rsid w:val="00603A46"/>
    <w:rsid w:val="00605668"/>
    <w:rsid w:val="006071B7"/>
    <w:rsid w:val="00607EF5"/>
    <w:rsid w:val="00611A49"/>
    <w:rsid w:val="00613017"/>
    <w:rsid w:val="00613A54"/>
    <w:rsid w:val="00615ADD"/>
    <w:rsid w:val="00615D30"/>
    <w:rsid w:val="00616189"/>
    <w:rsid w:val="006166F0"/>
    <w:rsid w:val="00616F4E"/>
    <w:rsid w:val="00620EE6"/>
    <w:rsid w:val="00621760"/>
    <w:rsid w:val="006217BB"/>
    <w:rsid w:val="00623C9D"/>
    <w:rsid w:val="00624BB7"/>
    <w:rsid w:val="00624BE1"/>
    <w:rsid w:val="00625BD5"/>
    <w:rsid w:val="00625DFB"/>
    <w:rsid w:val="0062725F"/>
    <w:rsid w:val="00630DE2"/>
    <w:rsid w:val="00631DC6"/>
    <w:rsid w:val="00632E2F"/>
    <w:rsid w:val="00634CEB"/>
    <w:rsid w:val="00637179"/>
    <w:rsid w:val="0063734D"/>
    <w:rsid w:val="006444C4"/>
    <w:rsid w:val="00646100"/>
    <w:rsid w:val="006476CA"/>
    <w:rsid w:val="006507A4"/>
    <w:rsid w:val="0065100D"/>
    <w:rsid w:val="006510BE"/>
    <w:rsid w:val="00652D65"/>
    <w:rsid w:val="00653D74"/>
    <w:rsid w:val="00653F19"/>
    <w:rsid w:val="006541BB"/>
    <w:rsid w:val="006552AE"/>
    <w:rsid w:val="00655773"/>
    <w:rsid w:val="006563CA"/>
    <w:rsid w:val="00656ECF"/>
    <w:rsid w:val="006578FC"/>
    <w:rsid w:val="006608AB"/>
    <w:rsid w:val="00662E00"/>
    <w:rsid w:val="0066348D"/>
    <w:rsid w:val="00663B2D"/>
    <w:rsid w:val="0066415D"/>
    <w:rsid w:val="00664587"/>
    <w:rsid w:val="006649C0"/>
    <w:rsid w:val="00664A5E"/>
    <w:rsid w:val="00665164"/>
    <w:rsid w:val="00666F25"/>
    <w:rsid w:val="00667A5F"/>
    <w:rsid w:val="00667C1C"/>
    <w:rsid w:val="0067010C"/>
    <w:rsid w:val="00671885"/>
    <w:rsid w:val="006723A2"/>
    <w:rsid w:val="00672DBF"/>
    <w:rsid w:val="00673DD4"/>
    <w:rsid w:val="00674AEB"/>
    <w:rsid w:val="006753B0"/>
    <w:rsid w:val="0067635F"/>
    <w:rsid w:val="00676F42"/>
    <w:rsid w:val="00681656"/>
    <w:rsid w:val="00682008"/>
    <w:rsid w:val="00683CB5"/>
    <w:rsid w:val="006841C2"/>
    <w:rsid w:val="0068455C"/>
    <w:rsid w:val="00685328"/>
    <w:rsid w:val="00687B05"/>
    <w:rsid w:val="00690080"/>
    <w:rsid w:val="00690562"/>
    <w:rsid w:val="0069333E"/>
    <w:rsid w:val="00693C8E"/>
    <w:rsid w:val="006949FF"/>
    <w:rsid w:val="00696595"/>
    <w:rsid w:val="006969BA"/>
    <w:rsid w:val="006A018D"/>
    <w:rsid w:val="006A026A"/>
    <w:rsid w:val="006A0425"/>
    <w:rsid w:val="006A1D62"/>
    <w:rsid w:val="006A3759"/>
    <w:rsid w:val="006A4380"/>
    <w:rsid w:val="006A5795"/>
    <w:rsid w:val="006A6D7F"/>
    <w:rsid w:val="006A718D"/>
    <w:rsid w:val="006A73F2"/>
    <w:rsid w:val="006B0298"/>
    <w:rsid w:val="006B0E83"/>
    <w:rsid w:val="006B199C"/>
    <w:rsid w:val="006B3F47"/>
    <w:rsid w:val="006B4141"/>
    <w:rsid w:val="006B4535"/>
    <w:rsid w:val="006B49AE"/>
    <w:rsid w:val="006B5493"/>
    <w:rsid w:val="006B6FCB"/>
    <w:rsid w:val="006C10C0"/>
    <w:rsid w:val="006C1B1D"/>
    <w:rsid w:val="006C2DF5"/>
    <w:rsid w:val="006C32BB"/>
    <w:rsid w:val="006C3747"/>
    <w:rsid w:val="006C4132"/>
    <w:rsid w:val="006C56FB"/>
    <w:rsid w:val="006C6009"/>
    <w:rsid w:val="006C6F31"/>
    <w:rsid w:val="006C7760"/>
    <w:rsid w:val="006C7EEA"/>
    <w:rsid w:val="006D32A6"/>
    <w:rsid w:val="006D35D5"/>
    <w:rsid w:val="006D5217"/>
    <w:rsid w:val="006D522C"/>
    <w:rsid w:val="006D56AA"/>
    <w:rsid w:val="006D7795"/>
    <w:rsid w:val="006D7ACB"/>
    <w:rsid w:val="006D7C63"/>
    <w:rsid w:val="006E00EF"/>
    <w:rsid w:val="006E1340"/>
    <w:rsid w:val="006E1A7A"/>
    <w:rsid w:val="006E37F1"/>
    <w:rsid w:val="006E38AF"/>
    <w:rsid w:val="006E4846"/>
    <w:rsid w:val="006E7ED1"/>
    <w:rsid w:val="006F01E7"/>
    <w:rsid w:val="006F0254"/>
    <w:rsid w:val="006F1F3A"/>
    <w:rsid w:val="006F59CF"/>
    <w:rsid w:val="006F7630"/>
    <w:rsid w:val="006F76DD"/>
    <w:rsid w:val="006F7A9A"/>
    <w:rsid w:val="006F7EB8"/>
    <w:rsid w:val="00701882"/>
    <w:rsid w:val="00702DD7"/>
    <w:rsid w:val="0070361C"/>
    <w:rsid w:val="007047D3"/>
    <w:rsid w:val="007052DC"/>
    <w:rsid w:val="00705C40"/>
    <w:rsid w:val="00706723"/>
    <w:rsid w:val="0071087E"/>
    <w:rsid w:val="00711E09"/>
    <w:rsid w:val="00714E37"/>
    <w:rsid w:val="0071540F"/>
    <w:rsid w:val="00717731"/>
    <w:rsid w:val="007229A1"/>
    <w:rsid w:val="007235AA"/>
    <w:rsid w:val="007235F2"/>
    <w:rsid w:val="0072794B"/>
    <w:rsid w:val="00730283"/>
    <w:rsid w:val="00731AE5"/>
    <w:rsid w:val="00732289"/>
    <w:rsid w:val="0073268D"/>
    <w:rsid w:val="007328DD"/>
    <w:rsid w:val="00732917"/>
    <w:rsid w:val="00735915"/>
    <w:rsid w:val="00735C21"/>
    <w:rsid w:val="0073614A"/>
    <w:rsid w:val="00736FF2"/>
    <w:rsid w:val="00740C8C"/>
    <w:rsid w:val="00741AC4"/>
    <w:rsid w:val="0074285B"/>
    <w:rsid w:val="007430C0"/>
    <w:rsid w:val="007446FF"/>
    <w:rsid w:val="007448FE"/>
    <w:rsid w:val="00745AEC"/>
    <w:rsid w:val="00745CF2"/>
    <w:rsid w:val="00746791"/>
    <w:rsid w:val="00746CC2"/>
    <w:rsid w:val="00746F03"/>
    <w:rsid w:val="007506C4"/>
    <w:rsid w:val="00750B21"/>
    <w:rsid w:val="007515BC"/>
    <w:rsid w:val="007533D5"/>
    <w:rsid w:val="007573B2"/>
    <w:rsid w:val="007574BB"/>
    <w:rsid w:val="007575E2"/>
    <w:rsid w:val="0075764C"/>
    <w:rsid w:val="007610D5"/>
    <w:rsid w:val="00761D32"/>
    <w:rsid w:val="00762198"/>
    <w:rsid w:val="00763800"/>
    <w:rsid w:val="00763CE8"/>
    <w:rsid w:val="00763D85"/>
    <w:rsid w:val="00764E7C"/>
    <w:rsid w:val="00766ACC"/>
    <w:rsid w:val="00766F2A"/>
    <w:rsid w:val="00770792"/>
    <w:rsid w:val="00770E78"/>
    <w:rsid w:val="00771658"/>
    <w:rsid w:val="00773903"/>
    <w:rsid w:val="00774FFE"/>
    <w:rsid w:val="00775638"/>
    <w:rsid w:val="00775677"/>
    <w:rsid w:val="0077599A"/>
    <w:rsid w:val="00777353"/>
    <w:rsid w:val="00780CD6"/>
    <w:rsid w:val="00782EA4"/>
    <w:rsid w:val="00783009"/>
    <w:rsid w:val="00783B92"/>
    <w:rsid w:val="007852F7"/>
    <w:rsid w:val="00785461"/>
    <w:rsid w:val="00786FF3"/>
    <w:rsid w:val="007875AA"/>
    <w:rsid w:val="007876CF"/>
    <w:rsid w:val="00787778"/>
    <w:rsid w:val="007904B3"/>
    <w:rsid w:val="00790DCE"/>
    <w:rsid w:val="00791EFC"/>
    <w:rsid w:val="007922F7"/>
    <w:rsid w:val="007927A4"/>
    <w:rsid w:val="00793090"/>
    <w:rsid w:val="00796BBC"/>
    <w:rsid w:val="00796F2A"/>
    <w:rsid w:val="0079735A"/>
    <w:rsid w:val="007A0176"/>
    <w:rsid w:val="007A2F67"/>
    <w:rsid w:val="007A38C9"/>
    <w:rsid w:val="007A3918"/>
    <w:rsid w:val="007A5707"/>
    <w:rsid w:val="007B0B08"/>
    <w:rsid w:val="007B0E89"/>
    <w:rsid w:val="007B13C7"/>
    <w:rsid w:val="007B207F"/>
    <w:rsid w:val="007B2C38"/>
    <w:rsid w:val="007B2E54"/>
    <w:rsid w:val="007B4B0E"/>
    <w:rsid w:val="007B51E3"/>
    <w:rsid w:val="007B69E4"/>
    <w:rsid w:val="007B6F5A"/>
    <w:rsid w:val="007B7498"/>
    <w:rsid w:val="007B7AEE"/>
    <w:rsid w:val="007C05C4"/>
    <w:rsid w:val="007C18A8"/>
    <w:rsid w:val="007C45E9"/>
    <w:rsid w:val="007C5C09"/>
    <w:rsid w:val="007C6E6C"/>
    <w:rsid w:val="007C7EB6"/>
    <w:rsid w:val="007D007C"/>
    <w:rsid w:val="007D037A"/>
    <w:rsid w:val="007D1103"/>
    <w:rsid w:val="007D240B"/>
    <w:rsid w:val="007D2E75"/>
    <w:rsid w:val="007D2F75"/>
    <w:rsid w:val="007D3C0E"/>
    <w:rsid w:val="007D52EC"/>
    <w:rsid w:val="007D7FE7"/>
    <w:rsid w:val="007E22E7"/>
    <w:rsid w:val="007E3127"/>
    <w:rsid w:val="007E41BC"/>
    <w:rsid w:val="007E4232"/>
    <w:rsid w:val="007E44BF"/>
    <w:rsid w:val="007E69BB"/>
    <w:rsid w:val="007E6AB8"/>
    <w:rsid w:val="007E73A4"/>
    <w:rsid w:val="007F2109"/>
    <w:rsid w:val="007F21C5"/>
    <w:rsid w:val="007F234B"/>
    <w:rsid w:val="007F253F"/>
    <w:rsid w:val="007F3ACF"/>
    <w:rsid w:val="007F3EF1"/>
    <w:rsid w:val="007F564B"/>
    <w:rsid w:val="007F63B4"/>
    <w:rsid w:val="00800FD0"/>
    <w:rsid w:val="00801BCE"/>
    <w:rsid w:val="00802515"/>
    <w:rsid w:val="00805349"/>
    <w:rsid w:val="00807746"/>
    <w:rsid w:val="0081283F"/>
    <w:rsid w:val="0081480A"/>
    <w:rsid w:val="008202EB"/>
    <w:rsid w:val="0082180A"/>
    <w:rsid w:val="008240D3"/>
    <w:rsid w:val="00827F88"/>
    <w:rsid w:val="00831A2B"/>
    <w:rsid w:val="008336A5"/>
    <w:rsid w:val="0083437E"/>
    <w:rsid w:val="00835474"/>
    <w:rsid w:val="008360D7"/>
    <w:rsid w:val="0083687B"/>
    <w:rsid w:val="008373C0"/>
    <w:rsid w:val="0084113C"/>
    <w:rsid w:val="0084145F"/>
    <w:rsid w:val="008419FB"/>
    <w:rsid w:val="00841DA2"/>
    <w:rsid w:val="00842DB2"/>
    <w:rsid w:val="008434ED"/>
    <w:rsid w:val="0084387C"/>
    <w:rsid w:val="008458F6"/>
    <w:rsid w:val="00845AED"/>
    <w:rsid w:val="00845CA0"/>
    <w:rsid w:val="0084708E"/>
    <w:rsid w:val="008506B4"/>
    <w:rsid w:val="00851AE4"/>
    <w:rsid w:val="00851F1C"/>
    <w:rsid w:val="00852121"/>
    <w:rsid w:val="00853FDD"/>
    <w:rsid w:val="0085598D"/>
    <w:rsid w:val="00856700"/>
    <w:rsid w:val="008609FC"/>
    <w:rsid w:val="00861107"/>
    <w:rsid w:val="00862771"/>
    <w:rsid w:val="00862EC5"/>
    <w:rsid w:val="00863B11"/>
    <w:rsid w:val="00863BC8"/>
    <w:rsid w:val="0086682F"/>
    <w:rsid w:val="00867C16"/>
    <w:rsid w:val="008712D9"/>
    <w:rsid w:val="00871940"/>
    <w:rsid w:val="0087655E"/>
    <w:rsid w:val="00876F54"/>
    <w:rsid w:val="00877292"/>
    <w:rsid w:val="0087754A"/>
    <w:rsid w:val="0087766C"/>
    <w:rsid w:val="00880118"/>
    <w:rsid w:val="00880552"/>
    <w:rsid w:val="00880A26"/>
    <w:rsid w:val="00880B60"/>
    <w:rsid w:val="008839DA"/>
    <w:rsid w:val="00884EE8"/>
    <w:rsid w:val="00885168"/>
    <w:rsid w:val="00885230"/>
    <w:rsid w:val="008863A7"/>
    <w:rsid w:val="00887016"/>
    <w:rsid w:val="008908D1"/>
    <w:rsid w:val="0089173B"/>
    <w:rsid w:val="00891E76"/>
    <w:rsid w:val="00891F65"/>
    <w:rsid w:val="0089220F"/>
    <w:rsid w:val="00892C8C"/>
    <w:rsid w:val="008935AA"/>
    <w:rsid w:val="00894F1E"/>
    <w:rsid w:val="008963F0"/>
    <w:rsid w:val="00896C53"/>
    <w:rsid w:val="00897F22"/>
    <w:rsid w:val="008A03A5"/>
    <w:rsid w:val="008A042D"/>
    <w:rsid w:val="008A0886"/>
    <w:rsid w:val="008A0DF3"/>
    <w:rsid w:val="008A4138"/>
    <w:rsid w:val="008A5D96"/>
    <w:rsid w:val="008A631B"/>
    <w:rsid w:val="008A662F"/>
    <w:rsid w:val="008A791B"/>
    <w:rsid w:val="008B0AB0"/>
    <w:rsid w:val="008B0FA3"/>
    <w:rsid w:val="008B1B3B"/>
    <w:rsid w:val="008B304C"/>
    <w:rsid w:val="008B3548"/>
    <w:rsid w:val="008B5C93"/>
    <w:rsid w:val="008B6848"/>
    <w:rsid w:val="008C2BBE"/>
    <w:rsid w:val="008C2FA1"/>
    <w:rsid w:val="008C7925"/>
    <w:rsid w:val="008C7D74"/>
    <w:rsid w:val="008D0855"/>
    <w:rsid w:val="008D1BAE"/>
    <w:rsid w:val="008D2C4C"/>
    <w:rsid w:val="008D39B7"/>
    <w:rsid w:val="008D58AB"/>
    <w:rsid w:val="008D5C2F"/>
    <w:rsid w:val="008D6263"/>
    <w:rsid w:val="008D6344"/>
    <w:rsid w:val="008D7E0D"/>
    <w:rsid w:val="008D7EDB"/>
    <w:rsid w:val="008E1829"/>
    <w:rsid w:val="008E1888"/>
    <w:rsid w:val="008E2327"/>
    <w:rsid w:val="008E5077"/>
    <w:rsid w:val="008E64F0"/>
    <w:rsid w:val="008E6FF3"/>
    <w:rsid w:val="008E77FF"/>
    <w:rsid w:val="008E7B05"/>
    <w:rsid w:val="008F05F9"/>
    <w:rsid w:val="008F18ED"/>
    <w:rsid w:val="008F3EA1"/>
    <w:rsid w:val="008F438E"/>
    <w:rsid w:val="008F46C2"/>
    <w:rsid w:val="008F4B45"/>
    <w:rsid w:val="008F5097"/>
    <w:rsid w:val="008F78C0"/>
    <w:rsid w:val="009001FC"/>
    <w:rsid w:val="00901006"/>
    <w:rsid w:val="009020A8"/>
    <w:rsid w:val="00903D37"/>
    <w:rsid w:val="00907CDA"/>
    <w:rsid w:val="0091055D"/>
    <w:rsid w:val="00910E4D"/>
    <w:rsid w:val="00913B76"/>
    <w:rsid w:val="009140A3"/>
    <w:rsid w:val="00914C61"/>
    <w:rsid w:val="0091633A"/>
    <w:rsid w:val="00917B29"/>
    <w:rsid w:val="00917D6F"/>
    <w:rsid w:val="00921B1A"/>
    <w:rsid w:val="00921DDA"/>
    <w:rsid w:val="0092600D"/>
    <w:rsid w:val="00926C64"/>
    <w:rsid w:val="00927D70"/>
    <w:rsid w:val="00927ED6"/>
    <w:rsid w:val="0093039D"/>
    <w:rsid w:val="00931960"/>
    <w:rsid w:val="00931E4F"/>
    <w:rsid w:val="0093364D"/>
    <w:rsid w:val="00936574"/>
    <w:rsid w:val="00937C0F"/>
    <w:rsid w:val="009427D6"/>
    <w:rsid w:val="00942D6B"/>
    <w:rsid w:val="00943BCE"/>
    <w:rsid w:val="00957104"/>
    <w:rsid w:val="00957CA8"/>
    <w:rsid w:val="00960346"/>
    <w:rsid w:val="009617D3"/>
    <w:rsid w:val="0096304B"/>
    <w:rsid w:val="00963899"/>
    <w:rsid w:val="00963DC8"/>
    <w:rsid w:val="0096463B"/>
    <w:rsid w:val="009677F9"/>
    <w:rsid w:val="00967869"/>
    <w:rsid w:val="00970475"/>
    <w:rsid w:val="00971F54"/>
    <w:rsid w:val="009725C5"/>
    <w:rsid w:val="00973F40"/>
    <w:rsid w:val="00973FDF"/>
    <w:rsid w:val="009806E2"/>
    <w:rsid w:val="00983AA1"/>
    <w:rsid w:val="009849EF"/>
    <w:rsid w:val="00984BE6"/>
    <w:rsid w:val="00986CDA"/>
    <w:rsid w:val="00986DB7"/>
    <w:rsid w:val="009916A6"/>
    <w:rsid w:val="0099315B"/>
    <w:rsid w:val="00993262"/>
    <w:rsid w:val="009934CF"/>
    <w:rsid w:val="00993B80"/>
    <w:rsid w:val="00994D5D"/>
    <w:rsid w:val="00995364"/>
    <w:rsid w:val="00995AD7"/>
    <w:rsid w:val="009A0D75"/>
    <w:rsid w:val="009A32D7"/>
    <w:rsid w:val="009A347A"/>
    <w:rsid w:val="009A5614"/>
    <w:rsid w:val="009A620E"/>
    <w:rsid w:val="009B3AE5"/>
    <w:rsid w:val="009B548D"/>
    <w:rsid w:val="009B6578"/>
    <w:rsid w:val="009B6A6F"/>
    <w:rsid w:val="009C0540"/>
    <w:rsid w:val="009C096D"/>
    <w:rsid w:val="009C155B"/>
    <w:rsid w:val="009C1AFE"/>
    <w:rsid w:val="009C3FA3"/>
    <w:rsid w:val="009C4081"/>
    <w:rsid w:val="009C5531"/>
    <w:rsid w:val="009C5F24"/>
    <w:rsid w:val="009D048B"/>
    <w:rsid w:val="009D2074"/>
    <w:rsid w:val="009D3908"/>
    <w:rsid w:val="009D3DB3"/>
    <w:rsid w:val="009D40EC"/>
    <w:rsid w:val="009D510B"/>
    <w:rsid w:val="009D55C8"/>
    <w:rsid w:val="009D5C3E"/>
    <w:rsid w:val="009D69C6"/>
    <w:rsid w:val="009D7EDD"/>
    <w:rsid w:val="009E1236"/>
    <w:rsid w:val="009E1E8E"/>
    <w:rsid w:val="009E2C40"/>
    <w:rsid w:val="009E4CAE"/>
    <w:rsid w:val="009E5419"/>
    <w:rsid w:val="009E5A6E"/>
    <w:rsid w:val="009F46DC"/>
    <w:rsid w:val="00A00BF3"/>
    <w:rsid w:val="00A01C00"/>
    <w:rsid w:val="00A05C27"/>
    <w:rsid w:val="00A060A7"/>
    <w:rsid w:val="00A06D9C"/>
    <w:rsid w:val="00A10AB8"/>
    <w:rsid w:val="00A112F7"/>
    <w:rsid w:val="00A11CAD"/>
    <w:rsid w:val="00A14169"/>
    <w:rsid w:val="00A14880"/>
    <w:rsid w:val="00A157E2"/>
    <w:rsid w:val="00A1620A"/>
    <w:rsid w:val="00A1620D"/>
    <w:rsid w:val="00A16AC0"/>
    <w:rsid w:val="00A20877"/>
    <w:rsid w:val="00A22C67"/>
    <w:rsid w:val="00A23D31"/>
    <w:rsid w:val="00A24C9B"/>
    <w:rsid w:val="00A25553"/>
    <w:rsid w:val="00A27124"/>
    <w:rsid w:val="00A27D2B"/>
    <w:rsid w:val="00A27E27"/>
    <w:rsid w:val="00A301A7"/>
    <w:rsid w:val="00A3043F"/>
    <w:rsid w:val="00A30C34"/>
    <w:rsid w:val="00A30FD3"/>
    <w:rsid w:val="00A33154"/>
    <w:rsid w:val="00A34077"/>
    <w:rsid w:val="00A35E2F"/>
    <w:rsid w:val="00A37891"/>
    <w:rsid w:val="00A404EA"/>
    <w:rsid w:val="00A40517"/>
    <w:rsid w:val="00A40A51"/>
    <w:rsid w:val="00A40CAA"/>
    <w:rsid w:val="00A42292"/>
    <w:rsid w:val="00A428ED"/>
    <w:rsid w:val="00A44B26"/>
    <w:rsid w:val="00A47916"/>
    <w:rsid w:val="00A50746"/>
    <w:rsid w:val="00A509EC"/>
    <w:rsid w:val="00A5144C"/>
    <w:rsid w:val="00A5296A"/>
    <w:rsid w:val="00A536DA"/>
    <w:rsid w:val="00A53D7D"/>
    <w:rsid w:val="00A54893"/>
    <w:rsid w:val="00A571CD"/>
    <w:rsid w:val="00A57C3D"/>
    <w:rsid w:val="00A60065"/>
    <w:rsid w:val="00A615DC"/>
    <w:rsid w:val="00A61E0F"/>
    <w:rsid w:val="00A61F25"/>
    <w:rsid w:val="00A6280E"/>
    <w:rsid w:val="00A62DE3"/>
    <w:rsid w:val="00A63630"/>
    <w:rsid w:val="00A63EC3"/>
    <w:rsid w:val="00A65CD8"/>
    <w:rsid w:val="00A668B7"/>
    <w:rsid w:val="00A6697B"/>
    <w:rsid w:val="00A72635"/>
    <w:rsid w:val="00A72FFE"/>
    <w:rsid w:val="00A74C2D"/>
    <w:rsid w:val="00A75092"/>
    <w:rsid w:val="00A76B34"/>
    <w:rsid w:val="00A77107"/>
    <w:rsid w:val="00A80644"/>
    <w:rsid w:val="00A83487"/>
    <w:rsid w:val="00A84A76"/>
    <w:rsid w:val="00A8529E"/>
    <w:rsid w:val="00A854FF"/>
    <w:rsid w:val="00A87035"/>
    <w:rsid w:val="00A8745D"/>
    <w:rsid w:val="00A8787B"/>
    <w:rsid w:val="00A90F9B"/>
    <w:rsid w:val="00A91273"/>
    <w:rsid w:val="00A92694"/>
    <w:rsid w:val="00A93072"/>
    <w:rsid w:val="00A94437"/>
    <w:rsid w:val="00A9482B"/>
    <w:rsid w:val="00A95108"/>
    <w:rsid w:val="00A9629C"/>
    <w:rsid w:val="00A9729E"/>
    <w:rsid w:val="00AA11D8"/>
    <w:rsid w:val="00AA35D5"/>
    <w:rsid w:val="00AA417B"/>
    <w:rsid w:val="00AA4912"/>
    <w:rsid w:val="00AA533F"/>
    <w:rsid w:val="00AA557E"/>
    <w:rsid w:val="00AA5A86"/>
    <w:rsid w:val="00AA70FB"/>
    <w:rsid w:val="00AA7C05"/>
    <w:rsid w:val="00AB010D"/>
    <w:rsid w:val="00AB020A"/>
    <w:rsid w:val="00AB0749"/>
    <w:rsid w:val="00AB1209"/>
    <w:rsid w:val="00AB5709"/>
    <w:rsid w:val="00AB573B"/>
    <w:rsid w:val="00AB7679"/>
    <w:rsid w:val="00AB76D8"/>
    <w:rsid w:val="00AB7E6A"/>
    <w:rsid w:val="00AC1B61"/>
    <w:rsid w:val="00AC2C6E"/>
    <w:rsid w:val="00AC3C69"/>
    <w:rsid w:val="00AC5EE6"/>
    <w:rsid w:val="00AC63CF"/>
    <w:rsid w:val="00AC641F"/>
    <w:rsid w:val="00AC7E85"/>
    <w:rsid w:val="00AD077D"/>
    <w:rsid w:val="00AD0D24"/>
    <w:rsid w:val="00AD0FA2"/>
    <w:rsid w:val="00AD124E"/>
    <w:rsid w:val="00AD1923"/>
    <w:rsid w:val="00AD2611"/>
    <w:rsid w:val="00AD3AC5"/>
    <w:rsid w:val="00AD3D24"/>
    <w:rsid w:val="00AD3D57"/>
    <w:rsid w:val="00AD477B"/>
    <w:rsid w:val="00AD4882"/>
    <w:rsid w:val="00AE1BA2"/>
    <w:rsid w:val="00AE33C9"/>
    <w:rsid w:val="00AE4507"/>
    <w:rsid w:val="00AE47BF"/>
    <w:rsid w:val="00AE5024"/>
    <w:rsid w:val="00AE60AB"/>
    <w:rsid w:val="00AE7617"/>
    <w:rsid w:val="00AF340C"/>
    <w:rsid w:val="00AF36A2"/>
    <w:rsid w:val="00AF58EF"/>
    <w:rsid w:val="00AF6432"/>
    <w:rsid w:val="00AF6B9D"/>
    <w:rsid w:val="00AF75BE"/>
    <w:rsid w:val="00AF79BD"/>
    <w:rsid w:val="00B07F12"/>
    <w:rsid w:val="00B103E0"/>
    <w:rsid w:val="00B1415B"/>
    <w:rsid w:val="00B15278"/>
    <w:rsid w:val="00B21671"/>
    <w:rsid w:val="00B217E2"/>
    <w:rsid w:val="00B227BD"/>
    <w:rsid w:val="00B22D34"/>
    <w:rsid w:val="00B234EC"/>
    <w:rsid w:val="00B26473"/>
    <w:rsid w:val="00B26FCD"/>
    <w:rsid w:val="00B2732B"/>
    <w:rsid w:val="00B274AE"/>
    <w:rsid w:val="00B274BF"/>
    <w:rsid w:val="00B27A5E"/>
    <w:rsid w:val="00B31222"/>
    <w:rsid w:val="00B32215"/>
    <w:rsid w:val="00B3234E"/>
    <w:rsid w:val="00B32C53"/>
    <w:rsid w:val="00B35A9D"/>
    <w:rsid w:val="00B35E5B"/>
    <w:rsid w:val="00B369C8"/>
    <w:rsid w:val="00B415CC"/>
    <w:rsid w:val="00B41F43"/>
    <w:rsid w:val="00B42E81"/>
    <w:rsid w:val="00B4329D"/>
    <w:rsid w:val="00B434FC"/>
    <w:rsid w:val="00B443F5"/>
    <w:rsid w:val="00B4478E"/>
    <w:rsid w:val="00B44D40"/>
    <w:rsid w:val="00B46640"/>
    <w:rsid w:val="00B471E0"/>
    <w:rsid w:val="00B520F9"/>
    <w:rsid w:val="00B52812"/>
    <w:rsid w:val="00B5495A"/>
    <w:rsid w:val="00B54E2E"/>
    <w:rsid w:val="00B577A3"/>
    <w:rsid w:val="00B579A5"/>
    <w:rsid w:val="00B6087A"/>
    <w:rsid w:val="00B6258B"/>
    <w:rsid w:val="00B645F2"/>
    <w:rsid w:val="00B64641"/>
    <w:rsid w:val="00B667D0"/>
    <w:rsid w:val="00B67D38"/>
    <w:rsid w:val="00B7262F"/>
    <w:rsid w:val="00B727C5"/>
    <w:rsid w:val="00B73FD4"/>
    <w:rsid w:val="00B749FC"/>
    <w:rsid w:val="00B74FC5"/>
    <w:rsid w:val="00B75A6C"/>
    <w:rsid w:val="00B81B8B"/>
    <w:rsid w:val="00B81CA0"/>
    <w:rsid w:val="00B82547"/>
    <w:rsid w:val="00B82F2D"/>
    <w:rsid w:val="00B83E2A"/>
    <w:rsid w:val="00B83E38"/>
    <w:rsid w:val="00B84ACC"/>
    <w:rsid w:val="00B85DF3"/>
    <w:rsid w:val="00B86869"/>
    <w:rsid w:val="00B86C19"/>
    <w:rsid w:val="00B870C6"/>
    <w:rsid w:val="00B92584"/>
    <w:rsid w:val="00B92EDF"/>
    <w:rsid w:val="00B93510"/>
    <w:rsid w:val="00B93E33"/>
    <w:rsid w:val="00B9412E"/>
    <w:rsid w:val="00B94324"/>
    <w:rsid w:val="00B94F72"/>
    <w:rsid w:val="00B954F3"/>
    <w:rsid w:val="00B956B0"/>
    <w:rsid w:val="00B95BCD"/>
    <w:rsid w:val="00B95CDC"/>
    <w:rsid w:val="00B95CE5"/>
    <w:rsid w:val="00BA0D0B"/>
    <w:rsid w:val="00BA0ED5"/>
    <w:rsid w:val="00BA37A8"/>
    <w:rsid w:val="00BA3B4C"/>
    <w:rsid w:val="00BA3EA8"/>
    <w:rsid w:val="00BA4488"/>
    <w:rsid w:val="00BA7C8D"/>
    <w:rsid w:val="00BB1891"/>
    <w:rsid w:val="00BB27E3"/>
    <w:rsid w:val="00BB375D"/>
    <w:rsid w:val="00BB49A0"/>
    <w:rsid w:val="00BB5067"/>
    <w:rsid w:val="00BB515F"/>
    <w:rsid w:val="00BB5DFF"/>
    <w:rsid w:val="00BC1FA5"/>
    <w:rsid w:val="00BC2C0C"/>
    <w:rsid w:val="00BC3ECB"/>
    <w:rsid w:val="00BC4CF5"/>
    <w:rsid w:val="00BC55E5"/>
    <w:rsid w:val="00BC64F5"/>
    <w:rsid w:val="00BC6871"/>
    <w:rsid w:val="00BC732A"/>
    <w:rsid w:val="00BC758B"/>
    <w:rsid w:val="00BD181B"/>
    <w:rsid w:val="00BD1BCF"/>
    <w:rsid w:val="00BD2EAC"/>
    <w:rsid w:val="00BD4BB3"/>
    <w:rsid w:val="00BD5CDF"/>
    <w:rsid w:val="00BD5CFE"/>
    <w:rsid w:val="00BD5F6D"/>
    <w:rsid w:val="00BD7B7B"/>
    <w:rsid w:val="00BE17C6"/>
    <w:rsid w:val="00BE2BD3"/>
    <w:rsid w:val="00BE4865"/>
    <w:rsid w:val="00BE69BF"/>
    <w:rsid w:val="00BE6A3C"/>
    <w:rsid w:val="00BE725A"/>
    <w:rsid w:val="00BE7430"/>
    <w:rsid w:val="00BE7B48"/>
    <w:rsid w:val="00BF259E"/>
    <w:rsid w:val="00BF2920"/>
    <w:rsid w:val="00BF3381"/>
    <w:rsid w:val="00C03D1A"/>
    <w:rsid w:val="00C05514"/>
    <w:rsid w:val="00C05543"/>
    <w:rsid w:val="00C105B6"/>
    <w:rsid w:val="00C106E1"/>
    <w:rsid w:val="00C10FCF"/>
    <w:rsid w:val="00C111BB"/>
    <w:rsid w:val="00C1291A"/>
    <w:rsid w:val="00C13895"/>
    <w:rsid w:val="00C143EE"/>
    <w:rsid w:val="00C1575E"/>
    <w:rsid w:val="00C167C0"/>
    <w:rsid w:val="00C16B4B"/>
    <w:rsid w:val="00C170DF"/>
    <w:rsid w:val="00C17427"/>
    <w:rsid w:val="00C20C00"/>
    <w:rsid w:val="00C210FD"/>
    <w:rsid w:val="00C21EB2"/>
    <w:rsid w:val="00C22901"/>
    <w:rsid w:val="00C22F6B"/>
    <w:rsid w:val="00C25238"/>
    <w:rsid w:val="00C253F8"/>
    <w:rsid w:val="00C25DCE"/>
    <w:rsid w:val="00C26DCB"/>
    <w:rsid w:val="00C30291"/>
    <w:rsid w:val="00C305C8"/>
    <w:rsid w:val="00C305F2"/>
    <w:rsid w:val="00C307AF"/>
    <w:rsid w:val="00C3345C"/>
    <w:rsid w:val="00C33C9A"/>
    <w:rsid w:val="00C35B18"/>
    <w:rsid w:val="00C3748D"/>
    <w:rsid w:val="00C407E5"/>
    <w:rsid w:val="00C42DAC"/>
    <w:rsid w:val="00C4342B"/>
    <w:rsid w:val="00C436FC"/>
    <w:rsid w:val="00C43835"/>
    <w:rsid w:val="00C459A9"/>
    <w:rsid w:val="00C46615"/>
    <w:rsid w:val="00C502A5"/>
    <w:rsid w:val="00C51078"/>
    <w:rsid w:val="00C521F7"/>
    <w:rsid w:val="00C52CB9"/>
    <w:rsid w:val="00C53008"/>
    <w:rsid w:val="00C55151"/>
    <w:rsid w:val="00C558FF"/>
    <w:rsid w:val="00C55FB3"/>
    <w:rsid w:val="00C560FA"/>
    <w:rsid w:val="00C570C5"/>
    <w:rsid w:val="00C57FF9"/>
    <w:rsid w:val="00C61FD1"/>
    <w:rsid w:val="00C6305F"/>
    <w:rsid w:val="00C6425F"/>
    <w:rsid w:val="00C64434"/>
    <w:rsid w:val="00C659E5"/>
    <w:rsid w:val="00C65F77"/>
    <w:rsid w:val="00C7063C"/>
    <w:rsid w:val="00C72408"/>
    <w:rsid w:val="00C73C57"/>
    <w:rsid w:val="00C74101"/>
    <w:rsid w:val="00C74D43"/>
    <w:rsid w:val="00C75CA7"/>
    <w:rsid w:val="00C766D6"/>
    <w:rsid w:val="00C76FCF"/>
    <w:rsid w:val="00C8079B"/>
    <w:rsid w:val="00C81C46"/>
    <w:rsid w:val="00C85675"/>
    <w:rsid w:val="00C85FBF"/>
    <w:rsid w:val="00C901BB"/>
    <w:rsid w:val="00C90CD3"/>
    <w:rsid w:val="00C92552"/>
    <w:rsid w:val="00C93F1B"/>
    <w:rsid w:val="00C976D1"/>
    <w:rsid w:val="00CA0E6B"/>
    <w:rsid w:val="00CA1FCA"/>
    <w:rsid w:val="00CA6131"/>
    <w:rsid w:val="00CA71D4"/>
    <w:rsid w:val="00CB1F3C"/>
    <w:rsid w:val="00CB2EC0"/>
    <w:rsid w:val="00CB34FC"/>
    <w:rsid w:val="00CB35C5"/>
    <w:rsid w:val="00CB4FC8"/>
    <w:rsid w:val="00CB5D29"/>
    <w:rsid w:val="00CB675A"/>
    <w:rsid w:val="00CB782B"/>
    <w:rsid w:val="00CC0E77"/>
    <w:rsid w:val="00CC110B"/>
    <w:rsid w:val="00CC1745"/>
    <w:rsid w:val="00CC2092"/>
    <w:rsid w:val="00CC302A"/>
    <w:rsid w:val="00CC5D85"/>
    <w:rsid w:val="00CC5E76"/>
    <w:rsid w:val="00CC765A"/>
    <w:rsid w:val="00CC7B01"/>
    <w:rsid w:val="00CD1526"/>
    <w:rsid w:val="00CD3A5D"/>
    <w:rsid w:val="00CD43BE"/>
    <w:rsid w:val="00CD5B96"/>
    <w:rsid w:val="00CD5FD4"/>
    <w:rsid w:val="00CE0DCE"/>
    <w:rsid w:val="00CE1B1E"/>
    <w:rsid w:val="00CE1BC9"/>
    <w:rsid w:val="00CE1DAA"/>
    <w:rsid w:val="00CE1FC5"/>
    <w:rsid w:val="00CE33C1"/>
    <w:rsid w:val="00CE372F"/>
    <w:rsid w:val="00CE3AFD"/>
    <w:rsid w:val="00CE4DD6"/>
    <w:rsid w:val="00CE692A"/>
    <w:rsid w:val="00CE76FF"/>
    <w:rsid w:val="00CF04CA"/>
    <w:rsid w:val="00CF1C93"/>
    <w:rsid w:val="00CF4012"/>
    <w:rsid w:val="00CF47FE"/>
    <w:rsid w:val="00CF5C25"/>
    <w:rsid w:val="00CF7AA3"/>
    <w:rsid w:val="00CF7F57"/>
    <w:rsid w:val="00D0002E"/>
    <w:rsid w:val="00D005C2"/>
    <w:rsid w:val="00D02BC6"/>
    <w:rsid w:val="00D0310D"/>
    <w:rsid w:val="00D03896"/>
    <w:rsid w:val="00D0541C"/>
    <w:rsid w:val="00D05803"/>
    <w:rsid w:val="00D05C7C"/>
    <w:rsid w:val="00D0672F"/>
    <w:rsid w:val="00D06906"/>
    <w:rsid w:val="00D07742"/>
    <w:rsid w:val="00D100AE"/>
    <w:rsid w:val="00D110D4"/>
    <w:rsid w:val="00D1276A"/>
    <w:rsid w:val="00D14186"/>
    <w:rsid w:val="00D142B7"/>
    <w:rsid w:val="00D14DB7"/>
    <w:rsid w:val="00D14E1A"/>
    <w:rsid w:val="00D15ED5"/>
    <w:rsid w:val="00D17761"/>
    <w:rsid w:val="00D20771"/>
    <w:rsid w:val="00D22B6A"/>
    <w:rsid w:val="00D23161"/>
    <w:rsid w:val="00D255CF"/>
    <w:rsid w:val="00D26B5D"/>
    <w:rsid w:val="00D319F1"/>
    <w:rsid w:val="00D348F7"/>
    <w:rsid w:val="00D351E9"/>
    <w:rsid w:val="00D36853"/>
    <w:rsid w:val="00D3703D"/>
    <w:rsid w:val="00D37ADF"/>
    <w:rsid w:val="00D37F2B"/>
    <w:rsid w:val="00D40BC3"/>
    <w:rsid w:val="00D422ED"/>
    <w:rsid w:val="00D434EC"/>
    <w:rsid w:val="00D4426C"/>
    <w:rsid w:val="00D444D0"/>
    <w:rsid w:val="00D44E9D"/>
    <w:rsid w:val="00D46E5C"/>
    <w:rsid w:val="00D472A7"/>
    <w:rsid w:val="00D5260C"/>
    <w:rsid w:val="00D5653C"/>
    <w:rsid w:val="00D56A36"/>
    <w:rsid w:val="00D56F37"/>
    <w:rsid w:val="00D56FEA"/>
    <w:rsid w:val="00D6187D"/>
    <w:rsid w:val="00D619B0"/>
    <w:rsid w:val="00D61A0E"/>
    <w:rsid w:val="00D65317"/>
    <w:rsid w:val="00D66CA3"/>
    <w:rsid w:val="00D7109B"/>
    <w:rsid w:val="00D717D8"/>
    <w:rsid w:val="00D71CF9"/>
    <w:rsid w:val="00D735AE"/>
    <w:rsid w:val="00D748E0"/>
    <w:rsid w:val="00D75FF9"/>
    <w:rsid w:val="00D77FCD"/>
    <w:rsid w:val="00D80ED6"/>
    <w:rsid w:val="00D80F9D"/>
    <w:rsid w:val="00D81BAE"/>
    <w:rsid w:val="00D822F1"/>
    <w:rsid w:val="00D83A82"/>
    <w:rsid w:val="00D849DD"/>
    <w:rsid w:val="00D84B17"/>
    <w:rsid w:val="00D8507D"/>
    <w:rsid w:val="00D86735"/>
    <w:rsid w:val="00D86C7D"/>
    <w:rsid w:val="00D8718E"/>
    <w:rsid w:val="00D871FB"/>
    <w:rsid w:val="00D87627"/>
    <w:rsid w:val="00D90C57"/>
    <w:rsid w:val="00D90C9D"/>
    <w:rsid w:val="00D90E57"/>
    <w:rsid w:val="00D91910"/>
    <w:rsid w:val="00D91AA8"/>
    <w:rsid w:val="00D944A6"/>
    <w:rsid w:val="00D94976"/>
    <w:rsid w:val="00D95958"/>
    <w:rsid w:val="00D95B92"/>
    <w:rsid w:val="00D95C7A"/>
    <w:rsid w:val="00D963EC"/>
    <w:rsid w:val="00D96BF1"/>
    <w:rsid w:val="00D96FC3"/>
    <w:rsid w:val="00DA0CA2"/>
    <w:rsid w:val="00DA12C3"/>
    <w:rsid w:val="00DA1E68"/>
    <w:rsid w:val="00DA234F"/>
    <w:rsid w:val="00DA2571"/>
    <w:rsid w:val="00DA3779"/>
    <w:rsid w:val="00DA45F0"/>
    <w:rsid w:val="00DA495D"/>
    <w:rsid w:val="00DA7980"/>
    <w:rsid w:val="00DA7BA0"/>
    <w:rsid w:val="00DB0995"/>
    <w:rsid w:val="00DB3C6E"/>
    <w:rsid w:val="00DB40F2"/>
    <w:rsid w:val="00DB469A"/>
    <w:rsid w:val="00DB52C3"/>
    <w:rsid w:val="00DB5DA3"/>
    <w:rsid w:val="00DB7E5F"/>
    <w:rsid w:val="00DC10B0"/>
    <w:rsid w:val="00DC1594"/>
    <w:rsid w:val="00DC1E80"/>
    <w:rsid w:val="00DC3DA9"/>
    <w:rsid w:val="00DC4BCD"/>
    <w:rsid w:val="00DC597C"/>
    <w:rsid w:val="00DC79C7"/>
    <w:rsid w:val="00DD0749"/>
    <w:rsid w:val="00DD0CC5"/>
    <w:rsid w:val="00DD1107"/>
    <w:rsid w:val="00DD178F"/>
    <w:rsid w:val="00DD1FE4"/>
    <w:rsid w:val="00DD3E5D"/>
    <w:rsid w:val="00DD51B9"/>
    <w:rsid w:val="00DD5B27"/>
    <w:rsid w:val="00DD63D0"/>
    <w:rsid w:val="00DE01D8"/>
    <w:rsid w:val="00DE19F0"/>
    <w:rsid w:val="00DE21B3"/>
    <w:rsid w:val="00DE2847"/>
    <w:rsid w:val="00DE2966"/>
    <w:rsid w:val="00DE2D6C"/>
    <w:rsid w:val="00DE376D"/>
    <w:rsid w:val="00DE4107"/>
    <w:rsid w:val="00DE4258"/>
    <w:rsid w:val="00DE436F"/>
    <w:rsid w:val="00DF0B5E"/>
    <w:rsid w:val="00DF0ED5"/>
    <w:rsid w:val="00DF2BBE"/>
    <w:rsid w:val="00DF72D9"/>
    <w:rsid w:val="00DF7EC8"/>
    <w:rsid w:val="00E00D46"/>
    <w:rsid w:val="00E028ED"/>
    <w:rsid w:val="00E02A57"/>
    <w:rsid w:val="00E02C43"/>
    <w:rsid w:val="00E04660"/>
    <w:rsid w:val="00E04BA2"/>
    <w:rsid w:val="00E0542B"/>
    <w:rsid w:val="00E104F6"/>
    <w:rsid w:val="00E10748"/>
    <w:rsid w:val="00E1094C"/>
    <w:rsid w:val="00E1100F"/>
    <w:rsid w:val="00E12F57"/>
    <w:rsid w:val="00E134D7"/>
    <w:rsid w:val="00E14282"/>
    <w:rsid w:val="00E17ABD"/>
    <w:rsid w:val="00E200BA"/>
    <w:rsid w:val="00E211BC"/>
    <w:rsid w:val="00E2346B"/>
    <w:rsid w:val="00E25614"/>
    <w:rsid w:val="00E27DDF"/>
    <w:rsid w:val="00E27E01"/>
    <w:rsid w:val="00E30A90"/>
    <w:rsid w:val="00E327C3"/>
    <w:rsid w:val="00E32DBA"/>
    <w:rsid w:val="00E33CA0"/>
    <w:rsid w:val="00E350F4"/>
    <w:rsid w:val="00E37DA3"/>
    <w:rsid w:val="00E4249F"/>
    <w:rsid w:val="00E43469"/>
    <w:rsid w:val="00E445DA"/>
    <w:rsid w:val="00E45379"/>
    <w:rsid w:val="00E45C35"/>
    <w:rsid w:val="00E50223"/>
    <w:rsid w:val="00E50B22"/>
    <w:rsid w:val="00E50C4F"/>
    <w:rsid w:val="00E51E18"/>
    <w:rsid w:val="00E525EF"/>
    <w:rsid w:val="00E527EE"/>
    <w:rsid w:val="00E533BD"/>
    <w:rsid w:val="00E53706"/>
    <w:rsid w:val="00E55D55"/>
    <w:rsid w:val="00E5664A"/>
    <w:rsid w:val="00E567AD"/>
    <w:rsid w:val="00E573C6"/>
    <w:rsid w:val="00E57CE2"/>
    <w:rsid w:val="00E601A9"/>
    <w:rsid w:val="00E61343"/>
    <w:rsid w:val="00E613BA"/>
    <w:rsid w:val="00E617BD"/>
    <w:rsid w:val="00E618D9"/>
    <w:rsid w:val="00E6325C"/>
    <w:rsid w:val="00E642E7"/>
    <w:rsid w:val="00E65C14"/>
    <w:rsid w:val="00E67B7B"/>
    <w:rsid w:val="00E70503"/>
    <w:rsid w:val="00E705B4"/>
    <w:rsid w:val="00E70BBB"/>
    <w:rsid w:val="00E713BD"/>
    <w:rsid w:val="00E72967"/>
    <w:rsid w:val="00E72A19"/>
    <w:rsid w:val="00E742BE"/>
    <w:rsid w:val="00E74768"/>
    <w:rsid w:val="00E759B2"/>
    <w:rsid w:val="00E770B3"/>
    <w:rsid w:val="00E804F0"/>
    <w:rsid w:val="00E80F4C"/>
    <w:rsid w:val="00E8155D"/>
    <w:rsid w:val="00E829A2"/>
    <w:rsid w:val="00E8409D"/>
    <w:rsid w:val="00E860DE"/>
    <w:rsid w:val="00E86361"/>
    <w:rsid w:val="00E90C37"/>
    <w:rsid w:val="00E90EB9"/>
    <w:rsid w:val="00E9148C"/>
    <w:rsid w:val="00E96B60"/>
    <w:rsid w:val="00E974DE"/>
    <w:rsid w:val="00EA0A82"/>
    <w:rsid w:val="00EA0E04"/>
    <w:rsid w:val="00EA1E39"/>
    <w:rsid w:val="00EA220D"/>
    <w:rsid w:val="00EA3156"/>
    <w:rsid w:val="00EA39C8"/>
    <w:rsid w:val="00EA40A2"/>
    <w:rsid w:val="00EA4CD5"/>
    <w:rsid w:val="00EA5D2C"/>
    <w:rsid w:val="00EA5D8E"/>
    <w:rsid w:val="00EA68DA"/>
    <w:rsid w:val="00EB07CF"/>
    <w:rsid w:val="00EB092D"/>
    <w:rsid w:val="00EB0E0D"/>
    <w:rsid w:val="00EB13FC"/>
    <w:rsid w:val="00EB3B88"/>
    <w:rsid w:val="00EC1DA8"/>
    <w:rsid w:val="00EC3B8F"/>
    <w:rsid w:val="00EC5CA0"/>
    <w:rsid w:val="00EC7372"/>
    <w:rsid w:val="00EC763F"/>
    <w:rsid w:val="00EC7D8B"/>
    <w:rsid w:val="00ED1995"/>
    <w:rsid w:val="00ED2844"/>
    <w:rsid w:val="00ED30E8"/>
    <w:rsid w:val="00ED3B69"/>
    <w:rsid w:val="00ED48BE"/>
    <w:rsid w:val="00ED6CD1"/>
    <w:rsid w:val="00EE18E6"/>
    <w:rsid w:val="00EE3548"/>
    <w:rsid w:val="00EE5F2E"/>
    <w:rsid w:val="00EE693B"/>
    <w:rsid w:val="00EE6B2A"/>
    <w:rsid w:val="00EE783F"/>
    <w:rsid w:val="00EE7C15"/>
    <w:rsid w:val="00EF045F"/>
    <w:rsid w:val="00EF098E"/>
    <w:rsid w:val="00EF0CCC"/>
    <w:rsid w:val="00EF4A64"/>
    <w:rsid w:val="00EF4D79"/>
    <w:rsid w:val="00EF7891"/>
    <w:rsid w:val="00F00407"/>
    <w:rsid w:val="00F006EA"/>
    <w:rsid w:val="00F02171"/>
    <w:rsid w:val="00F033EF"/>
    <w:rsid w:val="00F04077"/>
    <w:rsid w:val="00F061A6"/>
    <w:rsid w:val="00F102E8"/>
    <w:rsid w:val="00F107AF"/>
    <w:rsid w:val="00F11AB3"/>
    <w:rsid w:val="00F129C0"/>
    <w:rsid w:val="00F12DD0"/>
    <w:rsid w:val="00F15D77"/>
    <w:rsid w:val="00F16C35"/>
    <w:rsid w:val="00F17D75"/>
    <w:rsid w:val="00F20633"/>
    <w:rsid w:val="00F218DA"/>
    <w:rsid w:val="00F23E81"/>
    <w:rsid w:val="00F254BE"/>
    <w:rsid w:val="00F25CFE"/>
    <w:rsid w:val="00F260F1"/>
    <w:rsid w:val="00F3060F"/>
    <w:rsid w:val="00F32886"/>
    <w:rsid w:val="00F35243"/>
    <w:rsid w:val="00F4018F"/>
    <w:rsid w:val="00F41030"/>
    <w:rsid w:val="00F426A8"/>
    <w:rsid w:val="00F43E6E"/>
    <w:rsid w:val="00F44363"/>
    <w:rsid w:val="00F44423"/>
    <w:rsid w:val="00F454DD"/>
    <w:rsid w:val="00F469B3"/>
    <w:rsid w:val="00F51236"/>
    <w:rsid w:val="00F5374C"/>
    <w:rsid w:val="00F53BD4"/>
    <w:rsid w:val="00F541B8"/>
    <w:rsid w:val="00F56CC2"/>
    <w:rsid w:val="00F56E6F"/>
    <w:rsid w:val="00F574B7"/>
    <w:rsid w:val="00F60BC0"/>
    <w:rsid w:val="00F61B7F"/>
    <w:rsid w:val="00F62370"/>
    <w:rsid w:val="00F623F3"/>
    <w:rsid w:val="00F628D3"/>
    <w:rsid w:val="00F6497E"/>
    <w:rsid w:val="00F677E2"/>
    <w:rsid w:val="00F67C16"/>
    <w:rsid w:val="00F724D5"/>
    <w:rsid w:val="00F7342F"/>
    <w:rsid w:val="00F73751"/>
    <w:rsid w:val="00F75EAD"/>
    <w:rsid w:val="00F77154"/>
    <w:rsid w:val="00F80F33"/>
    <w:rsid w:val="00F82637"/>
    <w:rsid w:val="00F846D6"/>
    <w:rsid w:val="00F85441"/>
    <w:rsid w:val="00F86926"/>
    <w:rsid w:val="00F906D2"/>
    <w:rsid w:val="00F9173A"/>
    <w:rsid w:val="00F91800"/>
    <w:rsid w:val="00F94E99"/>
    <w:rsid w:val="00F95F79"/>
    <w:rsid w:val="00F9650A"/>
    <w:rsid w:val="00F965BB"/>
    <w:rsid w:val="00F967C7"/>
    <w:rsid w:val="00F96908"/>
    <w:rsid w:val="00FA0437"/>
    <w:rsid w:val="00FA16EC"/>
    <w:rsid w:val="00FA233F"/>
    <w:rsid w:val="00FA2E05"/>
    <w:rsid w:val="00FA2E5F"/>
    <w:rsid w:val="00FA3072"/>
    <w:rsid w:val="00FA3E48"/>
    <w:rsid w:val="00FA7D57"/>
    <w:rsid w:val="00FB0008"/>
    <w:rsid w:val="00FB05B2"/>
    <w:rsid w:val="00FB071C"/>
    <w:rsid w:val="00FB3EA0"/>
    <w:rsid w:val="00FB4127"/>
    <w:rsid w:val="00FB474B"/>
    <w:rsid w:val="00FB55F4"/>
    <w:rsid w:val="00FB6B37"/>
    <w:rsid w:val="00FC0B63"/>
    <w:rsid w:val="00FC1A4F"/>
    <w:rsid w:val="00FC2209"/>
    <w:rsid w:val="00FC2F84"/>
    <w:rsid w:val="00FC3860"/>
    <w:rsid w:val="00FC44B0"/>
    <w:rsid w:val="00FC7531"/>
    <w:rsid w:val="00FC7EAA"/>
    <w:rsid w:val="00FD4B62"/>
    <w:rsid w:val="00FD4FA5"/>
    <w:rsid w:val="00FD5166"/>
    <w:rsid w:val="00FE25DD"/>
    <w:rsid w:val="00FE46AD"/>
    <w:rsid w:val="00FE5410"/>
    <w:rsid w:val="00FF0CC0"/>
    <w:rsid w:val="00FF2CDD"/>
    <w:rsid w:val="00FF2D44"/>
    <w:rsid w:val="00FF456A"/>
    <w:rsid w:val="00FF6204"/>
    <w:rsid w:val="00FF62CB"/>
    <w:rsid w:val="00FF634D"/>
    <w:rsid w:val="00FF6BDF"/>
    <w:rsid w:val="00FF6D25"/>
    <w:rsid w:val="00FF729D"/>
    <w:rsid w:val="00FF7C50"/>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2747B373"/>
  <w15:docId w15:val="{FA552F13-AD2F-4BC5-B7AB-02F2B04DE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EE5"/>
    <w:pPr>
      <w:spacing w:line="256" w:lineRule="auto"/>
      <w:jc w:val="both"/>
    </w:pPr>
    <w:rPr>
      <w:rFonts w:ascii="Palatino Linotype" w:eastAsia="Calibri" w:hAnsi="Palatino Linotype" w:cs="Times New Roman"/>
      <w:color w:val="000000" w:themeColor="text1"/>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iPriority w:val="99"/>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hAnsi="Calibri"/>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5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Mencinsinresolver1">
    <w:name w:val="Mención sin resolver1"/>
    <w:basedOn w:val="Fuentedeprrafopredeter"/>
    <w:uiPriority w:val="99"/>
    <w:semiHidden/>
    <w:unhideWhenUsed/>
    <w:rsid w:val="00044C31"/>
    <w:rPr>
      <w:color w:val="605E5C"/>
      <w:shd w:val="clear" w:color="auto" w:fill="E1DFDD"/>
    </w:rPr>
  </w:style>
  <w:style w:type="table" w:customStyle="1" w:styleId="Tablaconcuadrcula1">
    <w:name w:val="Tabla con cuadrícula1"/>
    <w:basedOn w:val="Tablanormal"/>
    <w:next w:val="Tablaconcuadrcula"/>
    <w:uiPriority w:val="39"/>
    <w:rsid w:val="00C6425F"/>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1223E5"/>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6841C2"/>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B227BD"/>
    <w:rPr>
      <w:color w:val="605E5C"/>
      <w:shd w:val="clear" w:color="auto" w:fill="E1DFDD"/>
    </w:rPr>
  </w:style>
  <w:style w:type="table" w:customStyle="1" w:styleId="Tablaconcuadrcula4">
    <w:name w:val="Tabla con cuadrícula4"/>
    <w:basedOn w:val="Tablanormal"/>
    <w:next w:val="Tablaconcuadrcula"/>
    <w:uiPriority w:val="59"/>
    <w:rsid w:val="009916A6"/>
    <w:pPr>
      <w:spacing w:after="0" w:line="240" w:lineRule="auto"/>
    </w:pPr>
    <w:rPr>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3">
    <w:name w:val="Mención sin resolver3"/>
    <w:basedOn w:val="Fuentedeprrafopredeter"/>
    <w:uiPriority w:val="99"/>
    <w:semiHidden/>
    <w:unhideWhenUsed/>
    <w:rsid w:val="00EC1DA8"/>
    <w:rPr>
      <w:color w:val="605E5C"/>
      <w:shd w:val="clear" w:color="auto" w:fill="E1DFDD"/>
    </w:rPr>
  </w:style>
  <w:style w:type="character" w:customStyle="1" w:styleId="Mencinsinresolver4">
    <w:name w:val="Mención sin resolver4"/>
    <w:basedOn w:val="Fuentedeprrafopredeter"/>
    <w:uiPriority w:val="99"/>
    <w:semiHidden/>
    <w:unhideWhenUsed/>
    <w:rsid w:val="00B956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27294657">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158204">
      <w:bodyDiv w:val="1"/>
      <w:marLeft w:val="0"/>
      <w:marRight w:val="0"/>
      <w:marTop w:val="0"/>
      <w:marBottom w:val="0"/>
      <w:divBdr>
        <w:top w:val="none" w:sz="0" w:space="0" w:color="auto"/>
        <w:left w:val="none" w:sz="0" w:space="0" w:color="auto"/>
        <w:bottom w:val="none" w:sz="0" w:space="0" w:color="auto"/>
        <w:right w:val="none" w:sz="0" w:space="0" w:color="auto"/>
      </w:divBdr>
    </w:div>
    <w:div w:id="68844203">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89475392">
      <w:bodyDiv w:val="1"/>
      <w:marLeft w:val="0"/>
      <w:marRight w:val="0"/>
      <w:marTop w:val="0"/>
      <w:marBottom w:val="0"/>
      <w:divBdr>
        <w:top w:val="none" w:sz="0" w:space="0" w:color="auto"/>
        <w:left w:val="none" w:sz="0" w:space="0" w:color="auto"/>
        <w:bottom w:val="none" w:sz="0" w:space="0" w:color="auto"/>
        <w:right w:val="none" w:sz="0" w:space="0" w:color="auto"/>
      </w:divBdr>
    </w:div>
    <w:div w:id="116606140">
      <w:bodyDiv w:val="1"/>
      <w:marLeft w:val="0"/>
      <w:marRight w:val="0"/>
      <w:marTop w:val="0"/>
      <w:marBottom w:val="0"/>
      <w:divBdr>
        <w:top w:val="none" w:sz="0" w:space="0" w:color="auto"/>
        <w:left w:val="none" w:sz="0" w:space="0" w:color="auto"/>
        <w:bottom w:val="none" w:sz="0" w:space="0" w:color="auto"/>
        <w:right w:val="none" w:sz="0" w:space="0" w:color="auto"/>
      </w:divBdr>
    </w:div>
    <w:div w:id="118106263">
      <w:bodyDiv w:val="1"/>
      <w:marLeft w:val="0"/>
      <w:marRight w:val="0"/>
      <w:marTop w:val="0"/>
      <w:marBottom w:val="0"/>
      <w:divBdr>
        <w:top w:val="none" w:sz="0" w:space="0" w:color="auto"/>
        <w:left w:val="none" w:sz="0" w:space="0" w:color="auto"/>
        <w:bottom w:val="none" w:sz="0" w:space="0" w:color="auto"/>
        <w:right w:val="none" w:sz="0" w:space="0" w:color="auto"/>
      </w:divBdr>
    </w:div>
    <w:div w:id="122045785">
      <w:bodyDiv w:val="1"/>
      <w:marLeft w:val="0"/>
      <w:marRight w:val="0"/>
      <w:marTop w:val="0"/>
      <w:marBottom w:val="0"/>
      <w:divBdr>
        <w:top w:val="none" w:sz="0" w:space="0" w:color="auto"/>
        <w:left w:val="none" w:sz="0" w:space="0" w:color="auto"/>
        <w:bottom w:val="none" w:sz="0" w:space="0" w:color="auto"/>
        <w:right w:val="none" w:sz="0" w:space="0" w:color="auto"/>
      </w:divBdr>
    </w:div>
    <w:div w:id="142547455">
      <w:bodyDiv w:val="1"/>
      <w:marLeft w:val="0"/>
      <w:marRight w:val="0"/>
      <w:marTop w:val="0"/>
      <w:marBottom w:val="0"/>
      <w:divBdr>
        <w:top w:val="none" w:sz="0" w:space="0" w:color="auto"/>
        <w:left w:val="none" w:sz="0" w:space="0" w:color="auto"/>
        <w:bottom w:val="none" w:sz="0" w:space="0" w:color="auto"/>
        <w:right w:val="none" w:sz="0" w:space="0" w:color="auto"/>
      </w:divBdr>
    </w:div>
    <w:div w:id="166336764">
      <w:bodyDiv w:val="1"/>
      <w:marLeft w:val="0"/>
      <w:marRight w:val="0"/>
      <w:marTop w:val="0"/>
      <w:marBottom w:val="0"/>
      <w:divBdr>
        <w:top w:val="none" w:sz="0" w:space="0" w:color="auto"/>
        <w:left w:val="none" w:sz="0" w:space="0" w:color="auto"/>
        <w:bottom w:val="none" w:sz="0" w:space="0" w:color="auto"/>
        <w:right w:val="none" w:sz="0" w:space="0" w:color="auto"/>
      </w:divBdr>
      <w:divsChild>
        <w:div w:id="587348187">
          <w:marLeft w:val="0"/>
          <w:marRight w:val="0"/>
          <w:marTop w:val="0"/>
          <w:marBottom w:val="0"/>
          <w:divBdr>
            <w:top w:val="none" w:sz="0" w:space="0" w:color="auto"/>
            <w:left w:val="none" w:sz="0" w:space="0" w:color="auto"/>
            <w:bottom w:val="none" w:sz="0" w:space="0" w:color="auto"/>
            <w:right w:val="none" w:sz="0" w:space="0" w:color="auto"/>
          </w:divBdr>
        </w:div>
        <w:div w:id="854686728">
          <w:marLeft w:val="0"/>
          <w:marRight w:val="0"/>
          <w:marTop w:val="0"/>
          <w:marBottom w:val="0"/>
          <w:divBdr>
            <w:top w:val="none" w:sz="0" w:space="0" w:color="auto"/>
            <w:left w:val="none" w:sz="0" w:space="0" w:color="auto"/>
            <w:bottom w:val="none" w:sz="0" w:space="0" w:color="auto"/>
            <w:right w:val="none" w:sz="0" w:space="0" w:color="auto"/>
          </w:divBdr>
        </w:div>
        <w:div w:id="2005014136">
          <w:marLeft w:val="0"/>
          <w:marRight w:val="0"/>
          <w:marTop w:val="0"/>
          <w:marBottom w:val="0"/>
          <w:divBdr>
            <w:top w:val="none" w:sz="0" w:space="0" w:color="auto"/>
            <w:left w:val="none" w:sz="0" w:space="0" w:color="auto"/>
            <w:bottom w:val="none" w:sz="0" w:space="0" w:color="auto"/>
            <w:right w:val="none" w:sz="0" w:space="0" w:color="auto"/>
          </w:divBdr>
        </w:div>
      </w:divsChild>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90993073">
      <w:bodyDiv w:val="1"/>
      <w:marLeft w:val="0"/>
      <w:marRight w:val="0"/>
      <w:marTop w:val="0"/>
      <w:marBottom w:val="0"/>
      <w:divBdr>
        <w:top w:val="none" w:sz="0" w:space="0" w:color="auto"/>
        <w:left w:val="none" w:sz="0" w:space="0" w:color="auto"/>
        <w:bottom w:val="none" w:sz="0" w:space="0" w:color="auto"/>
        <w:right w:val="none" w:sz="0" w:space="0" w:color="auto"/>
      </w:divBdr>
    </w:div>
    <w:div w:id="211426552">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49704439">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92323323">
      <w:bodyDiv w:val="1"/>
      <w:marLeft w:val="0"/>
      <w:marRight w:val="0"/>
      <w:marTop w:val="0"/>
      <w:marBottom w:val="0"/>
      <w:divBdr>
        <w:top w:val="none" w:sz="0" w:space="0" w:color="auto"/>
        <w:left w:val="none" w:sz="0" w:space="0" w:color="auto"/>
        <w:bottom w:val="none" w:sz="0" w:space="0" w:color="auto"/>
        <w:right w:val="none" w:sz="0" w:space="0" w:color="auto"/>
      </w:divBdr>
    </w:div>
    <w:div w:id="296646360">
      <w:bodyDiv w:val="1"/>
      <w:marLeft w:val="0"/>
      <w:marRight w:val="0"/>
      <w:marTop w:val="0"/>
      <w:marBottom w:val="0"/>
      <w:divBdr>
        <w:top w:val="none" w:sz="0" w:space="0" w:color="auto"/>
        <w:left w:val="none" w:sz="0" w:space="0" w:color="auto"/>
        <w:bottom w:val="none" w:sz="0" w:space="0" w:color="auto"/>
        <w:right w:val="none" w:sz="0" w:space="0" w:color="auto"/>
      </w:divBdr>
    </w:div>
    <w:div w:id="297028227">
      <w:bodyDiv w:val="1"/>
      <w:marLeft w:val="0"/>
      <w:marRight w:val="0"/>
      <w:marTop w:val="0"/>
      <w:marBottom w:val="0"/>
      <w:divBdr>
        <w:top w:val="none" w:sz="0" w:space="0" w:color="auto"/>
        <w:left w:val="none" w:sz="0" w:space="0" w:color="auto"/>
        <w:bottom w:val="none" w:sz="0" w:space="0" w:color="auto"/>
        <w:right w:val="none" w:sz="0" w:space="0" w:color="auto"/>
      </w:divBdr>
    </w:div>
    <w:div w:id="310838792">
      <w:bodyDiv w:val="1"/>
      <w:marLeft w:val="0"/>
      <w:marRight w:val="0"/>
      <w:marTop w:val="0"/>
      <w:marBottom w:val="0"/>
      <w:divBdr>
        <w:top w:val="none" w:sz="0" w:space="0" w:color="auto"/>
        <w:left w:val="none" w:sz="0" w:space="0" w:color="auto"/>
        <w:bottom w:val="none" w:sz="0" w:space="0" w:color="auto"/>
        <w:right w:val="none" w:sz="0" w:space="0" w:color="auto"/>
      </w:divBdr>
    </w:div>
    <w:div w:id="326835336">
      <w:bodyDiv w:val="1"/>
      <w:marLeft w:val="0"/>
      <w:marRight w:val="0"/>
      <w:marTop w:val="0"/>
      <w:marBottom w:val="0"/>
      <w:divBdr>
        <w:top w:val="none" w:sz="0" w:space="0" w:color="auto"/>
        <w:left w:val="none" w:sz="0" w:space="0" w:color="auto"/>
        <w:bottom w:val="none" w:sz="0" w:space="0" w:color="auto"/>
        <w:right w:val="none" w:sz="0" w:space="0" w:color="auto"/>
      </w:divBdr>
    </w:div>
    <w:div w:id="335034988">
      <w:bodyDiv w:val="1"/>
      <w:marLeft w:val="0"/>
      <w:marRight w:val="0"/>
      <w:marTop w:val="0"/>
      <w:marBottom w:val="0"/>
      <w:divBdr>
        <w:top w:val="none" w:sz="0" w:space="0" w:color="auto"/>
        <w:left w:val="none" w:sz="0" w:space="0" w:color="auto"/>
        <w:bottom w:val="none" w:sz="0" w:space="0" w:color="auto"/>
        <w:right w:val="none" w:sz="0" w:space="0" w:color="auto"/>
      </w:divBdr>
      <w:divsChild>
        <w:div w:id="403600714">
          <w:marLeft w:val="0"/>
          <w:marRight w:val="0"/>
          <w:marTop w:val="0"/>
          <w:marBottom w:val="0"/>
          <w:divBdr>
            <w:top w:val="none" w:sz="0" w:space="0" w:color="auto"/>
            <w:left w:val="none" w:sz="0" w:space="0" w:color="auto"/>
            <w:bottom w:val="none" w:sz="0" w:space="0" w:color="auto"/>
            <w:right w:val="none" w:sz="0" w:space="0" w:color="auto"/>
          </w:divBdr>
        </w:div>
        <w:div w:id="905533049">
          <w:marLeft w:val="0"/>
          <w:marRight w:val="0"/>
          <w:marTop w:val="0"/>
          <w:marBottom w:val="0"/>
          <w:divBdr>
            <w:top w:val="none" w:sz="0" w:space="0" w:color="auto"/>
            <w:left w:val="none" w:sz="0" w:space="0" w:color="auto"/>
            <w:bottom w:val="none" w:sz="0" w:space="0" w:color="auto"/>
            <w:right w:val="none" w:sz="0" w:space="0" w:color="auto"/>
          </w:divBdr>
        </w:div>
        <w:div w:id="935407176">
          <w:marLeft w:val="0"/>
          <w:marRight w:val="0"/>
          <w:marTop w:val="0"/>
          <w:marBottom w:val="0"/>
          <w:divBdr>
            <w:top w:val="none" w:sz="0" w:space="0" w:color="auto"/>
            <w:left w:val="none" w:sz="0" w:space="0" w:color="auto"/>
            <w:bottom w:val="none" w:sz="0" w:space="0" w:color="auto"/>
            <w:right w:val="none" w:sz="0" w:space="0" w:color="auto"/>
          </w:divBdr>
        </w:div>
        <w:div w:id="1375617587">
          <w:marLeft w:val="0"/>
          <w:marRight w:val="0"/>
          <w:marTop w:val="0"/>
          <w:marBottom w:val="0"/>
          <w:divBdr>
            <w:top w:val="none" w:sz="0" w:space="0" w:color="auto"/>
            <w:left w:val="none" w:sz="0" w:space="0" w:color="auto"/>
            <w:bottom w:val="none" w:sz="0" w:space="0" w:color="auto"/>
            <w:right w:val="none" w:sz="0" w:space="0" w:color="auto"/>
          </w:divBdr>
        </w:div>
      </w:divsChild>
    </w:div>
    <w:div w:id="341590908">
      <w:bodyDiv w:val="1"/>
      <w:marLeft w:val="0"/>
      <w:marRight w:val="0"/>
      <w:marTop w:val="0"/>
      <w:marBottom w:val="0"/>
      <w:divBdr>
        <w:top w:val="none" w:sz="0" w:space="0" w:color="auto"/>
        <w:left w:val="none" w:sz="0" w:space="0" w:color="auto"/>
        <w:bottom w:val="none" w:sz="0" w:space="0" w:color="auto"/>
        <w:right w:val="none" w:sz="0" w:space="0" w:color="auto"/>
      </w:divBdr>
      <w:divsChild>
        <w:div w:id="356124260">
          <w:marLeft w:val="0"/>
          <w:marRight w:val="0"/>
          <w:marTop w:val="0"/>
          <w:marBottom w:val="0"/>
          <w:divBdr>
            <w:top w:val="none" w:sz="0" w:space="0" w:color="auto"/>
            <w:left w:val="none" w:sz="0" w:space="0" w:color="auto"/>
            <w:bottom w:val="none" w:sz="0" w:space="0" w:color="auto"/>
            <w:right w:val="none" w:sz="0" w:space="0" w:color="auto"/>
          </w:divBdr>
        </w:div>
        <w:div w:id="366953804">
          <w:marLeft w:val="0"/>
          <w:marRight w:val="0"/>
          <w:marTop w:val="0"/>
          <w:marBottom w:val="0"/>
          <w:divBdr>
            <w:top w:val="none" w:sz="0" w:space="0" w:color="auto"/>
            <w:left w:val="none" w:sz="0" w:space="0" w:color="auto"/>
            <w:bottom w:val="none" w:sz="0" w:space="0" w:color="auto"/>
            <w:right w:val="none" w:sz="0" w:space="0" w:color="auto"/>
          </w:divBdr>
        </w:div>
        <w:div w:id="557520594">
          <w:marLeft w:val="0"/>
          <w:marRight w:val="0"/>
          <w:marTop w:val="0"/>
          <w:marBottom w:val="0"/>
          <w:divBdr>
            <w:top w:val="none" w:sz="0" w:space="0" w:color="auto"/>
            <w:left w:val="none" w:sz="0" w:space="0" w:color="auto"/>
            <w:bottom w:val="none" w:sz="0" w:space="0" w:color="auto"/>
            <w:right w:val="none" w:sz="0" w:space="0" w:color="auto"/>
          </w:divBdr>
        </w:div>
      </w:divsChild>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53596978">
      <w:bodyDiv w:val="1"/>
      <w:marLeft w:val="0"/>
      <w:marRight w:val="0"/>
      <w:marTop w:val="0"/>
      <w:marBottom w:val="0"/>
      <w:divBdr>
        <w:top w:val="none" w:sz="0" w:space="0" w:color="auto"/>
        <w:left w:val="none" w:sz="0" w:space="0" w:color="auto"/>
        <w:bottom w:val="none" w:sz="0" w:space="0" w:color="auto"/>
        <w:right w:val="none" w:sz="0" w:space="0" w:color="auto"/>
      </w:divBdr>
    </w:div>
    <w:div w:id="463426680">
      <w:bodyDiv w:val="1"/>
      <w:marLeft w:val="0"/>
      <w:marRight w:val="0"/>
      <w:marTop w:val="0"/>
      <w:marBottom w:val="0"/>
      <w:divBdr>
        <w:top w:val="none" w:sz="0" w:space="0" w:color="auto"/>
        <w:left w:val="none" w:sz="0" w:space="0" w:color="auto"/>
        <w:bottom w:val="none" w:sz="0" w:space="0" w:color="auto"/>
        <w:right w:val="none" w:sz="0" w:space="0" w:color="auto"/>
      </w:divBdr>
    </w:div>
    <w:div w:id="472716913">
      <w:bodyDiv w:val="1"/>
      <w:marLeft w:val="0"/>
      <w:marRight w:val="0"/>
      <w:marTop w:val="0"/>
      <w:marBottom w:val="0"/>
      <w:divBdr>
        <w:top w:val="none" w:sz="0" w:space="0" w:color="auto"/>
        <w:left w:val="none" w:sz="0" w:space="0" w:color="auto"/>
        <w:bottom w:val="none" w:sz="0" w:space="0" w:color="auto"/>
        <w:right w:val="none" w:sz="0" w:space="0" w:color="auto"/>
      </w:divBdr>
    </w:div>
    <w:div w:id="474371887">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505292101">
      <w:bodyDiv w:val="1"/>
      <w:marLeft w:val="0"/>
      <w:marRight w:val="0"/>
      <w:marTop w:val="0"/>
      <w:marBottom w:val="0"/>
      <w:divBdr>
        <w:top w:val="none" w:sz="0" w:space="0" w:color="auto"/>
        <w:left w:val="none" w:sz="0" w:space="0" w:color="auto"/>
        <w:bottom w:val="none" w:sz="0" w:space="0" w:color="auto"/>
        <w:right w:val="none" w:sz="0" w:space="0" w:color="auto"/>
      </w:divBdr>
    </w:div>
    <w:div w:id="513229382">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26676769">
      <w:bodyDiv w:val="1"/>
      <w:marLeft w:val="0"/>
      <w:marRight w:val="0"/>
      <w:marTop w:val="0"/>
      <w:marBottom w:val="0"/>
      <w:divBdr>
        <w:top w:val="none" w:sz="0" w:space="0" w:color="auto"/>
        <w:left w:val="none" w:sz="0" w:space="0" w:color="auto"/>
        <w:bottom w:val="none" w:sz="0" w:space="0" w:color="auto"/>
        <w:right w:val="none" w:sz="0" w:space="0" w:color="auto"/>
      </w:divBdr>
    </w:div>
    <w:div w:id="543643945">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97299266">
      <w:bodyDiv w:val="1"/>
      <w:marLeft w:val="0"/>
      <w:marRight w:val="0"/>
      <w:marTop w:val="0"/>
      <w:marBottom w:val="0"/>
      <w:divBdr>
        <w:top w:val="none" w:sz="0" w:space="0" w:color="auto"/>
        <w:left w:val="none" w:sz="0" w:space="0" w:color="auto"/>
        <w:bottom w:val="none" w:sz="0" w:space="0" w:color="auto"/>
        <w:right w:val="none" w:sz="0" w:space="0" w:color="auto"/>
      </w:divBdr>
    </w:div>
    <w:div w:id="612715194">
      <w:bodyDiv w:val="1"/>
      <w:marLeft w:val="0"/>
      <w:marRight w:val="0"/>
      <w:marTop w:val="0"/>
      <w:marBottom w:val="0"/>
      <w:divBdr>
        <w:top w:val="none" w:sz="0" w:space="0" w:color="auto"/>
        <w:left w:val="none" w:sz="0" w:space="0" w:color="auto"/>
        <w:bottom w:val="none" w:sz="0" w:space="0" w:color="auto"/>
        <w:right w:val="none" w:sz="0" w:space="0" w:color="auto"/>
      </w:divBdr>
    </w:div>
    <w:div w:id="624311233">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39531374">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70568218">
      <w:bodyDiv w:val="1"/>
      <w:marLeft w:val="0"/>
      <w:marRight w:val="0"/>
      <w:marTop w:val="0"/>
      <w:marBottom w:val="0"/>
      <w:divBdr>
        <w:top w:val="none" w:sz="0" w:space="0" w:color="auto"/>
        <w:left w:val="none" w:sz="0" w:space="0" w:color="auto"/>
        <w:bottom w:val="none" w:sz="0" w:space="0" w:color="auto"/>
        <w:right w:val="none" w:sz="0" w:space="0" w:color="auto"/>
      </w:divBdr>
      <w:divsChild>
        <w:div w:id="85227439">
          <w:marLeft w:val="0"/>
          <w:marRight w:val="0"/>
          <w:marTop w:val="0"/>
          <w:marBottom w:val="0"/>
          <w:divBdr>
            <w:top w:val="none" w:sz="0" w:space="0" w:color="auto"/>
            <w:left w:val="none" w:sz="0" w:space="0" w:color="auto"/>
            <w:bottom w:val="none" w:sz="0" w:space="0" w:color="auto"/>
            <w:right w:val="none" w:sz="0" w:space="0" w:color="auto"/>
          </w:divBdr>
        </w:div>
        <w:div w:id="647710696">
          <w:marLeft w:val="0"/>
          <w:marRight w:val="0"/>
          <w:marTop w:val="0"/>
          <w:marBottom w:val="0"/>
          <w:divBdr>
            <w:top w:val="none" w:sz="0" w:space="0" w:color="auto"/>
            <w:left w:val="none" w:sz="0" w:space="0" w:color="auto"/>
            <w:bottom w:val="none" w:sz="0" w:space="0" w:color="auto"/>
            <w:right w:val="none" w:sz="0" w:space="0" w:color="auto"/>
          </w:divBdr>
        </w:div>
      </w:divsChild>
    </w:div>
    <w:div w:id="688877900">
      <w:bodyDiv w:val="1"/>
      <w:marLeft w:val="0"/>
      <w:marRight w:val="0"/>
      <w:marTop w:val="0"/>
      <w:marBottom w:val="0"/>
      <w:divBdr>
        <w:top w:val="none" w:sz="0" w:space="0" w:color="auto"/>
        <w:left w:val="none" w:sz="0" w:space="0" w:color="auto"/>
        <w:bottom w:val="none" w:sz="0" w:space="0" w:color="auto"/>
        <w:right w:val="none" w:sz="0" w:space="0" w:color="auto"/>
      </w:divBdr>
      <w:divsChild>
        <w:div w:id="743138670">
          <w:marLeft w:val="0"/>
          <w:marRight w:val="0"/>
          <w:marTop w:val="0"/>
          <w:marBottom w:val="0"/>
          <w:divBdr>
            <w:top w:val="none" w:sz="0" w:space="0" w:color="auto"/>
            <w:left w:val="none" w:sz="0" w:space="0" w:color="auto"/>
            <w:bottom w:val="none" w:sz="0" w:space="0" w:color="auto"/>
            <w:right w:val="none" w:sz="0" w:space="0" w:color="auto"/>
          </w:divBdr>
        </w:div>
        <w:div w:id="823813829">
          <w:marLeft w:val="0"/>
          <w:marRight w:val="0"/>
          <w:marTop w:val="0"/>
          <w:marBottom w:val="0"/>
          <w:divBdr>
            <w:top w:val="none" w:sz="0" w:space="0" w:color="auto"/>
            <w:left w:val="none" w:sz="0" w:space="0" w:color="auto"/>
            <w:bottom w:val="none" w:sz="0" w:space="0" w:color="auto"/>
            <w:right w:val="none" w:sz="0" w:space="0" w:color="auto"/>
          </w:divBdr>
        </w:div>
        <w:div w:id="1322735557">
          <w:marLeft w:val="0"/>
          <w:marRight w:val="0"/>
          <w:marTop w:val="0"/>
          <w:marBottom w:val="0"/>
          <w:divBdr>
            <w:top w:val="none" w:sz="0" w:space="0" w:color="auto"/>
            <w:left w:val="none" w:sz="0" w:space="0" w:color="auto"/>
            <w:bottom w:val="none" w:sz="0" w:space="0" w:color="auto"/>
            <w:right w:val="none" w:sz="0" w:space="0" w:color="auto"/>
          </w:divBdr>
        </w:div>
      </w:divsChild>
    </w:div>
    <w:div w:id="724719849">
      <w:bodyDiv w:val="1"/>
      <w:marLeft w:val="0"/>
      <w:marRight w:val="0"/>
      <w:marTop w:val="0"/>
      <w:marBottom w:val="0"/>
      <w:divBdr>
        <w:top w:val="none" w:sz="0" w:space="0" w:color="auto"/>
        <w:left w:val="none" w:sz="0" w:space="0" w:color="auto"/>
        <w:bottom w:val="none" w:sz="0" w:space="0" w:color="auto"/>
        <w:right w:val="none" w:sz="0" w:space="0" w:color="auto"/>
      </w:divBdr>
      <w:divsChild>
        <w:div w:id="787819438">
          <w:marLeft w:val="0"/>
          <w:marRight w:val="0"/>
          <w:marTop w:val="0"/>
          <w:marBottom w:val="0"/>
          <w:divBdr>
            <w:top w:val="none" w:sz="0" w:space="0" w:color="auto"/>
            <w:left w:val="none" w:sz="0" w:space="0" w:color="auto"/>
            <w:bottom w:val="none" w:sz="0" w:space="0" w:color="auto"/>
            <w:right w:val="none" w:sz="0" w:space="0" w:color="auto"/>
          </w:divBdr>
        </w:div>
        <w:div w:id="1339966543">
          <w:marLeft w:val="0"/>
          <w:marRight w:val="0"/>
          <w:marTop w:val="0"/>
          <w:marBottom w:val="0"/>
          <w:divBdr>
            <w:top w:val="none" w:sz="0" w:space="0" w:color="auto"/>
            <w:left w:val="none" w:sz="0" w:space="0" w:color="auto"/>
            <w:bottom w:val="none" w:sz="0" w:space="0" w:color="auto"/>
            <w:right w:val="none" w:sz="0" w:space="0" w:color="auto"/>
          </w:divBdr>
        </w:div>
        <w:div w:id="1918588258">
          <w:marLeft w:val="0"/>
          <w:marRight w:val="0"/>
          <w:marTop w:val="0"/>
          <w:marBottom w:val="0"/>
          <w:divBdr>
            <w:top w:val="none" w:sz="0" w:space="0" w:color="auto"/>
            <w:left w:val="none" w:sz="0" w:space="0" w:color="auto"/>
            <w:bottom w:val="none" w:sz="0" w:space="0" w:color="auto"/>
            <w:right w:val="none" w:sz="0" w:space="0" w:color="auto"/>
          </w:divBdr>
        </w:div>
      </w:divsChild>
    </w:div>
    <w:div w:id="730269046">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44958130">
      <w:bodyDiv w:val="1"/>
      <w:marLeft w:val="0"/>
      <w:marRight w:val="0"/>
      <w:marTop w:val="0"/>
      <w:marBottom w:val="0"/>
      <w:divBdr>
        <w:top w:val="none" w:sz="0" w:space="0" w:color="auto"/>
        <w:left w:val="none" w:sz="0" w:space="0" w:color="auto"/>
        <w:bottom w:val="none" w:sz="0" w:space="0" w:color="auto"/>
        <w:right w:val="none" w:sz="0" w:space="0" w:color="auto"/>
      </w:divBdr>
    </w:div>
    <w:div w:id="748119150">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56244238">
      <w:bodyDiv w:val="1"/>
      <w:marLeft w:val="0"/>
      <w:marRight w:val="0"/>
      <w:marTop w:val="0"/>
      <w:marBottom w:val="0"/>
      <w:divBdr>
        <w:top w:val="none" w:sz="0" w:space="0" w:color="auto"/>
        <w:left w:val="none" w:sz="0" w:space="0" w:color="auto"/>
        <w:bottom w:val="none" w:sz="0" w:space="0" w:color="auto"/>
        <w:right w:val="none" w:sz="0" w:space="0" w:color="auto"/>
      </w:divBdr>
    </w:div>
    <w:div w:id="791290048">
      <w:bodyDiv w:val="1"/>
      <w:marLeft w:val="0"/>
      <w:marRight w:val="0"/>
      <w:marTop w:val="0"/>
      <w:marBottom w:val="0"/>
      <w:divBdr>
        <w:top w:val="none" w:sz="0" w:space="0" w:color="auto"/>
        <w:left w:val="none" w:sz="0" w:space="0" w:color="auto"/>
        <w:bottom w:val="none" w:sz="0" w:space="0" w:color="auto"/>
        <w:right w:val="none" w:sz="0" w:space="0" w:color="auto"/>
      </w:divBdr>
    </w:div>
    <w:div w:id="794063146">
      <w:bodyDiv w:val="1"/>
      <w:marLeft w:val="0"/>
      <w:marRight w:val="0"/>
      <w:marTop w:val="0"/>
      <w:marBottom w:val="0"/>
      <w:divBdr>
        <w:top w:val="none" w:sz="0" w:space="0" w:color="auto"/>
        <w:left w:val="none" w:sz="0" w:space="0" w:color="auto"/>
        <w:bottom w:val="none" w:sz="0" w:space="0" w:color="auto"/>
        <w:right w:val="none" w:sz="0" w:space="0" w:color="auto"/>
      </w:divBdr>
    </w:div>
    <w:div w:id="79417782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18766114">
      <w:bodyDiv w:val="1"/>
      <w:marLeft w:val="0"/>
      <w:marRight w:val="0"/>
      <w:marTop w:val="0"/>
      <w:marBottom w:val="0"/>
      <w:divBdr>
        <w:top w:val="none" w:sz="0" w:space="0" w:color="auto"/>
        <w:left w:val="none" w:sz="0" w:space="0" w:color="auto"/>
        <w:bottom w:val="none" w:sz="0" w:space="0" w:color="auto"/>
        <w:right w:val="none" w:sz="0" w:space="0" w:color="auto"/>
      </w:divBdr>
    </w:div>
    <w:div w:id="827331454">
      <w:bodyDiv w:val="1"/>
      <w:marLeft w:val="0"/>
      <w:marRight w:val="0"/>
      <w:marTop w:val="0"/>
      <w:marBottom w:val="0"/>
      <w:divBdr>
        <w:top w:val="none" w:sz="0" w:space="0" w:color="auto"/>
        <w:left w:val="none" w:sz="0" w:space="0" w:color="auto"/>
        <w:bottom w:val="none" w:sz="0" w:space="0" w:color="auto"/>
        <w:right w:val="none" w:sz="0" w:space="0" w:color="auto"/>
      </w:divBdr>
    </w:div>
    <w:div w:id="877086262">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893273706">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09779081">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75334499">
      <w:bodyDiv w:val="1"/>
      <w:marLeft w:val="0"/>
      <w:marRight w:val="0"/>
      <w:marTop w:val="0"/>
      <w:marBottom w:val="0"/>
      <w:divBdr>
        <w:top w:val="none" w:sz="0" w:space="0" w:color="auto"/>
        <w:left w:val="none" w:sz="0" w:space="0" w:color="auto"/>
        <w:bottom w:val="none" w:sz="0" w:space="0" w:color="auto"/>
        <w:right w:val="none" w:sz="0" w:space="0" w:color="auto"/>
      </w:divBdr>
    </w:div>
    <w:div w:id="1024985646">
      <w:bodyDiv w:val="1"/>
      <w:marLeft w:val="0"/>
      <w:marRight w:val="0"/>
      <w:marTop w:val="0"/>
      <w:marBottom w:val="0"/>
      <w:divBdr>
        <w:top w:val="none" w:sz="0" w:space="0" w:color="auto"/>
        <w:left w:val="none" w:sz="0" w:space="0" w:color="auto"/>
        <w:bottom w:val="none" w:sz="0" w:space="0" w:color="auto"/>
        <w:right w:val="none" w:sz="0" w:space="0" w:color="auto"/>
      </w:divBdr>
    </w:div>
    <w:div w:id="1062825551">
      <w:bodyDiv w:val="1"/>
      <w:marLeft w:val="0"/>
      <w:marRight w:val="0"/>
      <w:marTop w:val="0"/>
      <w:marBottom w:val="0"/>
      <w:divBdr>
        <w:top w:val="none" w:sz="0" w:space="0" w:color="auto"/>
        <w:left w:val="none" w:sz="0" w:space="0" w:color="auto"/>
        <w:bottom w:val="none" w:sz="0" w:space="0" w:color="auto"/>
        <w:right w:val="none" w:sz="0" w:space="0" w:color="auto"/>
      </w:divBdr>
    </w:div>
    <w:div w:id="1074204964">
      <w:bodyDiv w:val="1"/>
      <w:marLeft w:val="0"/>
      <w:marRight w:val="0"/>
      <w:marTop w:val="0"/>
      <w:marBottom w:val="0"/>
      <w:divBdr>
        <w:top w:val="none" w:sz="0" w:space="0" w:color="auto"/>
        <w:left w:val="none" w:sz="0" w:space="0" w:color="auto"/>
        <w:bottom w:val="none" w:sz="0" w:space="0" w:color="auto"/>
        <w:right w:val="none" w:sz="0" w:space="0" w:color="auto"/>
      </w:divBdr>
    </w:div>
    <w:div w:id="1084760320">
      <w:bodyDiv w:val="1"/>
      <w:marLeft w:val="0"/>
      <w:marRight w:val="0"/>
      <w:marTop w:val="0"/>
      <w:marBottom w:val="0"/>
      <w:divBdr>
        <w:top w:val="none" w:sz="0" w:space="0" w:color="auto"/>
        <w:left w:val="none" w:sz="0" w:space="0" w:color="auto"/>
        <w:bottom w:val="none" w:sz="0" w:space="0" w:color="auto"/>
        <w:right w:val="none" w:sz="0" w:space="0" w:color="auto"/>
      </w:divBdr>
    </w:div>
    <w:div w:id="1108701271">
      <w:bodyDiv w:val="1"/>
      <w:marLeft w:val="0"/>
      <w:marRight w:val="0"/>
      <w:marTop w:val="0"/>
      <w:marBottom w:val="0"/>
      <w:divBdr>
        <w:top w:val="none" w:sz="0" w:space="0" w:color="auto"/>
        <w:left w:val="none" w:sz="0" w:space="0" w:color="auto"/>
        <w:bottom w:val="none" w:sz="0" w:space="0" w:color="auto"/>
        <w:right w:val="none" w:sz="0" w:space="0" w:color="auto"/>
      </w:divBdr>
    </w:div>
    <w:div w:id="1115366554">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69173898">
      <w:bodyDiv w:val="1"/>
      <w:marLeft w:val="0"/>
      <w:marRight w:val="0"/>
      <w:marTop w:val="0"/>
      <w:marBottom w:val="0"/>
      <w:divBdr>
        <w:top w:val="none" w:sz="0" w:space="0" w:color="auto"/>
        <w:left w:val="none" w:sz="0" w:space="0" w:color="auto"/>
        <w:bottom w:val="none" w:sz="0" w:space="0" w:color="auto"/>
        <w:right w:val="none" w:sz="0" w:space="0" w:color="auto"/>
      </w:divBdr>
    </w:div>
    <w:div w:id="1174954888">
      <w:bodyDiv w:val="1"/>
      <w:marLeft w:val="0"/>
      <w:marRight w:val="0"/>
      <w:marTop w:val="0"/>
      <w:marBottom w:val="0"/>
      <w:divBdr>
        <w:top w:val="none" w:sz="0" w:space="0" w:color="auto"/>
        <w:left w:val="none" w:sz="0" w:space="0" w:color="auto"/>
        <w:bottom w:val="none" w:sz="0" w:space="0" w:color="auto"/>
        <w:right w:val="none" w:sz="0" w:space="0" w:color="auto"/>
      </w:divBdr>
    </w:div>
    <w:div w:id="1224676557">
      <w:bodyDiv w:val="1"/>
      <w:marLeft w:val="0"/>
      <w:marRight w:val="0"/>
      <w:marTop w:val="0"/>
      <w:marBottom w:val="0"/>
      <w:divBdr>
        <w:top w:val="none" w:sz="0" w:space="0" w:color="auto"/>
        <w:left w:val="none" w:sz="0" w:space="0" w:color="auto"/>
        <w:bottom w:val="none" w:sz="0" w:space="0" w:color="auto"/>
        <w:right w:val="none" w:sz="0" w:space="0" w:color="auto"/>
      </w:divBdr>
      <w:divsChild>
        <w:div w:id="252471366">
          <w:marLeft w:val="0"/>
          <w:marRight w:val="0"/>
          <w:marTop w:val="0"/>
          <w:marBottom w:val="0"/>
          <w:divBdr>
            <w:top w:val="none" w:sz="0" w:space="0" w:color="auto"/>
            <w:left w:val="none" w:sz="0" w:space="0" w:color="auto"/>
            <w:bottom w:val="none" w:sz="0" w:space="0" w:color="auto"/>
            <w:right w:val="none" w:sz="0" w:space="0" w:color="auto"/>
          </w:divBdr>
        </w:div>
        <w:div w:id="680203027">
          <w:marLeft w:val="0"/>
          <w:marRight w:val="0"/>
          <w:marTop w:val="0"/>
          <w:marBottom w:val="0"/>
          <w:divBdr>
            <w:top w:val="none" w:sz="0" w:space="0" w:color="auto"/>
            <w:left w:val="none" w:sz="0" w:space="0" w:color="auto"/>
            <w:bottom w:val="none" w:sz="0" w:space="0" w:color="auto"/>
            <w:right w:val="none" w:sz="0" w:space="0" w:color="auto"/>
          </w:divBdr>
        </w:div>
        <w:div w:id="1860502793">
          <w:marLeft w:val="0"/>
          <w:marRight w:val="0"/>
          <w:marTop w:val="0"/>
          <w:marBottom w:val="0"/>
          <w:divBdr>
            <w:top w:val="none" w:sz="0" w:space="0" w:color="auto"/>
            <w:left w:val="none" w:sz="0" w:space="0" w:color="auto"/>
            <w:bottom w:val="none" w:sz="0" w:space="0" w:color="auto"/>
            <w:right w:val="none" w:sz="0" w:space="0" w:color="auto"/>
          </w:divBdr>
        </w:div>
      </w:divsChild>
    </w:div>
    <w:div w:id="1233933077">
      <w:bodyDiv w:val="1"/>
      <w:marLeft w:val="0"/>
      <w:marRight w:val="0"/>
      <w:marTop w:val="0"/>
      <w:marBottom w:val="0"/>
      <w:divBdr>
        <w:top w:val="none" w:sz="0" w:space="0" w:color="auto"/>
        <w:left w:val="none" w:sz="0" w:space="0" w:color="auto"/>
        <w:bottom w:val="none" w:sz="0" w:space="0" w:color="auto"/>
        <w:right w:val="none" w:sz="0" w:space="0" w:color="auto"/>
      </w:divBdr>
    </w:div>
    <w:div w:id="1269968193">
      <w:bodyDiv w:val="1"/>
      <w:marLeft w:val="0"/>
      <w:marRight w:val="0"/>
      <w:marTop w:val="0"/>
      <w:marBottom w:val="0"/>
      <w:divBdr>
        <w:top w:val="none" w:sz="0" w:space="0" w:color="auto"/>
        <w:left w:val="none" w:sz="0" w:space="0" w:color="auto"/>
        <w:bottom w:val="none" w:sz="0" w:space="0" w:color="auto"/>
        <w:right w:val="none" w:sz="0" w:space="0" w:color="auto"/>
      </w:divBdr>
    </w:div>
    <w:div w:id="1271160208">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43165720">
      <w:bodyDiv w:val="1"/>
      <w:marLeft w:val="0"/>
      <w:marRight w:val="0"/>
      <w:marTop w:val="0"/>
      <w:marBottom w:val="0"/>
      <w:divBdr>
        <w:top w:val="none" w:sz="0" w:space="0" w:color="auto"/>
        <w:left w:val="none" w:sz="0" w:space="0" w:color="auto"/>
        <w:bottom w:val="none" w:sz="0" w:space="0" w:color="auto"/>
        <w:right w:val="none" w:sz="0" w:space="0" w:color="auto"/>
      </w:divBdr>
    </w:div>
    <w:div w:id="1359814429">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6675413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78624584">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0616136">
      <w:bodyDiv w:val="1"/>
      <w:marLeft w:val="0"/>
      <w:marRight w:val="0"/>
      <w:marTop w:val="0"/>
      <w:marBottom w:val="0"/>
      <w:divBdr>
        <w:top w:val="none" w:sz="0" w:space="0" w:color="auto"/>
        <w:left w:val="none" w:sz="0" w:space="0" w:color="auto"/>
        <w:bottom w:val="none" w:sz="0" w:space="0" w:color="auto"/>
        <w:right w:val="none" w:sz="0" w:space="0" w:color="auto"/>
      </w:divBdr>
    </w:div>
    <w:div w:id="1420834449">
      <w:bodyDiv w:val="1"/>
      <w:marLeft w:val="0"/>
      <w:marRight w:val="0"/>
      <w:marTop w:val="0"/>
      <w:marBottom w:val="0"/>
      <w:divBdr>
        <w:top w:val="none" w:sz="0" w:space="0" w:color="auto"/>
        <w:left w:val="none" w:sz="0" w:space="0" w:color="auto"/>
        <w:bottom w:val="none" w:sz="0" w:space="0" w:color="auto"/>
        <w:right w:val="none" w:sz="0" w:space="0" w:color="auto"/>
      </w:divBdr>
    </w:div>
    <w:div w:id="1425032406">
      <w:bodyDiv w:val="1"/>
      <w:marLeft w:val="0"/>
      <w:marRight w:val="0"/>
      <w:marTop w:val="0"/>
      <w:marBottom w:val="0"/>
      <w:divBdr>
        <w:top w:val="none" w:sz="0" w:space="0" w:color="auto"/>
        <w:left w:val="none" w:sz="0" w:space="0" w:color="auto"/>
        <w:bottom w:val="none" w:sz="0" w:space="0" w:color="auto"/>
        <w:right w:val="none" w:sz="0" w:space="0" w:color="auto"/>
      </w:divBdr>
    </w:div>
    <w:div w:id="1432626049">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68938401">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76797865">
      <w:bodyDiv w:val="1"/>
      <w:marLeft w:val="0"/>
      <w:marRight w:val="0"/>
      <w:marTop w:val="0"/>
      <w:marBottom w:val="0"/>
      <w:divBdr>
        <w:top w:val="none" w:sz="0" w:space="0" w:color="auto"/>
        <w:left w:val="none" w:sz="0" w:space="0" w:color="auto"/>
        <w:bottom w:val="none" w:sz="0" w:space="0" w:color="auto"/>
        <w:right w:val="none" w:sz="0" w:space="0" w:color="auto"/>
      </w:divBdr>
    </w:div>
    <w:div w:id="1482575511">
      <w:bodyDiv w:val="1"/>
      <w:marLeft w:val="0"/>
      <w:marRight w:val="0"/>
      <w:marTop w:val="0"/>
      <w:marBottom w:val="0"/>
      <w:divBdr>
        <w:top w:val="none" w:sz="0" w:space="0" w:color="auto"/>
        <w:left w:val="none" w:sz="0" w:space="0" w:color="auto"/>
        <w:bottom w:val="none" w:sz="0" w:space="0" w:color="auto"/>
        <w:right w:val="none" w:sz="0" w:space="0" w:color="auto"/>
      </w:divBdr>
    </w:div>
    <w:div w:id="1492789566">
      <w:bodyDiv w:val="1"/>
      <w:marLeft w:val="0"/>
      <w:marRight w:val="0"/>
      <w:marTop w:val="0"/>
      <w:marBottom w:val="0"/>
      <w:divBdr>
        <w:top w:val="none" w:sz="0" w:space="0" w:color="auto"/>
        <w:left w:val="none" w:sz="0" w:space="0" w:color="auto"/>
        <w:bottom w:val="none" w:sz="0" w:space="0" w:color="auto"/>
        <w:right w:val="none" w:sz="0" w:space="0" w:color="auto"/>
      </w:divBdr>
    </w:div>
    <w:div w:id="1499034477">
      <w:bodyDiv w:val="1"/>
      <w:marLeft w:val="0"/>
      <w:marRight w:val="0"/>
      <w:marTop w:val="0"/>
      <w:marBottom w:val="0"/>
      <w:divBdr>
        <w:top w:val="none" w:sz="0" w:space="0" w:color="auto"/>
        <w:left w:val="none" w:sz="0" w:space="0" w:color="auto"/>
        <w:bottom w:val="none" w:sz="0" w:space="0" w:color="auto"/>
        <w:right w:val="none" w:sz="0" w:space="0" w:color="auto"/>
      </w:divBdr>
    </w:div>
    <w:div w:id="1500267739">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31144070">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608779760">
      <w:bodyDiv w:val="1"/>
      <w:marLeft w:val="0"/>
      <w:marRight w:val="0"/>
      <w:marTop w:val="0"/>
      <w:marBottom w:val="0"/>
      <w:divBdr>
        <w:top w:val="none" w:sz="0" w:space="0" w:color="auto"/>
        <w:left w:val="none" w:sz="0" w:space="0" w:color="auto"/>
        <w:bottom w:val="none" w:sz="0" w:space="0" w:color="auto"/>
        <w:right w:val="none" w:sz="0" w:space="0" w:color="auto"/>
      </w:divBdr>
    </w:div>
    <w:div w:id="1614442046">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27731270">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55571023">
      <w:bodyDiv w:val="1"/>
      <w:marLeft w:val="0"/>
      <w:marRight w:val="0"/>
      <w:marTop w:val="0"/>
      <w:marBottom w:val="0"/>
      <w:divBdr>
        <w:top w:val="none" w:sz="0" w:space="0" w:color="auto"/>
        <w:left w:val="none" w:sz="0" w:space="0" w:color="auto"/>
        <w:bottom w:val="none" w:sz="0" w:space="0" w:color="auto"/>
        <w:right w:val="none" w:sz="0" w:space="0" w:color="auto"/>
      </w:divBdr>
    </w:div>
    <w:div w:id="1665087675">
      <w:bodyDiv w:val="1"/>
      <w:marLeft w:val="0"/>
      <w:marRight w:val="0"/>
      <w:marTop w:val="0"/>
      <w:marBottom w:val="0"/>
      <w:divBdr>
        <w:top w:val="none" w:sz="0" w:space="0" w:color="auto"/>
        <w:left w:val="none" w:sz="0" w:space="0" w:color="auto"/>
        <w:bottom w:val="none" w:sz="0" w:space="0" w:color="auto"/>
        <w:right w:val="none" w:sz="0" w:space="0" w:color="auto"/>
      </w:divBdr>
    </w:div>
    <w:div w:id="1682509213">
      <w:bodyDiv w:val="1"/>
      <w:marLeft w:val="0"/>
      <w:marRight w:val="0"/>
      <w:marTop w:val="0"/>
      <w:marBottom w:val="0"/>
      <w:divBdr>
        <w:top w:val="none" w:sz="0" w:space="0" w:color="auto"/>
        <w:left w:val="none" w:sz="0" w:space="0" w:color="auto"/>
        <w:bottom w:val="none" w:sz="0" w:space="0" w:color="auto"/>
        <w:right w:val="none" w:sz="0" w:space="0" w:color="auto"/>
      </w:divBdr>
      <w:divsChild>
        <w:div w:id="186716773">
          <w:marLeft w:val="0"/>
          <w:marRight w:val="0"/>
          <w:marTop w:val="0"/>
          <w:marBottom w:val="0"/>
          <w:divBdr>
            <w:top w:val="none" w:sz="0" w:space="0" w:color="auto"/>
            <w:left w:val="none" w:sz="0" w:space="0" w:color="auto"/>
            <w:bottom w:val="none" w:sz="0" w:space="0" w:color="auto"/>
            <w:right w:val="none" w:sz="0" w:space="0" w:color="auto"/>
          </w:divBdr>
        </w:div>
        <w:div w:id="682122956">
          <w:marLeft w:val="0"/>
          <w:marRight w:val="0"/>
          <w:marTop w:val="0"/>
          <w:marBottom w:val="0"/>
          <w:divBdr>
            <w:top w:val="none" w:sz="0" w:space="0" w:color="auto"/>
            <w:left w:val="none" w:sz="0" w:space="0" w:color="auto"/>
            <w:bottom w:val="none" w:sz="0" w:space="0" w:color="auto"/>
            <w:right w:val="none" w:sz="0" w:space="0" w:color="auto"/>
          </w:divBdr>
        </w:div>
        <w:div w:id="1191845199">
          <w:marLeft w:val="0"/>
          <w:marRight w:val="0"/>
          <w:marTop w:val="0"/>
          <w:marBottom w:val="0"/>
          <w:divBdr>
            <w:top w:val="none" w:sz="0" w:space="0" w:color="auto"/>
            <w:left w:val="none" w:sz="0" w:space="0" w:color="auto"/>
            <w:bottom w:val="none" w:sz="0" w:space="0" w:color="auto"/>
            <w:right w:val="none" w:sz="0" w:space="0" w:color="auto"/>
          </w:divBdr>
        </w:div>
        <w:div w:id="1550220077">
          <w:marLeft w:val="0"/>
          <w:marRight w:val="0"/>
          <w:marTop w:val="0"/>
          <w:marBottom w:val="0"/>
          <w:divBdr>
            <w:top w:val="none" w:sz="0" w:space="0" w:color="auto"/>
            <w:left w:val="none" w:sz="0" w:space="0" w:color="auto"/>
            <w:bottom w:val="none" w:sz="0" w:space="0" w:color="auto"/>
            <w:right w:val="none" w:sz="0" w:space="0" w:color="auto"/>
          </w:divBdr>
        </w:div>
      </w:divsChild>
    </w:div>
    <w:div w:id="1683629005">
      <w:bodyDiv w:val="1"/>
      <w:marLeft w:val="0"/>
      <w:marRight w:val="0"/>
      <w:marTop w:val="0"/>
      <w:marBottom w:val="0"/>
      <w:divBdr>
        <w:top w:val="none" w:sz="0" w:space="0" w:color="auto"/>
        <w:left w:val="none" w:sz="0" w:space="0" w:color="auto"/>
        <w:bottom w:val="none" w:sz="0" w:space="0" w:color="auto"/>
        <w:right w:val="none" w:sz="0" w:space="0" w:color="auto"/>
      </w:divBdr>
    </w:div>
    <w:div w:id="1688411376">
      <w:bodyDiv w:val="1"/>
      <w:marLeft w:val="0"/>
      <w:marRight w:val="0"/>
      <w:marTop w:val="0"/>
      <w:marBottom w:val="0"/>
      <w:divBdr>
        <w:top w:val="none" w:sz="0" w:space="0" w:color="auto"/>
        <w:left w:val="none" w:sz="0" w:space="0" w:color="auto"/>
        <w:bottom w:val="none" w:sz="0" w:space="0" w:color="auto"/>
        <w:right w:val="none" w:sz="0" w:space="0" w:color="auto"/>
      </w:divBdr>
    </w:div>
    <w:div w:id="1693723384">
      <w:bodyDiv w:val="1"/>
      <w:marLeft w:val="0"/>
      <w:marRight w:val="0"/>
      <w:marTop w:val="0"/>
      <w:marBottom w:val="0"/>
      <w:divBdr>
        <w:top w:val="none" w:sz="0" w:space="0" w:color="auto"/>
        <w:left w:val="none" w:sz="0" w:space="0" w:color="auto"/>
        <w:bottom w:val="none" w:sz="0" w:space="0" w:color="auto"/>
        <w:right w:val="none" w:sz="0" w:space="0" w:color="auto"/>
      </w:divBdr>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40226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45107208">
      <w:bodyDiv w:val="1"/>
      <w:marLeft w:val="0"/>
      <w:marRight w:val="0"/>
      <w:marTop w:val="0"/>
      <w:marBottom w:val="0"/>
      <w:divBdr>
        <w:top w:val="none" w:sz="0" w:space="0" w:color="auto"/>
        <w:left w:val="none" w:sz="0" w:space="0" w:color="auto"/>
        <w:bottom w:val="none" w:sz="0" w:space="0" w:color="auto"/>
        <w:right w:val="none" w:sz="0" w:space="0" w:color="auto"/>
      </w:divBdr>
    </w:div>
    <w:div w:id="1755012791">
      <w:bodyDiv w:val="1"/>
      <w:marLeft w:val="0"/>
      <w:marRight w:val="0"/>
      <w:marTop w:val="0"/>
      <w:marBottom w:val="0"/>
      <w:divBdr>
        <w:top w:val="none" w:sz="0" w:space="0" w:color="auto"/>
        <w:left w:val="none" w:sz="0" w:space="0" w:color="auto"/>
        <w:bottom w:val="none" w:sz="0" w:space="0" w:color="auto"/>
        <w:right w:val="none" w:sz="0" w:space="0" w:color="auto"/>
      </w:divBdr>
    </w:div>
    <w:div w:id="1789351464">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811434180">
      <w:bodyDiv w:val="1"/>
      <w:marLeft w:val="0"/>
      <w:marRight w:val="0"/>
      <w:marTop w:val="0"/>
      <w:marBottom w:val="0"/>
      <w:divBdr>
        <w:top w:val="none" w:sz="0" w:space="0" w:color="auto"/>
        <w:left w:val="none" w:sz="0" w:space="0" w:color="auto"/>
        <w:bottom w:val="none" w:sz="0" w:space="0" w:color="auto"/>
        <w:right w:val="none" w:sz="0" w:space="0" w:color="auto"/>
      </w:divBdr>
    </w:div>
    <w:div w:id="1834494607">
      <w:bodyDiv w:val="1"/>
      <w:marLeft w:val="0"/>
      <w:marRight w:val="0"/>
      <w:marTop w:val="0"/>
      <w:marBottom w:val="0"/>
      <w:divBdr>
        <w:top w:val="none" w:sz="0" w:space="0" w:color="auto"/>
        <w:left w:val="none" w:sz="0" w:space="0" w:color="auto"/>
        <w:bottom w:val="none" w:sz="0" w:space="0" w:color="auto"/>
        <w:right w:val="none" w:sz="0" w:space="0" w:color="auto"/>
      </w:divBdr>
    </w:div>
    <w:div w:id="1845583674">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4107922">
      <w:bodyDiv w:val="1"/>
      <w:marLeft w:val="0"/>
      <w:marRight w:val="0"/>
      <w:marTop w:val="0"/>
      <w:marBottom w:val="0"/>
      <w:divBdr>
        <w:top w:val="none" w:sz="0" w:space="0" w:color="auto"/>
        <w:left w:val="none" w:sz="0" w:space="0" w:color="auto"/>
        <w:bottom w:val="none" w:sz="0" w:space="0" w:color="auto"/>
        <w:right w:val="none" w:sz="0" w:space="0" w:color="auto"/>
      </w:divBdr>
    </w:div>
    <w:div w:id="1890070441">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09460085">
      <w:bodyDiv w:val="1"/>
      <w:marLeft w:val="0"/>
      <w:marRight w:val="0"/>
      <w:marTop w:val="0"/>
      <w:marBottom w:val="0"/>
      <w:divBdr>
        <w:top w:val="none" w:sz="0" w:space="0" w:color="auto"/>
        <w:left w:val="none" w:sz="0" w:space="0" w:color="auto"/>
        <w:bottom w:val="none" w:sz="0" w:space="0" w:color="auto"/>
        <w:right w:val="none" w:sz="0" w:space="0" w:color="auto"/>
      </w:divBdr>
    </w:div>
    <w:div w:id="1941789842">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1982271778">
      <w:bodyDiv w:val="1"/>
      <w:marLeft w:val="0"/>
      <w:marRight w:val="0"/>
      <w:marTop w:val="0"/>
      <w:marBottom w:val="0"/>
      <w:divBdr>
        <w:top w:val="none" w:sz="0" w:space="0" w:color="auto"/>
        <w:left w:val="none" w:sz="0" w:space="0" w:color="auto"/>
        <w:bottom w:val="none" w:sz="0" w:space="0" w:color="auto"/>
        <w:right w:val="none" w:sz="0" w:space="0" w:color="auto"/>
      </w:divBdr>
    </w:div>
    <w:div w:id="1987319090">
      <w:bodyDiv w:val="1"/>
      <w:marLeft w:val="0"/>
      <w:marRight w:val="0"/>
      <w:marTop w:val="0"/>
      <w:marBottom w:val="0"/>
      <w:divBdr>
        <w:top w:val="none" w:sz="0" w:space="0" w:color="auto"/>
        <w:left w:val="none" w:sz="0" w:space="0" w:color="auto"/>
        <w:bottom w:val="none" w:sz="0" w:space="0" w:color="auto"/>
        <w:right w:val="none" w:sz="0" w:space="0" w:color="auto"/>
      </w:divBdr>
    </w:div>
    <w:div w:id="2027126596">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0834494">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6530588">
      <w:bodyDiv w:val="1"/>
      <w:marLeft w:val="0"/>
      <w:marRight w:val="0"/>
      <w:marTop w:val="0"/>
      <w:marBottom w:val="0"/>
      <w:divBdr>
        <w:top w:val="none" w:sz="0" w:space="0" w:color="auto"/>
        <w:left w:val="none" w:sz="0" w:space="0" w:color="auto"/>
        <w:bottom w:val="none" w:sz="0" w:space="0" w:color="auto"/>
        <w:right w:val="none" w:sz="0" w:space="0" w:color="auto"/>
      </w:divBdr>
    </w:div>
    <w:div w:id="2108848154">
      <w:bodyDiv w:val="1"/>
      <w:marLeft w:val="0"/>
      <w:marRight w:val="0"/>
      <w:marTop w:val="0"/>
      <w:marBottom w:val="0"/>
      <w:divBdr>
        <w:top w:val="none" w:sz="0" w:space="0" w:color="auto"/>
        <w:left w:val="none" w:sz="0" w:space="0" w:color="auto"/>
        <w:bottom w:val="none" w:sz="0" w:space="0" w:color="auto"/>
        <w:right w:val="none" w:sz="0" w:space="0" w:color="auto"/>
      </w:divBdr>
    </w:div>
    <w:div w:id="2119714569">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os-abiertos.edomex.gob.mx/index.php/servidor/directorio/206C03000000000"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3B93E-3DA0-4469-A44A-9D75A5262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7158</Words>
  <Characters>39375</Characters>
  <Application>Microsoft Office Word</Application>
  <DocSecurity>0</DocSecurity>
  <Lines>328</Lines>
  <Paragraphs>92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46441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INFOEM</dc:creator>
  <cp:keywords/>
  <dc:description/>
  <cp:lastModifiedBy>INFOEM</cp:lastModifiedBy>
  <cp:revision>3</cp:revision>
  <cp:lastPrinted>2024-11-28T23:29:00Z</cp:lastPrinted>
  <dcterms:created xsi:type="dcterms:W3CDTF">2024-12-06T00:47:00Z</dcterms:created>
  <dcterms:modified xsi:type="dcterms:W3CDTF">2025-02-05T15:37:00Z</dcterms:modified>
</cp:coreProperties>
</file>