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70" w:rsidRPr="0024200F" w:rsidRDefault="006F7470" w:rsidP="006F7470">
      <w:pPr>
        <w:spacing w:line="360" w:lineRule="auto"/>
        <w:rPr>
          <w:rFonts w:ascii="Palatino Linotype" w:hAnsi="Palatino Linotype"/>
        </w:rPr>
      </w:pPr>
      <w:bookmarkStart w:id="0" w:name="_GoBack"/>
      <w:bookmarkEnd w:id="0"/>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veintiocho de agosto de dos mil veinticuatro.</w:t>
      </w:r>
    </w:p>
    <w:p w:rsidR="006F7470" w:rsidRPr="0024200F" w:rsidRDefault="006F7470" w:rsidP="006F7470">
      <w:pPr>
        <w:spacing w:line="360" w:lineRule="auto"/>
        <w:jc w:val="both"/>
        <w:rPr>
          <w:rFonts w:ascii="Palatino Linotype" w:hAnsi="Palatino Linotype"/>
        </w:rPr>
      </w:pPr>
    </w:p>
    <w:p w:rsidR="006F7470" w:rsidRPr="00BF0355" w:rsidRDefault="006F7470" w:rsidP="006F7470">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482238">
        <w:rPr>
          <w:rFonts w:ascii="Palatino Linotype" w:hAnsi="Palatino Linotype"/>
          <w:b/>
        </w:rPr>
        <w:t>0</w:t>
      </w:r>
      <w:r>
        <w:rPr>
          <w:rFonts w:ascii="Palatino Linotype" w:hAnsi="Palatino Linotype"/>
          <w:b/>
        </w:rPr>
        <w:t xml:space="preserve">4715/INFOEM/IP/RR/2024, </w:t>
      </w:r>
      <w:r w:rsidRPr="00BF0355">
        <w:rPr>
          <w:rFonts w:ascii="Palatino Linotype" w:eastAsiaTheme="minorHAnsi" w:hAnsi="Palatino Linotype" w:cs="Arial"/>
          <w:lang w:val="es-MX" w:eastAsia="en-US"/>
        </w:rPr>
        <w:t xml:space="preserve">interpuesto por </w:t>
      </w:r>
      <w:r>
        <w:rPr>
          <w:rFonts w:ascii="Palatino Linotype" w:hAnsi="Palatino Linotype"/>
        </w:rPr>
        <w:t>un particular que no proporcionó nombre o seudónimo</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6F7470">
        <w:rPr>
          <w:rFonts w:ascii="Palatino Linotype" w:hAnsi="Palatino Linotype"/>
          <w:b/>
        </w:rPr>
        <w:t>Ayuntamiento de Almoloya de Juárez</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rsidR="006F7470" w:rsidRPr="002478BC" w:rsidRDefault="006F7470" w:rsidP="006F7470">
      <w:pPr>
        <w:spacing w:line="360" w:lineRule="auto"/>
        <w:jc w:val="both"/>
        <w:rPr>
          <w:rFonts w:ascii="Palatino Linotype" w:hAnsi="Palatino Linotype"/>
          <w:b/>
          <w:bCs/>
          <w:spacing w:val="60"/>
          <w:lang w:val="es-ES_tradnl"/>
        </w:rPr>
      </w:pPr>
    </w:p>
    <w:p w:rsidR="006F7470" w:rsidRPr="0024200F" w:rsidRDefault="006F7470" w:rsidP="006F7470">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6F7470" w:rsidRPr="0024200F" w:rsidRDefault="006F7470" w:rsidP="006F7470">
      <w:pPr>
        <w:spacing w:line="360" w:lineRule="auto"/>
        <w:jc w:val="center"/>
        <w:rPr>
          <w:rFonts w:ascii="Palatino Linotype" w:hAnsi="Palatino Linotype"/>
          <w:b/>
          <w:bCs/>
          <w:spacing w:val="60"/>
          <w:lang w:val="es-ES_tradnl"/>
        </w:rPr>
      </w:pPr>
    </w:p>
    <w:p w:rsidR="006F7470" w:rsidRDefault="006F7470" w:rsidP="006F7470">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rsidR="006F7470" w:rsidRPr="0024200F" w:rsidRDefault="006F7470" w:rsidP="006F7470">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once de junio de dos mil veinticuatro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00393/ALMOJU/IP/2024, </w:t>
      </w:r>
      <w:r w:rsidRPr="0024200F">
        <w:rPr>
          <w:rFonts w:ascii="Palatino Linotype" w:hAnsi="Palatino Linotype"/>
        </w:rPr>
        <w:t>mediante la cual solicitó, lo siguiente:</w:t>
      </w:r>
    </w:p>
    <w:p w:rsidR="006F7470" w:rsidRDefault="006F7470" w:rsidP="006F7470">
      <w:pPr>
        <w:spacing w:line="360" w:lineRule="auto"/>
        <w:jc w:val="both"/>
        <w:rPr>
          <w:rFonts w:ascii="Palatino Linotype" w:hAnsi="Palatino Linotype" w:cs="Arial"/>
        </w:rPr>
      </w:pPr>
    </w:p>
    <w:p w:rsidR="006F7470" w:rsidRPr="008B31F6" w:rsidRDefault="006F7470" w:rsidP="006F7470">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6F7470">
        <w:rPr>
          <w:rFonts w:ascii="Palatino Linotype" w:hAnsi="Palatino Linotype"/>
          <w:bCs/>
          <w:i/>
          <w:sz w:val="22"/>
        </w:rPr>
        <w:t>conciliación de nómina de la segunda quincena de mayo 2024</w:t>
      </w:r>
      <w:r>
        <w:rPr>
          <w:rFonts w:ascii="Palatino Linotype" w:hAnsi="Palatino Linotype"/>
          <w:bCs/>
          <w:i/>
          <w:sz w:val="22"/>
        </w:rPr>
        <w:t xml:space="preserve">” </w:t>
      </w:r>
      <w:r w:rsidRPr="008B31F6">
        <w:rPr>
          <w:rFonts w:ascii="Palatino Linotype" w:hAnsi="Palatino Linotype"/>
          <w:bCs/>
          <w:i/>
          <w:sz w:val="22"/>
        </w:rPr>
        <w:t>(Sic)</w:t>
      </w:r>
    </w:p>
    <w:p w:rsidR="006F7470" w:rsidRPr="003500B0" w:rsidRDefault="006F7470" w:rsidP="006F7470">
      <w:pPr>
        <w:spacing w:line="360" w:lineRule="auto"/>
        <w:jc w:val="both"/>
        <w:rPr>
          <w:rFonts w:ascii="Palatino Linotype" w:hAnsi="Palatino Linotype"/>
          <w:szCs w:val="28"/>
          <w:lang w:val="es-MX"/>
        </w:rPr>
      </w:pPr>
    </w:p>
    <w:p w:rsidR="006F7470" w:rsidRDefault="006F7470" w:rsidP="006F7470">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rsidR="006F7470" w:rsidRDefault="006F7470" w:rsidP="006F7470">
      <w:pPr>
        <w:spacing w:line="360" w:lineRule="auto"/>
        <w:jc w:val="both"/>
        <w:rPr>
          <w:rFonts w:ascii="Palatino Linotype" w:hAnsi="Palatino Linotype"/>
          <w:b/>
          <w:sz w:val="28"/>
          <w:szCs w:val="28"/>
          <w:lang w:val="es-MX"/>
        </w:rPr>
      </w:pPr>
    </w:p>
    <w:p w:rsidR="006F7470" w:rsidRDefault="006F7470" w:rsidP="006F7470">
      <w:pPr>
        <w:spacing w:line="360" w:lineRule="auto"/>
        <w:jc w:val="both"/>
        <w:rPr>
          <w:rFonts w:ascii="Palatino Linotype" w:hAnsi="Palatino Linotype" w:cs="Arial"/>
          <w:b/>
          <w:sz w:val="28"/>
          <w:szCs w:val="20"/>
        </w:rPr>
      </w:pPr>
      <w:r>
        <w:rPr>
          <w:rFonts w:ascii="Palatino Linotype" w:hAnsi="Palatino Linotype"/>
          <w:b/>
          <w:sz w:val="28"/>
          <w:szCs w:val="28"/>
          <w:lang w:val="es-MX"/>
        </w:rPr>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sidRPr="002C3EC8">
        <w:rPr>
          <w:rFonts w:ascii="Palatino Linotype" w:hAnsi="Palatino Linotype" w:cs="Arial"/>
          <w:b/>
          <w:sz w:val="28"/>
          <w:szCs w:val="20"/>
        </w:rPr>
        <w:t>De la</w:t>
      </w:r>
      <w:r w:rsidR="003A28F7">
        <w:rPr>
          <w:rFonts w:ascii="Palatino Linotype" w:hAnsi="Palatino Linotype" w:cs="Arial"/>
          <w:b/>
          <w:sz w:val="28"/>
          <w:szCs w:val="20"/>
        </w:rPr>
        <w:t xml:space="preserve"> prórroga y de la </w:t>
      </w:r>
      <w:r w:rsidRPr="002C3EC8">
        <w:rPr>
          <w:rFonts w:ascii="Palatino Linotype" w:hAnsi="Palatino Linotype" w:cs="Arial"/>
          <w:b/>
          <w:sz w:val="28"/>
          <w:szCs w:val="20"/>
        </w:rPr>
        <w:t>respuesta del Sujeto Obligado.</w:t>
      </w:r>
    </w:p>
    <w:p w:rsidR="003A28F7" w:rsidRDefault="003A28F7" w:rsidP="006F7470">
      <w:pPr>
        <w:spacing w:line="360" w:lineRule="auto"/>
        <w:jc w:val="both"/>
        <w:rPr>
          <w:rFonts w:ascii="Palatino Linotype" w:hAnsi="Palatino Linotype"/>
        </w:rPr>
      </w:pPr>
      <w:r>
        <w:rPr>
          <w:rFonts w:ascii="Palatino Linotype" w:hAnsi="Palatino Linotype"/>
        </w:rPr>
        <w:lastRenderedPageBreak/>
        <w:t>En fecha dos de julio de dos mil veinticuatro, el Sujeto Obligado notificó a la parte Recurrente una prórroga, tal como se indica:</w:t>
      </w:r>
    </w:p>
    <w:p w:rsidR="003A28F7" w:rsidRDefault="003A28F7" w:rsidP="003A28F7">
      <w:pPr>
        <w:pStyle w:val="Citas"/>
      </w:pPr>
      <w: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3A28F7" w:rsidRDefault="003A28F7" w:rsidP="003A28F7">
      <w:pPr>
        <w:pStyle w:val="Citas"/>
      </w:pPr>
      <w:r>
        <w:t>Se aprueba prorroga de 7 días hábiles, lo anterior, al encontrase la Unidad Administrativa realizando la búsqueda y recopilación de la documentación que servirá para dar respuesta a la solicitud referida y por la falta de personal con la que se cuenta para atender los requerimientos de información, con fundamento en lo dispuesto por el artículo 163 párrafo segundo de la Ley de Transparencia y Acceso a la Información Pública del Estado de México y Municipios.” (Sic)</w:t>
      </w:r>
    </w:p>
    <w:p w:rsidR="003A28F7" w:rsidRDefault="003A28F7" w:rsidP="006F7470">
      <w:pPr>
        <w:spacing w:line="360" w:lineRule="auto"/>
        <w:jc w:val="both"/>
        <w:rPr>
          <w:rFonts w:ascii="Palatino Linotype" w:hAnsi="Palatino Linotype"/>
        </w:rPr>
      </w:pPr>
    </w:p>
    <w:p w:rsidR="006F7470" w:rsidRDefault="006F7470" w:rsidP="006F7470">
      <w:pPr>
        <w:spacing w:line="360" w:lineRule="auto"/>
        <w:jc w:val="both"/>
        <w:rPr>
          <w:rFonts w:ascii="Palatino Linotype" w:hAnsi="Palatino Linotype"/>
        </w:rPr>
      </w:pPr>
      <w:r w:rsidRPr="00F1796C">
        <w:rPr>
          <w:rFonts w:ascii="Palatino Linotype" w:hAnsi="Palatino Linotype"/>
        </w:rPr>
        <w:t>Como se advierte de las constancias del e</w:t>
      </w:r>
      <w:r>
        <w:rPr>
          <w:rFonts w:ascii="Palatino Linotype" w:hAnsi="Palatino Linotype"/>
        </w:rPr>
        <w:t>xpediente electrónico, en fecha once de julio de dos mil veinticuatro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rsidR="006F7470" w:rsidRDefault="006F7470" w:rsidP="006F7470">
      <w:pPr>
        <w:spacing w:line="360" w:lineRule="auto"/>
        <w:jc w:val="both"/>
        <w:rPr>
          <w:rFonts w:ascii="Palatino Linotype" w:hAnsi="Palatino Linotype"/>
        </w:rPr>
      </w:pPr>
    </w:p>
    <w:p w:rsidR="006F7470" w:rsidRPr="006F7470" w:rsidRDefault="006F7470" w:rsidP="006F7470">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6F7470">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6F7470" w:rsidRPr="00157DDD" w:rsidRDefault="006F7470" w:rsidP="006F7470">
      <w:pPr>
        <w:spacing w:line="276" w:lineRule="auto"/>
        <w:ind w:left="567" w:right="616"/>
        <w:jc w:val="both"/>
        <w:rPr>
          <w:rFonts w:ascii="Palatino Linotype" w:hAnsi="Palatino Linotype"/>
          <w:bCs/>
          <w:i/>
          <w:sz w:val="22"/>
        </w:rPr>
      </w:pPr>
      <w:r w:rsidRPr="006F7470">
        <w:rPr>
          <w:rFonts w:ascii="Palatino Linotype" w:hAnsi="Palatino Linotype"/>
          <w:bCs/>
          <w:i/>
          <w:sz w:val="22"/>
        </w:rPr>
        <w:t xml:space="preserve">Con fundamento en lo establecido en los artículos 4, 12, 59 y 158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w:t>
      </w:r>
      <w:r w:rsidRPr="006F7470">
        <w:rPr>
          <w:rFonts w:ascii="Palatino Linotype" w:hAnsi="Palatino Linotype"/>
          <w:bCs/>
          <w:i/>
          <w:sz w:val="22"/>
        </w:rPr>
        <w:lastRenderedPageBreak/>
        <w:t>la notificación del presente; de conformidad con lo dispuesto por el artículo 177 de la Ley de Transparencia y Acceso a la Información Pública del Estado de México y Municipios.</w:t>
      </w:r>
      <w:r>
        <w:rPr>
          <w:rFonts w:ascii="Palatino Linotype" w:hAnsi="Palatino Linotype"/>
          <w:bCs/>
          <w:i/>
          <w:sz w:val="22"/>
        </w:rPr>
        <w:t>”</w:t>
      </w:r>
    </w:p>
    <w:p w:rsidR="006F7470" w:rsidRDefault="006F7470" w:rsidP="006F7470">
      <w:pPr>
        <w:spacing w:line="360" w:lineRule="auto"/>
        <w:jc w:val="both"/>
        <w:rPr>
          <w:rFonts w:ascii="Palatino Linotype" w:hAnsi="Palatino Linotype" w:cs="Arial"/>
        </w:rPr>
      </w:pPr>
    </w:p>
    <w:p w:rsidR="006F7470" w:rsidRDefault="006F7470" w:rsidP="006F7470">
      <w:pPr>
        <w:spacing w:line="360" w:lineRule="auto"/>
        <w:jc w:val="both"/>
        <w:rPr>
          <w:rFonts w:ascii="Palatino Linotype" w:hAnsi="Palatino Linotype" w:cs="Arial"/>
        </w:rPr>
      </w:pPr>
      <w:r>
        <w:rPr>
          <w:rFonts w:ascii="Palatino Linotype" w:hAnsi="Palatino Linotype" w:cs="Arial"/>
        </w:rPr>
        <w:t xml:space="preserve">Adicionalmente, el </w:t>
      </w:r>
      <w:r w:rsidRPr="008B31F6">
        <w:rPr>
          <w:rFonts w:ascii="Palatino Linotype" w:hAnsi="Palatino Linotype" w:cs="Arial"/>
          <w:b/>
        </w:rPr>
        <w:t>Sujeto Obligado</w:t>
      </w:r>
      <w:r>
        <w:rPr>
          <w:rFonts w:ascii="Palatino Linotype" w:hAnsi="Palatino Linotype" w:cs="Arial"/>
        </w:rPr>
        <w:t xml:space="preserve"> a</w:t>
      </w:r>
      <w:r w:rsidRPr="006F3258">
        <w:rPr>
          <w:rFonts w:ascii="Palatino Linotype" w:hAnsi="Palatino Linotype" w:cs="Arial"/>
        </w:rPr>
        <w:t>djunt</w:t>
      </w:r>
      <w:r>
        <w:rPr>
          <w:rFonts w:ascii="Palatino Linotype" w:hAnsi="Palatino Linotype" w:cs="Arial"/>
        </w:rPr>
        <w:t>ó</w:t>
      </w:r>
      <w:r w:rsidRPr="006F3258">
        <w:rPr>
          <w:rFonts w:ascii="Palatino Linotype" w:hAnsi="Palatino Linotype" w:cs="Arial"/>
        </w:rPr>
        <w:t xml:space="preserve"> </w:t>
      </w:r>
      <w:bookmarkStart w:id="1" w:name="_Hlk82038214"/>
      <w:r>
        <w:rPr>
          <w:rFonts w:ascii="Palatino Linotype" w:hAnsi="Palatino Linotype" w:cs="Arial"/>
        </w:rPr>
        <w:t>el</w:t>
      </w:r>
      <w:r w:rsidRPr="006F3258">
        <w:rPr>
          <w:rFonts w:ascii="Palatino Linotype" w:hAnsi="Palatino Linotype" w:cs="Arial"/>
        </w:rPr>
        <w:t xml:space="preserve"> archivo electrónico denominado </w:t>
      </w:r>
      <w:bookmarkEnd w:id="1"/>
      <w:r w:rsidRPr="0033050B">
        <w:rPr>
          <w:rFonts w:ascii="Palatino Linotype" w:hAnsi="Palatino Linotype" w:cs="Arial"/>
          <w:b/>
        </w:rPr>
        <w:t>“</w:t>
      </w:r>
      <w:r w:rsidRPr="006F7470">
        <w:rPr>
          <w:rFonts w:ascii="Palatino Linotype" w:hAnsi="Palatino Linotype" w:cs="Arial"/>
          <w:b/>
          <w:i/>
        </w:rPr>
        <w:t>Resp. Sol. 393-2024.pdf</w:t>
      </w:r>
      <w:r>
        <w:rPr>
          <w:rFonts w:ascii="Palatino Linotype" w:hAnsi="Palatino Linotype" w:cs="Arial"/>
          <w:b/>
          <w:i/>
        </w:rPr>
        <w:t>”</w:t>
      </w:r>
      <w:r>
        <w:rPr>
          <w:rFonts w:ascii="Palatino Linotype" w:hAnsi="Palatino Linotype" w:cs="Arial"/>
        </w:rPr>
        <w:t xml:space="preserve">, mismo que no se reproduce por ser del conocimiento de las partes, sin embargo, será materia de estudio en el Considerando respectivo.  </w:t>
      </w:r>
    </w:p>
    <w:p w:rsidR="006F7470" w:rsidRDefault="006F7470" w:rsidP="006F7470">
      <w:pPr>
        <w:spacing w:line="360" w:lineRule="auto"/>
        <w:ind w:right="616"/>
        <w:jc w:val="both"/>
        <w:rPr>
          <w:rFonts w:ascii="Palatino Linotype" w:hAnsi="Palatino Linotype"/>
          <w:bCs/>
        </w:rPr>
      </w:pPr>
    </w:p>
    <w:p w:rsidR="006F7470" w:rsidRDefault="006F7470" w:rsidP="006F7470">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rsidR="006F7470" w:rsidRDefault="006F7470" w:rsidP="006F7470">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003A28F7">
        <w:rPr>
          <w:rFonts w:ascii="Palatino Linotype" w:hAnsi="Palatino Linotype"/>
        </w:rPr>
        <w:t>siete de agosto</w:t>
      </w:r>
      <w:r>
        <w:rPr>
          <w:rFonts w:ascii="Palatino Linotype" w:hAnsi="Palatino Linotype"/>
        </w:rPr>
        <w:t xml:space="preserve"> de dos mil veinticuatro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482238">
        <w:rPr>
          <w:rFonts w:ascii="Palatino Linotype" w:eastAsia="Arial Unicode MS" w:hAnsi="Palatino Linotype" w:cs="Arial"/>
          <w:b/>
        </w:rPr>
        <w:t>0</w:t>
      </w:r>
      <w:r>
        <w:rPr>
          <w:rFonts w:ascii="Palatino Linotype" w:eastAsia="Arial Unicode MS" w:hAnsi="Palatino Linotype" w:cs="Arial"/>
          <w:b/>
        </w:rPr>
        <w:t>4715/INFOEM/IP/RR/2024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rsidR="006F7470" w:rsidRDefault="006F7470" w:rsidP="006F7470">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rsidR="006F7470" w:rsidRDefault="006F7470" w:rsidP="006F7470">
      <w:pPr>
        <w:pStyle w:val="INFOEM"/>
        <w:spacing w:line="240" w:lineRule="auto"/>
      </w:pPr>
      <w:r>
        <w:t>“</w:t>
      </w:r>
      <w:r w:rsidRPr="006F7470">
        <w:t>Información falsa</w:t>
      </w:r>
      <w:r>
        <w:t>” (Sic)</w:t>
      </w:r>
    </w:p>
    <w:p w:rsidR="006F7470" w:rsidRPr="00CA3287" w:rsidRDefault="006F7470" w:rsidP="006F7470">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rsidR="006F7470" w:rsidRDefault="006F7470" w:rsidP="006F7470">
      <w:pPr>
        <w:pStyle w:val="INFOEM"/>
        <w:spacing w:line="240" w:lineRule="auto"/>
        <w:ind w:left="780"/>
      </w:pPr>
      <w:r>
        <w:t>“</w:t>
      </w:r>
      <w:r w:rsidRPr="006F7470">
        <w:t>Información falsa</w:t>
      </w:r>
      <w:r>
        <w:t>” (Sic)</w:t>
      </w:r>
    </w:p>
    <w:p w:rsidR="006F7470" w:rsidRDefault="006F7470" w:rsidP="006F7470">
      <w:pPr>
        <w:spacing w:before="240" w:line="360" w:lineRule="auto"/>
        <w:jc w:val="both"/>
        <w:rPr>
          <w:rFonts w:ascii="Palatino Linotype" w:hAnsi="Palatino Linotype" w:cs="Arial"/>
          <w:b/>
          <w:sz w:val="28"/>
          <w:szCs w:val="22"/>
          <w:lang w:val="es-MX"/>
        </w:rPr>
      </w:pPr>
    </w:p>
    <w:p w:rsidR="006F7470" w:rsidRPr="002C3EC8" w:rsidRDefault="006F7470" w:rsidP="006F7470">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rsidR="006F7470" w:rsidRPr="002C3EC8" w:rsidRDefault="006F7470" w:rsidP="006F7470">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ocho de agosto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rsidR="006F7470" w:rsidRDefault="006F7470" w:rsidP="006F7470">
      <w:pPr>
        <w:spacing w:line="360" w:lineRule="auto"/>
        <w:ind w:right="49"/>
        <w:jc w:val="both"/>
        <w:rPr>
          <w:rFonts w:ascii="Palatino Linotype" w:hAnsi="Palatino Linotype" w:cs="Arial"/>
          <w:lang w:val="es-ES_tradnl"/>
        </w:rPr>
      </w:pPr>
    </w:p>
    <w:p w:rsidR="006F7470" w:rsidRPr="002C5D52" w:rsidRDefault="006F7470" w:rsidP="006F7470">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6F7470" w:rsidRDefault="006F7470" w:rsidP="006F7470">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rsidR="006F7470" w:rsidRPr="00DD2E32" w:rsidRDefault="006F7470" w:rsidP="006F7470">
      <w:pPr>
        <w:spacing w:line="360" w:lineRule="auto"/>
        <w:jc w:val="both"/>
        <w:rPr>
          <w:rFonts w:ascii="Palatino Linotype" w:hAnsi="Palatino Linotype" w:cs="Arial"/>
        </w:rPr>
      </w:pPr>
    </w:p>
    <w:p w:rsidR="006F7470" w:rsidRDefault="006F7470" w:rsidP="006F7470">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rsidR="006F7470" w:rsidRDefault="006F7470" w:rsidP="006F7470">
      <w:pPr>
        <w:spacing w:line="360" w:lineRule="auto"/>
        <w:jc w:val="both"/>
        <w:rPr>
          <w:rFonts w:ascii="Palatino Linotype" w:eastAsia="Calibri" w:hAnsi="Palatino Linotype" w:cs="Arial"/>
          <w:b/>
          <w:sz w:val="28"/>
          <w:szCs w:val="28"/>
          <w:lang w:val="es-MX" w:eastAsia="en-US"/>
        </w:rPr>
      </w:pPr>
    </w:p>
    <w:p w:rsidR="006F7470" w:rsidRDefault="006F7470" w:rsidP="006F7470">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rsidR="006F7470" w:rsidRDefault="006F7470" w:rsidP="006F7470">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Pr>
          <w:rFonts w:ascii="Palatino Linotype" w:eastAsia="Calibri" w:hAnsi="Palatino Linotype" w:cs="Arial"/>
          <w:b/>
          <w:lang w:val="es-MX" w:eastAsia="en-US"/>
        </w:rPr>
        <w:t>veinte de agosto de dos mil veinticuatro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6F7470" w:rsidRDefault="006F7470" w:rsidP="006F7470">
      <w:pPr>
        <w:spacing w:line="360" w:lineRule="auto"/>
        <w:jc w:val="both"/>
        <w:rPr>
          <w:rFonts w:ascii="Palatino Linotype" w:eastAsia="Calibri" w:hAnsi="Palatino Linotype" w:cs="Arial"/>
          <w:lang w:val="es-MX" w:eastAsia="en-US"/>
        </w:rPr>
      </w:pPr>
    </w:p>
    <w:p w:rsidR="006F7470" w:rsidRPr="00E3454E" w:rsidRDefault="006F7470" w:rsidP="006F7470">
      <w:pPr>
        <w:spacing w:line="360" w:lineRule="auto"/>
        <w:jc w:val="both"/>
        <w:rPr>
          <w:rFonts w:ascii="Palatino Linotype" w:eastAsia="Calibri" w:hAnsi="Palatino Linotype" w:cs="Arial"/>
          <w:lang w:val="es-MX" w:eastAsia="en-US"/>
        </w:rPr>
      </w:pPr>
    </w:p>
    <w:p w:rsidR="006F7470" w:rsidRPr="0024200F" w:rsidRDefault="006F7470" w:rsidP="006F7470">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6F7470" w:rsidRPr="00825F67" w:rsidRDefault="006F7470" w:rsidP="006F7470">
      <w:pPr>
        <w:spacing w:line="360" w:lineRule="auto"/>
        <w:ind w:right="49"/>
        <w:jc w:val="both"/>
        <w:rPr>
          <w:rFonts w:ascii="Palatino Linotype" w:hAnsi="Palatino Linotype"/>
          <w:szCs w:val="28"/>
        </w:rPr>
      </w:pPr>
    </w:p>
    <w:p w:rsidR="006F7470" w:rsidRPr="00FB3150" w:rsidRDefault="006F7470" w:rsidP="006F7470">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6F7470" w:rsidRPr="007C6AB6" w:rsidRDefault="006F7470" w:rsidP="006F7470">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6F7470" w:rsidRPr="002C3EC8" w:rsidRDefault="006F7470" w:rsidP="006F7470">
      <w:pPr>
        <w:spacing w:before="240" w:line="360" w:lineRule="auto"/>
        <w:jc w:val="both"/>
        <w:rPr>
          <w:rFonts w:ascii="Palatino Linotype" w:eastAsia="Calibri" w:hAnsi="Palatino Linotype"/>
          <w:b/>
          <w:color w:val="000000" w:themeColor="text1"/>
        </w:rPr>
      </w:pPr>
    </w:p>
    <w:p w:rsidR="006F7470" w:rsidRPr="002C3EC8" w:rsidRDefault="006F7470" w:rsidP="006F7470">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6F7470" w:rsidRPr="00207E23" w:rsidRDefault="006F7470" w:rsidP="006F7470">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F7470" w:rsidRPr="00821CCD" w:rsidRDefault="006F7470" w:rsidP="006F7470">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6F7470" w:rsidRPr="00821CCD" w:rsidRDefault="006F7470" w:rsidP="006F7470">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6F7470" w:rsidRPr="00821CCD" w:rsidRDefault="006F7470" w:rsidP="006F7470">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6F7470" w:rsidRPr="00821CCD" w:rsidRDefault="006F7470" w:rsidP="006F7470">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6F7470" w:rsidRPr="00821CCD" w:rsidRDefault="006F7470" w:rsidP="006F7470">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6F7470" w:rsidRPr="00821CCD" w:rsidRDefault="006F7470" w:rsidP="006F7470">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6F7470" w:rsidRPr="00821CCD" w:rsidRDefault="006F7470" w:rsidP="006F7470">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6F7470" w:rsidRPr="00821CCD" w:rsidRDefault="006F7470" w:rsidP="006F7470">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6F7470" w:rsidRPr="00821CCD" w:rsidRDefault="006F7470" w:rsidP="006F7470">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6F7470" w:rsidRPr="00821CCD" w:rsidRDefault="006F7470" w:rsidP="006F7470">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6F7470" w:rsidRPr="00821CCD" w:rsidRDefault="006F7470" w:rsidP="006F7470">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6F7470" w:rsidRPr="00821CCD" w:rsidRDefault="006F7470" w:rsidP="006F7470">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6F7470" w:rsidRPr="00821CCD" w:rsidRDefault="006F7470" w:rsidP="006F7470">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6F7470" w:rsidRPr="00821CCD" w:rsidRDefault="006F7470" w:rsidP="006F7470">
      <w:pPr>
        <w:autoSpaceDE w:val="0"/>
        <w:autoSpaceDN w:val="0"/>
        <w:adjustRightInd w:val="0"/>
        <w:spacing w:before="240" w:line="360" w:lineRule="auto"/>
        <w:jc w:val="both"/>
        <w:rPr>
          <w:rFonts w:ascii="Palatino Linotype" w:hAnsi="Palatino Linotype"/>
        </w:rPr>
      </w:pPr>
    </w:p>
    <w:p w:rsidR="006F7470" w:rsidRPr="00821CCD" w:rsidRDefault="006F7470" w:rsidP="006F7470">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F7470" w:rsidRPr="00821CCD" w:rsidTr="003E472A">
        <w:trPr>
          <w:trHeight w:val="1360"/>
        </w:trPr>
        <w:tc>
          <w:tcPr>
            <w:tcW w:w="7982" w:type="dxa"/>
          </w:tcPr>
          <w:p w:rsidR="006F7470" w:rsidRPr="00821CCD" w:rsidRDefault="006F7470" w:rsidP="003E472A">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6F7470" w:rsidRPr="00821CCD" w:rsidRDefault="006F7470" w:rsidP="006F7470">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F7470" w:rsidRPr="00821CCD" w:rsidTr="003E472A">
        <w:trPr>
          <w:jc w:val="center"/>
        </w:trPr>
        <w:tc>
          <w:tcPr>
            <w:tcW w:w="8075" w:type="dxa"/>
          </w:tcPr>
          <w:p w:rsidR="006F7470" w:rsidRPr="00821CCD" w:rsidRDefault="006F7470" w:rsidP="003E472A">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6F7470" w:rsidRPr="00821CCD" w:rsidRDefault="006F7470" w:rsidP="003E472A">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6F7470" w:rsidRPr="00821CCD" w:rsidRDefault="006F7470" w:rsidP="003E472A">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6F7470" w:rsidRPr="00821CCD" w:rsidRDefault="006F7470" w:rsidP="003E472A">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6F7470" w:rsidRPr="00821CCD" w:rsidRDefault="006F7470" w:rsidP="003E472A">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6F7470" w:rsidRPr="00821CCD" w:rsidRDefault="006F7470" w:rsidP="003E472A">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6F7470" w:rsidRPr="00821CCD" w:rsidRDefault="006F7470" w:rsidP="003E472A">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6F7470" w:rsidRPr="00821CCD" w:rsidRDefault="006F7470" w:rsidP="003E472A">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6F7470" w:rsidRPr="00821CCD" w:rsidRDefault="006F7470" w:rsidP="003E472A">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6F7470" w:rsidRPr="00821CCD" w:rsidRDefault="006F7470" w:rsidP="003E472A">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6F7470" w:rsidRPr="00821CCD" w:rsidRDefault="006F7470" w:rsidP="003E472A">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6F7470" w:rsidRPr="00821CCD" w:rsidRDefault="006F7470" w:rsidP="006F7470">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6F7470" w:rsidRPr="00821CCD" w:rsidRDefault="006F7470" w:rsidP="006F7470">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rsidR="006F7470" w:rsidRDefault="006F7470" w:rsidP="006F7470">
      <w:pPr>
        <w:pStyle w:val="Prrafodelista"/>
        <w:autoSpaceDE w:val="0"/>
        <w:autoSpaceDN w:val="0"/>
        <w:adjustRightInd w:val="0"/>
        <w:spacing w:before="240" w:after="160" w:line="360" w:lineRule="auto"/>
        <w:ind w:left="0"/>
        <w:jc w:val="both"/>
        <w:rPr>
          <w:rFonts w:ascii="Palatino Linotype" w:hAnsi="Palatino Linotype" w:cs="Arial"/>
          <w:b/>
          <w:sz w:val="28"/>
        </w:rPr>
      </w:pPr>
    </w:p>
    <w:p w:rsidR="006F7470" w:rsidRDefault="006F7470" w:rsidP="006F7470">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rsidR="006F7470" w:rsidRPr="00B21190" w:rsidRDefault="006F7470" w:rsidP="006F7470">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F7470" w:rsidRPr="00B21190" w:rsidRDefault="006F7470" w:rsidP="006F7470">
      <w:pPr>
        <w:pStyle w:val="Prrafodelista"/>
        <w:autoSpaceDE w:val="0"/>
        <w:autoSpaceDN w:val="0"/>
        <w:adjustRightInd w:val="0"/>
        <w:spacing w:line="360" w:lineRule="auto"/>
        <w:ind w:left="0"/>
        <w:jc w:val="both"/>
        <w:rPr>
          <w:rFonts w:ascii="Palatino Linotype" w:hAnsi="Palatino Linotype" w:cs="Arial"/>
        </w:rPr>
      </w:pPr>
    </w:p>
    <w:p w:rsidR="006F7470" w:rsidRDefault="006F7470" w:rsidP="006F7470">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rsidR="006F7470" w:rsidRPr="00B21190" w:rsidRDefault="006F7470" w:rsidP="006F7470">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rsidR="006F7470" w:rsidRPr="00B21190" w:rsidRDefault="006F7470" w:rsidP="006F7470">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1627FD" w:rsidRDefault="001627FD" w:rsidP="006F7470">
      <w:pPr>
        <w:pStyle w:val="Prrafodelista"/>
        <w:autoSpaceDE w:val="0"/>
        <w:autoSpaceDN w:val="0"/>
        <w:adjustRightInd w:val="0"/>
        <w:spacing w:line="360" w:lineRule="auto"/>
        <w:ind w:left="0"/>
        <w:jc w:val="both"/>
        <w:rPr>
          <w:rFonts w:ascii="Palatino Linotype" w:hAnsi="Palatino Linotype" w:cs="Arial"/>
        </w:rPr>
      </w:pPr>
    </w:p>
    <w:p w:rsidR="006F7470" w:rsidRPr="00B21190" w:rsidRDefault="006F7470" w:rsidP="006F7470">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rsidR="006F7470" w:rsidRPr="006A6545" w:rsidRDefault="006F7470" w:rsidP="006F7470">
      <w:pPr>
        <w:pStyle w:val="Prrafodelista"/>
        <w:autoSpaceDE w:val="0"/>
        <w:autoSpaceDN w:val="0"/>
        <w:adjustRightInd w:val="0"/>
        <w:spacing w:before="240" w:after="160" w:line="360" w:lineRule="auto"/>
        <w:ind w:left="0"/>
        <w:jc w:val="both"/>
        <w:rPr>
          <w:rFonts w:ascii="Palatino Linotype" w:hAnsi="Palatino Linotype" w:cs="Arial"/>
        </w:rPr>
      </w:pPr>
      <w:r w:rsidRPr="00B21190">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F7470" w:rsidRDefault="006F7470" w:rsidP="006F7470">
      <w:pPr>
        <w:tabs>
          <w:tab w:val="left" w:pos="709"/>
        </w:tabs>
        <w:spacing w:line="360" w:lineRule="auto"/>
        <w:jc w:val="both"/>
        <w:rPr>
          <w:rFonts w:ascii="Palatino Linotype" w:hAnsi="Palatino Linotype" w:cs="Arial"/>
        </w:rPr>
      </w:pPr>
    </w:p>
    <w:p w:rsidR="006F7470" w:rsidRPr="004D52B1" w:rsidRDefault="006F7470" w:rsidP="006F7470">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rsidR="006F7470" w:rsidRPr="004D52B1" w:rsidRDefault="006F7470" w:rsidP="006F7470">
      <w:pPr>
        <w:tabs>
          <w:tab w:val="left" w:pos="709"/>
        </w:tabs>
        <w:spacing w:line="360" w:lineRule="auto"/>
        <w:jc w:val="both"/>
        <w:rPr>
          <w:rFonts w:ascii="Palatino Linotype" w:hAnsi="Palatino Linotype" w:cs="Arial"/>
        </w:rPr>
      </w:pPr>
    </w:p>
    <w:p w:rsidR="006F7470" w:rsidRDefault="006F7470" w:rsidP="006F7470">
      <w:pPr>
        <w:tabs>
          <w:tab w:val="left" w:pos="709"/>
        </w:tabs>
        <w:spacing w:line="360" w:lineRule="auto"/>
        <w:jc w:val="both"/>
        <w:rPr>
          <w:rFonts w:ascii="Palatino Linotype" w:hAnsi="Palatino Linotype" w:cs="Arial"/>
        </w:rPr>
      </w:pPr>
      <w:r w:rsidRPr="004D52B1">
        <w:rPr>
          <w:rFonts w:ascii="Palatino Linotype" w:hAnsi="Palatino Linotype" w:cs="Arial"/>
        </w:rPr>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6F7470" w:rsidRDefault="006F7470" w:rsidP="006F7470">
      <w:pPr>
        <w:tabs>
          <w:tab w:val="left" w:pos="709"/>
        </w:tabs>
        <w:spacing w:line="360" w:lineRule="auto"/>
        <w:jc w:val="both"/>
        <w:rPr>
          <w:rFonts w:ascii="Palatino Linotype" w:hAnsi="Palatino Linotype" w:cs="Arial"/>
        </w:rPr>
      </w:pPr>
    </w:p>
    <w:p w:rsidR="006F7470" w:rsidRDefault="006F7470" w:rsidP="006F7470">
      <w:pPr>
        <w:tabs>
          <w:tab w:val="left" w:pos="709"/>
        </w:tabs>
        <w:spacing w:line="360" w:lineRule="auto"/>
        <w:jc w:val="both"/>
        <w:rPr>
          <w:rFonts w:ascii="Palatino Linotype" w:hAnsi="Palatino Linotype" w:cs="Arial"/>
        </w:rPr>
      </w:pPr>
      <w:r>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6F7470" w:rsidRPr="00F74FB1" w:rsidRDefault="006F7470" w:rsidP="006F7470">
      <w:pPr>
        <w:pStyle w:val="Citas"/>
        <w:rPr>
          <w:b/>
          <w:bCs/>
        </w:rPr>
      </w:pPr>
      <w:r>
        <w:rPr>
          <w:b/>
          <w:bCs/>
        </w:rPr>
        <w:t>“</w:t>
      </w:r>
      <w:r w:rsidRPr="00F74FB1">
        <w:rPr>
          <w:b/>
          <w:bCs/>
        </w:rPr>
        <w:t>IMPROCEDENCIA. ESTUDIO PREFERENCIAL DE LAS CAUSALES PREVISTAS EN EL ARTÍCULO 73 DE LA LEY DE AMPARO.</w:t>
      </w:r>
    </w:p>
    <w:p w:rsidR="006F7470" w:rsidRDefault="006F7470" w:rsidP="006F7470">
      <w:pPr>
        <w:pStyle w:val="Citas"/>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w:t>
      </w:r>
      <w:r w:rsidRPr="00F74FB1">
        <w:t>forma preferente.</w:t>
      </w:r>
      <w:r>
        <w:t xml:space="preserv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rsidR="006F7470" w:rsidRDefault="006F7470" w:rsidP="006F7470">
      <w:pPr>
        <w:pStyle w:val="Citas"/>
      </w:pPr>
      <w:r>
        <w:t>Amparo en revisión 355/98. Raúl Salinas de Gortari. 1o. de abril de 1998. Cinco votos. Ponente: José de Jesús Gudiño Pelayo. Secretario: Mario Flores García.</w:t>
      </w:r>
    </w:p>
    <w:p w:rsidR="006F7470" w:rsidRDefault="006F7470" w:rsidP="006F7470">
      <w:pPr>
        <w:pStyle w:val="Citas"/>
      </w:pPr>
      <w:r>
        <w:t>Amparo en revisión 807/98. Byron Jackson Co., S.A. de C.V. 24 de junio de 1998. Cinco votos. Ponente: José de Jesús Gudiño Pelayo. Secretario: Miguel Ángel Ramírez González.</w:t>
      </w:r>
    </w:p>
    <w:p w:rsidR="006F7470" w:rsidRDefault="006F7470" w:rsidP="006F7470">
      <w:pPr>
        <w:pStyle w:val="Citas"/>
      </w:pPr>
      <w:r w:rsidRPr="00A65594">
        <w:t>A</w:t>
      </w:r>
      <w:r>
        <w:t>mparo en revisión 2257/97. Servicios Hoteleros Presidente San José del Cabo, S.A. de C.V. 4 de noviembre de 1998. Unanimidad de cuatro votos. Ausente: Juan N. Silva Meza. Ponente: Humberto Román Palacios. Secretario: Álvaro Tovilla León.</w:t>
      </w:r>
    </w:p>
    <w:p w:rsidR="006F7470" w:rsidRDefault="006F7470" w:rsidP="006F7470">
      <w:pPr>
        <w:pStyle w:val="Citas"/>
      </w:pPr>
      <w:r>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6F7470" w:rsidRDefault="006F7470" w:rsidP="006F7470">
      <w:pPr>
        <w:pStyle w:val="Citas"/>
      </w:pPr>
      <w:r>
        <w:t>Amparo en revisión 2447/98. José Virgilio Hernández. 18 de noviembre de 1998. Unanimidad de cuatro votos. Ausente: José de Jesús Gudiño Pelayo. Ponente: Humberto Román Palacios. Secretario: Urbano Martínez Hernández.</w:t>
      </w:r>
    </w:p>
    <w:p w:rsidR="006F7470" w:rsidRPr="00F74FB1" w:rsidRDefault="006F7470" w:rsidP="006F7470">
      <w:pPr>
        <w:pStyle w:val="Citas"/>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rsidR="006F7470" w:rsidRDefault="006F7470" w:rsidP="006F7470">
      <w:pPr>
        <w:tabs>
          <w:tab w:val="left" w:pos="709"/>
        </w:tabs>
        <w:spacing w:line="360" w:lineRule="auto"/>
        <w:jc w:val="both"/>
        <w:rPr>
          <w:rFonts w:ascii="Palatino Linotype" w:hAnsi="Palatino Linotype" w:cs="Arial"/>
        </w:rPr>
      </w:pPr>
    </w:p>
    <w:p w:rsidR="006F7470" w:rsidRDefault="006F7470" w:rsidP="006F7470">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Pr>
          <w:rFonts w:ascii="Palatino Linotype" w:hAnsi="Palatino Linotype" w:cs="Arial"/>
          <w:b/>
          <w:bCs/>
        </w:rPr>
        <w:t xml:space="preserve">00393/ALMOJU/IP/2024, </w:t>
      </w:r>
      <w:r>
        <w:rPr>
          <w:rFonts w:ascii="Palatino Linotype" w:hAnsi="Palatino Linotype" w:cs="Arial"/>
        </w:rPr>
        <w:t xml:space="preserve">que dispone a la literalidad lo siguiente: </w:t>
      </w:r>
    </w:p>
    <w:p w:rsidR="006F7470" w:rsidRPr="00547C4C" w:rsidRDefault="006F7470" w:rsidP="006F7470">
      <w:pPr>
        <w:pStyle w:val="Citas"/>
        <w:rPr>
          <w:b/>
          <w:bCs/>
          <w:sz w:val="24"/>
          <w:lang w:val="en-US"/>
        </w:rPr>
      </w:pPr>
      <w:r>
        <w:t>“</w:t>
      </w:r>
      <w:r w:rsidR="001627FD" w:rsidRPr="001627FD">
        <w:t>conciliación de nómina de la segunda quincena de mayo 2024</w:t>
      </w:r>
      <w:r w:rsidRPr="00547C4C">
        <w:rPr>
          <w:lang w:val="en-US"/>
        </w:rPr>
        <w:t>“(</w:t>
      </w:r>
      <w:r w:rsidRPr="00547C4C">
        <w:rPr>
          <w:b/>
          <w:bCs/>
          <w:lang w:val="en-US"/>
        </w:rPr>
        <w:t>Sic</w:t>
      </w:r>
      <w:r>
        <w:rPr>
          <w:b/>
          <w:bCs/>
          <w:lang w:val="en-US"/>
        </w:rPr>
        <w:t>)</w:t>
      </w:r>
    </w:p>
    <w:p w:rsidR="006F7470" w:rsidRDefault="006F7470" w:rsidP="006F7470">
      <w:pPr>
        <w:spacing w:line="360" w:lineRule="auto"/>
        <w:jc w:val="both"/>
        <w:rPr>
          <w:rFonts w:ascii="Palatino Linotype" w:hAnsi="Palatino Linotype" w:cs="Arial"/>
          <w:lang w:val="en-US"/>
        </w:rPr>
      </w:pPr>
    </w:p>
    <w:p w:rsidR="006F7470" w:rsidRDefault="006F7470" w:rsidP="006F7470">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t xml:space="preserve">Ahora bien, en respuesta a </w:t>
      </w:r>
      <w:r>
        <w:rPr>
          <w:rFonts w:ascii="Palatino Linotype" w:hAnsi="Palatino Linotype"/>
          <w:color w:val="000000"/>
          <w:lang w:val="es-ES_tradnl"/>
        </w:rPr>
        <w:t>la solicitud de información formulada</w:t>
      </w:r>
      <w:r w:rsidRPr="005836DA">
        <w:rPr>
          <w:rFonts w:ascii="Palatino Linotype" w:hAnsi="Palatino Linotype"/>
          <w:color w:val="000000"/>
          <w:lang w:val="es-ES_tradnl"/>
        </w:rPr>
        <w:t xml:space="preserve"> por </w:t>
      </w:r>
      <w:r>
        <w:rPr>
          <w:rFonts w:ascii="Palatino Linotype" w:hAnsi="Palatino Linotype"/>
          <w:color w:val="000000"/>
          <w:lang w:val="es-ES_tradnl"/>
        </w:rPr>
        <w:t>la</w:t>
      </w:r>
      <w:r w:rsidRPr="005836DA">
        <w:rPr>
          <w:rFonts w:ascii="Palatino Linotype" w:hAnsi="Palatino Linotype"/>
          <w:color w:val="000000"/>
          <w:lang w:val="es-ES_tradnl"/>
        </w:rPr>
        <w:t xml:space="preserve"> particular, </w:t>
      </w:r>
      <w:r>
        <w:rPr>
          <w:rFonts w:ascii="Palatino Linotype" w:hAnsi="Palatino Linotype"/>
          <w:b/>
          <w:bCs/>
          <w:color w:val="000000"/>
          <w:lang w:val="es-ES_tradnl"/>
        </w:rPr>
        <w:t>El</w:t>
      </w:r>
      <w:r w:rsidRPr="005836DA">
        <w:rPr>
          <w:rFonts w:ascii="Palatino Linotype" w:hAnsi="Palatino Linotype"/>
          <w:color w:val="000000"/>
          <w:lang w:val="es-ES_tradnl"/>
        </w:rPr>
        <w:t xml:space="preserve"> </w:t>
      </w:r>
      <w:r>
        <w:rPr>
          <w:rFonts w:ascii="Palatino Linotype" w:hAnsi="Palatino Linotype"/>
          <w:b/>
          <w:color w:val="000000"/>
          <w:lang w:val="es-ES_tradnl"/>
        </w:rPr>
        <w:t>S</w:t>
      </w:r>
      <w:r w:rsidRPr="005836DA">
        <w:rPr>
          <w:rFonts w:ascii="Palatino Linotype" w:hAnsi="Palatino Linotype"/>
          <w:b/>
          <w:color w:val="000000"/>
          <w:lang w:val="es-ES_tradnl"/>
        </w:rPr>
        <w:t xml:space="preserve">ujeto </w:t>
      </w:r>
      <w:r>
        <w:rPr>
          <w:rFonts w:ascii="Palatino Linotype" w:hAnsi="Palatino Linotype"/>
          <w:b/>
          <w:color w:val="000000"/>
          <w:lang w:val="es-ES_tradnl"/>
        </w:rPr>
        <w:t>O</w:t>
      </w:r>
      <w:r w:rsidRPr="005836DA">
        <w:rPr>
          <w:rFonts w:ascii="Palatino Linotype" w:hAnsi="Palatino Linotype"/>
          <w:b/>
          <w:color w:val="000000"/>
          <w:lang w:val="es-ES_tradnl"/>
        </w:rPr>
        <w:t xml:space="preserve">bligado </w:t>
      </w:r>
      <w:r w:rsidRPr="005836DA">
        <w:rPr>
          <w:rFonts w:ascii="Palatino Linotype" w:hAnsi="Palatino Linotype"/>
          <w:color w:val="000000"/>
          <w:lang w:val="es-ES_tradnl"/>
        </w:rPr>
        <w:t xml:space="preserve">emitió su respuesta </w:t>
      </w:r>
      <w:r>
        <w:rPr>
          <w:rFonts w:ascii="Palatino Linotype" w:hAnsi="Palatino Linotype"/>
          <w:color w:val="000000"/>
          <w:lang w:val="es-ES_tradnl"/>
        </w:rPr>
        <w:t>en los siguientes términos:</w:t>
      </w:r>
    </w:p>
    <w:p w:rsidR="006F7470" w:rsidRPr="009A63BD" w:rsidRDefault="001627FD" w:rsidP="001627FD">
      <w:pPr>
        <w:pStyle w:val="Prrafodelista"/>
        <w:numPr>
          <w:ilvl w:val="0"/>
          <w:numId w:val="6"/>
        </w:numPr>
        <w:spacing w:line="360" w:lineRule="auto"/>
        <w:jc w:val="both"/>
        <w:rPr>
          <w:rFonts w:ascii="Palatino Linotype" w:hAnsi="Palatino Linotype" w:cs="Arial"/>
        </w:rPr>
      </w:pPr>
      <w:r w:rsidRPr="001627FD">
        <w:rPr>
          <w:rFonts w:ascii="Palatino Linotype" w:hAnsi="Palatino Linotype" w:cs="Arial"/>
          <w:b/>
          <w:i/>
        </w:rPr>
        <w:t>Resp. Sol. 393-2024.pdf</w:t>
      </w:r>
      <w:r w:rsidR="006F7470">
        <w:rPr>
          <w:rFonts w:ascii="Palatino Linotype" w:hAnsi="Palatino Linotype" w:cs="Arial"/>
        </w:rPr>
        <w:t xml:space="preserve">: constante de </w:t>
      </w:r>
      <w:r>
        <w:rPr>
          <w:rFonts w:ascii="Palatino Linotype" w:hAnsi="Palatino Linotype" w:cs="Arial"/>
        </w:rPr>
        <w:t>once</w:t>
      </w:r>
      <w:r w:rsidR="006F7470">
        <w:rPr>
          <w:rFonts w:ascii="Palatino Linotype" w:hAnsi="Palatino Linotype" w:cs="Arial"/>
        </w:rPr>
        <w:t xml:space="preserve"> foja</w:t>
      </w:r>
      <w:r>
        <w:rPr>
          <w:rFonts w:ascii="Palatino Linotype" w:hAnsi="Palatino Linotype" w:cs="Arial"/>
        </w:rPr>
        <w:t>s</w:t>
      </w:r>
      <w:r w:rsidR="006F7470">
        <w:rPr>
          <w:rFonts w:ascii="Palatino Linotype" w:hAnsi="Palatino Linotype" w:cs="Arial"/>
        </w:rPr>
        <w:t>, en formato pdf,</w:t>
      </w:r>
      <w:r w:rsidR="006F7470" w:rsidRPr="009A63BD">
        <w:rPr>
          <w:rFonts w:ascii="Palatino Linotype" w:hAnsi="Palatino Linotype" w:cs="Arial"/>
        </w:rPr>
        <w:t xml:space="preserve"> contiene el oficio número </w:t>
      </w:r>
      <w:r>
        <w:rPr>
          <w:rFonts w:ascii="Palatino Linotype" w:hAnsi="Palatino Linotype" w:cs="Arial"/>
        </w:rPr>
        <w:t>PMAJ</w:t>
      </w:r>
      <w:r w:rsidR="006F7470" w:rsidRPr="009A63BD">
        <w:rPr>
          <w:rFonts w:ascii="Palatino Linotype" w:hAnsi="Palatino Linotype" w:cs="Arial"/>
        </w:rPr>
        <w:t>/</w:t>
      </w:r>
      <w:r>
        <w:rPr>
          <w:rFonts w:ascii="Palatino Linotype" w:hAnsi="Palatino Linotype" w:cs="Arial"/>
        </w:rPr>
        <w:t>TM/STF</w:t>
      </w:r>
      <w:r w:rsidR="006F7470" w:rsidRPr="009A63BD">
        <w:rPr>
          <w:rFonts w:ascii="Palatino Linotype" w:hAnsi="Palatino Linotype" w:cs="Arial"/>
        </w:rPr>
        <w:t>/</w:t>
      </w:r>
      <w:r>
        <w:rPr>
          <w:rFonts w:ascii="Palatino Linotype" w:hAnsi="Palatino Linotype" w:cs="Arial"/>
        </w:rPr>
        <w:t>849</w:t>
      </w:r>
      <w:r w:rsidR="006F7470" w:rsidRPr="009A63BD">
        <w:rPr>
          <w:rFonts w:ascii="Palatino Linotype" w:hAnsi="Palatino Linotype" w:cs="Arial"/>
        </w:rPr>
        <w:t>/2024, firmado por la T</w:t>
      </w:r>
      <w:r>
        <w:rPr>
          <w:rFonts w:ascii="Palatino Linotype" w:hAnsi="Palatino Linotype" w:cs="Arial"/>
        </w:rPr>
        <w:t>esorera Municipal,</w:t>
      </w:r>
      <w:r w:rsidR="006F7470" w:rsidRPr="009A63BD">
        <w:rPr>
          <w:rFonts w:ascii="Palatino Linotype" w:hAnsi="Palatino Linotype" w:cs="Arial"/>
        </w:rPr>
        <w:t xml:space="preserve"> en </w:t>
      </w:r>
      <w:r>
        <w:rPr>
          <w:rFonts w:ascii="Palatino Linotype" w:hAnsi="Palatino Linotype" w:cs="Arial"/>
        </w:rPr>
        <w:t>el</w:t>
      </w:r>
      <w:r w:rsidR="006F7470" w:rsidRPr="009A63BD">
        <w:rPr>
          <w:rFonts w:ascii="Palatino Linotype" w:hAnsi="Palatino Linotype" w:cs="Arial"/>
        </w:rPr>
        <w:t xml:space="preserve"> que</w:t>
      </w:r>
      <w:r w:rsidR="006F7470">
        <w:rPr>
          <w:rFonts w:ascii="Palatino Linotype" w:hAnsi="Palatino Linotype" w:cs="Arial"/>
        </w:rPr>
        <w:t xml:space="preserve"> sustancialmente </w:t>
      </w:r>
      <w:r w:rsidR="00B5567F">
        <w:rPr>
          <w:rFonts w:ascii="Palatino Linotype" w:hAnsi="Palatino Linotype" w:cs="Arial"/>
        </w:rPr>
        <w:t xml:space="preserve">realiza un cambio de modalidad a Consulta Directa, así como el cobro de derechos. </w:t>
      </w:r>
    </w:p>
    <w:p w:rsidR="00B5567F" w:rsidRDefault="00B5567F" w:rsidP="006F7470">
      <w:pPr>
        <w:spacing w:before="240" w:line="360" w:lineRule="auto"/>
        <w:jc w:val="both"/>
        <w:rPr>
          <w:rFonts w:ascii="Palatino Linotype" w:hAnsi="Palatino Linotype"/>
        </w:rPr>
      </w:pPr>
    </w:p>
    <w:p w:rsidR="006F7470" w:rsidRDefault="006F7470" w:rsidP="006F7470">
      <w:pPr>
        <w:spacing w:before="240" w:line="360" w:lineRule="auto"/>
        <w:jc w:val="both"/>
        <w:rPr>
          <w:rFonts w:ascii="Palatino Linotype" w:hAnsi="Palatino Linotype"/>
        </w:rPr>
      </w:pPr>
      <w:r w:rsidRPr="00060EA5">
        <w:rPr>
          <w:rFonts w:ascii="Palatino Linotype" w:hAnsi="Palatino Linotype"/>
        </w:rPr>
        <w:t>Inconforme con la</w:t>
      </w:r>
      <w:r>
        <w:rPr>
          <w:rFonts w:ascii="Palatino Linotype" w:hAnsi="Palatino Linotype"/>
        </w:rPr>
        <w:t xml:space="preserve"> respuesta del </w:t>
      </w:r>
      <w:r>
        <w:rPr>
          <w:rFonts w:ascii="Palatino Linotype" w:hAnsi="Palatino Linotype"/>
          <w:b/>
          <w:bCs/>
        </w:rPr>
        <w:t xml:space="preserve">Sujeto Obligado, El Recurrente </w:t>
      </w:r>
      <w:r>
        <w:rPr>
          <w:rFonts w:ascii="Palatino Linotype" w:hAnsi="Palatino Linotype"/>
        </w:rPr>
        <w:t xml:space="preserve">interpuso recurso de revisión señalando </w:t>
      </w:r>
      <w:r w:rsidR="00B5567F">
        <w:rPr>
          <w:rFonts w:ascii="Palatino Linotype" w:hAnsi="Palatino Linotype"/>
        </w:rPr>
        <w:t>lo siguiente</w:t>
      </w:r>
      <w:r>
        <w:rPr>
          <w:rFonts w:ascii="Palatino Linotype" w:hAnsi="Palatino Linotype"/>
        </w:rPr>
        <w:t>:</w:t>
      </w:r>
    </w:p>
    <w:p w:rsidR="006F7470" w:rsidRDefault="006F7470" w:rsidP="006F7470">
      <w:pPr>
        <w:spacing w:before="240" w:line="360" w:lineRule="auto"/>
        <w:jc w:val="both"/>
        <w:rPr>
          <w:rFonts w:ascii="Palatino Linotype" w:hAnsi="Palatino Linotype" w:cs="Arial"/>
          <w:b/>
        </w:rPr>
      </w:pPr>
      <w:r>
        <w:rPr>
          <w:rFonts w:ascii="Palatino Linotype" w:hAnsi="Palatino Linotype" w:cs="Arial"/>
          <w:b/>
        </w:rPr>
        <w:t>Acto Impugnado y Razones o Motivos de Inconformidad:</w:t>
      </w:r>
    </w:p>
    <w:p w:rsidR="006F7470" w:rsidRPr="00F10B2F" w:rsidRDefault="006F7470" w:rsidP="006F7470">
      <w:pPr>
        <w:pStyle w:val="Citas"/>
        <w:rPr>
          <w:b/>
          <w:bCs/>
        </w:rPr>
      </w:pPr>
      <w:r w:rsidRPr="0070251A">
        <w:t>“</w:t>
      </w:r>
      <w:r w:rsidR="00B5567F" w:rsidRPr="00B5567F">
        <w:t>Información falsa</w:t>
      </w:r>
      <w:r w:rsidRPr="0070251A">
        <w:t>”</w:t>
      </w:r>
      <w:r w:rsidRPr="00F10B2F">
        <w:t xml:space="preserve"> </w:t>
      </w:r>
      <w:r>
        <w:rPr>
          <w:b/>
          <w:bCs/>
        </w:rPr>
        <w:t>(Sic)</w:t>
      </w:r>
    </w:p>
    <w:p w:rsidR="006F7470" w:rsidRDefault="006F7470" w:rsidP="006F7470">
      <w:pPr>
        <w:pStyle w:val="Prrafodelista"/>
        <w:spacing w:line="360" w:lineRule="auto"/>
        <w:ind w:left="0"/>
        <w:contextualSpacing/>
        <w:jc w:val="both"/>
        <w:rPr>
          <w:rFonts w:ascii="Palatino Linotype" w:hAnsi="Palatino Linotype"/>
          <w:iCs/>
        </w:rPr>
      </w:pPr>
    </w:p>
    <w:p w:rsidR="006F7470" w:rsidRPr="00996BE9" w:rsidRDefault="006F7470" w:rsidP="006F7470">
      <w:pPr>
        <w:spacing w:line="360" w:lineRule="auto"/>
        <w:jc w:val="both"/>
        <w:rPr>
          <w:rFonts w:ascii="Palatino Linotype" w:hAnsi="Palatino Linotype" w:cs="Arial"/>
        </w:rPr>
      </w:pPr>
      <w:r w:rsidRPr="00996BE9">
        <w:rPr>
          <w:rFonts w:ascii="Palatino Linotype" w:hAnsi="Palatino Linotype" w:cs="Arial"/>
        </w:rPr>
        <w:t>En ese orden de ideas, debemos recordar el contenido del artículo 12 de la Ley de Transparencia local, que establece lo siguiente:</w:t>
      </w:r>
    </w:p>
    <w:p w:rsidR="006F7470" w:rsidRPr="00996BE9" w:rsidRDefault="006F7470" w:rsidP="006F7470">
      <w:pPr>
        <w:spacing w:line="360" w:lineRule="auto"/>
        <w:jc w:val="both"/>
        <w:rPr>
          <w:rFonts w:ascii="Palatino Linotype" w:hAnsi="Palatino Linotype" w:cs="Arial"/>
        </w:rPr>
      </w:pPr>
    </w:p>
    <w:p w:rsidR="006F7470" w:rsidRPr="00996BE9" w:rsidRDefault="006F7470" w:rsidP="006F7470">
      <w:pPr>
        <w:spacing w:line="276" w:lineRule="auto"/>
        <w:ind w:left="567" w:right="616"/>
        <w:jc w:val="both"/>
        <w:rPr>
          <w:rFonts w:ascii="Palatino Linotype" w:hAnsi="Palatino Linotype" w:cs="Arial"/>
          <w:i/>
          <w:sz w:val="22"/>
        </w:rPr>
      </w:pPr>
      <w:r w:rsidRPr="00996BE9">
        <w:rPr>
          <w:rFonts w:ascii="Palatino Linotype" w:hAnsi="Palatino Linotype" w:cs="Arial"/>
          <w:i/>
          <w:sz w:val="22"/>
        </w:rPr>
        <w:t>“</w:t>
      </w:r>
      <w:r w:rsidRPr="00996BE9">
        <w:rPr>
          <w:rFonts w:ascii="Palatino Linotype" w:hAnsi="Palatino Linotype" w:cs="Arial"/>
          <w:b/>
          <w:i/>
          <w:sz w:val="22"/>
        </w:rPr>
        <w:t>Artículo 12.</w:t>
      </w:r>
      <w:r w:rsidRPr="00996BE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rsidR="006F7470" w:rsidRPr="00996BE9" w:rsidRDefault="006F7470" w:rsidP="006F7470">
      <w:pPr>
        <w:spacing w:line="276" w:lineRule="auto"/>
        <w:ind w:left="567" w:right="616"/>
        <w:jc w:val="both"/>
        <w:rPr>
          <w:rFonts w:ascii="Palatino Linotype" w:hAnsi="Palatino Linotype" w:cs="Arial"/>
          <w:i/>
          <w:sz w:val="22"/>
        </w:rPr>
      </w:pPr>
      <w:r w:rsidRPr="00996BE9">
        <w:rPr>
          <w:rFonts w:ascii="Palatino Linotype" w:hAnsi="Palatino Linotype" w:cs="Arial"/>
          <w:i/>
          <w:sz w:val="22"/>
          <w:u w:val="single"/>
        </w:rPr>
        <w:t>Los sujetos obligados sólo proporcionarán la información pública que se les requiera y que obre en sus archivos y en el estado en que ésta se encuentre.</w:t>
      </w:r>
      <w:r w:rsidRPr="00996BE9">
        <w:rPr>
          <w:rFonts w:ascii="Palatino Linotype" w:hAnsi="Palatino Linotype" w:cs="Arial"/>
          <w:i/>
          <w:sz w:val="22"/>
        </w:rPr>
        <w:t xml:space="preserve"> La obligación de proporcionar información no comprende el procesamiento de la misma, ni el presentarla conforme al interés del solicitante; no estarán obligados a generarla, resumirla, efectuar cálculos o practicar investigaciones.” </w:t>
      </w:r>
    </w:p>
    <w:p w:rsidR="006F7470" w:rsidRPr="00996BE9" w:rsidRDefault="006F7470" w:rsidP="006F7470">
      <w:pPr>
        <w:spacing w:line="276" w:lineRule="auto"/>
        <w:ind w:left="567" w:right="616"/>
        <w:jc w:val="both"/>
        <w:rPr>
          <w:rFonts w:ascii="Palatino Linotype" w:hAnsi="Palatino Linotype" w:cs="Arial"/>
          <w:i/>
          <w:sz w:val="22"/>
        </w:rPr>
      </w:pPr>
    </w:p>
    <w:p w:rsidR="006F7470" w:rsidRPr="00996BE9" w:rsidRDefault="006F7470" w:rsidP="006F7470">
      <w:pPr>
        <w:spacing w:line="276" w:lineRule="auto"/>
        <w:ind w:left="567" w:right="616"/>
        <w:jc w:val="right"/>
        <w:rPr>
          <w:rFonts w:ascii="Palatino Linotype" w:hAnsi="Palatino Linotype" w:cs="Arial"/>
          <w:sz w:val="22"/>
        </w:rPr>
      </w:pPr>
      <w:r w:rsidRPr="00996BE9">
        <w:rPr>
          <w:rFonts w:ascii="Palatino Linotype" w:hAnsi="Palatino Linotype" w:cs="Arial"/>
          <w:sz w:val="22"/>
        </w:rPr>
        <w:t>(Énfasis añadido)</w:t>
      </w:r>
    </w:p>
    <w:p w:rsidR="006F7470" w:rsidRDefault="006F7470" w:rsidP="006F7470">
      <w:pPr>
        <w:spacing w:line="360" w:lineRule="auto"/>
        <w:jc w:val="both"/>
        <w:rPr>
          <w:rFonts w:ascii="Palatino Linotype" w:hAnsi="Palatino Linotype" w:cs="Arial"/>
        </w:rPr>
      </w:pPr>
    </w:p>
    <w:p w:rsidR="006F7470" w:rsidRPr="00996BE9" w:rsidRDefault="006F7470" w:rsidP="006F7470">
      <w:pPr>
        <w:spacing w:line="360" w:lineRule="auto"/>
        <w:jc w:val="both"/>
        <w:rPr>
          <w:rFonts w:ascii="Palatino Linotype" w:hAnsi="Palatino Linotype" w:cs="Arial"/>
          <w:b/>
        </w:rPr>
      </w:pPr>
      <w:r w:rsidRPr="00996BE9">
        <w:rPr>
          <w:rFonts w:ascii="Palatino Linotype" w:hAnsi="Palatino Linotype" w:cs="Arial"/>
        </w:rPr>
        <w:t>Orden normativo que consagra la obligación de los Sujeto Obligados de hacer entrega de la información que se les requiera y que obre en sus archivos</w:t>
      </w:r>
      <w:r>
        <w:rPr>
          <w:rFonts w:ascii="Palatino Linotype" w:hAnsi="Palatino Linotype" w:cs="Arial"/>
        </w:rPr>
        <w:t xml:space="preserve"> </w:t>
      </w:r>
      <w:r w:rsidRPr="00FC7CA0">
        <w:rPr>
          <w:rFonts w:ascii="Palatino Linotype" w:hAnsi="Palatino Linotype" w:cs="Arial"/>
        </w:rPr>
        <w:t>en el estado en que ésta se encuentre</w:t>
      </w:r>
      <w:r>
        <w:rPr>
          <w:rFonts w:ascii="Palatino Linotype" w:hAnsi="Palatino Linotype" w:cs="Arial"/>
        </w:rPr>
        <w:t>, sin que comprenda</w:t>
      </w:r>
      <w:r w:rsidRPr="00FC7CA0">
        <w:rPr>
          <w:rFonts w:ascii="Palatino Linotype" w:hAnsi="Palatino Linotype" w:cs="Arial"/>
        </w:rPr>
        <w:t xml:space="preserve"> el procesamiento de la misma, ni el presentarla conforme al interés del solicitante</w:t>
      </w:r>
      <w:r>
        <w:rPr>
          <w:rFonts w:ascii="Palatino Linotype" w:hAnsi="Palatino Linotype" w:cs="Arial"/>
        </w:rPr>
        <w:t>.</w:t>
      </w:r>
    </w:p>
    <w:p w:rsidR="006F7470" w:rsidRPr="00996BE9" w:rsidRDefault="006F7470" w:rsidP="006F7470">
      <w:pPr>
        <w:tabs>
          <w:tab w:val="left" w:pos="709"/>
        </w:tabs>
        <w:spacing w:line="360" w:lineRule="auto"/>
        <w:jc w:val="both"/>
        <w:rPr>
          <w:rFonts w:ascii="Palatino Linotype" w:eastAsiaTheme="minorHAnsi" w:hAnsi="Palatino Linotype" w:cs="Arial"/>
          <w:b/>
          <w:lang w:val="es-MX" w:eastAsia="en-US"/>
        </w:rPr>
      </w:pPr>
    </w:p>
    <w:p w:rsidR="006F7470" w:rsidRPr="00FC7CA0" w:rsidRDefault="006F7470" w:rsidP="006F7470">
      <w:pPr>
        <w:spacing w:line="360" w:lineRule="auto"/>
        <w:jc w:val="both"/>
        <w:rPr>
          <w:rFonts w:ascii="Palatino Linotype" w:hAnsi="Palatino Linotype" w:cs="Arial"/>
          <w:bCs/>
          <w:lang w:val="es-MX"/>
        </w:rPr>
      </w:pPr>
      <w:r w:rsidRPr="00FC7CA0">
        <w:rPr>
          <w:rFonts w:ascii="Palatino Linotype" w:hAnsi="Palatino Linotype" w:cs="Arial"/>
          <w:bCs/>
          <w:lang w:val="es-MX"/>
        </w:rPr>
        <w:t xml:space="preserve">Adicionalmente, es de destacar que este Órgano Garante no está facultado para manifestarse sobre la veracidad de lo afirmado por parte del </w:t>
      </w:r>
      <w:r w:rsidRPr="00FC7CA0">
        <w:rPr>
          <w:rFonts w:ascii="Palatino Linotype" w:hAnsi="Palatino Linotype" w:cs="Arial"/>
          <w:b/>
          <w:bCs/>
          <w:lang w:val="es-MX"/>
        </w:rPr>
        <w:t>Sujeto Obligado</w:t>
      </w:r>
      <w:r w:rsidRPr="00FC7CA0">
        <w:rPr>
          <w:rFonts w:ascii="Palatino Linotype" w:hAnsi="Palatino Linotype" w:cs="Arial"/>
          <w:bCs/>
          <w:lang w:val="es-MX"/>
        </w:rPr>
        <w:t xml:space="preserve"> pues no existe precepto legal alguno en la Ley de la materia que lo faculte para ello. </w:t>
      </w:r>
    </w:p>
    <w:p w:rsidR="006F7470" w:rsidRPr="00FC7CA0" w:rsidRDefault="006F7470" w:rsidP="006F7470">
      <w:pPr>
        <w:rPr>
          <w:lang w:val="es-MX"/>
        </w:rPr>
      </w:pPr>
    </w:p>
    <w:p w:rsidR="006F7470" w:rsidRPr="00FC7CA0" w:rsidRDefault="006F7470" w:rsidP="006F7470">
      <w:pPr>
        <w:rPr>
          <w:sz w:val="2"/>
          <w:lang w:val="es-MX"/>
        </w:rPr>
      </w:pPr>
    </w:p>
    <w:p w:rsidR="006F7470" w:rsidRPr="00FC7CA0" w:rsidRDefault="006F7470" w:rsidP="006F7470">
      <w:pPr>
        <w:spacing w:before="240" w:after="240" w:line="360" w:lineRule="auto"/>
        <w:jc w:val="both"/>
        <w:rPr>
          <w:rFonts w:ascii="Palatino Linotype" w:eastAsia="Calibri" w:hAnsi="Palatino Linotype"/>
          <w:szCs w:val="22"/>
          <w:lang w:val="es-MX" w:eastAsia="en-US"/>
        </w:rPr>
      </w:pPr>
      <w:r w:rsidRPr="00FC7CA0">
        <w:rPr>
          <w:rFonts w:ascii="Palatino Linotype" w:eastAsia="Calibri" w:hAnsi="Palatino Linotype" w:cs="Arial"/>
          <w:szCs w:val="22"/>
          <w:lang w:val="es-MX" w:eastAsia="en-US"/>
        </w:rPr>
        <w:t>Lo anterior se robustece con lo plasmado en el criterio</w:t>
      </w:r>
      <w:r w:rsidRPr="00FC7CA0">
        <w:rPr>
          <w:rFonts w:ascii="Palatino Linotype" w:eastAsia="Calibri" w:hAnsi="Palatino Linotype"/>
          <w:szCs w:val="22"/>
          <w:lang w:val="es-MX" w:eastAsia="en-US"/>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rsidR="006F7470" w:rsidRPr="00FC7CA0" w:rsidRDefault="006F7470" w:rsidP="006F7470">
      <w:pPr>
        <w:rPr>
          <w:sz w:val="6"/>
          <w:lang w:val="es-MX"/>
        </w:rPr>
      </w:pPr>
    </w:p>
    <w:p w:rsidR="006F7470" w:rsidRPr="00FC7CA0" w:rsidRDefault="006F7470" w:rsidP="006F7470">
      <w:pPr>
        <w:spacing w:line="276" w:lineRule="auto"/>
        <w:ind w:left="1068" w:right="1043"/>
        <w:jc w:val="both"/>
        <w:rPr>
          <w:rFonts w:ascii="Palatino Linotype" w:hAnsi="Palatino Linotype"/>
          <w:i/>
          <w:sz w:val="22"/>
        </w:rPr>
      </w:pPr>
      <w:r w:rsidRPr="00FC7CA0">
        <w:rPr>
          <w:rFonts w:ascii="Palatino Linotype" w:hAnsi="Palatino Linotype"/>
          <w:i/>
          <w:sz w:val="22"/>
        </w:rPr>
        <w:t>“</w:t>
      </w:r>
      <w:r w:rsidRPr="00FC7CA0">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FC7CA0">
        <w:rPr>
          <w:rFonts w:ascii="Palatino Linotype" w:hAnsi="Palatino Linotype"/>
          <w:b/>
          <w:i/>
          <w:sz w:val="22"/>
        </w:rPr>
        <w:t>.</w:t>
      </w:r>
      <w:r w:rsidRPr="00FC7CA0">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6F7470" w:rsidRPr="00FC7CA0" w:rsidRDefault="006F7470" w:rsidP="006F7470">
      <w:pPr>
        <w:autoSpaceDE w:val="0"/>
        <w:autoSpaceDN w:val="0"/>
        <w:adjustRightInd w:val="0"/>
        <w:spacing w:line="360" w:lineRule="auto"/>
        <w:jc w:val="both"/>
        <w:rPr>
          <w:rFonts w:ascii="Palatino Linotype" w:eastAsiaTheme="minorHAnsi" w:hAnsi="Palatino Linotype" w:cstheme="minorBidi"/>
          <w:lang w:val="es-MX" w:eastAsia="en-US"/>
        </w:rPr>
      </w:pPr>
    </w:p>
    <w:p w:rsidR="006F7470" w:rsidRPr="005439E8" w:rsidRDefault="006F7470" w:rsidP="006F7470">
      <w:pPr>
        <w:spacing w:line="360" w:lineRule="auto"/>
        <w:jc w:val="both"/>
        <w:rPr>
          <w:rFonts w:ascii="Palatino Linotype" w:hAnsi="Palatino Linotype"/>
          <w:bCs/>
          <w:i/>
        </w:rPr>
      </w:pPr>
      <w:r>
        <w:rPr>
          <w:rFonts w:ascii="Palatino Linotype" w:hAnsi="Palatino Linotype"/>
          <w:bCs/>
          <w:lang w:val="es-MX"/>
        </w:rPr>
        <w:t xml:space="preserve">Ahora bien, </w:t>
      </w:r>
      <w:r>
        <w:rPr>
          <w:rFonts w:ascii="Palatino Linotype" w:hAnsi="Palatino Linotype"/>
          <w:bCs/>
        </w:rPr>
        <w:t xml:space="preserve">inconforme con la respuesta proporcionada, el </w:t>
      </w:r>
      <w:r>
        <w:rPr>
          <w:rFonts w:ascii="Palatino Linotype" w:hAnsi="Palatino Linotype"/>
          <w:b/>
          <w:bCs/>
        </w:rPr>
        <w:t>Recurrente</w:t>
      </w:r>
      <w:r>
        <w:rPr>
          <w:rFonts w:ascii="Palatino Linotype" w:hAnsi="Palatino Linotype"/>
          <w:bCs/>
        </w:rPr>
        <w:t xml:space="preserve"> interpone el presente recurso de revisión, señalando objetivamente como acto impugnado </w:t>
      </w:r>
      <w:r w:rsidR="00B5567F">
        <w:rPr>
          <w:rFonts w:ascii="Palatino Linotype" w:hAnsi="Palatino Linotype"/>
          <w:bCs/>
        </w:rPr>
        <w:t xml:space="preserve">y razones o motivos de inconformidad </w:t>
      </w:r>
      <w:r>
        <w:rPr>
          <w:rFonts w:ascii="Palatino Linotype" w:hAnsi="Palatino Linotype"/>
          <w:bCs/>
        </w:rPr>
        <w:t>“</w:t>
      </w:r>
      <w:r w:rsidR="00B5567F" w:rsidRPr="00B5567F">
        <w:rPr>
          <w:rFonts w:ascii="Palatino Linotype" w:hAnsi="Palatino Linotype"/>
          <w:bCs/>
          <w:i/>
          <w:caps/>
        </w:rPr>
        <w:t>Información falsa</w:t>
      </w:r>
      <w:r>
        <w:rPr>
          <w:rFonts w:ascii="Palatino Linotype" w:hAnsi="Palatino Linotype"/>
          <w:bCs/>
          <w:i/>
        </w:rPr>
        <w:t>”</w:t>
      </w:r>
      <w:r>
        <w:rPr>
          <w:rFonts w:ascii="Palatino Linotype" w:hAnsi="Palatino Linotype"/>
          <w:bCs/>
        </w:rPr>
        <w:t xml:space="preserve"> (sic), ante ello se destaca que dichos señalamientos resultan improcedentes para la interposición del recurso de revisión, ello con base en la fracción V del artículo 191 de la citada Ley de Transparencia Local, que consagra:</w:t>
      </w:r>
    </w:p>
    <w:p w:rsidR="006F7470" w:rsidRDefault="006F7470" w:rsidP="006F7470">
      <w:pPr>
        <w:spacing w:line="360" w:lineRule="auto"/>
        <w:jc w:val="both"/>
        <w:rPr>
          <w:rFonts w:ascii="Palatino Linotype" w:hAnsi="Palatino Linotype"/>
          <w:bCs/>
        </w:rPr>
      </w:pPr>
    </w:p>
    <w:p w:rsidR="00B5567F" w:rsidRPr="00B21190" w:rsidRDefault="00B5567F" w:rsidP="00B5567F">
      <w:pPr>
        <w:pStyle w:val="Citas"/>
      </w:pPr>
      <w:r w:rsidRPr="00B21190">
        <w:t xml:space="preserve">“Artículo 191. El recurso será desechado por improcedente cuando: </w:t>
      </w:r>
      <w:r>
        <w:tab/>
      </w:r>
    </w:p>
    <w:p w:rsidR="00B5567F" w:rsidRPr="00B21190" w:rsidRDefault="00B5567F" w:rsidP="00B5567F">
      <w:pPr>
        <w:pStyle w:val="Citas"/>
        <w:numPr>
          <w:ilvl w:val="0"/>
          <w:numId w:val="2"/>
        </w:numPr>
        <w:rPr>
          <w:rFonts w:cs="Times New Roman"/>
          <w:lang w:val="es-ES" w:eastAsia="es-ES"/>
        </w:rPr>
      </w:pPr>
      <w:r w:rsidRPr="00B21190">
        <w:rPr>
          <w:rFonts w:cs="Times New Roman"/>
          <w:lang w:val="es-ES" w:eastAsia="es-ES"/>
        </w:rPr>
        <w:t xml:space="preserve">Sea extemporáneo por haber transcurrido el plazo establecido en la presente Ley, a partir de la respuesta; </w:t>
      </w:r>
    </w:p>
    <w:p w:rsidR="00B5567F" w:rsidRPr="00B21190" w:rsidRDefault="00B5567F" w:rsidP="00B5567F">
      <w:pPr>
        <w:pStyle w:val="Citas"/>
        <w:numPr>
          <w:ilvl w:val="0"/>
          <w:numId w:val="2"/>
        </w:numPr>
        <w:rPr>
          <w:lang w:val="es-ES" w:eastAsia="es-ES"/>
        </w:rPr>
      </w:pPr>
      <w:r w:rsidRPr="00B21190">
        <w:rPr>
          <w:rFonts w:cs="Times New Roman"/>
          <w:lang w:val="es-ES" w:eastAsia="es-ES"/>
        </w:rPr>
        <w:t xml:space="preserve">Se esté tramitando ante el Poder Judicial de la Federación algún recurso o medio de defensa interpuesto por el recurrente; </w:t>
      </w:r>
    </w:p>
    <w:p w:rsidR="00B5567F" w:rsidRPr="006479FA" w:rsidRDefault="00B5567F" w:rsidP="00B5567F">
      <w:pPr>
        <w:pStyle w:val="Citas"/>
        <w:numPr>
          <w:ilvl w:val="0"/>
          <w:numId w:val="2"/>
        </w:numPr>
        <w:rPr>
          <w:lang w:val="es-ES" w:eastAsia="es-ES"/>
        </w:rPr>
      </w:pPr>
      <w:r w:rsidRPr="006479FA">
        <w:rPr>
          <w:rFonts w:cs="Times New Roman"/>
          <w:lang w:val="es-ES" w:eastAsia="es-ES"/>
        </w:rPr>
        <w:t xml:space="preserve">No actualice alguno de los supuestos previstos en la presente Ley; </w:t>
      </w:r>
    </w:p>
    <w:p w:rsidR="00B5567F" w:rsidRPr="00B21190" w:rsidRDefault="00B5567F" w:rsidP="00B5567F">
      <w:pPr>
        <w:pStyle w:val="Citas"/>
        <w:numPr>
          <w:ilvl w:val="0"/>
          <w:numId w:val="2"/>
        </w:numPr>
        <w:rPr>
          <w:lang w:val="es-ES" w:eastAsia="es-ES"/>
        </w:rPr>
      </w:pPr>
      <w:r w:rsidRPr="00B21190">
        <w:rPr>
          <w:rFonts w:cs="Times New Roman"/>
          <w:lang w:val="es-ES" w:eastAsia="es-ES"/>
        </w:rPr>
        <w:t xml:space="preserve">No se haya desahogado la prevención en los términos establecidos en la presente Ley; </w:t>
      </w:r>
    </w:p>
    <w:p w:rsidR="00B5567F" w:rsidRPr="00B5567F" w:rsidRDefault="00B5567F" w:rsidP="00B5567F">
      <w:pPr>
        <w:pStyle w:val="Citas"/>
        <w:numPr>
          <w:ilvl w:val="0"/>
          <w:numId w:val="2"/>
        </w:numPr>
        <w:rPr>
          <w:b/>
          <w:u w:val="single"/>
          <w:lang w:val="es-ES" w:eastAsia="es-ES"/>
        </w:rPr>
      </w:pPr>
      <w:r w:rsidRPr="00B5567F">
        <w:rPr>
          <w:rFonts w:cs="Times New Roman"/>
          <w:b/>
          <w:u w:val="single"/>
          <w:lang w:val="es-ES" w:eastAsia="es-ES"/>
        </w:rPr>
        <w:t xml:space="preserve">Se impugne la veracidad de la información proporcionada; </w:t>
      </w:r>
    </w:p>
    <w:p w:rsidR="00B5567F" w:rsidRPr="00B5567F" w:rsidRDefault="00B5567F" w:rsidP="00B5567F">
      <w:pPr>
        <w:pStyle w:val="Citas"/>
        <w:numPr>
          <w:ilvl w:val="0"/>
          <w:numId w:val="2"/>
        </w:numPr>
        <w:rPr>
          <w:bCs/>
          <w:lang w:val="es-ES" w:eastAsia="es-ES"/>
        </w:rPr>
      </w:pPr>
      <w:r w:rsidRPr="00B5567F">
        <w:rPr>
          <w:rFonts w:cs="Times New Roman"/>
          <w:bCs/>
          <w:lang w:val="es-ES" w:eastAsia="es-ES"/>
        </w:rPr>
        <w:t xml:space="preserve">Se trate de una consulta, o trámite en específico; y </w:t>
      </w:r>
    </w:p>
    <w:p w:rsidR="00B5567F" w:rsidRPr="00B21190" w:rsidRDefault="00B5567F" w:rsidP="00B5567F">
      <w:pPr>
        <w:pStyle w:val="Citas"/>
        <w:numPr>
          <w:ilvl w:val="0"/>
          <w:numId w:val="2"/>
        </w:numPr>
        <w:rPr>
          <w:lang w:val="es-ES" w:eastAsia="es-ES"/>
        </w:rPr>
      </w:pPr>
      <w:r w:rsidRPr="00B21190">
        <w:rPr>
          <w:rFonts w:cs="Times New Roman"/>
          <w:lang w:val="es-ES" w:eastAsia="es-ES"/>
        </w:rPr>
        <w:t>El recurrente amplíe su solicitud en el recurso de revisión, únicamente respecto de los nuevos contenidos.</w:t>
      </w:r>
      <w:r>
        <w:rPr>
          <w:rFonts w:cs="Times New Roman"/>
          <w:lang w:val="es-ES" w:eastAsia="es-ES"/>
        </w:rPr>
        <w:t xml:space="preserve">” </w:t>
      </w:r>
      <w:r>
        <w:rPr>
          <w:rFonts w:cs="Times New Roman"/>
          <w:b/>
          <w:bCs/>
          <w:lang w:val="es-ES" w:eastAsia="es-ES"/>
        </w:rPr>
        <w:t>(Sic)</w:t>
      </w:r>
    </w:p>
    <w:p w:rsidR="006F7470" w:rsidRDefault="006F7470" w:rsidP="006F7470">
      <w:pPr>
        <w:spacing w:line="360" w:lineRule="auto"/>
        <w:jc w:val="both"/>
        <w:rPr>
          <w:rFonts w:ascii="Palatino Linotype" w:hAnsi="Palatino Linotype"/>
          <w:bCs/>
        </w:rPr>
      </w:pPr>
    </w:p>
    <w:p w:rsidR="006F7470" w:rsidRDefault="006F7470" w:rsidP="006F7470">
      <w:pPr>
        <w:spacing w:line="360" w:lineRule="auto"/>
        <w:jc w:val="both"/>
        <w:rPr>
          <w:rFonts w:ascii="Palatino Linotype" w:hAnsi="Palatino Linotype"/>
          <w:bCs/>
        </w:rPr>
      </w:pPr>
      <w:r>
        <w:rPr>
          <w:rFonts w:ascii="Palatino Linotype" w:hAnsi="Palatino Linotype"/>
          <w:bCs/>
        </w:rPr>
        <w:t>Ordenamiento que consagra la improcedencia del recurso de revisión cuando los solicitantes duden de la veracidad de la información proporcionada por los Sujetos Obligados, ello atendiendo que como quedó precisado en párrafos previos, este Órgano Garante no se encuentra facultado para dudar de la veracidad de la información proporcionada por los Sujetos Obligados, aunado que de conformidad con los artículos 57 y 59 del Código de Procedimientos Administrativos del Estado de México, todos los documentos expedidos por los servidores públicos en el ejercicio de sus funciones son documentos públicos, que se encuentran revestidos de legalidad y fe pública, se citan los artículos para mayor referencia:</w:t>
      </w:r>
    </w:p>
    <w:p w:rsidR="006F7470" w:rsidRDefault="006F7470" w:rsidP="006F7470">
      <w:pPr>
        <w:spacing w:line="360" w:lineRule="auto"/>
        <w:jc w:val="both"/>
        <w:rPr>
          <w:rFonts w:ascii="Palatino Linotype" w:hAnsi="Palatino Linotype"/>
          <w:bCs/>
        </w:rPr>
      </w:pPr>
    </w:p>
    <w:p w:rsidR="006F7470" w:rsidRDefault="006F7470" w:rsidP="006F7470">
      <w:pPr>
        <w:spacing w:line="276" w:lineRule="auto"/>
        <w:ind w:left="567" w:right="616"/>
        <w:jc w:val="both"/>
        <w:rPr>
          <w:rFonts w:ascii="Palatino Linotype" w:hAnsi="Palatino Linotype"/>
          <w:bCs/>
          <w:i/>
          <w:sz w:val="22"/>
        </w:rPr>
      </w:pPr>
      <w:r>
        <w:rPr>
          <w:rFonts w:ascii="Palatino Linotype" w:hAnsi="Palatino Linotype"/>
          <w:bCs/>
          <w:i/>
          <w:sz w:val="22"/>
        </w:rPr>
        <w:t>“</w:t>
      </w:r>
      <w:r w:rsidRPr="006A494B">
        <w:rPr>
          <w:rFonts w:ascii="Palatino Linotype" w:hAnsi="Palatino Linotype"/>
          <w:b/>
          <w:bCs/>
          <w:i/>
          <w:sz w:val="22"/>
        </w:rPr>
        <w:t>Artículo 57.-</w:t>
      </w:r>
      <w:r w:rsidRPr="006A494B">
        <w:rPr>
          <w:rFonts w:ascii="Palatino Linotype" w:hAnsi="Palatino Linotype"/>
          <w:bCs/>
          <w:i/>
          <w:sz w:val="22"/>
        </w:rPr>
        <w:t xml:space="preserve"> Son documentos públicos aquéllos cuya formulación está encomendada por ley,</w:t>
      </w:r>
      <w:r>
        <w:rPr>
          <w:rFonts w:ascii="Palatino Linotype" w:hAnsi="Palatino Linotype"/>
          <w:bCs/>
          <w:i/>
          <w:sz w:val="22"/>
        </w:rPr>
        <w:t xml:space="preserve"> </w:t>
      </w:r>
      <w:r w:rsidRPr="006A494B">
        <w:rPr>
          <w:rFonts w:ascii="Palatino Linotype" w:hAnsi="Palatino Linotype"/>
          <w:bCs/>
          <w:i/>
          <w:sz w:val="22"/>
        </w:rPr>
        <w:t>dentro de los límites de sus facultades, a las personas dotadas de fe pública y los expedidos por</w:t>
      </w:r>
      <w:r>
        <w:rPr>
          <w:rFonts w:ascii="Palatino Linotype" w:hAnsi="Palatino Linotype"/>
          <w:bCs/>
          <w:i/>
          <w:sz w:val="22"/>
        </w:rPr>
        <w:t xml:space="preserve"> </w:t>
      </w:r>
      <w:r w:rsidRPr="006A494B">
        <w:rPr>
          <w:rFonts w:ascii="Palatino Linotype" w:hAnsi="Palatino Linotype"/>
          <w:bCs/>
          <w:i/>
          <w:sz w:val="22"/>
        </w:rPr>
        <w:t>servidores públicos en el ejercicio de sus funciones.</w:t>
      </w:r>
    </w:p>
    <w:p w:rsidR="006F7470" w:rsidRPr="006A494B" w:rsidRDefault="006F7470" w:rsidP="006F7470">
      <w:pPr>
        <w:spacing w:line="276" w:lineRule="auto"/>
        <w:ind w:left="567" w:right="616"/>
        <w:jc w:val="both"/>
        <w:rPr>
          <w:rFonts w:ascii="Palatino Linotype" w:hAnsi="Palatino Linotype"/>
          <w:bCs/>
          <w:i/>
          <w:sz w:val="22"/>
        </w:rPr>
      </w:pPr>
    </w:p>
    <w:p w:rsidR="006F7470" w:rsidRDefault="006F7470" w:rsidP="006F7470">
      <w:pPr>
        <w:spacing w:line="276" w:lineRule="auto"/>
        <w:ind w:left="567" w:right="616"/>
        <w:jc w:val="both"/>
        <w:rPr>
          <w:rFonts w:ascii="Palatino Linotype" w:hAnsi="Palatino Linotype"/>
          <w:bCs/>
          <w:i/>
          <w:sz w:val="22"/>
        </w:rPr>
      </w:pPr>
      <w:r w:rsidRPr="006A494B">
        <w:rPr>
          <w:rFonts w:ascii="Palatino Linotype" w:hAnsi="Palatino Linotype"/>
          <w:bCs/>
          <w:i/>
          <w:sz w:val="22"/>
        </w:rPr>
        <w:t>La calidad de públicos se demuestra por la existencia regular, sobre los documentos, de sellos,</w:t>
      </w:r>
      <w:r>
        <w:rPr>
          <w:rFonts w:ascii="Palatino Linotype" w:hAnsi="Palatino Linotype"/>
          <w:bCs/>
          <w:i/>
          <w:sz w:val="22"/>
        </w:rPr>
        <w:t xml:space="preserve"> </w:t>
      </w:r>
      <w:r w:rsidRPr="006A494B">
        <w:rPr>
          <w:rFonts w:ascii="Palatino Linotype" w:hAnsi="Palatino Linotype"/>
          <w:bCs/>
          <w:i/>
          <w:sz w:val="22"/>
        </w:rPr>
        <w:t xml:space="preserve">firmas u otros signos exteriores que, en su caso, prevengan las </w:t>
      </w:r>
      <w:r>
        <w:rPr>
          <w:rFonts w:ascii="Palatino Linotype" w:hAnsi="Palatino Linotype"/>
          <w:bCs/>
          <w:i/>
          <w:sz w:val="22"/>
        </w:rPr>
        <w:t>leyes, salvo prueba en contrario</w:t>
      </w:r>
    </w:p>
    <w:p w:rsidR="006F7470" w:rsidRDefault="006F7470" w:rsidP="006F7470">
      <w:pPr>
        <w:spacing w:line="276" w:lineRule="auto"/>
        <w:ind w:left="567" w:right="616"/>
        <w:jc w:val="both"/>
        <w:rPr>
          <w:rFonts w:ascii="Palatino Linotype" w:hAnsi="Palatino Linotype"/>
          <w:bCs/>
          <w:i/>
          <w:sz w:val="22"/>
        </w:rPr>
      </w:pPr>
    </w:p>
    <w:p w:rsidR="006F7470" w:rsidRDefault="006F7470" w:rsidP="006F7470">
      <w:pPr>
        <w:spacing w:line="276" w:lineRule="auto"/>
        <w:ind w:left="567" w:right="616"/>
        <w:jc w:val="both"/>
        <w:rPr>
          <w:rFonts w:ascii="Palatino Linotype" w:hAnsi="Palatino Linotype"/>
          <w:bCs/>
          <w:i/>
          <w:sz w:val="22"/>
        </w:rPr>
      </w:pPr>
      <w:r w:rsidRPr="007F077C">
        <w:rPr>
          <w:rFonts w:ascii="Palatino Linotype" w:hAnsi="Palatino Linotype"/>
          <w:b/>
          <w:bCs/>
          <w:i/>
          <w:sz w:val="22"/>
        </w:rPr>
        <w:t>Artículo 59.-</w:t>
      </w:r>
      <w:r w:rsidRPr="007F077C">
        <w:rPr>
          <w:rFonts w:ascii="Palatino Linotype" w:hAnsi="Palatino Linotype"/>
          <w:bCs/>
          <w:i/>
          <w:sz w:val="22"/>
        </w:rPr>
        <w:t xml:space="preserve"> Los documentos públicos expedidos por autoridades de la federación, de los</w:t>
      </w:r>
      <w:r>
        <w:rPr>
          <w:rFonts w:ascii="Palatino Linotype" w:hAnsi="Palatino Linotype"/>
          <w:bCs/>
          <w:i/>
          <w:sz w:val="22"/>
        </w:rPr>
        <w:t xml:space="preserve"> </w:t>
      </w:r>
      <w:r w:rsidRPr="007F077C">
        <w:rPr>
          <w:rFonts w:ascii="Palatino Linotype" w:hAnsi="Palatino Linotype"/>
          <w:bCs/>
          <w:i/>
          <w:sz w:val="22"/>
        </w:rPr>
        <w:t>estados, del Distrito Federal o de los municipios harán fe en el Estado sin necesidad de</w:t>
      </w:r>
      <w:r>
        <w:rPr>
          <w:rFonts w:ascii="Palatino Linotype" w:hAnsi="Palatino Linotype"/>
          <w:bCs/>
          <w:i/>
          <w:sz w:val="22"/>
        </w:rPr>
        <w:t xml:space="preserve"> </w:t>
      </w:r>
      <w:r w:rsidRPr="007F077C">
        <w:rPr>
          <w:rFonts w:ascii="Palatino Linotype" w:hAnsi="Palatino Linotype"/>
          <w:bCs/>
          <w:i/>
          <w:sz w:val="22"/>
        </w:rPr>
        <w:t>legalización.</w:t>
      </w:r>
    </w:p>
    <w:p w:rsidR="006F7470" w:rsidRPr="007F077C" w:rsidRDefault="006F7470" w:rsidP="006F7470">
      <w:pPr>
        <w:spacing w:line="276" w:lineRule="auto"/>
        <w:ind w:left="567" w:right="616"/>
        <w:jc w:val="both"/>
        <w:rPr>
          <w:rFonts w:ascii="Palatino Linotype" w:hAnsi="Palatino Linotype"/>
          <w:bCs/>
          <w:i/>
          <w:sz w:val="22"/>
        </w:rPr>
      </w:pPr>
    </w:p>
    <w:p w:rsidR="006F7470" w:rsidRPr="006A494B" w:rsidRDefault="006F7470" w:rsidP="006F7470">
      <w:pPr>
        <w:spacing w:line="276" w:lineRule="auto"/>
        <w:ind w:left="567" w:right="616"/>
        <w:jc w:val="both"/>
        <w:rPr>
          <w:rFonts w:ascii="Palatino Linotype" w:hAnsi="Palatino Linotype"/>
          <w:bCs/>
          <w:i/>
          <w:sz w:val="22"/>
        </w:rPr>
      </w:pPr>
      <w:r w:rsidRPr="007F077C">
        <w:rPr>
          <w:rFonts w:ascii="Palatino Linotype" w:hAnsi="Palatino Linotype"/>
          <w:bCs/>
          <w:i/>
          <w:sz w:val="22"/>
        </w:rPr>
        <w:t>Para que hagan fe en la entidad los documentos procedentes del extranjero, deberán</w:t>
      </w:r>
      <w:r>
        <w:rPr>
          <w:rFonts w:ascii="Palatino Linotype" w:hAnsi="Palatino Linotype"/>
          <w:bCs/>
          <w:i/>
          <w:sz w:val="22"/>
        </w:rPr>
        <w:t xml:space="preserve"> </w:t>
      </w:r>
      <w:r w:rsidRPr="007F077C">
        <w:rPr>
          <w:rFonts w:ascii="Palatino Linotype" w:hAnsi="Palatino Linotype"/>
          <w:bCs/>
          <w:i/>
          <w:sz w:val="22"/>
        </w:rPr>
        <w:t>presentarse debidamente legalizados por las autoridades diplomáticas o consulares o estarse a</w:t>
      </w:r>
      <w:r>
        <w:rPr>
          <w:rFonts w:ascii="Palatino Linotype" w:hAnsi="Palatino Linotype"/>
          <w:bCs/>
          <w:i/>
          <w:sz w:val="22"/>
        </w:rPr>
        <w:t xml:space="preserve"> </w:t>
      </w:r>
      <w:r w:rsidRPr="007F077C">
        <w:rPr>
          <w:rFonts w:ascii="Palatino Linotype" w:hAnsi="Palatino Linotype"/>
          <w:bCs/>
          <w:i/>
          <w:sz w:val="22"/>
        </w:rPr>
        <w:t>los convenios que el Estado haya celebrado en esta materia.</w:t>
      </w:r>
      <w:r>
        <w:rPr>
          <w:rFonts w:ascii="Palatino Linotype" w:hAnsi="Palatino Linotype"/>
          <w:bCs/>
          <w:i/>
          <w:sz w:val="22"/>
        </w:rPr>
        <w:t>”</w:t>
      </w:r>
    </w:p>
    <w:p w:rsidR="006F7470" w:rsidRDefault="006F7470" w:rsidP="006F7470">
      <w:pPr>
        <w:spacing w:line="360" w:lineRule="auto"/>
        <w:jc w:val="both"/>
        <w:rPr>
          <w:rFonts w:ascii="Palatino Linotype" w:hAnsi="Palatino Linotype"/>
          <w:bCs/>
        </w:rPr>
      </w:pPr>
    </w:p>
    <w:p w:rsidR="006F7470" w:rsidRDefault="006F7470" w:rsidP="006F7470">
      <w:pPr>
        <w:spacing w:line="360" w:lineRule="auto"/>
        <w:jc w:val="both"/>
        <w:rPr>
          <w:rFonts w:ascii="Palatino Linotype" w:hAnsi="Palatino Linotype"/>
          <w:bCs/>
        </w:rPr>
      </w:pPr>
      <w:r>
        <w:rPr>
          <w:rFonts w:ascii="Palatino Linotype" w:hAnsi="Palatino Linotype"/>
          <w:bCs/>
        </w:rPr>
        <w:t>Podemos concluir entonces que, en el presente asunto, se actualiza la causal de sobreseimiento prevista en la fracción IV del artículo 192, de la Ley de Transparencia y Acceso a información Pública del Estado de México y Municipios, que disponen lo siguiente:</w:t>
      </w:r>
    </w:p>
    <w:p w:rsidR="006F7470" w:rsidRDefault="006F7470" w:rsidP="006F7470">
      <w:pPr>
        <w:spacing w:line="360" w:lineRule="auto"/>
        <w:jc w:val="both"/>
        <w:rPr>
          <w:rFonts w:ascii="Palatino Linotype" w:hAnsi="Palatino Linotype"/>
          <w:bCs/>
        </w:rPr>
      </w:pPr>
    </w:p>
    <w:p w:rsidR="006F7470" w:rsidRPr="00B21190" w:rsidRDefault="00726A04" w:rsidP="006F7470">
      <w:pPr>
        <w:pStyle w:val="Citas"/>
        <w:rPr>
          <w:lang w:val="es-ES" w:eastAsia="es-ES"/>
        </w:rPr>
      </w:pPr>
      <w:r w:rsidRPr="00B21190">
        <w:rPr>
          <w:lang w:val="es-ES" w:eastAsia="es-ES"/>
        </w:rPr>
        <w:t xml:space="preserve"> </w:t>
      </w:r>
      <w:r w:rsidR="006F7470" w:rsidRPr="00B21190">
        <w:rPr>
          <w:lang w:val="es-ES" w:eastAsia="es-ES"/>
        </w:rPr>
        <w:t>“Artículo 192. El recurso será sobreseído, en todo o en parte, cuando una vez admitido, se actualicen alguno de los siguientes supuestos:</w:t>
      </w:r>
    </w:p>
    <w:p w:rsidR="006F7470" w:rsidRPr="00B21190" w:rsidRDefault="006F7470" w:rsidP="006F7470">
      <w:pPr>
        <w:pStyle w:val="Citas"/>
        <w:numPr>
          <w:ilvl w:val="0"/>
          <w:numId w:val="3"/>
        </w:numPr>
        <w:rPr>
          <w:lang w:val="es-ES" w:eastAsia="es-ES"/>
        </w:rPr>
      </w:pPr>
      <w:r w:rsidRPr="00B21190">
        <w:rPr>
          <w:lang w:val="es-ES" w:eastAsia="es-ES"/>
        </w:rPr>
        <w:t xml:space="preserve">El recurrente se desista expresamente del recurso; </w:t>
      </w:r>
    </w:p>
    <w:p w:rsidR="006F7470" w:rsidRPr="00B21190" w:rsidRDefault="006F7470" w:rsidP="006F7470">
      <w:pPr>
        <w:pStyle w:val="Citas"/>
        <w:numPr>
          <w:ilvl w:val="0"/>
          <w:numId w:val="3"/>
        </w:numPr>
        <w:rPr>
          <w:lang w:val="es-ES" w:eastAsia="es-ES"/>
        </w:rPr>
      </w:pPr>
      <w:r w:rsidRPr="00B21190">
        <w:rPr>
          <w:lang w:val="es-ES" w:eastAsia="es-ES"/>
        </w:rPr>
        <w:t xml:space="preserve">El recurrente fallezca o, tratándose de personas jurídicas colectivas, se disuelva; </w:t>
      </w:r>
    </w:p>
    <w:p w:rsidR="006F7470" w:rsidRPr="00B21190" w:rsidRDefault="006F7470" w:rsidP="006F7470">
      <w:pPr>
        <w:pStyle w:val="Citas"/>
        <w:numPr>
          <w:ilvl w:val="0"/>
          <w:numId w:val="3"/>
        </w:numPr>
        <w:rPr>
          <w:lang w:val="es-ES" w:eastAsia="es-ES"/>
        </w:rPr>
      </w:pPr>
      <w:r w:rsidRPr="00B21190">
        <w:rPr>
          <w:lang w:val="es-ES" w:eastAsia="es-ES"/>
        </w:rPr>
        <w:t xml:space="preserve">El sujeto obligado responsable del acto lo modifique o revoque de tal manera que el recurso de revisión quede sin materia; </w:t>
      </w:r>
    </w:p>
    <w:p w:rsidR="006F7470" w:rsidRPr="006E359D" w:rsidRDefault="006F7470" w:rsidP="006F7470">
      <w:pPr>
        <w:pStyle w:val="Citas"/>
        <w:numPr>
          <w:ilvl w:val="0"/>
          <w:numId w:val="3"/>
        </w:numPr>
        <w:rPr>
          <w:b/>
          <w:bCs/>
          <w:u w:val="single"/>
          <w:lang w:val="es-ES" w:eastAsia="es-ES"/>
        </w:rPr>
      </w:pPr>
      <w:r w:rsidRPr="006E359D">
        <w:rPr>
          <w:b/>
          <w:bCs/>
          <w:u w:val="single"/>
          <w:lang w:val="es-ES" w:eastAsia="es-ES"/>
        </w:rPr>
        <w:t xml:space="preserve">Admitido el recurso de revisión, aparezca alguna causal de improcedencia en los términos de la presente Ley; y </w:t>
      </w:r>
    </w:p>
    <w:p w:rsidR="006F7470" w:rsidRPr="00B21190" w:rsidRDefault="006F7470" w:rsidP="006F7470">
      <w:pPr>
        <w:pStyle w:val="Citas"/>
        <w:numPr>
          <w:ilvl w:val="0"/>
          <w:numId w:val="3"/>
        </w:numPr>
        <w:rPr>
          <w:lang w:val="es-ES" w:eastAsia="es-ES"/>
        </w:rPr>
      </w:pPr>
      <w:r w:rsidRPr="00B21190">
        <w:rPr>
          <w:lang w:val="es-ES" w:eastAsia="es-ES"/>
        </w:rPr>
        <w:t>Cuando por cualquier motivo quede sin materia el recurso.”</w:t>
      </w:r>
      <w:r>
        <w:rPr>
          <w:lang w:val="es-ES" w:eastAsia="es-ES"/>
        </w:rPr>
        <w:t xml:space="preserve"> </w:t>
      </w:r>
      <w:r>
        <w:rPr>
          <w:b/>
          <w:bCs/>
          <w:lang w:val="es-ES" w:eastAsia="es-ES"/>
        </w:rPr>
        <w:t>(Sic)</w:t>
      </w:r>
    </w:p>
    <w:p w:rsidR="006F7470" w:rsidRDefault="006F7470" w:rsidP="006F7470">
      <w:pPr>
        <w:autoSpaceDE w:val="0"/>
        <w:autoSpaceDN w:val="0"/>
        <w:adjustRightInd w:val="0"/>
        <w:spacing w:line="360" w:lineRule="auto"/>
        <w:jc w:val="both"/>
        <w:rPr>
          <w:rFonts w:ascii="Palatino Linotype" w:hAnsi="Palatino Linotype" w:cs="Arial"/>
        </w:rPr>
      </w:pPr>
    </w:p>
    <w:p w:rsidR="006F7470" w:rsidRPr="00B21190" w:rsidRDefault="006F7470" w:rsidP="006F7470">
      <w:pPr>
        <w:autoSpaceDE w:val="0"/>
        <w:autoSpaceDN w:val="0"/>
        <w:adjustRightInd w:val="0"/>
        <w:spacing w:line="360" w:lineRule="auto"/>
        <w:jc w:val="both"/>
        <w:rPr>
          <w:rFonts w:ascii="Palatino Linotype" w:hAnsi="Palatino Linotype"/>
        </w:rPr>
      </w:pPr>
      <w:r w:rsidRPr="00B21190">
        <w:rPr>
          <w:rFonts w:ascii="Palatino Linotype" w:hAnsi="Palatino Linotype"/>
        </w:rPr>
        <w:t xml:space="preserve">Es importante resaltar a manera de analogía que la Suprema Corte de Justicia de la Nación mediante el número 2, de la Serie </w:t>
      </w:r>
      <w:r w:rsidRPr="006E359D">
        <w:rPr>
          <w:rFonts w:ascii="Palatino Linotype" w:hAnsi="Palatino Linotype"/>
          <w:b/>
          <w:bCs/>
          <w:i/>
        </w:rPr>
        <w:t>Estudios Introductorios sobre el Juicio de Amparo</w:t>
      </w:r>
      <w:r w:rsidRPr="00B21190">
        <w:rPr>
          <w:rFonts w:ascii="Palatino Linotype" w:hAnsi="Palatino Linotype"/>
          <w:i/>
        </w:rPr>
        <w:t xml:space="preserve"> </w:t>
      </w:r>
      <w:r w:rsidRPr="00B21190">
        <w:rPr>
          <w:rFonts w:ascii="Palatino Linotype" w:hAnsi="Palatino Linotype"/>
        </w:rPr>
        <w:t xml:space="preserve">relativo a </w:t>
      </w:r>
      <w:r w:rsidRPr="006E359D">
        <w:rPr>
          <w:rFonts w:ascii="Palatino Linotype" w:hAnsi="Palatino Linotype"/>
          <w:b/>
          <w:bCs/>
          <w:i/>
        </w:rPr>
        <w:t>LA IMPROCEDENCIA DE LA ACCIÓN DE AMPARO</w:t>
      </w:r>
      <w:r w:rsidRPr="00B21190">
        <w:rPr>
          <w:rFonts w:ascii="Palatino Linotype" w:hAnsi="Palatino Linotype"/>
          <w:i/>
        </w:rPr>
        <w:t xml:space="preserve"> </w:t>
      </w:r>
      <w:r w:rsidRPr="00B21190">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21190">
        <w:rPr>
          <w:rFonts w:ascii="Palatino Linotype" w:hAnsi="Palatino Linotype"/>
          <w:b/>
          <w:u w:val="single"/>
        </w:rPr>
        <w:t>lo que generará que la demanda sea desechada; o bien, después de admitida la demanda, lo que tendrá como consecuencia que se sobresea en el juicio.</w:t>
      </w:r>
    </w:p>
    <w:p w:rsidR="006F7470" w:rsidRPr="00B21190" w:rsidRDefault="006F7470" w:rsidP="006F7470"/>
    <w:p w:rsidR="006F7470" w:rsidRPr="00E505A7" w:rsidRDefault="006F7470" w:rsidP="006F7470">
      <w:pPr>
        <w:spacing w:line="360" w:lineRule="auto"/>
        <w:jc w:val="both"/>
        <w:rPr>
          <w:rFonts w:ascii="Palatino Linotype" w:eastAsiaTheme="minorEastAsia" w:hAnsi="Palatino Linotype"/>
          <w:lang w:val="es-ES_tradnl"/>
        </w:rPr>
      </w:pPr>
      <w:r>
        <w:rPr>
          <w:rFonts w:ascii="Palatino Linotype" w:hAnsi="Palatino Linotype"/>
          <w:bCs/>
        </w:rPr>
        <w:t xml:space="preserve">Por lo que </w:t>
      </w:r>
      <w:r w:rsidRPr="00E505A7">
        <w:rPr>
          <w:rFonts w:ascii="Palatino Linotype" w:eastAsiaTheme="minorEastAsia" w:hAnsi="Palatino Linotype" w:cs="Arial"/>
          <w:b/>
          <w:lang w:val="es-ES_tradnl"/>
        </w:rPr>
        <w:t xml:space="preserve">con fundamento en la segunda hipótesis de </w:t>
      </w:r>
      <w:r>
        <w:rPr>
          <w:rFonts w:ascii="Palatino Linotype" w:eastAsiaTheme="minorEastAsia" w:hAnsi="Palatino Linotype" w:cs="Arial"/>
          <w:b/>
          <w:lang w:val="es-ES_tradnl"/>
        </w:rPr>
        <w:t xml:space="preserve">la fracción I del artículo 186, </w:t>
      </w:r>
      <w:r w:rsidRPr="00E505A7">
        <w:rPr>
          <w:rFonts w:ascii="Palatino Linotype" w:eastAsiaTheme="minorEastAsia" w:hAnsi="Palatino Linotype" w:cs="Arial"/>
          <w:lang w:val="es-ES_tradnl"/>
        </w:rPr>
        <w:t xml:space="preserve">de la Ley de Transparencia y Acceso a la Información Pública del Estado de México y Municipios, se </w:t>
      </w:r>
      <w:r w:rsidRPr="00E505A7">
        <w:rPr>
          <w:rFonts w:ascii="Palatino Linotype" w:eastAsiaTheme="minorEastAsia" w:hAnsi="Palatino Linotype" w:cs="Arial"/>
          <w:b/>
          <w:lang w:val="es-ES_tradnl"/>
        </w:rPr>
        <w:t xml:space="preserve">SOBRESEE </w:t>
      </w:r>
      <w:r>
        <w:rPr>
          <w:rFonts w:ascii="Palatino Linotype" w:eastAsiaTheme="minorEastAsia" w:hAnsi="Palatino Linotype" w:cs="Arial"/>
          <w:lang w:val="es-ES_tradnl"/>
        </w:rPr>
        <w:t>e</w:t>
      </w:r>
      <w:r w:rsidRPr="00E505A7">
        <w:rPr>
          <w:rFonts w:ascii="Palatino Linotype" w:eastAsiaTheme="minorEastAsia" w:hAnsi="Palatino Linotype" w:cs="Arial"/>
          <w:lang w:val="es-ES_tradnl"/>
        </w:rPr>
        <w:t xml:space="preserve">l recurso de revisión </w:t>
      </w:r>
      <w:r w:rsidR="00482238">
        <w:rPr>
          <w:rFonts w:ascii="Palatino Linotype" w:eastAsiaTheme="minorEastAsia" w:hAnsi="Palatino Linotype" w:cs="Arial"/>
          <w:b/>
          <w:lang w:val="es-ES_tradnl"/>
        </w:rPr>
        <w:t>0</w:t>
      </w:r>
      <w:r>
        <w:rPr>
          <w:rFonts w:ascii="Palatino Linotype" w:hAnsi="Palatino Linotype"/>
          <w:b/>
          <w:bCs/>
        </w:rPr>
        <w:t>4715</w:t>
      </w:r>
      <w:r w:rsidRPr="003A2864">
        <w:rPr>
          <w:rFonts w:ascii="Palatino Linotype" w:hAnsi="Palatino Linotype"/>
          <w:b/>
          <w:bCs/>
        </w:rPr>
        <w:t>/INFOEM/IP/RR/202</w:t>
      </w:r>
      <w:r>
        <w:rPr>
          <w:rFonts w:ascii="Palatino Linotype" w:hAnsi="Palatino Linotype"/>
          <w:b/>
          <w:bCs/>
        </w:rPr>
        <w:t>4</w:t>
      </w:r>
      <w:r w:rsidRPr="00E505A7">
        <w:rPr>
          <w:rFonts w:ascii="Palatino Linotype" w:eastAsiaTheme="minorEastAsia" w:hAnsi="Palatino Linotype" w:cs="Arial"/>
          <w:lang w:val="es-ES_tradnl"/>
        </w:rPr>
        <w:t>,</w:t>
      </w:r>
      <w:r w:rsidRPr="00E505A7">
        <w:rPr>
          <w:rFonts w:ascii="Palatino Linotype" w:eastAsiaTheme="minorEastAsia" w:hAnsi="Palatino Linotype"/>
          <w:lang w:val="es-ES_tradnl"/>
        </w:rPr>
        <w:t xml:space="preserve"> que ha sido materia del presente fallo.</w:t>
      </w:r>
    </w:p>
    <w:p w:rsidR="006F7470" w:rsidRPr="0075485F" w:rsidRDefault="006F7470" w:rsidP="006F7470">
      <w:pPr>
        <w:spacing w:line="360" w:lineRule="auto"/>
        <w:jc w:val="both"/>
        <w:rPr>
          <w:rFonts w:ascii="Palatino Linotype" w:hAnsi="Palatino Linotype"/>
          <w:lang w:val="es-ES_tradnl"/>
        </w:rPr>
      </w:pPr>
    </w:p>
    <w:p w:rsidR="006F7470" w:rsidRDefault="006F7470" w:rsidP="006F7470">
      <w:pPr>
        <w:spacing w:line="360" w:lineRule="auto"/>
        <w:jc w:val="both"/>
        <w:rPr>
          <w:rFonts w:ascii="Palatino Linotype" w:hAnsi="Palatino Linotype"/>
        </w:rPr>
      </w:pPr>
    </w:p>
    <w:p w:rsidR="006F7470" w:rsidRDefault="006F7470" w:rsidP="006F7470">
      <w:pPr>
        <w:spacing w:line="360" w:lineRule="auto"/>
        <w:jc w:val="both"/>
        <w:rPr>
          <w:rFonts w:ascii="Palatino Linotype" w:hAnsi="Palatino Linotype"/>
        </w:rPr>
      </w:pPr>
      <w:r w:rsidRPr="00DC0F04">
        <w:rPr>
          <w:rFonts w:ascii="Palatino Linotype" w:hAnsi="Palatino Linotype"/>
        </w:rPr>
        <w:t>Por lo antes expuesto y fundado es de resolverse y,</w:t>
      </w:r>
    </w:p>
    <w:p w:rsidR="00482238" w:rsidRDefault="00482238" w:rsidP="006F7470">
      <w:pPr>
        <w:spacing w:line="360" w:lineRule="auto"/>
        <w:jc w:val="both"/>
        <w:rPr>
          <w:rFonts w:ascii="Palatino Linotype" w:hAnsi="Palatino Linotype"/>
        </w:rPr>
      </w:pPr>
    </w:p>
    <w:p w:rsidR="006F7470" w:rsidRDefault="006F7470" w:rsidP="006F7470">
      <w:pPr>
        <w:spacing w:line="360" w:lineRule="auto"/>
        <w:jc w:val="center"/>
        <w:rPr>
          <w:rFonts w:ascii="Palatino Linotype" w:hAnsi="Palatino Linotype"/>
          <w:bCs/>
          <w:spacing w:val="60"/>
          <w:lang w:val="es-ES_tradnl"/>
        </w:rPr>
      </w:pPr>
      <w:r w:rsidRPr="00DC0F04">
        <w:rPr>
          <w:rFonts w:ascii="Palatino Linotype" w:hAnsi="Palatino Linotype"/>
          <w:b/>
          <w:bCs/>
          <w:spacing w:val="60"/>
          <w:sz w:val="28"/>
          <w:lang w:val="es-ES_tradnl"/>
        </w:rPr>
        <w:t>SE    RESUELVE</w:t>
      </w:r>
    </w:p>
    <w:p w:rsidR="006F7470" w:rsidRPr="00D5045F" w:rsidRDefault="006F7470" w:rsidP="006F7470">
      <w:pPr>
        <w:spacing w:line="360" w:lineRule="auto"/>
        <w:jc w:val="center"/>
        <w:rPr>
          <w:rFonts w:ascii="Palatino Linotype" w:hAnsi="Palatino Linotype"/>
          <w:bCs/>
          <w:spacing w:val="60"/>
          <w:lang w:val="es-ES_tradnl"/>
        </w:rPr>
      </w:pPr>
    </w:p>
    <w:p w:rsidR="006F7470" w:rsidRPr="00B8511B" w:rsidRDefault="006F7470" w:rsidP="006F7470">
      <w:pPr>
        <w:spacing w:line="360" w:lineRule="auto"/>
        <w:jc w:val="both"/>
        <w:rPr>
          <w:rFonts w:ascii="Palatino Linotype" w:eastAsia="Calibri" w:hAnsi="Palatino Linotype" w:cs="Arial"/>
          <w:lang w:val="es-ES_tradnl" w:eastAsia="es-MX"/>
        </w:rPr>
      </w:pPr>
      <w:r w:rsidRPr="00EB1705">
        <w:rPr>
          <w:rFonts w:ascii="Palatino Linotype" w:eastAsiaTheme="minorEastAsia" w:hAnsi="Palatino Linotype" w:cs="Arial"/>
          <w:b/>
          <w:sz w:val="28"/>
          <w:lang w:val="es-ES_tradnl"/>
        </w:rPr>
        <w:t>PRIMERO.</w:t>
      </w:r>
      <w:r w:rsidRPr="00EB1705">
        <w:rPr>
          <w:rFonts w:ascii="Palatino Linotype" w:eastAsiaTheme="minorEastAsia" w:hAnsi="Palatino Linotype" w:cs="Arial"/>
          <w:lang w:val="es-ES_tradnl"/>
        </w:rPr>
        <w:t xml:space="preserve"> Se </w:t>
      </w:r>
      <w:r w:rsidRPr="004F05F5">
        <w:rPr>
          <w:rFonts w:ascii="Palatino Linotype" w:eastAsiaTheme="minorEastAsia" w:hAnsi="Palatino Linotype" w:cs="Arial"/>
          <w:b/>
          <w:lang w:val="es-ES_tradnl"/>
        </w:rPr>
        <w:t>SOBRESEE</w:t>
      </w:r>
      <w:r w:rsidRPr="004F05F5">
        <w:rPr>
          <w:rFonts w:ascii="Palatino Linotype" w:eastAsiaTheme="minorEastAsia" w:hAnsi="Palatino Linotype" w:cs="Arial"/>
          <w:lang w:val="es-ES_tradnl"/>
        </w:rPr>
        <w:t xml:space="preserve"> el recurso de revisión </w:t>
      </w:r>
      <w:r w:rsidR="00482238">
        <w:rPr>
          <w:rFonts w:ascii="Palatino Linotype" w:eastAsiaTheme="minorEastAsia" w:hAnsi="Palatino Linotype" w:cs="Arial"/>
          <w:b/>
          <w:lang w:val="es-ES_tradnl"/>
        </w:rPr>
        <w:t>0</w:t>
      </w:r>
      <w:r>
        <w:rPr>
          <w:rFonts w:ascii="Palatino Linotype" w:eastAsiaTheme="minorEastAsia" w:hAnsi="Palatino Linotype" w:cs="Arial"/>
          <w:b/>
          <w:lang w:val="es-ES_tradnl"/>
        </w:rPr>
        <w:t>4715/INFOEM/IP/RR/2024</w:t>
      </w:r>
      <w:r w:rsidRPr="004F05F5">
        <w:rPr>
          <w:rFonts w:ascii="Palatino Linotype" w:eastAsiaTheme="minorEastAsia" w:hAnsi="Palatino Linotype" w:cs="Arial"/>
          <w:lang w:val="es-ES_tradnl"/>
        </w:rPr>
        <w:t xml:space="preserve">, </w:t>
      </w:r>
      <w:r w:rsidRPr="00B8511B">
        <w:rPr>
          <w:rFonts w:ascii="Palatino Linotype" w:eastAsia="Calibri" w:hAnsi="Palatino Linotype" w:cs="Arial"/>
          <w:lang w:val="es-ES_tradnl" w:eastAsia="es-MX"/>
        </w:rPr>
        <w:t xml:space="preserve">de conformidad con el artículo 192, fracción IV por actualizarse la causal de improcedencia contenida en la fracción V, del artículo 191, ambos de la Ley de Transparencia y Acceso a la Información Pública del Estado de México y Municipios, en términos del Considerando </w:t>
      </w:r>
      <w:r w:rsidRPr="00B8511B">
        <w:rPr>
          <w:rFonts w:ascii="Palatino Linotype" w:eastAsia="Calibri" w:hAnsi="Palatino Linotype" w:cs="Arial"/>
          <w:b/>
          <w:lang w:val="es-ES_tradnl" w:eastAsia="es-MX"/>
        </w:rPr>
        <w:t>TERCERO</w:t>
      </w:r>
      <w:r w:rsidRPr="00B8511B">
        <w:rPr>
          <w:rFonts w:ascii="Palatino Linotype" w:eastAsia="Calibri" w:hAnsi="Palatino Linotype" w:cs="Arial"/>
          <w:lang w:val="es-ES_tradnl" w:eastAsia="es-MX"/>
        </w:rPr>
        <w:t xml:space="preserve"> de la presente resolución.</w:t>
      </w:r>
    </w:p>
    <w:p w:rsidR="006F7470" w:rsidRPr="00986A5D" w:rsidRDefault="006F7470" w:rsidP="006F7470">
      <w:pPr>
        <w:spacing w:line="360" w:lineRule="auto"/>
        <w:jc w:val="both"/>
        <w:rPr>
          <w:rFonts w:ascii="Palatino Linotype" w:hAnsi="Palatino Linotype" w:cs="Arial"/>
          <w:lang w:val="es-ES_tradnl"/>
        </w:rPr>
      </w:pPr>
    </w:p>
    <w:p w:rsidR="006F7470" w:rsidRDefault="006F7470" w:rsidP="006F7470">
      <w:pPr>
        <w:spacing w:line="360" w:lineRule="auto"/>
        <w:jc w:val="both"/>
        <w:rPr>
          <w:rFonts w:ascii="Palatino Linotype" w:hAnsi="Palatino Linotype" w:cs="Palatino Linotype"/>
        </w:rPr>
      </w:pPr>
      <w:r>
        <w:rPr>
          <w:rFonts w:ascii="Palatino Linotype" w:hAnsi="Palatino Linotype" w:cs="Palatino Linotype"/>
          <w:b/>
        </w:rPr>
        <w:t>SEGUNDO.</w:t>
      </w:r>
      <w:r>
        <w:rPr>
          <w:rFonts w:ascii="Palatino Linotype" w:hAnsi="Palatino Linotype" w:cs="Palatino Linotype"/>
        </w:rPr>
        <w:t xml:space="preserve"> </w:t>
      </w:r>
      <w:r>
        <w:rPr>
          <w:rFonts w:ascii="Palatino Linotype" w:hAnsi="Palatino Linotype" w:cs="Palatino Linotype"/>
          <w:b/>
        </w:rPr>
        <w:t>Notifíquese</w:t>
      </w:r>
      <w:r>
        <w:rPr>
          <w:rFonts w:ascii="Palatino Linotype" w:hAnsi="Palatino Linotype" w:cs="Palatino Linotype"/>
        </w:rPr>
        <w:t xml:space="preserve"> la presente resolución al Titular de la Unidad de Transparencia del Sujeto Obligado mediante el Sistema de Acceso a la Información Mexiquense (SAIMEX).</w:t>
      </w:r>
    </w:p>
    <w:p w:rsidR="006F7470" w:rsidRDefault="006F7470" w:rsidP="006F7470">
      <w:pPr>
        <w:spacing w:line="360" w:lineRule="auto"/>
        <w:jc w:val="both"/>
        <w:rPr>
          <w:rFonts w:ascii="Palatino Linotype" w:hAnsi="Palatino Linotype" w:cs="Palatino Linotype"/>
        </w:rPr>
      </w:pPr>
    </w:p>
    <w:p w:rsidR="006F7470" w:rsidRDefault="00482238" w:rsidP="006F7470">
      <w:pPr>
        <w:spacing w:line="360" w:lineRule="auto"/>
        <w:jc w:val="both"/>
        <w:rPr>
          <w:rFonts w:ascii="Palatino Linotype" w:hAnsi="Palatino Linotype" w:cs="Palatino Linotype"/>
        </w:rPr>
      </w:pPr>
      <w:r>
        <w:rPr>
          <w:rFonts w:ascii="Palatino Linotype" w:hAnsi="Palatino Linotype" w:cs="Palatino Linotype"/>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1797050</wp:posOffset>
                </wp:positionV>
                <wp:extent cx="5686425" cy="9334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86425"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5F4A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1.5pt" to="45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" strokecolor="#5b9bd5 [3204]" strokeweight=".5pt">
                <v:stroke joinstyle="miter"/>
              </v:line>
            </w:pict>
          </mc:Fallback>
        </mc:AlternateContent>
      </w:r>
      <w:r w:rsidR="006F7470">
        <w:rPr>
          <w:rFonts w:ascii="Palatino Linotype" w:hAnsi="Palatino Linotype" w:cs="Palatino Linotype"/>
          <w:b/>
        </w:rPr>
        <w:t>TERCERO. Notifíquese</w:t>
      </w:r>
      <w:r w:rsidR="006F7470">
        <w:rPr>
          <w:rFonts w:ascii="Palatino Linotype" w:hAnsi="Palatino Linotype" w:cs="Palatino Linotype"/>
        </w:rPr>
        <w:t xml:space="preserve"> la presente resolución al Recurrente</w:t>
      </w:r>
      <w:r w:rsidR="006F7470">
        <w:t xml:space="preserve"> </w:t>
      </w:r>
      <w:r w:rsidR="006F7470">
        <w:rPr>
          <w:rFonts w:ascii="Palatino Linotype" w:hAnsi="Palatino Linotype" w:cs="Palatino Linotype"/>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6F7470" w:rsidRDefault="006F7470" w:rsidP="006F7470">
      <w:pPr>
        <w:pStyle w:val="Prrafodelista"/>
        <w:autoSpaceDE w:val="0"/>
        <w:autoSpaceDN w:val="0"/>
        <w:adjustRightInd w:val="0"/>
        <w:spacing w:before="240" w:after="160" w:line="360" w:lineRule="auto"/>
        <w:ind w:left="0"/>
        <w:jc w:val="both"/>
        <w:rPr>
          <w:rFonts w:ascii="Palatino Linotype" w:hAnsi="Palatino Linotype" w:cs="Arial"/>
        </w:rPr>
      </w:pPr>
    </w:p>
    <w:p w:rsidR="00482238" w:rsidRDefault="00482238" w:rsidP="006F7470">
      <w:pPr>
        <w:pStyle w:val="Prrafodelista"/>
        <w:autoSpaceDE w:val="0"/>
        <w:autoSpaceDN w:val="0"/>
        <w:adjustRightInd w:val="0"/>
        <w:spacing w:before="240" w:after="160" w:line="360" w:lineRule="auto"/>
        <w:ind w:left="0"/>
        <w:jc w:val="both"/>
        <w:rPr>
          <w:rFonts w:ascii="Palatino Linotype" w:hAnsi="Palatino Linotype" w:cs="Arial"/>
        </w:rPr>
      </w:pPr>
    </w:p>
    <w:p w:rsidR="006F7470" w:rsidRPr="007C3942" w:rsidRDefault="006F7470" w:rsidP="006F7470">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Y</w:t>
      </w:r>
      <w:r w:rsidR="00726A04">
        <w:rPr>
          <w:rFonts w:ascii="Palatino Linotype" w:hAnsi="Palatino Linotype" w:cs="Arial"/>
        </w:rPr>
        <w:t xml:space="preserve"> GUADALUPE RAMÍREZ PEÑA, EN LA TR</w:t>
      </w:r>
      <w:r>
        <w:rPr>
          <w:rFonts w:ascii="Palatino Linotype" w:hAnsi="Palatino Linotype" w:cs="Arial"/>
        </w:rPr>
        <w:t xml:space="preserve">IGÉSIMA </w:t>
      </w:r>
      <w:r w:rsidRPr="007C3942">
        <w:rPr>
          <w:rFonts w:ascii="Palatino Linotype" w:hAnsi="Palatino Linotype" w:cs="Arial"/>
        </w:rPr>
        <w:t xml:space="preserve">SESIÓN ORDINARIA CELEBRADA </w:t>
      </w:r>
      <w:r w:rsidR="00726A04">
        <w:rPr>
          <w:rFonts w:ascii="Palatino Linotype" w:hAnsi="Palatino Linotype" w:cs="Arial"/>
        </w:rPr>
        <w:t>VEINTIOCHO</w:t>
      </w:r>
      <w:r>
        <w:rPr>
          <w:rFonts w:ascii="Palatino Linotype" w:hAnsi="Palatino Linotype" w:cs="Arial"/>
        </w:rPr>
        <w:t xml:space="preserve"> DE AGOSTO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482238">
        <w:rPr>
          <w:rFonts w:ascii="Palatino Linotype" w:hAnsi="Palatino Linotype" w:cs="Arial"/>
        </w:rPr>
        <w:t>-----------------------------------------------------------------------------------------------------------------------------------------------------------------------------------------------------------------------------------------------------------------------------------------------------------------------------------------------------------------------------------------------------------------------------------------------------------------------------------------------------------------------------------------------------------------------------------------------------------------------------------------------------------------------------------------------------------------------------------</w:t>
      </w:r>
    </w:p>
    <w:p w:rsidR="006F7470" w:rsidRPr="00A151D0" w:rsidRDefault="006F7470" w:rsidP="006F7470">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Pr>
          <w:rFonts w:ascii="Palatino Linotype" w:hAnsi="Palatino Linotype" w:cs="Arial"/>
        </w:rPr>
        <w:t>---------------------------</w:t>
      </w:r>
    </w:p>
    <w:p w:rsidR="006F7470" w:rsidRPr="00326FE6" w:rsidRDefault="006F7470" w:rsidP="006F7470">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sidRPr="00326FE6">
        <w:rPr>
          <w:rFonts w:ascii="Palatino Linotype" w:hAnsi="Palatino Linotype" w:cs="Arial"/>
          <w:sz w:val="16"/>
        </w:rPr>
        <w:t>JMV/CCR/</w:t>
      </w:r>
      <w:r w:rsidR="00326FE6" w:rsidRPr="00326FE6">
        <w:rPr>
          <w:rFonts w:ascii="Palatino Linotype" w:hAnsi="Palatino Linotype" w:cs="Arial"/>
          <w:sz w:val="16"/>
        </w:rPr>
        <w:t>LMST</w:t>
      </w:r>
    </w:p>
    <w:p w:rsidR="006F7470" w:rsidRPr="005323D1" w:rsidRDefault="006F7470" w:rsidP="006F7470">
      <w:pPr>
        <w:spacing w:line="360" w:lineRule="auto"/>
        <w:jc w:val="both"/>
        <w:rPr>
          <w:rFonts w:ascii="Palatino Linotype" w:hAnsi="Palatino Linotype" w:cs="Arial"/>
          <w:sz w:val="20"/>
        </w:rPr>
      </w:pPr>
    </w:p>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6F7470" w:rsidRDefault="006F7470" w:rsidP="006F7470"/>
    <w:p w:rsidR="00C14C52" w:rsidRDefault="00C14C52"/>
    <w:sectPr w:rsidR="00C14C52" w:rsidSect="009A63BD">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70" w:rsidRDefault="006F7470" w:rsidP="006F7470">
      <w:r>
        <w:separator/>
      </w:r>
    </w:p>
  </w:endnote>
  <w:endnote w:type="continuationSeparator" w:id="0">
    <w:p w:rsidR="006F7470" w:rsidRDefault="006F7470" w:rsidP="006F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BD" w:rsidRPr="00A2780F" w:rsidRDefault="00836DD1" w:rsidP="009A63B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721F1">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721F1">
      <w:rPr>
        <w:rFonts w:ascii="Arial" w:hAnsi="Arial" w:cs="Arial"/>
        <w:b/>
        <w:bCs/>
        <w:noProof/>
        <w:sz w:val="20"/>
        <w:szCs w:val="20"/>
      </w:rPr>
      <w:t>23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BD" w:rsidRPr="00070856" w:rsidRDefault="00836DD1" w:rsidP="009A63B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F721F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F721F1">
      <w:rPr>
        <w:rFonts w:ascii="Arial" w:hAnsi="Arial" w:cs="Arial"/>
        <w:b/>
        <w:bCs/>
        <w:noProof/>
        <w:sz w:val="20"/>
        <w:szCs w:val="20"/>
      </w:rPr>
      <w:t>23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70" w:rsidRDefault="006F7470" w:rsidP="006F7470">
      <w:r>
        <w:separator/>
      </w:r>
    </w:p>
  </w:footnote>
  <w:footnote w:type="continuationSeparator" w:id="0">
    <w:p w:rsidR="006F7470" w:rsidRDefault="006F7470" w:rsidP="006F7470">
      <w:r>
        <w:continuationSeparator/>
      </w:r>
    </w:p>
  </w:footnote>
  <w:footnote w:id="1">
    <w:p w:rsidR="006F7470" w:rsidRPr="00911081" w:rsidRDefault="006F7470" w:rsidP="006F7470">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6F7470" w:rsidRDefault="006F7470" w:rsidP="006F7470">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A63BD" w:rsidRPr="008F2CCC" w:rsidTr="009A63BD">
      <w:tc>
        <w:tcPr>
          <w:tcW w:w="3620" w:type="dxa"/>
          <w:shd w:val="clear" w:color="auto" w:fill="auto"/>
        </w:tcPr>
        <w:p w:rsidR="009A63BD" w:rsidRPr="007E5FC4" w:rsidRDefault="00836DD1"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9A63BD" w:rsidRPr="00664658" w:rsidRDefault="006F7470" w:rsidP="009A63B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47</w:t>
          </w:r>
          <w:r w:rsidR="00836DD1">
            <w:rPr>
              <w:rFonts w:ascii="Palatino Linotype" w:hAnsi="Palatino Linotype"/>
              <w:b/>
              <w:sz w:val="22"/>
              <w:szCs w:val="22"/>
              <w:lang w:val="es-ES_tradnl"/>
            </w:rPr>
            <w:t>15/INFOEM/IP/RR/2024</w:t>
          </w:r>
        </w:p>
      </w:tc>
    </w:tr>
    <w:tr w:rsidR="009A63BD" w:rsidRPr="008F2CCC" w:rsidTr="009A63BD">
      <w:tc>
        <w:tcPr>
          <w:tcW w:w="3620" w:type="dxa"/>
          <w:shd w:val="clear" w:color="auto" w:fill="auto"/>
        </w:tcPr>
        <w:p w:rsidR="009A63BD" w:rsidRPr="007E5FC4" w:rsidRDefault="00836DD1"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9A63BD" w:rsidRPr="00664658" w:rsidRDefault="006F7470" w:rsidP="009A63BD">
          <w:pPr>
            <w:spacing w:line="276" w:lineRule="auto"/>
            <w:jc w:val="right"/>
            <w:rPr>
              <w:rFonts w:ascii="Palatino Linotype" w:hAnsi="Palatino Linotype"/>
              <w:b/>
              <w:sz w:val="22"/>
              <w:szCs w:val="22"/>
              <w:lang w:val="es-ES_tradnl"/>
            </w:rPr>
          </w:pPr>
          <w:r w:rsidRPr="006F7470">
            <w:rPr>
              <w:rFonts w:ascii="Palatino Linotype" w:hAnsi="Palatino Linotype"/>
              <w:b/>
              <w:sz w:val="22"/>
              <w:szCs w:val="22"/>
            </w:rPr>
            <w:t>Ayuntamiento de Almoloya de Juárez</w:t>
          </w:r>
        </w:p>
      </w:tc>
    </w:tr>
    <w:tr w:rsidR="009A63BD" w:rsidRPr="008F2CCC" w:rsidTr="009A63BD">
      <w:trPr>
        <w:trHeight w:val="228"/>
      </w:trPr>
      <w:tc>
        <w:tcPr>
          <w:tcW w:w="3620" w:type="dxa"/>
          <w:shd w:val="clear" w:color="auto" w:fill="auto"/>
        </w:tcPr>
        <w:p w:rsidR="009A63BD" w:rsidRPr="007E5FC4" w:rsidRDefault="00836DD1"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9A63BD" w:rsidRPr="00664658" w:rsidRDefault="00836DD1" w:rsidP="009A63B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9A63BD" w:rsidRDefault="00F721F1" w:rsidP="009A63BD">
    <w:pPr>
      <w:pStyle w:val="Encabezado"/>
      <w:tabs>
        <w:tab w:val="clear" w:pos="4252"/>
        <w:tab w:val="clear" w:pos="8504"/>
        <w:tab w:val="left" w:pos="2326"/>
      </w:tabs>
      <w:rPr>
        <w:rFonts w:ascii="Palatino Linotype" w:hAnsi="Palatino Linotype"/>
        <w:sz w:val="20"/>
      </w:rPr>
    </w:pPr>
  </w:p>
  <w:p w:rsidR="009A63BD" w:rsidRPr="001779E0" w:rsidRDefault="00836DD1" w:rsidP="009A63BD">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9F122F5" wp14:editId="42D6F44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A63BD" w:rsidRPr="008F2CCC" w:rsidTr="009A63BD">
      <w:tc>
        <w:tcPr>
          <w:tcW w:w="2977" w:type="dxa"/>
          <w:shd w:val="clear" w:color="auto" w:fill="auto"/>
        </w:tcPr>
        <w:p w:rsidR="009A63BD" w:rsidRPr="007E5FC4" w:rsidRDefault="00836DD1"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9A63BD" w:rsidRPr="008F2CCC" w:rsidRDefault="00482238" w:rsidP="009A63B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6F7470">
            <w:rPr>
              <w:rFonts w:ascii="Palatino Linotype" w:hAnsi="Palatino Linotype"/>
              <w:b/>
              <w:sz w:val="22"/>
              <w:szCs w:val="22"/>
              <w:lang w:val="es-ES_tradnl"/>
            </w:rPr>
            <w:t>47</w:t>
          </w:r>
          <w:r w:rsidR="00836DD1">
            <w:rPr>
              <w:rFonts w:ascii="Palatino Linotype" w:hAnsi="Palatino Linotype"/>
              <w:b/>
              <w:sz w:val="22"/>
              <w:szCs w:val="22"/>
              <w:lang w:val="es-ES_tradnl"/>
            </w:rPr>
            <w:t>15/INFOEM/IP/RR/2024</w:t>
          </w:r>
        </w:p>
      </w:tc>
    </w:tr>
    <w:tr w:rsidR="009A63BD" w:rsidRPr="008F2CCC" w:rsidTr="009A63BD">
      <w:tc>
        <w:tcPr>
          <w:tcW w:w="2977" w:type="dxa"/>
          <w:shd w:val="clear" w:color="auto" w:fill="auto"/>
          <w:vAlign w:val="center"/>
        </w:tcPr>
        <w:p w:rsidR="009A63BD" w:rsidRPr="007E5FC4" w:rsidRDefault="00836DD1"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9A63BD" w:rsidRPr="008F2CCC" w:rsidRDefault="005B1A00" w:rsidP="009A63BD">
          <w:pPr>
            <w:spacing w:line="360" w:lineRule="auto"/>
            <w:jc w:val="right"/>
            <w:rPr>
              <w:rFonts w:ascii="Palatino Linotype" w:hAnsi="Palatino Linotype"/>
              <w:b/>
              <w:sz w:val="22"/>
              <w:szCs w:val="22"/>
              <w:lang w:val="es-ES_tradnl"/>
            </w:rPr>
          </w:pPr>
          <w:r>
            <w:rPr>
              <w:rFonts w:ascii="Palatino Linotype" w:hAnsi="Palatino Linotype"/>
              <w:b/>
              <w:bCs/>
              <w:sz w:val="22"/>
              <w:szCs w:val="22"/>
            </w:rPr>
            <w:t>XXXX</w:t>
          </w:r>
          <w:r w:rsidR="00836DD1">
            <w:rPr>
              <w:rFonts w:ascii="Palatino Linotype" w:hAnsi="Palatino Linotype"/>
              <w:b/>
              <w:bCs/>
              <w:sz w:val="22"/>
              <w:szCs w:val="22"/>
            </w:rPr>
            <w:t xml:space="preserve"> </w:t>
          </w:r>
        </w:p>
      </w:tc>
    </w:tr>
    <w:tr w:rsidR="009A63BD" w:rsidRPr="008F2CCC" w:rsidTr="009A63BD">
      <w:trPr>
        <w:trHeight w:val="228"/>
      </w:trPr>
      <w:tc>
        <w:tcPr>
          <w:tcW w:w="2977" w:type="dxa"/>
          <w:shd w:val="clear" w:color="auto" w:fill="auto"/>
        </w:tcPr>
        <w:p w:rsidR="009A63BD" w:rsidRPr="007E5FC4" w:rsidRDefault="00836DD1"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9A63BD" w:rsidRPr="00DC41C8" w:rsidRDefault="006F7470" w:rsidP="009A63BD">
          <w:pPr>
            <w:spacing w:line="360" w:lineRule="auto"/>
            <w:jc w:val="right"/>
            <w:rPr>
              <w:rFonts w:ascii="Palatino Linotype" w:hAnsi="Palatino Linotype"/>
              <w:b/>
              <w:sz w:val="22"/>
              <w:szCs w:val="22"/>
            </w:rPr>
          </w:pPr>
          <w:r w:rsidRPr="006F7470">
            <w:rPr>
              <w:rFonts w:ascii="Palatino Linotype" w:hAnsi="Palatino Linotype"/>
              <w:b/>
              <w:sz w:val="22"/>
              <w:szCs w:val="22"/>
            </w:rPr>
            <w:t>Ayuntamiento de Almoloya de Juárez</w:t>
          </w:r>
        </w:p>
      </w:tc>
    </w:tr>
    <w:tr w:rsidR="009A63BD" w:rsidRPr="008F2CCC" w:rsidTr="009A63BD">
      <w:tc>
        <w:tcPr>
          <w:tcW w:w="2977" w:type="dxa"/>
          <w:shd w:val="clear" w:color="auto" w:fill="auto"/>
        </w:tcPr>
        <w:p w:rsidR="009A63BD" w:rsidRPr="007E5FC4" w:rsidRDefault="00836DD1"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9A63BD" w:rsidRPr="008F2CCC" w:rsidRDefault="00836DD1" w:rsidP="009A63B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9A63BD" w:rsidRPr="009F1AB6" w:rsidRDefault="00836DD1">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B6661D8" wp14:editId="31C486B1">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2"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5"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70"/>
    <w:rsid w:val="001627FD"/>
    <w:rsid w:val="00323906"/>
    <w:rsid w:val="00326FE6"/>
    <w:rsid w:val="003A28F7"/>
    <w:rsid w:val="00482238"/>
    <w:rsid w:val="005B1A00"/>
    <w:rsid w:val="006F7470"/>
    <w:rsid w:val="00726A04"/>
    <w:rsid w:val="00836DD1"/>
    <w:rsid w:val="00B5567F"/>
    <w:rsid w:val="00C14C52"/>
    <w:rsid w:val="00F72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CF6DD-6D25-4D5F-997A-06A9C91A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47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7470"/>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6F7470"/>
    <w:rPr>
      <w:rFonts w:eastAsiaTheme="minorEastAsia"/>
      <w:sz w:val="24"/>
      <w:szCs w:val="24"/>
      <w:lang w:val="es-ES_tradnl" w:eastAsia="es-ES"/>
    </w:rPr>
  </w:style>
  <w:style w:type="paragraph" w:styleId="Piedepgina">
    <w:name w:val="footer"/>
    <w:basedOn w:val="Normal"/>
    <w:link w:val="PiedepginaCar"/>
    <w:uiPriority w:val="99"/>
    <w:unhideWhenUsed/>
    <w:rsid w:val="006F7470"/>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6F747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F7470"/>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F7470"/>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6F7470"/>
    <w:pPr>
      <w:spacing w:after="0" w:line="240" w:lineRule="auto"/>
    </w:pPr>
  </w:style>
  <w:style w:type="character" w:customStyle="1" w:styleId="SinespaciadoCar">
    <w:name w:val="Sin espaciado Car"/>
    <w:aliases w:val="Francesa Car,INAI Car"/>
    <w:link w:val="Sinespaciado"/>
    <w:uiPriority w:val="1"/>
    <w:locked/>
    <w:rsid w:val="006F7470"/>
  </w:style>
  <w:style w:type="character" w:styleId="Hipervnculo">
    <w:name w:val="Hyperlink"/>
    <w:aliases w:val="Hipervínculo1,Hipervínculo11,Hipervínculo12,Hipervínculo13,Hipervínculo14,Hipervínculo15"/>
    <w:basedOn w:val="Fuentedeprrafopredeter"/>
    <w:uiPriority w:val="99"/>
    <w:unhideWhenUsed/>
    <w:rsid w:val="006F7470"/>
    <w:rPr>
      <w:color w:val="0563C1" w:themeColor="hyperlink"/>
      <w:u w:val="single"/>
    </w:rPr>
  </w:style>
  <w:style w:type="paragraph" w:customStyle="1" w:styleId="INFOEM">
    <w:name w:val="INFOEM"/>
    <w:basedOn w:val="Normal"/>
    <w:qFormat/>
    <w:rsid w:val="006F7470"/>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6F747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F7470"/>
    <w:rPr>
      <w:vertAlign w:val="superscript"/>
    </w:rPr>
  </w:style>
  <w:style w:type="paragraph" w:customStyle="1" w:styleId="Citas">
    <w:name w:val="Citas"/>
    <w:basedOn w:val="Normal"/>
    <w:qFormat/>
    <w:rsid w:val="006F7470"/>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6F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6F7470"/>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6F7470"/>
    <w:rPr>
      <w:rFonts w:eastAsia="Times New Roman" w:cs="Times New Roman"/>
      <w:sz w:val="20"/>
      <w:szCs w:val="20"/>
    </w:rPr>
  </w:style>
  <w:style w:type="character" w:customStyle="1" w:styleId="il">
    <w:name w:val="il"/>
    <w:basedOn w:val="Fuentedeprrafopredeter"/>
    <w:rsid w:val="006F7470"/>
    <w:rPr>
      <w:rFonts w:cs="Times New Roman"/>
    </w:rPr>
  </w:style>
  <w:style w:type="paragraph" w:styleId="Textoindependiente">
    <w:name w:val="Body Text"/>
    <w:basedOn w:val="Normal"/>
    <w:link w:val="TextoindependienteCar"/>
    <w:uiPriority w:val="1"/>
    <w:unhideWhenUsed/>
    <w:qFormat/>
    <w:rsid w:val="006F7470"/>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6F7470"/>
  </w:style>
  <w:style w:type="table" w:styleId="Tablaconcuadrcula">
    <w:name w:val="Table Grid"/>
    <w:basedOn w:val="Tablanormal"/>
    <w:uiPriority w:val="39"/>
    <w:rsid w:val="006F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96169">
      <w:bodyDiv w:val="1"/>
      <w:marLeft w:val="0"/>
      <w:marRight w:val="0"/>
      <w:marTop w:val="0"/>
      <w:marBottom w:val="0"/>
      <w:divBdr>
        <w:top w:val="none" w:sz="0" w:space="0" w:color="auto"/>
        <w:left w:val="none" w:sz="0" w:space="0" w:color="auto"/>
        <w:bottom w:val="none" w:sz="0" w:space="0" w:color="auto"/>
        <w:right w:val="none" w:sz="0" w:space="0" w:color="auto"/>
      </w:divBdr>
      <w:divsChild>
        <w:div w:id="709578022">
          <w:marLeft w:val="0"/>
          <w:marRight w:val="0"/>
          <w:marTop w:val="0"/>
          <w:marBottom w:val="0"/>
          <w:divBdr>
            <w:top w:val="none" w:sz="0" w:space="0" w:color="auto"/>
            <w:left w:val="none" w:sz="0" w:space="0" w:color="auto"/>
            <w:bottom w:val="none" w:sz="0" w:space="0" w:color="auto"/>
            <w:right w:val="none" w:sz="0" w:space="0" w:color="auto"/>
          </w:divBdr>
        </w:div>
        <w:div w:id="110214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5227</Words>
  <Characters>28754</Characters>
  <Application>Microsoft Office Word</Application>
  <DocSecurity>4</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2</cp:revision>
  <dcterms:created xsi:type="dcterms:W3CDTF">2024-09-09T15:51:00Z</dcterms:created>
  <dcterms:modified xsi:type="dcterms:W3CDTF">2024-09-09T15:51:00Z</dcterms:modified>
</cp:coreProperties>
</file>