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CD4E5" w14:textId="5C2E933E"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noviembre de dos mil veinticuatro. </w:t>
      </w:r>
    </w:p>
    <w:p w14:paraId="2EF01C73" w14:textId="5E7C5E93"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w:t>
      </w:r>
      <w:r>
        <w:rPr>
          <w:rFonts w:ascii="Palatino Linotype" w:eastAsia="Palatino Linotype" w:hAnsi="Palatino Linotype" w:cs="Palatino Linotype"/>
        </w:rPr>
        <w:t xml:space="preserve">diente formado con motivo del recurso de revisión </w:t>
      </w:r>
      <w:r>
        <w:rPr>
          <w:rFonts w:ascii="Palatino Linotype" w:eastAsia="Palatino Linotype" w:hAnsi="Palatino Linotype" w:cs="Palatino Linotype"/>
          <w:b/>
        </w:rPr>
        <w:t>05804/INFOEM/IP/RR/2024</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Pr="00684DBC">
        <w:rPr>
          <w:rFonts w:ascii="Palatino Linotype" w:eastAsia="Palatino Linotype" w:hAnsi="Palatino Linotype" w:cs="Palatino Linotype"/>
          <w:b/>
        </w:rPr>
        <w:t>XXXXXXX XX X</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la solicitud de información con número de folio </w:t>
      </w:r>
      <w:r>
        <w:rPr>
          <w:rFonts w:ascii="Palatino Linotype" w:eastAsia="Palatino Linotype" w:hAnsi="Palatino Linotype" w:cs="Palatino Linotype"/>
          <w:b/>
        </w:rPr>
        <w:t xml:space="preserve">00145/MATEOATE/IP/2024, </w:t>
      </w:r>
      <w:r>
        <w:rPr>
          <w:rFonts w:ascii="Palatino Linotype" w:eastAsia="Palatino Linotype" w:hAnsi="Palatino Linotype" w:cs="Palatino Linotype"/>
        </w:rPr>
        <w:t xml:space="preserve">por parte del </w:t>
      </w:r>
      <w:r>
        <w:rPr>
          <w:rFonts w:ascii="Palatino Linotype" w:eastAsia="Palatino Linotype" w:hAnsi="Palatino Linotype" w:cs="Palatino Linotype"/>
          <w:b/>
        </w:rPr>
        <w:t xml:space="preserve">Ayuntamiento de San Mateo Atenco,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4C8037A7" w14:textId="77777777" w:rsidR="00573E3C" w:rsidRDefault="00684DBC">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6DE3CD45" w14:textId="77777777" w:rsidR="00573E3C" w:rsidRDefault="00684DBC">
      <w:pPr>
        <w:spacing w:before="240" w:after="240" w:line="360" w:lineRule="auto"/>
        <w:jc w:val="both"/>
        <w:rPr>
          <w:rFonts w:ascii="Palatino Linotype" w:eastAsia="Palatino Linotype" w:hAnsi="Palatino Linotype" w:cs="Palatino Linotype"/>
        </w:rPr>
      </w:pPr>
      <w:bookmarkStart w:id="0" w:name="_heading=h.4d34og8" w:colFirst="0" w:colLast="0"/>
      <w:bookmarkEnd w:id="0"/>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treinta de agosto de dos mil veinticuatro, </w:t>
      </w:r>
      <w:r>
        <w:rPr>
          <w:rFonts w:ascii="Palatino Linotype" w:eastAsia="Palatino Linotype" w:hAnsi="Palatino Linotype" w:cs="Palatino Linotype"/>
        </w:rPr>
        <w:t>l</w:t>
      </w:r>
      <w:r>
        <w:rPr>
          <w:rFonts w:ascii="Palatino Linotype" w:eastAsia="Palatino Linotype" w:hAnsi="Palatino Linotype" w:cs="Palatino Linotype"/>
        </w:rPr>
        <w:t xml:space="preserve">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solicitud de acceso a la información pública, mediante la cual requirió la información siguiente: </w:t>
      </w:r>
    </w:p>
    <w:p w14:paraId="5746B478" w14:textId="77777777" w:rsidR="00573E3C" w:rsidRDefault="00684DBC">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 “Solicito </w:t>
      </w:r>
      <w:r>
        <w:rPr>
          <w:rFonts w:ascii="Palatino Linotype" w:eastAsia="Palatino Linotype" w:hAnsi="Palatino Linotype" w:cs="Palatino Linotype"/>
          <w:i/>
          <w:sz w:val="22"/>
          <w:szCs w:val="22"/>
        </w:rPr>
        <w:t xml:space="preserve">los siguientes reportes que sin pretextos o excusas de argucias legales o evasivas sin fundamento jurídico legal obran en sus archivos del Ente </w:t>
      </w:r>
      <w:proofErr w:type="spellStart"/>
      <w:r>
        <w:rPr>
          <w:rFonts w:ascii="Palatino Linotype" w:eastAsia="Palatino Linotype" w:hAnsi="Palatino Linotype" w:cs="Palatino Linotype"/>
          <w:i/>
          <w:sz w:val="22"/>
          <w:szCs w:val="22"/>
        </w:rPr>
        <w:t>Publico</w:t>
      </w:r>
      <w:proofErr w:type="spellEnd"/>
      <w:r>
        <w:rPr>
          <w:rFonts w:ascii="Palatino Linotype" w:eastAsia="Palatino Linotype" w:hAnsi="Palatino Linotype" w:cs="Palatino Linotype"/>
          <w:i/>
          <w:sz w:val="22"/>
          <w:szCs w:val="22"/>
        </w:rPr>
        <w:t xml:space="preserve"> Obligado y que sin ningún pretexto se pueden extraer de sus portales en no </w:t>
      </w:r>
      <w:proofErr w:type="spellStart"/>
      <w:r>
        <w:rPr>
          <w:rFonts w:ascii="Palatino Linotype" w:eastAsia="Palatino Linotype" w:hAnsi="Palatino Linotype" w:cs="Palatino Linotype"/>
          <w:i/>
          <w:sz w:val="22"/>
          <w:szCs w:val="22"/>
        </w:rPr>
        <w:t>mas</w:t>
      </w:r>
      <w:proofErr w:type="spellEnd"/>
      <w:r>
        <w:rPr>
          <w:rFonts w:ascii="Palatino Linotype" w:eastAsia="Palatino Linotype" w:hAnsi="Palatino Linotype" w:cs="Palatino Linotype"/>
          <w:i/>
          <w:sz w:val="22"/>
          <w:szCs w:val="22"/>
        </w:rPr>
        <w:t xml:space="preserve"> de 30 minutos tal cual se</w:t>
      </w:r>
      <w:r>
        <w:rPr>
          <w:rFonts w:ascii="Palatino Linotype" w:eastAsia="Palatino Linotype" w:hAnsi="Palatino Linotype" w:cs="Palatino Linotype"/>
          <w:i/>
          <w:sz w:val="22"/>
          <w:szCs w:val="22"/>
        </w:rPr>
        <w:t xml:space="preserve"> solicitan de manera, ordenada, clara, precisa y puntual y que se enfatizan obran en sus archivos. Esperando se pueda tener a la brevedad. Sin tener que seguir </w:t>
      </w:r>
      <w:proofErr w:type="spellStart"/>
      <w:r>
        <w:rPr>
          <w:rFonts w:ascii="Palatino Linotype" w:eastAsia="Palatino Linotype" w:hAnsi="Palatino Linotype" w:cs="Palatino Linotype"/>
          <w:i/>
          <w:sz w:val="22"/>
          <w:szCs w:val="22"/>
        </w:rPr>
        <w:t>litigimos</w:t>
      </w:r>
      <w:proofErr w:type="spellEnd"/>
      <w:r>
        <w:rPr>
          <w:rFonts w:ascii="Palatino Linotype" w:eastAsia="Palatino Linotype" w:hAnsi="Palatino Linotype" w:cs="Palatino Linotype"/>
          <w:i/>
          <w:sz w:val="22"/>
          <w:szCs w:val="22"/>
        </w:rPr>
        <w:t xml:space="preserve"> de Recursos de Revisión esto debido a trabas por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o desconocimiento</w:t>
      </w:r>
      <w:r>
        <w:rPr>
          <w:rFonts w:ascii="Palatino Linotype" w:eastAsia="Palatino Linotype" w:hAnsi="Palatino Linotype" w:cs="Palatino Linotype"/>
          <w:i/>
          <w:sz w:val="22"/>
          <w:szCs w:val="22"/>
        </w:rPr>
        <w:t xml:space="preserve"> de sus archivos se me haga llegar en formato </w:t>
      </w:r>
      <w:proofErr w:type="spellStart"/>
      <w:r>
        <w:rPr>
          <w:rFonts w:ascii="Palatino Linotype" w:eastAsia="Palatino Linotype" w:hAnsi="Palatino Linotype" w:cs="Palatino Linotype"/>
          <w:i/>
          <w:sz w:val="22"/>
          <w:szCs w:val="22"/>
        </w:rPr>
        <w:t>pdf</w:t>
      </w:r>
      <w:proofErr w:type="spellEnd"/>
      <w:r>
        <w:rPr>
          <w:rFonts w:ascii="Palatino Linotype" w:eastAsia="Palatino Linotype" w:hAnsi="Palatino Linotype" w:cs="Palatino Linotype"/>
          <w:i/>
          <w:sz w:val="22"/>
          <w:szCs w:val="22"/>
        </w:rPr>
        <w:t>. Vía datos adjuntos o link de nube por correo electrónico. Agradezco la atención quedo pendiente de lo solicitado. Gracias. *El visor de nómina por sueldos y salarios, es un reporte que baja el tesorero del</w:t>
      </w:r>
      <w:r>
        <w:rPr>
          <w:rFonts w:ascii="Palatino Linotype" w:eastAsia="Palatino Linotype" w:hAnsi="Palatino Linotype" w:cs="Palatino Linotype"/>
          <w:i/>
          <w:sz w:val="22"/>
          <w:szCs w:val="22"/>
        </w:rPr>
        <w:t xml:space="preserve"> municipio de la plataforma del SAT en unos pocos minutos, usando la clave CIEC o la FIEL. del año 2020 a </w:t>
      </w:r>
      <w:r>
        <w:rPr>
          <w:rFonts w:ascii="Palatino Linotype" w:eastAsia="Palatino Linotype" w:hAnsi="Palatino Linotype" w:cs="Palatino Linotype"/>
          <w:i/>
          <w:sz w:val="22"/>
          <w:szCs w:val="22"/>
        </w:rPr>
        <w:lastRenderedPageBreak/>
        <w:t>la feche de esta solicitud Arroja los dos resultados que ocupo: 1) Diferencia a cargo o a favor o en contra 2) ISR retenido que a su vez es el monto h</w:t>
      </w:r>
      <w:r>
        <w:rPr>
          <w:rFonts w:ascii="Palatino Linotype" w:eastAsia="Palatino Linotype" w:hAnsi="Palatino Linotype" w:cs="Palatino Linotype"/>
          <w:i/>
          <w:sz w:val="22"/>
          <w:szCs w:val="22"/>
        </w:rPr>
        <w:t xml:space="preserve">istórico recuperado por conducto de la </w:t>
      </w:r>
      <w:proofErr w:type="gramStart"/>
      <w:r>
        <w:rPr>
          <w:rFonts w:ascii="Palatino Linotype" w:eastAsia="Palatino Linotype" w:hAnsi="Palatino Linotype" w:cs="Palatino Linotype"/>
          <w:i/>
          <w:sz w:val="22"/>
          <w:szCs w:val="22"/>
        </w:rPr>
        <w:t>Secretaria</w:t>
      </w:r>
      <w:proofErr w:type="gramEnd"/>
      <w:r>
        <w:rPr>
          <w:rFonts w:ascii="Palatino Linotype" w:eastAsia="Palatino Linotype" w:hAnsi="Palatino Linotype" w:cs="Palatino Linotype"/>
          <w:i/>
          <w:sz w:val="22"/>
          <w:szCs w:val="22"/>
        </w:rPr>
        <w:t xml:space="preserve"> de Finanzas del Estado. El visor de nómina por asimilados a salarios. Le aplican los comentarios del visor de salarios. Éstos dos visores se requieren por el municipio, y las paramunicipales También se soli</w:t>
      </w:r>
      <w:r>
        <w:rPr>
          <w:rFonts w:ascii="Palatino Linotype" w:eastAsia="Palatino Linotype" w:hAnsi="Palatino Linotype" w:cs="Palatino Linotype"/>
          <w:i/>
          <w:sz w:val="22"/>
          <w:szCs w:val="22"/>
        </w:rPr>
        <w:t xml:space="preserve">cita: *Reporte emitido por la </w:t>
      </w:r>
      <w:proofErr w:type="gramStart"/>
      <w:r>
        <w:rPr>
          <w:rFonts w:ascii="Palatino Linotype" w:eastAsia="Palatino Linotype" w:hAnsi="Palatino Linotype" w:cs="Palatino Linotype"/>
          <w:i/>
          <w:sz w:val="22"/>
          <w:szCs w:val="22"/>
        </w:rPr>
        <w:t>Secretaria</w:t>
      </w:r>
      <w:proofErr w:type="gramEnd"/>
      <w:r>
        <w:rPr>
          <w:rFonts w:ascii="Palatino Linotype" w:eastAsia="Palatino Linotype" w:hAnsi="Palatino Linotype" w:cs="Palatino Linotype"/>
          <w:i/>
          <w:sz w:val="22"/>
          <w:szCs w:val="22"/>
        </w:rPr>
        <w:t xml:space="preserve"> de Finanzas del Estado que comprende desde el año 2015 a la fecha en el que se especifica el monto del ISR que se obtuvo en devolución. *Reporte emitido por el software de contabilidad gubernamental en el que se pue</w:t>
      </w:r>
      <w:r>
        <w:rPr>
          <w:rFonts w:ascii="Palatino Linotype" w:eastAsia="Palatino Linotype" w:hAnsi="Palatino Linotype" w:cs="Palatino Linotype"/>
          <w:i/>
          <w:sz w:val="22"/>
          <w:szCs w:val="22"/>
        </w:rPr>
        <w:t xml:space="preserve">da apreciar el control del saldo pendiente de recuperar del ISR participable. Puede ser el auxiliar contable de una cuenta de activo, una nota de desglose a los estados financieros. Se adjunta ejemplo en archivo </w:t>
      </w:r>
      <w:proofErr w:type="spellStart"/>
      <w:r>
        <w:rPr>
          <w:rFonts w:ascii="Palatino Linotype" w:eastAsia="Palatino Linotype" w:hAnsi="Palatino Linotype" w:cs="Palatino Linotype"/>
          <w:i/>
          <w:sz w:val="22"/>
          <w:szCs w:val="22"/>
        </w:rPr>
        <w:t>pdf</w:t>
      </w:r>
      <w:proofErr w:type="spellEnd"/>
      <w:r>
        <w:rPr>
          <w:rFonts w:ascii="Palatino Linotype" w:eastAsia="Palatino Linotype" w:hAnsi="Palatino Linotype" w:cs="Palatino Linotype"/>
          <w:i/>
          <w:sz w:val="22"/>
          <w:szCs w:val="22"/>
        </w:rPr>
        <w:t xml:space="preserve">. de un Ente </w:t>
      </w:r>
      <w:proofErr w:type="spellStart"/>
      <w:r>
        <w:rPr>
          <w:rFonts w:ascii="Palatino Linotype" w:eastAsia="Palatino Linotype" w:hAnsi="Palatino Linotype" w:cs="Palatino Linotype"/>
          <w:i/>
          <w:sz w:val="22"/>
          <w:szCs w:val="22"/>
        </w:rPr>
        <w:t>Publico</w:t>
      </w:r>
      <w:proofErr w:type="spellEnd"/>
      <w:r>
        <w:rPr>
          <w:rFonts w:ascii="Palatino Linotype" w:eastAsia="Palatino Linotype" w:hAnsi="Palatino Linotype" w:cs="Palatino Linotype"/>
          <w:i/>
          <w:sz w:val="22"/>
          <w:szCs w:val="22"/>
        </w:rPr>
        <w:t xml:space="preserve"> Municipal del estado</w:t>
      </w:r>
      <w:r>
        <w:rPr>
          <w:rFonts w:ascii="Palatino Linotype" w:eastAsia="Palatino Linotype" w:hAnsi="Palatino Linotype" w:cs="Palatino Linotype"/>
          <w:i/>
          <w:sz w:val="22"/>
          <w:szCs w:val="22"/>
        </w:rPr>
        <w:t xml:space="preserve"> de Guanajuato para que les sirva de ejemplo y no existan dudas de lo que se está requiriendo. Y como se me entrego de una forma total, en una sola </w:t>
      </w:r>
      <w:proofErr w:type="gramStart"/>
      <w:r>
        <w:rPr>
          <w:rFonts w:ascii="Palatino Linotype" w:eastAsia="Palatino Linotype" w:hAnsi="Palatino Linotype" w:cs="Palatino Linotype"/>
          <w:i/>
          <w:sz w:val="22"/>
          <w:szCs w:val="22"/>
        </w:rPr>
        <w:t>exhibición ,</w:t>
      </w:r>
      <w:proofErr w:type="gramEnd"/>
      <w:r>
        <w:rPr>
          <w:rFonts w:ascii="Palatino Linotype" w:eastAsia="Palatino Linotype" w:hAnsi="Palatino Linotype" w:cs="Palatino Linotype"/>
          <w:i/>
          <w:sz w:val="22"/>
          <w:szCs w:val="22"/>
        </w:rPr>
        <w:t xml:space="preserve"> clara y legiblemente y sobre todo ordenada.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(sic) </w:t>
      </w:r>
    </w:p>
    <w:p w14:paraId="4E8648B8" w14:textId="77777777" w:rsidR="00573E3C" w:rsidRDefault="00684DBC">
      <w:pPr>
        <w:spacing w:before="240" w:after="240" w:line="360" w:lineRule="auto"/>
        <w:jc w:val="both"/>
        <w:rPr>
          <w:rFonts w:ascii="Palatino Linotype" w:eastAsia="Palatino Linotype" w:hAnsi="Palatino Linotype" w:cs="Palatino Linotype"/>
        </w:rPr>
      </w:pPr>
      <w:bookmarkStart w:id="2" w:name="_heading=h.3dy6vkm" w:colFirst="0" w:colLast="0"/>
      <w:bookmarkEnd w:id="2"/>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Cualquier otro medio,</w:t>
      </w:r>
      <w:r>
        <w:rPr>
          <w:rFonts w:ascii="Palatino Linotype" w:eastAsia="Palatino Linotype" w:hAnsi="Palatino Linotype" w:cs="Palatino Linotype"/>
        </w:rPr>
        <w:t xml:space="preserve"> incluido los electrónicos (USB, </w:t>
      </w:r>
      <w:proofErr w:type="gramStart"/>
      <w:r>
        <w:rPr>
          <w:rFonts w:ascii="Palatino Linotype" w:eastAsia="Palatino Linotype" w:hAnsi="Palatino Linotype" w:cs="Palatino Linotype"/>
        </w:rPr>
        <w:t>SD,  CD</w:t>
      </w:r>
      <w:proofErr w:type="gramEnd"/>
      <w:r>
        <w:rPr>
          <w:rFonts w:ascii="Palatino Linotype" w:eastAsia="Palatino Linotype" w:hAnsi="Palatino Linotype" w:cs="Palatino Linotype"/>
        </w:rPr>
        <w:t>-ROM), a través del Sistema de Acceso a la Información Mexiquense, SAIMEX y por correo electrónico; asimismo, señaló correo electrónico como medio para recibir información o notificaciones, como se advierte a continu</w:t>
      </w:r>
      <w:r>
        <w:rPr>
          <w:rFonts w:ascii="Palatino Linotype" w:eastAsia="Palatino Linotype" w:hAnsi="Palatino Linotype" w:cs="Palatino Linotype"/>
        </w:rPr>
        <w:t>ación:</w:t>
      </w:r>
    </w:p>
    <w:p w14:paraId="10A08E9E"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20D12AB" wp14:editId="1A91EE15">
            <wp:extent cx="5612130" cy="560070"/>
            <wp:effectExtent l="0" t="0" r="0" b="0"/>
            <wp:docPr id="214013185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612130" cy="560070"/>
                    </a:xfrm>
                    <a:prstGeom prst="rect">
                      <a:avLst/>
                    </a:prstGeom>
                    <a:ln/>
                  </pic:spPr>
                </pic:pic>
              </a:graphicData>
            </a:graphic>
          </wp:inline>
        </w:drawing>
      </w:r>
    </w:p>
    <w:p w14:paraId="7A8BF9B8"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persona solicitante adjuntó como ejemplo de la información que requiere, la respuesta a la solicitud con número de folio 110196500054524, presentada ante el municipio de Irapuato, Guanajuato, en la cual se requirió de igual forma, del Visor de </w:t>
      </w:r>
      <w:r>
        <w:rPr>
          <w:rFonts w:ascii="Palatino Linotype" w:eastAsia="Palatino Linotype" w:hAnsi="Palatino Linotype" w:cs="Palatino Linotype"/>
        </w:rPr>
        <w:t>nómina por sueldos y salarios, y por asimilados a salarios, la entrega de los resultados: Diferencia a cargo o a favor, o en contra, e ISR retenido; así como el Reporte emitido por la Secretaría de Finanzas del Estado en el que se especifica el monto del I</w:t>
      </w:r>
      <w:r>
        <w:rPr>
          <w:rFonts w:ascii="Palatino Linotype" w:eastAsia="Palatino Linotype" w:hAnsi="Palatino Linotype" w:cs="Palatino Linotype"/>
        </w:rPr>
        <w:t xml:space="preserve">SR que se obtuvo en devolución, y el Reporte emitido por el software de contabilidad gubernamental en el que se pueda apreciar el control del saldo </w:t>
      </w:r>
      <w:r>
        <w:rPr>
          <w:rFonts w:ascii="Palatino Linotype" w:eastAsia="Palatino Linotype" w:hAnsi="Palatino Linotype" w:cs="Palatino Linotype"/>
        </w:rPr>
        <w:lastRenderedPageBreak/>
        <w:t>pendiente de recuperar del ISR participable, y el Sujeto Obligado proporciono los formatos: Vista anual acum</w:t>
      </w:r>
      <w:r>
        <w:rPr>
          <w:rFonts w:ascii="Palatino Linotype" w:eastAsia="Palatino Linotype" w:hAnsi="Palatino Linotype" w:cs="Palatino Linotype"/>
        </w:rPr>
        <w:t>ulada, Detalle del “Total por Sueldos y Salarios” y Detalle del “Total por Asimilados a Salarios”, de los ejercicios 2020 a 2024  obtenidos del aplicativo Visor de Comprobantes de Nómina del Patrón, del Servicio de Administración Tributaria, SAT; el Report</w:t>
      </w:r>
      <w:r>
        <w:rPr>
          <w:rFonts w:ascii="Palatino Linotype" w:eastAsia="Palatino Linotype" w:hAnsi="Palatino Linotype" w:cs="Palatino Linotype"/>
        </w:rPr>
        <w:t>e emitido desde la página de la Secretaría de Finanzas, Inversión y Administración del Gobierno del Estado de Guanajuato, en el que se especifica el monto del ISR que se obtuvo en devolución; y finalmente manifestó que no contaba con el software de contabi</w:t>
      </w:r>
      <w:r>
        <w:rPr>
          <w:rFonts w:ascii="Palatino Linotype" w:eastAsia="Palatino Linotype" w:hAnsi="Palatino Linotype" w:cs="Palatino Linotype"/>
        </w:rPr>
        <w:t>lidad gubernamental referido.</w:t>
      </w:r>
    </w:p>
    <w:p w14:paraId="66F7FC21"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veintitrés de septiembre de dos mil veinticuatro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2907A98" w14:textId="77777777" w:rsidR="00573E3C" w:rsidRDefault="00684DBC">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da atención a la solicitud con número de folio 00145/MATEOATE/IP/2024, a través del oficio número SMA/UIPPET/UT/0563/2024.” (sic)</w:t>
      </w:r>
    </w:p>
    <w:p w14:paraId="0BBBF5AF"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lo siguiente:</w:t>
      </w:r>
    </w:p>
    <w:p w14:paraId="44CCF398"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Oficio número SMA/UIPPET/UT/0563/2024, del veintitrés de septiembre de dos mil </w:t>
      </w:r>
      <w:r>
        <w:rPr>
          <w:rFonts w:ascii="Palatino Linotype" w:eastAsia="Palatino Linotype" w:hAnsi="Palatino Linotype" w:cs="Palatino Linotype"/>
        </w:rPr>
        <w:t>veinticuatro, mediante el cual el Titular de la Unidad de Transparencia notificó a la persona solicitante la respuesta emitida por el servidor público habilitado de la Tesorería Municipal.</w:t>
      </w:r>
    </w:p>
    <w:p w14:paraId="05A9F0D4"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Oficio número SMA/TM/05502024, del doce de septiembre de dos mil </w:t>
      </w:r>
      <w:r>
        <w:rPr>
          <w:rFonts w:ascii="Palatino Linotype" w:eastAsia="Palatino Linotype" w:hAnsi="Palatino Linotype" w:cs="Palatino Linotype"/>
        </w:rPr>
        <w:t xml:space="preserve">veinticuatro, mediante el cual el Tesorero Municipal manifestó que se encontraba legal y materialmente impedido para procesar la información y presentarla en el formato y con el desglose que se solicita, asimismo,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cumplimiento de sus obligaciones </w:t>
      </w:r>
      <w:r>
        <w:rPr>
          <w:rFonts w:ascii="Palatino Linotype" w:eastAsia="Palatino Linotype" w:hAnsi="Palatino Linotype" w:cs="Palatino Linotype"/>
        </w:rPr>
        <w:lastRenderedPageBreak/>
        <w:t>le</w:t>
      </w:r>
      <w:r>
        <w:rPr>
          <w:rFonts w:ascii="Palatino Linotype" w:eastAsia="Palatino Linotype" w:hAnsi="Palatino Linotype" w:cs="Palatino Linotype"/>
        </w:rPr>
        <w:t xml:space="preserve">gales, ponía a disposición la opinión de cumplimiento actualizada a la fecha de contestación. </w:t>
      </w:r>
    </w:p>
    <w:p w14:paraId="6388A9FD"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Opinión del cumplimiento de obligaciones fiscales, emitida por el Servicio de Administración Tributaria, del día once de septiembre de dos mil veinticuatro.</w:t>
      </w:r>
    </w:p>
    <w:p w14:paraId="0CEE38DD"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3.</w:t>
      </w:r>
      <w:r>
        <w:rPr>
          <w:rFonts w:ascii="Palatino Linotype" w:eastAsia="Palatino Linotype" w:hAnsi="Palatino Linotype" w:cs="Palatino Linotype"/>
          <w:b/>
        </w:rPr>
        <w:t xml:space="preserve">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el</w:t>
      </w:r>
      <w:r>
        <w:rPr>
          <w:rFonts w:ascii="Palatino Linotype" w:eastAsia="Palatino Linotype" w:hAnsi="Palatino Linotype" w:cs="Palatino Linotype"/>
          <w:b/>
        </w:rPr>
        <w:t xml:space="preserve"> veinticuatro de septiembre de dos mil veinticuatro,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w:t>
      </w:r>
      <w:r>
        <w:rPr>
          <w:rFonts w:ascii="Palatino Linotype" w:eastAsia="Palatino Linotype" w:hAnsi="Palatino Linotype" w:cs="Palatino Linotype"/>
        </w:rPr>
        <w:t>nde se manifestó de la siguiente manera:</w:t>
      </w:r>
    </w:p>
    <w:p w14:paraId="2A08239E" w14:textId="77777777" w:rsidR="00573E3C" w:rsidRDefault="00684DBC">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154B3A1F" w14:textId="77777777" w:rsidR="00573E3C" w:rsidRDefault="00684DBC">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no respuesta en el tiempo establecido por ley a mi solicitud de reportes” (sic)</w:t>
      </w:r>
    </w:p>
    <w:p w14:paraId="020162F3" w14:textId="77777777" w:rsidR="00573E3C" w:rsidRDefault="00684DBC">
      <w:pPr>
        <w:spacing w:line="360" w:lineRule="auto"/>
        <w:jc w:val="both"/>
        <w:rPr>
          <w:rFonts w:ascii="Palatino Linotype" w:eastAsia="Palatino Linotype" w:hAnsi="Palatino Linotype" w:cs="Palatino Linotype"/>
        </w:rPr>
      </w:pPr>
      <w:bookmarkStart w:id="3" w:name="_heading=h.30j0zll" w:colFirst="0" w:colLast="0"/>
      <w:bookmarkEnd w:id="3"/>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0A3DB3C9" w14:textId="77777777" w:rsidR="00573E3C" w:rsidRDefault="00684DBC">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la NO respuesta a la solicitud realizada de manera clara y precisa por mi persona por lo tanto por la NEGACIÓN de la información. Es realmente molesto tantas evasivas a entregar archivos reportes que obran en sus archivos y que además se les mando un </w:t>
      </w:r>
      <w:r>
        <w:rPr>
          <w:rFonts w:ascii="Palatino Linotype" w:eastAsia="Palatino Linotype" w:hAnsi="Palatino Linotype" w:cs="Palatino Linotype"/>
          <w:i/>
          <w:sz w:val="22"/>
          <w:szCs w:val="22"/>
        </w:rPr>
        <w:t>ejemplo claro y exacto de lo solicitado. Ojalá con este Recurso de Revisión ya no hagan más pernicioso el tema y me lo envíen a la brevedad de manera COMPLETA, ORDENADA, LEGIBLE Y TODA la información requerida y por favor que sea a mi Correo Electrónico qu</w:t>
      </w:r>
      <w:r>
        <w:rPr>
          <w:rFonts w:ascii="Palatino Linotype" w:eastAsia="Palatino Linotype" w:hAnsi="Palatino Linotype" w:cs="Palatino Linotype"/>
          <w:i/>
          <w:sz w:val="22"/>
          <w:szCs w:val="22"/>
        </w:rPr>
        <w:t xml:space="preserve">e es el que solicito se haga llegar y </w:t>
      </w:r>
      <w:r>
        <w:rPr>
          <w:rFonts w:ascii="Palatino Linotype" w:eastAsia="Palatino Linotype" w:hAnsi="Palatino Linotype" w:cs="Palatino Linotype"/>
          <w:b/>
          <w:i/>
          <w:sz w:val="22"/>
          <w:szCs w:val="22"/>
        </w:rPr>
        <w:t>no por medio de su plataforma SAIMEX</w:t>
      </w:r>
      <w:r>
        <w:rPr>
          <w:rFonts w:ascii="Palatino Linotype" w:eastAsia="Palatino Linotype" w:hAnsi="Palatino Linotype" w:cs="Palatino Linotype"/>
          <w:i/>
          <w:sz w:val="22"/>
          <w:szCs w:val="22"/>
        </w:rPr>
        <w:t xml:space="preserve"> que es tediosa y poco entendible y de total desagrado para manejar para </w:t>
      </w:r>
      <w:proofErr w:type="spellStart"/>
      <w:r>
        <w:rPr>
          <w:rFonts w:ascii="Palatino Linotype" w:eastAsia="Palatino Linotype" w:hAnsi="Palatino Linotype" w:cs="Palatino Linotype"/>
          <w:i/>
          <w:sz w:val="22"/>
          <w:szCs w:val="22"/>
        </w:rPr>
        <w:t>mi</w:t>
      </w:r>
      <w:proofErr w:type="spellEnd"/>
      <w:r>
        <w:rPr>
          <w:rFonts w:ascii="Palatino Linotype" w:eastAsia="Palatino Linotype" w:hAnsi="Palatino Linotype" w:cs="Palatino Linotype"/>
          <w:i/>
          <w:sz w:val="22"/>
          <w:szCs w:val="22"/>
        </w:rPr>
        <w:t>. Gracias. Adjunto nuevamente ejemplo de la solicitud requerida” (sic)</w:t>
      </w:r>
    </w:p>
    <w:p w14:paraId="7C26DFA3" w14:textId="77777777" w:rsidR="00573E3C" w:rsidRDefault="00684D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adjuntó nuevamen</w:t>
      </w:r>
      <w:r>
        <w:rPr>
          <w:rFonts w:ascii="Palatino Linotype" w:eastAsia="Palatino Linotype" w:hAnsi="Palatino Linotype" w:cs="Palatino Linotype"/>
        </w:rPr>
        <w:t>te la respuesta a la solicitud con número de folio 110196500054524, presentada ante el municipio de Irapuato, Guanajuato.</w:t>
      </w:r>
    </w:p>
    <w:p w14:paraId="7A5E7B32" w14:textId="77777777" w:rsidR="00573E3C" w:rsidRDefault="00684D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w:t>
      </w:r>
      <w:r>
        <w:rPr>
          <w:rFonts w:ascii="Palatino Linotype" w:eastAsia="Palatino Linotype" w:hAnsi="Palatino Linotype" w:cs="Palatino Linotype"/>
        </w:rPr>
        <w:t xml:space="preserve">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w:t>
      </w:r>
      <w:r>
        <w:rPr>
          <w:rFonts w:ascii="Palatino Linotype" w:eastAsia="Palatino Linotype" w:hAnsi="Palatino Linotype" w:cs="Palatino Linotype"/>
          <w:b/>
        </w:rPr>
        <w:t xml:space="preserve">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15A91BFC"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veintisiete de septiembre de dos mil veinticuatro, </w:t>
      </w:r>
      <w:r>
        <w:rPr>
          <w:rFonts w:ascii="Palatino Linotype" w:eastAsia="Palatino Linotype" w:hAnsi="Palatino Linotype" w:cs="Palatino Linotype"/>
        </w:rPr>
        <w:t>este Instituto de Transparencia, Acceso a la Información Pública y Protección de Datos Per</w:t>
      </w:r>
      <w:r>
        <w:rPr>
          <w:rFonts w:ascii="Palatino Linotype" w:eastAsia="Palatino Linotype" w:hAnsi="Palatino Linotype" w:cs="Palatino Linotype"/>
        </w:rPr>
        <w:t>sonales del Estado de México y Municipios, admitió a trámite el recurso de revisión que ahora se resuelve, dando un plazo máximo de siete días hábiles para que las partes manifestaran lo que a su derecho resultara conveniente, ofrecieran pruebas, formulara</w:t>
      </w:r>
      <w:r>
        <w:rPr>
          <w:rFonts w:ascii="Palatino Linotype" w:eastAsia="Palatino Linotype" w:hAnsi="Palatino Linotype" w:cs="Palatino Linotype"/>
        </w:rPr>
        <w:t xml:space="preserve">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13A35EE7" w14:textId="77777777" w:rsidR="00573E3C" w:rsidRDefault="00684DBC">
      <w:pPr>
        <w:spacing w:before="240" w:after="240" w:line="360" w:lineRule="auto"/>
        <w:jc w:val="both"/>
        <w:rPr>
          <w:rFonts w:ascii="Palatino Linotype" w:eastAsia="Palatino Linotype" w:hAnsi="Palatino Linotype" w:cs="Palatino Linotype"/>
        </w:rPr>
      </w:pPr>
      <w:bookmarkStart w:id="4" w:name="_heading=h.2s8eyo1" w:colFirst="0" w:colLast="0"/>
      <w:bookmarkEnd w:id="4"/>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veintisiete de septiembre de dos mil veinticuatro,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remitió a través de SAIMEX la respuesta a la solicitud con número de folio 110196500054524, pre</w:t>
      </w:r>
      <w:r>
        <w:rPr>
          <w:rFonts w:ascii="Palatino Linotype" w:eastAsia="Palatino Linotype" w:hAnsi="Palatino Linotype" w:cs="Palatino Linotype"/>
        </w:rPr>
        <w:t>sentada ante el municipio de Irapuato, Guanajuato.</w:t>
      </w:r>
    </w:p>
    <w:p w14:paraId="7D7C7AE9" w14:textId="77777777" w:rsidR="00573E3C" w:rsidRDefault="00684DBC">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fue omiso en rendir su informe justificado, como se observa a continuación:</w:t>
      </w:r>
    </w:p>
    <w:p w14:paraId="2B844949"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B676BCD" wp14:editId="799F7EF2">
            <wp:extent cx="5612130" cy="1790700"/>
            <wp:effectExtent l="0" t="0" r="0" b="0"/>
            <wp:docPr id="21401318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b="22463"/>
                    <a:stretch>
                      <a:fillRect/>
                    </a:stretch>
                  </pic:blipFill>
                  <pic:spPr>
                    <a:xfrm>
                      <a:off x="0" y="0"/>
                      <a:ext cx="5612130" cy="1790700"/>
                    </a:xfrm>
                    <a:prstGeom prst="rect">
                      <a:avLst/>
                    </a:prstGeom>
                    <a:ln/>
                  </pic:spPr>
                </pic:pic>
              </a:graphicData>
            </a:graphic>
          </wp:inline>
        </w:drawing>
      </w:r>
    </w:p>
    <w:p w14:paraId="0CFC4D1D" w14:textId="77777777" w:rsidR="00573E3C" w:rsidRDefault="00684DBC">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veintitrés de octubre de dos mil veinticuatro</w:t>
      </w:r>
      <w:r>
        <w:rPr>
          <w:rFonts w:ascii="Palatino Linotype" w:eastAsia="Palatino Linotype" w:hAnsi="Palatino Linotype" w:cs="Palatino Linotype"/>
        </w:rPr>
        <w:t>, la Comisionada Ponente determinó el cierre de instrucción en térm</w:t>
      </w:r>
      <w:r>
        <w:rPr>
          <w:rFonts w:ascii="Palatino Linotype" w:eastAsia="Palatino Linotype" w:hAnsi="Palatino Linotype" w:cs="Palatino Linotype"/>
        </w:rPr>
        <w:t>inos de la fracción VI del artículo 185 de la Ley de Transparencia y Acceso a la Información Pública del Estado de México y Municipios.</w:t>
      </w:r>
    </w:p>
    <w:p w14:paraId="462711F9"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e</w:t>
      </w:r>
      <w:r>
        <w:rPr>
          <w:rFonts w:ascii="Palatino Linotype" w:eastAsia="Palatino Linotype" w:hAnsi="Palatino Linotype" w:cs="Palatino Linotype"/>
        </w:rPr>
        <w:t xml:space="preserve">mite la Resolución que conforme a Derecho proceda, de acuerdo con los siguientes: </w:t>
      </w:r>
    </w:p>
    <w:p w14:paraId="63E95F63" w14:textId="77777777" w:rsidR="00573E3C" w:rsidRDefault="00684DBC">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0AFD4251"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w:t>
      </w:r>
      <w:r>
        <w:rPr>
          <w:rFonts w:ascii="Palatino Linotype" w:eastAsia="Palatino Linotype" w:hAnsi="Palatino Linotype" w:cs="Palatino Linotype"/>
        </w:rPr>
        <w:t>nicipios, es competente para conocer y resolver el presente recurso de revisión interpuesto por la parte recurrente, conforme a lo dispuesto en los artículos 6, apartado A de la Constitución Política de los Estados Unidos Mexicanos; 5 párrafos trigésimo te</w:t>
      </w:r>
      <w:r>
        <w:rPr>
          <w:rFonts w:ascii="Palatino Linotype" w:eastAsia="Palatino Linotype" w:hAnsi="Palatino Linotype" w:cs="Palatino Linotype"/>
        </w:rPr>
        <w:t xml:space="preserve">rcero, trigésimo cuarto y trigésimo quinto, fracciones IV y V de la Constitución Política del Estado Libre y Soberano de México; 2, fracción II; 29, 36 fracciones I y II; 176, 178, </w:t>
      </w:r>
      <w:r>
        <w:rPr>
          <w:rFonts w:ascii="Palatino Linotype" w:eastAsia="Palatino Linotype" w:hAnsi="Palatino Linotype" w:cs="Palatino Linotype"/>
        </w:rPr>
        <w:lastRenderedPageBreak/>
        <w:t>181, 185, fracción I, 186 y 188 de la Ley Transparencia y Acceso a la Infor</w:t>
      </w:r>
      <w:r>
        <w:rPr>
          <w:rFonts w:ascii="Palatino Linotype" w:eastAsia="Palatino Linotype" w:hAnsi="Palatino Linotype" w:cs="Palatino Linotype"/>
        </w:rPr>
        <w:t>mación Pública del Estado de México y Municipios; 9, fracciones I y XXIII y 11 del Reglamento Interior del Instituto de Transparencia, Acceso a la Información Pública y Protección de Datos Personales del Estado de México y Municipios.</w:t>
      </w:r>
    </w:p>
    <w:p w14:paraId="30E5DFBD" w14:textId="77777777" w:rsidR="00573E3C" w:rsidRDefault="00684DBC">
      <w:pPr>
        <w:spacing w:before="240" w:after="240" w:line="360" w:lineRule="auto"/>
        <w:jc w:val="both"/>
        <w:rPr>
          <w:rFonts w:ascii="Palatino Linotype" w:eastAsia="Palatino Linotype" w:hAnsi="Palatino Linotype" w:cs="Palatino Linotype"/>
        </w:rPr>
      </w:pPr>
      <w:bookmarkStart w:id="5" w:name="_heading=h.tyjcwt" w:colFirst="0" w:colLast="0"/>
      <w:bookmarkEnd w:id="5"/>
      <w:r>
        <w:rPr>
          <w:rFonts w:ascii="Palatino Linotype" w:eastAsia="Palatino Linotype" w:hAnsi="Palatino Linotype" w:cs="Palatino Linotype"/>
          <w:b/>
        </w:rPr>
        <w:t xml:space="preserve">Segundo. Oportunidad </w:t>
      </w:r>
      <w:r>
        <w:rPr>
          <w:rFonts w:ascii="Palatino Linotype" w:eastAsia="Palatino Linotype" w:hAnsi="Palatino Linotype" w:cs="Palatino Linotype"/>
          <w:b/>
        </w:rPr>
        <w:t>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w:t>
      </w:r>
      <w:r>
        <w:rPr>
          <w:rFonts w:ascii="Palatino Linotype" w:eastAsia="Palatino Linotype" w:hAnsi="Palatino Linotype" w:cs="Palatino Linotype"/>
        </w:rPr>
        <w:t>nsparencia y Acceso a la Información Pública del Estado de México y Municipios.</w:t>
      </w:r>
    </w:p>
    <w:p w14:paraId="7DC525FB"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recurso de revisión fue interpuesto dentro del plazo de quince días hábiles, previsto en el artículo 178 de la Ley de Transparencia y Acceso a la Información Pública del Est</w:t>
      </w:r>
      <w:r>
        <w:rPr>
          <w:rFonts w:ascii="Palatino Linotype" w:eastAsia="Palatino Linotype" w:hAnsi="Palatino Linotype" w:cs="Palatino Linotype"/>
        </w:rPr>
        <w:t xml:space="preserve">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veintitrés de septiembre de dos mil veinticuatro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se tuvo por pre</w:t>
      </w:r>
      <w:r>
        <w:rPr>
          <w:rFonts w:ascii="Palatino Linotype" w:eastAsia="Palatino Linotype" w:hAnsi="Palatino Linotype" w:cs="Palatino Linotype"/>
        </w:rPr>
        <w:t xml:space="preserve">sentado el día </w:t>
      </w:r>
      <w:r>
        <w:rPr>
          <w:rFonts w:ascii="Palatino Linotype" w:eastAsia="Palatino Linotype" w:hAnsi="Palatino Linotype" w:cs="Palatino Linotype"/>
          <w:b/>
        </w:rPr>
        <w:t>veinticuatro de septiembre de dos mil veinticuatro</w:t>
      </w:r>
      <w:r>
        <w:rPr>
          <w:rFonts w:ascii="Palatino Linotype" w:eastAsia="Palatino Linotype" w:hAnsi="Palatino Linotype" w:cs="Palatino Linotype"/>
        </w:rPr>
        <w:t>, esto es al siguiente día hábil siguiente en que tuvo conocimiento de la respuesta impugnada. En este sentido, se concluye que el presente recurso de revisión se encuentra dentro de los márg</w:t>
      </w:r>
      <w:r>
        <w:rPr>
          <w:rFonts w:ascii="Palatino Linotype" w:eastAsia="Palatino Linotype" w:hAnsi="Palatino Linotype" w:cs="Palatino Linotype"/>
        </w:rPr>
        <w:t>enes temporales previstos en las disposiciones legales referidas.</w:t>
      </w:r>
    </w:p>
    <w:p w14:paraId="0F4F0399" w14:textId="77777777" w:rsidR="00573E3C" w:rsidRDefault="00684DBC">
      <w:pPr>
        <w:spacing w:line="360" w:lineRule="auto"/>
        <w:jc w:val="both"/>
        <w:rPr>
          <w:rFonts w:ascii="Palatino Linotype" w:eastAsia="Palatino Linotype" w:hAnsi="Palatino Linotype" w:cs="Palatino Linotype"/>
        </w:rPr>
      </w:pPr>
      <w:bookmarkStart w:id="6" w:name="_heading=h.3znysh7" w:colFirst="0" w:colLast="0"/>
      <w:bookmarkEnd w:id="6"/>
      <w:r>
        <w:rPr>
          <w:rFonts w:ascii="Palatino Linotype" w:eastAsia="Palatino Linotype" w:hAnsi="Palatino Linotype" w:cs="Palatino Linotype"/>
        </w:rPr>
        <w:t>Además, por cuanto hace a la procedibilidad del recurso de revisión, es de suma importancia señalar que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señaló </w:t>
      </w:r>
      <w:r>
        <w:rPr>
          <w:rFonts w:ascii="Palatino Linotype" w:eastAsia="Palatino Linotype" w:hAnsi="Palatino Linotype" w:cs="Palatino Linotype"/>
          <w:b/>
        </w:rPr>
        <w:t>nombre</w:t>
      </w:r>
      <w:r>
        <w:rPr>
          <w:rFonts w:ascii="Palatino Linotype" w:eastAsia="Palatino Linotype" w:hAnsi="Palatino Linotype" w:cs="Palatino Linotype"/>
        </w:rPr>
        <w:t xml:space="preserve"> </w:t>
      </w:r>
      <w:r>
        <w:rPr>
          <w:rFonts w:ascii="Palatino Linotype" w:eastAsia="Palatino Linotype" w:hAnsi="Palatino Linotype" w:cs="Palatino Linotype"/>
          <w:b/>
        </w:rPr>
        <w:t>completo</w:t>
      </w:r>
      <w:r>
        <w:rPr>
          <w:rFonts w:ascii="Palatino Linotype" w:eastAsia="Palatino Linotype" w:hAnsi="Palatino Linotype" w:cs="Palatino Linotype"/>
        </w:rPr>
        <w:t xml:space="preserve"> con el cual desea ser identificado, com</w:t>
      </w:r>
      <w:r>
        <w:rPr>
          <w:rFonts w:ascii="Palatino Linotype" w:eastAsia="Palatino Linotype" w:hAnsi="Palatino Linotype" w:cs="Palatino Linotype"/>
        </w:rPr>
        <w:t xml:space="preserve">o se advierte en el detalle de seguimiento del SAIMEX, </w:t>
      </w:r>
      <w:r>
        <w:rPr>
          <w:rFonts w:ascii="Palatino Linotype" w:eastAsia="Palatino Linotype" w:hAnsi="Palatino Linotype" w:cs="Palatino Linotype"/>
        </w:rPr>
        <w:lastRenderedPageBreak/>
        <w:t>no obstante no proporcionar un nombre no es motivo para archivar la solicitud de acceso a la información pública como concluida, conforme a lo previsto en el artículo 155, penúltimo párrafo de la Ley d</w:t>
      </w:r>
      <w:r>
        <w:rPr>
          <w:rFonts w:ascii="Palatino Linotype" w:eastAsia="Palatino Linotype" w:hAnsi="Palatino Linotype" w:cs="Palatino Linotype"/>
        </w:rPr>
        <w:t>e Transparencia y Acceso a la Información Pública del Estado de México y Municipios que establece lo siguiente:</w:t>
      </w:r>
    </w:p>
    <w:p w14:paraId="6549D055"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w:t>
      </w:r>
      <w:r>
        <w:rPr>
          <w:rFonts w:ascii="Palatino Linotype" w:eastAsia="Palatino Linotype" w:hAnsi="Palatino Linotype" w:cs="Palatino Linotype"/>
          <w:b/>
          <w:i/>
          <w:sz w:val="22"/>
          <w:szCs w:val="22"/>
        </w:rPr>
        <w:t>seudónimo</w:t>
      </w:r>
      <w:r>
        <w:rPr>
          <w:rFonts w:ascii="Palatino Linotype" w:eastAsia="Palatino Linotype" w:hAnsi="Palatino Linotype" w:cs="Palatino Linotype"/>
          <w:i/>
          <w:sz w:val="22"/>
          <w:szCs w:val="22"/>
        </w:rPr>
        <w:t xml:space="preserve"> serán procedentes para su trámite por parte del sujeto obligado ante quien se prese</w:t>
      </w:r>
      <w:r>
        <w:rPr>
          <w:rFonts w:ascii="Palatino Linotype" w:eastAsia="Palatino Linotype" w:hAnsi="Palatino Linotype" w:cs="Palatino Linotype"/>
          <w:i/>
          <w:sz w:val="22"/>
          <w:szCs w:val="22"/>
        </w:rPr>
        <w:t>nte. No podrá requerirse información adicional con motivo del nombre proporcionado por el solicitante."</w:t>
      </w:r>
    </w:p>
    <w:p w14:paraId="5BCA3F38" w14:textId="77777777" w:rsidR="00573E3C" w:rsidRDefault="00684DB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De acuerdo al análisis efectuado se advierte que resulta procedente la interposición del recurso y se concluye la acreditación plena de todos y cada uno</w:t>
      </w:r>
      <w:r>
        <w:rPr>
          <w:rFonts w:ascii="Palatino Linotype" w:eastAsia="Palatino Linotype" w:hAnsi="Palatino Linotype" w:cs="Palatino Linotype"/>
        </w:rPr>
        <w:t xml:space="preserve"> de los elementos formales exigidos por el artículo 180 de la Ley de Transparencia y Acceso a la Información Pública del Estado de México y Municipios en vigor, en atención a que fue presentado mediante el formato visible en el</w:t>
      </w:r>
      <w:r>
        <w:rPr>
          <w:rFonts w:ascii="Palatino Linotype" w:eastAsia="Palatino Linotype" w:hAnsi="Palatino Linotype" w:cs="Palatino Linotype"/>
          <w:b/>
        </w:rPr>
        <w:t xml:space="preserve"> SAIMEX.</w:t>
      </w:r>
    </w:p>
    <w:p w14:paraId="78E82839"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 del ordenamiento legal citado, que a la letra dice: </w:t>
      </w:r>
    </w:p>
    <w:p w14:paraId="7D5C0D96" w14:textId="77777777" w:rsidR="00573E3C" w:rsidRDefault="00684DBC">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sz w:val="22"/>
          <w:szCs w:val="22"/>
        </w:rPr>
        <w:t xml:space="preserve">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F822F7F" w14:textId="77777777" w:rsidR="00573E3C" w:rsidRDefault="00684DBC">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0650CA7" w14:textId="77777777" w:rsidR="00573E3C" w:rsidRDefault="00684DBC">
      <w:pPr>
        <w:spacing w:before="120" w:after="120"/>
        <w:ind w:left="1134" w:right="900"/>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i/>
          <w:sz w:val="22"/>
          <w:szCs w:val="22"/>
        </w:rPr>
        <w:t>La negativa a la información solicitada…”</w:t>
      </w:r>
    </w:p>
    <w:p w14:paraId="4FA343A0"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De la revisión a las constancias y documentos que obran en el expediente electrónico se advierte, que el tema sobre el que este Organismo Garante de Transparencia y Acceso a la Info</w:t>
      </w:r>
      <w:r>
        <w:rPr>
          <w:rFonts w:ascii="Palatino Linotype" w:eastAsia="Palatino Linotype" w:hAnsi="Palatino Linotype" w:cs="Palatino Linotype"/>
        </w:rPr>
        <w:t xml:space="preserve">rmación se pronunciará será: </w:t>
      </w:r>
      <w:r>
        <w:rPr>
          <w:rFonts w:ascii="Palatino Linotype" w:eastAsia="Palatino Linotype" w:hAnsi="Palatino Linotype" w:cs="Palatino Linotype"/>
          <w:b/>
        </w:rPr>
        <w:t xml:space="preserve">verificar si la información proporcionada por el Sujeto Obligado es adecuada y </w:t>
      </w:r>
      <w:r>
        <w:rPr>
          <w:rFonts w:ascii="Palatino Linotype" w:eastAsia="Palatino Linotype" w:hAnsi="Palatino Linotype" w:cs="Palatino Linotype"/>
          <w:b/>
        </w:rPr>
        <w:lastRenderedPageBreak/>
        <w:t xml:space="preserve">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w:t>
      </w:r>
      <w:r>
        <w:rPr>
          <w:rFonts w:ascii="Palatino Linotype" w:eastAsia="Palatino Linotype" w:hAnsi="Palatino Linotype" w:cs="Palatino Linotype"/>
        </w:rPr>
        <w:t xml:space="preserve"> la entrega de información.</w:t>
      </w:r>
    </w:p>
    <w:p w14:paraId="45662C9D"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w:t>
      </w:r>
      <w:r>
        <w:rPr>
          <w:rFonts w:ascii="Palatino Linotype" w:eastAsia="Palatino Linotype" w:hAnsi="Palatino Linotype" w:cs="Palatino Linotype"/>
        </w:rPr>
        <w:t>da, obtenida, adquirida, transformada, administrada o en posesión de los sujetos obligados es pública y accesible de manera permanente a cualquier persona, privilegiando el principio de máxima publicidad, como así lo establece dicha determinación, que a co</w:t>
      </w:r>
      <w:r>
        <w:rPr>
          <w:rFonts w:ascii="Palatino Linotype" w:eastAsia="Palatino Linotype" w:hAnsi="Palatino Linotype" w:cs="Palatino Linotype"/>
        </w:rPr>
        <w:t>ntinuación se trascribe para un mejor entendimiento:</w:t>
      </w:r>
    </w:p>
    <w:p w14:paraId="7BCA548E"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w:t>
      </w:r>
      <w:r>
        <w:rPr>
          <w:rFonts w:ascii="Palatino Linotype" w:eastAsia="Palatino Linotype" w:hAnsi="Palatino Linotype" w:cs="Palatino Linotype"/>
          <w:i/>
          <w:sz w:val="22"/>
          <w:szCs w:val="22"/>
        </w:rPr>
        <w:t xml:space="preserve">acreditar personalidad ni interés jurídico. </w:t>
      </w:r>
    </w:p>
    <w:p w14:paraId="1C1ABD68"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w:t>
      </w:r>
      <w:r>
        <w:rPr>
          <w:rFonts w:ascii="Palatino Linotype" w:eastAsia="Palatino Linotype" w:hAnsi="Palatino Linotype" w:cs="Palatino Linotype"/>
          <w:i/>
          <w:sz w:val="22"/>
          <w:szCs w:val="22"/>
        </w:rPr>
        <w:t xml:space="preserve"> que se establezcan en los tratados internacionales de los que el Estado mexicano sea parte, en la Ley General, la presente Ley y demás disposiciones de la materia, privilegiando el principio de máxima publicidad de la información. Solo podrá ser clasifica</w:t>
      </w:r>
      <w:r>
        <w:rPr>
          <w:rFonts w:ascii="Palatino Linotype" w:eastAsia="Palatino Linotype" w:hAnsi="Palatino Linotype" w:cs="Palatino Linotype"/>
          <w:i/>
          <w:sz w:val="22"/>
          <w:szCs w:val="22"/>
        </w:rPr>
        <w:t>da excepcionalmente Ley de Transparencia y Acceso a la Información Pública del Estado de México y Municipios 29 como reservada temporalmente por razones de interés público, en los términos de las causas legítimas y estrictamente necesarias previstas por es</w:t>
      </w:r>
      <w:r>
        <w:rPr>
          <w:rFonts w:ascii="Palatino Linotype" w:eastAsia="Palatino Linotype" w:hAnsi="Palatino Linotype" w:cs="Palatino Linotype"/>
          <w:i/>
          <w:sz w:val="22"/>
          <w:szCs w:val="22"/>
        </w:rPr>
        <w:t>ta Ley.</w:t>
      </w:r>
    </w:p>
    <w:p w14:paraId="48E0EEF6"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w:t>
      </w:r>
    </w:p>
    <w:p w14:paraId="783C2556"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Esto es, que los Sujetos Ob</w:t>
      </w:r>
      <w:r>
        <w:rPr>
          <w:rFonts w:ascii="Palatino Linotype" w:eastAsia="Palatino Linotype" w:hAnsi="Palatino Linotype" w:cs="Palatino Linotype"/>
        </w:rPr>
        <w:t>ligados tiene la obligación o deber de atender las solicitudes de acceso a la información pública que se les hagan de su conocimiento y proporcionar la información pública que obren en su poder conforme el estado que se encuentra y no hacer un procesamient</w:t>
      </w:r>
      <w:r>
        <w:rPr>
          <w:rFonts w:ascii="Palatino Linotype" w:eastAsia="Palatino Linotype" w:hAnsi="Palatino Linotype" w:cs="Palatino Linotype"/>
        </w:rPr>
        <w:t>o de la misma, ni presentarla conforme al interés del solicitante; como así lo establece el artículo 12 de la Ley de Transparencia y Acceso a la Información Pública del Estado de México y Municipios, que a la letra dice:</w:t>
      </w:r>
    </w:p>
    <w:p w14:paraId="36714982"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w:t>
      </w:r>
      <w:r>
        <w:rPr>
          <w:rFonts w:ascii="Palatino Linotype" w:eastAsia="Palatino Linotype" w:hAnsi="Palatino Linotype" w:cs="Palatino Linotype"/>
          <w:i/>
          <w:sz w:val="22"/>
          <w:szCs w:val="22"/>
        </w:rPr>
        <w:t xml:space="preserve">opilen, administren, manejen, procesen, archiven o conserven información pública serán responsables de la misma en los términos de las disposiciones jurídicas aplicables. </w:t>
      </w:r>
    </w:p>
    <w:p w14:paraId="331DBE0B"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w:t>
      </w:r>
      <w:r>
        <w:rPr>
          <w:rFonts w:ascii="Palatino Linotype" w:eastAsia="Palatino Linotype" w:hAnsi="Palatino Linotype" w:cs="Palatino Linotype"/>
          <w:b/>
          <w:i/>
          <w:sz w:val="22"/>
          <w:szCs w:val="22"/>
        </w:rPr>
        <w:t xml:space="preserve">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w:t>
      </w:r>
      <w:r>
        <w:rPr>
          <w:rFonts w:ascii="Palatino Linotype" w:eastAsia="Palatino Linotype" w:hAnsi="Palatino Linotype" w:cs="Palatino Linotype"/>
          <w:b/>
          <w:i/>
          <w:sz w:val="22"/>
          <w:szCs w:val="22"/>
        </w:rPr>
        <w:t>ectuar cálculos o practicar investigaciones.”</w:t>
      </w:r>
    </w:p>
    <w:p w14:paraId="17108038" w14:textId="77777777" w:rsidR="00573E3C" w:rsidRDefault="00684DBC">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w:t>
      </w:r>
      <w:r>
        <w:rPr>
          <w:rFonts w:ascii="Palatino Linotype" w:eastAsia="Palatino Linotype" w:hAnsi="Palatino Linotype" w:cs="Palatino Linotype"/>
        </w:rPr>
        <w:t xml:space="preserve">equiera sin necesidad de resumirla, efectuar procedimientos para obtenerla, calcular y practicar investigaciones; en otras palabras, que los Sujetos Obligados solo se concretaran a proporcionar la información solicitada que tengan en su poder en el estado </w:t>
      </w:r>
      <w:r>
        <w:rPr>
          <w:rFonts w:ascii="Palatino Linotype" w:eastAsia="Palatino Linotype" w:hAnsi="Palatino Linotype" w:cs="Palatino Linotype"/>
        </w:rPr>
        <w:t>que se encuentran, sin necesidad de concretarse al interés o términos específicos del solicitante.</w:t>
      </w:r>
    </w:p>
    <w:p w14:paraId="6F139E1C"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apoyo a lo anterior, el Criterio de Interpretación con clave de control SO/003/2017, emitido por el Pleno del Instituto Nacional de Transparencia, A</w:t>
      </w:r>
      <w:r>
        <w:rPr>
          <w:rFonts w:ascii="Palatino Linotype" w:eastAsia="Palatino Linotype" w:hAnsi="Palatino Linotype" w:cs="Palatino Linotype"/>
        </w:rPr>
        <w:t xml:space="preserve">cceso a la Información y Protección de Datos </w:t>
      </w:r>
      <w:proofErr w:type="gramStart"/>
      <w:r>
        <w:rPr>
          <w:rFonts w:ascii="Palatino Linotype" w:eastAsia="Palatino Linotype" w:hAnsi="Palatino Linotype" w:cs="Palatino Linotype"/>
        </w:rPr>
        <w:t>Personales,  INAI</w:t>
      </w:r>
      <w:proofErr w:type="gramEnd"/>
      <w:r>
        <w:rPr>
          <w:rFonts w:ascii="Palatino Linotype" w:eastAsia="Palatino Linotype" w:hAnsi="Palatino Linotype" w:cs="Palatino Linotype"/>
        </w:rPr>
        <w:t>, que dispone lo siguiente:</w:t>
      </w:r>
      <w:r>
        <w:rPr>
          <w:rFonts w:ascii="Palatino Linotype" w:eastAsia="Palatino Linotype" w:hAnsi="Palatino Linotype" w:cs="Palatino Linotype"/>
          <w:b/>
        </w:rPr>
        <w:t xml:space="preserve"> </w:t>
      </w:r>
    </w:p>
    <w:p w14:paraId="5EA59A19"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No existe obligación de elaborar documentos ad hoc para atender las solicitudes de acceso a la información.</w:t>
      </w:r>
      <w:r>
        <w:rPr>
          <w:rFonts w:ascii="Palatino Linotype" w:eastAsia="Palatino Linotype" w:hAnsi="Palatino Linotype" w:cs="Palatino Linotype"/>
          <w:i/>
          <w:sz w:val="22"/>
          <w:szCs w:val="22"/>
        </w:rPr>
        <w:t xml:space="preserve"> Los artículos 129 de la Ley General de Transparencia y A</w:t>
      </w:r>
      <w:r>
        <w:rPr>
          <w:rFonts w:ascii="Palatino Linotype" w:eastAsia="Palatino Linotype" w:hAnsi="Palatino Linotype" w:cs="Palatino Linotype"/>
          <w:i/>
          <w:sz w:val="22"/>
          <w:szCs w:val="22"/>
        </w:rPr>
        <w:t xml:space="preserve">cceso a la Información Pública y 130, párrafo cuarto, de la Ley Federal de Transparencia y Acceso a la Información Pública, señalan que los sujetos obligados deberán otorgar acceso a los documentos que se encuentren en sus archivos o que estén obligados a </w:t>
      </w:r>
      <w:r>
        <w:rPr>
          <w:rFonts w:ascii="Palatino Linotype" w:eastAsia="Palatino Linotype" w:hAnsi="Palatino Linotype" w:cs="Palatino Linotype"/>
          <w:i/>
          <w:sz w:val="22"/>
          <w:szCs w:val="22"/>
        </w:rPr>
        <w:t xml:space="preserve">documentar, de acuerdo con sus facultades, competencias o funciones, conforme a las características físicas de la información o del lugar donde se encuentre. Por lo anterior, los sujetos obligados deben garantizar el derecho de acceso a la información del </w:t>
      </w:r>
      <w:r>
        <w:rPr>
          <w:rFonts w:ascii="Palatino Linotype" w:eastAsia="Palatino Linotype" w:hAnsi="Palatino Linotype" w:cs="Palatino Linotype"/>
          <w:i/>
          <w:sz w:val="22"/>
          <w:szCs w:val="22"/>
        </w:rPr>
        <w:t>particular, proporcionando la información con la que cuentan en el formato en que la misma obre en sus archivos; sin necesidad de elaborar documentos ad hoc para atender las solicitudes de información.” (Sic)</w:t>
      </w:r>
    </w:p>
    <w:p w14:paraId="121589BA" w14:textId="77777777" w:rsidR="00573E3C" w:rsidRDefault="00684DBC">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w:t>
      </w:r>
      <w:r>
        <w:rPr>
          <w:rFonts w:ascii="Palatino Linotype" w:eastAsia="Palatino Linotype" w:hAnsi="Palatino Linotype" w:cs="Palatino Linotype"/>
        </w:rPr>
        <w:t>ón pública se encuentra a disposición de cualquier persona, lo que implica que es deber de los Sujetos Obligados, garantizar el Derecho de Acceso a la Información Pública.</w:t>
      </w:r>
    </w:p>
    <w:p w14:paraId="5F515379" w14:textId="77777777" w:rsidR="00573E3C" w:rsidRDefault="00684DBC">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w:t>
      </w:r>
      <w:r>
        <w:rPr>
          <w:rFonts w:ascii="Palatino Linotype" w:eastAsia="Palatino Linotype" w:hAnsi="Palatino Linotype" w:cs="Palatino Linotype"/>
        </w:rPr>
        <w:t>ormación solicitada conste en un documento en cualquiera de sus formas, a saber: expedientes, reportes, estudios, actas, resoluciones, oficios, correspondencia, acuerdos, directivas, directrices, circulares, contratos, convenios, instructivos, notas, memor</w:t>
      </w:r>
      <w:r>
        <w:rPr>
          <w:rFonts w:ascii="Palatino Linotype" w:eastAsia="Palatino Linotype" w:hAnsi="Palatino Linotype" w:cs="Palatino Linotype"/>
        </w:rPr>
        <w:t xml:space="preserve">andos, estadísticas o bien, cualquier otro registro que documente el ejercicio de las facultades, funciones y competencias de los Sujetos Obligados; los que, podrán estar en cualquier medio, sea escrito, impreso, sonoro, visual, electrónico, informático u </w:t>
      </w:r>
      <w:r>
        <w:rPr>
          <w:rFonts w:ascii="Palatino Linotype" w:eastAsia="Palatino Linotype" w:hAnsi="Palatino Linotype" w:cs="Palatino Linotype"/>
        </w:rPr>
        <w:t xml:space="preserve">holográfico de conformidad con el artículo 3, fracción XI de la Ley de la materia, el cual señala lo siguiente: </w:t>
      </w:r>
    </w:p>
    <w:p w14:paraId="4DFC3DEB"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0E04EF7"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18423778"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w:t>
      </w:r>
      <w:r>
        <w:rPr>
          <w:rFonts w:ascii="Palatino Linotype" w:eastAsia="Palatino Linotype" w:hAnsi="Palatino Linotype" w:cs="Palatino Linotype"/>
          <w:i/>
          <w:sz w:val="22"/>
          <w:szCs w:val="22"/>
        </w:rPr>
        <w:t>ficios, correspondencia, acuerdos, directivas, directrices, circulares, contratos, convenios, instructivos, notas, memorandos, estadísticas o bien, cualquier otro registro que documente el ejercicio de las facultades, funciones y competencias de los sujeto</w:t>
      </w:r>
      <w:r>
        <w:rPr>
          <w:rFonts w:ascii="Palatino Linotype" w:eastAsia="Palatino Linotype" w:hAnsi="Palatino Linotype" w:cs="Palatino Linotype"/>
          <w:i/>
          <w:sz w:val="22"/>
          <w:szCs w:val="22"/>
        </w:rPr>
        <w:t>s obligados, sus servidores públicos e integrantes, sin importar su fuente o fecha de elaboración. Los documentos podrán estar en cualquier medio, sea escrito, impreso, sonoro, visual, electrónico, informático u holográfico…”</w:t>
      </w:r>
    </w:p>
    <w:p w14:paraId="3F56B2FC"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aplicable, el Criterio de i</w:t>
      </w:r>
      <w:r>
        <w:rPr>
          <w:rFonts w:ascii="Palatino Linotype" w:eastAsia="Palatino Linotype" w:hAnsi="Palatino Linotype" w:cs="Palatino Linotype"/>
        </w:rPr>
        <w:t>nterpretación en el orden administrativo número 0002-11, emitido por Acuerdo del Pleno del Instituto de Transparencia y Acceso a la Información Pública del Estado de México y Municipios; publicado en el Periódico Oficial del Gobierno del Estado Libre y Sob</w:t>
      </w:r>
      <w:r>
        <w:rPr>
          <w:rFonts w:ascii="Palatino Linotype" w:eastAsia="Palatino Linotype" w:hAnsi="Palatino Linotype" w:cs="Palatino Linotype"/>
        </w:rPr>
        <w:t>erano de México “Gaceta del Gobierno”, el diecinueve de octubre de dos mil once, cuyo rubro y texto refieren lo siguiente:</w:t>
      </w:r>
    </w:p>
    <w:p w14:paraId="7C1D56D1"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w:t>
      </w:r>
      <w:r>
        <w:rPr>
          <w:rFonts w:ascii="Palatino Linotype" w:eastAsia="Palatino Linotype" w:hAnsi="Palatino Linotype" w:cs="Palatino Linotype"/>
          <w:b/>
          <w:i/>
          <w:sz w:val="22"/>
          <w:szCs w:val="22"/>
        </w:rPr>
        <w:t>,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w:t>
      </w:r>
      <w:r>
        <w:rPr>
          <w:rFonts w:ascii="Palatino Linotype" w:eastAsia="Palatino Linotype" w:hAnsi="Palatino Linotype" w:cs="Palatino Linotype"/>
          <w:i/>
          <w:sz w:val="22"/>
          <w:szCs w:val="22"/>
        </w:rPr>
        <w:t xml:space="preserve"> en posesión de los órganos u organismos públicos, en virtud del ejercicio de sus funciones de derecho público, sin importar su fuente, soporte o fecha de elaboración.</w:t>
      </w:r>
    </w:p>
    <w:p w14:paraId="0C989800"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50BE614"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w:t>
      </w:r>
      <w:r>
        <w:rPr>
          <w:rFonts w:ascii="Palatino Linotype" w:eastAsia="Palatino Linotype" w:hAnsi="Palatino Linotype" w:cs="Palatino Linotype"/>
          <w:i/>
          <w:sz w:val="22"/>
          <w:szCs w:val="22"/>
        </w:rPr>
        <w:t xml:space="preserve"> los Sujetos Obligados;</w:t>
      </w:r>
    </w:p>
    <w:p w14:paraId="4486824E"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14:paraId="7741B988"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3) Que se trate de información registrada en cualquier soporte</w:t>
      </w:r>
      <w:r>
        <w:rPr>
          <w:rFonts w:ascii="Palatino Linotype" w:eastAsia="Palatino Linotype" w:hAnsi="Palatino Linotype" w:cs="Palatino Linotype"/>
          <w:i/>
          <w:sz w:val="22"/>
          <w:szCs w:val="22"/>
        </w:rPr>
        <w:t xml:space="preserv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 encuentre en posesión de los Sujetos Obligados.” </w:t>
      </w:r>
    </w:p>
    <w:p w14:paraId="2F779663" w14:textId="77777777" w:rsidR="00573E3C" w:rsidRDefault="00684D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Lo anterior, siempre y cuando no se trate de información clasificada como reservada o confidencial, cuya difusión pueda lesionar el interés j</w:t>
      </w:r>
      <w:r>
        <w:rPr>
          <w:rFonts w:ascii="Palatino Linotype" w:eastAsia="Palatino Linotype" w:hAnsi="Palatino Linotype" w:cs="Palatino Linotype"/>
        </w:rPr>
        <w:t>urídicamente protegido por la Ley, producir un daño mayor que el interés de conocerse, o bien, generar un daño en los derechos de las personas, debiendo tener audacia los Sujetos Obligados para cuidar esta información a través del acuerdo clasificatorio de</w:t>
      </w:r>
      <w:r>
        <w:rPr>
          <w:rFonts w:ascii="Palatino Linotype" w:eastAsia="Palatino Linotype" w:hAnsi="Palatino Linotype" w:cs="Palatino Linotype"/>
        </w:rPr>
        <w:t>l comité de transparencia y la versión pública que emita el servidor público habilitado de cada Sujeto Obligado; como así se establece en la Ley de Transparencia y Acceso a la Información Pública del Estado de México y Municipios.</w:t>
      </w:r>
    </w:p>
    <w:p w14:paraId="19D110BC"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los ar</w:t>
      </w:r>
      <w:r>
        <w:rPr>
          <w:rFonts w:ascii="Palatino Linotype" w:eastAsia="Palatino Linotype" w:hAnsi="Palatino Linotype" w:cs="Palatino Linotype"/>
        </w:rPr>
        <w:t>tículos 6, apartado A, fracción I, de la Constitución Política de los Estados Unidos Mexicanos y 5, fracción I, de la Constitución Política del Estado Libre y Soberano de México, establecen que toda la información en posesión de cualquier autoridad, entida</w:t>
      </w:r>
      <w:r>
        <w:rPr>
          <w:rFonts w:ascii="Palatino Linotype" w:eastAsia="Palatino Linotype" w:hAnsi="Palatino Linotype" w:cs="Palatino Linotype"/>
        </w:rPr>
        <w:t>d, órgano y organismos de los Poderes Ejecutivo, Legislativo y Judicial, órganos autónomos, partidos políticos, fideicomisos y fondos públicos estatales y municipales, así como del gobierno y de la administración pública municipal y sus organismos descentr</w:t>
      </w:r>
      <w:r>
        <w:rPr>
          <w:rFonts w:ascii="Palatino Linotype" w:eastAsia="Palatino Linotype" w:hAnsi="Palatino Linotype" w:cs="Palatino Linotype"/>
        </w:rPr>
        <w:t>alizados, asimismo de cualquier persona física, jurídica colectiva o sindicato que reciba y ejerza recursos públicos o realice actos de autoridad en el ámbito estatal y municipal, es pública y sólo podrá ser reservada temporalmente por las razones prevista</w:t>
      </w:r>
      <w:r>
        <w:rPr>
          <w:rFonts w:ascii="Palatino Linotype" w:eastAsia="Palatino Linotype" w:hAnsi="Palatino Linotype" w:cs="Palatino Linotype"/>
        </w:rPr>
        <w:t>s en la Constitución Federal por interés público y seguridad, en los términos que fijen las leyes de la materia.</w:t>
      </w:r>
    </w:p>
    <w:p w14:paraId="047BBBB1" w14:textId="77777777" w:rsidR="00573E3C" w:rsidRDefault="00684D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del análisis de la solicitud de información, motivo del recurso de revisión que ahora se resuelve, se advierte que la parte </w:t>
      </w:r>
      <w:r>
        <w:rPr>
          <w:rFonts w:ascii="Palatino Linotype" w:eastAsia="Palatino Linotype" w:hAnsi="Palatino Linotype" w:cs="Palatino Linotype"/>
          <w:b/>
        </w:rPr>
        <w:t>Recurre</w:t>
      </w:r>
      <w:r>
        <w:rPr>
          <w:rFonts w:ascii="Palatino Linotype" w:eastAsia="Palatino Linotype" w:hAnsi="Palatino Linotype" w:cs="Palatino Linotype"/>
          <w:b/>
        </w:rPr>
        <w:t>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p>
    <w:p w14:paraId="19DC1C0B" w14:textId="77777777" w:rsidR="00573E3C" w:rsidRDefault="00684DBC">
      <w:pPr>
        <w:spacing w:before="240" w:after="240" w:line="360"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1. Del visor de nómina por sueldos y salarios, y por asimilados a salarios, de enero de dos mil veinte a agosto de dos mil veinticuatro.</w:t>
      </w:r>
    </w:p>
    <w:p w14:paraId="2C2C81F4" w14:textId="77777777" w:rsidR="00573E3C" w:rsidRDefault="00684DBC">
      <w:pPr>
        <w:spacing w:before="120" w:after="120" w:line="360" w:lineRule="auto"/>
        <w:ind w:left="567" w:right="51"/>
        <w:jc w:val="both"/>
        <w:rPr>
          <w:rFonts w:ascii="Palatino Linotype" w:eastAsia="Palatino Linotype" w:hAnsi="Palatino Linotype" w:cs="Palatino Linotype"/>
        </w:rPr>
      </w:pPr>
      <w:r>
        <w:rPr>
          <w:rFonts w:ascii="Palatino Linotype" w:eastAsia="Palatino Linotype" w:hAnsi="Palatino Linotype" w:cs="Palatino Linotype"/>
        </w:rPr>
        <w:t>a. Diferencia de ISR a cargo o</w:t>
      </w:r>
      <w:r>
        <w:rPr>
          <w:rFonts w:ascii="Palatino Linotype" w:eastAsia="Palatino Linotype" w:hAnsi="Palatino Linotype" w:cs="Palatino Linotype"/>
        </w:rPr>
        <w:t xml:space="preserve"> a favor, o en contra.</w:t>
      </w:r>
    </w:p>
    <w:p w14:paraId="42822AB5" w14:textId="77777777" w:rsidR="00573E3C" w:rsidRDefault="00684DBC">
      <w:pPr>
        <w:spacing w:before="120" w:after="120" w:line="360" w:lineRule="auto"/>
        <w:ind w:left="567" w:right="51"/>
        <w:jc w:val="both"/>
        <w:rPr>
          <w:rFonts w:ascii="Palatino Linotype" w:eastAsia="Palatino Linotype" w:hAnsi="Palatino Linotype" w:cs="Palatino Linotype"/>
        </w:rPr>
      </w:pPr>
      <w:r>
        <w:rPr>
          <w:rFonts w:ascii="Palatino Linotype" w:eastAsia="Palatino Linotype" w:hAnsi="Palatino Linotype" w:cs="Palatino Linotype"/>
        </w:rPr>
        <w:t xml:space="preserve">b. ISR retenido, correspondiente al monto histórico recuperado por conducto de la </w:t>
      </w:r>
      <w:proofErr w:type="gramStart"/>
      <w:r>
        <w:rPr>
          <w:rFonts w:ascii="Palatino Linotype" w:eastAsia="Palatino Linotype" w:hAnsi="Palatino Linotype" w:cs="Palatino Linotype"/>
        </w:rPr>
        <w:t>Secretaria</w:t>
      </w:r>
      <w:proofErr w:type="gramEnd"/>
      <w:r>
        <w:rPr>
          <w:rFonts w:ascii="Palatino Linotype" w:eastAsia="Palatino Linotype" w:hAnsi="Palatino Linotype" w:cs="Palatino Linotype"/>
        </w:rPr>
        <w:t xml:space="preserve"> de Finanzas del Estado.</w:t>
      </w:r>
    </w:p>
    <w:p w14:paraId="16AD3D05" w14:textId="77777777" w:rsidR="00573E3C" w:rsidRDefault="00684DBC">
      <w:pPr>
        <w:spacing w:before="240" w:after="240" w:line="360"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2. Reporte emitido por la Secretaría de Finanzas del Estado en el que se especifica el monto del ISR que se obtuvo en devolución, de enero de dos mil quince a agosto de dos mil veinticuatro.</w:t>
      </w:r>
    </w:p>
    <w:p w14:paraId="0F0AA570" w14:textId="77777777" w:rsidR="00573E3C" w:rsidRDefault="00684DBC">
      <w:pPr>
        <w:spacing w:before="240" w:after="240" w:line="360"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 xml:space="preserve">3. Reporte emitido por el software de contabilidad gubernamental </w:t>
      </w:r>
      <w:r>
        <w:rPr>
          <w:rFonts w:ascii="Palatino Linotype" w:eastAsia="Palatino Linotype" w:hAnsi="Palatino Linotype" w:cs="Palatino Linotype"/>
        </w:rPr>
        <w:t>en el que se pueda apreciar el control del saldo pendiente de recuperar del ISR participable, al treinta de agosto de dos mil veinticuatro. Puede ser el auxiliar contable de una cuenta de activo, una nota de desglose a los estados financieros.</w:t>
      </w:r>
    </w:p>
    <w:p w14:paraId="26796B24" w14:textId="77777777" w:rsidR="00573E3C" w:rsidRDefault="00684D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Asimismo, pr</w:t>
      </w:r>
      <w:r>
        <w:rPr>
          <w:rFonts w:ascii="Palatino Linotype" w:eastAsia="Palatino Linotype" w:hAnsi="Palatino Linotype" w:cs="Palatino Linotype"/>
        </w:rPr>
        <w:t>ecisó que el visor de nómina es un reporte que puede ser descargado de la plataforma del SAT, usando la clave CIEC o la FIEL, y adjuntó como muestra de la información que requiere, la respuesta a la solicitud con número de folio 110196500054524, presentada</w:t>
      </w:r>
      <w:r>
        <w:rPr>
          <w:rFonts w:ascii="Palatino Linotype" w:eastAsia="Palatino Linotype" w:hAnsi="Palatino Linotype" w:cs="Palatino Linotype"/>
        </w:rPr>
        <w:t xml:space="preserve"> ante el municipio de Irapuato, Guanajuato, que contiene la información que es del interés de la persona solicitante. A </w:t>
      </w:r>
      <w:proofErr w:type="gramStart"/>
      <w:r>
        <w:rPr>
          <w:rFonts w:ascii="Palatino Linotype" w:eastAsia="Palatino Linotype" w:hAnsi="Palatino Linotype" w:cs="Palatino Linotype"/>
        </w:rPr>
        <w:t>continuación</w:t>
      </w:r>
      <w:proofErr w:type="gramEnd"/>
      <w:r>
        <w:rPr>
          <w:rFonts w:ascii="Palatino Linotype" w:eastAsia="Palatino Linotype" w:hAnsi="Palatino Linotype" w:cs="Palatino Linotype"/>
        </w:rPr>
        <w:t xml:space="preserve"> se agregan algunos ejemplos, para mejor referencia:</w:t>
      </w:r>
    </w:p>
    <w:p w14:paraId="1B10196D" w14:textId="77777777" w:rsidR="00573E3C" w:rsidRDefault="00573E3C">
      <w:pPr>
        <w:spacing w:before="240" w:after="240" w:line="360" w:lineRule="auto"/>
        <w:ind w:right="51"/>
        <w:jc w:val="both"/>
        <w:rPr>
          <w:rFonts w:ascii="Palatino Linotype" w:eastAsia="Palatino Linotype" w:hAnsi="Palatino Linotype" w:cs="Palatino Linotype"/>
        </w:rPr>
      </w:pPr>
    </w:p>
    <w:p w14:paraId="53AC19CD" w14:textId="77777777" w:rsidR="00573E3C" w:rsidRDefault="00684DBC">
      <w:pPr>
        <w:spacing w:before="240" w:after="240"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b/>
        </w:rPr>
        <w:t>Del aplicativo Visor de Comprobantes de Nómina del Patrón, del Servici</w:t>
      </w:r>
      <w:r>
        <w:rPr>
          <w:rFonts w:ascii="Palatino Linotype" w:eastAsia="Palatino Linotype" w:hAnsi="Palatino Linotype" w:cs="Palatino Linotype"/>
          <w:b/>
        </w:rPr>
        <w:t>o de Administración Tributaria, SAT:</w:t>
      </w:r>
    </w:p>
    <w:p w14:paraId="0C66B7F3" w14:textId="77777777" w:rsidR="00573E3C" w:rsidRDefault="00684DB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Vista anual acumulada – Ejercicio 2020</w:t>
      </w:r>
    </w:p>
    <w:p w14:paraId="5BAB9D06"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76D60445" wp14:editId="0B6EBCBC">
            <wp:extent cx="5612130" cy="2275840"/>
            <wp:effectExtent l="0" t="0" r="0" b="0"/>
            <wp:docPr id="214013185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612130" cy="2275840"/>
                    </a:xfrm>
                    <a:prstGeom prst="rect">
                      <a:avLst/>
                    </a:prstGeom>
                    <a:ln/>
                  </pic:spPr>
                </pic:pic>
              </a:graphicData>
            </a:graphic>
          </wp:inline>
        </w:drawing>
      </w:r>
    </w:p>
    <w:tbl>
      <w:tblPr>
        <w:tblStyle w:val="af0"/>
        <w:tblW w:w="8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573E3C" w14:paraId="0C519F4D" w14:textId="77777777">
        <w:trPr>
          <w:jc w:val="center"/>
        </w:trPr>
        <w:tc>
          <w:tcPr>
            <w:tcW w:w="4414" w:type="dxa"/>
            <w:shd w:val="clear" w:color="auto" w:fill="BFBFBF"/>
          </w:tcPr>
          <w:p w14:paraId="61B3CE69" w14:textId="77777777" w:rsidR="00573E3C" w:rsidRDefault="00684DBC">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Detalle del “Total por Sueldos y Salarios” </w:t>
            </w:r>
          </w:p>
          <w:p w14:paraId="4A028D2D" w14:textId="77777777" w:rsidR="00573E3C" w:rsidRDefault="00684DBC">
            <w:pPr>
              <w:spacing w:before="120" w:after="120"/>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 Ejercicio 2020</w:t>
            </w:r>
          </w:p>
        </w:tc>
        <w:tc>
          <w:tcPr>
            <w:tcW w:w="4414" w:type="dxa"/>
            <w:shd w:val="clear" w:color="auto" w:fill="BFBFBF"/>
          </w:tcPr>
          <w:p w14:paraId="5EEEDAED" w14:textId="77777777" w:rsidR="00573E3C" w:rsidRDefault="00684DBC">
            <w:pPr>
              <w:spacing w:before="120"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b/>
                <w:sz w:val="20"/>
                <w:szCs w:val="20"/>
              </w:rPr>
              <w:t>Detalle del “Total por Asimilados a Salarios” Ejercicio 2020</w:t>
            </w:r>
          </w:p>
        </w:tc>
      </w:tr>
      <w:tr w:rsidR="00573E3C" w14:paraId="5324C4DB" w14:textId="77777777">
        <w:trPr>
          <w:jc w:val="center"/>
        </w:trPr>
        <w:tc>
          <w:tcPr>
            <w:tcW w:w="4414" w:type="dxa"/>
          </w:tcPr>
          <w:p w14:paraId="32590159" w14:textId="77777777" w:rsidR="00573E3C" w:rsidRDefault="00684DBC">
            <w:pPr>
              <w:spacing w:before="120" w:after="120"/>
              <w:jc w:val="center"/>
              <w:rPr>
                <w:rFonts w:ascii="Palatino Linotype" w:eastAsia="Palatino Linotype" w:hAnsi="Palatino Linotype" w:cs="Palatino Linotype"/>
                <w:sz w:val="20"/>
                <w:szCs w:val="20"/>
              </w:rPr>
            </w:pPr>
            <w:r>
              <w:rPr>
                <w:rFonts w:ascii="Palatino Linotype" w:eastAsia="Palatino Linotype" w:hAnsi="Palatino Linotype" w:cs="Palatino Linotype"/>
                <w:noProof/>
              </w:rPr>
              <w:drawing>
                <wp:inline distT="0" distB="0" distL="0" distR="0" wp14:anchorId="324B40E7" wp14:editId="0C05B823">
                  <wp:extent cx="2520000" cy="1710000"/>
                  <wp:effectExtent l="0" t="0" r="0" b="0"/>
                  <wp:docPr id="21401318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520000" cy="1710000"/>
                          </a:xfrm>
                          <a:prstGeom prst="rect">
                            <a:avLst/>
                          </a:prstGeom>
                          <a:ln/>
                        </pic:spPr>
                      </pic:pic>
                    </a:graphicData>
                  </a:graphic>
                </wp:inline>
              </w:drawing>
            </w:r>
          </w:p>
        </w:tc>
        <w:tc>
          <w:tcPr>
            <w:tcW w:w="4414" w:type="dxa"/>
          </w:tcPr>
          <w:p w14:paraId="1B958BE6" w14:textId="77777777" w:rsidR="00573E3C" w:rsidRDefault="00684DBC">
            <w:pPr>
              <w:spacing w:before="120" w:after="12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rPr>
              <w:drawing>
                <wp:inline distT="0" distB="0" distL="0" distR="0" wp14:anchorId="5275BE80" wp14:editId="0A1A1FA7">
                  <wp:extent cx="2520000" cy="1793483"/>
                  <wp:effectExtent l="0" t="0" r="0" b="0"/>
                  <wp:docPr id="21401318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520000" cy="1793483"/>
                          </a:xfrm>
                          <a:prstGeom prst="rect">
                            <a:avLst/>
                          </a:prstGeom>
                          <a:ln/>
                        </pic:spPr>
                      </pic:pic>
                    </a:graphicData>
                  </a:graphic>
                </wp:inline>
              </w:drawing>
            </w:r>
          </w:p>
        </w:tc>
      </w:tr>
    </w:tbl>
    <w:p w14:paraId="44A0D848" w14:textId="77777777" w:rsidR="00573E3C" w:rsidRDefault="00573E3C">
      <w:pPr>
        <w:spacing w:line="360" w:lineRule="auto"/>
        <w:jc w:val="both"/>
        <w:rPr>
          <w:rFonts w:ascii="Palatino Linotype" w:eastAsia="Palatino Linotype" w:hAnsi="Palatino Linotype" w:cs="Palatino Linotype"/>
          <w:b/>
        </w:rPr>
      </w:pPr>
    </w:p>
    <w:p w14:paraId="69960A03" w14:textId="77777777" w:rsidR="00573E3C" w:rsidRDefault="00573E3C">
      <w:pPr>
        <w:spacing w:line="360" w:lineRule="auto"/>
        <w:jc w:val="both"/>
        <w:rPr>
          <w:rFonts w:ascii="Palatino Linotype" w:eastAsia="Palatino Linotype" w:hAnsi="Palatino Linotype" w:cs="Palatino Linotype"/>
          <w:b/>
        </w:rPr>
      </w:pPr>
    </w:p>
    <w:p w14:paraId="3C0AF659" w14:textId="77777777" w:rsidR="00573E3C" w:rsidRDefault="00573E3C">
      <w:pPr>
        <w:spacing w:line="360" w:lineRule="auto"/>
        <w:jc w:val="both"/>
        <w:rPr>
          <w:rFonts w:ascii="Palatino Linotype" w:eastAsia="Palatino Linotype" w:hAnsi="Palatino Linotype" w:cs="Palatino Linotype"/>
          <w:b/>
        </w:rPr>
      </w:pPr>
    </w:p>
    <w:p w14:paraId="0B998555" w14:textId="77777777" w:rsidR="00573E3C" w:rsidRDefault="00684DB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Reporte emitido por la Secretaría de Finanzas del Estado de Guanajuato, en el que se especifica el monto del ISR que se obtuvo en devolución:</w:t>
      </w:r>
    </w:p>
    <w:p w14:paraId="1B9CCEEB" w14:textId="77777777" w:rsidR="00573E3C" w:rsidRDefault="00684DB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73CF368" wp14:editId="685296EC">
            <wp:extent cx="5612130" cy="4127129"/>
            <wp:effectExtent l="0" t="0" r="0" b="0"/>
            <wp:docPr id="21401318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b="8639"/>
                    <a:stretch>
                      <a:fillRect/>
                    </a:stretch>
                  </pic:blipFill>
                  <pic:spPr>
                    <a:xfrm>
                      <a:off x="0" y="0"/>
                      <a:ext cx="5612130" cy="4127129"/>
                    </a:xfrm>
                    <a:prstGeom prst="rect">
                      <a:avLst/>
                    </a:prstGeom>
                    <a:ln/>
                  </pic:spPr>
                </pic:pic>
              </a:graphicData>
            </a:graphic>
          </wp:inline>
        </w:drawing>
      </w:r>
    </w:p>
    <w:p w14:paraId="69BADA52"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por conducto de la Unidad de Transparencia hizo del conocimiento de la persona solicitante el pronunciamiento emitido por la Tesorería Municipal, cuyo servidor público habilitado manifestó que se encontraba legal y materialmente impedido para procesar la</w:t>
      </w:r>
      <w:r>
        <w:rPr>
          <w:rFonts w:ascii="Palatino Linotype" w:eastAsia="Palatino Linotype" w:hAnsi="Palatino Linotype" w:cs="Palatino Linotype"/>
        </w:rPr>
        <w:t xml:space="preserve"> información y presentarla en el formato y con el desglose que se solicita, asimismo, que en cumplimiento de sus obligaciones legales, ponía a disposición la opinión de cumplimiento actualizada a la fecha de contestación.</w:t>
      </w:r>
    </w:p>
    <w:p w14:paraId="40566A89" w14:textId="77777777" w:rsidR="00573E3C" w:rsidRDefault="00684DB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lastRenderedPageBreak/>
        <w:t>Inconforme con lo anterior, la par</w:t>
      </w:r>
      <w:r>
        <w:rPr>
          <w:rFonts w:ascii="Palatino Linotype" w:eastAsia="Palatino Linotype" w:hAnsi="Palatino Linotype" w:cs="Palatino Linotype"/>
        </w:rPr>
        <w:t xml:space="preserve">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interpuso el recurso de revisión que se resuelve, donde alegó como motivo de inconformidad, la negativa de la información solicitada, por lo que reiteró en sus términos el requerimiento, asimismo, insistió en la modalidad de entrega de la inf</w:t>
      </w:r>
      <w:r>
        <w:rPr>
          <w:rFonts w:ascii="Palatino Linotype" w:eastAsia="Palatino Linotype" w:hAnsi="Palatino Linotype" w:cs="Palatino Linotype"/>
        </w:rPr>
        <w:t>ormación a través de correo electrónico.</w:t>
      </w:r>
    </w:p>
    <w:p w14:paraId="4E41CF14" w14:textId="77777777" w:rsidR="00573E3C" w:rsidRDefault="00684DB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Es oportuno referir que no escapa de la óptica de este Organismo Garante que la persona solicitante, al momento de interponer su recurso de revisión, realizó diversos planteamientos subjetivos, tales como “</w:t>
      </w:r>
      <w:r>
        <w:rPr>
          <w:rFonts w:ascii="Palatino Linotype" w:eastAsia="Palatino Linotype" w:hAnsi="Palatino Linotype" w:cs="Palatino Linotype"/>
          <w:i/>
        </w:rPr>
        <w:t>Es realme</w:t>
      </w:r>
      <w:r>
        <w:rPr>
          <w:rFonts w:ascii="Palatino Linotype" w:eastAsia="Palatino Linotype" w:hAnsi="Palatino Linotype" w:cs="Palatino Linotype"/>
          <w:i/>
        </w:rPr>
        <w:t>nte molesto tantas evasivas a entregar archivos reportes que obran en sus archivos y que además se les mando un ejemplo claro y exacto de lo solicitado. Ojalá con este Recurso de Revisión ya no hagan más pernicioso el tema</w:t>
      </w:r>
      <w:r>
        <w:rPr>
          <w:rFonts w:ascii="Palatino Linotype" w:eastAsia="Palatino Linotype" w:hAnsi="Palatino Linotype" w:cs="Palatino Linotype"/>
        </w:rPr>
        <w:t>” … “</w:t>
      </w:r>
      <w:r>
        <w:rPr>
          <w:rFonts w:ascii="Palatino Linotype" w:eastAsia="Palatino Linotype" w:hAnsi="Palatino Linotype" w:cs="Palatino Linotype"/>
          <w:i/>
        </w:rPr>
        <w:t xml:space="preserve">es tediosa y poco entendible </w:t>
      </w:r>
      <w:r>
        <w:rPr>
          <w:rFonts w:ascii="Palatino Linotype" w:eastAsia="Palatino Linotype" w:hAnsi="Palatino Linotype" w:cs="Palatino Linotype"/>
          <w:i/>
        </w:rPr>
        <w:t>y de total desagrado para manejar para mi</w:t>
      </w:r>
      <w:r>
        <w:rPr>
          <w:rFonts w:ascii="Palatino Linotype" w:eastAsia="Palatino Linotype" w:hAnsi="Palatino Linotype" w:cs="Palatino Linotype"/>
        </w:rPr>
        <w:t>” (sic), ante lo cual se puntualiza que el Derecho al acceso a la información pública constituye una prerrogativa para acceder a documentos o registros de información pública generada o en posesión de los Sujetos Ob</w:t>
      </w:r>
      <w:r>
        <w:rPr>
          <w:rFonts w:ascii="Palatino Linotype" w:eastAsia="Palatino Linotype" w:hAnsi="Palatino Linotype" w:cs="Palatino Linotype"/>
        </w:rPr>
        <w:t>ligados,  motivo por el cual, este Organismo Garante precisa que dichas manifestaciones no son susceptibles de ser tomadas en consideración en la resolución del presente asunto, toda vez que no constituyen el ejercicio de un Derecho de acceso a la informac</w:t>
      </w:r>
      <w:r>
        <w:rPr>
          <w:rFonts w:ascii="Palatino Linotype" w:eastAsia="Palatino Linotype" w:hAnsi="Palatino Linotype" w:cs="Palatino Linotype"/>
        </w:rPr>
        <w:t>ión pública, sino más bien el ejercicio de un Derecho de expresión, cuya finalidad consiste en contextualizar sus motivos de inconformidad. En este sentido, se trata de manifestaciones sobre las cuales este Instituto no está facultado para pronunciarse.</w:t>
      </w:r>
    </w:p>
    <w:p w14:paraId="4DB20CC7" w14:textId="77777777" w:rsidR="00573E3C" w:rsidRDefault="00684D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Du</w:t>
      </w:r>
      <w:r>
        <w:rPr>
          <w:rFonts w:ascii="Palatino Linotype" w:eastAsia="Palatino Linotype" w:hAnsi="Palatino Linotype" w:cs="Palatino Linotype"/>
        </w:rPr>
        <w:t xml:space="preserve">rante la etapa de manifestaciones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remitió nuevamente la respuesta a la solicitud con número de folio 110196500054524, presentada ante el </w:t>
      </w:r>
      <w:r>
        <w:rPr>
          <w:rFonts w:ascii="Palatino Linotype" w:eastAsia="Palatino Linotype" w:hAnsi="Palatino Linotype" w:cs="Palatino Linotype"/>
        </w:rPr>
        <w:lastRenderedPageBreak/>
        <w:t xml:space="preserve">municipio de Irapuato, Guanajuato, mientras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fue omiso en rendir su informe j</w:t>
      </w:r>
      <w:r>
        <w:rPr>
          <w:rFonts w:ascii="Palatino Linotype" w:eastAsia="Palatino Linotype" w:hAnsi="Palatino Linotype" w:cs="Palatino Linotype"/>
        </w:rPr>
        <w:t>ustificado</w:t>
      </w:r>
      <w:r>
        <w:rPr>
          <w:rFonts w:ascii="Palatino Linotype" w:eastAsia="Palatino Linotype" w:hAnsi="Palatino Linotype" w:cs="Palatino Linotype"/>
          <w:b/>
        </w:rPr>
        <w:t>.</w:t>
      </w:r>
    </w:p>
    <w:p w14:paraId="42A11851" w14:textId="77777777" w:rsidR="00573E3C" w:rsidRDefault="00684DB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contraposición con el motivo de inconformidad alegado por la parte </w:t>
      </w:r>
      <w:r>
        <w:rPr>
          <w:rFonts w:ascii="Palatino Linotype" w:eastAsia="Palatino Linotype" w:hAnsi="Palatino Linotype" w:cs="Palatino Linotype"/>
          <w:b/>
        </w:rPr>
        <w:t>Re</w:t>
      </w:r>
      <w:r>
        <w:rPr>
          <w:rFonts w:ascii="Palatino Linotype" w:eastAsia="Palatino Linotype" w:hAnsi="Palatino Linotype" w:cs="Palatino Linotype"/>
          <w:b/>
        </w:rPr>
        <w:t xml:space="preserve">currente, </w:t>
      </w:r>
      <w:r>
        <w:rPr>
          <w:rFonts w:ascii="Palatino Linotype" w:eastAsia="Palatino Linotype" w:hAnsi="Palatino Linotype" w:cs="Palatino Linotype"/>
        </w:rPr>
        <w:t>con la finalidad de determinar si el Derecho de acceso de esta se satisfizo, o, en su defecto, ordenar el soporte documental correspondiente, en caso de ser procedente.</w:t>
      </w:r>
    </w:p>
    <w:p w14:paraId="392EB617" w14:textId="77777777" w:rsidR="00573E3C" w:rsidRDefault="00684DBC">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tenor, es imprescindible mencionar que las Unidades de Transparencia,</w:t>
      </w:r>
      <w:r>
        <w:rPr>
          <w:rFonts w:ascii="Palatino Linotype" w:eastAsia="Palatino Linotype" w:hAnsi="Palatino Linotype" w:cs="Palatino Linotype"/>
        </w:rPr>
        <w:t xml:space="preserve"> son el área responsable en cada Sujeto Obligado para dar atención a las solicitudes de información que se realicen al amparo de la Ley, el responsable de dicha área funge como enlace entre el Sujeto Obligado y los solicitantes, y tiene bajo su responsabil</w:t>
      </w:r>
      <w:r>
        <w:rPr>
          <w:rFonts w:ascii="Palatino Linotype" w:eastAsia="Palatino Linotype" w:hAnsi="Palatino Linotype" w:cs="Palatino Linotype"/>
        </w:rPr>
        <w:t>idad el tramitar internamente la solicitud de información.</w:t>
      </w:r>
    </w:p>
    <w:p w14:paraId="500C61F4"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w:t>
      </w:r>
      <w:r>
        <w:rPr>
          <w:rFonts w:ascii="Palatino Linotype" w:eastAsia="Palatino Linotype" w:hAnsi="Palatino Linotype" w:cs="Palatino Linotype"/>
        </w:rPr>
        <w:t>n las distintas áreas que conforman la estructura orgánica del Sujeto Obligado, es por ello que debe turnar la solicitud al servidor público habilitado que tiene bajo su resguardo la misma, de conformidad con los artículos 53, fracciones II y IV y 162 de l</w:t>
      </w:r>
      <w:r>
        <w:rPr>
          <w:rFonts w:ascii="Palatino Linotype" w:eastAsia="Palatino Linotype" w:hAnsi="Palatino Linotype" w:cs="Palatino Linotype"/>
        </w:rPr>
        <w:t>a Ley de Transparencia y Acceso a la Información Pública del Estado de México y Municipios.</w:t>
      </w:r>
    </w:p>
    <w:p w14:paraId="0616A011" w14:textId="77777777" w:rsidR="00573E3C" w:rsidRDefault="00684D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w:t>
      </w:r>
      <w:r>
        <w:rPr>
          <w:rFonts w:ascii="Palatino Linotype" w:eastAsia="Palatino Linotype" w:hAnsi="Palatino Linotype" w:cs="Palatino Linotype"/>
        </w:rPr>
        <w:lastRenderedPageBreak/>
        <w:t>Unid</w:t>
      </w:r>
      <w:r>
        <w:rPr>
          <w:rFonts w:ascii="Palatino Linotype" w:eastAsia="Palatino Linotype" w:hAnsi="Palatino Linotype" w:cs="Palatino Linotype"/>
        </w:rPr>
        <w:t>ad de Transparencia, son las personas encargadas dentro de las diversas unidades administrativas o áreas de los Sujeto Obligado, de apoyar, gestionar y entregar la información o datos personales que se ubiquen en la misma, a sus respectivas unidades de tra</w:t>
      </w:r>
      <w:r>
        <w:rPr>
          <w:rFonts w:ascii="Palatino Linotype" w:eastAsia="Palatino Linotype" w:hAnsi="Palatino Linotype" w:cs="Palatino Linotype"/>
        </w:rPr>
        <w:t>nsparencia; respecto de las solicitudes presentadas, y aportar en primera instancia el fundamento y motivación de la clasificación de la información, teniendo como función buscar, localizar y en su caso entregar la información solicitada, así como integrar</w:t>
      </w:r>
      <w:r>
        <w:rPr>
          <w:rFonts w:ascii="Palatino Linotype" w:eastAsia="Palatino Linotype" w:hAnsi="Palatino Linotype" w:cs="Palatino Linotype"/>
        </w:rPr>
        <w:t xml:space="preserve"> y presentar al responsable de la Unidad de Transparencia la propuesta de clasificación de información, la cual tendrá los fundamentos y argumentos en que se basa dicha propuesta y verificar, una vez analizado el contenido de la información, que no se encu</w:t>
      </w:r>
      <w:r>
        <w:rPr>
          <w:rFonts w:ascii="Palatino Linotype" w:eastAsia="Palatino Linotype" w:hAnsi="Palatino Linotype" w:cs="Palatino Linotype"/>
        </w:rPr>
        <w:t>entre en los supuestos de información clasificada, de conformidad con los artículos 3, fracción XXXIX, 58 y 59, de la Ley de la Ley de Transparencia y Acceso a la Información Pública del Estado de México y Municipios.</w:t>
      </w:r>
    </w:p>
    <w:p w14:paraId="2D075829"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manifestado con antelación se ad</w:t>
      </w:r>
      <w:r>
        <w:rPr>
          <w:rFonts w:ascii="Palatino Linotype" w:eastAsia="Palatino Linotype" w:hAnsi="Palatino Linotype" w:cs="Palatino Linotype"/>
        </w:rPr>
        <w:t>vierte que el Titular de la Unidad de Transparencia debe garantizar que las solicitudes se turnen a todas las áreas competentes que puedan contar con la información, con el objeto de que los servidores públicos habilitados realicen la búsqueda exhaustiva y</w:t>
      </w:r>
      <w:r>
        <w:rPr>
          <w:rFonts w:ascii="Palatino Linotype" w:eastAsia="Palatino Linotype" w:hAnsi="Palatino Linotype" w:cs="Palatino Linotype"/>
        </w:rPr>
        <w:t xml:space="preserve"> razonable de la información solicitada, y que una vez localizada, la misma sea proporcionada a las personas solicitantes atendiendo a la naturaleza jurídica de la misma.</w:t>
      </w:r>
    </w:p>
    <w:p w14:paraId="0DCDE847"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toda vez que la persona solicitante requirió información del municipio y </w:t>
      </w:r>
      <w:r>
        <w:rPr>
          <w:rFonts w:ascii="Palatino Linotype" w:eastAsia="Palatino Linotype" w:hAnsi="Palatino Linotype" w:cs="Palatino Linotype"/>
        </w:rPr>
        <w:t xml:space="preserve">las paramunicipales, entendidas estas últimas como las dependencias que forman parte de la Administración Pública Municipal creadas para auxiliar a la administración central para realizar alguna actividad considerada estratégica o </w:t>
      </w:r>
      <w:r>
        <w:rPr>
          <w:rFonts w:ascii="Palatino Linotype" w:eastAsia="Palatino Linotype" w:hAnsi="Palatino Linotype" w:cs="Palatino Linotype"/>
        </w:rPr>
        <w:lastRenderedPageBreak/>
        <w:t>privada, la prestación de</w:t>
      </w:r>
      <w:r>
        <w:rPr>
          <w:rFonts w:ascii="Palatino Linotype" w:eastAsia="Palatino Linotype" w:hAnsi="Palatino Linotype" w:cs="Palatino Linotype"/>
        </w:rPr>
        <w:t xml:space="preserve"> algún servicio público o social, o la aplicación de recursos con fines específicos, pudiendo ser entidades paramunicipales, organismos descentralizados, empresas, fideicomisos, o cualquier otro tipo de institución, organización o unidad administrativa púb</w:t>
      </w:r>
      <w:r>
        <w:rPr>
          <w:rFonts w:ascii="Palatino Linotype" w:eastAsia="Palatino Linotype" w:hAnsi="Palatino Linotype" w:cs="Palatino Linotype"/>
        </w:rPr>
        <w:t>lica de características similares, es preciso señalar que de acuerdo con el artículo 66 del Bando Municipal de San Mateo Atenco, las administración pública municipal se integra por las siguientes áreas de gobierno:</w:t>
      </w:r>
    </w:p>
    <w:p w14:paraId="2F5494EE" w14:textId="77777777" w:rsidR="00573E3C" w:rsidRDefault="00684DBC">
      <w:pPr>
        <w:spacing w:before="240" w:after="240" w:line="276" w:lineRule="auto"/>
        <w:ind w:left="284"/>
        <w:jc w:val="both"/>
        <w:rPr>
          <w:rFonts w:ascii="Palatino Linotype" w:eastAsia="Palatino Linotype" w:hAnsi="Palatino Linotype" w:cs="Palatino Linotype"/>
          <w:b/>
        </w:rPr>
      </w:pPr>
      <w:r>
        <w:rPr>
          <w:rFonts w:ascii="Palatino Linotype" w:eastAsia="Palatino Linotype" w:hAnsi="Palatino Linotype" w:cs="Palatino Linotype"/>
          <w:b/>
        </w:rPr>
        <w:t xml:space="preserve">A. Dependencias </w:t>
      </w:r>
    </w:p>
    <w:p w14:paraId="5AE23D95"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I. Presidencia</w:t>
      </w:r>
    </w:p>
    <w:p w14:paraId="34617624"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II. Secretaría Particular </w:t>
      </w:r>
    </w:p>
    <w:p w14:paraId="19FE03F8"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III. Oficina de Presidencia </w:t>
      </w:r>
    </w:p>
    <w:p w14:paraId="40EB001C"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IV. Secretaría del Ayuntamiento </w:t>
      </w:r>
    </w:p>
    <w:p w14:paraId="127002CC"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V. Tesorería Municipal </w:t>
      </w:r>
    </w:p>
    <w:p w14:paraId="6E2810AB"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VI. Órgano Interno de Control </w:t>
      </w:r>
    </w:p>
    <w:p w14:paraId="121451AE"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VII. Consejería Jurídica Municipal </w:t>
      </w:r>
    </w:p>
    <w:p w14:paraId="308E46DF"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VIII. Unidad de Información, Planeación, Programación, Evaluación y Transparencia </w:t>
      </w:r>
    </w:p>
    <w:p w14:paraId="5D419780"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IX. Comunicación Social </w:t>
      </w:r>
    </w:p>
    <w:p w14:paraId="385DF612"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 Dirección de Administración </w:t>
      </w:r>
    </w:p>
    <w:p w14:paraId="07B5F1F3"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XI. Dirección de Obras Públicas </w:t>
      </w:r>
    </w:p>
    <w:p w14:paraId="6A0FAFD9"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XII. Dirección de Desarrollo Urbano y Metropolitano</w:t>
      </w:r>
    </w:p>
    <w:p w14:paraId="76D9F6FD"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lastRenderedPageBreak/>
        <w:t>XIII. Dirección de Servicios Pú</w:t>
      </w:r>
      <w:r>
        <w:rPr>
          <w:rFonts w:ascii="Palatino Linotype" w:eastAsia="Palatino Linotype" w:hAnsi="Palatino Linotype" w:cs="Palatino Linotype"/>
        </w:rPr>
        <w:t xml:space="preserve">blicos </w:t>
      </w:r>
    </w:p>
    <w:p w14:paraId="22E53BFA"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XIV. Dirección de Movilidad y Transporte </w:t>
      </w:r>
    </w:p>
    <w:p w14:paraId="4F3AA73B"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XV. Dirección de Desarrollo Económico, Empleo y Promoción al Calzado </w:t>
      </w:r>
    </w:p>
    <w:p w14:paraId="182E723B"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XVI. Dirección de Desarrollo Social </w:t>
      </w:r>
    </w:p>
    <w:p w14:paraId="48E0F535"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XVII. Dirección de Educación </w:t>
      </w:r>
    </w:p>
    <w:p w14:paraId="792BDFCC"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XVIII. Dirección de Seguridad Humana y Orden Vial </w:t>
      </w:r>
    </w:p>
    <w:p w14:paraId="23358461"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XIX. Dirección de </w:t>
      </w:r>
      <w:r>
        <w:rPr>
          <w:rFonts w:ascii="Palatino Linotype" w:eastAsia="Palatino Linotype" w:hAnsi="Palatino Linotype" w:cs="Palatino Linotype"/>
        </w:rPr>
        <w:t xml:space="preserve">Cultura y Turismo </w:t>
      </w:r>
    </w:p>
    <w:p w14:paraId="57244D09"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XX. Dirección de Salud </w:t>
      </w:r>
    </w:p>
    <w:p w14:paraId="26AC3D45"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XXI. Dirección de la Mujer </w:t>
      </w:r>
    </w:p>
    <w:p w14:paraId="38B7423B"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XXII. Dirección de Medio Ambiente </w:t>
      </w:r>
    </w:p>
    <w:p w14:paraId="697493D1"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XXIII. Coordinación Municipal de Protección Civil y Bomberos </w:t>
      </w:r>
    </w:p>
    <w:p w14:paraId="3857B695"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XXIV. Coordinación General Municipal de Mejora Regulatoria </w:t>
      </w:r>
    </w:p>
    <w:p w14:paraId="18043D0F" w14:textId="77777777" w:rsidR="00573E3C" w:rsidRDefault="00684DBC">
      <w:pPr>
        <w:spacing w:before="240" w:after="240" w:line="276" w:lineRule="auto"/>
        <w:ind w:left="284"/>
        <w:jc w:val="both"/>
        <w:rPr>
          <w:rFonts w:ascii="Palatino Linotype" w:eastAsia="Palatino Linotype" w:hAnsi="Palatino Linotype" w:cs="Palatino Linotype"/>
          <w:b/>
        </w:rPr>
      </w:pPr>
      <w:r>
        <w:rPr>
          <w:rFonts w:ascii="Palatino Linotype" w:eastAsia="Palatino Linotype" w:hAnsi="Palatino Linotype" w:cs="Palatino Linotype"/>
          <w:b/>
        </w:rPr>
        <w:t xml:space="preserve">B. Organismo Desconcentrado </w:t>
      </w:r>
    </w:p>
    <w:p w14:paraId="75A73480"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I. Instituto Municipal de la Juventud </w:t>
      </w:r>
    </w:p>
    <w:p w14:paraId="2A95FA5A" w14:textId="77777777" w:rsidR="00573E3C" w:rsidRDefault="00684DBC">
      <w:pPr>
        <w:spacing w:before="240" w:after="240" w:line="276" w:lineRule="auto"/>
        <w:ind w:left="284"/>
        <w:jc w:val="both"/>
        <w:rPr>
          <w:rFonts w:ascii="Palatino Linotype" w:eastAsia="Palatino Linotype" w:hAnsi="Palatino Linotype" w:cs="Palatino Linotype"/>
          <w:b/>
        </w:rPr>
      </w:pPr>
      <w:r>
        <w:rPr>
          <w:rFonts w:ascii="Palatino Linotype" w:eastAsia="Palatino Linotype" w:hAnsi="Palatino Linotype" w:cs="Palatino Linotype"/>
          <w:b/>
        </w:rPr>
        <w:t xml:space="preserve">C. Organismos Descentralizados </w:t>
      </w:r>
    </w:p>
    <w:p w14:paraId="56B21F3E"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I. Instituto Municipal de Cultura Física y Deporte</w:t>
      </w:r>
    </w:p>
    <w:p w14:paraId="0A65717B"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II. Sistema Municipal para el Desarrollo Integral de la Familia </w:t>
      </w:r>
    </w:p>
    <w:p w14:paraId="70BF3AFF"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III. Organismo Público Descentralizado para la Prestación de los Servicios de Agua Potable, Alcantarillado y Saneamiento. </w:t>
      </w:r>
    </w:p>
    <w:p w14:paraId="73473521" w14:textId="77777777" w:rsidR="00573E3C" w:rsidRDefault="00684DBC">
      <w:pPr>
        <w:spacing w:before="240" w:after="240" w:line="276" w:lineRule="auto"/>
        <w:ind w:left="284"/>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D. Organismos Autónomos. </w:t>
      </w:r>
    </w:p>
    <w:p w14:paraId="0DCE33CB"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 xml:space="preserve">I. Defensoría Municipal de Derechos Humanos </w:t>
      </w:r>
    </w:p>
    <w:p w14:paraId="3AA5AF83" w14:textId="77777777" w:rsidR="00573E3C" w:rsidRDefault="00684DBC">
      <w:pPr>
        <w:spacing w:before="240" w:after="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II. Sistema Municipal Anticorrupción.</w:t>
      </w:r>
    </w:p>
    <w:p w14:paraId="014B1A59"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advierte, la org</w:t>
      </w:r>
      <w:r>
        <w:rPr>
          <w:rFonts w:ascii="Palatino Linotype" w:eastAsia="Palatino Linotype" w:hAnsi="Palatino Linotype" w:cs="Palatino Linotype"/>
        </w:rPr>
        <w:t>anización de la administración pública municipal de San Mateo Atenco contempla veinticuatro dependencias centralizadas, un organismo desconcentrado, tres organismos descentralizados municipales y dos organismos autónomos municipales.</w:t>
      </w:r>
    </w:p>
    <w:p w14:paraId="393E6F12" w14:textId="77777777" w:rsidR="00573E3C" w:rsidRDefault="00684DBC">
      <w:pPr>
        <w:tabs>
          <w:tab w:val="left" w:pos="284"/>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tal sentido, si bie</w:t>
      </w:r>
      <w:r>
        <w:rPr>
          <w:rFonts w:ascii="Palatino Linotype" w:eastAsia="Palatino Linotype" w:hAnsi="Palatino Linotype" w:cs="Palatino Linotype"/>
        </w:rPr>
        <w:t xml:space="preserve">n los organismos públicos descentralizados y los órganos autónomos municipales </w:t>
      </w:r>
      <w:r>
        <w:rPr>
          <w:rFonts w:ascii="Palatino Linotype" w:eastAsia="Palatino Linotype" w:hAnsi="Palatino Linotype" w:cs="Palatino Linotype"/>
          <w:b/>
        </w:rPr>
        <w:t xml:space="preserve">están dotados de personalidad jurídica propia, patrimonio propio y autonomía en el manejo de sus recursos,  </w:t>
      </w:r>
      <w:r>
        <w:rPr>
          <w:rFonts w:ascii="Palatino Linotype" w:eastAsia="Palatino Linotype" w:hAnsi="Palatino Linotype" w:cs="Palatino Linotype"/>
        </w:rPr>
        <w:t>y cuentan</w:t>
      </w:r>
      <w:r>
        <w:rPr>
          <w:rFonts w:ascii="Palatino Linotype" w:eastAsia="Palatino Linotype" w:hAnsi="Palatino Linotype" w:cs="Palatino Linotype"/>
          <w:b/>
        </w:rPr>
        <w:t xml:space="preserve"> c</w:t>
      </w:r>
      <w:r>
        <w:rPr>
          <w:rFonts w:ascii="Palatino Linotype" w:eastAsia="Palatino Linotype" w:hAnsi="Palatino Linotype" w:cs="Palatino Linotype"/>
        </w:rPr>
        <w:t>on su propio objeto, marco normativo, atribuciones y estru</w:t>
      </w:r>
      <w:r>
        <w:rPr>
          <w:rFonts w:ascii="Palatino Linotype" w:eastAsia="Palatino Linotype" w:hAnsi="Palatino Linotype" w:cs="Palatino Linotype"/>
        </w:rPr>
        <w:t xml:space="preserve">ctura orgánica para el cumplimiento de las mismas, debe decirse que </w:t>
      </w:r>
      <w:r>
        <w:rPr>
          <w:rFonts w:ascii="Palatino Linotype" w:eastAsia="Palatino Linotype" w:hAnsi="Palatino Linotype" w:cs="Palatino Linotype"/>
          <w:b/>
          <w:u w:val="single"/>
        </w:rPr>
        <w:t>en materia de transparencia</w:t>
      </w:r>
      <w:r>
        <w:rPr>
          <w:rFonts w:ascii="Palatino Linotype" w:eastAsia="Palatino Linotype" w:hAnsi="Palatino Linotype" w:cs="Palatino Linotype"/>
        </w:rPr>
        <w:t xml:space="preserve"> únicamente el</w:t>
      </w:r>
      <w:r>
        <w:rPr>
          <w:rFonts w:ascii="Palatino Linotype" w:eastAsia="Palatino Linotype" w:hAnsi="Palatino Linotype" w:cs="Palatino Linotype"/>
          <w:b/>
        </w:rPr>
        <w:t xml:space="preserve"> Ayuntamiento de San Mateo Atenco, </w:t>
      </w:r>
      <w:r>
        <w:rPr>
          <w:rFonts w:ascii="Palatino Linotype" w:eastAsia="Palatino Linotype" w:hAnsi="Palatino Linotype" w:cs="Palatino Linotype"/>
        </w:rPr>
        <w:t>el</w:t>
      </w:r>
      <w:r>
        <w:rPr>
          <w:rFonts w:ascii="Palatino Linotype" w:eastAsia="Palatino Linotype" w:hAnsi="Palatino Linotype" w:cs="Palatino Linotype"/>
          <w:b/>
        </w:rPr>
        <w:t xml:space="preserve"> Organismo Público Descentralizado para la Prestación de los Servicios de Agua Potable, Alcantarillado y Sanea</w:t>
      </w:r>
      <w:r>
        <w:rPr>
          <w:rFonts w:ascii="Palatino Linotype" w:eastAsia="Palatino Linotype" w:hAnsi="Palatino Linotype" w:cs="Palatino Linotype"/>
          <w:b/>
        </w:rPr>
        <w:t xml:space="preserve">miento del Municipio de San Mateo Atenco;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Sistema Municipal para el Desarrollo Integral de la Familia de San Mateo Atenco; </w:t>
      </w:r>
      <w:r>
        <w:rPr>
          <w:rFonts w:ascii="Palatino Linotype" w:eastAsia="Palatino Linotype" w:hAnsi="Palatino Linotype" w:cs="Palatino Linotype"/>
        </w:rPr>
        <w:t xml:space="preserve">y el </w:t>
      </w:r>
      <w:r>
        <w:rPr>
          <w:rFonts w:ascii="Palatino Linotype" w:eastAsia="Palatino Linotype" w:hAnsi="Palatino Linotype" w:cs="Palatino Linotype"/>
          <w:b/>
        </w:rPr>
        <w:t>Instituto Municipal de Cultura Física y Deporte de San Mateo Atenco</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son reconocidos como Sujetos Obligados</w:t>
      </w:r>
      <w:r>
        <w:rPr>
          <w:rFonts w:ascii="Palatino Linotype" w:eastAsia="Palatino Linotype" w:hAnsi="Palatino Linotype" w:cs="Palatino Linotype"/>
        </w:rPr>
        <w:t xml:space="preserve"> de conformidad con el Padrón de Sujetos Obligados en materia de Transparencia y Acceso a la Información Pública del Estado de México y Municipios aprobado por el Pleno de este Instituto el veintisiete de enero de dos </w:t>
      </w:r>
      <w:r>
        <w:rPr>
          <w:rFonts w:ascii="Palatino Linotype" w:eastAsia="Palatino Linotype" w:hAnsi="Palatino Linotype" w:cs="Palatino Linotype"/>
        </w:rPr>
        <w:t>mil diecisiete y sus modificaciones posteriores, como se ilustra a continuación para mejor referencia:</w:t>
      </w:r>
    </w:p>
    <w:p w14:paraId="2B37DBDC" w14:textId="77777777" w:rsidR="00573E3C" w:rsidRDefault="00684DBC">
      <w:pPr>
        <w:tabs>
          <w:tab w:val="left" w:pos="284"/>
        </w:tabs>
        <w:spacing w:before="120" w:after="120"/>
        <w:ind w:right="51"/>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374DA23" wp14:editId="74E15AF6">
            <wp:extent cx="5612130" cy="300355"/>
            <wp:effectExtent l="0" t="0" r="0" b="0"/>
            <wp:docPr id="21401318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12130" cy="300355"/>
                    </a:xfrm>
                    <a:prstGeom prst="rect">
                      <a:avLst/>
                    </a:prstGeom>
                    <a:ln/>
                  </pic:spPr>
                </pic:pic>
              </a:graphicData>
            </a:graphic>
          </wp:inline>
        </w:drawing>
      </w:r>
    </w:p>
    <w:p w14:paraId="18FA4F75" w14:textId="77777777" w:rsidR="00573E3C" w:rsidRDefault="00684DBC">
      <w:pPr>
        <w:tabs>
          <w:tab w:val="left" w:pos="284"/>
        </w:tabs>
        <w:spacing w:before="120" w:after="120"/>
        <w:ind w:right="51"/>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46B7EF0" wp14:editId="2AF1827F">
            <wp:extent cx="5612130" cy="316865"/>
            <wp:effectExtent l="0" t="0" r="0" b="0"/>
            <wp:docPr id="214013186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612130" cy="316865"/>
                    </a:xfrm>
                    <a:prstGeom prst="rect">
                      <a:avLst/>
                    </a:prstGeom>
                    <a:ln/>
                  </pic:spPr>
                </pic:pic>
              </a:graphicData>
            </a:graphic>
          </wp:inline>
        </w:drawing>
      </w:r>
    </w:p>
    <w:p w14:paraId="55C6E863" w14:textId="77777777" w:rsidR="00573E3C" w:rsidRDefault="00684DBC">
      <w:pPr>
        <w:tabs>
          <w:tab w:val="left" w:pos="284"/>
        </w:tabs>
        <w:spacing w:before="120" w:after="120"/>
        <w:ind w:right="51"/>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E281CA7" wp14:editId="33DFF654">
            <wp:extent cx="5612130" cy="607060"/>
            <wp:effectExtent l="0" t="0" r="0" b="0"/>
            <wp:docPr id="214013186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5612130" cy="607060"/>
                    </a:xfrm>
                    <a:prstGeom prst="rect">
                      <a:avLst/>
                    </a:prstGeom>
                    <a:ln/>
                  </pic:spPr>
                </pic:pic>
              </a:graphicData>
            </a:graphic>
          </wp:inline>
        </w:drawing>
      </w:r>
    </w:p>
    <w:p w14:paraId="4ACDF03C" w14:textId="77777777" w:rsidR="00573E3C" w:rsidRDefault="00684DBC">
      <w:pPr>
        <w:tabs>
          <w:tab w:val="left" w:pos="284"/>
        </w:tabs>
        <w:spacing w:before="120" w:after="120"/>
        <w:ind w:right="51"/>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1F9CF2E" wp14:editId="578DE94F">
            <wp:extent cx="5612130" cy="520700"/>
            <wp:effectExtent l="0" t="0" r="0" b="0"/>
            <wp:docPr id="214013186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612130" cy="520700"/>
                    </a:xfrm>
                    <a:prstGeom prst="rect">
                      <a:avLst/>
                    </a:prstGeom>
                    <a:ln/>
                  </pic:spPr>
                </pic:pic>
              </a:graphicData>
            </a:graphic>
          </wp:inline>
        </w:drawing>
      </w:r>
    </w:p>
    <w:p w14:paraId="59861892" w14:textId="77777777" w:rsidR="00573E3C" w:rsidRDefault="00684DBC">
      <w:pPr>
        <w:tabs>
          <w:tab w:val="left" w:pos="284"/>
        </w:tabs>
        <w:spacing w:before="120" w:after="120"/>
        <w:ind w:right="51"/>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7A3C4E1E" wp14:editId="768DCD9B">
            <wp:extent cx="5612130" cy="334010"/>
            <wp:effectExtent l="0" t="0" r="0" b="0"/>
            <wp:docPr id="214013186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a:stretch>
                      <a:fillRect/>
                    </a:stretch>
                  </pic:blipFill>
                  <pic:spPr>
                    <a:xfrm>
                      <a:off x="0" y="0"/>
                      <a:ext cx="5612130" cy="334010"/>
                    </a:xfrm>
                    <a:prstGeom prst="rect">
                      <a:avLst/>
                    </a:prstGeom>
                    <a:ln/>
                  </pic:spPr>
                </pic:pic>
              </a:graphicData>
            </a:graphic>
          </wp:inline>
        </w:drawing>
      </w:r>
    </w:p>
    <w:p w14:paraId="08696CAA" w14:textId="77777777" w:rsidR="00573E3C" w:rsidRDefault="00684DBC">
      <w:pPr>
        <w:tabs>
          <w:tab w:val="left" w:pos="284"/>
        </w:tabs>
        <w:spacing w:before="120" w:after="120"/>
        <w:ind w:right="51"/>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3915A520" wp14:editId="0E6C932C">
            <wp:extent cx="5612130" cy="326390"/>
            <wp:effectExtent l="0" t="0" r="0" b="0"/>
            <wp:docPr id="214013186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612130" cy="326390"/>
                    </a:xfrm>
                    <a:prstGeom prst="rect">
                      <a:avLst/>
                    </a:prstGeom>
                    <a:ln/>
                  </pic:spPr>
                </pic:pic>
              </a:graphicData>
            </a:graphic>
          </wp:inline>
        </w:drawing>
      </w:r>
    </w:p>
    <w:p w14:paraId="4F7A5E25" w14:textId="77777777" w:rsidR="00573E3C" w:rsidRDefault="00684DBC">
      <w:pPr>
        <w:tabs>
          <w:tab w:val="left" w:pos="284"/>
        </w:tabs>
        <w:spacing w:before="120" w:after="120"/>
        <w:ind w:right="51"/>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7656AA97" wp14:editId="75DB581E">
            <wp:extent cx="5612130" cy="299720"/>
            <wp:effectExtent l="0" t="0" r="0" b="0"/>
            <wp:docPr id="214013187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612130" cy="299720"/>
                    </a:xfrm>
                    <a:prstGeom prst="rect">
                      <a:avLst/>
                    </a:prstGeom>
                    <a:ln/>
                  </pic:spPr>
                </pic:pic>
              </a:graphicData>
            </a:graphic>
          </wp:inline>
        </w:drawing>
      </w:r>
    </w:p>
    <w:p w14:paraId="247A879C" w14:textId="77777777" w:rsidR="00573E3C" w:rsidRDefault="00684DBC">
      <w:pPr>
        <w:tabs>
          <w:tab w:val="left" w:pos="284"/>
        </w:tabs>
        <w:spacing w:before="120" w:after="120"/>
        <w:ind w:right="51"/>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7AD05B13" wp14:editId="2642E290">
            <wp:extent cx="5612130" cy="291465"/>
            <wp:effectExtent l="0" t="0" r="0" b="0"/>
            <wp:docPr id="214013187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5612130" cy="291465"/>
                    </a:xfrm>
                    <a:prstGeom prst="rect">
                      <a:avLst/>
                    </a:prstGeom>
                    <a:ln/>
                  </pic:spPr>
                </pic:pic>
              </a:graphicData>
            </a:graphic>
          </wp:inline>
        </w:drawing>
      </w:r>
    </w:p>
    <w:p w14:paraId="0BB1412B" w14:textId="77777777" w:rsidR="00573E3C" w:rsidRDefault="00684D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consiguiente, el Ayuntamiento de San Mateo Atenco es responsable de transparentar la información relativa a las unidades y dependencias administrativas que integran la administración pública centralizada, del Instituto Municipal de la Juventud, la Defe</w:t>
      </w:r>
      <w:r>
        <w:rPr>
          <w:rFonts w:ascii="Palatino Linotype" w:eastAsia="Palatino Linotype" w:hAnsi="Palatino Linotype" w:cs="Palatino Linotype"/>
        </w:rPr>
        <w:t xml:space="preserve">nsoría Municipal de Derechos Humanos y del Sistema Municipal Anticorrupción. </w:t>
      </w:r>
    </w:p>
    <w:p w14:paraId="2A1DCBC4" w14:textId="77777777" w:rsidR="00573E3C" w:rsidRDefault="00684D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que se refiere al Organismo Público Descentralizado para la Prestación de los Servicios de Agua Potable, Alcantarillado y Saneamiento del Municipio de San Mateo Atenco; el</w:t>
      </w:r>
      <w:r>
        <w:rPr>
          <w:rFonts w:ascii="Palatino Linotype" w:eastAsia="Palatino Linotype" w:hAnsi="Palatino Linotype" w:cs="Palatino Linotype"/>
        </w:rPr>
        <w:t xml:space="preserve"> Sistema Municipal para el Desarrollo Integral de la Familia de San Mateo Atenco; y el Instituto Municipal de Cultura Física y Deporte de San Mateo Atenco, se advierte una notoria incompetencia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para proporcionar información.</w:t>
      </w:r>
    </w:p>
    <w:p w14:paraId="541EDA12" w14:textId="77777777" w:rsidR="00573E3C" w:rsidRDefault="00684DBC">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w:t>
      </w:r>
      <w:r>
        <w:rPr>
          <w:rFonts w:ascii="Palatino Linotype" w:eastAsia="Palatino Linotype" w:hAnsi="Palatino Linotype" w:cs="Palatino Linotype"/>
        </w:rPr>
        <w:t xml:space="preserve">icho lo anterior, es de recordar, respecto a la Declaración de Incompetencia, que la Ley de Transparencia y Acceso a la Información Pública del Estado de México, establece en los artículos 49, fracción II y 167, lo siguiente: </w:t>
      </w:r>
    </w:p>
    <w:p w14:paraId="3EA0C366" w14:textId="77777777" w:rsidR="00573E3C" w:rsidRDefault="00573E3C">
      <w:pPr>
        <w:tabs>
          <w:tab w:val="left" w:pos="1134"/>
        </w:tabs>
        <w:spacing w:line="360" w:lineRule="auto"/>
        <w:ind w:left="567" w:right="902"/>
        <w:jc w:val="both"/>
        <w:rPr>
          <w:rFonts w:ascii="Palatino Linotype" w:eastAsia="Palatino Linotype" w:hAnsi="Palatino Linotype" w:cs="Palatino Linotype"/>
          <w:i/>
          <w:sz w:val="22"/>
          <w:szCs w:val="22"/>
        </w:rPr>
      </w:pPr>
    </w:p>
    <w:p w14:paraId="3874F83F" w14:textId="77777777" w:rsidR="00573E3C" w:rsidRDefault="00684DBC">
      <w:pPr>
        <w:tabs>
          <w:tab w:val="left" w:pos="1134"/>
          <w:tab w:val="left" w:pos="1276"/>
        </w:tabs>
        <w:spacing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w:t>
      </w:r>
      <w:r>
        <w:rPr>
          <w:rFonts w:ascii="Palatino Linotype" w:eastAsia="Palatino Linotype" w:hAnsi="Palatino Linotype" w:cs="Palatino Linotype"/>
          <w:b/>
          <w:i/>
          <w:sz w:val="22"/>
          <w:szCs w:val="22"/>
        </w:rPr>
        <w:t xml:space="preserve"> Transparencia</w:t>
      </w:r>
      <w:r>
        <w:rPr>
          <w:rFonts w:ascii="Palatino Linotype" w:eastAsia="Palatino Linotype" w:hAnsi="Palatino Linotype" w:cs="Palatino Linotype"/>
          <w:i/>
          <w:sz w:val="22"/>
          <w:szCs w:val="22"/>
        </w:rPr>
        <w:t xml:space="preserve"> tendrán las siguientes atribuciones:</w:t>
      </w:r>
    </w:p>
    <w:p w14:paraId="7A645AB5" w14:textId="77777777" w:rsidR="00573E3C" w:rsidRDefault="00684DBC">
      <w:pPr>
        <w:tabs>
          <w:tab w:val="left" w:pos="1134"/>
        </w:tabs>
        <w:spacing w:line="276" w:lineRule="auto"/>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76F8B914" w14:textId="77777777" w:rsidR="00573E3C" w:rsidRDefault="00684DBC">
      <w:pPr>
        <w:tabs>
          <w:tab w:val="left" w:pos="1134"/>
        </w:tabs>
        <w:spacing w:line="276" w:lineRule="auto"/>
        <w:ind w:left="1134" w:right="902"/>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II.</w:t>
      </w:r>
      <w:r>
        <w:rPr>
          <w:rFonts w:ascii="Calibri" w:eastAsia="Calibri" w:hAnsi="Calibri" w:cs="Calibri"/>
          <w:sz w:val="22"/>
          <w:szCs w:val="22"/>
        </w:rPr>
        <w:t xml:space="preserve"> </w:t>
      </w:r>
      <w:r>
        <w:rPr>
          <w:rFonts w:ascii="Palatino Linotype" w:eastAsia="Palatino Linotype" w:hAnsi="Palatino Linotype" w:cs="Palatino Linotype"/>
          <w:b/>
          <w:i/>
          <w:sz w:val="22"/>
          <w:szCs w:val="22"/>
        </w:rPr>
        <w:t>Confirmar, modificar o revocar</w:t>
      </w:r>
      <w:r>
        <w:rPr>
          <w:rFonts w:ascii="Palatino Linotype" w:eastAsia="Palatino Linotype" w:hAnsi="Palatino Linotype" w:cs="Palatino Linotype"/>
          <w:i/>
          <w:sz w:val="22"/>
          <w:szCs w:val="22"/>
        </w:rPr>
        <w:t xml:space="preserve"> las determinaciones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materia de ampliación del plazo de respuesta, clasificación de la información </w:t>
      </w:r>
      <w:r>
        <w:rPr>
          <w:rFonts w:ascii="Palatino Linotype" w:eastAsia="Palatino Linotype" w:hAnsi="Palatino Linotype" w:cs="Palatino Linotype"/>
          <w:b/>
          <w:i/>
          <w:sz w:val="22"/>
          <w:szCs w:val="22"/>
        </w:rPr>
        <w:t>y declaración</w:t>
      </w:r>
      <w:r>
        <w:rPr>
          <w:rFonts w:ascii="Palatino Linotype" w:eastAsia="Palatino Linotype" w:hAnsi="Palatino Linotype" w:cs="Palatino Linotype"/>
          <w:i/>
          <w:sz w:val="22"/>
          <w:szCs w:val="22"/>
        </w:rPr>
        <w:t xml:space="preserve"> de inexistencia o </w:t>
      </w:r>
      <w:r>
        <w:rPr>
          <w:rFonts w:ascii="Palatino Linotype" w:eastAsia="Palatino Linotype" w:hAnsi="Palatino Linotype" w:cs="Palatino Linotype"/>
          <w:b/>
          <w:i/>
          <w:sz w:val="22"/>
          <w:szCs w:val="22"/>
        </w:rPr>
        <w:t>de incompetencia realicen los titulares de las áreas de los sujetos obligados;</w:t>
      </w:r>
    </w:p>
    <w:p w14:paraId="3EE120B0" w14:textId="77777777" w:rsidR="00573E3C" w:rsidRDefault="00684DBC">
      <w:pPr>
        <w:tabs>
          <w:tab w:val="left" w:pos="1134"/>
        </w:tabs>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DAFD37B" w14:textId="77777777" w:rsidR="00573E3C" w:rsidRDefault="00684DBC">
      <w:pPr>
        <w:tabs>
          <w:tab w:val="left" w:pos="1134"/>
        </w:tabs>
        <w:spacing w:line="276" w:lineRule="auto"/>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167</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las unidades d</w:t>
      </w:r>
      <w:r>
        <w:rPr>
          <w:rFonts w:ascii="Palatino Linotype" w:eastAsia="Palatino Linotype" w:hAnsi="Palatino Linotype" w:cs="Palatino Linotype"/>
          <w:b/>
          <w:i/>
          <w:sz w:val="22"/>
          <w:szCs w:val="22"/>
        </w:rPr>
        <w:t>e transparencia determinen la notoria incompetencia</w:t>
      </w:r>
      <w:r>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Pr>
          <w:rFonts w:ascii="Palatino Linotype" w:eastAsia="Palatino Linotype" w:hAnsi="Palatino Linotype" w:cs="Palatino Linotype"/>
          <w:b/>
          <w:i/>
          <w:sz w:val="22"/>
          <w:szCs w:val="22"/>
        </w:rPr>
        <w:t>deberán comunicarlo al solicitante, dentro de los tres días hábiles posteriores a</w:t>
      </w:r>
      <w:r>
        <w:rPr>
          <w:rFonts w:ascii="Palatino Linotype" w:eastAsia="Palatino Linotype" w:hAnsi="Palatino Linotype" w:cs="Palatino Linotype"/>
          <w:b/>
          <w:i/>
          <w:sz w:val="22"/>
          <w:szCs w:val="22"/>
        </w:rPr>
        <w:t xml:space="preserve"> la recepción de la solicitud</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b/>
          <w:i/>
          <w:sz w:val="22"/>
          <w:szCs w:val="22"/>
        </w:rPr>
        <w:t>en su caso orientar al solicitante, el o los sujetos obligados competentes.”</w:t>
      </w:r>
    </w:p>
    <w:p w14:paraId="3D5103D4" w14:textId="77777777" w:rsidR="00573E3C" w:rsidRDefault="00684DBC">
      <w:pPr>
        <w:tabs>
          <w:tab w:val="left" w:pos="142"/>
          <w:tab w:val="left" w:pos="284"/>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 los preceptos citados se desprende que es atribución del Comité de Transparencia confirmar, modificar o revocar, en su caso, la declaración de </w:t>
      </w:r>
      <w:r>
        <w:rPr>
          <w:rFonts w:ascii="Palatino Linotype" w:eastAsia="Palatino Linotype" w:hAnsi="Palatino Linotype" w:cs="Palatino Linotype"/>
        </w:rPr>
        <w:t>incompetencia,</w:t>
      </w:r>
      <w:r>
        <w:rPr>
          <w:rFonts w:ascii="Palatino Linotype" w:eastAsia="Palatino Linotype" w:hAnsi="Palatino Linotype" w:cs="Palatino Linotype"/>
          <w:b/>
        </w:rPr>
        <w:t xml:space="preserve"> en aquellos casos en los que no se trate de una notoria incompetencia. </w:t>
      </w:r>
    </w:p>
    <w:p w14:paraId="680CB64D" w14:textId="77777777" w:rsidR="00573E3C" w:rsidRDefault="00684DBC">
      <w:pPr>
        <w:tabs>
          <w:tab w:val="left" w:pos="142"/>
          <w:tab w:val="left" w:pos="284"/>
        </w:tabs>
        <w:spacing w:before="240" w:after="240"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rPr>
        <w:t>Puesto que la Ley también prevé que dicho acuerdo no es necesario cuando la Unidad de Transparencia determine que la incompetencia es notoria dando un plazo de tres días</w:t>
      </w:r>
      <w:r>
        <w:rPr>
          <w:rFonts w:ascii="Palatino Linotype" w:eastAsia="Palatino Linotype" w:hAnsi="Palatino Linotype" w:cs="Palatino Linotype"/>
        </w:rPr>
        <w:t xml:space="preserve"> hábiles para hacerlo del conocimiento de la persona solicitante. En otras palabras, la Ley de la Materia confiere a las Unidades de Transparencia la posibilidad de notificar la incompetencia cuando esta sea notoria, siendo innecesario </w:t>
      </w:r>
      <w:r>
        <w:rPr>
          <w:rFonts w:ascii="Palatino Linotype" w:eastAsia="Palatino Linotype" w:hAnsi="Palatino Linotype" w:cs="Palatino Linotype"/>
        </w:rPr>
        <w:lastRenderedPageBreak/>
        <w:t>que dicha circunstan</w:t>
      </w:r>
      <w:r>
        <w:rPr>
          <w:rFonts w:ascii="Palatino Linotype" w:eastAsia="Palatino Linotype" w:hAnsi="Palatino Linotype" w:cs="Palatino Linotype"/>
        </w:rPr>
        <w:t xml:space="preserve">cia sea sometida a consideración de los integrantes del Comité de Transparencia </w:t>
      </w:r>
      <w:r>
        <w:rPr>
          <w:rFonts w:ascii="Palatino Linotype" w:eastAsia="Palatino Linotype" w:hAnsi="Palatino Linotype" w:cs="Palatino Linotype"/>
          <w:u w:val="single"/>
        </w:rPr>
        <w:t xml:space="preserve">para su aprobación. </w:t>
      </w:r>
    </w:p>
    <w:p w14:paraId="4ABAA374" w14:textId="77777777" w:rsidR="00573E3C" w:rsidRDefault="00684DBC">
      <w:pPr>
        <w:tabs>
          <w:tab w:val="left" w:pos="142"/>
          <w:tab w:val="left" w:pos="284"/>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sustento de lo anterior, resulta aplicable el Criterio de Interpretación con Clave de control SO/002/2020, emitido por el Instituto Nacional de Transp</w:t>
      </w:r>
      <w:r>
        <w:rPr>
          <w:rFonts w:ascii="Palatino Linotype" w:eastAsia="Palatino Linotype" w:hAnsi="Palatino Linotype" w:cs="Palatino Linotype"/>
        </w:rPr>
        <w:t xml:space="preserve">arencia, Acceso a la Información, y Protección de Datos Personales, INAI, que lleva por rubro y texto los siguientes:  </w:t>
      </w:r>
    </w:p>
    <w:p w14:paraId="751D802A" w14:textId="77777777" w:rsidR="00573E3C" w:rsidRDefault="00684DBC">
      <w:pPr>
        <w:pBdr>
          <w:top w:val="nil"/>
          <w:left w:val="nil"/>
          <w:bottom w:val="nil"/>
          <w:right w:val="nil"/>
          <w:between w:val="nil"/>
        </w:pBd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“Declaración de incompetencia por parte del Comité, cuando no sea notoria o manifiesta.</w:t>
      </w:r>
      <w:r>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w:t>
      </w:r>
      <w:r>
        <w:rPr>
          <w:rFonts w:ascii="Palatino Linotype" w:eastAsia="Palatino Linotype" w:hAnsi="Palatino Linotype" w:cs="Palatino Linotype"/>
          <w:i/>
          <w:sz w:val="22"/>
          <w:szCs w:val="22"/>
        </w:rPr>
        <w:t>lte necesario efectuar un análisis mayor para determinar la incompetencia, ésta debe ser declarada por el Comité de Transparencia.”</w:t>
      </w:r>
    </w:p>
    <w:p w14:paraId="07CAC219" w14:textId="77777777" w:rsidR="00573E3C" w:rsidRDefault="00684DBC">
      <w:pPr>
        <w:tabs>
          <w:tab w:val="left" w:pos="142"/>
          <w:tab w:val="left" w:pos="284"/>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manera, el Pleno de este Instituto, a través del Criterio 02/04 emitido en la Segunda Época, precisa los alcances d</w:t>
      </w:r>
      <w:r>
        <w:rPr>
          <w:rFonts w:ascii="Palatino Linotype" w:eastAsia="Palatino Linotype" w:hAnsi="Palatino Linotype" w:cs="Palatino Linotype"/>
        </w:rPr>
        <w:t>el artículo 167 de la Ley de Transparencia, al señalar que corresponde al Comité de Transparencia confirmar la declaratoria de incompetencia y notificarle dicha determinación al particular, refiriéndose a aquellos casos en los que exista</w:t>
      </w:r>
      <w:r>
        <w:rPr>
          <w:rFonts w:ascii="Palatino Linotype" w:eastAsia="Palatino Linotype" w:hAnsi="Palatino Linotype" w:cs="Palatino Linotype"/>
          <w:b/>
        </w:rPr>
        <w:t xml:space="preserve"> </w:t>
      </w:r>
      <w:r>
        <w:rPr>
          <w:rFonts w:ascii="Palatino Linotype" w:eastAsia="Palatino Linotype" w:hAnsi="Palatino Linotype" w:cs="Palatino Linotype"/>
          <w:b/>
          <w:u w:val="single"/>
        </w:rPr>
        <w:t>duda razonable sob</w:t>
      </w:r>
      <w:r>
        <w:rPr>
          <w:rFonts w:ascii="Palatino Linotype" w:eastAsia="Palatino Linotype" w:hAnsi="Palatino Linotype" w:cs="Palatino Linotype"/>
          <w:b/>
          <w:u w:val="single"/>
        </w:rPr>
        <w:t>re la administración del documento materia de la solicitud de información</w:t>
      </w:r>
      <w:r>
        <w:rPr>
          <w:rFonts w:ascii="Palatino Linotype" w:eastAsia="Palatino Linotype" w:hAnsi="Palatino Linotype" w:cs="Palatino Linotype"/>
        </w:rPr>
        <w:t>, como se lee enseguida:</w:t>
      </w:r>
    </w:p>
    <w:p w14:paraId="0884EFDC" w14:textId="77777777" w:rsidR="00573E3C" w:rsidRDefault="00684DBC">
      <w:pPr>
        <w:tabs>
          <w:tab w:val="left" w:pos="141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Pr>
          <w:rFonts w:ascii="Palatino Linotype" w:eastAsia="Palatino Linotype" w:hAnsi="Palatino Linotype" w:cs="Palatino Linotype"/>
          <w:i/>
          <w:sz w:val="22"/>
          <w:szCs w:val="22"/>
        </w:rPr>
        <w:t>De conformidad con el artículo 167 de l</w:t>
      </w:r>
      <w:r>
        <w:rPr>
          <w:rFonts w:ascii="Palatino Linotype" w:eastAsia="Palatino Linotype" w:hAnsi="Palatino Linotype" w:cs="Palatino Linotype"/>
          <w:i/>
          <w:sz w:val="22"/>
          <w:szCs w:val="22"/>
        </w:rPr>
        <w:t>a Ley de Transparencia vigente en la entidad, las Unidades de Transparencia tienen la facultad de determinar la notoria incompetencia para atender las solicitudes de acceso a la información y comunicarla al solicitante dentro de los tres días hábiles poste</w:t>
      </w:r>
      <w:r>
        <w:rPr>
          <w:rFonts w:ascii="Palatino Linotype" w:eastAsia="Palatino Linotype" w:hAnsi="Palatino Linotype" w:cs="Palatino Linotype"/>
          <w:i/>
          <w:sz w:val="22"/>
          <w:szCs w:val="22"/>
        </w:rPr>
        <w:t xml:space="preserve">riores a la recepción de la misma, así como en su caso, orientar al particular sobre el o los Sujetos Obligados competentes para su atención. No obstante, es importante resaltar que </w:t>
      </w:r>
      <w:r>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w:t>
      </w:r>
      <w:r>
        <w:rPr>
          <w:rFonts w:ascii="Palatino Linotype" w:eastAsia="Palatino Linotype" w:hAnsi="Palatino Linotype" w:cs="Palatino Linotype"/>
          <w:b/>
          <w:i/>
          <w:sz w:val="22"/>
          <w:szCs w:val="22"/>
        </w:rPr>
        <w:lastRenderedPageBreak/>
        <w:t xml:space="preserve">dos o más Sujetos Obligados que </w:t>
      </w:r>
      <w:r>
        <w:rPr>
          <w:rFonts w:ascii="Palatino Linotype" w:eastAsia="Palatino Linotype" w:hAnsi="Palatino Linotype" w:cs="Palatino Linotype"/>
          <w:b/>
          <w:i/>
          <w:sz w:val="22"/>
          <w:szCs w:val="22"/>
          <w:u w:val="single"/>
        </w:rPr>
        <w:t>impiden determinar dentro del término legal de tres días hábiles</w:t>
      </w:r>
      <w:r>
        <w:rPr>
          <w:rFonts w:ascii="Palatino Linotype" w:eastAsia="Palatino Linotype" w:hAnsi="Palatino Linotype" w:cs="Palatino Linotype"/>
          <w:b/>
          <w:i/>
          <w:sz w:val="22"/>
          <w:szCs w:val="22"/>
        </w:rPr>
        <w:t>, si se posee o no la información po</w:t>
      </w:r>
      <w:r>
        <w:rPr>
          <w:rFonts w:ascii="Palatino Linotype" w:eastAsia="Palatino Linotype" w:hAnsi="Palatino Linotype" w:cs="Palatino Linotype"/>
          <w:b/>
          <w:i/>
          <w:sz w:val="22"/>
          <w:szCs w:val="22"/>
        </w:rPr>
        <w:t>r el Sujeto Obligado requerid</w:t>
      </w:r>
      <w:r>
        <w:rPr>
          <w:rFonts w:ascii="Palatino Linotype" w:eastAsia="Palatino Linotype" w:hAnsi="Palatino Linotype" w:cs="Palatino Linotype"/>
          <w:i/>
          <w:sz w:val="22"/>
          <w:szCs w:val="22"/>
        </w:rPr>
        <w:t>o; en virtud de ello, en aras de disipar toda duda razonable sobre la administración del documento materia de la solicitud de información, el Sujeto Obligado deberá dar el trámite correspondiente a la solicitud de información a</w:t>
      </w:r>
      <w:r>
        <w:rPr>
          <w:rFonts w:ascii="Palatino Linotype" w:eastAsia="Palatino Linotype" w:hAnsi="Palatino Linotype" w:cs="Palatino Linotype"/>
          <w:i/>
          <w:sz w:val="22"/>
          <w:szCs w:val="22"/>
        </w:rPr>
        <w:t xml:space="preserve"> efecto de realizar un análisis minucioso de las facultades, competencias o funciones de cada una de las Unidades Administrativas que lo integran y, si posterior a ello, se corrobora la incompetencia para la atención del requerimiento, en razón de que es o</w:t>
      </w:r>
      <w:r>
        <w:rPr>
          <w:rFonts w:ascii="Palatino Linotype" w:eastAsia="Palatino Linotype" w:hAnsi="Palatino Linotype" w:cs="Palatino Linotype"/>
          <w:i/>
          <w:sz w:val="22"/>
          <w:szCs w:val="22"/>
        </w:rPr>
        <w:t>tro el Sujeto Obligado poseedor de la documentación, corresponde a su Comité de Transparencia confirmar la declaratoria de incompetencia y notificarle dicha determinación al particular, en términos de lo dispuesto en el artículo 49, fracción II de la Ley d</w:t>
      </w:r>
      <w:r>
        <w:rPr>
          <w:rFonts w:ascii="Palatino Linotype" w:eastAsia="Palatino Linotype" w:hAnsi="Palatino Linotype" w:cs="Palatino Linotype"/>
          <w:i/>
          <w:sz w:val="22"/>
          <w:szCs w:val="22"/>
        </w:rPr>
        <w:t>e Transparencia Local, al ser este el acto jurídico idóneo que genera seguridad jurídica de que el Ente ante quien se presentó la solicitud, carece de facultades, competencias o funciones para poseer o generar la información requerida; lo anterior, sin per</w:t>
      </w:r>
      <w:r>
        <w:rPr>
          <w:rFonts w:ascii="Palatino Linotype" w:eastAsia="Palatino Linotype" w:hAnsi="Palatino Linotype" w:cs="Palatino Linotype"/>
          <w:i/>
          <w:sz w:val="22"/>
          <w:szCs w:val="22"/>
        </w:rPr>
        <w:t>juicio de que pueda gestionar la colaboración de otro Sujeto Obligado competente para atender la solicitud.”</w:t>
      </w:r>
    </w:p>
    <w:p w14:paraId="6EF275EE" w14:textId="77777777" w:rsidR="00573E3C" w:rsidRDefault="00684DBC">
      <w:pPr>
        <w:tabs>
          <w:tab w:val="left" w:pos="142"/>
          <w:tab w:val="left" w:pos="284"/>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particular, dado que ha quedado demostrado que el Organismo Público Descentralizado para la Prestación de los Servicios de Agua Potable,</w:t>
      </w:r>
      <w:r>
        <w:rPr>
          <w:rFonts w:ascii="Palatino Linotype" w:eastAsia="Palatino Linotype" w:hAnsi="Palatino Linotype" w:cs="Palatino Linotype"/>
        </w:rPr>
        <w:t xml:space="preserve"> Alcantarillado y Saneamiento del Municipio de San Mateo Atenco; el Sistema Municipal para el Desarrollo Integral de la Familia de San Mateo Atenco; y el Instituto Municipal de Cultura Física y Deporte de San Mateo Atenco, como organismos públicos descentr</w:t>
      </w:r>
      <w:r>
        <w:rPr>
          <w:rFonts w:ascii="Palatino Linotype" w:eastAsia="Palatino Linotype" w:hAnsi="Palatino Linotype" w:cs="Palatino Linotype"/>
        </w:rPr>
        <w:t>alizados de la administración pública municipal, son reconocido como Sujetos Obligados en materia de transparencia, se estima que la incompetencia del Sujeto Obligado es notoria, por lo tanto resulta innecesaria la emisión de una declaratoria formal de inc</w:t>
      </w:r>
      <w:r>
        <w:rPr>
          <w:rFonts w:ascii="Palatino Linotype" w:eastAsia="Palatino Linotype" w:hAnsi="Palatino Linotype" w:cs="Palatino Linotype"/>
        </w:rPr>
        <w:t>ompetencia a través del Comité de Transparencia.</w:t>
      </w:r>
    </w:p>
    <w:p w14:paraId="66A30F57"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se insta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en próximas ocasiones observe las formalidades y plazos que prevén las leyes de la materia a efecto de no vulnerar el derecho de acceso a la información de l</w:t>
      </w:r>
      <w:r>
        <w:rPr>
          <w:rFonts w:ascii="Palatino Linotype" w:eastAsia="Palatino Linotype" w:hAnsi="Palatino Linotype" w:cs="Palatino Linotype"/>
        </w:rPr>
        <w:t xml:space="preserve">os particulares, asimismo, se hace de su conocimiento que el mismo artículo 167 de la Ley de la Materia, en su párrafo </w:t>
      </w:r>
      <w:r>
        <w:rPr>
          <w:rFonts w:ascii="Palatino Linotype" w:eastAsia="Palatino Linotype" w:hAnsi="Palatino Linotype" w:cs="Palatino Linotype"/>
        </w:rPr>
        <w:lastRenderedPageBreak/>
        <w:t>segundo concede, a los Sujetos Obligados, la posibilidad de atender de manera parcial las solicitudes de acceso a la información, dando r</w:t>
      </w:r>
      <w:r>
        <w:rPr>
          <w:rFonts w:ascii="Palatino Linotype" w:eastAsia="Palatino Linotype" w:hAnsi="Palatino Linotype" w:cs="Palatino Linotype"/>
        </w:rPr>
        <w:t xml:space="preserve">espuesta únicamente respecto de aquellos requerimientos sobre los cuales se tiene competencia dentro del plazo de quince días hábiles contados a partir del día siguiente a la presentación de la solicitud, de conformidad con el párrafo primero del artículo </w:t>
      </w:r>
      <w:r>
        <w:rPr>
          <w:rFonts w:ascii="Palatino Linotype" w:eastAsia="Palatino Linotype" w:hAnsi="Palatino Linotype" w:cs="Palatino Linotype"/>
        </w:rPr>
        <w:t>163 de la Ley de la Materia, y, respecto de la información sobre la cual se es incompetente, declarar la incompetencia en el término de tres días hábiles posteriores a la recepción de la solicitud.</w:t>
      </w:r>
    </w:p>
    <w:p w14:paraId="18905B64"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las relatadas circunstancias se dejan a salvo los derec</w:t>
      </w:r>
      <w:r>
        <w:rPr>
          <w:rFonts w:ascii="Palatino Linotype" w:eastAsia="Palatino Linotype" w:hAnsi="Palatino Linotype" w:cs="Palatino Linotype"/>
        </w:rPr>
        <w:t xml:space="preserve">hos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para que, en caso de considerarlo oportuno a sus intereses formule una nueva solicitud de información ante los Sujetos Obligados competentes.</w:t>
      </w:r>
    </w:p>
    <w:p w14:paraId="750EDC8C"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Acotado lo anterior, derivado del análisis de las constancias que obran en el expedient</w:t>
      </w:r>
      <w:r>
        <w:rPr>
          <w:rFonts w:ascii="Palatino Linotype" w:eastAsia="Palatino Linotype" w:hAnsi="Palatino Linotype" w:cs="Palatino Linotype"/>
        </w:rPr>
        <w:t>e electrónico en el que se actúa, se advirtió que la Unidad de Transparencia turnó la solicitud de información a la Tesorería Municipal, al considerarle como el área competente para conocer de la información solicitada, cuyo servidor público habilitado, ma</w:t>
      </w:r>
      <w:r>
        <w:rPr>
          <w:rFonts w:ascii="Palatino Linotype" w:eastAsia="Palatino Linotype" w:hAnsi="Palatino Linotype" w:cs="Palatino Linotype"/>
        </w:rPr>
        <w:t>nifestó que se encontraba legal y materialmente impedido para procesar la información y presentarla en el formato y con el desglose que se solicita, asimismo, que en cumplimiento de sus obligaciones legales, ponía a disposición la opinión de cumplimiento a</w:t>
      </w:r>
      <w:r>
        <w:rPr>
          <w:rFonts w:ascii="Palatino Linotype" w:eastAsia="Palatino Linotype" w:hAnsi="Palatino Linotype" w:cs="Palatino Linotype"/>
        </w:rPr>
        <w:t xml:space="preserve">ctualizada a la fecha de contestación. </w:t>
      </w:r>
    </w:p>
    <w:p w14:paraId="562FE32A"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señalar que la Tesorería Municipal es el órgano encargado de la recaudación de los ingresos municipales y </w:t>
      </w:r>
      <w:r>
        <w:rPr>
          <w:rFonts w:ascii="Palatino Linotype" w:eastAsia="Palatino Linotype" w:hAnsi="Palatino Linotype" w:cs="Palatino Linotype"/>
          <w:b/>
        </w:rPr>
        <w:t>responsable de realizar las erogaciones</w:t>
      </w:r>
      <w:r>
        <w:rPr>
          <w:rFonts w:ascii="Palatino Linotype" w:eastAsia="Palatino Linotype" w:hAnsi="Palatino Linotype" w:cs="Palatino Linotype"/>
        </w:rPr>
        <w:t xml:space="preserve"> que haga el </w:t>
      </w:r>
      <w:r>
        <w:rPr>
          <w:rFonts w:ascii="Palatino Linotype" w:eastAsia="Palatino Linotype" w:hAnsi="Palatino Linotype" w:cs="Palatino Linotype"/>
        </w:rPr>
        <w:lastRenderedPageBreak/>
        <w:t xml:space="preserve">ayuntamiento </w:t>
      </w:r>
      <w:r>
        <w:rPr>
          <w:rFonts w:ascii="Palatino Linotype" w:eastAsia="Palatino Linotype" w:hAnsi="Palatino Linotype" w:cs="Palatino Linotype"/>
          <w:b/>
        </w:rPr>
        <w:t>a través de los registros contables, fin</w:t>
      </w:r>
      <w:r>
        <w:rPr>
          <w:rFonts w:ascii="Palatino Linotype" w:eastAsia="Palatino Linotype" w:hAnsi="Palatino Linotype" w:cs="Palatino Linotype"/>
          <w:b/>
        </w:rPr>
        <w:t>ancieros y administrativos</w:t>
      </w:r>
      <w:r>
        <w:rPr>
          <w:rFonts w:ascii="Palatino Linotype" w:eastAsia="Palatino Linotype" w:hAnsi="Palatino Linotype" w:cs="Palatino Linotype"/>
        </w:rPr>
        <w:t xml:space="preserve"> de los ingresos, </w:t>
      </w:r>
      <w:r>
        <w:rPr>
          <w:rFonts w:ascii="Palatino Linotype" w:eastAsia="Palatino Linotype" w:hAnsi="Palatino Linotype" w:cs="Palatino Linotype"/>
          <w:b/>
        </w:rPr>
        <w:t>egresos</w:t>
      </w:r>
      <w:r>
        <w:rPr>
          <w:rFonts w:ascii="Palatino Linotype" w:eastAsia="Palatino Linotype" w:hAnsi="Palatino Linotype" w:cs="Palatino Linotype"/>
        </w:rPr>
        <w:t xml:space="preserve"> e inventarios; participar en la formulación de Convenios Fiscales; así como de </w:t>
      </w:r>
      <w:r>
        <w:rPr>
          <w:rFonts w:ascii="Palatino Linotype" w:eastAsia="Palatino Linotype" w:hAnsi="Palatino Linotype" w:cs="Palatino Linotype"/>
          <w:b/>
          <w:u w:val="single"/>
        </w:rPr>
        <w:t xml:space="preserve">recaudar y administrar los ingresos que se deriven de la suscripción de convenios, acuerdos o la emisión de declaratorias de </w:t>
      </w:r>
      <w:r>
        <w:rPr>
          <w:rFonts w:ascii="Palatino Linotype" w:eastAsia="Palatino Linotype" w:hAnsi="Palatino Linotype" w:cs="Palatino Linotype"/>
          <w:b/>
          <w:u w:val="single"/>
        </w:rPr>
        <w:t>coordinación; los relativos a las transferencias otorgadas a favor del Municipio en el marco del Sistema Nacional o Estatal de Coordinación Fiscal</w:t>
      </w:r>
      <w:r>
        <w:rPr>
          <w:rFonts w:ascii="Palatino Linotype" w:eastAsia="Palatino Linotype" w:hAnsi="Palatino Linotype" w:cs="Palatino Linotype"/>
        </w:rPr>
        <w:t>, o los que reciba por cualquier otro concepto; dar cumplimiento a las leyes, convenios de coordinación fiscal</w:t>
      </w:r>
      <w:r>
        <w:rPr>
          <w:rFonts w:ascii="Palatino Linotype" w:eastAsia="Palatino Linotype" w:hAnsi="Palatino Linotype" w:cs="Palatino Linotype"/>
        </w:rPr>
        <w:t xml:space="preserve"> y demás que en materia hacendaria celebre el Ayuntamiento con el Estado, entre otras atribuciones, de conformidad con lo establecido en los artículos 93 y 95, fracciones I,  IV, VIII, XIX y XX, de la Ley Orgánica Municipal del Estado de México, a saber:</w:t>
      </w:r>
    </w:p>
    <w:p w14:paraId="062AA94A"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93</w:t>
      </w:r>
      <w:r>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2DAD25FE"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975E42"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95</w:t>
      </w:r>
      <w:r>
        <w:rPr>
          <w:rFonts w:ascii="Palatino Linotype" w:eastAsia="Palatino Linotype" w:hAnsi="Palatino Linotype" w:cs="Palatino Linotype"/>
          <w:i/>
          <w:sz w:val="22"/>
          <w:szCs w:val="22"/>
        </w:rPr>
        <w:t xml:space="preserve">.- Son atribuciones del tesorero municipal: </w:t>
      </w:r>
    </w:p>
    <w:p w14:paraId="5807F3C6"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Administrar la hacienda pública municipal</w:t>
      </w:r>
      <w:r>
        <w:rPr>
          <w:rFonts w:ascii="Palatino Linotype" w:eastAsia="Palatino Linotype" w:hAnsi="Palatino Linotype" w:cs="Palatino Linotype"/>
          <w:i/>
          <w:sz w:val="22"/>
          <w:szCs w:val="22"/>
        </w:rPr>
        <w:t>, de conformidad con las disposiciones legales aplicables;</w:t>
      </w:r>
    </w:p>
    <w:p w14:paraId="441FDF0D"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5BCD3B0"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Llevar los registros contables, financieros y administrativos</w:t>
      </w:r>
      <w:r>
        <w:rPr>
          <w:rFonts w:ascii="Palatino Linotype" w:eastAsia="Palatino Linotype" w:hAnsi="Palatino Linotype" w:cs="Palatino Linotype"/>
          <w:b/>
          <w:i/>
          <w:sz w:val="22"/>
          <w:szCs w:val="22"/>
        </w:rPr>
        <w:t xml:space="preserve"> de los ingresos, egresos</w:t>
      </w:r>
      <w:r>
        <w:rPr>
          <w:rFonts w:ascii="Palatino Linotype" w:eastAsia="Palatino Linotype" w:hAnsi="Palatino Linotype" w:cs="Palatino Linotype"/>
          <w:i/>
          <w:sz w:val="22"/>
          <w:szCs w:val="22"/>
        </w:rPr>
        <w:t>, e inventarios;</w:t>
      </w:r>
    </w:p>
    <w:p w14:paraId="0811B1E0"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9E194ED"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Participar en la formulación de Conveni</w:t>
      </w:r>
      <w:r>
        <w:rPr>
          <w:rFonts w:ascii="Palatino Linotype" w:eastAsia="Palatino Linotype" w:hAnsi="Palatino Linotype" w:cs="Palatino Linotype"/>
          <w:b/>
          <w:i/>
          <w:sz w:val="22"/>
          <w:szCs w:val="22"/>
        </w:rPr>
        <w:t>os Fiscales</w:t>
      </w:r>
      <w:r>
        <w:rPr>
          <w:rFonts w:ascii="Palatino Linotype" w:eastAsia="Palatino Linotype" w:hAnsi="Palatino Linotype" w:cs="Palatino Linotype"/>
          <w:i/>
          <w:sz w:val="22"/>
          <w:szCs w:val="22"/>
        </w:rPr>
        <w:t xml:space="preserve"> y ejercer las atribuciones que le correspondan en el ámbito de su competencia;</w:t>
      </w:r>
    </w:p>
    <w:p w14:paraId="4E1B0490"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D8AF88D"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 xml:space="preserve">Recaudar y administrar los ingresos que se deriven de la suscripción de convenios, acuerdos o la emisión de declaratorias de coordinación; los relativos a las transferencias otorgadas a favor del Municipio en el marco del Sistema Nacional o Estatal de </w:t>
      </w:r>
      <w:r>
        <w:rPr>
          <w:rFonts w:ascii="Palatino Linotype" w:eastAsia="Palatino Linotype" w:hAnsi="Palatino Linotype" w:cs="Palatino Linotype"/>
          <w:b/>
          <w:i/>
          <w:sz w:val="22"/>
          <w:szCs w:val="22"/>
          <w:u w:val="single"/>
        </w:rPr>
        <w:lastRenderedPageBreak/>
        <w:t>Coor</w:t>
      </w:r>
      <w:r>
        <w:rPr>
          <w:rFonts w:ascii="Palatino Linotype" w:eastAsia="Palatino Linotype" w:hAnsi="Palatino Linotype" w:cs="Palatino Linotype"/>
          <w:b/>
          <w:i/>
          <w:sz w:val="22"/>
          <w:szCs w:val="22"/>
          <w:u w:val="single"/>
        </w:rPr>
        <w:t>dinación Fiscal, o los que reciba por cualquier otro concepto</w:t>
      </w:r>
      <w:r>
        <w:rPr>
          <w:rFonts w:ascii="Palatino Linotype" w:eastAsia="Palatino Linotype" w:hAnsi="Palatino Linotype" w:cs="Palatino Linotype"/>
          <w:i/>
          <w:sz w:val="22"/>
          <w:szCs w:val="22"/>
        </w:rPr>
        <w:t>; así como el importe de las sanciones por infracciones impuestas por las autoridades competentes, por la inobservancia de las diversas disposiciones y ordenamientos legales, constituyendo los cr</w:t>
      </w:r>
      <w:r>
        <w:rPr>
          <w:rFonts w:ascii="Palatino Linotype" w:eastAsia="Palatino Linotype" w:hAnsi="Palatino Linotype" w:cs="Palatino Linotype"/>
          <w:i/>
          <w:sz w:val="22"/>
          <w:szCs w:val="22"/>
        </w:rPr>
        <w:t>éditos fiscales correspondientes;</w:t>
      </w:r>
    </w:p>
    <w:p w14:paraId="576E3D2C"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Dar cumplimiento a las leyes, convenios de coordinación fiscal y demás que en materia hacendaria celebre el Ayuntamiento con el Estado;</w:t>
      </w:r>
      <w:r>
        <w:rPr>
          <w:rFonts w:ascii="Palatino Linotype" w:eastAsia="Palatino Linotype" w:hAnsi="Palatino Linotype" w:cs="Palatino Linotype"/>
          <w:b/>
          <w:i/>
          <w:sz w:val="22"/>
          <w:szCs w:val="22"/>
        </w:rPr>
        <w:t xml:space="preserve"> autorizar la suficiencia presupuestal</w:t>
      </w:r>
      <w:r>
        <w:rPr>
          <w:rFonts w:ascii="Palatino Linotype" w:eastAsia="Palatino Linotype" w:hAnsi="Palatino Linotype" w:cs="Palatino Linotype"/>
          <w:i/>
          <w:sz w:val="22"/>
          <w:szCs w:val="22"/>
        </w:rPr>
        <w:t xml:space="preserve"> para la adquisición de bienes y servicios re</w:t>
      </w:r>
      <w:r>
        <w:rPr>
          <w:rFonts w:ascii="Palatino Linotype" w:eastAsia="Palatino Linotype" w:hAnsi="Palatino Linotype" w:cs="Palatino Linotype"/>
          <w:i/>
          <w:sz w:val="22"/>
          <w:szCs w:val="22"/>
        </w:rPr>
        <w:t>queridos por las áreas, de conformidad con el articulo su presupuesto autorizado para cada ejercicio, en términos de los artículos 93 y 95 de la Ley Orgánica Municipal del Estado de México.”</w:t>
      </w:r>
    </w:p>
    <w:p w14:paraId="3B2D95E1"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no se atendió el procedimiento de búsqueda, el cual </w:t>
      </w:r>
      <w:r>
        <w:rPr>
          <w:rFonts w:ascii="Palatino Linotype" w:eastAsia="Palatino Linotype" w:hAnsi="Palatino Linotype" w:cs="Palatino Linotype"/>
        </w:rPr>
        <w:t xml:space="preserve">se constituye como la garantía primaria del derecho humano de acceso a la información pública, el cual se rige por los principios de simplicidad, rapidez, gratuidad del procedimiento, auxilio y orientación a las personas solicitantes con el fin de otorgar </w:t>
      </w:r>
      <w:r>
        <w:rPr>
          <w:rFonts w:ascii="Palatino Linotype" w:eastAsia="Palatino Linotype" w:hAnsi="Palatino Linotype" w:cs="Palatino Linotype"/>
        </w:rPr>
        <w:t xml:space="preserve">la protección más amplia de </w:t>
      </w:r>
      <w:proofErr w:type="gramStart"/>
      <w:r>
        <w:rPr>
          <w:rFonts w:ascii="Palatino Linotype" w:eastAsia="Palatino Linotype" w:hAnsi="Palatino Linotype" w:cs="Palatino Linotype"/>
        </w:rPr>
        <w:t>éste</w:t>
      </w:r>
      <w:proofErr w:type="gramEnd"/>
      <w:r>
        <w:rPr>
          <w:rFonts w:ascii="Palatino Linotype" w:eastAsia="Palatino Linotype" w:hAnsi="Palatino Linotype" w:cs="Palatino Linotype"/>
        </w:rPr>
        <w:t xml:space="preserve"> derecho.</w:t>
      </w:r>
    </w:p>
    <w:p w14:paraId="5EDBAADC"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se afirma así en virtud de que en el expediente electrónico de la solicitud no obra registro del turno de la solicitud a los servidores públicos habilitados de las demás áreas que pudieran ser competent</w:t>
      </w:r>
      <w:r>
        <w:rPr>
          <w:rFonts w:ascii="Palatino Linotype" w:eastAsia="Palatino Linotype" w:hAnsi="Palatino Linotype" w:cs="Palatino Linotype"/>
        </w:rPr>
        <w:t>es para generar, administrar y/o poseer la información que es del interés de la persona solicitante, esto es, la Dirección de Administración, reiterando que los servidores públicos habilitados son las personas designadas en cada unidad administrativa de lo</w:t>
      </w:r>
      <w:r>
        <w:rPr>
          <w:rFonts w:ascii="Palatino Linotype" w:eastAsia="Palatino Linotype" w:hAnsi="Palatino Linotype" w:cs="Palatino Linotype"/>
        </w:rPr>
        <w:t>s Sujetos Obligados responsables de gestionar las solicitudes de información o de datos personales, para efectos de la búsqueda de la información en los archivos de las áreas a su cargo y la entrega de la información localizada a las Unidades de Transparen</w:t>
      </w:r>
      <w:r>
        <w:rPr>
          <w:rFonts w:ascii="Palatino Linotype" w:eastAsia="Palatino Linotype" w:hAnsi="Palatino Linotype" w:cs="Palatino Linotype"/>
        </w:rPr>
        <w:t>cia atendiendo a la naturaleza de la misma.</w:t>
      </w:r>
    </w:p>
    <w:p w14:paraId="2C3696C2"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No obsta mencionar que si bien la Tesorería Municipal es responsable de realizar el pago de la nómina del personal al servicio del ayuntamiento, dicha atribución se realiza tomando en consideración la información</w:t>
      </w:r>
      <w:r>
        <w:rPr>
          <w:rFonts w:ascii="Palatino Linotype" w:eastAsia="Palatino Linotype" w:hAnsi="Palatino Linotype" w:cs="Palatino Linotype"/>
        </w:rPr>
        <w:t xml:space="preserve"> enviada por el Departamento de Recursos Humanos, adscrito a la Dirección de Administración, de conformidad con los artículos 2.67, fracción XVI del Libro Segundo de las Atribuciones de las Dependencias de la Administración Pública Municipal y 3.115, fracc</w:t>
      </w:r>
      <w:r>
        <w:rPr>
          <w:rFonts w:ascii="Palatino Linotype" w:eastAsia="Palatino Linotype" w:hAnsi="Palatino Linotype" w:cs="Palatino Linotype"/>
        </w:rPr>
        <w:t>ión III del Libro Tercero de las Funciones de las Dependencias de la Administración Pública Municipal, a saber:</w:t>
      </w:r>
    </w:p>
    <w:p w14:paraId="45426C57"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2.72.-</w:t>
      </w:r>
      <w:r>
        <w:rPr>
          <w:rFonts w:ascii="Palatino Linotype" w:eastAsia="Palatino Linotype" w:hAnsi="Palatino Linotype" w:cs="Palatino Linotype"/>
          <w:i/>
          <w:sz w:val="22"/>
          <w:szCs w:val="22"/>
        </w:rPr>
        <w:t xml:space="preserve"> La o el titular de la Dirección de Administración, además de las atribuciones que le confiere la Ley Orgánica Municipal, tendrá</w:t>
      </w:r>
      <w:r>
        <w:rPr>
          <w:rFonts w:ascii="Palatino Linotype" w:eastAsia="Palatino Linotype" w:hAnsi="Palatino Linotype" w:cs="Palatino Linotype"/>
          <w:i/>
          <w:sz w:val="22"/>
          <w:szCs w:val="22"/>
        </w:rPr>
        <w:t xml:space="preserve"> el ejercicio de las atribuciones y obligaciones siguientes:</w:t>
      </w:r>
    </w:p>
    <w:p w14:paraId="2043139C"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853FE85"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XXVIII</w:t>
      </w:r>
      <w:r>
        <w:rPr>
          <w:rFonts w:ascii="Palatino Linotype" w:eastAsia="Palatino Linotype" w:hAnsi="Palatino Linotype" w:cs="Palatino Linotype"/>
          <w:i/>
          <w:sz w:val="22"/>
          <w:szCs w:val="22"/>
        </w:rPr>
        <w:t>. Establecer los medios, sistemas o instrumentos de registro y control de la asistencia y de pago de nómina, de las y los Servidores Públicos Municipales;”</w:t>
      </w:r>
    </w:p>
    <w:p w14:paraId="59580CA8"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3.115</w:t>
      </w:r>
      <w:r>
        <w:rPr>
          <w:rFonts w:ascii="Palatino Linotype" w:eastAsia="Palatino Linotype" w:hAnsi="Palatino Linotype" w:cs="Palatino Linotype"/>
          <w:i/>
          <w:sz w:val="22"/>
          <w:szCs w:val="22"/>
        </w:rPr>
        <w:t>.- La (el) Titul</w:t>
      </w:r>
      <w:r>
        <w:rPr>
          <w:rFonts w:ascii="Palatino Linotype" w:eastAsia="Palatino Linotype" w:hAnsi="Palatino Linotype" w:cs="Palatino Linotype"/>
          <w:i/>
          <w:sz w:val="22"/>
          <w:szCs w:val="22"/>
        </w:rPr>
        <w:t>ar del Departamento de Recursos Humanos, ejercerá las funciones siguientes:</w:t>
      </w:r>
    </w:p>
    <w:p w14:paraId="21EA68CB"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8C2EC78"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Elaborar y remitir los reportes a la tesorería municipal para la dispersión de la nómina</w:t>
      </w:r>
      <w:r>
        <w:rPr>
          <w:rFonts w:ascii="Palatino Linotype" w:eastAsia="Palatino Linotype" w:hAnsi="Palatino Linotype" w:cs="Palatino Linotype"/>
          <w:i/>
          <w:sz w:val="22"/>
          <w:szCs w:val="22"/>
        </w:rPr>
        <w:t xml:space="preserve"> de </w:t>
      </w:r>
      <w:r>
        <w:rPr>
          <w:rFonts w:ascii="Palatino Linotype" w:eastAsia="Palatino Linotype" w:hAnsi="Palatino Linotype" w:cs="Palatino Linotype"/>
          <w:b/>
          <w:i/>
          <w:sz w:val="22"/>
          <w:szCs w:val="22"/>
        </w:rPr>
        <w:t>la administración pública centralizada y órgano desconcentrado</w:t>
      </w:r>
      <w:r>
        <w:rPr>
          <w:rFonts w:ascii="Palatino Linotype" w:eastAsia="Palatino Linotype" w:hAnsi="Palatino Linotype" w:cs="Palatino Linotype"/>
          <w:i/>
          <w:sz w:val="22"/>
          <w:szCs w:val="22"/>
        </w:rPr>
        <w:t>, así como, las die</w:t>
      </w:r>
      <w:r>
        <w:rPr>
          <w:rFonts w:ascii="Palatino Linotype" w:eastAsia="Palatino Linotype" w:hAnsi="Palatino Linotype" w:cs="Palatino Linotype"/>
          <w:i/>
          <w:sz w:val="22"/>
          <w:szCs w:val="22"/>
        </w:rPr>
        <w:t>tas que señala la ley y en los términos de la legislación aplicable;</w:t>
      </w:r>
    </w:p>
    <w:p w14:paraId="28F67E54"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Corolario a lo anterior, es evidente que la respuesta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es insuficiente para tener por satisfecho el Derecho Humano de acceso a la Información al no haberse agotado el p</w:t>
      </w:r>
      <w:r>
        <w:rPr>
          <w:rFonts w:ascii="Palatino Linotype" w:eastAsia="Palatino Linotype" w:hAnsi="Palatino Linotype" w:cs="Palatino Linotype"/>
        </w:rPr>
        <w:t xml:space="preserve">rocedimiento de búsqueda en todas las áreas competentes para conocer de la información, por tanto, es dable ordenar la búsqueda exhaustiva </w:t>
      </w:r>
      <w:r>
        <w:rPr>
          <w:rFonts w:ascii="Palatino Linotype" w:eastAsia="Palatino Linotype" w:hAnsi="Palatino Linotype" w:cs="Palatino Linotype"/>
        </w:rPr>
        <w:lastRenderedPageBreak/>
        <w:t>y razonable de la información y se haga entrega del soporte documental donde conste lo solicitado.</w:t>
      </w:r>
    </w:p>
    <w:p w14:paraId="135921FA" w14:textId="77777777" w:rsidR="00573E3C" w:rsidRDefault="00684DBC">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Para efectos de lo</w:t>
      </w:r>
      <w:r>
        <w:rPr>
          <w:rFonts w:ascii="Palatino Linotype" w:eastAsia="Palatino Linotype" w:hAnsi="Palatino Linotype" w:cs="Palatino Linotype"/>
        </w:rPr>
        <w:t xml:space="preserve"> anterior, es oportuno hacer las siguientes precisiones:</w:t>
      </w:r>
    </w:p>
    <w:p w14:paraId="5D7935E8"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al </w:t>
      </w:r>
      <w:r>
        <w:rPr>
          <w:rFonts w:ascii="Palatino Linotype" w:eastAsia="Palatino Linotype" w:hAnsi="Palatino Linotype" w:cs="Palatino Linotype"/>
          <w:b/>
        </w:rPr>
        <w:t>punto 1</w:t>
      </w:r>
      <w:r>
        <w:rPr>
          <w:rFonts w:ascii="Palatino Linotype" w:eastAsia="Palatino Linotype" w:hAnsi="Palatino Linotype" w:cs="Palatino Linotype"/>
        </w:rPr>
        <w:t xml:space="preserve"> de la solicitud por medio del cual se requiere, del visor de nómina por sueldos y salarios, y asimilados a salarios, la diferencia a cargo o a favor, o en contra; y el ISR retenid</w:t>
      </w:r>
      <w:r>
        <w:rPr>
          <w:rFonts w:ascii="Palatino Linotype" w:eastAsia="Palatino Linotype" w:hAnsi="Palatino Linotype" w:cs="Palatino Linotype"/>
        </w:rPr>
        <w:t>o, correspondiente al monto histórico recuperado por conducto de la Secretaria de Finanzas del Estado, de enero de dos mil veinte a agosto de dos mil veinticuatro, es preciso referir, en primer lugar, que las personas físicas y morales están obligadas al p</w:t>
      </w:r>
      <w:r>
        <w:rPr>
          <w:rFonts w:ascii="Palatino Linotype" w:eastAsia="Palatino Linotype" w:hAnsi="Palatino Linotype" w:cs="Palatino Linotype"/>
        </w:rPr>
        <w:t>ago del Impuesto Sobre la Renta respecto de todos sus ingresos, en los términos establecidos en el artículo 1 de la Ley del Impuesto Sobre la Renta.</w:t>
      </w:r>
    </w:p>
    <w:p w14:paraId="0E15E711"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de las personas físicas, se consideran ingresos por la prestación de un servicio personal subord</w:t>
      </w:r>
      <w:r>
        <w:rPr>
          <w:rFonts w:ascii="Palatino Linotype" w:eastAsia="Palatino Linotype" w:hAnsi="Palatino Linotype" w:cs="Palatino Linotype"/>
        </w:rPr>
        <w:t xml:space="preserve">inado, los salarios y demás prestaciones que deriven de una relación laboral, incluyendo la participación de los trabajadores en las utilidades de las empresas y las prestaciones percibidas como consecuencia de la terminación de la relación laboral, </w:t>
      </w:r>
      <w:r>
        <w:rPr>
          <w:rFonts w:ascii="Palatino Linotype" w:eastAsia="Palatino Linotype" w:hAnsi="Palatino Linotype" w:cs="Palatino Linotype"/>
          <w:b/>
          <w:u w:val="single"/>
        </w:rPr>
        <w:t>encont</w:t>
      </w:r>
      <w:r>
        <w:rPr>
          <w:rFonts w:ascii="Palatino Linotype" w:eastAsia="Palatino Linotype" w:hAnsi="Palatino Linotype" w:cs="Palatino Linotype"/>
          <w:b/>
          <w:u w:val="single"/>
        </w:rPr>
        <w:t xml:space="preserve">rándose obligadas las personas físicas o morales que hagan pagos por dichos conceptos, a efectuar las retenciones y enteros mensuales, </w:t>
      </w:r>
      <w:r>
        <w:rPr>
          <w:rFonts w:ascii="Palatino Linotype" w:eastAsia="Palatino Linotype" w:hAnsi="Palatino Linotype" w:cs="Palatino Linotype"/>
        </w:rPr>
        <w:t>que tendrán el carácter de pagos provisionales a cuenta del impuesto anual;</w:t>
      </w:r>
      <w:r>
        <w:rPr>
          <w:rFonts w:ascii="Palatino Linotype" w:eastAsia="Palatino Linotype" w:hAnsi="Palatino Linotype" w:cs="Palatino Linotype"/>
          <w:b/>
        </w:rPr>
        <w:t xml:space="preserve"> </w:t>
      </w:r>
      <w:r>
        <w:rPr>
          <w:rFonts w:ascii="Palatino Linotype" w:eastAsia="Palatino Linotype" w:hAnsi="Palatino Linotype" w:cs="Palatino Linotype"/>
          <w:b/>
          <w:u w:val="single"/>
        </w:rPr>
        <w:t>expedir y entregar comprobantes fiscales resp</w:t>
      </w:r>
      <w:r>
        <w:rPr>
          <w:rFonts w:ascii="Palatino Linotype" w:eastAsia="Palatino Linotype" w:hAnsi="Palatino Linotype" w:cs="Palatino Linotype"/>
          <w:b/>
          <w:u w:val="single"/>
        </w:rPr>
        <w:t>ectivos</w:t>
      </w:r>
      <w:r>
        <w:rPr>
          <w:rFonts w:ascii="Palatino Linotype" w:eastAsia="Palatino Linotype" w:hAnsi="Palatino Linotype" w:cs="Palatino Linotype"/>
        </w:rPr>
        <w:t xml:space="preserve">, así como </w:t>
      </w:r>
      <w:r>
        <w:rPr>
          <w:rFonts w:ascii="Palatino Linotype" w:eastAsia="Palatino Linotype" w:hAnsi="Palatino Linotype" w:cs="Palatino Linotype"/>
          <w:b/>
          <w:u w:val="single"/>
        </w:rPr>
        <w:t>calcular el impuesto anual de cada persona que le hubiere prestado servicios personales subordinados</w:t>
      </w:r>
      <w:r>
        <w:rPr>
          <w:rFonts w:ascii="Palatino Linotype" w:eastAsia="Palatino Linotype" w:hAnsi="Palatino Linotype" w:cs="Palatino Linotype"/>
        </w:rPr>
        <w:t xml:space="preserve">, de conformidad con los artículos 94, fracciones I y IV, 96 párrafo primero, 97 párrafo primero y 99, fracciones I y III del Capítulo I De los ingresos por salarios y en general </w:t>
      </w:r>
      <w:r>
        <w:rPr>
          <w:rFonts w:ascii="Palatino Linotype" w:eastAsia="Palatino Linotype" w:hAnsi="Palatino Linotype" w:cs="Palatino Linotype"/>
        </w:rPr>
        <w:lastRenderedPageBreak/>
        <w:t>por la prestación de un servicio personal subordinado, del Título IV De las p</w:t>
      </w:r>
      <w:r>
        <w:rPr>
          <w:rFonts w:ascii="Palatino Linotype" w:eastAsia="Palatino Linotype" w:hAnsi="Palatino Linotype" w:cs="Palatino Linotype"/>
        </w:rPr>
        <w:t>ersonas  físicas, de la Ley del Impuesto Sobre la Renta, a saber:</w:t>
      </w:r>
    </w:p>
    <w:p w14:paraId="794E2C39" w14:textId="77777777" w:rsidR="00573E3C" w:rsidRDefault="00684DBC">
      <w:pPr>
        <w:tabs>
          <w:tab w:val="left" w:pos="793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94. </w:t>
      </w:r>
      <w:r>
        <w:rPr>
          <w:rFonts w:ascii="Palatino Linotype" w:eastAsia="Palatino Linotype" w:hAnsi="Palatino Linotype" w:cs="Palatino Linotype"/>
          <w:b/>
          <w:i/>
          <w:sz w:val="22"/>
          <w:szCs w:val="22"/>
          <w:u w:val="single"/>
        </w:rPr>
        <w:t>Se consideran ingresos por la prestación de un servicio personal subordinado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salarios y demás prestaciones que deriven de una relación laboral</w:t>
      </w:r>
      <w:r>
        <w:rPr>
          <w:rFonts w:ascii="Palatino Linotype" w:eastAsia="Palatino Linotype" w:hAnsi="Palatino Linotype" w:cs="Palatino Linotype"/>
          <w:i/>
          <w:sz w:val="22"/>
          <w:szCs w:val="22"/>
        </w:rPr>
        <w:t xml:space="preserve">, incluyendo </w:t>
      </w:r>
      <w:r>
        <w:rPr>
          <w:rFonts w:ascii="Palatino Linotype" w:eastAsia="Palatino Linotype" w:hAnsi="Palatino Linotype" w:cs="Palatino Linotype"/>
          <w:b/>
          <w:i/>
          <w:sz w:val="22"/>
          <w:szCs w:val="22"/>
        </w:rPr>
        <w:t>la participación de los trabajadores en las utilidades de las empresas</w:t>
      </w:r>
      <w:r>
        <w:rPr>
          <w:rFonts w:ascii="Palatino Linotype" w:eastAsia="Palatino Linotype" w:hAnsi="Palatino Linotype" w:cs="Palatino Linotype"/>
          <w:i/>
          <w:sz w:val="22"/>
          <w:szCs w:val="22"/>
        </w:rPr>
        <w:t xml:space="preserve"> y </w:t>
      </w:r>
      <w:r>
        <w:rPr>
          <w:rFonts w:ascii="Palatino Linotype" w:eastAsia="Palatino Linotype" w:hAnsi="Palatino Linotype" w:cs="Palatino Linotype"/>
          <w:b/>
          <w:i/>
          <w:sz w:val="22"/>
          <w:szCs w:val="22"/>
        </w:rPr>
        <w:t>las prestaciones percibidas como consecuencia de la terminación de la relación laboral</w:t>
      </w:r>
      <w:r>
        <w:rPr>
          <w:rFonts w:ascii="Palatino Linotype" w:eastAsia="Palatino Linotype" w:hAnsi="Palatino Linotype" w:cs="Palatino Linotype"/>
          <w:i/>
          <w:sz w:val="22"/>
          <w:szCs w:val="22"/>
        </w:rPr>
        <w:t>. Para los efec</w:t>
      </w:r>
      <w:r>
        <w:rPr>
          <w:rFonts w:ascii="Palatino Linotype" w:eastAsia="Palatino Linotype" w:hAnsi="Palatino Linotype" w:cs="Palatino Linotype"/>
          <w:i/>
          <w:sz w:val="22"/>
          <w:szCs w:val="22"/>
        </w:rPr>
        <w:t xml:space="preserve">tos de este impuesto, </w:t>
      </w:r>
      <w:r>
        <w:rPr>
          <w:rFonts w:ascii="Palatino Linotype" w:eastAsia="Palatino Linotype" w:hAnsi="Palatino Linotype" w:cs="Palatino Linotype"/>
          <w:b/>
          <w:i/>
          <w:sz w:val="22"/>
          <w:szCs w:val="22"/>
        </w:rPr>
        <w:t xml:space="preserve">se asimilan a estos ingresos </w:t>
      </w:r>
      <w:r>
        <w:rPr>
          <w:rFonts w:ascii="Palatino Linotype" w:eastAsia="Palatino Linotype" w:hAnsi="Palatino Linotype" w:cs="Palatino Linotype"/>
          <w:i/>
          <w:sz w:val="22"/>
          <w:szCs w:val="22"/>
        </w:rPr>
        <w:t>los siguientes:</w:t>
      </w:r>
    </w:p>
    <w:p w14:paraId="470377A0" w14:textId="77777777" w:rsidR="00573E3C" w:rsidRDefault="00684DBC">
      <w:pPr>
        <w:tabs>
          <w:tab w:val="left" w:pos="7938"/>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Las remuneraciones y demás prestaciones, obtenidas por los funcionarios y trabajadores de</w:t>
      </w:r>
      <w:r>
        <w:rPr>
          <w:rFonts w:ascii="Palatino Linotype" w:eastAsia="Palatino Linotype" w:hAnsi="Palatino Linotype" w:cs="Palatino Linotype"/>
          <w:i/>
          <w:sz w:val="22"/>
          <w:szCs w:val="22"/>
        </w:rPr>
        <w:t xml:space="preserve"> la Federación, de las entidades federativas y de </w:t>
      </w:r>
      <w:r>
        <w:rPr>
          <w:rFonts w:ascii="Palatino Linotype" w:eastAsia="Palatino Linotype" w:hAnsi="Palatino Linotype" w:cs="Palatino Linotype"/>
          <w:b/>
          <w:i/>
          <w:sz w:val="22"/>
          <w:szCs w:val="22"/>
        </w:rPr>
        <w:t>los municipios</w:t>
      </w:r>
      <w:r>
        <w:rPr>
          <w:rFonts w:ascii="Palatino Linotype" w:eastAsia="Palatino Linotype" w:hAnsi="Palatino Linotype" w:cs="Palatino Linotype"/>
          <w:i/>
          <w:sz w:val="22"/>
          <w:szCs w:val="22"/>
        </w:rPr>
        <w:t>, aun cuando sean por concepto de</w:t>
      </w:r>
      <w:r>
        <w:rPr>
          <w:rFonts w:ascii="Palatino Linotype" w:eastAsia="Palatino Linotype" w:hAnsi="Palatino Linotype" w:cs="Palatino Linotype"/>
          <w:i/>
          <w:sz w:val="22"/>
          <w:szCs w:val="22"/>
        </w:rPr>
        <w:t xml:space="preserve"> gastos no sujetos a comprobación, así como los obtenidos por los miembros de las fuerzas armadas.</w:t>
      </w:r>
    </w:p>
    <w:p w14:paraId="6B1104C5" w14:textId="77777777" w:rsidR="00573E3C" w:rsidRDefault="00684DBC">
      <w:pPr>
        <w:tabs>
          <w:tab w:val="left" w:pos="7938"/>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6F0FCFF" w14:textId="77777777" w:rsidR="00573E3C" w:rsidRDefault="00684DBC">
      <w:pPr>
        <w:tabs>
          <w:tab w:val="left" w:pos="7938"/>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honorarios a personas que presten servicios preponderantemente a un prestatario</w:t>
      </w:r>
      <w:r>
        <w:rPr>
          <w:rFonts w:ascii="Palatino Linotype" w:eastAsia="Palatino Linotype" w:hAnsi="Palatino Linotype" w:cs="Palatino Linotype"/>
          <w:i/>
          <w:sz w:val="22"/>
          <w:szCs w:val="22"/>
        </w:rPr>
        <w:t xml:space="preserve">, siempre que los mismos se lleven a cabo </w:t>
      </w:r>
      <w:r>
        <w:rPr>
          <w:rFonts w:ascii="Palatino Linotype" w:eastAsia="Palatino Linotype" w:hAnsi="Palatino Linotype" w:cs="Palatino Linotype"/>
          <w:b/>
          <w:i/>
          <w:sz w:val="22"/>
          <w:szCs w:val="22"/>
        </w:rPr>
        <w:t xml:space="preserve">en las instalaciones de </w:t>
      </w:r>
      <w:r>
        <w:rPr>
          <w:rFonts w:ascii="Palatino Linotype" w:eastAsia="Palatino Linotype" w:hAnsi="Palatino Linotype" w:cs="Palatino Linotype"/>
          <w:b/>
          <w:i/>
          <w:sz w:val="22"/>
          <w:szCs w:val="22"/>
        </w:rPr>
        <w:t>este último</w:t>
      </w:r>
      <w:r>
        <w:t>.</w:t>
      </w:r>
    </w:p>
    <w:p w14:paraId="662666D3" w14:textId="77777777" w:rsidR="00573E3C" w:rsidRDefault="00684DBC">
      <w:pPr>
        <w:tabs>
          <w:tab w:val="left" w:pos="793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96. </w:t>
      </w:r>
      <w:r>
        <w:rPr>
          <w:rFonts w:ascii="Palatino Linotype" w:eastAsia="Palatino Linotype" w:hAnsi="Palatino Linotype" w:cs="Palatino Linotype"/>
          <w:b/>
          <w:i/>
          <w:sz w:val="22"/>
          <w:szCs w:val="22"/>
          <w:u w:val="single"/>
        </w:rPr>
        <w:t>Quienes hagan pagos por los conceptos a que se refiere este Capítulo están obligados a efectuar retenciones y enteros mensuales</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i/>
          <w:sz w:val="22"/>
          <w:szCs w:val="22"/>
        </w:rPr>
        <w:t xml:space="preserve">que tendrán el carácter de pagos provisionales a cuenta del impuesto anual. No se efectuará retención </w:t>
      </w:r>
      <w:r>
        <w:rPr>
          <w:rFonts w:ascii="Palatino Linotype" w:eastAsia="Palatino Linotype" w:hAnsi="Palatino Linotype" w:cs="Palatino Linotype"/>
          <w:i/>
          <w:sz w:val="22"/>
          <w:szCs w:val="22"/>
        </w:rPr>
        <w:t>a las personas que en el mes únicamente perciban un salario mínimo general correspondiente al área geográfica del contribuyente.</w:t>
      </w:r>
    </w:p>
    <w:p w14:paraId="6A43A296" w14:textId="77777777" w:rsidR="00573E3C" w:rsidRDefault="00684DBC">
      <w:pPr>
        <w:tabs>
          <w:tab w:val="left" w:pos="7938"/>
        </w:tabs>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3FC150F3" w14:textId="77777777" w:rsidR="00573E3C" w:rsidRDefault="00684DBC">
      <w:pPr>
        <w:tabs>
          <w:tab w:val="left" w:pos="793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Las personas obligadas a efectuar retenciones en los términos del artículo 96 de esta Ley, calcularán el impuest</w:t>
      </w:r>
      <w:r>
        <w:rPr>
          <w:rFonts w:ascii="Palatino Linotype" w:eastAsia="Palatino Linotype" w:hAnsi="Palatino Linotype" w:cs="Palatino Linotype"/>
          <w:i/>
          <w:sz w:val="22"/>
          <w:szCs w:val="22"/>
        </w:rPr>
        <w:t>o anual de cada persona que le hubiere prestado servicios personales subordinados.</w:t>
      </w:r>
    </w:p>
    <w:p w14:paraId="764B48CD" w14:textId="77777777" w:rsidR="00573E3C" w:rsidRDefault="00684DBC">
      <w:pPr>
        <w:tabs>
          <w:tab w:val="left" w:pos="7938"/>
        </w:tabs>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4134C819" w14:textId="77777777" w:rsidR="00573E3C" w:rsidRDefault="00684DBC">
      <w:pPr>
        <w:tabs>
          <w:tab w:val="left" w:pos="7938"/>
        </w:tabs>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99.</w:t>
      </w:r>
      <w:r>
        <w:rPr>
          <w:rFonts w:ascii="Palatino Linotype" w:eastAsia="Palatino Linotype" w:hAnsi="Palatino Linotype" w:cs="Palatino Linotype"/>
          <w:i/>
          <w:sz w:val="22"/>
          <w:szCs w:val="22"/>
        </w:rPr>
        <w:t xml:space="preserve"> Quienes hagan pagos por los conceptos a que se refiere este Capítulo, tendrán las siguientes obligaciones: </w:t>
      </w:r>
    </w:p>
    <w:p w14:paraId="20ED4904" w14:textId="77777777" w:rsidR="00573E3C" w:rsidRDefault="00684DBC">
      <w:pPr>
        <w:tabs>
          <w:tab w:val="left" w:pos="7938"/>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Efectuar las retenciones </w:t>
      </w:r>
      <w:r>
        <w:rPr>
          <w:rFonts w:ascii="Palatino Linotype" w:eastAsia="Palatino Linotype" w:hAnsi="Palatino Linotype" w:cs="Palatino Linotype"/>
          <w:i/>
          <w:sz w:val="22"/>
          <w:szCs w:val="22"/>
        </w:rPr>
        <w:t>señaladas en el artícu</w:t>
      </w:r>
      <w:r>
        <w:rPr>
          <w:rFonts w:ascii="Palatino Linotype" w:eastAsia="Palatino Linotype" w:hAnsi="Palatino Linotype" w:cs="Palatino Linotype"/>
          <w:i/>
          <w:sz w:val="22"/>
          <w:szCs w:val="22"/>
        </w:rPr>
        <w:t>lo 96 de esta Ley.</w:t>
      </w:r>
    </w:p>
    <w:p w14:paraId="4A16E170" w14:textId="77777777" w:rsidR="00573E3C" w:rsidRDefault="00684DBC">
      <w:pPr>
        <w:tabs>
          <w:tab w:val="left" w:pos="7938"/>
        </w:tabs>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AD36E5C" w14:textId="77777777" w:rsidR="00573E3C" w:rsidRDefault="00684DBC">
      <w:pPr>
        <w:tabs>
          <w:tab w:val="left" w:pos="7938"/>
        </w:tabs>
        <w:spacing w:before="120" w:after="120"/>
        <w:ind w:left="1134" w:right="902"/>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Expedir y entregar comprobantes fiscales</w:t>
      </w:r>
      <w:r>
        <w:rPr>
          <w:rFonts w:ascii="Palatino Linotype" w:eastAsia="Palatino Linotype" w:hAnsi="Palatino Linotype" w:cs="Palatino Linotype"/>
          <w:i/>
          <w:sz w:val="22"/>
          <w:szCs w:val="22"/>
        </w:rPr>
        <w:t xml:space="preserve"> a las personas que reciban pagos por los conceptos a que se refiere este Capítulo, </w:t>
      </w:r>
      <w:r>
        <w:rPr>
          <w:rFonts w:ascii="Palatino Linotype" w:eastAsia="Palatino Linotype" w:hAnsi="Palatino Linotype" w:cs="Palatino Linotype"/>
          <w:b/>
          <w:i/>
          <w:sz w:val="22"/>
          <w:szCs w:val="22"/>
        </w:rPr>
        <w:t xml:space="preserve">en la fecha en que se </w:t>
      </w:r>
      <w:r>
        <w:rPr>
          <w:rFonts w:ascii="Palatino Linotype" w:eastAsia="Palatino Linotype" w:hAnsi="Palatino Linotype" w:cs="Palatino Linotype"/>
          <w:b/>
          <w:i/>
          <w:sz w:val="22"/>
          <w:szCs w:val="22"/>
        </w:rPr>
        <w:lastRenderedPageBreak/>
        <w:t>realice la erogación correspondiente</w:t>
      </w:r>
      <w:r>
        <w:rPr>
          <w:rFonts w:ascii="Palatino Linotype" w:eastAsia="Palatino Linotype" w:hAnsi="Palatino Linotype" w:cs="Palatino Linotype"/>
          <w:i/>
          <w:sz w:val="22"/>
          <w:szCs w:val="22"/>
        </w:rPr>
        <w:t>, los cuales podrán utilizarse como constancia o recibo de pago para efectos de la legislación laboral a que se refieren los artículos 132 fracciones VII y VIII, y 804, primer párrafo, fracciones II</w:t>
      </w:r>
      <w:r>
        <w:rPr>
          <w:rFonts w:ascii="Palatino Linotype" w:eastAsia="Palatino Linotype" w:hAnsi="Palatino Linotype" w:cs="Palatino Linotype"/>
          <w:i/>
          <w:sz w:val="22"/>
          <w:szCs w:val="22"/>
        </w:rPr>
        <w:t xml:space="preserve"> y IV, de la Ley Federal de Trabajo.”</w:t>
      </w:r>
    </w:p>
    <w:p w14:paraId="4C3DB61C" w14:textId="77777777" w:rsidR="00573E3C" w:rsidRDefault="00684DBC">
      <w:pPr>
        <w:spacing w:before="240" w:after="240" w:line="360" w:lineRule="auto"/>
        <w:jc w:val="both"/>
      </w:pPr>
      <w:r>
        <w:rPr>
          <w:rFonts w:ascii="Palatino Linotype" w:eastAsia="Palatino Linotype" w:hAnsi="Palatino Linotype" w:cs="Palatino Linotype"/>
        </w:rPr>
        <w:t>No obsta mencionar que los pagos, que a su vez sean ingresos en los términos del Capítulo I De los ingresos por salarios y en general por la prestación de un servicio personal subordinado, del Título IV De las personas</w:t>
      </w:r>
      <w:r>
        <w:rPr>
          <w:rFonts w:ascii="Palatino Linotype" w:eastAsia="Palatino Linotype" w:hAnsi="Palatino Linotype" w:cs="Palatino Linotype"/>
        </w:rPr>
        <w:t xml:space="preserve">  físicas, de la Ley del Impuesto Sobre la Renta, se podrán deducir, para lo cual </w:t>
      </w:r>
      <w:r>
        <w:rPr>
          <w:rFonts w:ascii="Palatino Linotype" w:eastAsia="Palatino Linotype" w:hAnsi="Palatino Linotype" w:cs="Palatino Linotype"/>
          <w:b/>
        </w:rPr>
        <w:t xml:space="preserve">las erogaciones por </w:t>
      </w:r>
      <w:r>
        <w:rPr>
          <w:b/>
        </w:rPr>
        <w:t xml:space="preserve">concepto de </w:t>
      </w:r>
      <w:r>
        <w:rPr>
          <w:rFonts w:ascii="Palatino Linotype" w:eastAsia="Palatino Linotype" w:hAnsi="Palatino Linotype" w:cs="Palatino Linotype"/>
          <w:b/>
        </w:rPr>
        <w:t>remuneración, las retenciones correspondientes y las deducciones del impuesto local por salarios y, en general, por la prestación de un servic</w:t>
      </w:r>
      <w:r>
        <w:rPr>
          <w:rFonts w:ascii="Palatino Linotype" w:eastAsia="Palatino Linotype" w:hAnsi="Palatino Linotype" w:cs="Palatino Linotype"/>
          <w:b/>
        </w:rPr>
        <w:t>io personal independiente</w:t>
      </w:r>
      <w:r>
        <w:rPr>
          <w:rFonts w:ascii="Palatino Linotype" w:eastAsia="Palatino Linotype" w:hAnsi="Palatino Linotype" w:cs="Palatino Linotype"/>
        </w:rPr>
        <w:t xml:space="preserve">, </w:t>
      </w:r>
      <w:r>
        <w:rPr>
          <w:rFonts w:ascii="Palatino Linotype" w:eastAsia="Palatino Linotype" w:hAnsi="Palatino Linotype" w:cs="Palatino Linotype"/>
          <w:b/>
          <w:u w:val="single"/>
        </w:rPr>
        <w:t>deben constar en comprobantes fiscales</w:t>
      </w:r>
      <w:r>
        <w:rPr>
          <w:rFonts w:ascii="Palatino Linotype" w:eastAsia="Palatino Linotype" w:hAnsi="Palatino Linotype" w:cs="Palatino Linotype"/>
        </w:rPr>
        <w:t xml:space="preserve"> emitidos en términos del Código Fiscal de la Federación, además del cumplimiento de las obligaciones y disposiciones que la Ley del Impuesto Sobre la Renta establezcan al respecto, como se d</w:t>
      </w:r>
      <w:r>
        <w:rPr>
          <w:rFonts w:ascii="Palatino Linotype" w:eastAsia="Palatino Linotype" w:hAnsi="Palatino Linotype" w:cs="Palatino Linotype"/>
        </w:rPr>
        <w:t>esprende el artículo 27, fracción V, de la referida Ley, que en su parte conducente señala lo siguiente:</w:t>
      </w:r>
    </w:p>
    <w:p w14:paraId="76801F38"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27</w:t>
      </w:r>
      <w:r>
        <w:rPr>
          <w:rFonts w:ascii="Palatino Linotype" w:eastAsia="Palatino Linotype" w:hAnsi="Palatino Linotype" w:cs="Palatino Linotype"/>
          <w:i/>
          <w:sz w:val="22"/>
          <w:szCs w:val="22"/>
        </w:rPr>
        <w:t>. Las deducciones autorizadas en este Título deberán reunir los siguientes requisitos:</w:t>
      </w:r>
    </w:p>
    <w:p w14:paraId="2C3A9963"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F1B301F" w14:textId="77777777" w:rsidR="00573E3C" w:rsidRDefault="00684DBC">
      <w:pP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w:t>
      </w:r>
    </w:p>
    <w:p w14:paraId="31120834"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pagos que a la vez sean ingresos en los tér</w:t>
      </w:r>
      <w:r>
        <w:rPr>
          <w:rFonts w:ascii="Palatino Linotype" w:eastAsia="Palatino Linotype" w:hAnsi="Palatino Linotype" w:cs="Palatino Linotype"/>
          <w:i/>
          <w:sz w:val="22"/>
          <w:szCs w:val="22"/>
        </w:rPr>
        <w:t xml:space="preserve">minos del Capítulo I del Título IV, de esta Ley, </w:t>
      </w:r>
      <w:r>
        <w:rPr>
          <w:rFonts w:ascii="Palatino Linotype" w:eastAsia="Palatino Linotype" w:hAnsi="Palatino Linotype" w:cs="Palatino Linotype"/>
          <w:b/>
          <w:i/>
          <w:sz w:val="22"/>
          <w:szCs w:val="22"/>
        </w:rPr>
        <w:t xml:space="preserve">se podrán deducir siempre que las erogaciones por concepto de remuneración, las retenciones correspondientes y las deducciones del impuesto local por salarios y, en general, por la prestación de un servicio </w:t>
      </w:r>
      <w:r>
        <w:rPr>
          <w:rFonts w:ascii="Palatino Linotype" w:eastAsia="Palatino Linotype" w:hAnsi="Palatino Linotype" w:cs="Palatino Linotype"/>
          <w:b/>
          <w:i/>
          <w:sz w:val="22"/>
          <w:szCs w:val="22"/>
        </w:rPr>
        <w:t xml:space="preserve">personal independiente, </w:t>
      </w:r>
      <w:r>
        <w:rPr>
          <w:rFonts w:ascii="Palatino Linotype" w:eastAsia="Palatino Linotype" w:hAnsi="Palatino Linotype" w:cs="Palatino Linotype"/>
          <w:b/>
          <w:i/>
          <w:sz w:val="22"/>
          <w:szCs w:val="22"/>
          <w:u w:val="single"/>
        </w:rPr>
        <w:t>consten en comprobantes fiscales emitidos en términos del Código Fiscal de la Federación</w:t>
      </w:r>
      <w:r>
        <w:rPr>
          <w:rFonts w:ascii="Palatino Linotype" w:eastAsia="Palatino Linotype" w:hAnsi="Palatino Linotype" w:cs="Palatino Linotype"/>
          <w:i/>
          <w:sz w:val="22"/>
          <w:szCs w:val="22"/>
        </w:rPr>
        <w:t xml:space="preserve"> y se cumpla con las obligaciones a que se refiere el artículo 99, fracciones I, II, III y V de la presente Ley, así como las disposiciones que,</w:t>
      </w:r>
      <w:r>
        <w:rPr>
          <w:rFonts w:ascii="Palatino Linotype" w:eastAsia="Palatino Linotype" w:hAnsi="Palatino Linotype" w:cs="Palatino Linotype"/>
          <w:i/>
          <w:sz w:val="22"/>
          <w:szCs w:val="22"/>
        </w:rPr>
        <w:t xml:space="preserve"> en su caso, regulen el subsidio para el empleo y los contribuyentes cumplan con la obligación de inscribir a los trabajadores en el Instituto Mexicano del </w:t>
      </w:r>
      <w:r>
        <w:rPr>
          <w:rFonts w:ascii="Palatino Linotype" w:eastAsia="Palatino Linotype" w:hAnsi="Palatino Linotype" w:cs="Palatino Linotype"/>
          <w:i/>
          <w:sz w:val="22"/>
          <w:szCs w:val="22"/>
        </w:rPr>
        <w:lastRenderedPageBreak/>
        <w:t>Seguro Social cuando estén obligados a ello, en los términos de las leyes de seguridad social. “</w:t>
      </w:r>
    </w:p>
    <w:p w14:paraId="1BD17ECC"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w:t>
      </w:r>
      <w:r>
        <w:rPr>
          <w:rFonts w:ascii="Palatino Linotype" w:eastAsia="Palatino Linotype" w:hAnsi="Palatino Linotype" w:cs="Palatino Linotype"/>
        </w:rPr>
        <w:t xml:space="preserve"> base en lo previo, los municipios, al estar obligados a realizar el pago a los servidores públicos por los servicios prestados, de conformidad con el artículo 71 de la Ley del Trabajo de los Servidores Públicos del Estado de México, están obligados a rete</w:t>
      </w:r>
      <w:r>
        <w:rPr>
          <w:rFonts w:ascii="Palatino Linotype" w:eastAsia="Palatino Linotype" w:hAnsi="Palatino Linotype" w:cs="Palatino Linotype"/>
        </w:rPr>
        <w:t xml:space="preserve">ner el Impuesto Sobre la Renta y enterarlo a más tardar el día 17 del mes inmediato posterior a aquel que corresponda el pago, al Servicio de Administración Tributaria, SAT, al ser la dependencia que se encarga de la recaudación, impuestos y la vigilancia </w:t>
      </w:r>
      <w:r>
        <w:rPr>
          <w:rFonts w:ascii="Palatino Linotype" w:eastAsia="Palatino Linotype" w:hAnsi="Palatino Linotype" w:cs="Palatino Linotype"/>
        </w:rPr>
        <w:t>del cumplimiento de las obligaciones fiscales por parte de los contribuyentes.</w:t>
      </w:r>
    </w:p>
    <w:p w14:paraId="4EFA0BA9"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tales efectos, la entidad retenedora –el municipio-, debe entregar un comprobante fiscal que ampare las respectivas retenciones conforme a lo establecido en los artículos 2</w:t>
      </w:r>
      <w:r>
        <w:rPr>
          <w:rFonts w:ascii="Palatino Linotype" w:eastAsia="Palatino Linotype" w:hAnsi="Palatino Linotype" w:cs="Palatino Linotype"/>
        </w:rPr>
        <w:t>9 párrafo primero y 32-G fracción I del Código Fiscal de la Federación, a saber:</w:t>
      </w:r>
    </w:p>
    <w:p w14:paraId="699E2B08" w14:textId="77777777" w:rsidR="00573E3C" w:rsidRDefault="00684DBC">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Cuando las leyes fiscales </w:t>
      </w:r>
      <w:r>
        <w:rPr>
          <w:rFonts w:ascii="Palatino Linotype" w:eastAsia="Palatino Linotype" w:hAnsi="Palatino Linotype" w:cs="Palatino Linotype"/>
          <w:b/>
          <w:i/>
          <w:sz w:val="22"/>
          <w:szCs w:val="22"/>
          <w:u w:val="single"/>
        </w:rPr>
        <w:t>establezcan la obligación de expedir comprobantes fiscales</w:t>
      </w:r>
      <w:r>
        <w:rPr>
          <w:rFonts w:ascii="Palatino Linotype" w:eastAsia="Palatino Linotype" w:hAnsi="Palatino Linotype" w:cs="Palatino Linotype"/>
          <w:b/>
          <w:i/>
          <w:sz w:val="22"/>
          <w:szCs w:val="22"/>
        </w:rPr>
        <w:t xml:space="preserve"> por los actos o actividades que realicen, por los ingresos que se perciban o por las retenciones de contribuciones que efectúen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l</w:t>
      </w:r>
      <w:r>
        <w:rPr>
          <w:rFonts w:ascii="Palatino Linotype" w:eastAsia="Palatino Linotype" w:hAnsi="Palatino Linotype" w:cs="Palatino Linotype"/>
          <w:b/>
          <w:i/>
          <w:sz w:val="22"/>
          <w:szCs w:val="22"/>
          <w:u w:val="single"/>
        </w:rPr>
        <w:t>os contribuyentes deberán emitirlos mediante documentos digitales a través de la página de Internet del Servicio de Administración Tributaria</w:t>
      </w:r>
      <w:r>
        <w:rPr>
          <w:rFonts w:ascii="Palatino Linotype" w:eastAsia="Palatino Linotype" w:hAnsi="Palatino Linotype" w:cs="Palatino Linotype"/>
          <w:i/>
          <w:sz w:val="22"/>
          <w:szCs w:val="22"/>
        </w:rPr>
        <w:t>. Las personas que adquieran bienes, disfruten de su uso o goce temporal, reciban servicios, realicen pagos parcial</w:t>
      </w:r>
      <w:r>
        <w:rPr>
          <w:rFonts w:ascii="Palatino Linotype" w:eastAsia="Palatino Linotype" w:hAnsi="Palatino Linotype" w:cs="Palatino Linotype"/>
          <w:i/>
          <w:sz w:val="22"/>
          <w:szCs w:val="22"/>
        </w:rPr>
        <w:t xml:space="preserve">es o diferidos que liquidan saldos de comprobantes fiscales digitales por Internet, o </w:t>
      </w:r>
      <w:r>
        <w:rPr>
          <w:rFonts w:ascii="Palatino Linotype" w:eastAsia="Palatino Linotype" w:hAnsi="Palatino Linotype" w:cs="Palatino Linotype"/>
          <w:b/>
          <w:i/>
          <w:sz w:val="22"/>
          <w:szCs w:val="22"/>
        </w:rPr>
        <w:t xml:space="preserve">aquéllas a las que les hubieren retenido contribuciones deberán solicitar el comprobante fiscal digital por Internet respectivo. </w:t>
      </w:r>
      <w:r>
        <w:rPr>
          <w:rFonts w:ascii="Palatino Linotype" w:eastAsia="Palatino Linotype" w:hAnsi="Palatino Linotype" w:cs="Palatino Linotype"/>
          <w:i/>
          <w:sz w:val="22"/>
          <w:szCs w:val="22"/>
        </w:rPr>
        <w:t>Los contribuyentes que exporten mercancía</w:t>
      </w:r>
      <w:r>
        <w:rPr>
          <w:rFonts w:ascii="Palatino Linotype" w:eastAsia="Palatino Linotype" w:hAnsi="Palatino Linotype" w:cs="Palatino Linotype"/>
          <w:i/>
          <w:sz w:val="22"/>
          <w:szCs w:val="22"/>
        </w:rPr>
        <w:t>s que no sean objeto de enajenación o cuya enajenación sea a título gratuito, deberán expedir el comprobante fiscal digital por Internet que ampare la operación.</w:t>
      </w:r>
    </w:p>
    <w:p w14:paraId="73E5CD89" w14:textId="77777777" w:rsidR="00573E3C" w:rsidRDefault="00684DBC">
      <w:pPr>
        <w:ind w:left="851" w:right="567"/>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520AF5BB" w14:textId="77777777" w:rsidR="00573E3C" w:rsidRDefault="00684DBC">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Artículo 32-G.</w:t>
      </w:r>
      <w:r>
        <w:rPr>
          <w:rFonts w:ascii="Palatino Linotype" w:eastAsia="Palatino Linotype" w:hAnsi="Palatino Linotype" w:cs="Palatino Linotype"/>
          <w:i/>
          <w:sz w:val="22"/>
          <w:szCs w:val="22"/>
        </w:rPr>
        <w:t xml:space="preserve"> La Federación, las Entidades Federativas, el Distrito Federal, y sus Organism</w:t>
      </w:r>
      <w:r>
        <w:rPr>
          <w:rFonts w:ascii="Palatino Linotype" w:eastAsia="Palatino Linotype" w:hAnsi="Palatino Linotype" w:cs="Palatino Linotype"/>
          <w:i/>
          <w:sz w:val="22"/>
          <w:szCs w:val="22"/>
        </w:rPr>
        <w:t xml:space="preserve">os Descentralizados, así como </w:t>
      </w:r>
      <w:r>
        <w:rPr>
          <w:rFonts w:ascii="Palatino Linotype" w:eastAsia="Palatino Linotype" w:hAnsi="Palatino Linotype" w:cs="Palatino Linotype"/>
          <w:b/>
          <w:i/>
          <w:sz w:val="22"/>
          <w:szCs w:val="22"/>
        </w:rPr>
        <w:t>los Municipios,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tendrán la </w:t>
      </w:r>
      <w:r>
        <w:rPr>
          <w:rFonts w:ascii="Palatino Linotype" w:eastAsia="Palatino Linotype" w:hAnsi="Palatino Linotype" w:cs="Palatino Linotype"/>
          <w:b/>
          <w:i/>
          <w:sz w:val="22"/>
          <w:szCs w:val="22"/>
          <w:u w:val="single"/>
        </w:rPr>
        <w:t>obligación de presentar ante las autoridades fiscales</w:t>
      </w:r>
      <w:r>
        <w:rPr>
          <w:rFonts w:ascii="Palatino Linotype" w:eastAsia="Palatino Linotype" w:hAnsi="Palatino Linotype" w:cs="Palatino Linotype"/>
          <w:b/>
          <w:i/>
          <w:sz w:val="22"/>
          <w:szCs w:val="22"/>
        </w:rPr>
        <w:t>, a través de los medios y formatos electrónicos que señale el Servicio de Administración, la información relativa a:</w:t>
      </w:r>
    </w:p>
    <w:p w14:paraId="0981F59B"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personas a las que en</w:t>
      </w:r>
      <w:r>
        <w:rPr>
          <w:rFonts w:ascii="Palatino Linotype" w:eastAsia="Palatino Linotype" w:hAnsi="Palatino Linotype" w:cs="Palatino Linotype"/>
          <w:b/>
          <w:i/>
          <w:sz w:val="22"/>
          <w:szCs w:val="22"/>
        </w:rPr>
        <w:t xml:space="preserve"> el mes inmediato anterior </w:t>
      </w:r>
      <w:r>
        <w:rPr>
          <w:rFonts w:ascii="Palatino Linotype" w:eastAsia="Palatino Linotype" w:hAnsi="Palatino Linotype" w:cs="Palatino Linotype"/>
          <w:b/>
          <w:i/>
          <w:sz w:val="22"/>
          <w:szCs w:val="22"/>
          <w:u w:val="single"/>
        </w:rPr>
        <w:t>les hubieren efectuado retenciones de impuesto sobre la renta</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así como de los residentes en el extranjero a los que les hayan efectuado pagos de acuerdo con lo previsto en el Título V de la Ley del Impuesto sobre la Renta.”</w:t>
      </w:r>
    </w:p>
    <w:p w14:paraId="59B7F9A6"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w:t>
      </w:r>
      <w:r>
        <w:rPr>
          <w:rFonts w:ascii="Palatino Linotype" w:eastAsia="Palatino Linotype" w:hAnsi="Palatino Linotype" w:cs="Palatino Linotype"/>
        </w:rPr>
        <w:t>a bien, para efecto de optimizar y agilizar la presentación de la Declaración Anual del Impuesto Sobre la Renta, el Servicio de Administración Tributaria, SAT, desarrollo los Visores de comprobantes de nómina tanto para el patrón como para el trabajador, q</w:t>
      </w:r>
      <w:r>
        <w:rPr>
          <w:rFonts w:ascii="Palatino Linotype" w:eastAsia="Palatino Linotype" w:hAnsi="Palatino Linotype" w:cs="Palatino Linotype"/>
        </w:rPr>
        <w:t xml:space="preserve">ue se constituyes como una herramienta en línea que permite a los trabajadores consultar los ingresos y retenciones por concepto de sueldos, salarios, asimilados a salarios y pagos por separación, manifestados al SAT por el patrón, a través de los </w:t>
      </w:r>
      <w:proofErr w:type="spellStart"/>
      <w:r>
        <w:rPr>
          <w:rFonts w:ascii="Palatino Linotype" w:eastAsia="Palatino Linotype" w:hAnsi="Palatino Linotype" w:cs="Palatino Linotype"/>
        </w:rPr>
        <w:t>CFDIs</w:t>
      </w:r>
      <w:proofErr w:type="spellEnd"/>
      <w:r>
        <w:rPr>
          <w:rFonts w:ascii="Palatino Linotype" w:eastAsia="Palatino Linotype" w:hAnsi="Palatino Linotype" w:cs="Palatino Linotype"/>
        </w:rPr>
        <w:t xml:space="preserve"> de</w:t>
      </w:r>
      <w:r>
        <w:rPr>
          <w:rFonts w:ascii="Palatino Linotype" w:eastAsia="Palatino Linotype" w:hAnsi="Palatino Linotype" w:cs="Palatino Linotype"/>
        </w:rPr>
        <w:t xml:space="preserve"> nómina expedidos; y a los </w:t>
      </w:r>
      <w:r>
        <w:rPr>
          <w:rFonts w:ascii="Palatino Linotype" w:eastAsia="Palatino Linotype" w:hAnsi="Palatino Linotype" w:cs="Palatino Linotype"/>
          <w:i/>
        </w:rPr>
        <w:t>patrones</w:t>
      </w:r>
      <w:r>
        <w:rPr>
          <w:rFonts w:ascii="Palatino Linotype" w:eastAsia="Palatino Linotype" w:hAnsi="Palatino Linotype" w:cs="Palatino Linotype"/>
        </w:rPr>
        <w:t xml:space="preserve">, conocer oportunamente la información que será </w:t>
      </w:r>
      <w:proofErr w:type="spellStart"/>
      <w:r>
        <w:rPr>
          <w:rFonts w:ascii="Palatino Linotype" w:eastAsia="Palatino Linotype" w:hAnsi="Palatino Linotype" w:cs="Palatino Linotype"/>
        </w:rPr>
        <w:t>pre-llenada</w:t>
      </w:r>
      <w:proofErr w:type="spellEnd"/>
      <w:r>
        <w:rPr>
          <w:rFonts w:ascii="Palatino Linotype" w:eastAsia="Palatino Linotype" w:hAnsi="Palatino Linotype" w:cs="Palatino Linotype"/>
        </w:rPr>
        <w:t xml:space="preserve"> en la Declaración Anual para la deducción de nómina, consultar los pagos realizados de los trabajadores de forma acumulada, verificar la información de forma ind</w:t>
      </w:r>
      <w:r>
        <w:rPr>
          <w:rFonts w:ascii="Palatino Linotype" w:eastAsia="Palatino Linotype" w:hAnsi="Palatino Linotype" w:cs="Palatino Linotype"/>
        </w:rPr>
        <w:t xml:space="preserve">ividual de cada uno de los empleados a los que se le haya expedido un </w:t>
      </w:r>
      <w:proofErr w:type="spellStart"/>
      <w:r>
        <w:rPr>
          <w:rFonts w:ascii="Palatino Linotype" w:eastAsia="Palatino Linotype" w:hAnsi="Palatino Linotype" w:cs="Palatino Linotype"/>
        </w:rPr>
        <w:t>CFDIs</w:t>
      </w:r>
      <w:proofErr w:type="spellEnd"/>
      <w:r>
        <w:rPr>
          <w:rFonts w:ascii="Palatino Linotype" w:eastAsia="Palatino Linotype" w:hAnsi="Palatino Linotype" w:cs="Palatino Linotype"/>
        </w:rPr>
        <w:t xml:space="preserve"> de nómina, identificar oportunamente errores en la información timbrada y en su caso corregirla, adicionalmente pueden realizarse conciliaciones del impuesto retenido de todos los </w:t>
      </w:r>
      <w:r>
        <w:rPr>
          <w:rFonts w:ascii="Palatino Linotype" w:eastAsia="Palatino Linotype" w:hAnsi="Palatino Linotype" w:cs="Palatino Linotype"/>
        </w:rPr>
        <w:t>trabajadores asentado en los comprobantes, contra el impuesto enterado en los pagos provisionales por concepto de ISR Retenciones por Sueldos y Salarios y de ISR Retenciones por Asimilados a Salarios, es decir, permite verificar que el ISR retenido o timbr</w:t>
      </w:r>
      <w:r>
        <w:rPr>
          <w:rFonts w:ascii="Palatino Linotype" w:eastAsia="Palatino Linotype" w:hAnsi="Palatino Linotype" w:cs="Palatino Linotype"/>
        </w:rPr>
        <w:t>ado se haya enterado -pagado-.</w:t>
      </w:r>
    </w:p>
    <w:p w14:paraId="01F133F1"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Atento a lo anterior, se colige que </w:t>
      </w:r>
      <w:r>
        <w:rPr>
          <w:rFonts w:ascii="Palatino Linotype" w:eastAsia="Palatino Linotype" w:hAnsi="Palatino Linotype" w:cs="Palatino Linotype"/>
          <w:b/>
          <w:u w:val="single"/>
        </w:rPr>
        <w:t>la información que requiere la persona solicitante</w:t>
      </w:r>
      <w:r>
        <w:rPr>
          <w:rFonts w:ascii="Palatino Linotype" w:eastAsia="Palatino Linotype" w:hAnsi="Palatino Linotype" w:cs="Palatino Linotype"/>
          <w:b/>
        </w:rPr>
        <w:t xml:space="preserve"> en el punto en estudio, </w:t>
      </w:r>
      <w:r>
        <w:rPr>
          <w:rFonts w:ascii="Palatino Linotype" w:eastAsia="Palatino Linotype" w:hAnsi="Palatino Linotype" w:cs="Palatino Linotype"/>
          <w:b/>
          <w:u w:val="single"/>
        </w:rPr>
        <w:t>se obtiene del Visor de comprobantes de nómina para el patrón</w:t>
      </w:r>
      <w:r>
        <w:rPr>
          <w:rFonts w:ascii="Palatino Linotype" w:eastAsia="Palatino Linotype" w:hAnsi="Palatino Linotype" w:cs="Palatino Linotype"/>
        </w:rPr>
        <w:t>, que se localiza en el portal de internet del SAT, concretamente en el apartado de Declaraciones</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y, para acceder a la misma, es necesario autenticarse con el RFC y la contraseña o </w:t>
      </w:r>
      <w:proofErr w:type="spellStart"/>
      <w:proofErr w:type="gramStart"/>
      <w:r>
        <w:rPr>
          <w:rFonts w:ascii="Palatino Linotype" w:eastAsia="Palatino Linotype" w:hAnsi="Palatino Linotype" w:cs="Palatino Linotype"/>
        </w:rPr>
        <w:t>e.firma</w:t>
      </w:r>
      <w:proofErr w:type="spellEnd"/>
      <w:proofErr w:type="gramEnd"/>
      <w:r>
        <w:rPr>
          <w:rFonts w:ascii="Palatino Linotype" w:eastAsia="Palatino Linotype" w:hAnsi="Palatino Linotype" w:cs="Palatino Linotype"/>
        </w:rPr>
        <w:t>, co</w:t>
      </w:r>
      <w:r>
        <w:rPr>
          <w:rFonts w:ascii="Palatino Linotype" w:eastAsia="Palatino Linotype" w:hAnsi="Palatino Linotype" w:cs="Palatino Linotype"/>
        </w:rPr>
        <w:t>mo se ilustra en seguida para mejor referencia:</w:t>
      </w:r>
    </w:p>
    <w:p w14:paraId="1D6267D7" w14:textId="77777777" w:rsidR="00573E3C" w:rsidRDefault="00684DBC">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EFA6F1F" wp14:editId="1885FD0A">
            <wp:extent cx="4140000" cy="3788814"/>
            <wp:effectExtent l="0" t="0" r="0" b="0"/>
            <wp:docPr id="21401318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b="43276"/>
                    <a:stretch>
                      <a:fillRect/>
                    </a:stretch>
                  </pic:blipFill>
                  <pic:spPr>
                    <a:xfrm>
                      <a:off x="0" y="0"/>
                      <a:ext cx="4140000" cy="3788814"/>
                    </a:xfrm>
                    <a:prstGeom prst="rect">
                      <a:avLst/>
                    </a:prstGeom>
                    <a:ln/>
                  </pic:spPr>
                </pic:pic>
              </a:graphicData>
            </a:graphic>
          </wp:inline>
        </w:drawing>
      </w:r>
    </w:p>
    <w:p w14:paraId="63365AED" w14:textId="77777777" w:rsidR="00573E3C" w:rsidRDefault="00684DBC">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7491703" wp14:editId="7A04B8A2">
            <wp:extent cx="4140000" cy="2849859"/>
            <wp:effectExtent l="0" t="0" r="0" b="0"/>
            <wp:docPr id="214013187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t="57333"/>
                    <a:stretch>
                      <a:fillRect/>
                    </a:stretch>
                  </pic:blipFill>
                  <pic:spPr>
                    <a:xfrm>
                      <a:off x="0" y="0"/>
                      <a:ext cx="4140000" cy="2849859"/>
                    </a:xfrm>
                    <a:prstGeom prst="rect">
                      <a:avLst/>
                    </a:prstGeom>
                    <a:ln/>
                  </pic:spPr>
                </pic:pic>
              </a:graphicData>
            </a:graphic>
          </wp:inline>
        </w:drawing>
      </w:r>
    </w:p>
    <w:p w14:paraId="374B334E"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documentos que pueden obtenerse del </w:t>
      </w:r>
      <w:r>
        <w:rPr>
          <w:rFonts w:ascii="Palatino Linotype" w:eastAsia="Palatino Linotype" w:hAnsi="Palatino Linotype" w:cs="Palatino Linotype"/>
          <w:b/>
        </w:rPr>
        <w:t xml:space="preserve">Visor de comprobantes de nómina para el patrón, </w:t>
      </w:r>
      <w:r>
        <w:rPr>
          <w:rFonts w:ascii="Palatino Linotype" w:eastAsia="Palatino Linotype" w:hAnsi="Palatino Linotype" w:cs="Palatino Linotype"/>
        </w:rPr>
        <w:t>son los siguientes</w:t>
      </w:r>
    </w:p>
    <w:p w14:paraId="5AFBFED1" w14:textId="77777777" w:rsidR="00573E3C" w:rsidRDefault="00684DBC">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22C2A4C" wp14:editId="135F5A70">
            <wp:extent cx="4601217" cy="2600688"/>
            <wp:effectExtent l="0" t="0" r="0" b="0"/>
            <wp:docPr id="21401318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3"/>
                    <a:srcRect/>
                    <a:stretch>
                      <a:fillRect/>
                    </a:stretch>
                  </pic:blipFill>
                  <pic:spPr>
                    <a:xfrm>
                      <a:off x="0" y="0"/>
                      <a:ext cx="4601217" cy="2600688"/>
                    </a:xfrm>
                    <a:prstGeom prst="rect">
                      <a:avLst/>
                    </a:prstGeom>
                    <a:ln/>
                  </pic:spPr>
                </pic:pic>
              </a:graphicData>
            </a:graphic>
          </wp:inline>
        </w:drawing>
      </w:r>
    </w:p>
    <w:p w14:paraId="106B7CB5"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Además, cabe señalar que en el Portal referido se localiza la Guía de Usuario del Visor de comp</w:t>
      </w:r>
      <w:r>
        <w:rPr>
          <w:rFonts w:ascii="Palatino Linotype" w:eastAsia="Palatino Linotype" w:hAnsi="Palatino Linotype" w:cs="Palatino Linotype"/>
        </w:rPr>
        <w:t>robantes de nómina del patrón, en la cual se establecen las modalidades de consulta de la información, como se observa a continuación:</w:t>
      </w:r>
    </w:p>
    <w:p w14:paraId="069BEAFF"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C1D3056" wp14:editId="16D42F2F">
            <wp:extent cx="5608955" cy="972185"/>
            <wp:effectExtent l="0" t="0" r="0" b="0"/>
            <wp:docPr id="214013187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5608955" cy="972185"/>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6522CCAD" wp14:editId="0313084E">
                <wp:simplePos x="0" y="0"/>
                <wp:positionH relativeFrom="column">
                  <wp:posOffset>342900</wp:posOffset>
                </wp:positionH>
                <wp:positionV relativeFrom="paragraph">
                  <wp:posOffset>241300</wp:posOffset>
                </wp:positionV>
                <wp:extent cx="198355" cy="616200"/>
                <wp:effectExtent l="0" t="0" r="0" b="0"/>
                <wp:wrapNone/>
                <wp:docPr id="2140131842" name=""/>
                <wp:cNvGraphicFramePr/>
                <a:graphic xmlns:a="http://schemas.openxmlformats.org/drawingml/2006/main">
                  <a:graphicData uri="http://schemas.microsoft.com/office/word/2010/wordprocessingShape">
                    <wps:wsp>
                      <wps:cNvSpPr/>
                      <wps:spPr>
                        <a:xfrm>
                          <a:off x="5284923" y="3510000"/>
                          <a:ext cx="122155" cy="540000"/>
                        </a:xfrm>
                        <a:prstGeom prst="leftBrace">
                          <a:avLst>
                            <a:gd name="adj1" fmla="val 8333"/>
                            <a:gd name="adj2" fmla="val 50000"/>
                          </a:avLst>
                        </a:prstGeom>
                        <a:noFill/>
                        <a:ln w="25400" cap="flat" cmpd="sng">
                          <a:solidFill>
                            <a:srgbClr val="C00000"/>
                          </a:solidFill>
                          <a:prstDash val="solid"/>
                          <a:round/>
                          <a:headEnd type="none" w="sm" len="sm"/>
                          <a:tailEnd type="none" w="sm" len="sm"/>
                        </a:ln>
                      </wps:spPr>
                      <wps:txbx>
                        <w:txbxContent>
                          <w:p w14:paraId="21675420" w14:textId="77777777" w:rsidR="00573E3C" w:rsidRDefault="00573E3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wp:posOffset>
                </wp:positionH>
                <wp:positionV relativeFrom="paragraph">
                  <wp:posOffset>241300</wp:posOffset>
                </wp:positionV>
                <wp:extent cx="198355" cy="616200"/>
                <wp:effectExtent b="0" l="0" r="0" t="0"/>
                <wp:wrapNone/>
                <wp:docPr id="2140131842" name="image34.png"/>
                <a:graphic>
                  <a:graphicData uri="http://schemas.openxmlformats.org/drawingml/2006/picture">
                    <pic:pic>
                      <pic:nvPicPr>
                        <pic:cNvPr id="0" name="image34.png"/>
                        <pic:cNvPicPr preferRelativeResize="0"/>
                      </pic:nvPicPr>
                      <pic:blipFill>
                        <a:blip r:embed="rId25"/>
                        <a:srcRect/>
                        <a:stretch>
                          <a:fillRect/>
                        </a:stretch>
                      </pic:blipFill>
                      <pic:spPr>
                        <a:xfrm>
                          <a:off x="0" y="0"/>
                          <a:ext cx="198355" cy="616200"/>
                        </a:xfrm>
                        <a:prstGeom prst="rect"/>
                        <a:ln/>
                      </pic:spPr>
                    </pic:pic>
                  </a:graphicData>
                </a:graphic>
              </wp:anchor>
            </w:drawing>
          </mc:Fallback>
        </mc:AlternateContent>
      </w:r>
    </w:p>
    <w:p w14:paraId="2692F7CE"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La información a la cual desea acceder la persona solicitante corresponde con la generada a partir de la Consulta G</w:t>
      </w:r>
      <w:r>
        <w:rPr>
          <w:rFonts w:ascii="Palatino Linotype" w:eastAsia="Palatino Linotype" w:hAnsi="Palatino Linotype" w:cs="Palatino Linotype"/>
        </w:rPr>
        <w:t>lobal, misma que permite al retenedor conocer la información global o acumulada que asentó en los comprobantes de todos sus trabajadores, de forma mensual –</w:t>
      </w:r>
      <w:r>
        <w:rPr>
          <w:rFonts w:ascii="Palatino Linotype" w:eastAsia="Palatino Linotype" w:hAnsi="Palatino Linotype" w:cs="Palatino Linotype"/>
          <w:sz w:val="22"/>
          <w:szCs w:val="22"/>
        </w:rPr>
        <w:t xml:space="preserve">de la cual se obtienen los reportes Detalle del “Total por Sueldos y Salarios” y Detalle del “Total </w:t>
      </w:r>
      <w:r>
        <w:rPr>
          <w:rFonts w:ascii="Palatino Linotype" w:eastAsia="Palatino Linotype" w:hAnsi="Palatino Linotype" w:cs="Palatino Linotype"/>
          <w:sz w:val="22"/>
          <w:szCs w:val="22"/>
        </w:rPr>
        <w:t>por Asimilados a Salarios”-</w:t>
      </w:r>
      <w:r>
        <w:rPr>
          <w:rFonts w:ascii="Palatino Linotype" w:eastAsia="Palatino Linotype" w:hAnsi="Palatino Linotype" w:cs="Palatino Linotype"/>
        </w:rPr>
        <w:t>,  y que contempla, además, las modalidades de consulta: “Vista anual acumulada” –</w:t>
      </w:r>
      <w:r>
        <w:rPr>
          <w:rFonts w:ascii="Palatino Linotype" w:eastAsia="Palatino Linotype" w:hAnsi="Palatino Linotype" w:cs="Palatino Linotype"/>
          <w:sz w:val="22"/>
          <w:szCs w:val="22"/>
        </w:rPr>
        <w:t>de la cual se obtiene el documento Vista anual acumulada</w:t>
      </w:r>
      <w:r>
        <w:rPr>
          <w:rFonts w:ascii="Palatino Linotype" w:eastAsia="Palatino Linotype" w:hAnsi="Palatino Linotype" w:cs="Palatino Linotype"/>
        </w:rPr>
        <w:t>-, “Vista anual” y “Vista mensual”.</w:t>
      </w:r>
    </w:p>
    <w:p w14:paraId="6F395208"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 la finalidad de esclarecer el argumento anterior, es oportuno referir que de conformidad con el procedimiento de consulta de la información previsto en la Guía de Usuario del Visor de comprobantes de nómina del patrón, al seleccionar la opción “Consult</w:t>
      </w:r>
      <w:r>
        <w:rPr>
          <w:rFonts w:ascii="Palatino Linotype" w:eastAsia="Palatino Linotype" w:hAnsi="Palatino Linotype" w:cs="Palatino Linotype"/>
        </w:rPr>
        <w:t xml:space="preserve">ar información Global”, se muestra un resumen de los </w:t>
      </w:r>
      <w:proofErr w:type="spellStart"/>
      <w:r>
        <w:rPr>
          <w:rFonts w:ascii="Palatino Linotype" w:eastAsia="Palatino Linotype" w:hAnsi="Palatino Linotype" w:cs="Palatino Linotype"/>
        </w:rPr>
        <w:t>CFDIs</w:t>
      </w:r>
      <w:proofErr w:type="spellEnd"/>
      <w:r>
        <w:rPr>
          <w:rFonts w:ascii="Palatino Linotype" w:eastAsia="Palatino Linotype" w:hAnsi="Palatino Linotype" w:cs="Palatino Linotype"/>
        </w:rPr>
        <w:t xml:space="preserve"> de nómina que se expidieron por conceptos de sueldos y salarios, y asimilados a salarios, y </w:t>
      </w:r>
      <w:r>
        <w:rPr>
          <w:rFonts w:ascii="Palatino Linotype" w:eastAsia="Palatino Linotype" w:hAnsi="Palatino Linotype" w:cs="Palatino Linotype"/>
          <w:b/>
        </w:rPr>
        <w:t>para conocer la información mensual relativa a la diferencia de ISR retenido y enterado por el ente reten</w:t>
      </w:r>
      <w:r>
        <w:rPr>
          <w:rFonts w:ascii="Palatino Linotype" w:eastAsia="Palatino Linotype" w:hAnsi="Palatino Linotype" w:cs="Palatino Linotype"/>
          <w:b/>
        </w:rPr>
        <w:t xml:space="preserve">edor </w:t>
      </w:r>
      <w:r>
        <w:rPr>
          <w:rFonts w:ascii="Palatino Linotype" w:eastAsia="Palatino Linotype" w:hAnsi="Palatino Linotype" w:cs="Palatino Linotype"/>
          <w:sz w:val="22"/>
          <w:szCs w:val="22"/>
        </w:rPr>
        <w:t>–es decir, el ISR a favor o en contra-</w:t>
      </w:r>
      <w:r>
        <w:rPr>
          <w:rFonts w:ascii="Palatino Linotype" w:eastAsia="Palatino Linotype" w:hAnsi="Palatino Linotype" w:cs="Palatino Linotype"/>
          <w:b/>
        </w:rPr>
        <w:t>, por sueldos y salarios, y por asimilados a salarios</w:t>
      </w:r>
      <w:r>
        <w:rPr>
          <w:rFonts w:ascii="Palatino Linotype" w:eastAsia="Palatino Linotype" w:hAnsi="Palatino Linotype" w:cs="Palatino Linotype"/>
        </w:rPr>
        <w:t xml:space="preserve">, basta con dar clic en la opción ”Ver Detalle” que aparece en cada concepto, obteniendo como resultado en la pantalla, </w:t>
      </w:r>
      <w:r>
        <w:rPr>
          <w:rFonts w:ascii="Palatino Linotype" w:eastAsia="Palatino Linotype" w:hAnsi="Palatino Linotype" w:cs="Palatino Linotype"/>
        </w:rPr>
        <w:lastRenderedPageBreak/>
        <w:t>los reportes Detalle del “Total por Suel</w:t>
      </w:r>
      <w:r>
        <w:rPr>
          <w:rFonts w:ascii="Palatino Linotype" w:eastAsia="Palatino Linotype" w:hAnsi="Palatino Linotype" w:cs="Palatino Linotype"/>
        </w:rPr>
        <w:t xml:space="preserve">dos y Salarios” y Detalle del “Total por Asimilados a Salarios”, como se observa en la siguientes imágenes extraídas de la Guía: </w:t>
      </w:r>
    </w:p>
    <w:p w14:paraId="050CDF97"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0C324AB1" wp14:editId="00681E2E">
            <wp:extent cx="5612130" cy="4849304"/>
            <wp:effectExtent l="0" t="0" r="0" b="0"/>
            <wp:docPr id="214013187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b="29330"/>
                    <a:stretch>
                      <a:fillRect/>
                    </a:stretch>
                  </pic:blipFill>
                  <pic:spPr>
                    <a:xfrm>
                      <a:off x="0" y="0"/>
                      <a:ext cx="5612130" cy="4849304"/>
                    </a:xfrm>
                    <a:prstGeom prst="rect">
                      <a:avLst/>
                    </a:prstGeom>
                    <a:ln/>
                  </pic:spPr>
                </pic:pic>
              </a:graphicData>
            </a:graphic>
          </wp:inline>
        </w:drawing>
      </w:r>
    </w:p>
    <w:p w14:paraId="59EA5FDF"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55A85D2" wp14:editId="6CCC9FEF">
            <wp:extent cx="5612130" cy="2058174"/>
            <wp:effectExtent l="0" t="0" r="0" b="0"/>
            <wp:docPr id="214013187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t="70006"/>
                    <a:stretch>
                      <a:fillRect/>
                    </a:stretch>
                  </pic:blipFill>
                  <pic:spPr>
                    <a:xfrm>
                      <a:off x="0" y="0"/>
                      <a:ext cx="5612130" cy="2058174"/>
                    </a:xfrm>
                    <a:prstGeom prst="rect">
                      <a:avLst/>
                    </a:prstGeom>
                    <a:ln/>
                  </pic:spPr>
                </pic:pic>
              </a:graphicData>
            </a:graphic>
          </wp:inline>
        </w:drawing>
      </w:r>
    </w:p>
    <w:p w14:paraId="0F6CDAD0"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Respecto al reporte de ISR retenido correspondiente al monto histórico recuperado por conducto de la Secretaria de Finanza</w:t>
      </w:r>
      <w:r>
        <w:rPr>
          <w:rFonts w:ascii="Palatino Linotype" w:eastAsia="Palatino Linotype" w:hAnsi="Palatino Linotype" w:cs="Palatino Linotype"/>
        </w:rPr>
        <w:t xml:space="preserve">s del Estado, se precisa que en el siguiente nivel de consulta de la información, es decir, en la modalidad “Vista anual acumulada”, se muestra el </w:t>
      </w:r>
      <w:r>
        <w:rPr>
          <w:rFonts w:ascii="Palatino Linotype" w:eastAsia="Palatino Linotype" w:hAnsi="Palatino Linotype" w:cs="Palatino Linotype"/>
          <w:b/>
        </w:rPr>
        <w:t>registro del Acumulado Anual Total,</w:t>
      </w:r>
      <w:r>
        <w:rPr>
          <w:rFonts w:ascii="Palatino Linotype" w:eastAsia="Palatino Linotype" w:hAnsi="Palatino Linotype" w:cs="Palatino Linotype"/>
        </w:rPr>
        <w:t xml:space="preserve"> que contiene los pagos acumulados realizados a los trabajadores </w:t>
      </w:r>
      <w:r>
        <w:rPr>
          <w:rFonts w:ascii="Palatino Linotype" w:eastAsia="Palatino Linotype" w:hAnsi="Palatino Linotype" w:cs="Palatino Linotype"/>
          <w:b/>
          <w:u w:val="single"/>
        </w:rPr>
        <w:t>durante e</w:t>
      </w:r>
      <w:r>
        <w:rPr>
          <w:rFonts w:ascii="Palatino Linotype" w:eastAsia="Palatino Linotype" w:hAnsi="Palatino Linotype" w:cs="Palatino Linotype"/>
          <w:b/>
          <w:u w:val="single"/>
        </w:rPr>
        <w:t>l ejercicio</w:t>
      </w:r>
      <w:r>
        <w:rPr>
          <w:rFonts w:ascii="Palatino Linotype" w:eastAsia="Palatino Linotype" w:hAnsi="Palatino Linotype" w:cs="Palatino Linotype"/>
        </w:rPr>
        <w:t>, y se integra de las columnas siguientes: Concepto, Salarios, Indemnización, Total sueldos, Asimilados a salarios y un Total pagado por nómina, es decir, contiene una columna que integra un gran total resumido de cada concepto, además del númer</w:t>
      </w:r>
      <w:r>
        <w:rPr>
          <w:rFonts w:ascii="Palatino Linotype" w:eastAsia="Palatino Linotype" w:hAnsi="Palatino Linotype" w:cs="Palatino Linotype"/>
        </w:rPr>
        <w:t>o de trabajadores, así como también el</w:t>
      </w:r>
      <w:r>
        <w:rPr>
          <w:rFonts w:ascii="Palatino Linotype" w:eastAsia="Palatino Linotype" w:hAnsi="Palatino Linotype" w:cs="Palatino Linotype"/>
          <w:b/>
        </w:rPr>
        <w:t xml:space="preserve"> </w:t>
      </w:r>
      <w:r>
        <w:rPr>
          <w:rFonts w:ascii="Palatino Linotype" w:eastAsia="Palatino Linotype" w:hAnsi="Palatino Linotype" w:cs="Palatino Linotype"/>
          <w:b/>
          <w:u w:val="single"/>
        </w:rPr>
        <w:t>total de ISR retenido e ISR enterado</w:t>
      </w:r>
      <w:r>
        <w:rPr>
          <w:rFonts w:ascii="Palatino Linotype" w:eastAsia="Palatino Linotype" w:hAnsi="Palatino Linotype" w:cs="Palatino Linotype"/>
        </w:rPr>
        <w:t>. Asimismo, al dar clic en el ícono PDF, es posible generar un documento con la información que se visualiza en el aplicativo, como se ilustra a continuación para mejor referencia:</w:t>
      </w:r>
    </w:p>
    <w:p w14:paraId="5E130725" w14:textId="77777777" w:rsidR="00573E3C" w:rsidRDefault="00684DBC">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01208289" wp14:editId="573C7073">
            <wp:extent cx="5040000" cy="3043481"/>
            <wp:effectExtent l="0" t="0" r="0" b="0"/>
            <wp:docPr id="21401318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5040000" cy="3043481"/>
                    </a:xfrm>
                    <a:prstGeom prst="rect">
                      <a:avLst/>
                    </a:prstGeom>
                    <a:ln/>
                  </pic:spPr>
                </pic:pic>
              </a:graphicData>
            </a:graphic>
          </wp:inline>
        </w:drawing>
      </w:r>
      <w:r>
        <w:rPr>
          <w:rFonts w:ascii="Palatino Linotype" w:eastAsia="Palatino Linotype" w:hAnsi="Palatino Linotype" w:cs="Palatino Linotype"/>
          <w:noProof/>
        </w:rPr>
        <w:drawing>
          <wp:inline distT="0" distB="0" distL="0" distR="0" wp14:anchorId="44B2CBD6" wp14:editId="1A42B0CE">
            <wp:extent cx="5040000" cy="3380192"/>
            <wp:effectExtent l="0" t="0" r="0" b="0"/>
            <wp:docPr id="21401318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040000" cy="3380192"/>
                    </a:xfrm>
                    <a:prstGeom prst="rect">
                      <a:avLst/>
                    </a:prstGeom>
                    <a:ln/>
                  </pic:spPr>
                </pic:pic>
              </a:graphicData>
            </a:graphic>
          </wp:inline>
        </w:drawing>
      </w:r>
    </w:p>
    <w:p w14:paraId="1B060F61"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esta línea de pensamiento, dado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al ser un ente retenedor del Impuesto Sobre la Renta que se genere por ingresos por salarios -y en general </w:t>
      </w:r>
      <w:r>
        <w:rPr>
          <w:rFonts w:ascii="Palatino Linotype" w:eastAsia="Palatino Linotype" w:hAnsi="Palatino Linotype" w:cs="Palatino Linotype"/>
        </w:rPr>
        <w:lastRenderedPageBreak/>
        <w:t>por la prestación de un servicio personal subordinado-, y encontrarse constreñido a gen</w:t>
      </w:r>
      <w:r>
        <w:rPr>
          <w:rFonts w:ascii="Palatino Linotype" w:eastAsia="Palatino Linotype" w:hAnsi="Palatino Linotype" w:cs="Palatino Linotype"/>
        </w:rPr>
        <w:t>erar y entregar un CFDI que ampare dichas retenciones para el cumplimiento de las obligaciones fiscales que le impone la Ley, para lo cual es indispensable que se encuentre inscrito en el Registro Federal de Contribuyentes y cuente con la clave correspondi</w:t>
      </w:r>
      <w:r>
        <w:rPr>
          <w:rFonts w:ascii="Palatino Linotype" w:eastAsia="Palatino Linotype" w:hAnsi="Palatino Linotype" w:cs="Palatino Linotype"/>
        </w:rPr>
        <w:t xml:space="preserve">ente de RFC, así como una contraseña y una firma electrónica o </w:t>
      </w:r>
      <w:proofErr w:type="spellStart"/>
      <w:r>
        <w:rPr>
          <w:rFonts w:ascii="Palatino Linotype" w:eastAsia="Palatino Linotype" w:hAnsi="Palatino Linotype" w:cs="Palatino Linotype"/>
        </w:rPr>
        <w:t>e.firma</w:t>
      </w:r>
      <w:proofErr w:type="spellEnd"/>
      <w:r>
        <w:rPr>
          <w:rFonts w:ascii="Palatino Linotype" w:eastAsia="Palatino Linotype" w:hAnsi="Palatino Linotype" w:cs="Palatino Linotype"/>
        </w:rPr>
        <w:t xml:space="preserve">, se concluye que se encuentra en posibilidad de entregar la información que es tema de estudio, toda vez que </w:t>
      </w:r>
      <w:r>
        <w:rPr>
          <w:rFonts w:ascii="Palatino Linotype" w:eastAsia="Palatino Linotype" w:hAnsi="Palatino Linotype" w:cs="Palatino Linotype"/>
          <w:b/>
          <w:u w:val="single"/>
        </w:rPr>
        <w:t xml:space="preserve">la información alojada en el aplicativo </w:t>
      </w:r>
      <w:r>
        <w:rPr>
          <w:rFonts w:ascii="Palatino Linotype" w:eastAsia="Palatino Linotype" w:hAnsi="Palatino Linotype" w:cs="Palatino Linotype"/>
          <w:b/>
          <w:i/>
          <w:u w:val="single"/>
        </w:rPr>
        <w:t xml:space="preserve">Visor de comprobantes de nómina del </w:t>
      </w:r>
      <w:r>
        <w:rPr>
          <w:rFonts w:ascii="Palatino Linotype" w:eastAsia="Palatino Linotype" w:hAnsi="Palatino Linotype" w:cs="Palatino Linotype"/>
          <w:b/>
          <w:i/>
          <w:u w:val="single"/>
        </w:rPr>
        <w:t>patrón</w:t>
      </w:r>
      <w:r>
        <w:rPr>
          <w:rFonts w:ascii="Palatino Linotype" w:eastAsia="Palatino Linotype" w:hAnsi="Palatino Linotype" w:cs="Palatino Linotype"/>
          <w:b/>
          <w:u w:val="single"/>
        </w:rPr>
        <w:t xml:space="preserve"> del SAT -al cual tiene acceso a través de su clave de RFC, y su contraseña o </w:t>
      </w:r>
      <w:proofErr w:type="spellStart"/>
      <w:r>
        <w:rPr>
          <w:rFonts w:ascii="Palatino Linotype" w:eastAsia="Palatino Linotype" w:hAnsi="Palatino Linotype" w:cs="Palatino Linotype"/>
          <w:b/>
          <w:u w:val="single"/>
        </w:rPr>
        <w:t>e.firma</w:t>
      </w:r>
      <w:proofErr w:type="spellEnd"/>
      <w:r>
        <w:rPr>
          <w:rFonts w:ascii="Palatino Linotype" w:eastAsia="Palatino Linotype" w:hAnsi="Palatino Linotype" w:cs="Palatino Linotype"/>
          <w:b/>
          <w:u w:val="single"/>
        </w:rPr>
        <w:t xml:space="preserve">-, se alimenta de forma automática mediante el timbrado de los </w:t>
      </w:r>
      <w:proofErr w:type="spellStart"/>
      <w:r>
        <w:rPr>
          <w:rFonts w:ascii="Palatino Linotype" w:eastAsia="Palatino Linotype" w:hAnsi="Palatino Linotype" w:cs="Palatino Linotype"/>
          <w:b/>
          <w:u w:val="single"/>
        </w:rPr>
        <w:t>CFDIs</w:t>
      </w:r>
      <w:proofErr w:type="spellEnd"/>
      <w:r>
        <w:rPr>
          <w:rFonts w:ascii="Palatino Linotype" w:eastAsia="Palatino Linotype" w:hAnsi="Palatino Linotype" w:cs="Palatino Linotype"/>
          <w:b/>
          <w:u w:val="single"/>
        </w:rPr>
        <w:t xml:space="preserve"> de  nómina, una vez que estos se generan</w:t>
      </w:r>
      <w:r>
        <w:rPr>
          <w:rFonts w:ascii="Palatino Linotype" w:eastAsia="Palatino Linotype" w:hAnsi="Palatino Linotype" w:cs="Palatino Linotype"/>
        </w:rPr>
        <w:t>, siendo información que administra como usuario del portal de Trámites y Servicios del SAT; por consiguiente, es procedente ordenar se haga entrega de los reportes generados en dicho aplicativo, referentemente en formato PDF, o en el que se hubieran gener</w:t>
      </w:r>
      <w:r>
        <w:rPr>
          <w:rFonts w:ascii="Palatino Linotype" w:eastAsia="Palatino Linotype" w:hAnsi="Palatino Linotype" w:cs="Palatino Linotype"/>
        </w:rPr>
        <w:t xml:space="preserve">ado, correspondientes al </w:t>
      </w:r>
      <w:r>
        <w:rPr>
          <w:rFonts w:ascii="Palatino Linotype" w:eastAsia="Palatino Linotype" w:hAnsi="Palatino Linotype" w:cs="Palatino Linotype"/>
          <w:b/>
        </w:rPr>
        <w:t>Detalle del “Total por Sueldos y Salarios” y Detalle del “Total por Asimilados a Salarios”,</w:t>
      </w:r>
      <w:r>
        <w:rPr>
          <w:rFonts w:ascii="Palatino Linotype" w:eastAsia="Palatino Linotype" w:hAnsi="Palatino Linotype" w:cs="Palatino Linotype"/>
        </w:rPr>
        <w:t xml:space="preserve"> los cuales </w:t>
      </w:r>
      <w:r>
        <w:rPr>
          <w:rFonts w:ascii="Palatino Linotype" w:eastAsia="Palatino Linotype" w:hAnsi="Palatino Linotype" w:cs="Palatino Linotype"/>
          <w:b/>
          <w:u w:val="single"/>
        </w:rPr>
        <w:t>dan cuenta de la diferencia del ISR retenido y enterado de forma mensual</w:t>
      </w:r>
      <w:r>
        <w:rPr>
          <w:rFonts w:ascii="Palatino Linotype" w:eastAsia="Palatino Linotype" w:hAnsi="Palatino Linotype" w:cs="Palatino Linotype"/>
        </w:rPr>
        <w:t xml:space="preserve">; así como la </w:t>
      </w:r>
      <w:r>
        <w:rPr>
          <w:rFonts w:ascii="Palatino Linotype" w:eastAsia="Palatino Linotype" w:hAnsi="Palatino Linotype" w:cs="Palatino Linotype"/>
          <w:b/>
        </w:rPr>
        <w:t>Vista anual acumulada</w:t>
      </w:r>
      <w:r>
        <w:rPr>
          <w:rFonts w:ascii="Palatino Linotype" w:eastAsia="Palatino Linotype" w:hAnsi="Palatino Linotype" w:cs="Palatino Linotype"/>
        </w:rPr>
        <w:t xml:space="preserve">, que </w:t>
      </w:r>
      <w:r>
        <w:rPr>
          <w:rFonts w:ascii="Palatino Linotype" w:eastAsia="Palatino Linotype" w:hAnsi="Palatino Linotype" w:cs="Palatino Linotype"/>
          <w:b/>
          <w:u w:val="single"/>
        </w:rPr>
        <w:t>da cuenta del t</w:t>
      </w:r>
      <w:r>
        <w:rPr>
          <w:rFonts w:ascii="Palatino Linotype" w:eastAsia="Palatino Linotype" w:hAnsi="Palatino Linotype" w:cs="Palatino Linotype"/>
          <w:b/>
          <w:u w:val="single"/>
        </w:rPr>
        <w:t>otal de ISR retenido por ejercicio,</w:t>
      </w:r>
      <w:r>
        <w:rPr>
          <w:rFonts w:ascii="Palatino Linotype" w:eastAsia="Palatino Linotype" w:hAnsi="Palatino Linotype" w:cs="Palatino Linotype"/>
        </w:rPr>
        <w:t xml:space="preserve"> de cuyo análisis la persona solicitante podrá advertir el monto recuperado por la Secretaría de Finanzas de la entidad, del uno de enero de dos mil veinte al treinta de agosto de dos mil veinticuatro.</w:t>
      </w:r>
    </w:p>
    <w:p w14:paraId="5288B628"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efectos de lo </w:t>
      </w:r>
      <w:r>
        <w:rPr>
          <w:rFonts w:ascii="Palatino Linotype" w:eastAsia="Palatino Linotype" w:hAnsi="Palatino Linotype" w:cs="Palatino Linotype"/>
        </w:rPr>
        <w:t xml:space="preserve">anterior, es oportuno reiterar que el requerimiento de información deberá turnarse a los servidores públicos habilitados de las dependencias o unidades administrativas competentes para conocer del mismo de acuerdo con sus </w:t>
      </w:r>
      <w:r>
        <w:rPr>
          <w:rFonts w:ascii="Palatino Linotype" w:eastAsia="Palatino Linotype" w:hAnsi="Palatino Linotype" w:cs="Palatino Linotype"/>
        </w:rPr>
        <w:lastRenderedPageBreak/>
        <w:t>atribuciones, quienes deberán real</w:t>
      </w:r>
      <w:r>
        <w:rPr>
          <w:rFonts w:ascii="Palatino Linotype" w:eastAsia="Palatino Linotype" w:hAnsi="Palatino Linotype" w:cs="Palatino Linotype"/>
        </w:rPr>
        <w:t xml:space="preserve">izar la búsqueda exhaustiva y razonable en los archivos de las áreas a su cargo, preponderantemente aquellas responsables del timbrado de los </w:t>
      </w:r>
      <w:proofErr w:type="spellStart"/>
      <w:r>
        <w:rPr>
          <w:rFonts w:ascii="Palatino Linotype" w:eastAsia="Palatino Linotype" w:hAnsi="Palatino Linotype" w:cs="Palatino Linotype"/>
        </w:rPr>
        <w:t>CFDIs</w:t>
      </w:r>
      <w:proofErr w:type="spellEnd"/>
      <w:r>
        <w:rPr>
          <w:rFonts w:ascii="Palatino Linotype" w:eastAsia="Palatino Linotype" w:hAnsi="Palatino Linotype" w:cs="Palatino Linotype"/>
        </w:rPr>
        <w:t xml:space="preserve"> de nómina, en la cual no se podrá excluir a la Defensoría Municipal de Derechos Humanos y al Sistema Municip</w:t>
      </w:r>
      <w:r>
        <w:rPr>
          <w:rFonts w:ascii="Palatino Linotype" w:eastAsia="Palatino Linotype" w:hAnsi="Palatino Linotype" w:cs="Palatino Linotype"/>
        </w:rPr>
        <w:t>al Anticorrupción.</w:t>
      </w:r>
    </w:p>
    <w:p w14:paraId="61C10607"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no debe perderse de vista que la normatividad aplicable no establece como obligatorio el uso de dicha herramienta o aplicativo, por lo que si la información a la que se hace referencia no obra en los archivos del </w:t>
      </w:r>
      <w:r>
        <w:rPr>
          <w:rFonts w:ascii="Palatino Linotype" w:eastAsia="Palatino Linotype" w:hAnsi="Palatino Linotype" w:cs="Palatino Linotype"/>
          <w:b/>
        </w:rPr>
        <w:t>Sujeto Obli</w:t>
      </w:r>
      <w:r>
        <w:rPr>
          <w:rFonts w:ascii="Palatino Linotype" w:eastAsia="Palatino Linotype" w:hAnsi="Palatino Linotype" w:cs="Palatino Linotype"/>
          <w:b/>
        </w:rPr>
        <w:t xml:space="preserve">gado, </w:t>
      </w:r>
      <w:r>
        <w:rPr>
          <w:rFonts w:ascii="Palatino Linotype" w:eastAsia="Palatino Linotype" w:hAnsi="Palatino Linotype" w:cs="Palatino Linotype"/>
        </w:rPr>
        <w:t>bastará con que así se haga del conocimiento de la persona solicitante para tener por colmado el requerimiento de información, en términos de lo dispuesto por el artículo 19, párrafo segundo de la Ley de Transparencia y Acceso a la Información Públic</w:t>
      </w:r>
      <w:r>
        <w:rPr>
          <w:rFonts w:ascii="Palatino Linotype" w:eastAsia="Palatino Linotype" w:hAnsi="Palatino Linotype" w:cs="Palatino Linotype"/>
        </w:rPr>
        <w:t>a del Estado de México y Municipios, a saber:</w:t>
      </w:r>
    </w:p>
    <w:p w14:paraId="45113128"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w:t>
      </w:r>
      <w:r>
        <w:rPr>
          <w:rFonts w:ascii="Palatino Linotype" w:eastAsia="Palatino Linotype" w:hAnsi="Palatino Linotype" w:cs="Palatino Linotype"/>
          <w:i/>
          <w:sz w:val="22"/>
          <w:szCs w:val="22"/>
        </w:rPr>
        <w:t>…</w:t>
      </w:r>
    </w:p>
    <w:p w14:paraId="3F97939D"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3506BDD6"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Lo anterior es así en v</w:t>
      </w:r>
      <w:r>
        <w:rPr>
          <w:rFonts w:ascii="Palatino Linotype" w:eastAsia="Palatino Linotype" w:hAnsi="Palatino Linotype" w:cs="Palatino Linotype"/>
        </w:rPr>
        <w:t>irtud de que los entes públicos únicamente se encuentran obligados a entregar aquella información que les sea requerida y que hubieran generado, administren o posean y obre en sus archivos, en estado en el que se encuentre, más no se les constriñe a proces</w:t>
      </w:r>
      <w:r>
        <w:rPr>
          <w:rFonts w:ascii="Palatino Linotype" w:eastAsia="Palatino Linotype" w:hAnsi="Palatino Linotype" w:cs="Palatino Linotype"/>
        </w:rPr>
        <w:t xml:space="preserve">ar, generar o resumir información, realizar cálculos, practicar investigaciones o elaborar documentos </w:t>
      </w:r>
      <w:r>
        <w:rPr>
          <w:rFonts w:ascii="Palatino Linotype" w:eastAsia="Palatino Linotype" w:hAnsi="Palatino Linotype" w:cs="Palatino Linotype"/>
          <w:i/>
        </w:rPr>
        <w:t>ad hoc</w:t>
      </w:r>
      <w:r>
        <w:rPr>
          <w:rFonts w:ascii="Palatino Linotype" w:eastAsia="Palatino Linotype" w:hAnsi="Palatino Linotype" w:cs="Palatino Linotype"/>
        </w:rPr>
        <w:t xml:space="preserve"> para presentarla conforme al interés de los solicitantes, lo cual, toma sustento en el párrafo segundo del artículo 12 de la Ley de Transparencia y</w:t>
      </w:r>
      <w:r>
        <w:rPr>
          <w:rFonts w:ascii="Palatino Linotype" w:eastAsia="Palatino Linotype" w:hAnsi="Palatino Linotype" w:cs="Palatino Linotype"/>
        </w:rPr>
        <w:t xml:space="preserve"> Acceso a la Información Pública del Estado de México y Municipios, y el Criterio de </w:t>
      </w:r>
      <w:r>
        <w:rPr>
          <w:rFonts w:ascii="Palatino Linotype" w:eastAsia="Palatino Linotype" w:hAnsi="Palatino Linotype" w:cs="Palatino Linotype"/>
        </w:rPr>
        <w:lastRenderedPageBreak/>
        <w:t>interpretación SO/003/2017 del Instituto Nacional de Transparencia, Acceso a la Información y Protección de Datos Personales, referidos con antelación.</w:t>
      </w:r>
    </w:p>
    <w:p w14:paraId="5EAD7F60"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otro lado, resp</w:t>
      </w:r>
      <w:r>
        <w:rPr>
          <w:rFonts w:ascii="Palatino Linotype" w:eastAsia="Palatino Linotype" w:hAnsi="Palatino Linotype" w:cs="Palatino Linotype"/>
        </w:rPr>
        <w:t xml:space="preserve">ecto a los </w:t>
      </w:r>
      <w:r>
        <w:rPr>
          <w:rFonts w:ascii="Palatino Linotype" w:eastAsia="Palatino Linotype" w:hAnsi="Palatino Linotype" w:cs="Palatino Linotype"/>
          <w:b/>
        </w:rPr>
        <w:t xml:space="preserve">puntos 2 </w:t>
      </w:r>
      <w:r>
        <w:rPr>
          <w:rFonts w:ascii="Palatino Linotype" w:eastAsia="Palatino Linotype" w:hAnsi="Palatino Linotype" w:cs="Palatino Linotype"/>
        </w:rPr>
        <w:t xml:space="preserve">y </w:t>
      </w:r>
      <w:r>
        <w:rPr>
          <w:rFonts w:ascii="Palatino Linotype" w:eastAsia="Palatino Linotype" w:hAnsi="Palatino Linotype" w:cs="Palatino Linotype"/>
          <w:b/>
        </w:rPr>
        <w:t>3</w:t>
      </w:r>
      <w:r>
        <w:rPr>
          <w:rFonts w:ascii="Palatino Linotype" w:eastAsia="Palatino Linotype" w:hAnsi="Palatino Linotype" w:cs="Palatino Linotype"/>
        </w:rPr>
        <w:t>, mediante los cuales se requirió el reporte emitido por la Secretaría de Finanzas del Estado en el que se especifique el monto del ISR que se obtuvo en devolución, de enero de dos mil quince a agosto de dos mil veinticuatro, y el re</w:t>
      </w:r>
      <w:r>
        <w:rPr>
          <w:rFonts w:ascii="Palatino Linotype" w:eastAsia="Palatino Linotype" w:hAnsi="Palatino Linotype" w:cs="Palatino Linotype"/>
        </w:rPr>
        <w:t>porte emitido por el software de contabilidad gubernamental en el que se pueda apreciar el control del saldo pendiente de recuperar del ISR participable, al treinta de agosto de dos mil veinticuatro, se menciona en primera instancia, que derivado del timbr</w:t>
      </w:r>
      <w:r>
        <w:rPr>
          <w:rFonts w:ascii="Palatino Linotype" w:eastAsia="Palatino Linotype" w:hAnsi="Palatino Linotype" w:cs="Palatino Linotype"/>
        </w:rPr>
        <w:t>ado de la nómina, los entes públicos pueden acceder al beneficio fiscal de obtener la devolución de las retenciones de ISR enteradas sobre los sueldos que paguen a los trabajadores; esto, de conformidad con el artículo 3-B de la Ley de Coordinación Fiscal,</w:t>
      </w:r>
      <w:r>
        <w:rPr>
          <w:rFonts w:ascii="Palatino Linotype" w:eastAsia="Palatino Linotype" w:hAnsi="Palatino Linotype" w:cs="Palatino Linotype"/>
        </w:rPr>
        <w:t xml:space="preserve"> a saber:</w:t>
      </w:r>
    </w:p>
    <w:p w14:paraId="40FC6E66"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3-B</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 xml:space="preserve">entidades </w:t>
      </w:r>
      <w:r>
        <w:rPr>
          <w:rFonts w:ascii="Palatino Linotype" w:eastAsia="Palatino Linotype" w:hAnsi="Palatino Linotype" w:cs="Palatino Linotype"/>
          <w:b/>
          <w:i/>
          <w:sz w:val="22"/>
          <w:szCs w:val="22"/>
          <w:u w:val="single"/>
        </w:rPr>
        <w:t>adheridas al Sistema Nacional de Coordinación Fiscal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participarán al 100% de la recaudación que se obtenga del impuesto sobre la renta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que efectivamente se entere a la Federación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correspondiente al salario del perso</w:t>
      </w:r>
      <w:r>
        <w:rPr>
          <w:rFonts w:ascii="Palatino Linotype" w:eastAsia="Palatino Linotype" w:hAnsi="Palatino Linotype" w:cs="Palatino Linotype"/>
          <w:b/>
          <w:i/>
          <w:sz w:val="22"/>
          <w:szCs w:val="22"/>
        </w:rPr>
        <w:t>nal que preste o desempeñe un servicio personal subordinado en las dependencias</w:t>
      </w:r>
      <w:r>
        <w:rPr>
          <w:rFonts w:ascii="Palatino Linotype" w:eastAsia="Palatino Linotype" w:hAnsi="Palatino Linotype" w:cs="Palatino Linotype"/>
          <w:i/>
          <w:sz w:val="22"/>
          <w:szCs w:val="22"/>
        </w:rPr>
        <w:t xml:space="preserve"> de la entidad federativa, </w:t>
      </w:r>
      <w:r>
        <w:rPr>
          <w:rFonts w:ascii="Palatino Linotype" w:eastAsia="Palatino Linotype" w:hAnsi="Palatino Linotype" w:cs="Palatino Linotype"/>
          <w:b/>
          <w:i/>
          <w:sz w:val="22"/>
          <w:szCs w:val="22"/>
        </w:rPr>
        <w:t>del municipio</w:t>
      </w:r>
      <w:r>
        <w:rPr>
          <w:rFonts w:ascii="Palatino Linotype" w:eastAsia="Palatino Linotype" w:hAnsi="Palatino Linotype" w:cs="Palatino Linotype"/>
          <w:i/>
          <w:sz w:val="22"/>
          <w:szCs w:val="22"/>
        </w:rPr>
        <w:t xml:space="preserve"> o demarcación territorial del Distrito Federal, </w:t>
      </w:r>
      <w:r>
        <w:rPr>
          <w:rFonts w:ascii="Palatino Linotype" w:eastAsia="Palatino Linotype" w:hAnsi="Palatino Linotype" w:cs="Palatino Linotype"/>
          <w:b/>
          <w:i/>
          <w:sz w:val="22"/>
          <w:szCs w:val="22"/>
        </w:rPr>
        <w:t>así como en sus respectivos organismos autónomos y entidades</w:t>
      </w:r>
      <w:r>
        <w:rPr>
          <w:rFonts w:ascii="Palatino Linotype" w:eastAsia="Palatino Linotype" w:hAnsi="Palatino Linotype" w:cs="Palatino Linotype"/>
          <w:i/>
          <w:sz w:val="22"/>
          <w:szCs w:val="22"/>
        </w:rPr>
        <w:t xml:space="preserve"> paraestatales y </w:t>
      </w:r>
      <w:r>
        <w:rPr>
          <w:rFonts w:ascii="Palatino Linotype" w:eastAsia="Palatino Linotype" w:hAnsi="Palatino Linotype" w:cs="Palatino Linotype"/>
          <w:b/>
          <w:i/>
          <w:sz w:val="22"/>
          <w:szCs w:val="22"/>
        </w:rPr>
        <w:t>paramunicipales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siempre que el salario sea efectivamente pagado por los entes mencionados con cargo a sus participaciones u otros ingresos locales</w:t>
      </w:r>
      <w:r>
        <w:rPr>
          <w:rFonts w:ascii="Palatino Linotype" w:eastAsia="Palatino Linotype" w:hAnsi="Palatino Linotype" w:cs="Palatino Linotype"/>
          <w:i/>
          <w:sz w:val="22"/>
          <w:szCs w:val="22"/>
        </w:rPr>
        <w:t xml:space="preserve">. </w:t>
      </w:r>
    </w:p>
    <w:p w14:paraId="2F2427CE"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del párrafo ante</w:t>
      </w:r>
      <w:r>
        <w:rPr>
          <w:rFonts w:ascii="Palatino Linotype" w:eastAsia="Palatino Linotype" w:hAnsi="Palatino Linotype" w:cs="Palatino Linotype"/>
          <w:i/>
          <w:sz w:val="22"/>
          <w:szCs w:val="22"/>
        </w:rPr>
        <w:t xml:space="preserve">rior, se considerará la recaudación que se obtenga por el Impuesto sobre la Renta, una vez descontadas las devoluciones por dicho concepto. </w:t>
      </w:r>
    </w:p>
    <w:p w14:paraId="1917E121" w14:textId="77777777" w:rsidR="00573E3C" w:rsidRDefault="00684DBC">
      <w:pPr>
        <w:spacing w:before="120" w:after="120"/>
        <w:ind w:left="851" w:right="902"/>
        <w:jc w:val="both"/>
        <w:rPr>
          <w:rFonts w:ascii="Palatino Linotype" w:eastAsia="Palatino Linotype" w:hAnsi="Palatino Linotype" w:cs="Palatino Linotype"/>
          <w:i/>
          <w:sz w:val="22"/>
          <w:szCs w:val="22"/>
          <w:u w:val="single"/>
        </w:rPr>
      </w:pPr>
      <w:r>
        <w:rPr>
          <w:rFonts w:ascii="Palatino Linotype" w:eastAsia="Palatino Linotype" w:hAnsi="Palatino Linotype" w:cs="Palatino Linotype"/>
          <w:i/>
          <w:sz w:val="22"/>
          <w:szCs w:val="22"/>
        </w:rPr>
        <w:t xml:space="preserve">Asimismo, para que resulte aplicable lo dispuesto en el primer párrafo de este artículo, </w:t>
      </w:r>
      <w:r>
        <w:rPr>
          <w:rFonts w:ascii="Palatino Linotype" w:eastAsia="Palatino Linotype" w:hAnsi="Palatino Linotype" w:cs="Palatino Linotype"/>
          <w:b/>
          <w:i/>
          <w:sz w:val="22"/>
          <w:szCs w:val="22"/>
          <w:u w:val="single"/>
        </w:rPr>
        <w:t>las entidades deberán ente</w:t>
      </w:r>
      <w:r>
        <w:rPr>
          <w:rFonts w:ascii="Palatino Linotype" w:eastAsia="Palatino Linotype" w:hAnsi="Palatino Linotype" w:cs="Palatino Linotype"/>
          <w:b/>
          <w:i/>
          <w:sz w:val="22"/>
          <w:szCs w:val="22"/>
          <w:u w:val="single"/>
        </w:rPr>
        <w:t>rar a la Federación el 100% de la retención que deben efectuar del Impuesto sobre la Renta</w:t>
      </w:r>
      <w:r>
        <w:rPr>
          <w:rFonts w:ascii="Palatino Linotype" w:eastAsia="Palatino Linotype" w:hAnsi="Palatino Linotype" w:cs="Palatino Linotype"/>
          <w:b/>
          <w:i/>
          <w:sz w:val="22"/>
          <w:szCs w:val="22"/>
        </w:rPr>
        <w:t xml:space="preserve"> correspondiente </w:t>
      </w:r>
      <w:r>
        <w:rPr>
          <w:rFonts w:ascii="Palatino Linotype" w:eastAsia="Palatino Linotype" w:hAnsi="Palatino Linotype" w:cs="Palatino Linotype"/>
          <w:b/>
          <w:i/>
          <w:sz w:val="22"/>
          <w:szCs w:val="22"/>
        </w:rPr>
        <w:lastRenderedPageBreak/>
        <w:t xml:space="preserve">a los ingresos por salarios que las entidades paguen </w:t>
      </w:r>
      <w:r>
        <w:rPr>
          <w:rFonts w:ascii="Palatino Linotype" w:eastAsia="Palatino Linotype" w:hAnsi="Palatino Linotype" w:cs="Palatino Linotype"/>
          <w:b/>
          <w:i/>
          <w:sz w:val="22"/>
          <w:szCs w:val="22"/>
          <w:u w:val="single"/>
        </w:rPr>
        <w:t>con cargo a recursos federales</w:t>
      </w:r>
      <w:r>
        <w:rPr>
          <w:rFonts w:ascii="Palatino Linotype" w:eastAsia="Palatino Linotype" w:hAnsi="Palatino Linotype" w:cs="Palatino Linotype"/>
          <w:i/>
          <w:sz w:val="22"/>
          <w:szCs w:val="22"/>
          <w:u w:val="single"/>
        </w:rPr>
        <w:t>.</w:t>
      </w:r>
    </w:p>
    <w:p w14:paraId="442479EB"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Las entidades deberán participar a sus municipios o demarcacione</w:t>
      </w:r>
      <w:r>
        <w:rPr>
          <w:rFonts w:ascii="Palatino Linotype" w:eastAsia="Palatino Linotype" w:hAnsi="Palatino Linotype" w:cs="Palatino Linotype"/>
          <w:b/>
          <w:i/>
          <w:sz w:val="22"/>
          <w:szCs w:val="22"/>
        </w:rPr>
        <w:t xml:space="preserve">s territoriales, el 100% de la recaudación del impuesto </w:t>
      </w:r>
      <w:r>
        <w:rPr>
          <w:rFonts w:ascii="Palatino Linotype" w:eastAsia="Palatino Linotype" w:hAnsi="Palatino Linotype" w:cs="Palatino Linotype"/>
          <w:i/>
          <w:sz w:val="22"/>
          <w:szCs w:val="22"/>
        </w:rPr>
        <w:t xml:space="preserve">al que se refiere el párrafo primero de este artículo, </w:t>
      </w:r>
      <w:r>
        <w:rPr>
          <w:rFonts w:ascii="Palatino Linotype" w:eastAsia="Palatino Linotype" w:hAnsi="Palatino Linotype" w:cs="Palatino Linotype"/>
          <w:b/>
          <w:i/>
          <w:sz w:val="22"/>
          <w:szCs w:val="22"/>
        </w:rPr>
        <w:t>correspondiente al personal que preste o desempeñe un servicio personal subordinado en el municipio o demarcación territorial de que se trate</w:t>
      </w:r>
      <w:r>
        <w:rPr>
          <w:rFonts w:ascii="Palatino Linotype" w:eastAsia="Palatino Linotype" w:hAnsi="Palatino Linotype" w:cs="Palatino Linotype"/>
          <w:i/>
          <w:sz w:val="22"/>
          <w:szCs w:val="22"/>
        </w:rPr>
        <w:t>.”</w:t>
      </w:r>
    </w:p>
    <w:p w14:paraId="4665F86C"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w:t>
      </w:r>
      <w:r>
        <w:rPr>
          <w:rFonts w:ascii="Palatino Linotype" w:eastAsia="Palatino Linotype" w:hAnsi="Palatino Linotype" w:cs="Palatino Linotype"/>
        </w:rPr>
        <w:t xml:space="preserve">abe señalar que dicho precepto legal se reformó mediante Decreto por el que se reforman y adicionan diversas disposiciones de la Ley de Coordinación Fiscal y de la Ley General de Contabilidad Gubernamental, publicado el nueve de diciembre de dos mil trece </w:t>
      </w:r>
      <w:r>
        <w:rPr>
          <w:rFonts w:ascii="Palatino Linotype" w:eastAsia="Palatino Linotype" w:hAnsi="Palatino Linotype" w:cs="Palatino Linotype"/>
        </w:rPr>
        <w:t xml:space="preserve">en el Diario Oficial de la Federación, y </w:t>
      </w:r>
      <w:r>
        <w:rPr>
          <w:rFonts w:ascii="Palatino Linotype" w:eastAsia="Palatino Linotype" w:hAnsi="Palatino Linotype" w:cs="Palatino Linotype"/>
          <w:b/>
          <w:u w:val="single"/>
        </w:rPr>
        <w:t>entró en vigor el uno de enero de dos mil quince</w:t>
      </w:r>
      <w:r>
        <w:rPr>
          <w:rFonts w:ascii="Palatino Linotype" w:eastAsia="Palatino Linotype" w:hAnsi="Palatino Linotype" w:cs="Palatino Linotype"/>
          <w:b/>
        </w:rPr>
        <w:t xml:space="preserve">, </w:t>
      </w:r>
      <w:r>
        <w:rPr>
          <w:rFonts w:ascii="Palatino Linotype" w:eastAsia="Palatino Linotype" w:hAnsi="Palatino Linotype" w:cs="Palatino Linotype"/>
        </w:rPr>
        <w:t>de conformidad con el Transitorio Noveno, a saber:</w:t>
      </w:r>
    </w:p>
    <w:p w14:paraId="50F82F16"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roofErr w:type="gramStart"/>
      <w:r>
        <w:rPr>
          <w:rFonts w:ascii="Palatino Linotype" w:eastAsia="Palatino Linotype" w:hAnsi="Palatino Linotype" w:cs="Palatino Linotype"/>
          <w:b/>
          <w:i/>
          <w:sz w:val="22"/>
          <w:szCs w:val="22"/>
        </w:rPr>
        <w:t>Noveno.-</w:t>
      </w:r>
      <w:proofErr w:type="gramEnd"/>
      <w:r>
        <w:rPr>
          <w:rFonts w:ascii="Palatino Linotype" w:eastAsia="Palatino Linotype" w:hAnsi="Palatino Linotype" w:cs="Palatino Linotype"/>
          <w:i/>
          <w:sz w:val="22"/>
          <w:szCs w:val="22"/>
        </w:rPr>
        <w:t> Lo previsto en la fracción II del artículo 2o. de la Ley de Coordinación Fiscal, respecto a la no inclus</w:t>
      </w:r>
      <w:r>
        <w:rPr>
          <w:rFonts w:ascii="Palatino Linotype" w:eastAsia="Palatino Linotype" w:hAnsi="Palatino Linotype" w:cs="Palatino Linotype"/>
          <w:i/>
          <w:sz w:val="22"/>
          <w:szCs w:val="22"/>
        </w:rPr>
        <w:t>ión en la recaudación federal participable del Impuesto sobre la Renta por concepto de salarios y, en general, por la prestación de un servicio personal subordinado causado por los servidores públicos; así como </w:t>
      </w:r>
      <w:r>
        <w:rPr>
          <w:rFonts w:ascii="Palatino Linotype" w:eastAsia="Palatino Linotype" w:hAnsi="Palatino Linotype" w:cs="Palatino Linotype"/>
          <w:b/>
          <w:i/>
          <w:sz w:val="22"/>
          <w:szCs w:val="22"/>
        </w:rPr>
        <w:t>lo dispuesto en el artículo 3-B</w:t>
      </w:r>
      <w:r>
        <w:rPr>
          <w:rFonts w:ascii="Palatino Linotype" w:eastAsia="Palatino Linotype" w:hAnsi="Palatino Linotype" w:cs="Palatino Linotype"/>
          <w:i/>
          <w:sz w:val="22"/>
          <w:szCs w:val="22"/>
        </w:rPr>
        <w:t xml:space="preserve"> de dicha Ley,</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entrarán en vigor el 1 de enero de 2015</w:t>
      </w:r>
      <w:r>
        <w:rPr>
          <w:rFonts w:ascii="Palatino Linotype" w:eastAsia="Palatino Linotype" w:hAnsi="Palatino Linotype" w:cs="Palatino Linotype"/>
          <w:i/>
          <w:sz w:val="22"/>
          <w:szCs w:val="22"/>
        </w:rPr>
        <w:t>.”</w:t>
      </w:r>
    </w:p>
    <w:p w14:paraId="5C332F64"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se colige que a partir del uno de enero de dos mil quince -</w:t>
      </w:r>
      <w:r>
        <w:rPr>
          <w:rFonts w:ascii="Palatino Linotype" w:eastAsia="Palatino Linotype" w:hAnsi="Palatino Linotype" w:cs="Palatino Linotype"/>
          <w:sz w:val="22"/>
          <w:szCs w:val="22"/>
        </w:rPr>
        <w:t>fecha a partir de la cual se solicita la información</w:t>
      </w:r>
      <w:r>
        <w:rPr>
          <w:rFonts w:ascii="Palatino Linotype" w:eastAsia="Palatino Linotype" w:hAnsi="Palatino Linotype" w:cs="Palatino Linotype"/>
        </w:rPr>
        <w:t>-, las entidades adheridas al Sistema Nacional de Coordinación Fiscal,  participan al 100% de la recaudación que se obtenga del Impuesto Sobre la Renta que efectivamente se entere a la federación, correspondiente al salario del personal que preste o desemp</w:t>
      </w:r>
      <w:r>
        <w:rPr>
          <w:rFonts w:ascii="Palatino Linotype" w:eastAsia="Palatino Linotype" w:hAnsi="Palatino Linotype" w:cs="Palatino Linotype"/>
        </w:rPr>
        <w:t>eñe un servicio personal subordinado en las dependencias de la entidad federativa, del municipio o alcaldía de la Ciudad de México, así como en sus respectivos organismos autónomos y entidades paraestatales y paramunicipales, bajo dos premisas fundamentale</w:t>
      </w:r>
      <w:r>
        <w:rPr>
          <w:rFonts w:ascii="Palatino Linotype" w:eastAsia="Palatino Linotype" w:hAnsi="Palatino Linotype" w:cs="Palatino Linotype"/>
        </w:rPr>
        <w:t xml:space="preserve">s: </w:t>
      </w:r>
    </w:p>
    <w:p w14:paraId="32ADE559" w14:textId="77777777" w:rsidR="00573E3C" w:rsidRDefault="00684DBC">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lastRenderedPageBreak/>
        <w:t>1. Que el salario sea efectivamente pagado con cargo a sus participaciones u otros ingresos locales.</w:t>
      </w:r>
    </w:p>
    <w:p w14:paraId="54444EE3" w14:textId="77777777" w:rsidR="00573E3C" w:rsidRDefault="00684DBC">
      <w:pPr>
        <w:spacing w:before="240" w:after="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2. Que hayan enterado a la Federación el 100% del ISR de los salarios que paguen con cargo a recursos federales.</w:t>
      </w:r>
    </w:p>
    <w:p w14:paraId="5B934636"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dado que no existía antecedente para distinguir el origen de los recursos utilizados en el pago de los sueldos y salarios del persona</w:t>
      </w:r>
      <w:r>
        <w:rPr>
          <w:rFonts w:ascii="Palatino Linotype" w:eastAsia="Palatino Linotype" w:hAnsi="Palatino Linotype" w:cs="Palatino Linotype"/>
        </w:rPr>
        <w:t>l de los entes públicos, y por lo tanto del ISR, la Unidad de Coordinación con Entidades Federativas, UCEF y el Servicio de Administración Tributaria, SAT, implementaron un mecanismo para su identificación, el cual que se lleva a cabo a través del Comproba</w:t>
      </w:r>
      <w:r>
        <w:rPr>
          <w:rFonts w:ascii="Palatino Linotype" w:eastAsia="Palatino Linotype" w:hAnsi="Palatino Linotype" w:cs="Palatino Linotype"/>
        </w:rPr>
        <w:t xml:space="preserve">nte Fiscal Digital por Internet de nómina, cuyo complemento de percepciones se modificó para incluir el origen de los recursos con los que se paga los sueldos y salarios y con ello se determinan los montos que se participan por concepto de ISR a los entes </w:t>
      </w:r>
      <w:r>
        <w:rPr>
          <w:rFonts w:ascii="Palatino Linotype" w:eastAsia="Palatino Linotype" w:hAnsi="Palatino Linotype" w:cs="Palatino Linotype"/>
        </w:rPr>
        <w:t>públicos.</w:t>
      </w:r>
    </w:p>
    <w:p w14:paraId="3BF96719"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conformidad con las Reglas de operación para la aplicación del artículo 3-B de la Ley de Coordinación Fiscal, el proceso de identificación y validación del pago de sueldos y salarios y del ISR por fuente de financiamiento se lleva a cabo, de f</w:t>
      </w:r>
      <w:r>
        <w:rPr>
          <w:rFonts w:ascii="Palatino Linotype" w:eastAsia="Palatino Linotype" w:hAnsi="Palatino Linotype" w:cs="Palatino Linotype"/>
        </w:rPr>
        <w:t xml:space="preserve">orma general, conforme el procedimiento siguiente: </w:t>
      </w:r>
    </w:p>
    <w:p w14:paraId="69F50FFB" w14:textId="77777777" w:rsidR="00573E3C" w:rsidRDefault="00684DBC">
      <w:pPr>
        <w:spacing w:before="120" w:after="12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 Los entes públicos deben cumplir con sus obligaciones de retención y entero de ISR, </w:t>
      </w:r>
      <w:r>
        <w:rPr>
          <w:rFonts w:ascii="Palatino Linotype" w:eastAsia="Palatino Linotype" w:hAnsi="Palatino Linotype" w:cs="Palatino Linotype"/>
          <w:b/>
        </w:rPr>
        <w:t xml:space="preserve">así como expedir y entregar los comprobantes fiscales a las personas que reciban pagos por salarios, y en general por </w:t>
      </w:r>
      <w:r>
        <w:rPr>
          <w:rFonts w:ascii="Palatino Linotype" w:eastAsia="Palatino Linotype" w:hAnsi="Palatino Linotype" w:cs="Palatino Linotype"/>
          <w:b/>
        </w:rPr>
        <w:t xml:space="preserve">la prestación de un servicio personal subordinado, </w:t>
      </w:r>
      <w:r>
        <w:rPr>
          <w:rFonts w:ascii="Palatino Linotype" w:eastAsia="Palatino Linotype" w:hAnsi="Palatino Linotype" w:cs="Palatino Linotype"/>
        </w:rPr>
        <w:t xml:space="preserve">en términos de lo dispuesto por los artículos 96 y 99, fracción III de la Ley del Impuesto sobre la Renta, y que utilicen correctamente las </w:t>
      </w:r>
      <w:r>
        <w:rPr>
          <w:rFonts w:ascii="Palatino Linotype" w:eastAsia="Palatino Linotype" w:hAnsi="Palatino Linotype" w:cs="Palatino Linotype"/>
        </w:rPr>
        <w:lastRenderedPageBreak/>
        <w:t xml:space="preserve">claves en del Catálogo Atributo: Tipo Percepción del Complemento </w:t>
      </w:r>
      <w:r>
        <w:rPr>
          <w:rFonts w:ascii="Palatino Linotype" w:eastAsia="Palatino Linotype" w:hAnsi="Palatino Linotype" w:cs="Palatino Linotype"/>
        </w:rPr>
        <w:t>del CFDI comprobante CFDI de nómina.</w:t>
      </w:r>
    </w:p>
    <w:p w14:paraId="79731195" w14:textId="77777777" w:rsidR="00573E3C" w:rsidRDefault="00684DBC">
      <w:pPr>
        <w:spacing w:before="120" w:after="12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 La UCEF solicita a las entidades federativas que mensualmente ratifiquen el listado de claves del Registro Federal de Contribuyentes (RFC) de sus entes públicos que pagan sueldos y salarios en términos de lo señalado </w:t>
      </w:r>
      <w:r>
        <w:rPr>
          <w:rFonts w:ascii="Palatino Linotype" w:eastAsia="Palatino Linotype" w:hAnsi="Palatino Linotype" w:cs="Palatino Linotype"/>
        </w:rPr>
        <w:t>en el artículo 3-B de la Ley de Coordinación Fiscal, y una vez recibida la información es enviada al SAT.</w:t>
      </w:r>
    </w:p>
    <w:p w14:paraId="4E767591" w14:textId="77777777" w:rsidR="00573E3C" w:rsidRDefault="00684DBC">
      <w:pPr>
        <w:spacing w:before="120" w:after="12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El SAT valida la información de los CFDI de nómina correspondientes al periodo, a efecto de identificar por cada RFC los importes de la retención de</w:t>
      </w:r>
      <w:r>
        <w:rPr>
          <w:rFonts w:ascii="Palatino Linotype" w:eastAsia="Palatino Linotype" w:hAnsi="Palatino Linotype" w:cs="Palatino Linotype"/>
        </w:rPr>
        <w:t>l ISR pagado con participaciones u otros ingresos locales y el pagado con recursos federales, lo cual es validado con las declaraciones del ISR del mismo periodo; en su caso, el SAT informa a las entidades federativas las inconsistencias u omisiones result</w:t>
      </w:r>
      <w:r>
        <w:rPr>
          <w:rFonts w:ascii="Palatino Linotype" w:eastAsia="Palatino Linotype" w:hAnsi="Palatino Linotype" w:cs="Palatino Linotype"/>
        </w:rPr>
        <w:t>antes, para que éstas subsanen las omisiones o realicen las aclaraciones o correcciones procedentes.</w:t>
      </w:r>
    </w:p>
    <w:p w14:paraId="31892002" w14:textId="77777777" w:rsidR="00573E3C" w:rsidRDefault="00684DBC">
      <w:pPr>
        <w:spacing w:before="120" w:after="12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El SAT remite mensualmente a la UCEF el informe de los entes públicos que elaboraron correctamente sus CFDI de nómina, para efecto de que dicha Unidad de</w:t>
      </w:r>
      <w:r>
        <w:rPr>
          <w:rFonts w:ascii="Palatino Linotype" w:eastAsia="Palatino Linotype" w:hAnsi="Palatino Linotype" w:cs="Palatino Linotype"/>
        </w:rPr>
        <w:t>termine los montos susceptibles de ser participados a las entidades federativas.</w:t>
      </w:r>
    </w:p>
    <w:p w14:paraId="749DA884" w14:textId="77777777" w:rsidR="00573E3C" w:rsidRDefault="00684DBC">
      <w:pPr>
        <w:spacing w:before="120" w:after="12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La UCEF lleva un registro de los montos acumulados del ISR participado a las entidades federativas y lo coteja con los informes que recibe del SAT para determinar las cantid</w:t>
      </w:r>
      <w:r>
        <w:rPr>
          <w:rFonts w:ascii="Palatino Linotype" w:eastAsia="Palatino Linotype" w:hAnsi="Palatino Linotype" w:cs="Palatino Linotype"/>
        </w:rPr>
        <w:t xml:space="preserve">ades a entregar por concepto ISR que se entera a la Federación. </w:t>
      </w:r>
    </w:p>
    <w:p w14:paraId="5F56CE35" w14:textId="77777777" w:rsidR="00573E3C" w:rsidRDefault="00684DBC">
      <w:pPr>
        <w:spacing w:before="120" w:after="12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 El SAT informa anualmente a la UCEF acerca de los entes públicos a los que se hayan detectado diferencias en el entero del 100% de la retención que deben </w:t>
      </w:r>
      <w:r>
        <w:rPr>
          <w:rFonts w:ascii="Palatino Linotype" w:eastAsia="Palatino Linotype" w:hAnsi="Palatino Linotype" w:cs="Palatino Linotype"/>
        </w:rPr>
        <w:lastRenderedPageBreak/>
        <w:t>efectuar del ISR, así como de los m</w:t>
      </w:r>
      <w:r>
        <w:rPr>
          <w:rFonts w:ascii="Palatino Linotype" w:eastAsia="Palatino Linotype" w:hAnsi="Palatino Linotype" w:cs="Palatino Linotype"/>
        </w:rPr>
        <w:t xml:space="preserve">ontos correspondientes a las devoluciones del ISR efectuadas, para efectos de que dicha Unidad realice los ajustes respectivos. </w:t>
      </w:r>
    </w:p>
    <w:p w14:paraId="2031A3A5" w14:textId="77777777" w:rsidR="00573E3C" w:rsidRDefault="00684DBC">
      <w:pPr>
        <w:spacing w:before="120" w:after="120" w:line="360" w:lineRule="auto"/>
        <w:ind w:left="284"/>
        <w:jc w:val="both"/>
        <w:rPr>
          <w:rFonts w:ascii="Palatino Linotype" w:eastAsia="Palatino Linotype" w:hAnsi="Palatino Linotype" w:cs="Palatino Linotype"/>
          <w:b/>
        </w:rPr>
      </w:pPr>
      <w:r>
        <w:rPr>
          <w:rFonts w:ascii="Palatino Linotype" w:eastAsia="Palatino Linotype" w:hAnsi="Palatino Linotype" w:cs="Palatino Linotype"/>
        </w:rPr>
        <w:t xml:space="preserve">• Por su parte, </w:t>
      </w:r>
      <w:r>
        <w:rPr>
          <w:rFonts w:ascii="Palatino Linotype" w:eastAsia="Palatino Linotype" w:hAnsi="Palatino Linotype" w:cs="Palatino Linotype"/>
          <w:b/>
          <w:u w:val="single"/>
        </w:rPr>
        <w:t>las entidades federativas participarán a sus municipios</w:t>
      </w:r>
      <w:r>
        <w:rPr>
          <w:rFonts w:ascii="Palatino Linotype" w:eastAsia="Palatino Linotype" w:hAnsi="Palatino Linotype" w:cs="Palatino Linotype"/>
          <w:b/>
        </w:rPr>
        <w:t xml:space="preserve"> </w:t>
      </w:r>
      <w:r>
        <w:rPr>
          <w:rFonts w:ascii="Palatino Linotype" w:eastAsia="Palatino Linotype" w:hAnsi="Palatino Linotype" w:cs="Palatino Linotype"/>
        </w:rPr>
        <w:t>o alcaldías en el caso de la CDMX,</w:t>
      </w:r>
      <w:r>
        <w:rPr>
          <w:rFonts w:ascii="Palatino Linotype" w:eastAsia="Palatino Linotype" w:hAnsi="Palatino Linotype" w:cs="Palatino Linotype"/>
          <w:b/>
        </w:rPr>
        <w:t xml:space="preserve"> el ISR que a éstos l</w:t>
      </w:r>
      <w:r>
        <w:rPr>
          <w:rFonts w:ascii="Palatino Linotype" w:eastAsia="Palatino Linotype" w:hAnsi="Palatino Linotype" w:cs="Palatino Linotype"/>
          <w:b/>
        </w:rPr>
        <w:t>es corresponda en términos de lo señalado en el artículo 3-B de la Ley de Coordinación Fiscal, dentro de los 5 días siguientes a su recepción.</w:t>
      </w:r>
    </w:p>
    <w:p w14:paraId="2B5FA2FF" w14:textId="77777777" w:rsidR="00573E3C" w:rsidRDefault="00684DBC">
      <w:pPr>
        <w:spacing w:before="120" w:after="120" w:line="276" w:lineRule="auto"/>
        <w:jc w:val="center"/>
        <w:rPr>
          <w:rFonts w:ascii="Palatino Linotype" w:eastAsia="Palatino Linotype" w:hAnsi="Palatino Linotype" w:cs="Palatino Linotype"/>
          <w:b/>
        </w:rPr>
      </w:pPr>
      <w:r>
        <w:rPr>
          <w:noProof/>
        </w:rPr>
        <w:drawing>
          <wp:inline distT="0" distB="0" distL="0" distR="0" wp14:anchorId="0B857D12" wp14:editId="1B1BD1CA">
            <wp:extent cx="5612130" cy="2599055"/>
            <wp:effectExtent l="0" t="0" r="0" b="0"/>
            <wp:docPr id="21401318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5612130" cy="2599055"/>
                    </a:xfrm>
                    <a:prstGeom prst="rect">
                      <a:avLst/>
                    </a:prstGeom>
                    <a:ln/>
                  </pic:spPr>
                </pic:pic>
              </a:graphicData>
            </a:graphic>
          </wp:inline>
        </w:drawing>
      </w:r>
    </w:p>
    <w:p w14:paraId="0EFCD101"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derivado de la consulta del portal del Sistema Nacional de Coordinación Fiscal, se advirtió que el </w:t>
      </w:r>
      <w:r>
        <w:rPr>
          <w:rFonts w:ascii="Palatino Linotype" w:eastAsia="Palatino Linotype" w:hAnsi="Palatino Linotype" w:cs="Palatino Linotype"/>
        </w:rPr>
        <w:t>Estado de México pertenece a dicho Sistema, por lo tanto, se infiere que si es susceptible de participar en obtención del 100% de la recaudación del Impuesto Sobre la Renta enterado a la Federación por los conceptos establecidos en el Capítulo I De los ing</w:t>
      </w:r>
      <w:r>
        <w:rPr>
          <w:rFonts w:ascii="Palatino Linotype" w:eastAsia="Palatino Linotype" w:hAnsi="Palatino Linotype" w:cs="Palatino Linotype"/>
        </w:rPr>
        <w:t>resos por salarios y en general por la prestación de un servicio personal subordinado, del Título IV De las personas  físicas, de la Ley del Impuesto Sobre la Renta:</w:t>
      </w:r>
    </w:p>
    <w:p w14:paraId="13EAC7F7" w14:textId="77777777" w:rsidR="00573E3C" w:rsidRDefault="00684DBC">
      <w:pPr>
        <w:spacing w:before="240" w:after="240"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154BF958" wp14:editId="1EA958F9">
            <wp:extent cx="3420000" cy="2182485"/>
            <wp:effectExtent l="0" t="0" r="0" b="0"/>
            <wp:docPr id="214013184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rcRect/>
                    <a:stretch>
                      <a:fillRect/>
                    </a:stretch>
                  </pic:blipFill>
                  <pic:spPr>
                    <a:xfrm>
                      <a:off x="0" y="0"/>
                      <a:ext cx="3420000" cy="2182485"/>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61C6FE2E" wp14:editId="2A120D9E">
                <wp:simplePos x="0" y="0"/>
                <wp:positionH relativeFrom="column">
                  <wp:posOffset>2413000</wp:posOffset>
                </wp:positionH>
                <wp:positionV relativeFrom="paragraph">
                  <wp:posOffset>1676400</wp:posOffset>
                </wp:positionV>
                <wp:extent cx="476410" cy="541823"/>
                <wp:effectExtent l="0" t="0" r="0" b="0"/>
                <wp:wrapNone/>
                <wp:docPr id="2140131839" name=""/>
                <wp:cNvGraphicFramePr/>
                <a:graphic xmlns:a="http://schemas.openxmlformats.org/drawingml/2006/main">
                  <a:graphicData uri="http://schemas.microsoft.com/office/word/2010/wordprocessingShape">
                    <wps:wsp>
                      <wps:cNvSpPr/>
                      <wps:spPr>
                        <a:xfrm>
                          <a:off x="5136370" y="3537664"/>
                          <a:ext cx="419260" cy="484673"/>
                        </a:xfrm>
                        <a:prstGeom prst="rect">
                          <a:avLst/>
                        </a:prstGeom>
                        <a:noFill/>
                        <a:ln w="28575" cap="flat" cmpd="sng">
                          <a:solidFill>
                            <a:srgbClr val="C00000"/>
                          </a:solidFill>
                          <a:prstDash val="solid"/>
                          <a:round/>
                          <a:headEnd type="none" w="sm" len="sm"/>
                          <a:tailEnd type="none" w="sm" len="sm"/>
                        </a:ln>
                      </wps:spPr>
                      <wps:txbx>
                        <w:txbxContent>
                          <w:p w14:paraId="3C86DEC9" w14:textId="77777777" w:rsidR="00573E3C" w:rsidRDefault="00573E3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2413000</wp:posOffset>
                </wp:positionH>
                <wp:positionV relativeFrom="paragraph">
                  <wp:posOffset>1676400</wp:posOffset>
                </wp:positionV>
                <wp:extent cx="476410" cy="541823"/>
                <wp:effectExtent b="0" l="0" r="0" t="0"/>
                <wp:wrapNone/>
                <wp:docPr id="2140131839" name="image31.png"/>
                <a:graphic>
                  <a:graphicData uri="http://schemas.openxmlformats.org/drawingml/2006/picture">
                    <pic:pic>
                      <pic:nvPicPr>
                        <pic:cNvPr id="0" name="image31.png"/>
                        <pic:cNvPicPr preferRelativeResize="0"/>
                      </pic:nvPicPr>
                      <pic:blipFill>
                        <a:blip r:embed="rId31"/>
                        <a:srcRect/>
                        <a:stretch>
                          <a:fillRect/>
                        </a:stretch>
                      </pic:blipFill>
                      <pic:spPr>
                        <a:xfrm>
                          <a:off x="0" y="0"/>
                          <a:ext cx="476410" cy="541823"/>
                        </a:xfrm>
                        <a:prstGeom prst="rect"/>
                        <a:ln/>
                      </pic:spPr>
                    </pic:pic>
                  </a:graphicData>
                </a:graphic>
              </wp:anchor>
            </w:drawing>
          </mc:Fallback>
        </mc:AlternateContent>
      </w:r>
    </w:p>
    <w:p w14:paraId="310615D7"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precisó en líneas anteriores, a partir del uno de enero de dos mil quince la</w:t>
      </w:r>
      <w:r>
        <w:rPr>
          <w:rFonts w:ascii="Palatino Linotype" w:eastAsia="Palatino Linotype" w:hAnsi="Palatino Linotype" w:cs="Palatino Linotype"/>
        </w:rPr>
        <w:t xml:space="preserve">s entidades adheridas al Sistema Nacional de Coordinación Fiscal, participaron al 100% de la recaudación que se obtuvo del ISR que efectivamente se enteró a la Federación, correspondiente al salario del personal que preste o desempeñe un servicio personal </w:t>
      </w:r>
      <w:r>
        <w:rPr>
          <w:rFonts w:ascii="Palatino Linotype" w:eastAsia="Palatino Linotype" w:hAnsi="Palatino Linotype" w:cs="Palatino Linotype"/>
        </w:rPr>
        <w:t>subordinado en las dependencias del ente público respectivo, y sus organismos autónomos y entidades paraestatales y paramunicipales.</w:t>
      </w:r>
    </w:p>
    <w:p w14:paraId="51809B0B"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se robustece con el artículo 1° de Ley de Ingresos de los Municipios del Estado de México para el ejercicio 201</w:t>
      </w:r>
      <w:r>
        <w:rPr>
          <w:rFonts w:ascii="Palatino Linotype" w:eastAsia="Palatino Linotype" w:hAnsi="Palatino Linotype" w:cs="Palatino Linotype"/>
        </w:rPr>
        <w:t>5, en donde se visualiza  que dicho instrumento normativo contempló como ingreso para los municipios, el relativo al Impuesto Sobre la Renta efectivamente enterado a la Federación, correspondiente al salario de su personal que preste o desempeñe un servici</w:t>
      </w:r>
      <w:r>
        <w:rPr>
          <w:rFonts w:ascii="Palatino Linotype" w:eastAsia="Palatino Linotype" w:hAnsi="Palatino Linotype" w:cs="Palatino Linotype"/>
        </w:rPr>
        <w:t>o personal subordinado así como de sus organismos públicos descentralizados, que en su parte conducente dispone lo siguiente:</w:t>
      </w:r>
    </w:p>
    <w:p w14:paraId="4DC8C8D7" w14:textId="77777777" w:rsidR="00573E3C" w:rsidRDefault="00684DBC">
      <w:pPr>
        <w:spacing w:before="120" w:after="12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 La hacienda pública de los municipios</w:t>
      </w:r>
      <w:r>
        <w:rPr>
          <w:rFonts w:ascii="Palatino Linotype" w:eastAsia="Palatino Linotype" w:hAnsi="Palatino Linotype" w:cs="Palatino Linotype"/>
          <w:i/>
          <w:sz w:val="22"/>
          <w:szCs w:val="22"/>
        </w:rPr>
        <w:t xml:space="preserve"> del Estado de México, </w:t>
      </w:r>
      <w:r>
        <w:rPr>
          <w:rFonts w:ascii="Palatino Linotype" w:eastAsia="Palatino Linotype" w:hAnsi="Palatino Linotype" w:cs="Palatino Linotype"/>
          <w:b/>
          <w:i/>
          <w:sz w:val="22"/>
          <w:szCs w:val="22"/>
        </w:rPr>
        <w:t>percibirá durante el ejercicio fiscal del año 2015, los ingresos provenientes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 los conceptos</w:t>
      </w:r>
      <w:r>
        <w:rPr>
          <w:rFonts w:ascii="Palatino Linotype" w:eastAsia="Palatino Linotype" w:hAnsi="Palatino Linotype" w:cs="Palatino Linotype"/>
          <w:i/>
          <w:sz w:val="22"/>
          <w:szCs w:val="22"/>
        </w:rPr>
        <w:t xml:space="preserve"> que a continuación se enumeran:</w:t>
      </w:r>
    </w:p>
    <w:p w14:paraId="2ACDC3C3" w14:textId="77777777" w:rsidR="00573E3C" w:rsidRDefault="00684DBC">
      <w:pPr>
        <w:spacing w:before="120" w:after="12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32DBD9A5" w14:textId="77777777" w:rsidR="00573E3C" w:rsidRDefault="00684DBC">
      <w:pPr>
        <w:spacing w:before="120" w:after="120"/>
        <w:ind w:left="851"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8. PARTICIPACIONES, APORTACIONES, CONVENIOS Y SUBSIDIOS:</w:t>
      </w:r>
    </w:p>
    <w:p w14:paraId="3739658F" w14:textId="77777777" w:rsidR="00573E3C" w:rsidRDefault="00684DBC">
      <w:pPr>
        <w:spacing w:before="120" w:after="120"/>
        <w:ind w:left="1134"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FF9F7E4" w14:textId="77777777" w:rsidR="00573E3C" w:rsidRDefault="00684DBC">
      <w:pPr>
        <w:spacing w:before="120" w:after="120"/>
        <w:ind w:left="1134"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8.1.9. El Impuesto Sobre la Renta efectivamente enterado a la Federación, </w:t>
      </w:r>
      <w:r>
        <w:rPr>
          <w:rFonts w:ascii="Palatino Linotype" w:eastAsia="Palatino Linotype" w:hAnsi="Palatino Linotype" w:cs="Palatino Linotype"/>
          <w:i/>
          <w:sz w:val="22"/>
          <w:szCs w:val="22"/>
        </w:rPr>
        <w:t xml:space="preserve">correspondiente al salario de su personal que preste o desempeñe un servicio personal </w:t>
      </w:r>
      <w:proofErr w:type="gramStart"/>
      <w:r>
        <w:rPr>
          <w:rFonts w:ascii="Palatino Linotype" w:eastAsia="Palatino Linotype" w:hAnsi="Palatino Linotype" w:cs="Palatino Linotype"/>
          <w:i/>
          <w:sz w:val="22"/>
          <w:szCs w:val="22"/>
        </w:rPr>
        <w:t>subordinado</w:t>
      </w:r>
      <w:proofErr w:type="gramEnd"/>
      <w:r>
        <w:rPr>
          <w:rFonts w:ascii="Palatino Linotype" w:eastAsia="Palatino Linotype" w:hAnsi="Palatino Linotype" w:cs="Palatino Linotype"/>
          <w:i/>
          <w:sz w:val="22"/>
          <w:szCs w:val="22"/>
        </w:rPr>
        <w:t xml:space="preserve"> así como de sus organismos públicos descentralizados.</w:t>
      </w:r>
      <w:r>
        <w:rPr>
          <w:rFonts w:ascii="Palatino Linotype" w:eastAsia="Palatino Linotype" w:hAnsi="Palatino Linotype" w:cs="Palatino Linotype"/>
          <w:b/>
          <w:i/>
          <w:sz w:val="22"/>
          <w:szCs w:val="22"/>
        </w:rPr>
        <w:t xml:space="preserve">” </w:t>
      </w:r>
    </w:p>
    <w:p w14:paraId="23A7B09C"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efectuar la asignación </w:t>
      </w:r>
      <w:r>
        <w:rPr>
          <w:rFonts w:ascii="Palatino Linotype" w:eastAsia="Palatino Linotype" w:hAnsi="Palatino Linotype" w:cs="Palatino Linotype"/>
        </w:rPr>
        <w:t xml:space="preserve">de dichas participaciones, nuestra entidad federativa se ciñe a lo establecido en las Reglas para la Asignación de las Participaciones Federales y Estatales a los Municipios del Estado de México, las cuales, en su parte conducente disponen lo siguiente: </w:t>
      </w:r>
    </w:p>
    <w:p w14:paraId="732F0EC9"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Secretaría</w:t>
      </w:r>
      <w:r>
        <w:rPr>
          <w:rFonts w:ascii="Palatino Linotype" w:eastAsia="Palatino Linotype" w:hAnsi="Palatino Linotype" w:cs="Palatino Linotype"/>
          <w:i/>
          <w:sz w:val="22"/>
          <w:szCs w:val="22"/>
        </w:rPr>
        <w:t xml:space="preserve">, a la </w:t>
      </w:r>
      <w:r>
        <w:rPr>
          <w:rFonts w:ascii="Palatino Linotype" w:eastAsia="Palatino Linotype" w:hAnsi="Palatino Linotype" w:cs="Palatino Linotype"/>
          <w:b/>
          <w:i/>
          <w:sz w:val="22"/>
          <w:szCs w:val="22"/>
          <w:u w:val="single"/>
        </w:rPr>
        <w:t>Secretaría de Finanzas del Gobierno del Estado de México</w:t>
      </w:r>
    </w:p>
    <w:p w14:paraId="6F57251C"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D37992E" w14:textId="77777777" w:rsidR="00573E3C" w:rsidRDefault="00684DBC">
      <w:pPr>
        <w:spacing w:before="120" w:after="120"/>
        <w:ind w:left="851" w:right="902"/>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b/>
          <w:i/>
          <w:sz w:val="22"/>
          <w:szCs w:val="22"/>
        </w:rPr>
        <w:t>Tercera</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El Estado de México deberá liquidar a los municipios, a más tardar el último día hábil de cada mes, el monto que por concepto de participaciones provisionales Federales </w:t>
      </w:r>
      <w:r>
        <w:rPr>
          <w:rFonts w:ascii="Palatino Linotype" w:eastAsia="Palatino Linotype" w:hAnsi="Palatino Linotype" w:cs="Palatino Linotype"/>
          <w:i/>
          <w:sz w:val="22"/>
          <w:szCs w:val="22"/>
        </w:rPr>
        <w:t>y Estatales, les corresponde. Para tal efecto, l</w:t>
      </w:r>
      <w:r>
        <w:rPr>
          <w:rFonts w:ascii="Palatino Linotype" w:eastAsia="Palatino Linotype" w:hAnsi="Palatino Linotype" w:cs="Palatino Linotype"/>
          <w:b/>
          <w:i/>
          <w:sz w:val="22"/>
          <w:szCs w:val="22"/>
          <w:u w:val="single"/>
        </w:rPr>
        <w:t>a Secretaría emitirá una Constancia desglosando las participaciones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por cada uno de los conceptos señalados en el artículo 219 del Código Financiero.</w:t>
      </w:r>
    </w:p>
    <w:p w14:paraId="58FC7D35"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95C5210" w14:textId="77777777" w:rsidR="00573E3C" w:rsidRDefault="00684DBC">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DEL CÁLCULO DE PARTICIPACIONES POR CONCEPTO DEL ISR</w:t>
      </w:r>
    </w:p>
    <w:p w14:paraId="15C51AAA" w14:textId="77777777" w:rsidR="00573E3C" w:rsidRDefault="00684DBC">
      <w:pPr>
        <w:spacing w:before="120" w:after="120"/>
        <w:ind w:left="851" w:right="902"/>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b/>
          <w:i/>
          <w:sz w:val="22"/>
          <w:szCs w:val="22"/>
        </w:rPr>
        <w:t>Nove</w:t>
      </w:r>
      <w:r>
        <w:rPr>
          <w:rFonts w:ascii="Palatino Linotype" w:eastAsia="Palatino Linotype" w:hAnsi="Palatino Linotype" w:cs="Palatino Linotype"/>
          <w:b/>
          <w:i/>
          <w:sz w:val="22"/>
          <w:szCs w:val="22"/>
        </w:rPr>
        <w:t>na</w:t>
      </w:r>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 xml:space="preserve"> De conformidad con lo establecido en el artículo 223 del Código Financiero, </w:t>
      </w:r>
      <w:r>
        <w:rPr>
          <w:rFonts w:ascii="Palatino Linotype" w:eastAsia="Palatino Linotype" w:hAnsi="Palatino Linotype" w:cs="Palatino Linotype"/>
          <w:b/>
          <w:i/>
          <w:sz w:val="22"/>
          <w:szCs w:val="22"/>
        </w:rPr>
        <w:t xml:space="preserve">las participaciones derivadas del Impuesto Sobre la Renta correspondientes a cada Ayuntamiento y sus organismos públicos descentralizados </w:t>
      </w:r>
      <w:r>
        <w:rPr>
          <w:rFonts w:ascii="Palatino Linotype" w:eastAsia="Palatino Linotype" w:hAnsi="Palatino Linotype" w:cs="Palatino Linotype"/>
          <w:b/>
          <w:i/>
          <w:sz w:val="22"/>
          <w:szCs w:val="22"/>
          <w:u w:val="single"/>
        </w:rPr>
        <w:t>se transferirán a cada municipio conf</w:t>
      </w:r>
      <w:r>
        <w:rPr>
          <w:rFonts w:ascii="Palatino Linotype" w:eastAsia="Palatino Linotype" w:hAnsi="Palatino Linotype" w:cs="Palatino Linotype"/>
          <w:b/>
          <w:i/>
          <w:sz w:val="22"/>
          <w:szCs w:val="22"/>
          <w:u w:val="single"/>
        </w:rPr>
        <w:t>orme al monto efectivamente enterado a la federación</w:t>
      </w:r>
      <w:r>
        <w:rPr>
          <w:rFonts w:ascii="Palatino Linotype" w:eastAsia="Palatino Linotype" w:hAnsi="Palatino Linotype" w:cs="Palatino Linotype"/>
          <w:i/>
          <w:sz w:val="22"/>
          <w:szCs w:val="22"/>
        </w:rPr>
        <w:t>.”</w:t>
      </w:r>
    </w:p>
    <w:p w14:paraId="459C9FFC"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hasta aquí expuesto, se concluye que la federación transfiere recursos a las entidades federativas por concepto de participaciones federales, las cuales se encuentran previstas en el Ramo General</w:t>
      </w:r>
      <w:r>
        <w:rPr>
          <w:rFonts w:ascii="Palatino Linotype" w:eastAsia="Palatino Linotype" w:hAnsi="Palatino Linotype" w:cs="Palatino Linotype"/>
        </w:rPr>
        <w:t xml:space="preserve"> 28 Participaciones a Entidades Federativas </w:t>
      </w:r>
      <w:r>
        <w:rPr>
          <w:rFonts w:ascii="Palatino Linotype" w:eastAsia="Palatino Linotype" w:hAnsi="Palatino Linotype" w:cs="Palatino Linotype"/>
        </w:rPr>
        <w:lastRenderedPageBreak/>
        <w:t>y Municipios del Gasto no programable contemplado en el Presupuesto de Egresos la Federación de cada ejercicio fiscal, entre las que se encuentra la participación de la recaudación que se obtenga del ISR efectiva</w:t>
      </w:r>
      <w:r>
        <w:rPr>
          <w:rFonts w:ascii="Palatino Linotype" w:eastAsia="Palatino Linotype" w:hAnsi="Palatino Linotype" w:cs="Palatino Linotype"/>
        </w:rPr>
        <w:t>mente enterado correspondiente al salario del personal de los entes públicos; la entidad federativa a su vez, cuenta con la obligación de participar a los municipios el ISR que a éstos y a sus organismos públicos descentralizados les corresponda.</w:t>
      </w:r>
    </w:p>
    <w:p w14:paraId="24B2512D"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otras </w:t>
      </w:r>
      <w:r>
        <w:rPr>
          <w:rFonts w:ascii="Palatino Linotype" w:eastAsia="Palatino Linotype" w:hAnsi="Palatino Linotype" w:cs="Palatino Linotype"/>
        </w:rPr>
        <w:t xml:space="preserve">palabras, la entidad federativa, a través de la </w:t>
      </w:r>
      <w:proofErr w:type="gramStart"/>
      <w:r>
        <w:rPr>
          <w:rFonts w:ascii="Palatino Linotype" w:eastAsia="Palatino Linotype" w:hAnsi="Palatino Linotype" w:cs="Palatino Linotype"/>
        </w:rPr>
        <w:t>Secretaria</w:t>
      </w:r>
      <w:proofErr w:type="gramEnd"/>
      <w:r>
        <w:rPr>
          <w:rFonts w:ascii="Palatino Linotype" w:eastAsia="Palatino Linotype" w:hAnsi="Palatino Linotype" w:cs="Palatino Linotype"/>
        </w:rPr>
        <w:t xml:space="preserve"> de Finanzas es responsable de transferir a los municipios las participaciones derivadas del Impuesto Sobre la Renta, que le corresponda a los ayuntamientos y a sus organismos descentralizados, </w:t>
      </w:r>
      <w:r>
        <w:rPr>
          <w:rFonts w:ascii="Palatino Linotype" w:eastAsia="Palatino Linotype" w:hAnsi="Palatino Linotype" w:cs="Palatino Linotype"/>
          <w:b/>
          <w:u w:val="single"/>
        </w:rPr>
        <w:t>lo q</w:t>
      </w:r>
      <w:r>
        <w:rPr>
          <w:rFonts w:ascii="Palatino Linotype" w:eastAsia="Palatino Linotype" w:hAnsi="Palatino Linotype" w:cs="Palatino Linotype"/>
          <w:b/>
          <w:u w:val="single"/>
        </w:rPr>
        <w:t>ue se traduce en la imposibilidad de los organismos descentralizados para atender los requerimientos de información en estudio</w:t>
      </w:r>
      <w:r>
        <w:rPr>
          <w:rFonts w:ascii="Palatino Linotype" w:eastAsia="Palatino Linotype" w:hAnsi="Palatino Linotype" w:cs="Palatino Linotype"/>
        </w:rPr>
        <w:t>, siendo el ayuntamiento el competente para contar con la información requerida.</w:t>
      </w:r>
    </w:p>
    <w:p w14:paraId="67E101E3"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Robustece lo anterior el artículo 223 del Código </w:t>
      </w:r>
      <w:r>
        <w:rPr>
          <w:rFonts w:ascii="Palatino Linotype" w:eastAsia="Palatino Linotype" w:hAnsi="Palatino Linotype" w:cs="Palatino Linotype"/>
        </w:rPr>
        <w:t xml:space="preserve">Financiero del Estado de México, a saber:  </w:t>
      </w:r>
    </w:p>
    <w:p w14:paraId="3E1259CD" w14:textId="77777777" w:rsidR="00573E3C" w:rsidRDefault="00684DBC">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223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Las participaciones derivadas del Impuesto Sobre la Renta</w:t>
      </w:r>
      <w:r>
        <w:rPr>
          <w:rFonts w:ascii="Palatino Linotype" w:eastAsia="Palatino Linotype" w:hAnsi="Palatino Linotype" w:cs="Palatino Linotype"/>
          <w:i/>
          <w:sz w:val="22"/>
          <w:szCs w:val="22"/>
        </w:rPr>
        <w:t xml:space="preserve"> correspondientes a cada Ayuntamiento y sus organismos públicos descentralizados </w:t>
      </w:r>
      <w:r>
        <w:rPr>
          <w:rFonts w:ascii="Palatino Linotype" w:eastAsia="Palatino Linotype" w:hAnsi="Palatino Linotype" w:cs="Palatino Linotype"/>
          <w:b/>
          <w:i/>
          <w:sz w:val="22"/>
          <w:szCs w:val="22"/>
          <w:u w:val="single"/>
        </w:rPr>
        <w:t>se transferirán a cada municipio</w:t>
      </w:r>
      <w:r>
        <w:rPr>
          <w:rFonts w:ascii="Palatino Linotype" w:eastAsia="Palatino Linotype" w:hAnsi="Palatino Linotype" w:cs="Palatino Linotype"/>
          <w:i/>
          <w:sz w:val="22"/>
          <w:szCs w:val="22"/>
        </w:rPr>
        <w:t xml:space="preserve"> conforme al monto efectivamente enterado a la federación.”</w:t>
      </w:r>
    </w:p>
    <w:p w14:paraId="610BDC5F"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Y, si bien es cierto la Secretaría de Finanzas transfiere los recursos por concepto</w:t>
      </w:r>
      <w:r>
        <w:rPr>
          <w:rFonts w:ascii="Palatino Linotype" w:eastAsia="Palatino Linotype" w:hAnsi="Palatino Linotype" w:cs="Palatino Linotype"/>
        </w:rPr>
        <w:t xml:space="preserve"> de participaciones a los municipios y genera la Constancia en la que desglosa las participaciones, no menos cierto es que la información también puede ser obtenida por los propios municipios.</w:t>
      </w:r>
    </w:p>
    <w:p w14:paraId="1F120C9E"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Como sustento de lo anterior, el artículo 6, antepenúltimo párr</w:t>
      </w:r>
      <w:r>
        <w:rPr>
          <w:rFonts w:ascii="Palatino Linotype" w:eastAsia="Palatino Linotype" w:hAnsi="Palatino Linotype" w:cs="Palatino Linotype"/>
        </w:rPr>
        <w:t xml:space="preserve">afo de la Ley de Coordinación Fiscal, dispone que la entidad federativa, por medio de la dependencia competente -la Secretaría de Finanzas-, cuenta con la obligación de publicar a más tardar el 15 de febrero de cada ejercicio, en el Periódico Oficial, así </w:t>
      </w:r>
      <w:r>
        <w:rPr>
          <w:rFonts w:ascii="Palatino Linotype" w:eastAsia="Palatino Linotype" w:hAnsi="Palatino Linotype" w:cs="Palatino Linotype"/>
        </w:rPr>
        <w:t xml:space="preserve">como en su página oficial de Internet, el calendario de entrega, porcentaje, fórmulas y variables utilizadas, así como los </w:t>
      </w:r>
      <w:r>
        <w:rPr>
          <w:rFonts w:ascii="Palatino Linotype" w:eastAsia="Palatino Linotype" w:hAnsi="Palatino Linotype" w:cs="Palatino Linotype"/>
          <w:b/>
          <w:u w:val="single"/>
        </w:rPr>
        <w:t>montos estimados, de las participaciones que las entidades reciban y de las que tengan obligación de participar a sus municipios o de</w:t>
      </w:r>
      <w:r>
        <w:rPr>
          <w:rFonts w:ascii="Palatino Linotype" w:eastAsia="Palatino Linotype" w:hAnsi="Palatino Linotype" w:cs="Palatino Linotype"/>
          <w:b/>
          <w:u w:val="single"/>
        </w:rPr>
        <w:t>marcaciones territoriales</w:t>
      </w:r>
      <w:r>
        <w:rPr>
          <w:rFonts w:ascii="Palatino Linotype" w:eastAsia="Palatino Linotype" w:hAnsi="Palatino Linotype" w:cs="Palatino Linotype"/>
        </w:rPr>
        <w:t xml:space="preserve">, así como a </w:t>
      </w:r>
      <w:r>
        <w:rPr>
          <w:rFonts w:ascii="Palatino Linotype" w:eastAsia="Palatino Linotype" w:hAnsi="Palatino Linotype" w:cs="Palatino Linotype"/>
          <w:b/>
          <w:u w:val="single"/>
        </w:rPr>
        <w:t>publicar trimestralmente</w:t>
      </w:r>
      <w:r>
        <w:rPr>
          <w:rFonts w:ascii="Palatino Linotype" w:eastAsia="Palatino Linotype" w:hAnsi="Palatino Linotype" w:cs="Palatino Linotype"/>
        </w:rPr>
        <w:t xml:space="preserve"> de a través de los mismos medios, </w:t>
      </w:r>
      <w:r>
        <w:rPr>
          <w:rFonts w:ascii="Palatino Linotype" w:eastAsia="Palatino Linotype" w:hAnsi="Palatino Linotype" w:cs="Palatino Linotype"/>
          <w:b/>
          <w:u w:val="single"/>
        </w:rPr>
        <w:t>el importe de las participaciones entregadas y, en su caso, el ajuste realizado al término de cada ejercicio fiscal</w:t>
      </w:r>
      <w:r>
        <w:rPr>
          <w:rFonts w:ascii="Palatino Linotype" w:eastAsia="Palatino Linotype" w:hAnsi="Palatino Linotype" w:cs="Palatino Linotype"/>
        </w:rPr>
        <w:t>, publicaciones que se deberán realizar conf</w:t>
      </w:r>
      <w:r>
        <w:rPr>
          <w:rFonts w:ascii="Palatino Linotype" w:eastAsia="Palatino Linotype" w:hAnsi="Palatino Linotype" w:cs="Palatino Linotype"/>
        </w:rPr>
        <w:t xml:space="preserve">orme a los lineamientos que al efecto emita la Secretaría de Hacienda y Crédito Público, por lo que en estricto sentido, dicha información se encuentra disponible y es de acceso público, como se ilustra a continuación respecto del ejercicio 2023, a manera </w:t>
      </w:r>
      <w:r>
        <w:rPr>
          <w:rFonts w:ascii="Palatino Linotype" w:eastAsia="Palatino Linotype" w:hAnsi="Palatino Linotype" w:cs="Palatino Linotype"/>
        </w:rPr>
        <w:t>de ejemplo:</w:t>
      </w:r>
    </w:p>
    <w:p w14:paraId="127AD6A7"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1A13740" wp14:editId="70D14559">
            <wp:extent cx="5612130" cy="835025"/>
            <wp:effectExtent l="0" t="0" r="0" b="0"/>
            <wp:docPr id="21401318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612130" cy="835025"/>
                    </a:xfrm>
                    <a:prstGeom prst="rect">
                      <a:avLst/>
                    </a:prstGeom>
                    <a:ln/>
                  </pic:spPr>
                </pic:pic>
              </a:graphicData>
            </a:graphic>
          </wp:inline>
        </w:drawing>
      </w:r>
      <w:r>
        <w:rPr>
          <w:rFonts w:ascii="Palatino Linotype" w:eastAsia="Palatino Linotype" w:hAnsi="Palatino Linotype" w:cs="Palatino Linotype"/>
          <w:noProof/>
        </w:rPr>
        <w:drawing>
          <wp:inline distT="0" distB="0" distL="0" distR="0" wp14:anchorId="275E62E4" wp14:editId="6B048C88">
            <wp:extent cx="5612130" cy="266700"/>
            <wp:effectExtent l="0" t="0" r="0" b="0"/>
            <wp:docPr id="21401318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b="61573"/>
                    <a:stretch>
                      <a:fillRect/>
                    </a:stretch>
                  </pic:blipFill>
                  <pic:spPr>
                    <a:xfrm>
                      <a:off x="0" y="0"/>
                      <a:ext cx="5612130" cy="266700"/>
                    </a:xfrm>
                    <a:prstGeom prst="rect">
                      <a:avLst/>
                    </a:prstGeom>
                    <a:ln/>
                  </pic:spPr>
                </pic:pic>
              </a:graphicData>
            </a:graphic>
          </wp:inline>
        </w:drawing>
      </w:r>
      <w:r>
        <w:rPr>
          <w:rFonts w:ascii="Palatino Linotype" w:eastAsia="Palatino Linotype" w:hAnsi="Palatino Linotype" w:cs="Palatino Linotype"/>
          <w:noProof/>
        </w:rPr>
        <w:drawing>
          <wp:inline distT="0" distB="0" distL="0" distR="0" wp14:anchorId="28903717" wp14:editId="3F9E4698">
            <wp:extent cx="5612130" cy="675005"/>
            <wp:effectExtent l="0" t="0" r="0" b="0"/>
            <wp:docPr id="21401318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5612130" cy="675005"/>
                    </a:xfrm>
                    <a:prstGeom prst="rect">
                      <a:avLst/>
                    </a:prstGeom>
                    <a:ln/>
                  </pic:spPr>
                </pic:pic>
              </a:graphicData>
            </a:graphic>
          </wp:inline>
        </w:drawing>
      </w:r>
    </w:p>
    <w:p w14:paraId="0D898290" w14:textId="77777777" w:rsidR="00573E3C" w:rsidRDefault="00684DBC">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6071BDF" wp14:editId="49C50E02">
            <wp:extent cx="4680000" cy="3584927"/>
            <wp:effectExtent l="0" t="0" r="0" b="0"/>
            <wp:docPr id="21401318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4680000" cy="3584927"/>
                    </a:xfrm>
                    <a:prstGeom prst="rect">
                      <a:avLst/>
                    </a:prstGeom>
                    <a:ln/>
                  </pic:spPr>
                </pic:pic>
              </a:graphicData>
            </a:graphic>
          </wp:inline>
        </w:drawing>
      </w:r>
      <w:r>
        <w:rPr>
          <w:rFonts w:ascii="Palatino Linotype" w:eastAsia="Palatino Linotype" w:hAnsi="Palatino Linotype" w:cs="Palatino Linotype"/>
        </w:rPr>
        <w:t xml:space="preserve"> </w:t>
      </w:r>
    </w:p>
    <w:p w14:paraId="6F628322" w14:textId="77777777" w:rsidR="00573E3C" w:rsidRDefault="00684DBC">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27B72DF5" wp14:editId="396AD191">
            <wp:extent cx="5612130" cy="3249295"/>
            <wp:effectExtent l="0" t="0" r="0" b="0"/>
            <wp:docPr id="21401318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5612130" cy="3249295"/>
                    </a:xfrm>
                    <a:prstGeom prst="rect">
                      <a:avLst/>
                    </a:prstGeom>
                    <a:ln/>
                  </pic:spPr>
                </pic:pic>
              </a:graphicData>
            </a:graphic>
          </wp:inline>
        </w:drawing>
      </w:r>
      <w:r>
        <w:rPr>
          <w:rFonts w:ascii="Palatino Linotype" w:eastAsia="Palatino Linotype" w:hAnsi="Palatino Linotype" w:cs="Palatino Linotype"/>
        </w:rPr>
        <w:t xml:space="preserve"> </w:t>
      </w:r>
      <w:r>
        <w:rPr>
          <w:noProof/>
        </w:rPr>
        <mc:AlternateContent>
          <mc:Choice Requires="wpg">
            <w:drawing>
              <wp:anchor distT="0" distB="0" distL="114300" distR="114300" simplePos="0" relativeHeight="251660288" behindDoc="0" locked="0" layoutInCell="1" hidden="0" allowOverlap="1" wp14:anchorId="51F67F0B" wp14:editId="78749AE4">
                <wp:simplePos x="0" y="0"/>
                <wp:positionH relativeFrom="column">
                  <wp:posOffset>406400</wp:posOffset>
                </wp:positionH>
                <wp:positionV relativeFrom="paragraph">
                  <wp:posOffset>1892300</wp:posOffset>
                </wp:positionV>
                <wp:extent cx="1741099" cy="740433"/>
                <wp:effectExtent l="0" t="0" r="0" b="0"/>
                <wp:wrapNone/>
                <wp:docPr id="2140131844" name=""/>
                <wp:cNvGraphicFramePr/>
                <a:graphic xmlns:a="http://schemas.openxmlformats.org/drawingml/2006/main">
                  <a:graphicData uri="http://schemas.microsoft.com/office/word/2010/wordprocessingShape">
                    <wps:wsp>
                      <wps:cNvSpPr/>
                      <wps:spPr>
                        <a:xfrm>
                          <a:off x="4513551" y="3447884"/>
                          <a:ext cx="1664899" cy="664233"/>
                        </a:xfrm>
                        <a:prstGeom prst="rect">
                          <a:avLst/>
                        </a:prstGeom>
                        <a:noFill/>
                        <a:ln w="38100" cap="flat" cmpd="sng">
                          <a:solidFill>
                            <a:srgbClr val="C00000"/>
                          </a:solidFill>
                          <a:prstDash val="solid"/>
                          <a:round/>
                          <a:headEnd type="none" w="sm" len="sm"/>
                          <a:tailEnd type="none" w="sm" len="sm"/>
                        </a:ln>
                      </wps:spPr>
                      <wps:txbx>
                        <w:txbxContent>
                          <w:p w14:paraId="12814553" w14:textId="77777777" w:rsidR="00573E3C" w:rsidRDefault="00573E3C">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406400</wp:posOffset>
                </wp:positionH>
                <wp:positionV relativeFrom="paragraph">
                  <wp:posOffset>1892300</wp:posOffset>
                </wp:positionV>
                <wp:extent cx="1741099" cy="740433"/>
                <wp:effectExtent b="0" l="0" r="0" t="0"/>
                <wp:wrapNone/>
                <wp:docPr id="2140131844" name="image36.png"/>
                <a:graphic>
                  <a:graphicData uri="http://schemas.openxmlformats.org/drawingml/2006/picture">
                    <pic:pic>
                      <pic:nvPicPr>
                        <pic:cNvPr id="0" name="image36.png"/>
                        <pic:cNvPicPr preferRelativeResize="0"/>
                      </pic:nvPicPr>
                      <pic:blipFill>
                        <a:blip r:embed="rId37"/>
                        <a:srcRect/>
                        <a:stretch>
                          <a:fillRect/>
                        </a:stretch>
                      </pic:blipFill>
                      <pic:spPr>
                        <a:xfrm>
                          <a:off x="0" y="0"/>
                          <a:ext cx="1741099" cy="740433"/>
                        </a:xfrm>
                        <a:prstGeom prst="rect"/>
                        <a:ln/>
                      </pic:spPr>
                    </pic:pic>
                  </a:graphicData>
                </a:graphic>
              </wp:anchor>
            </w:drawing>
          </mc:Fallback>
        </mc:AlternateContent>
      </w:r>
    </w:p>
    <w:p w14:paraId="314DB1BA" w14:textId="77777777" w:rsidR="00573E3C" w:rsidRDefault="00684DBC">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C670B20" wp14:editId="08228C7E">
            <wp:extent cx="5612130" cy="821055"/>
            <wp:effectExtent l="0" t="0" r="0" b="0"/>
            <wp:docPr id="21401318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5612130" cy="821055"/>
                    </a:xfrm>
                    <a:prstGeom prst="rect">
                      <a:avLst/>
                    </a:prstGeom>
                    <a:ln/>
                  </pic:spPr>
                </pic:pic>
              </a:graphicData>
            </a:graphic>
          </wp:inline>
        </w:drawing>
      </w:r>
      <w:r>
        <w:rPr>
          <w:noProof/>
        </w:rPr>
        <mc:AlternateContent>
          <mc:Choice Requires="wpg">
            <w:drawing>
              <wp:anchor distT="0" distB="0" distL="114300" distR="114300" simplePos="0" relativeHeight="251661312" behindDoc="0" locked="0" layoutInCell="1" hidden="0" allowOverlap="1" wp14:anchorId="3074644A" wp14:editId="7C382C4B">
                <wp:simplePos x="0" y="0"/>
                <wp:positionH relativeFrom="column">
                  <wp:posOffset>3124200</wp:posOffset>
                </wp:positionH>
                <wp:positionV relativeFrom="paragraph">
                  <wp:posOffset>190500</wp:posOffset>
                </wp:positionV>
                <wp:extent cx="201213" cy="180749"/>
                <wp:effectExtent l="0" t="0" r="0" b="0"/>
                <wp:wrapNone/>
                <wp:docPr id="2140131843" name=""/>
                <wp:cNvGraphicFramePr/>
                <a:graphic xmlns:a="http://schemas.openxmlformats.org/drawingml/2006/main">
                  <a:graphicData uri="http://schemas.microsoft.com/office/word/2010/wordprocessingShape">
                    <wps:wsp>
                      <wps:cNvCnPr/>
                      <wps:spPr>
                        <a:xfrm flipH="1">
                          <a:off x="5270794" y="3715026"/>
                          <a:ext cx="150413" cy="129949"/>
                        </a:xfrm>
                        <a:prstGeom prst="straightConnector1">
                          <a:avLst/>
                        </a:prstGeom>
                        <a:noFill/>
                        <a:ln w="25400" cap="flat" cmpd="sng">
                          <a:solidFill>
                            <a:srgbClr val="C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3124200</wp:posOffset>
                </wp:positionH>
                <wp:positionV relativeFrom="paragraph">
                  <wp:posOffset>190500</wp:posOffset>
                </wp:positionV>
                <wp:extent cx="201213" cy="180749"/>
                <wp:effectExtent b="0" l="0" r="0" t="0"/>
                <wp:wrapNone/>
                <wp:docPr id="2140131843" name="image35.png"/>
                <a:graphic>
                  <a:graphicData uri="http://schemas.openxmlformats.org/drawingml/2006/picture">
                    <pic:pic>
                      <pic:nvPicPr>
                        <pic:cNvPr id="0" name="image35.png"/>
                        <pic:cNvPicPr preferRelativeResize="0"/>
                      </pic:nvPicPr>
                      <pic:blipFill>
                        <a:blip r:embed="rId39"/>
                        <a:srcRect/>
                        <a:stretch>
                          <a:fillRect/>
                        </a:stretch>
                      </pic:blipFill>
                      <pic:spPr>
                        <a:xfrm>
                          <a:off x="0" y="0"/>
                          <a:ext cx="201213" cy="180749"/>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1208290B" wp14:editId="5E1B3EC5">
                <wp:simplePos x="0" y="0"/>
                <wp:positionH relativeFrom="column">
                  <wp:posOffset>4991100</wp:posOffset>
                </wp:positionH>
                <wp:positionV relativeFrom="paragraph">
                  <wp:posOffset>-101599</wp:posOffset>
                </wp:positionV>
                <wp:extent cx="294861" cy="207341"/>
                <wp:effectExtent l="0" t="0" r="0" b="0"/>
                <wp:wrapNone/>
                <wp:docPr id="2140131840" name=""/>
                <wp:cNvGraphicFramePr/>
                <a:graphic xmlns:a="http://schemas.openxmlformats.org/drawingml/2006/main">
                  <a:graphicData uri="http://schemas.microsoft.com/office/word/2010/wordprocessingShape">
                    <wps:wsp>
                      <wps:cNvCnPr/>
                      <wps:spPr>
                        <a:xfrm>
                          <a:off x="5223970" y="3701730"/>
                          <a:ext cx="244061" cy="156541"/>
                        </a:xfrm>
                        <a:prstGeom prst="straightConnector1">
                          <a:avLst/>
                        </a:prstGeom>
                        <a:noFill/>
                        <a:ln w="25400" cap="flat" cmpd="sng">
                          <a:solidFill>
                            <a:srgbClr val="C0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4991100</wp:posOffset>
                </wp:positionH>
                <wp:positionV relativeFrom="paragraph">
                  <wp:posOffset>-101599</wp:posOffset>
                </wp:positionV>
                <wp:extent cx="294861" cy="207341"/>
                <wp:effectExtent b="0" l="0" r="0" t="0"/>
                <wp:wrapNone/>
                <wp:docPr id="2140131840" name="image32.png"/>
                <a:graphic>
                  <a:graphicData uri="http://schemas.openxmlformats.org/drawingml/2006/picture">
                    <pic:pic>
                      <pic:nvPicPr>
                        <pic:cNvPr id="0" name="image32.png"/>
                        <pic:cNvPicPr preferRelativeResize="0"/>
                      </pic:nvPicPr>
                      <pic:blipFill>
                        <a:blip r:embed="rId40"/>
                        <a:srcRect/>
                        <a:stretch>
                          <a:fillRect/>
                        </a:stretch>
                      </pic:blipFill>
                      <pic:spPr>
                        <a:xfrm>
                          <a:off x="0" y="0"/>
                          <a:ext cx="294861" cy="207341"/>
                        </a:xfrm>
                        <a:prstGeom prst="rect"/>
                        <a:ln/>
                      </pic:spPr>
                    </pic:pic>
                  </a:graphicData>
                </a:graphic>
              </wp:anchor>
            </w:drawing>
          </mc:Fallback>
        </mc:AlternateContent>
      </w:r>
    </w:p>
    <w:p w14:paraId="0CA80883"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Cabe señalar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la consulta de participaciones a municipios, se genera un documento el cual puede descargarse en formato Excel.  </w:t>
      </w:r>
    </w:p>
    <w:p w14:paraId="255B3832"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se señala que la Constancia mensual de liquidación de participaciones de los municipios del Estado de Méxic</w:t>
      </w:r>
      <w:r>
        <w:rPr>
          <w:rFonts w:ascii="Palatino Linotype" w:eastAsia="Palatino Linotype" w:hAnsi="Palatino Linotype" w:cs="Palatino Linotype"/>
        </w:rPr>
        <w:t>o, se puede obtener por los propios municipios bajo la siguiente serie de pasos establecida en el portal del Registro Estatal de Trámites y Servicios:</w:t>
      </w:r>
    </w:p>
    <w:p w14:paraId="3787AF41" w14:textId="77777777" w:rsidR="00573E3C" w:rsidRDefault="00684DB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Constancia mensual de liquidación de participaciones de los municipios del Estado de México</w:t>
      </w:r>
    </w:p>
    <w:p w14:paraId="6B5B2953" w14:textId="77777777" w:rsidR="00573E3C" w:rsidRDefault="00684DBC">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1. Deberá ing</w:t>
      </w:r>
      <w:r>
        <w:rPr>
          <w:rFonts w:ascii="Palatino Linotype" w:eastAsia="Palatino Linotype" w:hAnsi="Palatino Linotype" w:cs="Palatino Linotype"/>
        </w:rPr>
        <w:t xml:space="preserve">resar a la página web de la Secretaría de Finanzas: </w:t>
      </w:r>
      <w:hyperlink r:id="rId41">
        <w:r>
          <w:rPr>
            <w:rFonts w:ascii="Palatino Linotype" w:eastAsia="Palatino Linotype" w:hAnsi="Palatino Linotype" w:cs="Palatino Linotype"/>
            <w:u w:val="single"/>
          </w:rPr>
          <w:t>https://sfpya.edomexico.gob.mx/participaciones/</w:t>
        </w:r>
      </w:hyperlink>
      <w:r>
        <w:rPr>
          <w:rFonts w:ascii="Palatino Linotype" w:eastAsia="Palatino Linotype" w:hAnsi="Palatino Linotype" w:cs="Palatino Linotype"/>
        </w:rPr>
        <w:t xml:space="preserve"> </w:t>
      </w:r>
    </w:p>
    <w:p w14:paraId="234D57C1" w14:textId="77777777" w:rsidR="00573E3C" w:rsidRDefault="00684DBC">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2. Una vez dentro de la página, seleccionar la opción de "Participaciones a Municipios".</w:t>
      </w:r>
    </w:p>
    <w:p w14:paraId="692C51AA" w14:textId="77777777" w:rsidR="00573E3C" w:rsidRDefault="00684DBC">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 3. Dar clic en al apartado de “Constancias de Participaciones”, aparecerá un cuadro con diferentes opciones (Municipio, año y mes), dependiendo del municipio y tempor</w:t>
      </w:r>
      <w:r>
        <w:rPr>
          <w:rFonts w:ascii="Palatino Linotype" w:eastAsia="Palatino Linotype" w:hAnsi="Palatino Linotype" w:cs="Palatino Linotype"/>
        </w:rPr>
        <w:t xml:space="preserve">alidad. </w:t>
      </w:r>
    </w:p>
    <w:p w14:paraId="6445DCB1" w14:textId="77777777" w:rsidR="00573E3C" w:rsidRDefault="00684DBC">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4. Seleccione el municipio, año y mes del que desea obtener la constancia de liquidación de participaciones y oprima el botón "Generar". </w:t>
      </w:r>
    </w:p>
    <w:p w14:paraId="67306EC1" w14:textId="77777777" w:rsidR="00573E3C" w:rsidRDefault="00684DBC">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5. El sistema generar una constancia sin validez oficial, a modo de consulta. </w:t>
      </w:r>
    </w:p>
    <w:p w14:paraId="4815D700" w14:textId="77777777" w:rsidR="00573E3C" w:rsidRDefault="00684DBC">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lastRenderedPageBreak/>
        <w:t>En caso de ser servidora o ser</w:t>
      </w:r>
      <w:r>
        <w:rPr>
          <w:rFonts w:ascii="Palatino Linotype" w:eastAsia="Palatino Linotype" w:hAnsi="Palatino Linotype" w:cs="Palatino Linotype"/>
        </w:rPr>
        <w:t>vidor público municipal y a fin de obtener la constancia de liquidación de participaciones con validez oficial, una vez generada la constancia sin validez oficial:</w:t>
      </w:r>
    </w:p>
    <w:p w14:paraId="08E602A1" w14:textId="77777777" w:rsidR="00573E3C" w:rsidRDefault="00684DBC">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6. Deberá presionar el botón "COMPROBANTE" situado en la parte inferior de la pantalla, debe</w:t>
      </w:r>
      <w:r>
        <w:rPr>
          <w:rFonts w:ascii="Palatino Linotype" w:eastAsia="Palatino Linotype" w:hAnsi="Palatino Linotype" w:cs="Palatino Linotype"/>
        </w:rPr>
        <w:t xml:space="preserve">rá Introducir el "Usuario" y "Contraseña". </w:t>
      </w:r>
    </w:p>
    <w:p w14:paraId="7AFF95FA" w14:textId="77777777" w:rsidR="00573E3C" w:rsidRDefault="00684DBC">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7. Seleccionar la opción “Constancias de liquidación oficiales”. </w:t>
      </w:r>
    </w:p>
    <w:p w14:paraId="3A29A091" w14:textId="77777777" w:rsidR="00573E3C" w:rsidRDefault="00684DBC">
      <w:pPr>
        <w:spacing w:before="240" w:after="240" w:line="276"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8. Por último, seleccionar el mes deseado y el sistema generará la constancia con sello digital.</w:t>
      </w:r>
    </w:p>
    <w:p w14:paraId="6A01A12E"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resaltar que al ejecutar los pasos estableci</w:t>
      </w:r>
      <w:r>
        <w:rPr>
          <w:rFonts w:ascii="Palatino Linotype" w:eastAsia="Palatino Linotype" w:hAnsi="Palatino Linotype" w:cs="Palatino Linotype"/>
        </w:rPr>
        <w:t>dos en los numerales del 1 al 5 este Organismo Garante logró obtener la siguiente constancia de liquidación de participaciones en la que se puede observar el monto por el concepto de participaciones en el que se aprecia el monto por Impuesto Sobre la Renta</w:t>
      </w:r>
      <w:r>
        <w:rPr>
          <w:rFonts w:ascii="Palatino Linotype" w:eastAsia="Palatino Linotype" w:hAnsi="Palatino Linotype" w:cs="Palatino Linotype"/>
        </w:rPr>
        <w:t xml:space="preserve">, tal como se ilustra en la siguiente imagen: </w:t>
      </w:r>
    </w:p>
    <w:p w14:paraId="5B915EFD" w14:textId="77777777" w:rsidR="00573E3C" w:rsidRDefault="00684DBC">
      <w:pPr>
        <w:spacing w:before="240" w:after="240" w:line="360" w:lineRule="auto"/>
        <w:jc w:val="both"/>
        <w:rPr>
          <w:rFonts w:ascii="Palatino Linotype" w:eastAsia="Palatino Linotype" w:hAnsi="Palatino Linotype" w:cs="Palatino Linotype"/>
        </w:rPr>
      </w:pPr>
      <w:r>
        <w:rPr>
          <w:noProof/>
        </w:rPr>
        <mc:AlternateContent>
          <mc:Choice Requires="wpg">
            <w:drawing>
              <wp:anchor distT="0" distB="0" distL="114300" distR="114300" simplePos="0" relativeHeight="251663360" behindDoc="0" locked="0" layoutInCell="1" hidden="0" allowOverlap="1" wp14:anchorId="5643F91C" wp14:editId="08B89672">
                <wp:simplePos x="0" y="0"/>
                <wp:positionH relativeFrom="column">
                  <wp:posOffset>101601</wp:posOffset>
                </wp:positionH>
                <wp:positionV relativeFrom="paragraph">
                  <wp:posOffset>0</wp:posOffset>
                </wp:positionV>
                <wp:extent cx="5546928" cy="3134469"/>
                <wp:effectExtent l="0" t="0" r="0" b="0"/>
                <wp:wrapNone/>
                <wp:docPr id="2140131841" name=""/>
                <wp:cNvGraphicFramePr/>
                <a:graphic xmlns:a="http://schemas.openxmlformats.org/drawingml/2006/main">
                  <a:graphicData uri="http://schemas.microsoft.com/office/word/2010/wordprocessingShape">
                    <wps:wsp>
                      <wps:cNvCnPr/>
                      <wps:spPr>
                        <a:xfrm>
                          <a:off x="2597936" y="2238166"/>
                          <a:ext cx="5496128" cy="3083669"/>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46928" cy="3134469"/>
                <wp:effectExtent b="0" l="0" r="0" t="0"/>
                <wp:wrapNone/>
                <wp:docPr id="2140131841" name="image33.png"/>
                <a:graphic>
                  <a:graphicData uri="http://schemas.openxmlformats.org/drawingml/2006/picture">
                    <pic:pic>
                      <pic:nvPicPr>
                        <pic:cNvPr id="0" name="image33.png"/>
                        <pic:cNvPicPr preferRelativeResize="0"/>
                      </pic:nvPicPr>
                      <pic:blipFill>
                        <a:blip r:embed="rId42"/>
                        <a:srcRect/>
                        <a:stretch>
                          <a:fillRect/>
                        </a:stretch>
                      </pic:blipFill>
                      <pic:spPr>
                        <a:xfrm>
                          <a:off x="0" y="0"/>
                          <a:ext cx="5546928" cy="3134469"/>
                        </a:xfrm>
                        <a:prstGeom prst="rect"/>
                        <a:ln/>
                      </pic:spPr>
                    </pic:pic>
                  </a:graphicData>
                </a:graphic>
              </wp:anchor>
            </w:drawing>
          </mc:Fallback>
        </mc:AlternateContent>
      </w:r>
    </w:p>
    <w:p w14:paraId="72F604B8" w14:textId="77777777" w:rsidR="00573E3C" w:rsidRDefault="00684DBC">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C703CC7" wp14:editId="68D85BF5">
            <wp:extent cx="4284000" cy="6321311"/>
            <wp:effectExtent l="0" t="0" r="0" b="0"/>
            <wp:docPr id="21401318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4284000" cy="6321311"/>
                    </a:xfrm>
                    <a:prstGeom prst="rect">
                      <a:avLst/>
                    </a:prstGeom>
                    <a:ln/>
                  </pic:spPr>
                </pic:pic>
              </a:graphicData>
            </a:graphic>
          </wp:inline>
        </w:drawing>
      </w:r>
    </w:p>
    <w:p w14:paraId="63200DDD"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Con base en lo previo, se colige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facultades para generar, poseer y/o administrar la información solicitada en los requerimientos en </w:t>
      </w:r>
      <w:r>
        <w:rPr>
          <w:rFonts w:ascii="Palatino Linotype" w:eastAsia="Palatino Linotype" w:hAnsi="Palatino Linotype" w:cs="Palatino Linotype"/>
        </w:rPr>
        <w:lastRenderedPageBreak/>
        <w:t>estudio, en razón de que las participac</w:t>
      </w:r>
      <w:r>
        <w:rPr>
          <w:rFonts w:ascii="Palatino Linotype" w:eastAsia="Palatino Linotype" w:hAnsi="Palatino Linotype" w:cs="Palatino Linotype"/>
        </w:rPr>
        <w:t>iones fueron recibidas y formaron parte de la hacienda pública municipal.</w:t>
      </w:r>
    </w:p>
    <w:p w14:paraId="5FC0BD69"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Y, si bien, en el presente asunto la solicitud se turnó a la Tesorería Municipal, como el área competente para conocer de la información de los puntos en estudio, lo cierto es que esta no agotó los principios de congruencia y exhaustividad, ya que no se pr</w:t>
      </w:r>
      <w:r>
        <w:rPr>
          <w:rFonts w:ascii="Palatino Linotype" w:eastAsia="Palatino Linotype" w:hAnsi="Palatino Linotype" w:cs="Palatino Linotype"/>
        </w:rPr>
        <w:t>onunció de manera particular sobre el reporte emitido por la Secretaría de Finanzas del Estado en el que se especifica el monto del ISR que se obtuvo en devolución, y el Reporte emitido por el software de contabilidad gubernamental en el que se pueda aprec</w:t>
      </w:r>
      <w:r>
        <w:rPr>
          <w:rFonts w:ascii="Palatino Linotype" w:eastAsia="Palatino Linotype" w:hAnsi="Palatino Linotype" w:cs="Palatino Linotype"/>
        </w:rPr>
        <w:t>iar el control del saldo pendiente de recuperar del ISR participable, sino que se limitó a pronunciarse respecto de los reportes que se obtienen del aplicativo Visor de comprobantes de nómina para el patrón, del SAT, tan es así que proporcionó la Opinión d</w:t>
      </w:r>
      <w:r>
        <w:rPr>
          <w:rFonts w:ascii="Palatino Linotype" w:eastAsia="Palatino Linotype" w:hAnsi="Palatino Linotype" w:cs="Palatino Linotype"/>
        </w:rPr>
        <w:t>e cumplimiento que se genera en el portal de dicha autoridad fiscal.</w:t>
      </w:r>
    </w:p>
    <w:p w14:paraId="002F5517" w14:textId="77777777" w:rsidR="00573E3C" w:rsidRDefault="00684DBC">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de interpretación, con clave de control SO/002/2017 emitido por el Peno del Instituto Nacional de Transparencia y Acceso a la Información y Protección de</w:t>
      </w:r>
      <w:r>
        <w:rPr>
          <w:rFonts w:ascii="Palatino Linotype" w:eastAsia="Palatino Linotype" w:hAnsi="Palatino Linotype" w:cs="Palatino Linotype"/>
        </w:rPr>
        <w:t xml:space="preserve"> Datos Personales, INAI, de rubro y texto siguientes:</w:t>
      </w:r>
    </w:p>
    <w:p w14:paraId="32E01512" w14:textId="77777777" w:rsidR="00573E3C" w:rsidRDefault="00684DBC">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“Congruencia y exhaustividad. Sus alcances para garantizar el derecho de acceso a la información. </w:t>
      </w:r>
      <w:r>
        <w:rPr>
          <w:rFonts w:ascii="Palatino Linotype" w:eastAsia="Palatino Linotype" w:hAnsi="Palatino Linotype" w:cs="Palatino Linotype"/>
          <w:i/>
          <w:sz w:val="22"/>
          <w:szCs w:val="22"/>
        </w:rPr>
        <w:t>De conformidad con el artículo 3 de la Ley Federal de Procedimiento Administrativo, de aplicación suplet</w:t>
      </w:r>
      <w:r>
        <w:rPr>
          <w:rFonts w:ascii="Palatino Linotype" w:eastAsia="Palatino Linotype" w:hAnsi="Palatino Linotype" w:cs="Palatino Linotype"/>
          <w:i/>
          <w:sz w:val="22"/>
          <w:szCs w:val="22"/>
        </w:rPr>
        <w:t>oria a la Ley Federal de Transparencia y Acceso a la Información Pública, en términos de su artículo 7; todo acto administrativo debe cumplir con los principios de congruencia y exhaustividad. Para el efectivo ejercicio del derecho de acceso a la informaci</w:t>
      </w:r>
      <w:r>
        <w:rPr>
          <w:rFonts w:ascii="Palatino Linotype" w:eastAsia="Palatino Linotype" w:hAnsi="Palatino Linotype" w:cs="Palatino Linotype"/>
          <w:i/>
          <w:sz w:val="22"/>
          <w:szCs w:val="22"/>
        </w:rPr>
        <w:t xml:space="preserve">ón, </w:t>
      </w:r>
      <w:r>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sz w:val="22"/>
          <w:szCs w:val="22"/>
        </w:rPr>
        <w:t xml:space="preserve">; mientras que </w:t>
      </w:r>
      <w:r>
        <w:rPr>
          <w:rFonts w:ascii="Palatino Linotype" w:eastAsia="Palatino Linotype" w:hAnsi="Palatino Linotype" w:cs="Palatino Linotype"/>
          <w:b/>
          <w:i/>
          <w:sz w:val="22"/>
          <w:szCs w:val="22"/>
        </w:rPr>
        <w:t>la exhaustividad significa que dicha respuesta se refiera expresamente a cada uno de los</w:t>
      </w:r>
      <w:r>
        <w:rPr>
          <w:rFonts w:ascii="Palatino Linotype" w:eastAsia="Palatino Linotype" w:hAnsi="Palatino Linotype" w:cs="Palatino Linotype"/>
          <w:b/>
          <w:i/>
          <w:sz w:val="22"/>
          <w:szCs w:val="22"/>
        </w:rPr>
        <w:t xml:space="preserve"> puntos solicitados</w:t>
      </w:r>
      <w:r>
        <w:rPr>
          <w:rFonts w:ascii="Palatino Linotype" w:eastAsia="Palatino Linotype" w:hAnsi="Palatino Linotype" w:cs="Palatino Linotype"/>
          <w:i/>
          <w:sz w:val="22"/>
          <w:szCs w:val="22"/>
        </w:rPr>
        <w:t xml:space="preserve">. Por lo anterior, </w:t>
      </w:r>
      <w:r>
        <w:rPr>
          <w:rFonts w:ascii="Palatino Linotype" w:eastAsia="Palatino Linotype" w:hAnsi="Palatino Linotype" w:cs="Palatino Linotype"/>
          <w:i/>
          <w:sz w:val="22"/>
          <w:szCs w:val="22"/>
        </w:rPr>
        <w:lastRenderedPageBreak/>
        <w:t xml:space="preserve">los sujetos obligados cumplirán con los principios de congruencia y exhaustividad, cuando las respuestas que emitan guarden una relación lógica con lo solicitado y atiendan de manera puntual y expresa, cada uno de los </w:t>
      </w:r>
      <w:r>
        <w:rPr>
          <w:rFonts w:ascii="Palatino Linotype" w:eastAsia="Palatino Linotype" w:hAnsi="Palatino Linotype" w:cs="Palatino Linotype"/>
          <w:i/>
          <w:sz w:val="22"/>
          <w:szCs w:val="22"/>
        </w:rPr>
        <w:t>contenidos de información.”</w:t>
      </w:r>
    </w:p>
    <w:p w14:paraId="5995127B" w14:textId="77777777" w:rsidR="00573E3C" w:rsidRDefault="00684DBC">
      <w:pPr>
        <w:spacing w:before="240" w:after="240" w:line="360" w:lineRule="auto"/>
        <w:jc w:val="both"/>
        <w:rPr>
          <w:rFonts w:ascii="Palatino Linotype" w:eastAsia="Palatino Linotype" w:hAnsi="Palatino Linotype" w:cs="Palatino Linotype"/>
        </w:rPr>
      </w:pPr>
      <w:bookmarkStart w:id="7" w:name="_heading=h.2et92p0" w:colFirst="0" w:colLast="0"/>
      <w:bookmarkEnd w:id="7"/>
      <w:r>
        <w:rPr>
          <w:rFonts w:ascii="Palatino Linotype" w:eastAsia="Palatino Linotype" w:hAnsi="Palatino Linotype" w:cs="Palatino Linotype"/>
        </w:rPr>
        <w:t xml:space="preserve">En tal contexto, con la finalidad de garantizar el derecho humano de acceso a la información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 a fin de reparar el agravio causado ante la omisión en que incurriera el </w:t>
      </w:r>
      <w:r>
        <w:rPr>
          <w:rFonts w:ascii="Palatino Linotype" w:eastAsia="Palatino Linotype" w:hAnsi="Palatino Linotype" w:cs="Palatino Linotype"/>
          <w:b/>
        </w:rPr>
        <w:t>Sujeto Obligado</w:t>
      </w:r>
      <w:r>
        <w:rPr>
          <w:rFonts w:ascii="Palatino Linotype" w:eastAsia="Palatino Linotype" w:hAnsi="Palatino Linotype" w:cs="Palatino Linotype"/>
        </w:rPr>
        <w:t>, ya que, como se señ</w:t>
      </w:r>
      <w:r>
        <w:rPr>
          <w:rFonts w:ascii="Palatino Linotype" w:eastAsia="Palatino Linotype" w:hAnsi="Palatino Linotype" w:cs="Palatino Linotype"/>
        </w:rPr>
        <w:t>aló, su respuesta careció de los principios de congruencia y exhaustividad, al no pronunciarse de manera particular sobre estos puntos de la solicitud, se estima procedente ordenar que, previa búsqueda exhaustiva y razonable en las áreas que resulten compe</w:t>
      </w:r>
      <w:r>
        <w:rPr>
          <w:rFonts w:ascii="Palatino Linotype" w:eastAsia="Palatino Linotype" w:hAnsi="Palatino Linotype" w:cs="Palatino Linotype"/>
        </w:rPr>
        <w:t xml:space="preserve">tentes, de acuerdo con sus atribuciones para conocer de la información, entre las cuales </w:t>
      </w:r>
      <w:r>
        <w:rPr>
          <w:rFonts w:ascii="Palatino Linotype" w:eastAsia="Palatino Linotype" w:hAnsi="Palatino Linotype" w:cs="Palatino Linotype"/>
          <w:b/>
        </w:rPr>
        <w:t xml:space="preserve">no podrá excluirse a la Tesorería Municipal, </w:t>
      </w:r>
      <w:r>
        <w:rPr>
          <w:rFonts w:ascii="Palatino Linotype" w:eastAsia="Palatino Linotype" w:hAnsi="Palatino Linotype" w:cs="Palatino Linotype"/>
        </w:rPr>
        <w:t>se proceda a la entrega del reporte emitido por la Secretaría de Finanzas del Estado de México, en el que se especifique e</w:t>
      </w:r>
      <w:r>
        <w:rPr>
          <w:rFonts w:ascii="Palatino Linotype" w:eastAsia="Palatino Linotype" w:hAnsi="Palatino Linotype" w:cs="Palatino Linotype"/>
        </w:rPr>
        <w:t>l monto del ISR que se obtuvo en devolución del uno de enero de dos mil quince al treinta de agosto de dos mil veinticuatro, así como el reporte emitido por el software de contabilidad gubernamental en el que se pueda apreciar el control del saldo pendient</w:t>
      </w:r>
      <w:r>
        <w:rPr>
          <w:rFonts w:ascii="Palatino Linotype" w:eastAsia="Palatino Linotype" w:hAnsi="Palatino Linotype" w:cs="Palatino Linotype"/>
        </w:rPr>
        <w:t>e de recuperar del ISR participable, al treinta de agosto de dos mil veinticuatro, preferentemente en formato PDF, o en el que se hubiera generado.</w:t>
      </w:r>
    </w:p>
    <w:p w14:paraId="46F2D0B9" w14:textId="77777777" w:rsidR="00573E3C" w:rsidRDefault="00684DBC">
      <w:pPr>
        <w:spacing w:before="240" w:after="240" w:line="360" w:lineRule="auto"/>
        <w:jc w:val="both"/>
        <w:rPr>
          <w:rFonts w:ascii="Palatino Linotype" w:eastAsia="Palatino Linotype" w:hAnsi="Palatino Linotype" w:cs="Palatino Linotype"/>
        </w:rPr>
      </w:pPr>
      <w:bookmarkStart w:id="8" w:name="_heading=h.lnxbz9" w:colFirst="0" w:colLast="0"/>
      <w:bookmarkEnd w:id="8"/>
      <w:r>
        <w:rPr>
          <w:rFonts w:ascii="Palatino Linotype" w:eastAsia="Palatino Linotype" w:hAnsi="Palatino Linotype" w:cs="Palatino Linotype"/>
        </w:rPr>
        <w:t>Asimismo, se precisa que para el caso de no localizar información respecto del reporte emitido por el software de contabilidad gubernamental en el que se pueda apreciar el control del saldo pendiente de recuperar del ISR participable, bastará con que así s</w:t>
      </w:r>
      <w:r>
        <w:rPr>
          <w:rFonts w:ascii="Palatino Linotype" w:eastAsia="Palatino Linotype" w:hAnsi="Palatino Linotype" w:cs="Palatino Linotype"/>
        </w:rPr>
        <w:t xml:space="preserve">e haga del conocimiento de la persona solicitante para tener por colmado el requerimiento de información, en términos de lo dispuesto por el artículo 19, párrafo </w:t>
      </w:r>
      <w:r>
        <w:rPr>
          <w:rFonts w:ascii="Palatino Linotype" w:eastAsia="Palatino Linotype" w:hAnsi="Palatino Linotype" w:cs="Palatino Linotype"/>
        </w:rPr>
        <w:lastRenderedPageBreak/>
        <w:t>segundo de la Ley de Transparencia y Acceso a la Información Pública del Estado de México y Mu</w:t>
      </w:r>
      <w:r>
        <w:rPr>
          <w:rFonts w:ascii="Palatino Linotype" w:eastAsia="Palatino Linotype" w:hAnsi="Palatino Linotype" w:cs="Palatino Linotype"/>
        </w:rPr>
        <w:t>nicipios, referido con antelación.</w:t>
      </w:r>
    </w:p>
    <w:p w14:paraId="6C3E3374" w14:textId="77777777" w:rsidR="00573E3C" w:rsidRDefault="00684DB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Pr>
          <w:rFonts w:ascii="Palatino Linotype" w:eastAsia="Palatino Linotype" w:hAnsi="Palatino Linotype" w:cs="Palatino Linotype"/>
        </w:rPr>
        <w:t>Finalmente, respecto a la modalidad de entrega, es imprescindible mencionar que el acceso a la información debe darse en la medida de entrega y de envío elegidos por las personas solicitantes, según dispone el artículo 16</w:t>
      </w:r>
      <w:r>
        <w:rPr>
          <w:rFonts w:ascii="Palatino Linotype" w:eastAsia="Palatino Linotype" w:hAnsi="Palatino Linotype" w:cs="Palatino Linotype"/>
        </w:rPr>
        <w:t xml:space="preserve">4 de la Ley de Transparencia y Acceso a la Información Pública del Estado de México y </w:t>
      </w:r>
      <w:proofErr w:type="gramStart"/>
      <w:r>
        <w:rPr>
          <w:rFonts w:ascii="Palatino Linotype" w:eastAsia="Palatino Linotype" w:hAnsi="Palatino Linotype" w:cs="Palatino Linotype"/>
        </w:rPr>
        <w:t>Municipios,  que</w:t>
      </w:r>
      <w:proofErr w:type="gramEnd"/>
      <w:r>
        <w:rPr>
          <w:rFonts w:ascii="Palatino Linotype" w:eastAsia="Palatino Linotype" w:hAnsi="Palatino Linotype" w:cs="Palatino Linotype"/>
        </w:rPr>
        <w:t xml:space="preserve"> es del tenor literal siguiente:</w:t>
      </w:r>
    </w:p>
    <w:p w14:paraId="2948D8B6" w14:textId="77777777" w:rsidR="00573E3C" w:rsidRDefault="00684DBC">
      <w:pPr>
        <w:spacing w:before="120" w:after="120"/>
        <w:ind w:left="851" w:right="902"/>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w:t>
      </w:r>
      <w:proofErr w:type="gramEnd"/>
      <w:r>
        <w:rPr>
          <w:rFonts w:ascii="Palatino Linotype" w:eastAsia="Palatino Linotype" w:hAnsi="Palatino Linotype" w:cs="Palatino Linotype"/>
          <w:b/>
          <w:i/>
          <w:sz w:val="22"/>
          <w:szCs w:val="22"/>
        </w:rPr>
        <w:t xml:space="preserve"> 164</w:t>
      </w:r>
      <w:r>
        <w:rPr>
          <w:rFonts w:ascii="Palatino Linotype" w:eastAsia="Palatino Linotype" w:hAnsi="Palatino Linotype" w:cs="Palatino Linotype"/>
          <w:i/>
          <w:sz w:val="22"/>
          <w:szCs w:val="22"/>
        </w:rPr>
        <w:t>. El acceso se dará en la modalidad de entrega y, en su caso, de envío elegidos por el solicitante. Cuando la información no pueda entregarse o enviarse en la modalidad solicitada, el sujeto obligado deberá ofrecer otra u otras modalidades de entrega.</w:t>
      </w:r>
    </w:p>
    <w:p w14:paraId="6AAE836C" w14:textId="77777777" w:rsidR="00573E3C" w:rsidRDefault="00684DBC">
      <w:pPr>
        <w:spacing w:before="120" w:after="120"/>
        <w:ind w:left="851" w:right="902"/>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w:t>
      </w:r>
      <w:r>
        <w:rPr>
          <w:rFonts w:ascii="Palatino Linotype" w:eastAsia="Palatino Linotype" w:hAnsi="Palatino Linotype" w:cs="Palatino Linotype"/>
          <w:i/>
          <w:sz w:val="22"/>
          <w:szCs w:val="22"/>
        </w:rPr>
        <w:t>ualquier caso, se deberá fundar y motivar la necesidad de ofrecer otras modalidades.”</w:t>
      </w:r>
    </w:p>
    <w:p w14:paraId="43F4C71C"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concreto, dado que la persona solicitante señaló como modalidad de entrega, cualquier otro medio incluido los electrónicos y correo electrónico, tal y como se </w:t>
      </w:r>
      <w:r>
        <w:rPr>
          <w:rFonts w:ascii="Palatino Linotype" w:eastAsia="Palatino Linotype" w:hAnsi="Palatino Linotype" w:cs="Palatino Linotype"/>
        </w:rPr>
        <w:t>precisó en el antecedente 1 de la presente resolución, y en los motivos de inconformidad alegados en el recurso de revisión que se resuelve, insistió en la entrega a través de correo electrónico, se estima que la información debe entregarse a través del SA</w:t>
      </w:r>
      <w:r>
        <w:rPr>
          <w:rFonts w:ascii="Palatino Linotype" w:eastAsia="Palatino Linotype" w:hAnsi="Palatino Linotype" w:cs="Palatino Linotype"/>
        </w:rPr>
        <w:t>IMEX y correo electrónico.</w:t>
      </w:r>
    </w:p>
    <w:p w14:paraId="20876733"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hasta aquí expuesto, se concluye que los motivos de inconformidad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devienen parcialmente fundados, siendo procedente </w:t>
      </w:r>
      <w:r>
        <w:rPr>
          <w:rFonts w:ascii="Palatino Linotype" w:eastAsia="Palatino Linotype" w:hAnsi="Palatino Linotype" w:cs="Palatino Linotype"/>
          <w:i/>
        </w:rPr>
        <w:t xml:space="preserve">Revocar </w:t>
      </w:r>
      <w:r>
        <w:rPr>
          <w:rFonts w:ascii="Palatino Linotype" w:eastAsia="Palatino Linotype" w:hAnsi="Palatino Linotype" w:cs="Palatino Linotype"/>
        </w:rPr>
        <w:t xml:space="preserve">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términos del artículo 1</w:t>
      </w:r>
      <w:r>
        <w:rPr>
          <w:rFonts w:ascii="Palatino Linotype" w:eastAsia="Palatino Linotype" w:hAnsi="Palatino Linotype" w:cs="Palatino Linotype"/>
        </w:rPr>
        <w:t>86 fracción III de la Ley de Transparencia y Acceso a la Información Pública del Estado de México y Municipios.</w:t>
      </w:r>
    </w:p>
    <w:p w14:paraId="058EC3D5"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Quinto. Versión Pública.</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Finalmente, debe señalarse que de ser el caso en que los documentos que vayan a ser entregados para dar cumplimiento a </w:t>
      </w:r>
      <w:r>
        <w:rPr>
          <w:rFonts w:ascii="Palatino Linotype" w:eastAsia="Palatino Linotype" w:hAnsi="Palatino Linotype" w:cs="Palatino Linotype"/>
        </w:rPr>
        <w:t xml:space="preserve">la presente resolución, contengan datos que deban ser clasificados,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w:t>
      </w:r>
      <w:r>
        <w:rPr>
          <w:rFonts w:ascii="Palatino Linotype" w:eastAsia="Palatino Linotype" w:hAnsi="Palatino Linotype" w:cs="Palatino Linotype"/>
        </w:rPr>
        <w:t>cabo al derecho a la protección de los datos personales de terceros, que les identifiquen o les hagan identificables.</w:t>
      </w:r>
    </w:p>
    <w:p w14:paraId="50FB6D9D"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de conformidad con lo que señalan los artículos 3 fracciones IX, XX, XXI y XLV, 91, 132, 137 y 143, fracción I de la Ley de Tr</w:t>
      </w:r>
      <w:r>
        <w:rPr>
          <w:rFonts w:ascii="Palatino Linotype" w:eastAsia="Palatino Linotype" w:hAnsi="Palatino Linotype" w:cs="Palatino Linotype"/>
        </w:rPr>
        <w:t>ansparencia y Acceso a la Información Pública del Estado de México y Municipios que establecen:</w:t>
      </w:r>
    </w:p>
    <w:p w14:paraId="58A8F275"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646A44D9"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BE02A92"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w:t>
      </w:r>
      <w:r>
        <w:rPr>
          <w:rFonts w:ascii="Palatino Linotype" w:eastAsia="Palatino Linotype" w:hAnsi="Palatino Linotype" w:cs="Palatino Linotype"/>
          <w:i/>
          <w:sz w:val="22"/>
          <w:szCs w:val="22"/>
        </w:rPr>
        <w:t xml:space="preserve">le según lo dispuesto por la Ley de Protección de Datos Personales del Estado de México; </w:t>
      </w:r>
    </w:p>
    <w:p w14:paraId="41CE18E7"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1A9E250B"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XXI. Información confidencial: </w:t>
      </w:r>
      <w:r>
        <w:rPr>
          <w:rFonts w:ascii="Palatino Linotype" w:eastAsia="Palatino Linotype" w:hAnsi="Palatino Linotype" w:cs="Palatino Linotype"/>
          <w:i/>
          <w:sz w:val="22"/>
          <w:szCs w:val="22"/>
        </w:rPr>
        <w:t>Se considera como información confi</w:t>
      </w:r>
      <w:r>
        <w:rPr>
          <w:rFonts w:ascii="Palatino Linotype" w:eastAsia="Palatino Linotype" w:hAnsi="Palatino Linotype" w:cs="Palatino Linotype"/>
          <w:i/>
          <w:sz w:val="22"/>
          <w:szCs w:val="22"/>
        </w:rPr>
        <w:t>dencial los secretos bancario, fiduciario, industrial, comercial, fiscal, bursátil y postal, cuya titularidad corresponda a particulares, sujetos de derecho internacional o a sujetos obligados cuando no involucren el ejercicio de recursos públicos;</w:t>
      </w:r>
    </w:p>
    <w:p w14:paraId="3FFFE9A4"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w:t>
      </w:r>
      <w:r>
        <w:rPr>
          <w:rFonts w:ascii="Palatino Linotype" w:eastAsia="Palatino Linotype" w:hAnsi="Palatino Linotype" w:cs="Palatino Linotype"/>
          <w:b/>
          <w:i/>
          <w:sz w:val="22"/>
          <w:szCs w:val="22"/>
        </w:rPr>
        <w:t>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7B31FD4"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DD8ED66"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w:t>
      </w:r>
      <w:r>
        <w:rPr>
          <w:rFonts w:ascii="Palatino Linotype" w:eastAsia="Palatino Linotype" w:hAnsi="Palatino Linotype" w:cs="Palatino Linotype"/>
          <w:i/>
          <w:sz w:val="22"/>
          <w:szCs w:val="22"/>
        </w:rPr>
        <w:t>a como reservada o confidencial.</w:t>
      </w:r>
    </w:p>
    <w:p w14:paraId="56180C50"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739D43FB"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7345FC1A"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5EE55E77"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065E029"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F555211"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w:t>
      </w:r>
      <w:r>
        <w:rPr>
          <w:rFonts w:ascii="Palatino Linotype" w:eastAsia="Palatino Linotype" w:hAnsi="Palatino Linotype" w:cs="Palatino Linotype"/>
          <w:i/>
          <w:sz w:val="22"/>
          <w:szCs w:val="22"/>
        </w:rPr>
        <w:t>ión pública y reservada o confidencial, la Unidad de Transparencia para efectos de atender una solicitud de información, deberán elaborar una versión pública en la que se testen las partes o secciones clasificadas, indicando su contenido de manera genérica</w:t>
      </w:r>
      <w:r>
        <w:rPr>
          <w:rFonts w:ascii="Palatino Linotype" w:eastAsia="Palatino Linotype" w:hAnsi="Palatino Linotype" w:cs="Palatino Linotype"/>
          <w:i/>
          <w:sz w:val="22"/>
          <w:szCs w:val="22"/>
        </w:rPr>
        <w:t xml:space="preserve"> y fundando y motivando su clasificación.</w:t>
      </w:r>
    </w:p>
    <w:p w14:paraId="073A59D4" w14:textId="77777777" w:rsidR="00573E3C" w:rsidRDefault="00684DBC">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494D309"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C70E2E0"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1BC86B6"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 establecido en los Lineamientos Generales en Materia de Clasificación y Desclasificación de la</w:t>
      </w:r>
      <w:r>
        <w:rPr>
          <w:rFonts w:ascii="Palatino Linotype" w:eastAsia="Palatino Linotype" w:hAnsi="Palatino Linotype" w:cs="Palatino Linotype"/>
        </w:rPr>
        <w:t xml:space="preserve"> Información, así como para la elaboración de Versiones Públicas, emitidos por el Consejo Nacional del Sistema Nacional de Transparencia, Acceso a la Información Pública y Protección de Datos Personales, que tienen por objeto establecer los criterios con b</w:t>
      </w:r>
      <w:r>
        <w:rPr>
          <w:rFonts w:ascii="Palatino Linotype" w:eastAsia="Palatino Linotype" w:hAnsi="Palatino Linotype" w:cs="Palatino Linotype"/>
        </w:rPr>
        <w:t>ase en los cuales los sujetos obligados clasificarán como reservada o confidencial la información que posean, desclasificarán y generarán, en su caso, versiones públicas de expedientes o documentos que contengan partes o secciones clasificadas.</w:t>
      </w:r>
    </w:p>
    <w:p w14:paraId="4888DE11"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señala</w:t>
      </w:r>
      <w:r>
        <w:rPr>
          <w:rFonts w:ascii="Palatino Linotype" w:eastAsia="Palatino Linotype" w:hAnsi="Palatino Linotype" w:cs="Palatino Linotype"/>
        </w:rPr>
        <w:t xml:space="preserve">r que la entrega de documentos en su versión pública debe acompañarse necesariamente del Acuerdo del Comité de Transparencia que la sustente el cual debe estar debidamente fundado y motivado, en el que se expongan los </w:t>
      </w:r>
      <w:r>
        <w:rPr>
          <w:rFonts w:ascii="Palatino Linotype" w:eastAsia="Palatino Linotype" w:hAnsi="Palatino Linotype" w:cs="Palatino Linotype"/>
        </w:rPr>
        <w:lastRenderedPageBreak/>
        <w:t>fundamentos y razonamientos que llevar</w:t>
      </w:r>
      <w:r>
        <w:rPr>
          <w:rFonts w:ascii="Palatino Linotype" w:eastAsia="Palatino Linotype" w:hAnsi="Palatino Linotype" w:cs="Palatino Linotype"/>
        </w:rPr>
        <w:t xml:space="preserve">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w:t>
      </w:r>
      <w:r>
        <w:rPr>
          <w:rFonts w:ascii="Palatino Linotype" w:eastAsia="Palatino Linotype" w:hAnsi="Palatino Linotype" w:cs="Palatino Linotype"/>
        </w:rPr>
        <w:t xml:space="preserve"> que el no justificar las causas o motivos por las que no se aprecian determinados datos -ya sea porque se testan o suprimen- deja al solicitante en estado de incertidumbre, al no conocer o comprender porque no aparecen en la documentación respectiva.</w:t>
      </w:r>
    </w:p>
    <w:p w14:paraId="45BC05DF" w14:textId="77777777" w:rsidR="00573E3C" w:rsidRDefault="00684DBC">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Resp</w:t>
      </w:r>
      <w:r>
        <w:rPr>
          <w:rFonts w:ascii="Palatino Linotype" w:eastAsia="Palatino Linotype" w:hAnsi="Palatino Linotype" w:cs="Palatino Linotype"/>
        </w:rPr>
        <w:t xml:space="preserve">ecto a las formalidades que deberá llevar el acuerdo de clasificación que deberá emitir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w:t>
      </w:r>
      <w:r>
        <w:rPr>
          <w:rFonts w:ascii="Palatino Linotype" w:eastAsia="Palatino Linotype" w:hAnsi="Palatino Linotype" w:cs="Palatino Linotype"/>
        </w:rPr>
        <w:t>ión y Desclasificación de la Información, así como para la Elaboración de Versiones Públicas señalan lo siguiente:</w:t>
      </w:r>
    </w:p>
    <w:p w14:paraId="593A11BA"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“Quincuagésimo. </w:t>
      </w:r>
      <w:r>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w:t>
      </w:r>
      <w:r>
        <w:rPr>
          <w:rFonts w:ascii="Palatino Linotype" w:eastAsia="Palatino Linotype" w:hAnsi="Palatino Linotype" w:cs="Palatino Linotype"/>
          <w:i/>
          <w:sz w:val="22"/>
          <w:szCs w:val="22"/>
        </w:rPr>
        <w:t xml:space="preserve">versiones públicas de documentos o expedientes, siempre y cuando cumplan lo establecido en los presentes Lineamientos, así como en las correspondientes Leyes Generales. </w:t>
      </w:r>
    </w:p>
    <w:p w14:paraId="23C704FB" w14:textId="77777777" w:rsidR="00573E3C" w:rsidRDefault="00684D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primero. </w:t>
      </w:r>
      <w:r>
        <w:rPr>
          <w:rFonts w:ascii="Palatino Linotype" w:eastAsia="Palatino Linotype" w:hAnsi="Palatino Linotype" w:cs="Palatino Linotype"/>
          <w:i/>
          <w:sz w:val="22"/>
          <w:szCs w:val="22"/>
        </w:rPr>
        <w:t xml:space="preserve">Toda acta del Comité de Transparencia deberá contener: </w:t>
      </w:r>
    </w:p>
    <w:p w14:paraId="2516E70E" w14:textId="77777777" w:rsidR="00573E3C" w:rsidRDefault="00684DB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El número de sesión y fecha; </w:t>
      </w:r>
    </w:p>
    <w:p w14:paraId="7AAABDB4" w14:textId="77777777" w:rsidR="00573E3C" w:rsidRDefault="00684DB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del área que solicitó la clasificación de información; </w:t>
      </w:r>
    </w:p>
    <w:p w14:paraId="033C9662" w14:textId="77777777" w:rsidR="00573E3C" w:rsidRDefault="00684DB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fundamentación legal y motivación correspondiente; </w:t>
      </w:r>
    </w:p>
    <w:p w14:paraId="4661E7F8" w14:textId="77777777" w:rsidR="00573E3C" w:rsidRDefault="00684DB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La resolución o resoluciones aprobadas; y </w:t>
      </w:r>
    </w:p>
    <w:p w14:paraId="350D020B" w14:textId="77777777" w:rsidR="00573E3C" w:rsidRDefault="00684DB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i/>
          <w:sz w:val="22"/>
          <w:szCs w:val="22"/>
        </w:rPr>
        <w:t>. La rúbrica o firma digital de cada integrante</w:t>
      </w:r>
      <w:r>
        <w:rPr>
          <w:rFonts w:ascii="Palatino Linotype" w:eastAsia="Palatino Linotype" w:hAnsi="Palatino Linotype" w:cs="Palatino Linotype"/>
          <w:i/>
          <w:sz w:val="22"/>
          <w:szCs w:val="22"/>
        </w:rPr>
        <w:t xml:space="preserve"> del Comité de Transparencia. </w:t>
      </w:r>
    </w:p>
    <w:p w14:paraId="4F142E85" w14:textId="77777777" w:rsidR="00573E3C" w:rsidRDefault="00684D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4498BF1" w14:textId="77777777" w:rsidR="00573E3C" w:rsidRDefault="00684DB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w:t>
      </w:r>
      <w:r>
        <w:rPr>
          <w:rFonts w:ascii="Palatino Linotype" w:eastAsia="Palatino Linotype" w:hAnsi="Palatino Linotype" w:cs="Palatino Linotype"/>
          <w:i/>
          <w:sz w:val="22"/>
          <w:szCs w:val="22"/>
        </w:rPr>
        <w:t xml:space="preserve"> Los motivos y razonamientos que sustenten la confirma</w:t>
      </w:r>
      <w:r>
        <w:rPr>
          <w:rFonts w:ascii="Palatino Linotype" w:eastAsia="Palatino Linotype" w:hAnsi="Palatino Linotype" w:cs="Palatino Linotype"/>
          <w:i/>
          <w:sz w:val="22"/>
          <w:szCs w:val="22"/>
        </w:rPr>
        <w:t>ción o modificación de la prueba de daño;</w:t>
      </w:r>
    </w:p>
    <w:p w14:paraId="248A7E69" w14:textId="77777777" w:rsidR="00573E3C" w:rsidRDefault="00684DBC">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Descripción de las partes o secciones reservadas, en caso de clasificación parcial</w:t>
      </w:r>
      <w:r>
        <w:rPr>
          <w:rFonts w:ascii="Palatino Linotype" w:eastAsia="Palatino Linotype" w:hAnsi="Palatino Linotype" w:cs="Palatino Linotype"/>
          <w:b/>
          <w:i/>
          <w:sz w:val="22"/>
          <w:szCs w:val="22"/>
        </w:rPr>
        <w:t xml:space="preserve">; </w:t>
      </w:r>
    </w:p>
    <w:p w14:paraId="70203E29" w14:textId="77777777" w:rsidR="00573E3C" w:rsidRDefault="00684DB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El periodo por el que mantendrá su clasificación y fecha de expiración; y </w:t>
      </w:r>
    </w:p>
    <w:p w14:paraId="1FFD97B1" w14:textId="77777777" w:rsidR="00573E3C" w:rsidRDefault="00684DBC">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5EB1313F" w14:textId="77777777" w:rsidR="00573E3C" w:rsidRDefault="00684D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casos en que se clasifique la información como reservada siempre se ent</w:t>
      </w:r>
      <w:r>
        <w:rPr>
          <w:rFonts w:ascii="Palatino Linotype" w:eastAsia="Palatino Linotype" w:hAnsi="Palatino Linotype" w:cs="Palatino Linotype"/>
          <w:i/>
          <w:sz w:val="22"/>
          <w:szCs w:val="22"/>
        </w:rPr>
        <w:t xml:space="preserve">regará o anexará la prueba de daño con la respuesta al solicitante. </w:t>
      </w:r>
    </w:p>
    <w:p w14:paraId="4EBB36D2" w14:textId="77777777" w:rsidR="00573E3C" w:rsidRDefault="00684DB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de resoluciones del Comité de Transparencia en las que se confirme la clasificación de información confidencial solo se deberán de identificar los tipos de datos protegidos, </w:t>
      </w:r>
      <w:r>
        <w:rPr>
          <w:rFonts w:ascii="Palatino Linotype" w:eastAsia="Palatino Linotype" w:hAnsi="Palatino Linotype" w:cs="Palatino Linotype"/>
          <w:i/>
          <w:sz w:val="22"/>
          <w:szCs w:val="22"/>
        </w:rPr>
        <w:t>de conformidad con el lineamiento trigésimo octavo.</w:t>
      </w:r>
    </w:p>
    <w:p w14:paraId="7F32F692"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para la elaboración de las versiones públicas se deberán observar las formalidades establecidas en los Lineamientos Quincuagésimo segundo, Quincuagésimo cuarto, Quincuagésimo quinto, Quincuagési</w:t>
      </w:r>
      <w:r>
        <w:rPr>
          <w:rFonts w:ascii="Palatino Linotype" w:eastAsia="Palatino Linotype" w:hAnsi="Palatino Linotype" w:cs="Palatino Linotype"/>
        </w:rPr>
        <w:t>mo séptimo y Quincuagésimo octavo, que establecen lo siguiente:</w:t>
      </w:r>
    </w:p>
    <w:p w14:paraId="612A2889" w14:textId="77777777" w:rsidR="00573E3C" w:rsidRDefault="00684DBC">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segundo</w:t>
      </w:r>
      <w:r>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w:t>
      </w:r>
      <w:r>
        <w:rPr>
          <w:rFonts w:ascii="Palatino Linotype" w:eastAsia="Palatino Linotype" w:hAnsi="Palatino Linotype" w:cs="Palatino Linotype"/>
          <w:i/>
          <w:sz w:val="22"/>
          <w:szCs w:val="22"/>
        </w:rPr>
        <w:t>lizado para testar la información no podrá ser empleado para la sobreposición de contenido distinto al autorizado por el Comité.</w:t>
      </w:r>
    </w:p>
    <w:p w14:paraId="29620662" w14:textId="77777777" w:rsidR="00573E3C" w:rsidRDefault="00684DBC">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específico de la clasificación y elaboración de versiones públicas de documentos que contengan información confidenc</w:t>
      </w:r>
      <w:r>
        <w:rPr>
          <w:rFonts w:ascii="Palatino Linotype" w:eastAsia="Palatino Linotype" w:hAnsi="Palatino Linotype" w:cs="Palatino Linotype"/>
          <w:i/>
          <w:sz w:val="22"/>
          <w:szCs w:val="22"/>
        </w:rPr>
        <w:t xml:space="preserve">ial, las áreas de los sujetos obligados deberán: </w:t>
      </w:r>
    </w:p>
    <w:p w14:paraId="309BA5AF" w14:textId="77777777" w:rsidR="00573E3C" w:rsidRDefault="00684DBC">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E2FFA5F" w14:textId="77777777" w:rsidR="00573E3C" w:rsidRDefault="00684DBC">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Señalar dentro del documento el tipo de información confidencial que fue t</w:t>
      </w:r>
      <w:r>
        <w:rPr>
          <w:rFonts w:ascii="Palatino Linotype" w:eastAsia="Palatino Linotype" w:hAnsi="Palatino Linotype" w:cs="Palatino Linotype"/>
          <w:i/>
          <w:sz w:val="22"/>
          <w:szCs w:val="22"/>
        </w:rPr>
        <w:t>estada en cada caso específico, de conformidad con el lineamiento trigésimo octavo; y</w:t>
      </w:r>
    </w:p>
    <w:p w14:paraId="71A4F982" w14:textId="77777777" w:rsidR="00573E3C" w:rsidRDefault="00684DBC">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III.</w:t>
      </w:r>
      <w:r>
        <w:rPr>
          <w:rFonts w:ascii="Palatino Linotype" w:eastAsia="Palatino Linotype" w:hAnsi="Palatino Linotype" w:cs="Palatino Linotype"/>
          <w:i/>
          <w:sz w:val="22"/>
          <w:szCs w:val="22"/>
        </w:rPr>
        <w:t xml:space="preserve"> Señalar las personas o instancias autorizadas a acceder a la información clasificada.</w:t>
      </w:r>
    </w:p>
    <w:p w14:paraId="6104D8C0" w14:textId="77777777" w:rsidR="00573E3C" w:rsidRDefault="00684DBC">
      <w:pP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los documentos de difusión electrónica, señalar en la primera hoja y en el n</w:t>
      </w:r>
      <w:r>
        <w:rPr>
          <w:rFonts w:ascii="Palatino Linotype" w:eastAsia="Palatino Linotype" w:hAnsi="Palatino Linotype" w:cs="Palatino Linotype"/>
          <w:i/>
          <w:sz w:val="22"/>
          <w:szCs w:val="22"/>
        </w:rPr>
        <w:t>ombre del archivo, que la versión pública corresponde a un documento que contiene información confidencial.”</w:t>
      </w:r>
    </w:p>
    <w:p w14:paraId="11FC2694" w14:textId="77777777" w:rsidR="00573E3C" w:rsidRDefault="00684DBC">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160B3AA" w14:textId="77777777" w:rsidR="00573E3C" w:rsidRDefault="00684DBC">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Quincuagésimo cuarto. </w:t>
      </w:r>
      <w:r>
        <w:rPr>
          <w:rFonts w:ascii="Palatino Linotype" w:eastAsia="Palatino Linotype" w:hAnsi="Palatino Linotype" w:cs="Palatino Linotype"/>
          <w:i/>
          <w:sz w:val="22"/>
          <w:szCs w:val="22"/>
        </w:rPr>
        <w:t>Cuando el Comité de Transparencia confirme la clasificación de documentos reservados y/o confidenciales, sea total o parcia</w:t>
      </w:r>
      <w:r>
        <w:rPr>
          <w:rFonts w:ascii="Palatino Linotype" w:eastAsia="Palatino Linotype" w:hAnsi="Palatino Linotype" w:cs="Palatino Linotype"/>
          <w:i/>
          <w:sz w:val="22"/>
          <w:szCs w:val="22"/>
        </w:rPr>
        <w:t>lmente; se deberá anexar al expediente la resolución que determinó la clasificación o, en su defecto, identificar en la carátula del expediente del cual formen parte, la fecha y sesión del Comité de Transparencia en la que se confirmó dicha clasificación.</w:t>
      </w:r>
      <w:r>
        <w:rPr>
          <w:rFonts w:ascii="Palatino Linotype" w:eastAsia="Palatino Linotype" w:hAnsi="Palatino Linotype" w:cs="Palatino Linotype"/>
          <w:b/>
          <w:i/>
          <w:sz w:val="22"/>
          <w:szCs w:val="22"/>
        </w:rPr>
        <w:t xml:space="preserve"> </w:t>
      </w:r>
    </w:p>
    <w:p w14:paraId="45D94791"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quinto. </w:t>
      </w:r>
      <w:r>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Pr>
          <w:rFonts w:ascii="Palatino Linotype" w:eastAsia="Palatino Linotype" w:hAnsi="Palatino Linotype" w:cs="Palatino Linotype"/>
          <w:i/>
          <w:sz w:val="22"/>
          <w:szCs w:val="22"/>
        </w:rPr>
        <w:t>testado</w:t>
      </w:r>
      <w:proofErr w:type="spellEnd"/>
      <w:r>
        <w:rPr>
          <w:rFonts w:ascii="Palatino Linotype" w:eastAsia="Palatino Linotype" w:hAnsi="Palatino Linotype" w:cs="Palatino Linotype"/>
          <w:i/>
          <w:sz w:val="22"/>
          <w:szCs w:val="22"/>
        </w:rPr>
        <w:t>, que sean encargadas de la adecuada elaboración o supervisión de las versiones públicas de los documentos o expedientes, veri</w:t>
      </w:r>
      <w:r>
        <w:rPr>
          <w:rFonts w:ascii="Palatino Linotype" w:eastAsia="Palatino Linotype" w:hAnsi="Palatino Linotype" w:cs="Palatino Linotype"/>
          <w:i/>
          <w:sz w:val="22"/>
          <w:szCs w:val="22"/>
        </w:rPr>
        <w:t>ficando que cumplan con los requisitos señalados en las Leyes Generales, los presentes Lineamientos y demás normativa aplicable antes de su confirmación por el Comité de Transparencia.</w:t>
      </w:r>
    </w:p>
    <w:p w14:paraId="3B9B521A" w14:textId="77777777" w:rsidR="00573E3C" w:rsidRDefault="00684DBC">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50A993C6"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Se considera, en principio, como información</w:t>
      </w:r>
      <w:r>
        <w:rPr>
          <w:rFonts w:ascii="Palatino Linotype" w:eastAsia="Palatino Linotype" w:hAnsi="Palatino Linotype" w:cs="Palatino Linotype"/>
          <w:i/>
          <w:sz w:val="22"/>
          <w:szCs w:val="22"/>
        </w:rPr>
        <w:t xml:space="preserve"> pública y no podrá omitirse de las versiones públicas la siguiente: </w:t>
      </w:r>
    </w:p>
    <w:p w14:paraId="1496F517"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E4524E1"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integrantes de los suje</w:t>
      </w:r>
      <w:r>
        <w:rPr>
          <w:rFonts w:ascii="Palatino Linotype" w:eastAsia="Palatino Linotype" w:hAnsi="Palatino Linotype" w:cs="Palatino Linotype"/>
          <w:i/>
          <w:sz w:val="22"/>
          <w:szCs w:val="22"/>
        </w:rPr>
        <w:t>tos obligados en los documentos, y sus firmas autógrafas o digitales, cuando sean utilizados en el ejercicio de las facultades conferidas para el desempeño del servicio público, y</w:t>
      </w:r>
    </w:p>
    <w:p w14:paraId="3DA4CE6A" w14:textId="77777777" w:rsidR="00573E3C" w:rsidRDefault="00684DBC">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información que documente decisiones y los actos de autoridad conclu</w:t>
      </w:r>
      <w:r>
        <w:rPr>
          <w:rFonts w:ascii="Palatino Linotype" w:eastAsia="Palatino Linotype" w:hAnsi="Palatino Linotype" w:cs="Palatino Linotype"/>
          <w:i/>
          <w:sz w:val="22"/>
          <w:szCs w:val="22"/>
        </w:rPr>
        <w:t xml:space="preserve">idos de los sujetos obligados, así como el ejercicio de las facultades o actividades de los servidores públicos, de manera que se pueda valorar el desempeño de los mismos. </w:t>
      </w:r>
    </w:p>
    <w:p w14:paraId="768F89F4"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7BAC407C" w14:textId="77777777" w:rsidR="00573E3C" w:rsidRDefault="00684DBC">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Quincuagésimo octavo</w:t>
      </w:r>
      <w:r>
        <w:rPr>
          <w:rFonts w:ascii="Palatino Linotype" w:eastAsia="Palatino Linotype" w:hAnsi="Palatino Linotype" w:cs="Palatino Linotype"/>
          <w:i/>
          <w:sz w:val="22"/>
          <w:szCs w:val="22"/>
        </w:rPr>
        <w:t>. Los sujetos obligados garantizarán que los sistemas o medios empl</w:t>
      </w:r>
      <w:r>
        <w:rPr>
          <w:rFonts w:ascii="Palatino Linotype" w:eastAsia="Palatino Linotype" w:hAnsi="Palatino Linotype" w:cs="Palatino Linotype"/>
          <w:i/>
          <w:sz w:val="22"/>
          <w:szCs w:val="22"/>
        </w:rPr>
        <w:t>eados para eliminar la información en las versiones públicas sean irreversibles, de tal forma que no permitan su recuperación o la visualización de la misma.”</w:t>
      </w:r>
    </w:p>
    <w:p w14:paraId="1A32D627"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tercero, trigésimo cuar</w:t>
      </w:r>
      <w:r>
        <w:rPr>
          <w:rFonts w:ascii="Palatino Linotype" w:eastAsia="Palatino Linotype" w:hAnsi="Palatino Linotype" w:cs="Palatino Linotype"/>
        </w:rPr>
        <w:t>to y trigésimo quinto de la Constitución Política del Estado Libre y Soberano de México; 2, fracción II; 29, 36 fracciones I y II; 176, 178, 181, 185 y 186 fracción II de la Ley de Transparencia y Acceso a la Información Pública del Estado de México y Muni</w:t>
      </w:r>
      <w:r>
        <w:rPr>
          <w:rFonts w:ascii="Palatino Linotype" w:eastAsia="Palatino Linotype" w:hAnsi="Palatino Linotype" w:cs="Palatino Linotype"/>
        </w:rPr>
        <w:t>cipios, este Pleno:</w:t>
      </w:r>
    </w:p>
    <w:p w14:paraId="2B4E4872" w14:textId="77777777" w:rsidR="00573E3C" w:rsidRDefault="00684DB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753E12AE" w14:textId="77777777" w:rsidR="00573E3C" w:rsidRDefault="00684DBC">
      <w:pPr>
        <w:spacing w:before="240" w:after="240" w:line="360" w:lineRule="auto"/>
        <w:jc w:val="both"/>
        <w:rPr>
          <w:rFonts w:ascii="Palatino Linotype" w:eastAsia="Palatino Linotype" w:hAnsi="Palatino Linotype" w:cs="Palatino Linotype"/>
        </w:rPr>
      </w:pPr>
      <w:bookmarkStart w:id="9" w:name="_heading=h.26in1rg" w:colFirst="0" w:colLast="0"/>
      <w:bookmarkEnd w:id="9"/>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parcialmente fundadas</w:t>
      </w:r>
      <w:r>
        <w:rPr>
          <w:rFonts w:ascii="Palatino Linotype" w:eastAsia="Palatino Linotype" w:hAnsi="Palatino Linotype" w:cs="Palatino Linotype"/>
        </w:rPr>
        <w:t xml:space="preserve"> las razones o motivos de inconformidad hechos valer por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05804/INFOEM/IP/RR/2024</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 xml:space="preserve">Sujeto Obligado. </w:t>
      </w:r>
    </w:p>
    <w:p w14:paraId="695F922C"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vía </w:t>
      </w:r>
      <w:r>
        <w:rPr>
          <w:rFonts w:ascii="Palatino Linotype" w:eastAsia="Palatino Linotype" w:hAnsi="Palatino Linotype" w:cs="Palatino Linotype"/>
          <w:b/>
        </w:rPr>
        <w:t>SAIM</w:t>
      </w:r>
      <w:r>
        <w:rPr>
          <w:rFonts w:ascii="Palatino Linotype" w:eastAsia="Palatino Linotype" w:hAnsi="Palatino Linotype" w:cs="Palatino Linotype"/>
          <w:b/>
        </w:rPr>
        <w:t xml:space="preserve">EX </w:t>
      </w:r>
      <w:r>
        <w:rPr>
          <w:rFonts w:ascii="Palatino Linotype" w:eastAsia="Palatino Linotype" w:hAnsi="Palatino Linotype" w:cs="Palatino Linotype"/>
        </w:rPr>
        <w:t>y correo electrónico, previa búsqueda exhaustiva y razonable, en versión pública de ser procedente, preferentemente en formato PDF o en el que se hubiera generado:</w:t>
      </w:r>
    </w:p>
    <w:p w14:paraId="127790A8" w14:textId="77777777" w:rsidR="00573E3C" w:rsidRDefault="00684DBC">
      <w:pPr>
        <w:pBdr>
          <w:top w:val="nil"/>
          <w:left w:val="nil"/>
          <w:bottom w:val="nil"/>
          <w:right w:val="nil"/>
          <w:between w:val="nil"/>
        </w:pBdr>
        <w:spacing w:before="240" w:line="360" w:lineRule="auto"/>
        <w:ind w:left="284"/>
        <w:jc w:val="both"/>
        <w:rPr>
          <w:rFonts w:ascii="Palatino Linotype" w:eastAsia="Palatino Linotype" w:hAnsi="Palatino Linotype" w:cs="Palatino Linotype"/>
        </w:rPr>
      </w:pPr>
      <w:r>
        <w:rPr>
          <w:rFonts w:ascii="Palatino Linotype" w:eastAsia="Palatino Linotype" w:hAnsi="Palatino Linotype" w:cs="Palatino Linotype"/>
        </w:rPr>
        <w:t xml:space="preserve">1. Reportes del aplicativo “Visor de comprobantes de nómina del patrón” del SAT, del uno </w:t>
      </w:r>
      <w:r>
        <w:rPr>
          <w:rFonts w:ascii="Palatino Linotype" w:eastAsia="Palatino Linotype" w:hAnsi="Palatino Linotype" w:cs="Palatino Linotype"/>
        </w:rPr>
        <w:t xml:space="preserve">de enero de dos mil veinte al treinta de agosto de dos mil veinticuatro: </w:t>
      </w:r>
    </w:p>
    <w:p w14:paraId="0FF53B60" w14:textId="77777777" w:rsidR="00573E3C" w:rsidRDefault="00684DBC">
      <w:pPr>
        <w:pBdr>
          <w:top w:val="nil"/>
          <w:left w:val="nil"/>
          <w:bottom w:val="nil"/>
          <w:right w:val="nil"/>
          <w:between w:val="nil"/>
        </w:pBdr>
        <w:spacing w:before="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a. Detalle del “Total por Sueldos y Salarios”.</w:t>
      </w:r>
    </w:p>
    <w:p w14:paraId="4DF38A25" w14:textId="77777777" w:rsidR="00573E3C" w:rsidRDefault="00684DBC">
      <w:pPr>
        <w:pBdr>
          <w:top w:val="nil"/>
          <w:left w:val="nil"/>
          <w:bottom w:val="nil"/>
          <w:right w:val="nil"/>
          <w:between w:val="nil"/>
        </w:pBdr>
        <w:spacing w:before="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lastRenderedPageBreak/>
        <w:t>b. Detalle del “Total por Asimilados a Salarios”.</w:t>
      </w:r>
    </w:p>
    <w:p w14:paraId="13079718" w14:textId="77777777" w:rsidR="00573E3C" w:rsidRDefault="00684DBC">
      <w:pPr>
        <w:pBdr>
          <w:top w:val="nil"/>
          <w:left w:val="nil"/>
          <w:bottom w:val="nil"/>
          <w:right w:val="nil"/>
          <w:between w:val="nil"/>
        </w:pBdr>
        <w:spacing w:before="240" w:line="276"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c. Vista anual acumulada.</w:t>
      </w:r>
    </w:p>
    <w:p w14:paraId="253C2B8B" w14:textId="77777777" w:rsidR="00573E3C" w:rsidRDefault="00684DBC">
      <w:pPr>
        <w:spacing w:before="240" w:after="240" w:line="360"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2. Reporte emitido por la Secretaría de Finanzas del Estado de México, relativa al monto del ISR que se obtuvo en devolución</w:t>
      </w:r>
      <w:r>
        <w:t xml:space="preserve"> </w:t>
      </w:r>
      <w:r>
        <w:rPr>
          <w:rFonts w:ascii="Palatino Linotype" w:eastAsia="Palatino Linotype" w:hAnsi="Palatino Linotype" w:cs="Palatino Linotype"/>
        </w:rPr>
        <w:t>del uno de enero de dos mil quince al treinta de agosto de dos mil veinticuatro.</w:t>
      </w:r>
    </w:p>
    <w:p w14:paraId="105F3357" w14:textId="77777777" w:rsidR="00573E3C" w:rsidRDefault="00684DBC">
      <w:pPr>
        <w:spacing w:before="240" w:after="240" w:line="360" w:lineRule="auto"/>
        <w:ind w:left="284" w:right="51"/>
        <w:jc w:val="both"/>
        <w:rPr>
          <w:rFonts w:ascii="Palatino Linotype" w:eastAsia="Palatino Linotype" w:hAnsi="Palatino Linotype" w:cs="Palatino Linotype"/>
        </w:rPr>
      </w:pPr>
      <w:r>
        <w:rPr>
          <w:rFonts w:ascii="Palatino Linotype" w:eastAsia="Palatino Linotype" w:hAnsi="Palatino Linotype" w:cs="Palatino Linotype"/>
        </w:rPr>
        <w:t>3. Reporte emitido por el software de contabilidad</w:t>
      </w:r>
      <w:r>
        <w:rPr>
          <w:rFonts w:ascii="Palatino Linotype" w:eastAsia="Palatino Linotype" w:hAnsi="Palatino Linotype" w:cs="Palatino Linotype"/>
        </w:rPr>
        <w:t xml:space="preserve"> gubernamental en el que se pueda apreciar el control del saldo pendiente de recuperar del ISR participable, al treinta de agosto de dos mil veinticuatro.</w:t>
      </w:r>
    </w:p>
    <w:p w14:paraId="2F413ACB" w14:textId="77777777" w:rsidR="00573E3C" w:rsidRDefault="00684DBC">
      <w:pPr>
        <w:tabs>
          <w:tab w:val="left" w:pos="5040"/>
        </w:tabs>
        <w:spacing w:before="120" w:after="120"/>
        <w:ind w:left="284" w:right="51"/>
        <w:jc w:val="both"/>
        <w:rPr>
          <w:rFonts w:ascii="Palatino Linotype" w:eastAsia="Palatino Linotype" w:hAnsi="Palatino Linotype" w:cs="Palatino Linotype"/>
          <w:b/>
          <w:i/>
          <w:sz w:val="20"/>
          <w:szCs w:val="20"/>
        </w:rPr>
      </w:pPr>
      <w:r>
        <w:rPr>
          <w:rFonts w:ascii="Palatino Linotype" w:eastAsia="Palatino Linotype" w:hAnsi="Palatino Linotype" w:cs="Palatino Linotype"/>
          <w:i/>
          <w:sz w:val="20"/>
          <w:szCs w:val="20"/>
        </w:rPr>
        <w:t>De ser procedente la versión pública, deberá emitir el Acuerdo del Comité de Transparencia en término</w:t>
      </w:r>
      <w:r>
        <w:rPr>
          <w:rFonts w:ascii="Palatino Linotype" w:eastAsia="Palatino Linotype" w:hAnsi="Palatino Linotype" w:cs="Palatino Linotype"/>
          <w:i/>
          <w:sz w:val="20"/>
          <w:szCs w:val="20"/>
        </w:rPr>
        <w:t xml:space="preserve">s de la Ley de Transparencia y Acceso a la Información Pública del Estado de México y Municipios, en el que funde y motive las razones sobre los datos que se supriman o eliminen, y se ponga a disposición de la parte </w:t>
      </w:r>
      <w:r>
        <w:rPr>
          <w:rFonts w:ascii="Palatino Linotype" w:eastAsia="Palatino Linotype" w:hAnsi="Palatino Linotype" w:cs="Palatino Linotype"/>
          <w:b/>
          <w:i/>
          <w:sz w:val="20"/>
          <w:szCs w:val="20"/>
        </w:rPr>
        <w:t>Recurrente.</w:t>
      </w:r>
    </w:p>
    <w:p w14:paraId="74793B56" w14:textId="77777777" w:rsidR="00573E3C" w:rsidRDefault="00684DBC">
      <w:pPr>
        <w:spacing w:before="240" w:after="240"/>
        <w:ind w:left="284"/>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En el supuesto que la inform</w:t>
      </w:r>
      <w:r>
        <w:rPr>
          <w:rFonts w:ascii="Palatino Linotype" w:eastAsia="Palatino Linotype" w:hAnsi="Palatino Linotype" w:cs="Palatino Linotype"/>
          <w:i/>
          <w:sz w:val="20"/>
          <w:szCs w:val="20"/>
        </w:rPr>
        <w:t xml:space="preserve">ación ordenada en los puntos 1 y 3 no obre en los archivos del </w:t>
      </w:r>
      <w:r>
        <w:rPr>
          <w:rFonts w:ascii="Palatino Linotype" w:eastAsia="Palatino Linotype" w:hAnsi="Palatino Linotype" w:cs="Palatino Linotype"/>
          <w:b/>
          <w:i/>
          <w:sz w:val="20"/>
          <w:szCs w:val="20"/>
        </w:rPr>
        <w:t>Sujeto Obligado</w:t>
      </w:r>
      <w:r>
        <w:rPr>
          <w:rFonts w:ascii="Palatino Linotype" w:eastAsia="Palatino Linotype" w:hAnsi="Palatino Linotype" w:cs="Palatino Linotype"/>
          <w:i/>
          <w:sz w:val="20"/>
          <w:szCs w:val="20"/>
        </w:rPr>
        <w:t xml:space="preserve">, bastará con que así lo haga del conocimiento de la parte </w:t>
      </w:r>
      <w:r>
        <w:rPr>
          <w:rFonts w:ascii="Palatino Linotype" w:eastAsia="Palatino Linotype" w:hAnsi="Palatino Linotype" w:cs="Palatino Linotype"/>
          <w:b/>
          <w:i/>
          <w:sz w:val="20"/>
          <w:szCs w:val="20"/>
        </w:rPr>
        <w:t>Recurrente</w:t>
      </w:r>
      <w:r>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 para tener por colmado el requerimiento de información.</w:t>
      </w:r>
    </w:p>
    <w:p w14:paraId="69E637EB"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al Titular de la Unidad</w:t>
      </w:r>
      <w:r>
        <w:rPr>
          <w:rFonts w:ascii="Palatino Linotype" w:eastAsia="Palatino Linotype" w:hAnsi="Palatino Linotype" w:cs="Palatino Linotype"/>
        </w:rPr>
        <w:t xml:space="preserve">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w:t>
      </w:r>
      <w:r>
        <w:rPr>
          <w:rFonts w:ascii="Palatino Linotype" w:eastAsia="Palatino Linotype" w:hAnsi="Palatino Linotype" w:cs="Palatino Linotype"/>
        </w:rPr>
        <w:t>o a lo ordenado dentro del plazo de diez días hábiles, e informe a este Instituto en un plazo de tres días hábiles siguientes sobre el cumplimiento dado a la presente, y, se le apercibe que en caso de negarse a cumplir la presente resolución o hacerlo de m</w:t>
      </w:r>
      <w:r>
        <w:rPr>
          <w:rFonts w:ascii="Palatino Linotype" w:eastAsia="Palatino Linotype" w:hAnsi="Palatino Linotype" w:cs="Palatino Linotype"/>
        </w:rPr>
        <w:t xml:space="preserve">anera parcial, se le impondrá una medida de apremio de conformidad con lo </w:t>
      </w:r>
      <w:r>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3FFC1EF1" w14:textId="77777777" w:rsidR="00573E3C" w:rsidRDefault="00684DBC">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conformidad con e</w:t>
      </w:r>
      <w:r>
        <w:rPr>
          <w:rFonts w:ascii="Palatino Linotype" w:eastAsia="Palatino Linotype" w:hAnsi="Palatino Linotype" w:cs="Palatino Linotype"/>
        </w:rPr>
        <w:t xml:space="preserv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w:t>
      </w:r>
      <w:r>
        <w:rPr>
          <w:rFonts w:ascii="Palatino Linotype" w:eastAsia="Palatino Linotype" w:hAnsi="Palatino Linotype" w:cs="Palatino Linotype"/>
        </w:rPr>
        <w:t>resente resolución.</w:t>
      </w:r>
    </w:p>
    <w:p w14:paraId="463BE4F5" w14:textId="77777777" w:rsidR="00573E3C" w:rsidRDefault="00684DBC">
      <w:pPr>
        <w:spacing w:before="240" w:after="240" w:line="360" w:lineRule="auto"/>
        <w:jc w:val="both"/>
        <w:rPr>
          <w:rFonts w:ascii="Palatino Linotype" w:eastAsia="Palatino Linotype" w:hAnsi="Palatino Linotype" w:cs="Palatino Linotype"/>
        </w:rPr>
      </w:pPr>
      <w:bookmarkStart w:id="10" w:name="_heading=h.17dp8vu" w:colFirst="0" w:colLast="0"/>
      <w:bookmarkEnd w:id="10"/>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y </w:t>
      </w:r>
      <w:r>
        <w:rPr>
          <w:rFonts w:ascii="Palatino Linotype" w:eastAsia="Palatino Linotype" w:hAnsi="Palatino Linotype" w:cs="Palatino Linotype"/>
          <w:b/>
        </w:rPr>
        <w:t>correo electrónico</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w:t>
      </w:r>
      <w:r>
        <w:rPr>
          <w:rFonts w:ascii="Palatino Linotype" w:eastAsia="Palatino Linotype" w:hAnsi="Palatino Linotype" w:cs="Palatino Linotype"/>
        </w:rPr>
        <w:t>do de México y Municipios, en caso de que considere que le causa algún perjuicio podrá impugnarla vía Juicio de Amparo en los términos de las leyes aplicables.</w:t>
      </w:r>
    </w:p>
    <w:p w14:paraId="02CB69F1" w14:textId="77777777" w:rsidR="00573E3C" w:rsidRDefault="00684DB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w:t>
      </w:r>
      <w:r>
        <w:rPr>
          <w:rFonts w:ascii="Palatino Linotype" w:eastAsia="Palatino Linotype" w:hAnsi="Palatino Linotype" w:cs="Palatino Linotype"/>
        </w:rPr>
        <w:t>NFORMACIÓN PÚBLICA Y PROTECCIÓN DE DATOS PERSONALES DEL ESTADO DE MÉXICO Y MUNICIPIOS, CONFORMADO POR LOS COMISIONADOS JOSÉ MARTÍNEZ VILCHIS, MARÍA DEL ROSARIO MEJÍA AYALA, SHARON CRISTINA MORALES MARTÍNEZ, LUIS GUSTAVO PARRA NORIEGA, Y GUADALUPE RAMÍREZ P</w:t>
      </w:r>
      <w:r>
        <w:rPr>
          <w:rFonts w:ascii="Palatino Linotype" w:eastAsia="Palatino Linotype" w:hAnsi="Palatino Linotype" w:cs="Palatino Linotype"/>
        </w:rPr>
        <w:t>EÑA, (EMITIENDO VOTO PARTICULAR), EN LA TRIGÉSIMA OCTAVA SESIÓN ORDINARIA CELEBRADA EL SEIS DE NOVIEMBRE DE DOS MIL VEINTICUATRO, ANTE EL SECRETARIO TÉCNICO DEL PLENO ALEXIS TAPIA RAMÍREZ.</w:t>
      </w:r>
    </w:p>
    <w:p w14:paraId="50ABFB59" w14:textId="77777777" w:rsidR="00573E3C" w:rsidRDefault="00573E3C">
      <w:pPr>
        <w:spacing w:before="240" w:after="240" w:line="360" w:lineRule="auto"/>
        <w:jc w:val="center"/>
        <w:rPr>
          <w:rFonts w:ascii="Palatino Linotype" w:eastAsia="Palatino Linotype" w:hAnsi="Palatino Linotype" w:cs="Palatino Linotype"/>
        </w:rPr>
      </w:pPr>
      <w:bookmarkStart w:id="11" w:name="_heading=h.1fob9te" w:colFirst="0" w:colLast="0"/>
      <w:bookmarkEnd w:id="11"/>
    </w:p>
    <w:p w14:paraId="70D65308" w14:textId="77777777" w:rsidR="00573E3C" w:rsidRDefault="00573E3C">
      <w:pPr>
        <w:spacing w:before="240" w:after="240" w:line="360" w:lineRule="auto"/>
        <w:jc w:val="center"/>
        <w:rPr>
          <w:rFonts w:ascii="Palatino Linotype" w:eastAsia="Palatino Linotype" w:hAnsi="Palatino Linotype" w:cs="Palatino Linotype"/>
        </w:rPr>
      </w:pPr>
    </w:p>
    <w:p w14:paraId="693C589C" w14:textId="77777777" w:rsidR="00573E3C" w:rsidRDefault="00573E3C">
      <w:pPr>
        <w:spacing w:before="240" w:after="240" w:line="360" w:lineRule="auto"/>
        <w:jc w:val="center"/>
        <w:rPr>
          <w:rFonts w:ascii="Palatino Linotype" w:eastAsia="Palatino Linotype" w:hAnsi="Palatino Linotype" w:cs="Palatino Linotype"/>
        </w:rPr>
      </w:pPr>
    </w:p>
    <w:p w14:paraId="4B203881" w14:textId="77777777" w:rsidR="00573E3C" w:rsidRDefault="00573E3C">
      <w:pPr>
        <w:spacing w:before="240" w:after="240" w:line="360" w:lineRule="auto"/>
        <w:jc w:val="center"/>
        <w:rPr>
          <w:rFonts w:ascii="Palatino Linotype" w:eastAsia="Palatino Linotype" w:hAnsi="Palatino Linotype" w:cs="Palatino Linotype"/>
        </w:rPr>
      </w:pPr>
    </w:p>
    <w:p w14:paraId="2E2492EB" w14:textId="77777777" w:rsidR="00573E3C" w:rsidRDefault="00573E3C">
      <w:pPr>
        <w:spacing w:before="240" w:after="240" w:line="360" w:lineRule="auto"/>
        <w:jc w:val="center"/>
        <w:rPr>
          <w:rFonts w:ascii="Palatino Linotype" w:eastAsia="Palatino Linotype" w:hAnsi="Palatino Linotype" w:cs="Palatino Linotype"/>
        </w:rPr>
      </w:pPr>
    </w:p>
    <w:p w14:paraId="4C2503FB" w14:textId="77777777" w:rsidR="00573E3C" w:rsidRDefault="00573E3C">
      <w:pPr>
        <w:spacing w:before="240" w:after="240" w:line="360" w:lineRule="auto"/>
        <w:jc w:val="center"/>
        <w:rPr>
          <w:rFonts w:ascii="Palatino Linotype" w:eastAsia="Palatino Linotype" w:hAnsi="Palatino Linotype" w:cs="Palatino Linotype"/>
        </w:rPr>
      </w:pPr>
    </w:p>
    <w:p w14:paraId="4316A061" w14:textId="77777777" w:rsidR="00573E3C" w:rsidRDefault="00573E3C">
      <w:pPr>
        <w:spacing w:before="240" w:after="240" w:line="360" w:lineRule="auto"/>
        <w:jc w:val="center"/>
        <w:rPr>
          <w:rFonts w:ascii="Palatino Linotype" w:eastAsia="Palatino Linotype" w:hAnsi="Palatino Linotype" w:cs="Palatino Linotype"/>
        </w:rPr>
      </w:pPr>
    </w:p>
    <w:p w14:paraId="56138E2A" w14:textId="77777777" w:rsidR="00573E3C" w:rsidRDefault="00573E3C">
      <w:pPr>
        <w:spacing w:before="240" w:after="240" w:line="360" w:lineRule="auto"/>
        <w:jc w:val="center"/>
        <w:rPr>
          <w:rFonts w:ascii="Palatino Linotype" w:eastAsia="Palatino Linotype" w:hAnsi="Palatino Linotype" w:cs="Palatino Linotype"/>
        </w:rPr>
      </w:pPr>
    </w:p>
    <w:p w14:paraId="4741D4CC" w14:textId="77777777" w:rsidR="00573E3C" w:rsidRDefault="00573E3C">
      <w:pPr>
        <w:spacing w:before="240" w:after="240" w:line="360" w:lineRule="auto"/>
        <w:jc w:val="center"/>
        <w:rPr>
          <w:rFonts w:ascii="Palatino Linotype" w:eastAsia="Palatino Linotype" w:hAnsi="Palatino Linotype" w:cs="Palatino Linotype"/>
        </w:rPr>
      </w:pPr>
    </w:p>
    <w:p w14:paraId="438D7365" w14:textId="77777777" w:rsidR="00573E3C" w:rsidRDefault="00573E3C">
      <w:pPr>
        <w:spacing w:before="240" w:after="240" w:line="360" w:lineRule="auto"/>
        <w:jc w:val="center"/>
        <w:rPr>
          <w:rFonts w:ascii="Palatino Linotype" w:eastAsia="Palatino Linotype" w:hAnsi="Palatino Linotype" w:cs="Palatino Linotype"/>
        </w:rPr>
      </w:pPr>
    </w:p>
    <w:p w14:paraId="2490C901" w14:textId="77777777" w:rsidR="00573E3C" w:rsidRDefault="00573E3C">
      <w:pPr>
        <w:spacing w:before="240" w:after="240" w:line="360" w:lineRule="auto"/>
        <w:jc w:val="center"/>
        <w:rPr>
          <w:rFonts w:ascii="Palatino Linotype" w:eastAsia="Palatino Linotype" w:hAnsi="Palatino Linotype" w:cs="Palatino Linotype"/>
        </w:rPr>
      </w:pPr>
    </w:p>
    <w:p w14:paraId="617BE0A3" w14:textId="77777777" w:rsidR="00573E3C" w:rsidRDefault="00573E3C">
      <w:pPr>
        <w:spacing w:before="240" w:after="240" w:line="360" w:lineRule="auto"/>
        <w:jc w:val="center"/>
        <w:rPr>
          <w:rFonts w:ascii="Palatino Linotype" w:eastAsia="Palatino Linotype" w:hAnsi="Palatino Linotype" w:cs="Palatino Linotype"/>
        </w:rPr>
      </w:pPr>
    </w:p>
    <w:p w14:paraId="6865ACAC" w14:textId="77777777" w:rsidR="00573E3C" w:rsidRDefault="00573E3C">
      <w:pPr>
        <w:spacing w:before="240" w:after="240" w:line="360" w:lineRule="auto"/>
        <w:jc w:val="center"/>
        <w:rPr>
          <w:rFonts w:ascii="Palatino Linotype" w:eastAsia="Palatino Linotype" w:hAnsi="Palatino Linotype" w:cs="Palatino Linotype"/>
        </w:rPr>
      </w:pPr>
    </w:p>
    <w:p w14:paraId="1F9E2C10" w14:textId="77777777" w:rsidR="00573E3C" w:rsidRDefault="00573E3C">
      <w:pPr>
        <w:spacing w:before="240" w:after="240" w:line="360" w:lineRule="auto"/>
        <w:jc w:val="center"/>
        <w:rPr>
          <w:rFonts w:ascii="Palatino Linotype" w:eastAsia="Palatino Linotype" w:hAnsi="Palatino Linotype" w:cs="Palatino Linotype"/>
        </w:rPr>
      </w:pPr>
    </w:p>
    <w:sectPr w:rsidR="00573E3C">
      <w:headerReference w:type="default" r:id="rId44"/>
      <w:footerReference w:type="default" r:id="rId45"/>
      <w:headerReference w:type="first" r:id="rId46"/>
      <w:footerReference w:type="first" r:id="rId4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5DFA9" w14:textId="77777777" w:rsidR="00000000" w:rsidRDefault="00684DBC">
      <w:r>
        <w:separator/>
      </w:r>
    </w:p>
  </w:endnote>
  <w:endnote w:type="continuationSeparator" w:id="0">
    <w:p w14:paraId="04BE8B1D" w14:textId="77777777" w:rsidR="00000000" w:rsidRDefault="0068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6E83" w14:textId="77777777" w:rsidR="00573E3C" w:rsidRDefault="00684DB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439C9937" w14:textId="77777777" w:rsidR="00573E3C" w:rsidRDefault="00573E3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6AAF7" w14:textId="77777777" w:rsidR="00573E3C" w:rsidRDefault="00684DB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6679729C" w14:textId="77777777" w:rsidR="00573E3C" w:rsidRDefault="00573E3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CB2A6" w14:textId="77777777" w:rsidR="00000000" w:rsidRDefault="00684DBC">
      <w:r>
        <w:separator/>
      </w:r>
    </w:p>
  </w:footnote>
  <w:footnote w:type="continuationSeparator" w:id="0">
    <w:p w14:paraId="44325806" w14:textId="77777777" w:rsidR="00000000" w:rsidRDefault="00684DBC">
      <w:r>
        <w:continuationSeparator/>
      </w:r>
    </w:p>
  </w:footnote>
  <w:footnote w:id="1">
    <w:p w14:paraId="4363A073" w14:textId="77777777" w:rsidR="00573E3C" w:rsidRDefault="00684DB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https://www.sat.gob.mx/declaracion/90887/consulta-el-visor-de-comprobantes-de-nomina-para-el-patron-</w:t>
        </w:r>
      </w:hyperlink>
      <w:r>
        <w:rPr>
          <w:rFonts w:ascii="Palatino Linotype" w:eastAsia="Palatino Linotype" w:hAnsi="Palatino Linotype" w:cs="Palatino Linotype"/>
          <w:color w:val="000000"/>
          <w:sz w:val="16"/>
          <w:szCs w:val="16"/>
        </w:rPr>
        <w:t xml:space="preserve"> </w:t>
      </w:r>
    </w:p>
    <w:p w14:paraId="600F2667" w14:textId="77777777" w:rsidR="00573E3C" w:rsidRDefault="00684DB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o </w:t>
      </w:r>
      <w:hyperlink r:id="rId2">
        <w:r>
          <w:rPr>
            <w:rFonts w:ascii="Palatino Linotype" w:eastAsia="Palatino Linotype" w:hAnsi="Palatino Linotype" w:cs="Palatino Linotype"/>
            <w:color w:val="0000FF"/>
            <w:sz w:val="16"/>
            <w:szCs w:val="16"/>
            <w:u w:val="single"/>
          </w:rPr>
          <w:t>https://www.sat.gob.mx/personas/declaraciones</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DA87" w14:textId="77777777" w:rsidR="00573E3C" w:rsidRDefault="00684DBC">
    <w:pPr>
      <w:rPr>
        <w:rFonts w:ascii="Cambria" w:eastAsia="Cambria" w:hAnsi="Cambria" w:cs="Cambria"/>
        <w:color w:val="000000"/>
      </w:rPr>
    </w:pPr>
    <w:r>
      <w:rPr>
        <w:noProof/>
      </w:rPr>
      <w:drawing>
        <wp:anchor distT="0" distB="0" distL="0" distR="0" simplePos="0" relativeHeight="251658240" behindDoc="1" locked="0" layoutInCell="1" hidden="0" allowOverlap="1" wp14:anchorId="7FD956F5" wp14:editId="4FE9F881">
          <wp:simplePos x="0" y="0"/>
          <wp:positionH relativeFrom="column">
            <wp:posOffset>-1080102</wp:posOffset>
          </wp:positionH>
          <wp:positionV relativeFrom="paragraph">
            <wp:posOffset>-488276</wp:posOffset>
          </wp:positionV>
          <wp:extent cx="7809865" cy="10165715"/>
          <wp:effectExtent l="0" t="0" r="0" b="0"/>
          <wp:wrapNone/>
          <wp:docPr id="21401318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573E3C" w14:paraId="1CDAF035" w14:textId="77777777">
      <w:tc>
        <w:tcPr>
          <w:tcW w:w="2489" w:type="dxa"/>
          <w:shd w:val="clear" w:color="auto" w:fill="auto"/>
        </w:tcPr>
        <w:p w14:paraId="663A1C78" w14:textId="77777777" w:rsidR="00573E3C" w:rsidRDefault="00684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E6326F8" w14:textId="77777777" w:rsidR="00573E3C" w:rsidRDefault="00684DB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05804/INFOEM/IP/RR/2024</w:t>
          </w:r>
        </w:p>
      </w:tc>
    </w:tr>
    <w:tr w:rsidR="00573E3C" w14:paraId="4AE19F2F" w14:textId="77777777">
      <w:trPr>
        <w:trHeight w:val="228"/>
      </w:trPr>
      <w:tc>
        <w:tcPr>
          <w:tcW w:w="2489" w:type="dxa"/>
          <w:shd w:val="clear" w:color="auto" w:fill="auto"/>
          <w:vAlign w:val="center"/>
        </w:tcPr>
        <w:p w14:paraId="163DDB40" w14:textId="77777777" w:rsidR="00573E3C" w:rsidRDefault="00684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E10F05A" w14:textId="77777777" w:rsidR="00573E3C" w:rsidRDefault="00684DB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Mateo Atenco</w:t>
          </w:r>
        </w:p>
      </w:tc>
    </w:tr>
    <w:tr w:rsidR="00573E3C" w14:paraId="09ADF6FD" w14:textId="77777777">
      <w:tc>
        <w:tcPr>
          <w:tcW w:w="2489" w:type="dxa"/>
          <w:shd w:val="clear" w:color="auto" w:fill="auto"/>
          <w:vAlign w:val="center"/>
        </w:tcPr>
        <w:p w14:paraId="4CA4BCE5" w14:textId="77777777" w:rsidR="00573E3C" w:rsidRDefault="00684DB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6EF6977" w14:textId="77777777" w:rsidR="00573E3C" w:rsidRDefault="00684DB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E90BF1" w14:textId="77777777" w:rsidR="00573E3C" w:rsidRDefault="00684DB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35EC" w14:textId="77777777" w:rsidR="00573E3C" w:rsidRDefault="00684DB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5DEF3E4F" wp14:editId="3E36478C">
          <wp:simplePos x="0" y="0"/>
          <wp:positionH relativeFrom="column">
            <wp:posOffset>-1080128</wp:posOffset>
          </wp:positionH>
          <wp:positionV relativeFrom="paragraph">
            <wp:posOffset>-369904</wp:posOffset>
          </wp:positionV>
          <wp:extent cx="7809865" cy="10165715"/>
          <wp:effectExtent l="0" t="0" r="0" b="0"/>
          <wp:wrapNone/>
          <wp:docPr id="21401318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5953" w:type="dxa"/>
      <w:tblInd w:w="3261" w:type="dxa"/>
      <w:tblLayout w:type="fixed"/>
      <w:tblLook w:val="0400" w:firstRow="0" w:lastRow="0" w:firstColumn="0" w:lastColumn="0" w:noHBand="0" w:noVBand="1"/>
    </w:tblPr>
    <w:tblGrid>
      <w:gridCol w:w="2489"/>
      <w:gridCol w:w="3464"/>
    </w:tblGrid>
    <w:tr w:rsidR="00573E3C" w14:paraId="18A315C6" w14:textId="77777777">
      <w:tc>
        <w:tcPr>
          <w:tcW w:w="2489" w:type="dxa"/>
          <w:shd w:val="clear" w:color="auto" w:fill="auto"/>
        </w:tcPr>
        <w:p w14:paraId="3A5A9233" w14:textId="77777777" w:rsidR="00573E3C" w:rsidRDefault="00684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FA784EC" w14:textId="77777777" w:rsidR="00573E3C" w:rsidRDefault="00684DB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05804/INFOEM/IP/RR/2024</w:t>
          </w:r>
        </w:p>
      </w:tc>
    </w:tr>
    <w:tr w:rsidR="00573E3C" w14:paraId="59D1C277" w14:textId="77777777">
      <w:tc>
        <w:tcPr>
          <w:tcW w:w="2489" w:type="dxa"/>
          <w:shd w:val="clear" w:color="auto" w:fill="auto"/>
        </w:tcPr>
        <w:p w14:paraId="4386FDB5" w14:textId="77777777" w:rsidR="00573E3C" w:rsidRDefault="00684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2CBFEC1C" w14:textId="583D5AA9" w:rsidR="00573E3C" w:rsidRDefault="00684DBC">
          <w:pPr>
            <w:ind w:right="175"/>
            <w:jc w:val="both"/>
            <w:rPr>
              <w:rFonts w:ascii="Palatino Linotype" w:eastAsia="Palatino Linotype" w:hAnsi="Palatino Linotype" w:cs="Palatino Linotype"/>
              <w:b/>
              <w:sz w:val="22"/>
              <w:szCs w:val="22"/>
            </w:rPr>
          </w:pPr>
          <w:r w:rsidRPr="00684DBC">
            <w:rPr>
              <w:rFonts w:ascii="Palatino Linotype" w:eastAsia="Palatino Linotype" w:hAnsi="Palatino Linotype" w:cs="Palatino Linotype"/>
              <w:b/>
              <w:sz w:val="22"/>
              <w:szCs w:val="22"/>
            </w:rPr>
            <w:t>XXXXXXX XX X</w:t>
          </w:r>
        </w:p>
      </w:tc>
    </w:tr>
    <w:tr w:rsidR="00573E3C" w14:paraId="05F24CA8" w14:textId="77777777">
      <w:trPr>
        <w:trHeight w:val="228"/>
      </w:trPr>
      <w:tc>
        <w:tcPr>
          <w:tcW w:w="2489" w:type="dxa"/>
          <w:shd w:val="clear" w:color="auto" w:fill="auto"/>
          <w:vAlign w:val="center"/>
        </w:tcPr>
        <w:p w14:paraId="5F1E3655" w14:textId="77777777" w:rsidR="00573E3C" w:rsidRDefault="00684D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5173252" w14:textId="77777777" w:rsidR="00573E3C" w:rsidRDefault="00684DB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San Mateo Atenco</w:t>
          </w:r>
        </w:p>
      </w:tc>
    </w:tr>
    <w:tr w:rsidR="00573E3C" w14:paraId="1D61751C" w14:textId="77777777">
      <w:tc>
        <w:tcPr>
          <w:tcW w:w="2489" w:type="dxa"/>
          <w:shd w:val="clear" w:color="auto" w:fill="auto"/>
          <w:vAlign w:val="center"/>
        </w:tcPr>
        <w:p w14:paraId="3B738CD8" w14:textId="77777777" w:rsidR="00573E3C" w:rsidRDefault="00684DB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AEEFCB4" w14:textId="77777777" w:rsidR="00573E3C" w:rsidRDefault="00684DB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ED68658" w14:textId="77777777" w:rsidR="00573E3C" w:rsidRDefault="00573E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014"/>
    <w:multiLevelType w:val="multilevel"/>
    <w:tmpl w:val="8F705E3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3C"/>
    <w:rsid w:val="00573E3C"/>
    <w:rsid w:val="00684D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DAE64"/>
  <w15:docId w15:val="{E808E0EF-B75D-4F0E-B29C-532393458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171"/>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15" w:type="dxa"/>
        <w:right w:w="115" w:type="dxa"/>
      </w:tblCellMar>
    </w:tblPr>
  </w:style>
  <w:style w:type="table" w:customStyle="1" w:styleId="a0">
    <w:basedOn w:val="TableNormal7"/>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806B5C"/>
    <w:rPr>
      <w:vertAlign w:val="superscript"/>
    </w:rPr>
  </w:style>
  <w:style w:type="table" w:customStyle="1" w:styleId="a1">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5"/>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character" w:customStyle="1" w:styleId="object">
    <w:name w:val="object"/>
    <w:basedOn w:val="Fuentedeprrafopredeter"/>
    <w:rsid w:val="003E1B7B"/>
  </w:style>
  <w:style w:type="character" w:styleId="Textoennegrita">
    <w:name w:val="Strong"/>
    <w:basedOn w:val="Fuentedeprrafopredeter"/>
    <w:uiPriority w:val="22"/>
    <w:qFormat/>
    <w:rsid w:val="003E1B7B"/>
    <w:rPr>
      <w:b/>
      <w:bCs/>
    </w:r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576276"/>
    <w:rPr>
      <w:color w:val="605E5C"/>
      <w:shd w:val="clear" w:color="auto" w:fill="E1DFDD"/>
    </w:rPr>
  </w:style>
  <w:style w:type="paragraph" w:styleId="Textoindependiente">
    <w:name w:val="Body Text"/>
    <w:basedOn w:val="Normal"/>
    <w:link w:val="TextoindependienteCar"/>
    <w:uiPriority w:val="1"/>
    <w:qFormat/>
    <w:rsid w:val="001E4A02"/>
    <w:pPr>
      <w:widowControl w:val="0"/>
      <w:autoSpaceDE w:val="0"/>
      <w:autoSpaceDN w:val="0"/>
    </w:pPr>
    <w:rPr>
      <w:rFonts w:ascii="Arial" w:eastAsia="Arial" w:hAnsi="Arial" w:cs="Arial"/>
      <w:sz w:val="19"/>
      <w:szCs w:val="19"/>
      <w:lang w:val="es-ES" w:eastAsia="en-US"/>
    </w:rPr>
  </w:style>
  <w:style w:type="character" w:customStyle="1" w:styleId="TextoindependienteCar">
    <w:name w:val="Texto independiente Car"/>
    <w:basedOn w:val="Fuentedeprrafopredeter"/>
    <w:link w:val="Textoindependiente"/>
    <w:uiPriority w:val="1"/>
    <w:rsid w:val="001E4A02"/>
    <w:rPr>
      <w:rFonts w:ascii="Arial" w:eastAsia="Arial" w:hAnsi="Arial" w:cs="Arial"/>
      <w:sz w:val="19"/>
      <w:szCs w:val="19"/>
      <w:lang w:val="es-ES" w:eastAsia="en-US"/>
    </w:r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08" w:type="dxa"/>
        <w:right w:w="108"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5.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36.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3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34.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hyperlink" Target="https://sfpya.edomexico.gob.mx/participacion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sat.gob.mx/personas/declaraciones" TargetMode="External"/><Relationship Id="rId1" Type="http://schemas.openxmlformats.org/officeDocument/2006/relationships/hyperlink" Target="https://www.sat.gob.mx/declaracion/90887/consulta-el-visor-de-comprobantes-de-nomina-para-el-patr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rz+nCBzZtwhVPWFuJMs8M3TgKw==">CgMxLjAyCWguMXQzaDVzZjIJaC40ZDM0b2c4MghoLmdqZGd4czIJaC4zZHk2dmttMgloLjMwajB6bGwyCWguMnM4ZXlvMTIIaC50eWpjd3QyCWguM3pueXNoNzIJaC4yZXQ5MnAwMghoLmxueGJ6OTIJaC4yNmluMXJnMgloLjE3ZHA4dnUyCWguMWZvYjl0ZTgAciExTzVHaHFMSy1UQko4NlNObXlKZG5RUzVMY0xTNVlzR1Y=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68</Pages>
  <Words>15082</Words>
  <Characters>82957</Characters>
  <Application>Microsoft Office Word</Application>
  <DocSecurity>0</DocSecurity>
  <Lines>691</Lines>
  <Paragraphs>195</Paragraphs>
  <ScaleCrop>false</ScaleCrop>
  <Company/>
  <LinksUpToDate>false</LinksUpToDate>
  <CharactersWithSpaces>97844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dcterms:created xsi:type="dcterms:W3CDTF">2024-11-29T19:13:00Z</dcterms:created>
  <dcterms:modified xsi:type="dcterms:W3CDTF">2024-11-29T19:13:00Z</dcterms:modified>
</cp:coreProperties>
</file>