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BD94C" w14:textId="77777777" w:rsidR="004E626C" w:rsidRPr="00C60ABB" w:rsidRDefault="005C42B7">
      <w:pPr>
        <w:spacing w:before="240" w:after="240"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ocho de febrero de dos mil veinticuatro. </w:t>
      </w:r>
    </w:p>
    <w:p w14:paraId="6E3C0436" w14:textId="77777777" w:rsidR="004E626C" w:rsidRPr="00C60ABB" w:rsidRDefault="005C42B7">
      <w:pPr>
        <w:spacing w:before="240" w:after="240"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b/>
        </w:rPr>
        <w:t>VISTO</w:t>
      </w:r>
      <w:r w:rsidRPr="00C60ABB">
        <w:rPr>
          <w:rFonts w:ascii="Palatino Linotype" w:eastAsia="Palatino Linotype" w:hAnsi="Palatino Linotype" w:cs="Palatino Linotype"/>
        </w:rPr>
        <w:t xml:space="preserve"> el expediente formado con motivo del recurso de revisión </w:t>
      </w:r>
      <w:r w:rsidRPr="00C60ABB">
        <w:rPr>
          <w:rFonts w:ascii="Palatino Linotype" w:eastAsia="Palatino Linotype" w:hAnsi="Palatino Linotype" w:cs="Palatino Linotype"/>
          <w:b/>
        </w:rPr>
        <w:t>03344/INFOEM/IP/RR/2023</w:t>
      </w:r>
      <w:r w:rsidRPr="00C60ABB">
        <w:rPr>
          <w:rFonts w:ascii="Palatino Linotype" w:eastAsia="Palatino Linotype" w:hAnsi="Palatino Linotype" w:cs="Palatino Linotype"/>
        </w:rPr>
        <w:t>, interpuesto por</w:t>
      </w:r>
      <w:r w:rsidRPr="00C60ABB">
        <w:rPr>
          <w:rFonts w:ascii="Palatino Linotype" w:eastAsia="Palatino Linotype" w:hAnsi="Palatino Linotype" w:cs="Palatino Linotype"/>
          <w:b/>
        </w:rPr>
        <w:t xml:space="preserve"> un particular que no proporcionó su nombre</w:t>
      </w:r>
      <w:r w:rsidRPr="00C60ABB">
        <w:rPr>
          <w:rFonts w:ascii="Palatino Linotype" w:eastAsia="Palatino Linotype" w:hAnsi="Palatino Linotype" w:cs="Palatino Linotype"/>
        </w:rPr>
        <w:t xml:space="preserve">, en lo sucesivo la parte </w:t>
      </w:r>
      <w:r w:rsidRPr="00C60ABB">
        <w:rPr>
          <w:rFonts w:ascii="Palatino Linotype" w:eastAsia="Palatino Linotype" w:hAnsi="Palatino Linotype" w:cs="Palatino Linotype"/>
          <w:b/>
        </w:rPr>
        <w:t>RECURRENTE,</w:t>
      </w:r>
      <w:r w:rsidRPr="00C60ABB">
        <w:rPr>
          <w:rFonts w:ascii="Palatino Linotype" w:eastAsia="Palatino Linotype" w:hAnsi="Palatino Linotype" w:cs="Palatino Linotype"/>
        </w:rPr>
        <w:t xml:space="preserve"> en contra de la respuesta a su solicitud de información con número de folio</w:t>
      </w:r>
      <w:r w:rsidRPr="00C60ABB">
        <w:rPr>
          <w:rFonts w:ascii="Palatino Linotype" w:eastAsia="Palatino Linotype" w:hAnsi="Palatino Linotype" w:cs="Palatino Linotype"/>
          <w:b/>
        </w:rPr>
        <w:t xml:space="preserve"> 00063/CAPULHUA/IP/2023, </w:t>
      </w:r>
      <w:r w:rsidRPr="00C60ABB">
        <w:rPr>
          <w:rFonts w:ascii="Palatino Linotype" w:eastAsia="Palatino Linotype" w:hAnsi="Palatino Linotype" w:cs="Palatino Linotype"/>
        </w:rPr>
        <w:t xml:space="preserve">por parte del </w:t>
      </w:r>
      <w:r w:rsidRPr="00C60ABB">
        <w:rPr>
          <w:rFonts w:ascii="Palatino Linotype" w:eastAsia="Palatino Linotype" w:hAnsi="Palatino Linotype" w:cs="Palatino Linotype"/>
          <w:b/>
        </w:rPr>
        <w:t xml:space="preserve">Ayuntamiento de Capulhuac, </w:t>
      </w:r>
      <w:r w:rsidRPr="00C60ABB">
        <w:rPr>
          <w:rFonts w:ascii="Palatino Linotype" w:eastAsia="Palatino Linotype" w:hAnsi="Palatino Linotype" w:cs="Palatino Linotype"/>
        </w:rPr>
        <w:t xml:space="preserve">en lo sucesivo el </w:t>
      </w:r>
      <w:r w:rsidRPr="00C60ABB">
        <w:rPr>
          <w:rFonts w:ascii="Palatino Linotype" w:eastAsia="Palatino Linotype" w:hAnsi="Palatino Linotype" w:cs="Palatino Linotype"/>
          <w:b/>
        </w:rPr>
        <w:t xml:space="preserve">SUJETO OBLIGADO, </w:t>
      </w:r>
      <w:r w:rsidRPr="00C60ABB">
        <w:rPr>
          <w:rFonts w:ascii="Palatino Linotype" w:eastAsia="Palatino Linotype" w:hAnsi="Palatino Linotype" w:cs="Palatino Linotype"/>
        </w:rPr>
        <w:t xml:space="preserve">se procede a dictar la presente resolución con base en los siguientes: </w:t>
      </w:r>
    </w:p>
    <w:p w14:paraId="0F7A7006" w14:textId="77777777" w:rsidR="004E626C" w:rsidRPr="00C60ABB" w:rsidRDefault="005C42B7">
      <w:pPr>
        <w:spacing w:before="240" w:after="240" w:line="360" w:lineRule="auto"/>
        <w:jc w:val="center"/>
        <w:rPr>
          <w:rFonts w:ascii="Palatino Linotype" w:eastAsia="Palatino Linotype" w:hAnsi="Palatino Linotype" w:cs="Palatino Linotype"/>
          <w:b/>
        </w:rPr>
      </w:pPr>
      <w:r w:rsidRPr="00C60ABB">
        <w:rPr>
          <w:rFonts w:ascii="Palatino Linotype" w:eastAsia="Palatino Linotype" w:hAnsi="Palatino Linotype" w:cs="Palatino Linotype"/>
          <w:b/>
        </w:rPr>
        <w:t>I. A N T E C E D E N T E S</w:t>
      </w:r>
    </w:p>
    <w:p w14:paraId="672858F0" w14:textId="77777777" w:rsidR="004E626C" w:rsidRPr="00C60ABB" w:rsidRDefault="005C42B7">
      <w:pPr>
        <w:spacing w:before="240" w:after="240"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b/>
        </w:rPr>
        <w:t>1. Solicitud de acceso a la información.</w:t>
      </w:r>
      <w:r w:rsidRPr="00C60ABB">
        <w:rPr>
          <w:rFonts w:ascii="Palatino Linotype" w:eastAsia="Palatino Linotype" w:hAnsi="Palatino Linotype" w:cs="Palatino Linotype"/>
        </w:rPr>
        <w:t xml:space="preserve"> Con fecha </w:t>
      </w:r>
      <w:r w:rsidRPr="00C60ABB">
        <w:rPr>
          <w:rFonts w:ascii="Palatino Linotype" w:eastAsia="Palatino Linotype" w:hAnsi="Palatino Linotype" w:cs="Palatino Linotype"/>
          <w:b/>
        </w:rPr>
        <w:t>once de mayo de dos mil veintitrés,</w:t>
      </w:r>
      <w:r w:rsidRPr="00C60ABB">
        <w:rPr>
          <w:rFonts w:ascii="Palatino Linotype" w:eastAsia="Palatino Linotype" w:hAnsi="Palatino Linotype" w:cs="Palatino Linotype"/>
        </w:rPr>
        <w:t xml:space="preserve"> la parte </w:t>
      </w:r>
      <w:r w:rsidRPr="00C60ABB">
        <w:rPr>
          <w:rFonts w:ascii="Palatino Linotype" w:eastAsia="Palatino Linotype" w:hAnsi="Palatino Linotype" w:cs="Palatino Linotype"/>
          <w:b/>
        </w:rPr>
        <w:t xml:space="preserve">RECURRENTE </w:t>
      </w:r>
      <w:r w:rsidRPr="00C60ABB">
        <w:rPr>
          <w:rFonts w:ascii="Palatino Linotype" w:eastAsia="Palatino Linotype" w:hAnsi="Palatino Linotype" w:cs="Palatino Linotype"/>
        </w:rPr>
        <w:t xml:space="preserve">presentó, a través del Sistema de Acceso a la Información Mexiquense, en lo subsecuente el </w:t>
      </w:r>
      <w:r w:rsidRPr="00C60ABB">
        <w:rPr>
          <w:rFonts w:ascii="Palatino Linotype" w:eastAsia="Palatino Linotype" w:hAnsi="Palatino Linotype" w:cs="Palatino Linotype"/>
          <w:b/>
        </w:rPr>
        <w:t>SAIMEX,</w:t>
      </w:r>
      <w:r w:rsidRPr="00C60ABB">
        <w:rPr>
          <w:rFonts w:ascii="Palatino Linotype" w:eastAsia="Palatino Linotype" w:hAnsi="Palatino Linotype" w:cs="Palatino Linotype"/>
        </w:rPr>
        <w:t xml:space="preserve"> ante el </w:t>
      </w:r>
      <w:r w:rsidRPr="00C60ABB">
        <w:rPr>
          <w:rFonts w:ascii="Palatino Linotype" w:eastAsia="Palatino Linotype" w:hAnsi="Palatino Linotype" w:cs="Palatino Linotype"/>
          <w:b/>
        </w:rPr>
        <w:t>SUJETO OBLIGADO</w:t>
      </w:r>
      <w:r w:rsidRPr="00C60ABB">
        <w:rPr>
          <w:rFonts w:ascii="Palatino Linotype" w:eastAsia="Palatino Linotype" w:hAnsi="Palatino Linotype" w:cs="Palatino Linotype"/>
        </w:rPr>
        <w:t>, la solicitud de acceso a la información pública, a la que se le asignó el número</w:t>
      </w:r>
      <w:r w:rsidRPr="00C60ABB">
        <w:rPr>
          <w:rFonts w:ascii="Palatino Linotype" w:eastAsia="Palatino Linotype" w:hAnsi="Palatino Linotype" w:cs="Palatino Linotype"/>
          <w:b/>
        </w:rPr>
        <w:t xml:space="preserve"> 00063/CAPULHUA/IP/2023, </w:t>
      </w:r>
      <w:r w:rsidRPr="00C60ABB">
        <w:rPr>
          <w:rFonts w:ascii="Palatino Linotype" w:eastAsia="Palatino Linotype" w:hAnsi="Palatino Linotype" w:cs="Palatino Linotype"/>
        </w:rPr>
        <w:t xml:space="preserve">mediante la cual requirió la información siguiente: </w:t>
      </w:r>
    </w:p>
    <w:p w14:paraId="11E8E953" w14:textId="77777777" w:rsidR="004E626C" w:rsidRPr="00C60ABB" w:rsidRDefault="005C42B7">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C60ABB">
        <w:rPr>
          <w:rFonts w:ascii="Palatino Linotype" w:eastAsia="Palatino Linotype" w:hAnsi="Palatino Linotype" w:cs="Palatino Linotype"/>
          <w:i/>
          <w:sz w:val="22"/>
          <w:szCs w:val="22"/>
        </w:rPr>
        <w:t xml:space="preserve">“1.- TODOS LOS DOCUMENTOS FORMADOS EN RELACIÓN CON EL PROCEDIMIENTO DE ADQUISICIÓN DE LA REPARACIÓN Y MANTENIMIENTO DE VEHÍCULOS DE SEGURIDAD PÚBLICA Y PROTECCIÓN CIVIL CON RECURSOS DEL FONDO DE APORTACIONES PARA EL FORTALECIMIENTO DE LOS MUNICIPIOS Y DE LAS DEMARCACIONES TERRITORIALES DEL DISTRITO FEDERAL PARA EL EJERCICIO FISCAL 2022, EN COPIA LEGIBLE, Y QUE INCLUYA LA INFORMACIÓN SEÑALADA EN LA FRACCIÓN </w:t>
      </w:r>
      <w:r w:rsidRPr="00C60ABB">
        <w:rPr>
          <w:rFonts w:ascii="Palatino Linotype" w:eastAsia="Palatino Linotype" w:hAnsi="Palatino Linotype" w:cs="Palatino Linotype"/>
          <w:i/>
          <w:sz w:val="22"/>
          <w:szCs w:val="22"/>
        </w:rPr>
        <w:lastRenderedPageBreak/>
        <w:t>XXIX DEL ARTÍCULO 92 DE LA LEY DE TRANSPARENCIA LOCAL. 2.- COPIA DE LAS FACTURAS EMITIDAS POR REPARACIÓN Y MANTENIMIENTO. 3.- COPIA DE LOS CHEQUES O TRANSFERENCIAS ELECTRÓNICAS O EL DOCUMENTO GENERADO POR LA TESORERÍA MUNICIPAL QUE ACREDITE EL PAGO DE LAS FACTURAS A QUE SE REFIERE EL PUNTO ANTERIOR” (Sic)</w:t>
      </w:r>
    </w:p>
    <w:p w14:paraId="2F4BCB7A" w14:textId="77777777" w:rsidR="004E626C" w:rsidRPr="00C60ABB" w:rsidRDefault="004E626C">
      <w:pPr>
        <w:spacing w:before="240"/>
        <w:ind w:left="851" w:right="902"/>
        <w:jc w:val="both"/>
        <w:rPr>
          <w:rFonts w:ascii="Palatino Linotype" w:eastAsia="Palatino Linotype" w:hAnsi="Palatino Linotype" w:cs="Palatino Linotype"/>
          <w:i/>
          <w:sz w:val="22"/>
          <w:szCs w:val="22"/>
        </w:rPr>
      </w:pPr>
    </w:p>
    <w:p w14:paraId="09C9D540" w14:textId="77777777" w:rsidR="004E626C" w:rsidRPr="00C60ABB" w:rsidRDefault="005C42B7">
      <w:pPr>
        <w:spacing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b/>
        </w:rPr>
        <w:t>Modalidad de Entrega:</w:t>
      </w:r>
      <w:r w:rsidRPr="00C60ABB">
        <w:rPr>
          <w:rFonts w:ascii="Palatino Linotype" w:eastAsia="Palatino Linotype" w:hAnsi="Palatino Linotype" w:cs="Palatino Linotype"/>
        </w:rPr>
        <w:t xml:space="preserve"> A través de SAIMEX.</w:t>
      </w:r>
    </w:p>
    <w:p w14:paraId="1F06A822" w14:textId="77777777" w:rsidR="004E626C" w:rsidRPr="00C60ABB" w:rsidRDefault="004E626C">
      <w:pPr>
        <w:spacing w:line="360" w:lineRule="auto"/>
        <w:jc w:val="both"/>
        <w:rPr>
          <w:rFonts w:ascii="Palatino Linotype" w:eastAsia="Palatino Linotype" w:hAnsi="Palatino Linotype" w:cs="Palatino Linotype"/>
        </w:rPr>
      </w:pPr>
    </w:p>
    <w:p w14:paraId="5D6CD673" w14:textId="77777777" w:rsidR="004E626C" w:rsidRPr="00C60ABB" w:rsidRDefault="005C42B7">
      <w:pPr>
        <w:spacing w:after="240" w:line="360" w:lineRule="auto"/>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b/>
        </w:rPr>
        <w:t xml:space="preserve">2. Respuesta. </w:t>
      </w:r>
      <w:r w:rsidRPr="00C60ABB">
        <w:rPr>
          <w:rFonts w:ascii="Palatino Linotype" w:eastAsia="Palatino Linotype" w:hAnsi="Palatino Linotype" w:cs="Palatino Linotype"/>
        </w:rPr>
        <w:t xml:space="preserve">Con fecha </w:t>
      </w:r>
      <w:r w:rsidRPr="00C60ABB">
        <w:rPr>
          <w:rFonts w:ascii="Palatino Linotype" w:eastAsia="Palatino Linotype" w:hAnsi="Palatino Linotype" w:cs="Palatino Linotype"/>
          <w:b/>
        </w:rPr>
        <w:t>veinticuatro de mayo de dos mil veintitrés</w:t>
      </w:r>
      <w:r w:rsidRPr="00C60ABB">
        <w:rPr>
          <w:rFonts w:ascii="Palatino Linotype" w:eastAsia="Palatino Linotype" w:hAnsi="Palatino Linotype" w:cs="Palatino Linotype"/>
        </w:rPr>
        <w:t xml:space="preserve">, el </w:t>
      </w:r>
      <w:r w:rsidRPr="00C60ABB">
        <w:rPr>
          <w:rFonts w:ascii="Palatino Linotype" w:eastAsia="Palatino Linotype" w:hAnsi="Palatino Linotype" w:cs="Palatino Linotype"/>
          <w:b/>
        </w:rPr>
        <w:t xml:space="preserve">SUJETO OBLIGADO </w:t>
      </w:r>
      <w:r w:rsidRPr="00C60ABB">
        <w:rPr>
          <w:rFonts w:ascii="Palatino Linotype" w:eastAsia="Palatino Linotype" w:hAnsi="Palatino Linotype" w:cs="Palatino Linotype"/>
        </w:rPr>
        <w:t xml:space="preserve">envió su respuesta a la solicitud de acceso a la información a través de SAIMEX, sustancialmente en los términos siguientes: </w:t>
      </w:r>
      <w:r w:rsidRPr="00C60ABB">
        <w:rPr>
          <w:rFonts w:ascii="Palatino Linotype" w:eastAsia="Palatino Linotype" w:hAnsi="Palatino Linotype" w:cs="Palatino Linotype"/>
          <w:i/>
          <w:sz w:val="22"/>
          <w:szCs w:val="22"/>
        </w:rPr>
        <w:t xml:space="preserve">  </w:t>
      </w:r>
    </w:p>
    <w:p w14:paraId="336BD92A" w14:textId="77777777" w:rsidR="004E626C" w:rsidRPr="00C60ABB" w:rsidRDefault="005C42B7">
      <w:pPr>
        <w:spacing w:before="240"/>
        <w:ind w:left="851" w:right="902"/>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“…se anexa </w:t>
      </w:r>
      <w:proofErr w:type="spellStart"/>
      <w:r w:rsidRPr="00C60ABB">
        <w:rPr>
          <w:rFonts w:ascii="Palatino Linotype" w:eastAsia="Palatino Linotype" w:hAnsi="Palatino Linotype" w:cs="Palatino Linotype"/>
          <w:i/>
          <w:sz w:val="22"/>
          <w:szCs w:val="22"/>
        </w:rPr>
        <w:t>informacion</w:t>
      </w:r>
      <w:proofErr w:type="spellEnd"/>
      <w:r w:rsidRPr="00C60ABB">
        <w:rPr>
          <w:rFonts w:ascii="Palatino Linotype" w:eastAsia="Palatino Linotype" w:hAnsi="Palatino Linotype" w:cs="Palatino Linotype"/>
          <w:i/>
          <w:sz w:val="22"/>
          <w:szCs w:val="22"/>
        </w:rPr>
        <w:t>...” (Sic)</w:t>
      </w:r>
    </w:p>
    <w:p w14:paraId="4B76DC80" w14:textId="77777777" w:rsidR="004E626C" w:rsidRPr="00C60ABB" w:rsidRDefault="004E626C">
      <w:pPr>
        <w:spacing w:after="240" w:line="360" w:lineRule="auto"/>
        <w:jc w:val="both"/>
        <w:rPr>
          <w:rFonts w:ascii="Palatino Linotype" w:eastAsia="Palatino Linotype" w:hAnsi="Palatino Linotype" w:cs="Palatino Linotype"/>
        </w:rPr>
      </w:pPr>
    </w:p>
    <w:p w14:paraId="29F5F5D7" w14:textId="77777777" w:rsidR="004E626C" w:rsidRPr="00C60ABB" w:rsidRDefault="005C42B7">
      <w:pPr>
        <w:spacing w:after="240"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w:t>
      </w:r>
      <w:hyperlink r:id="rId8">
        <w:r w:rsidRPr="00C60ABB">
          <w:rPr>
            <w:rFonts w:ascii="Palatino Linotype" w:eastAsia="Palatino Linotype" w:hAnsi="Palatino Linotype" w:cs="Palatino Linotype"/>
          </w:rPr>
          <w:t>00063 anexo 1.pdf</w:t>
        </w:r>
      </w:hyperlink>
      <w:r w:rsidRPr="00C60ABB">
        <w:rPr>
          <w:rFonts w:ascii="Palatino Linotype" w:eastAsia="Palatino Linotype" w:hAnsi="Palatino Linotype" w:cs="Palatino Linotype"/>
        </w:rPr>
        <w:t>”, el cual contiene 75 fojas que se relaciona con la reparación y mantenimiento de vehículos del Ayuntamiento de Capulhuac, en donde se observan requisiciones, formatos de solicitud del área usuaria, cotizaciones, facturas, fotografías, Bitácoras de Reparación y mantenimiento de vehículos, cuadros comparativos económicos sobre los servicios realizados a los vehículos, formatos de fallo para adquisición bajo el supuesto del artículo 48 fracción XI de la Ley de Contratación Pública del Estado de México y Municipios, Contratos de Adquisición de Bienes y Servicios, Bitácoras de Reparación y mantenimiento de vehículos, Evidencias de la Reparación y mantenimiento de vehículos, excepción de garantías al cumplimiento a los contratos de Adquisición de Bienes y Servicios y Formatos de conformidad del Área usuaria, de la Dirección de Seguridad Pública y Tránsito y  Coordinación de Protección Civil y Bomberos, del ejercicio fiscal 2022.</w:t>
      </w:r>
    </w:p>
    <w:p w14:paraId="5BE4FCB0" w14:textId="77777777" w:rsidR="004E626C" w:rsidRPr="00C60ABB" w:rsidRDefault="005C42B7">
      <w:pPr>
        <w:spacing w:after="240"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lastRenderedPageBreak/>
        <w:t xml:space="preserve">Cabe señalar, que la mayor parte de los documentos contenidos en el archivo anterior, se aprecian ilegibles. </w:t>
      </w:r>
    </w:p>
    <w:p w14:paraId="7ABEE5FE" w14:textId="77777777" w:rsidR="004E626C" w:rsidRPr="00C60ABB" w:rsidRDefault="005C42B7">
      <w:pPr>
        <w:spacing w:after="240"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w:t>
      </w:r>
      <w:hyperlink r:id="rId9">
        <w:r w:rsidRPr="00C60ABB">
          <w:rPr>
            <w:rFonts w:ascii="Palatino Linotype" w:eastAsia="Palatino Linotype" w:hAnsi="Palatino Linotype" w:cs="Palatino Linotype"/>
          </w:rPr>
          <w:t>00063.pdf</w:t>
        </w:r>
      </w:hyperlink>
      <w:r w:rsidRPr="00C60ABB">
        <w:rPr>
          <w:rFonts w:ascii="Palatino Linotype" w:eastAsia="Palatino Linotype" w:hAnsi="Palatino Linotype" w:cs="Palatino Linotype"/>
        </w:rPr>
        <w:t>”, el cual contiene 84 fojas que además de contener información descrita en el archivo anterior, que también algunos se aprecian ilegibles; contiene dos oficios, el primero corresponde al emitido por el Titular de la Unidad de Transparencia por medio del cual le requirió al Titular de Recursos Materiales la información requerida en la solicitud número 00063/CAPULHUA/IP/2023 y el segundo corresponde al oficio número MCAP/DA/10/2023, por medio del cual el Titular de la Unidad de Recursos Materiales remitió la siguiente documentación:</w:t>
      </w:r>
    </w:p>
    <w:p w14:paraId="088A3D5C" w14:textId="77777777" w:rsidR="004E626C" w:rsidRPr="00C60ABB" w:rsidRDefault="005C42B7">
      <w:pPr>
        <w:spacing w:after="240"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noProof/>
          <w:lang w:val="es-MX"/>
        </w:rPr>
        <w:drawing>
          <wp:inline distT="0" distB="0" distL="0" distR="0" wp14:anchorId="48065649" wp14:editId="3628F9D3">
            <wp:extent cx="5622103" cy="4453379"/>
            <wp:effectExtent l="0" t="0" r="0" b="0"/>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622103" cy="4453379"/>
                    </a:xfrm>
                    <a:prstGeom prst="rect">
                      <a:avLst/>
                    </a:prstGeom>
                    <a:ln/>
                  </pic:spPr>
                </pic:pic>
              </a:graphicData>
            </a:graphic>
          </wp:inline>
        </w:drawing>
      </w:r>
    </w:p>
    <w:p w14:paraId="3A609E1B" w14:textId="77777777" w:rsidR="004E626C" w:rsidRPr="00C60ABB" w:rsidRDefault="005C42B7">
      <w:pPr>
        <w:spacing w:before="240" w:after="240" w:line="360" w:lineRule="auto"/>
        <w:ind w:right="49"/>
        <w:jc w:val="both"/>
        <w:rPr>
          <w:rFonts w:ascii="Palatino Linotype" w:eastAsia="Palatino Linotype" w:hAnsi="Palatino Linotype" w:cs="Palatino Linotype"/>
        </w:rPr>
      </w:pPr>
      <w:r w:rsidRPr="00C60ABB">
        <w:rPr>
          <w:rFonts w:ascii="Palatino Linotype" w:eastAsia="Palatino Linotype" w:hAnsi="Palatino Linotype" w:cs="Palatino Linotype"/>
          <w:b/>
        </w:rPr>
        <w:lastRenderedPageBreak/>
        <w:t xml:space="preserve">3. Interposición del recurso de revisión. </w:t>
      </w:r>
      <w:r w:rsidRPr="00C60ABB">
        <w:rPr>
          <w:rFonts w:ascii="Palatino Linotype" w:eastAsia="Palatino Linotype" w:hAnsi="Palatino Linotype" w:cs="Palatino Linotype"/>
        </w:rPr>
        <w:t xml:space="preserve">Inconforme con los términos de la respuesta emitida por parte del </w:t>
      </w:r>
      <w:r w:rsidRPr="00C60ABB">
        <w:rPr>
          <w:rFonts w:ascii="Palatino Linotype" w:eastAsia="Palatino Linotype" w:hAnsi="Palatino Linotype" w:cs="Palatino Linotype"/>
          <w:b/>
        </w:rPr>
        <w:t>SUJETO OBLIGADO</w:t>
      </w:r>
      <w:r w:rsidRPr="00C60ABB">
        <w:rPr>
          <w:rFonts w:ascii="Palatino Linotype" w:eastAsia="Palatino Linotype" w:hAnsi="Palatino Linotype" w:cs="Palatino Linotype"/>
        </w:rPr>
        <w:t xml:space="preserve">, el </w:t>
      </w:r>
      <w:r w:rsidRPr="00C60ABB">
        <w:rPr>
          <w:rFonts w:ascii="Palatino Linotype" w:eastAsia="Palatino Linotype" w:hAnsi="Palatino Linotype" w:cs="Palatino Linotype"/>
          <w:b/>
        </w:rPr>
        <w:t>trece de junio del dos mil veintitrés,</w:t>
      </w:r>
      <w:r w:rsidRPr="00C60ABB">
        <w:rPr>
          <w:rFonts w:ascii="Palatino Linotype" w:eastAsia="Palatino Linotype" w:hAnsi="Palatino Linotype" w:cs="Palatino Linotype"/>
        </w:rPr>
        <w:t xml:space="preserve"> la parte recurrente interpuso el recurso de revisión a través de </w:t>
      </w:r>
      <w:r w:rsidRPr="00C60ABB">
        <w:rPr>
          <w:rFonts w:ascii="Palatino Linotype" w:eastAsia="Palatino Linotype" w:hAnsi="Palatino Linotype" w:cs="Palatino Linotype"/>
          <w:b/>
        </w:rPr>
        <w:t xml:space="preserve">SAIMEX, </w:t>
      </w:r>
      <w:r w:rsidRPr="00C60ABB">
        <w:rPr>
          <w:rFonts w:ascii="Palatino Linotype" w:eastAsia="Palatino Linotype" w:hAnsi="Palatino Linotype" w:cs="Palatino Linotype"/>
        </w:rPr>
        <w:t>en donde se manifestó de la siguiente manera:</w:t>
      </w:r>
    </w:p>
    <w:p w14:paraId="279E47AE" w14:textId="77777777" w:rsidR="004E626C" w:rsidRPr="00C60ABB" w:rsidRDefault="005C42B7">
      <w:pPr>
        <w:tabs>
          <w:tab w:val="left" w:pos="2745"/>
        </w:tabs>
        <w:spacing w:before="240" w:after="240" w:line="360" w:lineRule="auto"/>
        <w:jc w:val="both"/>
        <w:rPr>
          <w:rFonts w:ascii="Palatino Linotype" w:eastAsia="Palatino Linotype" w:hAnsi="Palatino Linotype" w:cs="Palatino Linotype"/>
          <w:b/>
        </w:rPr>
      </w:pPr>
      <w:r w:rsidRPr="00C60ABB">
        <w:rPr>
          <w:rFonts w:ascii="Palatino Linotype" w:eastAsia="Palatino Linotype" w:hAnsi="Palatino Linotype" w:cs="Palatino Linotype"/>
          <w:b/>
        </w:rPr>
        <w:t xml:space="preserve">Acto impugnado: </w:t>
      </w:r>
      <w:r w:rsidRPr="00C60ABB">
        <w:rPr>
          <w:rFonts w:ascii="Palatino Linotype" w:eastAsia="Palatino Linotype" w:hAnsi="Palatino Linotype" w:cs="Palatino Linotype"/>
          <w:b/>
        </w:rPr>
        <w:tab/>
      </w:r>
    </w:p>
    <w:p w14:paraId="7E3097D4" w14:textId="77777777" w:rsidR="004E626C" w:rsidRPr="00C60ABB" w:rsidRDefault="005C42B7">
      <w:pPr>
        <w:ind w:left="851" w:right="902"/>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“RESPUESTA OTORGADA A LA SOLICITUD DE INFORMACIÓN” (Sic)</w:t>
      </w:r>
    </w:p>
    <w:p w14:paraId="293D9402" w14:textId="77777777" w:rsidR="004E626C" w:rsidRPr="00C60ABB" w:rsidRDefault="004E626C">
      <w:pPr>
        <w:ind w:left="851" w:right="902"/>
        <w:jc w:val="both"/>
        <w:rPr>
          <w:rFonts w:ascii="Palatino Linotype" w:eastAsia="Palatino Linotype" w:hAnsi="Palatino Linotype" w:cs="Palatino Linotype"/>
          <w:i/>
          <w:sz w:val="22"/>
          <w:szCs w:val="22"/>
        </w:rPr>
      </w:pPr>
    </w:p>
    <w:p w14:paraId="3A63CB19" w14:textId="77777777" w:rsidR="004E626C" w:rsidRPr="00C60ABB" w:rsidRDefault="005C42B7">
      <w:pPr>
        <w:spacing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b/>
        </w:rPr>
        <w:t>Y Razones o motivos de inconformidad</w:t>
      </w:r>
      <w:r w:rsidRPr="00C60ABB">
        <w:rPr>
          <w:rFonts w:ascii="Palatino Linotype" w:eastAsia="Palatino Linotype" w:hAnsi="Palatino Linotype" w:cs="Palatino Linotype"/>
        </w:rPr>
        <w:t>:</w:t>
      </w:r>
    </w:p>
    <w:p w14:paraId="217344AB" w14:textId="77777777" w:rsidR="004E626C" w:rsidRPr="00C60ABB" w:rsidRDefault="005C42B7">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C60ABB">
        <w:rPr>
          <w:rFonts w:ascii="Palatino Linotype" w:eastAsia="Palatino Linotype" w:hAnsi="Palatino Linotype" w:cs="Palatino Linotype"/>
          <w:i/>
          <w:sz w:val="22"/>
          <w:szCs w:val="22"/>
        </w:rPr>
        <w:t xml:space="preserve"> “LA INFORMACIÓN PROPORCIONADA NO CUMPLE CON LOS ATRIBUTOS DE CALIDAD Y ACCESIBILIDAD, ASÍ COMO TAMPOCO CUMPLE CON LAS CARACTERÍSTICAS DE VERACIDAD, CONFIABILIDAD, OPORTUNIDAD, CONGRUENCIA, INTEGRALIDAD, ACTUALIDAD, COMPRENSIBILIDAD Y VERIFICABILIDAD, CON LO CUAL NO SE ASEGURA QUE SU ORGANIZACIÓN Y PRESENTACIÓN GARANTICEN SU HOMOLOGACIÓN Y ESTANDARIZACIÓN EN TÉRMINOS DE LA NORMATIVIDAD DE LA MATERIA APLICABLE EN LA ESPECIE, EN PERJUICIO DEL SOLICITANTE.” (Sic)</w:t>
      </w:r>
    </w:p>
    <w:p w14:paraId="5E1E0BA4" w14:textId="77777777" w:rsidR="004E626C" w:rsidRPr="00C60ABB" w:rsidRDefault="004E626C">
      <w:pPr>
        <w:ind w:left="851" w:right="902"/>
        <w:jc w:val="both"/>
        <w:rPr>
          <w:rFonts w:ascii="Palatino Linotype" w:eastAsia="Palatino Linotype" w:hAnsi="Palatino Linotype" w:cs="Palatino Linotype"/>
          <w:i/>
          <w:sz w:val="22"/>
          <w:szCs w:val="22"/>
        </w:rPr>
      </w:pPr>
    </w:p>
    <w:p w14:paraId="41B18345" w14:textId="77777777" w:rsidR="004E626C" w:rsidRPr="00C60ABB" w:rsidRDefault="005C42B7">
      <w:pPr>
        <w:spacing w:line="360" w:lineRule="auto"/>
        <w:ind w:right="51"/>
        <w:jc w:val="both"/>
        <w:rPr>
          <w:rFonts w:ascii="Palatino Linotype" w:eastAsia="Palatino Linotype" w:hAnsi="Palatino Linotype" w:cs="Palatino Linotype"/>
        </w:rPr>
      </w:pPr>
      <w:r w:rsidRPr="00C60ABB">
        <w:rPr>
          <w:rFonts w:ascii="Palatino Linotype" w:eastAsia="Palatino Linotype" w:hAnsi="Palatino Linotype" w:cs="Palatino Linotype"/>
        </w:rPr>
        <w:t xml:space="preserve">La parte </w:t>
      </w:r>
      <w:r w:rsidRPr="00C60ABB">
        <w:rPr>
          <w:rFonts w:ascii="Palatino Linotype" w:eastAsia="Palatino Linotype" w:hAnsi="Palatino Linotype" w:cs="Palatino Linotype"/>
          <w:b/>
        </w:rPr>
        <w:t>RECURRENTE</w:t>
      </w:r>
      <w:r w:rsidRPr="00C60ABB">
        <w:rPr>
          <w:rFonts w:ascii="Palatino Linotype" w:eastAsia="Palatino Linotype" w:hAnsi="Palatino Linotype" w:cs="Palatino Linotype"/>
        </w:rPr>
        <w:t xml:space="preserve"> adjuntó a su acuse del recurso de revisión, los siguientes archivos electrónicos:</w:t>
      </w:r>
    </w:p>
    <w:p w14:paraId="5205CF19" w14:textId="77777777" w:rsidR="004E626C" w:rsidRPr="00C60ABB" w:rsidRDefault="004E626C">
      <w:pPr>
        <w:ind w:right="902"/>
        <w:jc w:val="both"/>
        <w:rPr>
          <w:rFonts w:ascii="Palatino Linotype" w:eastAsia="Palatino Linotype" w:hAnsi="Palatino Linotype" w:cs="Palatino Linotype"/>
          <w:i/>
          <w:sz w:val="22"/>
          <w:szCs w:val="22"/>
        </w:rPr>
      </w:pPr>
    </w:p>
    <w:p w14:paraId="43E6D48A" w14:textId="77777777" w:rsidR="004E626C" w:rsidRPr="00C60ABB" w:rsidRDefault="005C42B7">
      <w:pPr>
        <w:spacing w:line="360" w:lineRule="auto"/>
        <w:ind w:right="51"/>
        <w:jc w:val="both"/>
        <w:rPr>
          <w:rFonts w:ascii="Palatino Linotype" w:eastAsia="Palatino Linotype" w:hAnsi="Palatino Linotype" w:cs="Palatino Linotype"/>
        </w:rPr>
      </w:pPr>
      <w:r w:rsidRPr="00C60ABB">
        <w:rPr>
          <w:rFonts w:ascii="Palatino Linotype" w:eastAsia="Palatino Linotype" w:hAnsi="Palatino Linotype" w:cs="Palatino Linotype"/>
        </w:rPr>
        <w:t>“</w:t>
      </w:r>
      <w:hyperlink r:id="rId11">
        <w:r w:rsidRPr="00C60ABB">
          <w:rPr>
            <w:rFonts w:ascii="Palatino Linotype" w:eastAsia="Palatino Linotype" w:hAnsi="Palatino Linotype" w:cs="Palatino Linotype"/>
          </w:rPr>
          <w:t>RESPUESTA SOLICITUD 63-23 ANEXO 1.pdf</w:t>
        </w:r>
      </w:hyperlink>
      <w:r w:rsidRPr="00C60ABB">
        <w:rPr>
          <w:rFonts w:ascii="Palatino Linotype" w:eastAsia="Palatino Linotype" w:hAnsi="Palatino Linotype" w:cs="Palatino Linotype"/>
        </w:rPr>
        <w:t>” y “</w:t>
      </w:r>
      <w:hyperlink r:id="rId12">
        <w:r w:rsidRPr="00C60ABB">
          <w:rPr>
            <w:rFonts w:ascii="Palatino Linotype" w:eastAsia="Palatino Linotype" w:hAnsi="Palatino Linotype" w:cs="Palatino Linotype"/>
          </w:rPr>
          <w:t>RESPUESTA SOLICITUD 63-23.pdf</w:t>
        </w:r>
      </w:hyperlink>
      <w:r w:rsidRPr="00C60ABB">
        <w:rPr>
          <w:rFonts w:ascii="Palatino Linotype" w:eastAsia="Palatino Linotype" w:hAnsi="Palatino Linotype" w:cs="Palatino Linotype"/>
        </w:rPr>
        <w:t xml:space="preserve">”, los cuales corresponden a los archivos remitidos por el SUJETO OBLIGADO en respuesta, descrito en el antecedente número dos de la presente resolución. </w:t>
      </w:r>
    </w:p>
    <w:p w14:paraId="09747F8A" w14:textId="77777777" w:rsidR="004E626C" w:rsidRPr="00C60ABB" w:rsidRDefault="004E626C">
      <w:pPr>
        <w:ind w:right="902"/>
        <w:jc w:val="both"/>
        <w:rPr>
          <w:rFonts w:ascii="Palatino Linotype" w:eastAsia="Palatino Linotype" w:hAnsi="Palatino Linotype" w:cs="Palatino Linotype"/>
        </w:rPr>
      </w:pPr>
    </w:p>
    <w:p w14:paraId="554D7699" w14:textId="77777777" w:rsidR="004E626C" w:rsidRPr="00C60ABB" w:rsidRDefault="005C42B7">
      <w:pPr>
        <w:spacing w:line="360" w:lineRule="auto"/>
        <w:ind w:right="51"/>
        <w:jc w:val="both"/>
        <w:rPr>
          <w:rFonts w:ascii="Palatino Linotype" w:eastAsia="Palatino Linotype" w:hAnsi="Palatino Linotype" w:cs="Palatino Linotype"/>
        </w:rPr>
      </w:pPr>
      <w:r w:rsidRPr="00C60ABB">
        <w:rPr>
          <w:rFonts w:ascii="Palatino Linotype" w:eastAsia="Palatino Linotype" w:hAnsi="Palatino Linotype" w:cs="Palatino Linotype"/>
          <w:b/>
        </w:rPr>
        <w:t xml:space="preserve">4. Turno. </w:t>
      </w:r>
      <w:r w:rsidRPr="00C60ABB">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w:t>
      </w:r>
      <w:r w:rsidRPr="00C60ABB">
        <w:rPr>
          <w:rFonts w:ascii="Palatino Linotype" w:eastAsia="Palatino Linotype" w:hAnsi="Palatino Linotype" w:cs="Palatino Linotype"/>
        </w:rPr>
        <w:lastRenderedPageBreak/>
        <w:t xml:space="preserve">Transparencia, Acceso a la Información Pública y Protección de Datos Personales del Estado de México y Municipios, a la Comisionada </w:t>
      </w:r>
      <w:r w:rsidRPr="00C60ABB">
        <w:rPr>
          <w:rFonts w:ascii="Palatino Linotype" w:eastAsia="Palatino Linotype" w:hAnsi="Palatino Linotype" w:cs="Palatino Linotype"/>
          <w:b/>
        </w:rPr>
        <w:t xml:space="preserve">Guadalupe Ramírez Peña, </w:t>
      </w:r>
      <w:r w:rsidRPr="00C60ABB">
        <w:rPr>
          <w:rFonts w:ascii="Palatino Linotype" w:eastAsia="Palatino Linotype" w:hAnsi="Palatino Linotype" w:cs="Palatino Linotype"/>
        </w:rPr>
        <w:t xml:space="preserve">a efecto de que analizara sobre su admisión o su </w:t>
      </w:r>
      <w:proofErr w:type="spellStart"/>
      <w:r w:rsidRPr="00C60ABB">
        <w:rPr>
          <w:rFonts w:ascii="Palatino Linotype" w:eastAsia="Palatino Linotype" w:hAnsi="Palatino Linotype" w:cs="Palatino Linotype"/>
        </w:rPr>
        <w:t>desechamiento</w:t>
      </w:r>
      <w:proofErr w:type="spellEnd"/>
      <w:r w:rsidRPr="00C60ABB">
        <w:rPr>
          <w:rFonts w:ascii="Palatino Linotype" w:eastAsia="Palatino Linotype" w:hAnsi="Palatino Linotype" w:cs="Palatino Linotype"/>
        </w:rPr>
        <w:t>.</w:t>
      </w:r>
    </w:p>
    <w:p w14:paraId="17CB9E88" w14:textId="77777777" w:rsidR="004E626C" w:rsidRPr="00C60ABB" w:rsidRDefault="004E626C">
      <w:pPr>
        <w:spacing w:line="360" w:lineRule="auto"/>
        <w:ind w:right="51"/>
        <w:jc w:val="both"/>
        <w:rPr>
          <w:rFonts w:ascii="Palatino Linotype" w:eastAsia="Palatino Linotype" w:hAnsi="Palatino Linotype" w:cs="Palatino Linotype"/>
        </w:rPr>
      </w:pPr>
    </w:p>
    <w:p w14:paraId="798D7DCD" w14:textId="77777777" w:rsidR="004E626C" w:rsidRPr="00C60ABB" w:rsidRDefault="005C42B7">
      <w:pPr>
        <w:spacing w:after="240"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b/>
        </w:rPr>
        <w:t>5. Admisión del Recurso de revisión.</w:t>
      </w:r>
      <w:r w:rsidRPr="00C60ABB">
        <w:rPr>
          <w:rFonts w:ascii="Palatino Linotype" w:eastAsia="Palatino Linotype" w:hAnsi="Palatino Linotype" w:cs="Palatino Linotype"/>
        </w:rPr>
        <w:t xml:space="preserve"> Con fecha</w:t>
      </w:r>
      <w:r w:rsidRPr="00C60ABB">
        <w:rPr>
          <w:rFonts w:ascii="Palatino Linotype" w:eastAsia="Palatino Linotype" w:hAnsi="Palatino Linotype" w:cs="Palatino Linotype"/>
          <w:b/>
        </w:rPr>
        <w:t xml:space="preserve"> dieciséis de junio de dos mil veintidós, </w:t>
      </w:r>
      <w:r w:rsidRPr="00C60ABB">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C60ABB">
        <w:rPr>
          <w:rFonts w:ascii="Palatino Linotype" w:eastAsia="Palatino Linotype" w:hAnsi="Palatino Linotype" w:cs="Palatino Linotype"/>
          <w:b/>
        </w:rPr>
        <w:t xml:space="preserve">SUJETO OBLIGADO </w:t>
      </w:r>
      <w:r w:rsidRPr="00C60ABB">
        <w:rPr>
          <w:rFonts w:ascii="Palatino Linotype" w:eastAsia="Palatino Linotype" w:hAnsi="Palatino Linotype" w:cs="Palatino Linotype"/>
        </w:rPr>
        <w:t>presentara su informe justificado.</w:t>
      </w:r>
    </w:p>
    <w:p w14:paraId="44201CBB" w14:textId="77777777" w:rsidR="004E626C" w:rsidRPr="00C60ABB" w:rsidRDefault="005C42B7">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sidRPr="00C60ABB">
        <w:rPr>
          <w:rFonts w:ascii="Palatino Linotype" w:eastAsia="Palatino Linotype" w:hAnsi="Palatino Linotype" w:cs="Palatino Linotype"/>
          <w:b/>
        </w:rPr>
        <w:t>6. Manifestaciones</w:t>
      </w:r>
      <w:r w:rsidRPr="00C60ABB">
        <w:rPr>
          <w:rFonts w:ascii="Palatino Linotype" w:eastAsia="Palatino Linotype" w:hAnsi="Palatino Linotype" w:cs="Palatino Linotype"/>
        </w:rPr>
        <w:t xml:space="preserve">. De las constancias que obran en el expediente electrónico del SAIMEX se desprende que el </w:t>
      </w:r>
      <w:r w:rsidRPr="00C60ABB">
        <w:rPr>
          <w:rFonts w:ascii="Palatino Linotype" w:eastAsia="Palatino Linotype" w:hAnsi="Palatino Linotype" w:cs="Palatino Linotype"/>
          <w:b/>
        </w:rPr>
        <w:t>SUJETO OBLIGADO</w:t>
      </w:r>
      <w:r w:rsidRPr="00C60ABB">
        <w:rPr>
          <w:rFonts w:ascii="Palatino Linotype" w:eastAsia="Palatino Linotype" w:hAnsi="Palatino Linotype" w:cs="Palatino Linotype"/>
        </w:rPr>
        <w:t xml:space="preserve"> no rindió su informe justificado, del mismo modo</w:t>
      </w:r>
      <w:r w:rsidRPr="00C60ABB">
        <w:rPr>
          <w:rFonts w:ascii="Palatino Linotype" w:eastAsia="Palatino Linotype" w:hAnsi="Palatino Linotype" w:cs="Palatino Linotype"/>
          <w:color w:val="FF0000"/>
        </w:rPr>
        <w:t xml:space="preserve"> </w:t>
      </w:r>
      <w:r w:rsidRPr="00C60ABB">
        <w:rPr>
          <w:rFonts w:ascii="Palatino Linotype" w:eastAsia="Palatino Linotype" w:hAnsi="Palatino Linotype" w:cs="Palatino Linotype"/>
        </w:rPr>
        <w:t>la parte</w:t>
      </w:r>
      <w:r w:rsidRPr="00C60ABB">
        <w:rPr>
          <w:rFonts w:ascii="Palatino Linotype" w:eastAsia="Palatino Linotype" w:hAnsi="Palatino Linotype" w:cs="Palatino Linotype"/>
          <w:b/>
          <w:color w:val="FF0000"/>
        </w:rPr>
        <w:t xml:space="preserve"> </w:t>
      </w:r>
      <w:r w:rsidRPr="00C60ABB">
        <w:rPr>
          <w:rFonts w:ascii="Palatino Linotype" w:eastAsia="Palatino Linotype" w:hAnsi="Palatino Linotype" w:cs="Palatino Linotype"/>
          <w:b/>
        </w:rPr>
        <w:t>RECURRENTE</w:t>
      </w:r>
      <w:r w:rsidRPr="00C60ABB">
        <w:rPr>
          <w:rFonts w:ascii="Palatino Linotype" w:eastAsia="Palatino Linotype" w:hAnsi="Palatino Linotype" w:cs="Palatino Linotype"/>
        </w:rPr>
        <w:t xml:space="preserve"> omitió realizar manifestaciones, como se observa a continuación:</w:t>
      </w:r>
    </w:p>
    <w:p w14:paraId="1EFB0422" w14:textId="77777777" w:rsidR="004E626C" w:rsidRPr="00C60ABB" w:rsidRDefault="005C42B7">
      <w:pPr>
        <w:widowControl w:val="0"/>
        <w:spacing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noProof/>
          <w:lang w:val="es-MX"/>
        </w:rPr>
        <w:drawing>
          <wp:inline distT="0" distB="0" distL="0" distR="0" wp14:anchorId="5D04DC2E" wp14:editId="1E7FCA52">
            <wp:extent cx="5612130" cy="1478915"/>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612130" cy="1478915"/>
                    </a:xfrm>
                    <a:prstGeom prst="rect">
                      <a:avLst/>
                    </a:prstGeom>
                    <a:ln/>
                  </pic:spPr>
                </pic:pic>
              </a:graphicData>
            </a:graphic>
          </wp:inline>
        </w:drawing>
      </w:r>
    </w:p>
    <w:p w14:paraId="1EDA49CC" w14:textId="77777777" w:rsidR="004E626C" w:rsidRPr="00C60ABB" w:rsidRDefault="005C42B7">
      <w:pPr>
        <w:widowControl w:val="0"/>
        <w:spacing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b/>
        </w:rPr>
        <w:t>7</w:t>
      </w:r>
      <w:r w:rsidRPr="00C60ABB">
        <w:rPr>
          <w:rFonts w:ascii="Palatino Linotype" w:eastAsia="Palatino Linotype" w:hAnsi="Palatino Linotype" w:cs="Palatino Linotype"/>
        </w:rPr>
        <w:t xml:space="preserve">. </w:t>
      </w:r>
      <w:r w:rsidRPr="00C60ABB">
        <w:rPr>
          <w:rFonts w:ascii="Palatino Linotype" w:eastAsia="Palatino Linotype" w:hAnsi="Palatino Linotype" w:cs="Palatino Linotype"/>
          <w:b/>
        </w:rPr>
        <w:t>Ampliación del plazo.</w:t>
      </w:r>
      <w:r w:rsidRPr="00C60ABB">
        <w:rPr>
          <w:rFonts w:ascii="Palatino Linotype" w:eastAsia="Palatino Linotype" w:hAnsi="Palatino Linotype" w:cs="Palatino Linotype"/>
        </w:rPr>
        <w:t xml:space="preserve"> En fecha treinta y uno de enero del año dos mil veinticuatro,</w:t>
      </w:r>
      <w:r w:rsidRPr="00C60ABB">
        <w:rPr>
          <w:rFonts w:ascii="Palatino Linotype" w:eastAsia="Palatino Linotype" w:hAnsi="Palatino Linotype" w:cs="Palatino Linotype"/>
          <w:color w:val="FF0000"/>
        </w:rPr>
        <w:t xml:space="preserve"> </w:t>
      </w:r>
      <w:r w:rsidRPr="00C60ABB">
        <w:rPr>
          <w:rFonts w:ascii="Palatino Linotype" w:eastAsia="Palatino Linotype" w:hAnsi="Palatino Linotype" w:cs="Palatino Linotype"/>
        </w:rPr>
        <w:t>con fundamento en el artículo 181, párrafo tercero de la Ley de Transparencia y Acceso a la Información Pública del Estado de México y Municipios, se acordó la ampliación del plazo para su resolución.</w:t>
      </w:r>
    </w:p>
    <w:p w14:paraId="374DC87D" w14:textId="77777777" w:rsidR="004E626C" w:rsidRPr="00C60ABB" w:rsidRDefault="005C42B7">
      <w:pPr>
        <w:widowControl w:val="0"/>
        <w:spacing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E1131C9" w14:textId="77777777" w:rsidR="004E626C" w:rsidRPr="00C60ABB" w:rsidRDefault="004E626C">
      <w:pPr>
        <w:widowControl w:val="0"/>
        <w:spacing w:line="360" w:lineRule="auto"/>
        <w:jc w:val="both"/>
        <w:rPr>
          <w:rFonts w:ascii="Palatino Linotype" w:eastAsia="Palatino Linotype" w:hAnsi="Palatino Linotype" w:cs="Palatino Linotype"/>
        </w:rPr>
      </w:pPr>
    </w:p>
    <w:p w14:paraId="34AFC5B6" w14:textId="77777777" w:rsidR="004E626C" w:rsidRPr="00C60ABB" w:rsidRDefault="005C42B7">
      <w:pPr>
        <w:spacing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6409ADA" w14:textId="77777777" w:rsidR="004E626C" w:rsidRPr="00C60ABB" w:rsidRDefault="004E626C">
      <w:pPr>
        <w:spacing w:line="360" w:lineRule="auto"/>
        <w:jc w:val="both"/>
        <w:rPr>
          <w:rFonts w:ascii="Palatino Linotype" w:eastAsia="Palatino Linotype" w:hAnsi="Palatino Linotype" w:cs="Palatino Linotype"/>
        </w:rPr>
      </w:pPr>
    </w:p>
    <w:p w14:paraId="07817ED5" w14:textId="77777777" w:rsidR="004E626C" w:rsidRPr="00C60ABB" w:rsidRDefault="005C42B7">
      <w:pPr>
        <w:spacing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DEB587F" w14:textId="77777777" w:rsidR="004E626C" w:rsidRPr="00C60ABB" w:rsidRDefault="004E626C">
      <w:pPr>
        <w:spacing w:line="360" w:lineRule="auto"/>
        <w:jc w:val="both"/>
        <w:rPr>
          <w:rFonts w:ascii="Palatino Linotype" w:eastAsia="Palatino Linotype" w:hAnsi="Palatino Linotype" w:cs="Palatino Linotype"/>
        </w:rPr>
      </w:pPr>
    </w:p>
    <w:p w14:paraId="18AEAC92" w14:textId="77777777" w:rsidR="004E626C" w:rsidRPr="00C60ABB" w:rsidRDefault="005C42B7">
      <w:pPr>
        <w:spacing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01F2BDE" w14:textId="77777777" w:rsidR="004E626C" w:rsidRPr="00C60ABB" w:rsidRDefault="004E626C">
      <w:pPr>
        <w:spacing w:line="360" w:lineRule="auto"/>
        <w:jc w:val="both"/>
        <w:rPr>
          <w:rFonts w:ascii="Palatino Linotype" w:eastAsia="Palatino Linotype" w:hAnsi="Palatino Linotype" w:cs="Palatino Linotype"/>
        </w:rPr>
      </w:pPr>
    </w:p>
    <w:p w14:paraId="46E29A6C" w14:textId="77777777" w:rsidR="004E626C" w:rsidRPr="00C60ABB" w:rsidRDefault="005C42B7">
      <w:pPr>
        <w:spacing w:line="360" w:lineRule="auto"/>
        <w:jc w:val="both"/>
        <w:rPr>
          <w:rFonts w:ascii="Palatino Linotype" w:eastAsia="Palatino Linotype" w:hAnsi="Palatino Linotype" w:cs="Palatino Linotype"/>
          <w:strike/>
          <w:color w:val="FF0000"/>
        </w:rPr>
      </w:pPr>
      <w:r w:rsidRPr="00C60ABB">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7E4AF29B" w14:textId="77777777" w:rsidR="004E626C" w:rsidRPr="00C60ABB" w:rsidRDefault="004E626C">
      <w:pPr>
        <w:spacing w:line="360" w:lineRule="auto"/>
        <w:jc w:val="both"/>
        <w:rPr>
          <w:rFonts w:ascii="Palatino Linotype" w:eastAsia="Palatino Linotype" w:hAnsi="Palatino Linotype" w:cs="Palatino Linotype"/>
        </w:rPr>
      </w:pPr>
    </w:p>
    <w:p w14:paraId="1C4A1694" w14:textId="77777777" w:rsidR="004E626C" w:rsidRPr="00C60ABB" w:rsidRDefault="005C42B7">
      <w:pPr>
        <w:numPr>
          <w:ilvl w:val="0"/>
          <w:numId w:val="1"/>
        </w:numPr>
        <w:ind w:left="851"/>
        <w:jc w:val="both"/>
        <w:rPr>
          <w:rFonts w:ascii="Palatino Linotype" w:eastAsia="Palatino Linotype" w:hAnsi="Palatino Linotype" w:cs="Palatino Linotype"/>
        </w:rPr>
      </w:pPr>
      <w:r w:rsidRPr="00C60ABB">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6150DF64" w14:textId="77777777" w:rsidR="004E626C" w:rsidRPr="00C60ABB" w:rsidRDefault="004E626C">
      <w:pPr>
        <w:ind w:left="851" w:hanging="360"/>
        <w:jc w:val="both"/>
        <w:rPr>
          <w:rFonts w:ascii="Palatino Linotype" w:eastAsia="Palatino Linotype" w:hAnsi="Palatino Linotype" w:cs="Palatino Linotype"/>
        </w:rPr>
      </w:pPr>
    </w:p>
    <w:p w14:paraId="7696DEEF" w14:textId="77777777" w:rsidR="004E626C" w:rsidRPr="00C60ABB" w:rsidRDefault="005C42B7">
      <w:pPr>
        <w:numPr>
          <w:ilvl w:val="0"/>
          <w:numId w:val="1"/>
        </w:numPr>
        <w:ind w:left="851"/>
        <w:jc w:val="both"/>
        <w:rPr>
          <w:rFonts w:ascii="Palatino Linotype" w:eastAsia="Palatino Linotype" w:hAnsi="Palatino Linotype" w:cs="Palatino Linotype"/>
        </w:rPr>
      </w:pPr>
      <w:r w:rsidRPr="00C60ABB">
        <w:rPr>
          <w:rFonts w:ascii="Palatino Linotype" w:eastAsia="Palatino Linotype" w:hAnsi="Palatino Linotype" w:cs="Palatino Linotype"/>
        </w:rPr>
        <w:t>Actividad Procesal del interesado. Acciones u omisiones del interesado.</w:t>
      </w:r>
    </w:p>
    <w:p w14:paraId="14F36E56" w14:textId="77777777" w:rsidR="004E626C" w:rsidRPr="00C60ABB" w:rsidRDefault="004E626C">
      <w:pPr>
        <w:ind w:left="851" w:hanging="360"/>
        <w:jc w:val="both"/>
        <w:rPr>
          <w:rFonts w:ascii="Palatino Linotype" w:eastAsia="Palatino Linotype" w:hAnsi="Palatino Linotype" w:cs="Palatino Linotype"/>
        </w:rPr>
      </w:pPr>
    </w:p>
    <w:p w14:paraId="59DCA84A" w14:textId="77777777" w:rsidR="004E626C" w:rsidRPr="00C60ABB" w:rsidRDefault="005C42B7">
      <w:pPr>
        <w:numPr>
          <w:ilvl w:val="0"/>
          <w:numId w:val="1"/>
        </w:numPr>
        <w:ind w:left="851"/>
        <w:jc w:val="both"/>
        <w:rPr>
          <w:rFonts w:ascii="Palatino Linotype" w:eastAsia="Palatino Linotype" w:hAnsi="Palatino Linotype" w:cs="Palatino Linotype"/>
        </w:rPr>
      </w:pPr>
      <w:r w:rsidRPr="00C60ABB">
        <w:rPr>
          <w:rFonts w:ascii="Palatino Linotype" w:eastAsia="Palatino Linotype" w:hAnsi="Palatino Linotype" w:cs="Palatino Linotype"/>
        </w:rPr>
        <w:t>Conducta de la Autoridad: Las Acciones u omisiones realizadas en el procedimiento. Así como si la autoridad actuó con la debida diligencia.</w:t>
      </w:r>
    </w:p>
    <w:p w14:paraId="013110EE" w14:textId="77777777" w:rsidR="004E626C" w:rsidRPr="00C60ABB" w:rsidRDefault="004E626C">
      <w:pPr>
        <w:ind w:left="851" w:hanging="360"/>
        <w:rPr>
          <w:rFonts w:ascii="Palatino Linotype" w:eastAsia="Palatino Linotype" w:hAnsi="Palatino Linotype" w:cs="Palatino Linotype"/>
        </w:rPr>
      </w:pPr>
    </w:p>
    <w:p w14:paraId="5263191B" w14:textId="77777777" w:rsidR="004E626C" w:rsidRPr="00C60ABB" w:rsidRDefault="005C42B7">
      <w:pPr>
        <w:ind w:left="851" w:hanging="360"/>
        <w:jc w:val="both"/>
        <w:rPr>
          <w:rFonts w:ascii="Palatino Linotype" w:eastAsia="Palatino Linotype" w:hAnsi="Palatino Linotype" w:cs="Palatino Linotype"/>
        </w:rPr>
      </w:pPr>
      <w:r w:rsidRPr="00C60ABB">
        <w:rPr>
          <w:rFonts w:ascii="Palatino Linotype" w:eastAsia="Palatino Linotype" w:hAnsi="Palatino Linotype" w:cs="Palatino Linotype"/>
        </w:rPr>
        <w:t>d) La afectación generada en la situación jurídica de la persona involucrada en el proceso: Violación a sus derechos humanos.</w:t>
      </w:r>
    </w:p>
    <w:p w14:paraId="3EC705D0" w14:textId="77777777" w:rsidR="004E626C" w:rsidRPr="00C60ABB" w:rsidRDefault="004E626C">
      <w:pPr>
        <w:spacing w:line="360" w:lineRule="auto"/>
        <w:jc w:val="both"/>
        <w:rPr>
          <w:rFonts w:ascii="Palatino Linotype" w:eastAsia="Palatino Linotype" w:hAnsi="Palatino Linotype" w:cs="Palatino Linotype"/>
        </w:rPr>
      </w:pPr>
    </w:p>
    <w:p w14:paraId="7436DC2B" w14:textId="77777777" w:rsidR="004E626C" w:rsidRPr="00C60ABB" w:rsidRDefault="005C42B7">
      <w:pPr>
        <w:spacing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7A95521" w14:textId="77777777" w:rsidR="004E626C" w:rsidRPr="00C60ABB" w:rsidRDefault="004E626C">
      <w:pPr>
        <w:spacing w:line="360" w:lineRule="auto"/>
        <w:jc w:val="both"/>
        <w:rPr>
          <w:rFonts w:ascii="Palatino Linotype" w:eastAsia="Palatino Linotype" w:hAnsi="Palatino Linotype" w:cs="Palatino Linotype"/>
        </w:rPr>
      </w:pPr>
    </w:p>
    <w:p w14:paraId="3633C867" w14:textId="77777777" w:rsidR="004E626C" w:rsidRPr="00C60ABB" w:rsidRDefault="005C42B7">
      <w:pPr>
        <w:spacing w:line="360" w:lineRule="auto"/>
        <w:jc w:val="both"/>
        <w:rPr>
          <w:rFonts w:ascii="Palatino Linotype" w:eastAsia="Palatino Linotype" w:hAnsi="Palatino Linotype" w:cs="Palatino Linotype"/>
          <w:b/>
        </w:rPr>
      </w:pPr>
      <w:r w:rsidRPr="00C60ABB">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C60ABB">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C60ABB">
        <w:rPr>
          <w:rFonts w:ascii="Palatino Linotype" w:eastAsia="Palatino Linotype" w:hAnsi="Palatino Linotype" w:cs="Palatino Linotype"/>
          <w:i/>
        </w:rPr>
        <w:lastRenderedPageBreak/>
        <w:t>CARACTERÍSTICAS DEL CASO.”</w:t>
      </w:r>
      <w:r w:rsidRPr="00C60ABB">
        <w:rPr>
          <w:rFonts w:ascii="Palatino Linotype" w:eastAsia="Palatino Linotype" w:hAnsi="Palatino Linotype" w:cs="Palatino Linotype"/>
        </w:rPr>
        <w:t>, visible en la Gaceta del Seminario Judicial de la Federación con el registro digital 205635.</w:t>
      </w:r>
    </w:p>
    <w:p w14:paraId="7B9BE32B" w14:textId="77777777" w:rsidR="004E626C" w:rsidRPr="00C60ABB" w:rsidRDefault="004E626C">
      <w:pPr>
        <w:spacing w:line="360" w:lineRule="auto"/>
        <w:jc w:val="both"/>
        <w:rPr>
          <w:rFonts w:ascii="Palatino Linotype" w:eastAsia="Palatino Linotype" w:hAnsi="Palatino Linotype" w:cs="Palatino Linotype"/>
        </w:rPr>
      </w:pPr>
    </w:p>
    <w:p w14:paraId="2666DAF7" w14:textId="77777777" w:rsidR="004E626C" w:rsidRPr="00C60ABB" w:rsidRDefault="005C42B7">
      <w:pPr>
        <w:spacing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2EAF066" w14:textId="77777777" w:rsidR="004E626C" w:rsidRPr="00C60ABB" w:rsidRDefault="004E626C">
      <w:pPr>
        <w:spacing w:line="360" w:lineRule="auto"/>
        <w:jc w:val="both"/>
        <w:rPr>
          <w:rFonts w:ascii="Palatino Linotype" w:eastAsia="Palatino Linotype" w:hAnsi="Palatino Linotype" w:cs="Palatino Linotype"/>
        </w:rPr>
      </w:pPr>
    </w:p>
    <w:p w14:paraId="1A155B83" w14:textId="77777777" w:rsidR="004E626C" w:rsidRPr="00C60ABB" w:rsidRDefault="005C42B7">
      <w:pPr>
        <w:spacing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0647DFE" w14:textId="77777777" w:rsidR="004E626C" w:rsidRPr="00C60ABB" w:rsidRDefault="004E626C">
      <w:pPr>
        <w:spacing w:line="360" w:lineRule="auto"/>
        <w:jc w:val="both"/>
        <w:rPr>
          <w:rFonts w:ascii="Palatino Linotype" w:eastAsia="Palatino Linotype" w:hAnsi="Palatino Linotype" w:cs="Palatino Linotype"/>
        </w:rPr>
      </w:pPr>
    </w:p>
    <w:p w14:paraId="6A424519" w14:textId="77777777" w:rsidR="004E626C" w:rsidRPr="00C60ABB" w:rsidRDefault="005C42B7">
      <w:pPr>
        <w:spacing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 xml:space="preserve"> </w:t>
      </w:r>
      <w:r w:rsidRPr="00C60ABB">
        <w:rPr>
          <w:rFonts w:ascii="Palatino Linotype" w:eastAsia="Palatino Linotype" w:hAnsi="Palatino Linotype" w:cs="Palatino Linotype"/>
          <w:i/>
        </w:rPr>
        <w:t>“PLAZO RAZONABLE PARA RESOLVER. DIMENSIÓN Y EFECTOS DE ESTE CONCEPTO CUANDO SE ADUCE EXCESIVA CARGA DE TRABAJO.”</w:t>
      </w:r>
      <w:r w:rsidRPr="00C60ABB">
        <w:rPr>
          <w:rFonts w:ascii="Palatino Linotype" w:eastAsia="Palatino Linotype" w:hAnsi="Palatino Linotype" w:cs="Palatino Linotype"/>
        </w:rPr>
        <w:t xml:space="preserve"> consultable en el Seminario Judicial de la Federación y su gaceta, con el registro digital 2002351.</w:t>
      </w:r>
    </w:p>
    <w:p w14:paraId="0B61C965" w14:textId="77777777" w:rsidR="004E626C" w:rsidRPr="00C60ABB" w:rsidRDefault="004E626C">
      <w:pPr>
        <w:spacing w:line="360" w:lineRule="auto"/>
        <w:jc w:val="both"/>
        <w:rPr>
          <w:rFonts w:ascii="Palatino Linotype" w:eastAsia="Palatino Linotype" w:hAnsi="Palatino Linotype" w:cs="Palatino Linotype"/>
          <w:b/>
        </w:rPr>
      </w:pPr>
    </w:p>
    <w:p w14:paraId="4177DE17" w14:textId="77777777" w:rsidR="004E626C" w:rsidRPr="00C60ABB" w:rsidRDefault="005C42B7">
      <w:pPr>
        <w:spacing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i/>
        </w:rPr>
        <w:t xml:space="preserve">“PLAZO RAZONABLE PARA RESOLVER. CONCEPTO Y ELEMENTOS QUE LO INTEGRAN A LA LUZ DEL DERECHO INTERNACIONAL DE LOS DERECHOS </w:t>
      </w:r>
      <w:r w:rsidRPr="00C60ABB">
        <w:rPr>
          <w:rFonts w:ascii="Palatino Linotype" w:eastAsia="Palatino Linotype" w:hAnsi="Palatino Linotype" w:cs="Palatino Linotype"/>
          <w:i/>
        </w:rPr>
        <w:lastRenderedPageBreak/>
        <w:t>HUMANOS.”</w:t>
      </w:r>
      <w:r w:rsidRPr="00C60ABB">
        <w:rPr>
          <w:rFonts w:ascii="Palatino Linotype" w:eastAsia="Palatino Linotype" w:hAnsi="Palatino Linotype" w:cs="Palatino Linotype"/>
        </w:rPr>
        <w:t>, visible en el Seminario Judicial de la Federación y su gaceta, con el registro digital 2002350.</w:t>
      </w:r>
    </w:p>
    <w:p w14:paraId="2E8FED40" w14:textId="77777777" w:rsidR="004E626C" w:rsidRPr="00C60ABB" w:rsidRDefault="004E626C">
      <w:pPr>
        <w:spacing w:line="360" w:lineRule="auto"/>
        <w:jc w:val="both"/>
        <w:rPr>
          <w:rFonts w:ascii="Palatino Linotype" w:eastAsia="Palatino Linotype" w:hAnsi="Palatino Linotype" w:cs="Palatino Linotype"/>
        </w:rPr>
      </w:pPr>
    </w:p>
    <w:p w14:paraId="628D825F" w14:textId="77777777" w:rsidR="004E626C" w:rsidRPr="00C60ABB" w:rsidRDefault="005C42B7">
      <w:pPr>
        <w:spacing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69CF5358" w14:textId="77777777" w:rsidR="004E626C" w:rsidRPr="00C60ABB" w:rsidRDefault="005C42B7">
      <w:pPr>
        <w:spacing w:before="240" w:after="240"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b/>
        </w:rPr>
        <w:t xml:space="preserve">8. Cierre de instrucción. </w:t>
      </w:r>
      <w:r w:rsidRPr="00C60ABB">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C60ABB">
        <w:rPr>
          <w:rFonts w:ascii="Palatino Linotype" w:eastAsia="Palatino Linotype" w:hAnsi="Palatino Linotype" w:cs="Palatino Linotype"/>
          <w:b/>
        </w:rPr>
        <w:t>treinta y uno de enero de dos mil veinticuatro</w:t>
      </w:r>
      <w:r w:rsidRPr="00C60ABB">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 </w:t>
      </w:r>
    </w:p>
    <w:p w14:paraId="51BD5932" w14:textId="77777777" w:rsidR="004E626C" w:rsidRPr="00C60ABB" w:rsidRDefault="005C42B7">
      <w:pPr>
        <w:spacing w:before="240" w:after="240"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6813A12A" w14:textId="77777777" w:rsidR="004E626C" w:rsidRPr="00C60ABB" w:rsidRDefault="005C42B7">
      <w:pPr>
        <w:widowControl w:val="0"/>
        <w:spacing w:line="360" w:lineRule="auto"/>
        <w:jc w:val="center"/>
        <w:rPr>
          <w:rFonts w:ascii="Palatino Linotype" w:eastAsia="Palatino Linotype" w:hAnsi="Palatino Linotype" w:cs="Palatino Linotype"/>
          <w:b/>
        </w:rPr>
      </w:pPr>
      <w:r w:rsidRPr="00C60ABB">
        <w:rPr>
          <w:rFonts w:ascii="Palatino Linotype" w:eastAsia="Palatino Linotype" w:hAnsi="Palatino Linotype" w:cs="Palatino Linotype"/>
          <w:b/>
        </w:rPr>
        <w:t>II. C O N S I D E R A N D O S</w:t>
      </w:r>
    </w:p>
    <w:p w14:paraId="541AA578" w14:textId="77777777" w:rsidR="004E626C" w:rsidRPr="00C60ABB" w:rsidRDefault="004E626C">
      <w:pPr>
        <w:widowControl w:val="0"/>
        <w:spacing w:line="360" w:lineRule="auto"/>
        <w:jc w:val="center"/>
        <w:rPr>
          <w:rFonts w:ascii="Palatino Linotype" w:eastAsia="Palatino Linotype" w:hAnsi="Palatino Linotype" w:cs="Palatino Linotype"/>
          <w:b/>
        </w:rPr>
      </w:pPr>
    </w:p>
    <w:p w14:paraId="1D4AC4F0" w14:textId="77777777" w:rsidR="004E626C" w:rsidRPr="00C60ABB" w:rsidRDefault="005C42B7">
      <w:pPr>
        <w:spacing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b/>
        </w:rPr>
        <w:t>Primero. Competencia.</w:t>
      </w:r>
      <w:r w:rsidRPr="00C60ABB">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w:t>
      </w:r>
      <w:r w:rsidRPr="00C60ABB">
        <w:rPr>
          <w:rFonts w:ascii="Palatino Linotype" w:eastAsia="Palatino Linotype" w:hAnsi="Palatino Linotype" w:cs="Palatino Linotype"/>
        </w:rPr>
        <w:lastRenderedPageBreak/>
        <w:t>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871E495" w14:textId="77777777" w:rsidR="004E626C" w:rsidRPr="00C60ABB" w:rsidRDefault="005C42B7">
      <w:pPr>
        <w:spacing w:before="240" w:after="240" w:line="360" w:lineRule="auto"/>
        <w:ind w:right="49"/>
        <w:jc w:val="both"/>
        <w:rPr>
          <w:rFonts w:ascii="Palatino Linotype" w:eastAsia="Palatino Linotype" w:hAnsi="Palatino Linotype" w:cs="Palatino Linotype"/>
        </w:rPr>
      </w:pPr>
      <w:bookmarkStart w:id="2" w:name="_heading=h.tyjcwt" w:colFirst="0" w:colLast="0"/>
      <w:bookmarkEnd w:id="2"/>
      <w:r w:rsidRPr="00C60ABB">
        <w:rPr>
          <w:rFonts w:ascii="Palatino Linotype" w:eastAsia="Palatino Linotype" w:hAnsi="Palatino Linotype" w:cs="Palatino Linotype"/>
          <w:b/>
        </w:rPr>
        <w:t xml:space="preserve">Segundo. Oportunidad y Procedibilidad del Recurso de Revisión. </w:t>
      </w:r>
      <w:r w:rsidRPr="00C60ABB">
        <w:rPr>
          <w:rFonts w:ascii="Palatino Linotype" w:eastAsia="Palatino Linotype" w:hAnsi="Palatino Linotype" w:cs="Palatino Linotype"/>
        </w:rPr>
        <w:t xml:space="preserve">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C60ABB">
        <w:rPr>
          <w:rFonts w:ascii="Palatino Linotype" w:eastAsia="Palatino Linotype" w:hAnsi="Palatino Linotype" w:cs="Palatino Linotype"/>
          <w:b/>
        </w:rPr>
        <w:t>SUJETO OBLIGADO</w:t>
      </w:r>
      <w:r w:rsidRPr="00C60ABB">
        <w:rPr>
          <w:rFonts w:ascii="Palatino Linotype" w:eastAsia="Palatino Linotype" w:hAnsi="Palatino Linotype" w:cs="Palatino Linotype"/>
        </w:rPr>
        <w:t xml:space="preserve"> emitió su respuesta a la solicitud planteada por la parte solicitante el veinticuatro de mayo del año dos mil veintitrés y la parte </w:t>
      </w:r>
      <w:r w:rsidRPr="00C60ABB">
        <w:rPr>
          <w:rFonts w:ascii="Palatino Linotype" w:eastAsia="Palatino Linotype" w:hAnsi="Palatino Linotype" w:cs="Palatino Linotype"/>
          <w:b/>
        </w:rPr>
        <w:t>RECURRENTE</w:t>
      </w:r>
      <w:r w:rsidRPr="00C60ABB">
        <w:rPr>
          <w:rFonts w:ascii="Palatino Linotype" w:eastAsia="Palatino Linotype" w:hAnsi="Palatino Linotype" w:cs="Palatino Linotype"/>
        </w:rPr>
        <w:t xml:space="preserve"> presentó su recurso de revisión el trece de junio del mismo año, esto es, al décimo cuarto día hábil siguiente del conocimiento de la respuesta. </w:t>
      </w:r>
    </w:p>
    <w:p w14:paraId="245B0737" w14:textId="77777777" w:rsidR="004E626C" w:rsidRPr="00C60ABB" w:rsidRDefault="005C42B7">
      <w:pPr>
        <w:spacing w:before="240"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color w:val="000000"/>
        </w:rPr>
        <w:t xml:space="preserve">Al mismo tiempo, </w:t>
      </w:r>
      <w:r w:rsidRPr="00C60ABB">
        <w:rPr>
          <w:rFonts w:ascii="Palatino Linotype" w:eastAsia="Palatino Linotype" w:hAnsi="Palatino Linotype" w:cs="Palatino Linotype"/>
        </w:rPr>
        <w:t>por cuanto hace a la procedibilidad del recurso de revisión, es de suma importancia señalar que la parte recurrente no señaló nombre con el cual desee ser identificado, no obstante el, no proporcionar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3308FB6" w14:textId="77777777" w:rsidR="004E626C" w:rsidRPr="00C60ABB" w:rsidRDefault="004E626C">
      <w:pPr>
        <w:ind w:left="567" w:right="474"/>
        <w:jc w:val="both"/>
        <w:rPr>
          <w:rFonts w:ascii="Palatino Linotype" w:eastAsia="Palatino Linotype" w:hAnsi="Palatino Linotype" w:cs="Palatino Linotype"/>
          <w:i/>
        </w:rPr>
      </w:pPr>
    </w:p>
    <w:p w14:paraId="090624F1" w14:textId="77777777" w:rsidR="004E626C" w:rsidRPr="00C60ABB" w:rsidRDefault="005C42B7">
      <w:pPr>
        <w:ind w:left="567" w:right="474"/>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w:t>
      </w:r>
      <w:r w:rsidRPr="00C60ABB">
        <w:rPr>
          <w:rFonts w:ascii="Palatino Linotype" w:eastAsia="Palatino Linotype" w:hAnsi="Palatino Linotype" w:cs="Palatino Linotype"/>
          <w:b/>
          <w:i/>
          <w:sz w:val="22"/>
          <w:szCs w:val="22"/>
        </w:rPr>
        <w:t>Las solicitudes anónimas</w:t>
      </w:r>
      <w:r w:rsidRPr="00C60ABB">
        <w:rPr>
          <w:rFonts w:ascii="Palatino Linotype" w:eastAsia="Palatino Linotype" w:hAnsi="Palatino Linotype" w:cs="Palatino Linotype"/>
          <w:i/>
          <w:sz w:val="22"/>
          <w:szCs w:val="22"/>
        </w:rPr>
        <w:t xml:space="preserve">, con nombre incompleto o seudónimo </w:t>
      </w:r>
      <w:r w:rsidRPr="00C60ABB">
        <w:rPr>
          <w:rFonts w:ascii="Palatino Linotype" w:eastAsia="Palatino Linotype" w:hAnsi="Palatino Linotype" w:cs="Palatino Linotype"/>
          <w:b/>
          <w:i/>
          <w:sz w:val="22"/>
          <w:szCs w:val="22"/>
        </w:rPr>
        <w:t>serán procedentes para su trámite por parte del sujeto obligado ante quien se presente</w:t>
      </w:r>
      <w:r w:rsidRPr="00C60ABB">
        <w:rPr>
          <w:rFonts w:ascii="Palatino Linotype" w:eastAsia="Palatino Linotype" w:hAnsi="Palatino Linotype" w:cs="Palatino Linotype"/>
          <w:i/>
          <w:sz w:val="22"/>
          <w:szCs w:val="22"/>
        </w:rPr>
        <w:t xml:space="preserve">. No podrá </w:t>
      </w:r>
      <w:r w:rsidRPr="00C60ABB">
        <w:rPr>
          <w:rFonts w:ascii="Palatino Linotype" w:eastAsia="Palatino Linotype" w:hAnsi="Palatino Linotype" w:cs="Palatino Linotype"/>
          <w:i/>
          <w:sz w:val="22"/>
          <w:szCs w:val="22"/>
        </w:rPr>
        <w:lastRenderedPageBreak/>
        <w:t>requerirse información adicional con motivo del nombre proporcionado por el solicitante."(Sic)</w:t>
      </w:r>
    </w:p>
    <w:p w14:paraId="4BC3F3A3" w14:textId="77777777" w:rsidR="004E626C" w:rsidRPr="00C60ABB" w:rsidRDefault="004E626C">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p>
    <w:p w14:paraId="376695FF" w14:textId="77777777" w:rsidR="004E626C" w:rsidRPr="00C60ABB" w:rsidRDefault="005C42B7">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r w:rsidRPr="00C60ABB">
        <w:rPr>
          <w:rFonts w:ascii="Palatino Linotype" w:eastAsia="Palatino Linotype" w:hAnsi="Palatino Linotype" w:cs="Palatino Linotype"/>
          <w:color w:val="000000"/>
        </w:rPr>
        <w:t>Además, por cuanto hace a la procedibilidad de</w:t>
      </w:r>
      <w:r w:rsidRPr="00C60ABB">
        <w:rPr>
          <w:rFonts w:ascii="Palatino Linotype" w:eastAsia="Palatino Linotype" w:hAnsi="Palatino Linotype" w:cs="Palatino Linotype"/>
        </w:rPr>
        <w:t>l</w:t>
      </w:r>
      <w:r w:rsidRPr="00C60ABB">
        <w:rPr>
          <w:rFonts w:ascii="Palatino Linotype" w:eastAsia="Palatino Linotype" w:hAnsi="Palatino Linotype" w:cs="Palatino Linotype"/>
          <w:color w:val="000000"/>
        </w:rPr>
        <w:t xml:space="preserve"> recurso de revisión una vez realizado el análisis de</w:t>
      </w:r>
      <w:r w:rsidRPr="00C60ABB">
        <w:rPr>
          <w:rFonts w:ascii="Palatino Linotype" w:eastAsia="Palatino Linotype" w:hAnsi="Palatino Linotype" w:cs="Palatino Linotype"/>
        </w:rPr>
        <w:t>l</w:t>
      </w:r>
      <w:r w:rsidRPr="00C60ABB">
        <w:rPr>
          <w:rFonts w:ascii="Palatino Linotype" w:eastAsia="Palatino Linotype" w:hAnsi="Palatino Linotype" w:cs="Palatino Linotype"/>
          <w:color w:val="000000"/>
        </w:rPr>
        <w:t xml:space="preserve"> formato de interposición de</w:t>
      </w:r>
      <w:r w:rsidRPr="00C60ABB">
        <w:rPr>
          <w:rFonts w:ascii="Palatino Linotype" w:eastAsia="Palatino Linotype" w:hAnsi="Palatino Linotype" w:cs="Palatino Linotype"/>
        </w:rPr>
        <w:t>l</w:t>
      </w:r>
      <w:r w:rsidRPr="00C60ABB">
        <w:rPr>
          <w:rFonts w:ascii="Palatino Linotype" w:eastAsia="Palatino Linotype" w:hAnsi="Palatino Linotype" w:cs="Palatino Linotype"/>
          <w:color w:val="000000"/>
        </w:rPr>
        <w:t xml:space="preserve">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C60ABB">
        <w:rPr>
          <w:rFonts w:ascii="Palatino Linotype" w:eastAsia="Palatino Linotype" w:hAnsi="Palatino Linotype" w:cs="Palatino Linotype"/>
          <w:b/>
          <w:color w:val="000000"/>
        </w:rPr>
        <w:t>EL</w:t>
      </w:r>
      <w:r w:rsidRPr="00C60ABB">
        <w:rPr>
          <w:rFonts w:ascii="Palatino Linotype" w:eastAsia="Palatino Linotype" w:hAnsi="Palatino Linotype" w:cs="Palatino Linotype"/>
          <w:color w:val="000000"/>
        </w:rPr>
        <w:t xml:space="preserve"> </w:t>
      </w:r>
      <w:r w:rsidRPr="00C60ABB">
        <w:rPr>
          <w:rFonts w:ascii="Palatino Linotype" w:eastAsia="Palatino Linotype" w:hAnsi="Palatino Linotype" w:cs="Palatino Linotype"/>
          <w:b/>
          <w:color w:val="000000"/>
        </w:rPr>
        <w:t>SAIMEX</w:t>
      </w:r>
      <w:r w:rsidRPr="00C60ABB">
        <w:rPr>
          <w:rFonts w:ascii="Palatino Linotype" w:eastAsia="Palatino Linotype" w:hAnsi="Palatino Linotype" w:cs="Palatino Linotype"/>
          <w:color w:val="000000"/>
        </w:rPr>
        <w:t>.</w:t>
      </w:r>
    </w:p>
    <w:p w14:paraId="7595330C" w14:textId="77777777" w:rsidR="004E626C" w:rsidRPr="00C60ABB" w:rsidRDefault="004E626C">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p>
    <w:p w14:paraId="77D44446" w14:textId="77777777" w:rsidR="004E626C" w:rsidRPr="00C60ABB" w:rsidRDefault="005C42B7">
      <w:pPr>
        <w:spacing w:after="240"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IX de la ley de la materia, que a la letra dice:</w:t>
      </w:r>
    </w:p>
    <w:p w14:paraId="254C2772" w14:textId="77777777" w:rsidR="004E626C" w:rsidRPr="00C60ABB" w:rsidRDefault="005C42B7">
      <w:pPr>
        <w:ind w:left="1276" w:right="1752"/>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w:t>
      </w:r>
      <w:r w:rsidRPr="00C60ABB">
        <w:rPr>
          <w:rFonts w:ascii="Palatino Linotype" w:eastAsia="Palatino Linotype" w:hAnsi="Palatino Linotype" w:cs="Palatino Linotype"/>
          <w:b/>
          <w:i/>
          <w:sz w:val="22"/>
          <w:szCs w:val="22"/>
        </w:rPr>
        <w:t xml:space="preserve">Artículo 179. </w:t>
      </w:r>
      <w:r w:rsidRPr="00C60ABB">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7591F72F" w14:textId="77777777" w:rsidR="004E626C" w:rsidRPr="00C60ABB" w:rsidRDefault="005C42B7">
      <w:pPr>
        <w:ind w:left="1276" w:right="1752"/>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w:t>
      </w:r>
    </w:p>
    <w:p w14:paraId="7BC4BDCE" w14:textId="77777777" w:rsidR="004E626C" w:rsidRPr="00C60ABB" w:rsidRDefault="005C42B7">
      <w:pPr>
        <w:ind w:left="1276" w:right="1752"/>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IX. La entrega o puesta a disposición de información en un formato incomprensible y/o no accesible para el solicitante…” (Sic)</w:t>
      </w:r>
    </w:p>
    <w:p w14:paraId="45B2923A" w14:textId="77777777" w:rsidR="004E626C" w:rsidRPr="00C60ABB" w:rsidRDefault="005C42B7">
      <w:pPr>
        <w:spacing w:before="280" w:after="280"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b/>
          <w:color w:val="000000"/>
        </w:rPr>
        <w:t>Tercero. Materia de Revisión</w:t>
      </w:r>
      <w:r w:rsidRPr="00C60ABB">
        <w:rPr>
          <w:rFonts w:ascii="Palatino Linotype" w:eastAsia="Palatino Linotype" w:hAnsi="Palatino Linotype" w:cs="Palatino Linotype"/>
          <w:color w:val="000000"/>
        </w:rPr>
        <w:t xml:space="preserve">: </w:t>
      </w:r>
      <w:r w:rsidRPr="00C60ABB">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Pr="00C60ABB">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C60ABB">
        <w:rPr>
          <w:rFonts w:ascii="Palatino Linotype" w:eastAsia="Palatino Linotype" w:hAnsi="Palatino Linotype" w:cs="Palatino Linotype"/>
        </w:rPr>
        <w:t xml:space="preserve">de la parte </w:t>
      </w:r>
      <w:r w:rsidRPr="00C60ABB">
        <w:rPr>
          <w:rFonts w:ascii="Palatino Linotype" w:eastAsia="Palatino Linotype" w:hAnsi="Palatino Linotype" w:cs="Palatino Linotype"/>
          <w:b/>
        </w:rPr>
        <w:t>RECURRENTE</w:t>
      </w:r>
      <w:r w:rsidRPr="00C60ABB">
        <w:rPr>
          <w:rFonts w:ascii="Palatino Linotype" w:eastAsia="Palatino Linotype" w:hAnsi="Palatino Linotype" w:cs="Palatino Linotype"/>
        </w:rPr>
        <w:t>, o en su defecto, en caso de ser procedente, ordenar la entrega de información.</w:t>
      </w:r>
    </w:p>
    <w:p w14:paraId="6EA0A7CA" w14:textId="77777777" w:rsidR="004E626C" w:rsidRPr="00C60ABB" w:rsidRDefault="005C42B7">
      <w:pPr>
        <w:spacing w:before="240" w:after="240"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b/>
        </w:rPr>
        <w:t xml:space="preserve">Cuarto. Estudio de fondo del asunto. </w:t>
      </w:r>
      <w:r w:rsidRPr="00C60ABB">
        <w:rPr>
          <w:rFonts w:ascii="Palatino Linotype" w:eastAsia="Palatino Linotype" w:hAnsi="Palatino Linotype" w:cs="Palatino Linotype"/>
        </w:rPr>
        <w:t xml:space="preserve">es conveniente analizar si la respuesta del </w:t>
      </w:r>
      <w:r w:rsidRPr="00C60ABB">
        <w:rPr>
          <w:rFonts w:ascii="Palatino Linotype" w:eastAsia="Palatino Linotype" w:hAnsi="Palatino Linotype" w:cs="Palatino Linotype"/>
          <w:b/>
        </w:rPr>
        <w:t>SUJETO OBLIGADO</w:t>
      </w:r>
      <w:r w:rsidRPr="00C60ABB">
        <w:rPr>
          <w:rFonts w:ascii="Palatino Linotype" w:eastAsia="Palatino Linotype" w:hAnsi="Palatino Linotype" w:cs="Palatino Linotype"/>
        </w:rPr>
        <w:t xml:space="preserve"> cumple con los requisitos y procedimientos del derecho de </w:t>
      </w:r>
      <w:r w:rsidRPr="00C60ABB">
        <w:rPr>
          <w:rFonts w:ascii="Palatino Linotype" w:eastAsia="Palatino Linotype" w:hAnsi="Palatino Linotype" w:cs="Palatino Linotype"/>
        </w:rPr>
        <w:lastRenderedPageBreak/>
        <w:t xml:space="preserve">acceso a la información pública, en atención a que en la Ley de Transparencia y Acceso a la Información Pública del Estado de México y Municipios en su </w:t>
      </w:r>
      <w:r w:rsidRPr="00C60ABB">
        <w:rPr>
          <w:rFonts w:ascii="Palatino Linotype" w:eastAsia="Palatino Linotype" w:hAnsi="Palatino Linotype" w:cs="Palatino Linotype"/>
          <w:color w:val="000000"/>
        </w:rPr>
        <w:t>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2451DFBA" w14:textId="77777777" w:rsidR="004E626C" w:rsidRPr="00C60ABB" w:rsidRDefault="005C42B7">
      <w:pPr>
        <w:spacing w:before="240"/>
        <w:ind w:left="709" w:right="760"/>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w:t>
      </w:r>
      <w:r w:rsidRPr="00C60ABB">
        <w:rPr>
          <w:rFonts w:ascii="Palatino Linotype" w:eastAsia="Palatino Linotype" w:hAnsi="Palatino Linotype" w:cs="Palatino Linotype"/>
          <w:b/>
          <w:i/>
          <w:sz w:val="22"/>
          <w:szCs w:val="22"/>
        </w:rPr>
        <w:t>Artículo 4.</w:t>
      </w:r>
      <w:r w:rsidRPr="00C60ABB">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400B969" w14:textId="77777777" w:rsidR="004E626C" w:rsidRPr="00C60ABB" w:rsidRDefault="005C42B7">
      <w:pPr>
        <w:ind w:left="709" w:right="760"/>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C60ABB">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AD5DEFD" w14:textId="77777777" w:rsidR="004E626C" w:rsidRPr="00C60ABB" w:rsidRDefault="005C42B7">
      <w:pPr>
        <w:ind w:left="709" w:right="760"/>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C60ABB">
        <w:rPr>
          <w:rFonts w:ascii="Palatino Linotype" w:eastAsia="Palatino Linotype" w:hAnsi="Palatino Linotype" w:cs="Palatino Linotype"/>
          <w:i/>
          <w:sz w:val="22"/>
          <w:szCs w:val="22"/>
        </w:rPr>
        <w:t>.”(</w:t>
      </w:r>
      <w:proofErr w:type="gramEnd"/>
      <w:r w:rsidRPr="00C60ABB">
        <w:rPr>
          <w:rFonts w:ascii="Palatino Linotype" w:eastAsia="Palatino Linotype" w:hAnsi="Palatino Linotype" w:cs="Palatino Linotype"/>
          <w:i/>
          <w:sz w:val="22"/>
          <w:szCs w:val="22"/>
        </w:rPr>
        <w:t>Sic)</w:t>
      </w:r>
    </w:p>
    <w:p w14:paraId="59D874D6" w14:textId="77777777" w:rsidR="004E626C" w:rsidRPr="00C60ABB" w:rsidRDefault="005C42B7">
      <w:pPr>
        <w:spacing w:before="240" w:after="240"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60072948" w14:textId="77777777" w:rsidR="004E626C" w:rsidRPr="00C60ABB" w:rsidRDefault="005C42B7">
      <w:pPr>
        <w:ind w:left="567" w:right="758"/>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lastRenderedPageBreak/>
        <w:t>“</w:t>
      </w:r>
      <w:r w:rsidRPr="00C60ABB">
        <w:rPr>
          <w:rFonts w:ascii="Palatino Linotype" w:eastAsia="Palatino Linotype" w:hAnsi="Palatino Linotype" w:cs="Palatino Linotype"/>
          <w:b/>
          <w:i/>
          <w:sz w:val="22"/>
          <w:szCs w:val="22"/>
        </w:rPr>
        <w:t>Artículo12.-</w:t>
      </w:r>
      <w:r w:rsidRPr="00C60ABB">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DC78C72" w14:textId="77777777" w:rsidR="004E626C" w:rsidRPr="00C60ABB" w:rsidRDefault="005C42B7">
      <w:pPr>
        <w:ind w:left="567" w:right="758"/>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C60ABB">
        <w:rPr>
          <w:rFonts w:ascii="Palatino Linotype" w:eastAsia="Palatino Linotype" w:hAnsi="Palatino Linotype" w:cs="Palatino Linotype"/>
          <w:i/>
          <w:sz w:val="22"/>
          <w:szCs w:val="22"/>
        </w:rPr>
        <w:t xml:space="preserve">. </w:t>
      </w:r>
      <w:r w:rsidRPr="00C60ABB">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3B63AA5C" w14:textId="77777777" w:rsidR="004E626C" w:rsidRPr="00C60ABB" w:rsidRDefault="004E626C">
      <w:pPr>
        <w:spacing w:line="360" w:lineRule="auto"/>
        <w:ind w:right="-93"/>
        <w:jc w:val="both"/>
        <w:rPr>
          <w:rFonts w:ascii="Palatino Linotype" w:eastAsia="Palatino Linotype" w:hAnsi="Palatino Linotype" w:cs="Palatino Linotype"/>
          <w:color w:val="000000"/>
        </w:rPr>
      </w:pPr>
    </w:p>
    <w:p w14:paraId="798B670E" w14:textId="77777777" w:rsidR="004E626C" w:rsidRPr="00C60ABB" w:rsidRDefault="005C42B7">
      <w:pPr>
        <w:spacing w:line="360" w:lineRule="auto"/>
        <w:ind w:right="-93"/>
        <w:jc w:val="both"/>
        <w:rPr>
          <w:rFonts w:ascii="Palatino Linotype" w:eastAsia="Palatino Linotype" w:hAnsi="Palatino Linotype" w:cs="Palatino Linotype"/>
          <w:color w:val="000000"/>
        </w:rPr>
      </w:pPr>
      <w:r w:rsidRPr="00C60ABB">
        <w:rPr>
          <w:rFonts w:ascii="Palatino Linotype" w:eastAsia="Palatino Linotype" w:hAnsi="Palatino Linotype" w:cs="Palatino Linotype"/>
          <w:color w:val="000000"/>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73FD89E8" w14:textId="77777777" w:rsidR="004E626C" w:rsidRPr="00C60ABB" w:rsidRDefault="004E626C">
      <w:pPr>
        <w:spacing w:line="360" w:lineRule="auto"/>
        <w:ind w:right="-93"/>
        <w:jc w:val="both"/>
        <w:rPr>
          <w:rFonts w:ascii="Palatino Linotype" w:eastAsia="Palatino Linotype" w:hAnsi="Palatino Linotype" w:cs="Palatino Linotype"/>
          <w:color w:val="000000"/>
        </w:rPr>
      </w:pPr>
    </w:p>
    <w:p w14:paraId="60A07301" w14:textId="77777777" w:rsidR="004E626C" w:rsidRPr="00C60ABB" w:rsidRDefault="005C42B7">
      <w:pPr>
        <w:spacing w:line="360" w:lineRule="auto"/>
        <w:jc w:val="both"/>
        <w:rPr>
          <w:rFonts w:ascii="Palatino Linotype" w:eastAsia="Palatino Linotype" w:hAnsi="Palatino Linotype" w:cs="Palatino Linotype"/>
          <w:b/>
          <w:color w:val="000000"/>
        </w:rPr>
      </w:pPr>
      <w:r w:rsidRPr="00C60ABB">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sidRPr="00C60ABB">
        <w:rPr>
          <w:rFonts w:ascii="Palatino Linotype" w:eastAsia="Palatino Linotype" w:hAnsi="Palatino Linotype" w:cs="Palatino Linotype"/>
          <w:b/>
          <w:color w:val="000000"/>
        </w:rPr>
        <w:t xml:space="preserve"> </w:t>
      </w:r>
    </w:p>
    <w:p w14:paraId="0668D298" w14:textId="77777777" w:rsidR="004E626C" w:rsidRPr="00C60ABB" w:rsidRDefault="004E626C">
      <w:pPr>
        <w:spacing w:line="360" w:lineRule="auto"/>
        <w:jc w:val="both"/>
        <w:rPr>
          <w:rFonts w:ascii="Palatino Linotype" w:eastAsia="Palatino Linotype" w:hAnsi="Palatino Linotype" w:cs="Palatino Linotype"/>
          <w:b/>
          <w:color w:val="000000"/>
        </w:rPr>
      </w:pPr>
    </w:p>
    <w:p w14:paraId="7E63D3E7" w14:textId="77777777" w:rsidR="004E626C" w:rsidRPr="00C60ABB" w:rsidRDefault="005C42B7">
      <w:pPr>
        <w:ind w:left="851" w:right="901"/>
        <w:jc w:val="both"/>
        <w:rPr>
          <w:rFonts w:ascii="Palatino Linotype" w:eastAsia="Palatino Linotype" w:hAnsi="Palatino Linotype" w:cs="Palatino Linotype"/>
          <w:i/>
          <w:color w:val="000000"/>
          <w:sz w:val="22"/>
          <w:szCs w:val="22"/>
        </w:rPr>
      </w:pPr>
      <w:r w:rsidRPr="00C60ABB">
        <w:rPr>
          <w:rFonts w:ascii="Palatino Linotype" w:eastAsia="Palatino Linotype" w:hAnsi="Palatino Linotype" w:cs="Palatino Linotype"/>
          <w:i/>
          <w:color w:val="000000"/>
          <w:sz w:val="22"/>
          <w:szCs w:val="22"/>
        </w:rPr>
        <w:t>“</w:t>
      </w:r>
      <w:r w:rsidRPr="00C60ABB">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sidRPr="00C60ABB">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6C53815" w14:textId="77777777" w:rsidR="004E626C" w:rsidRPr="00C60ABB" w:rsidRDefault="005C42B7">
      <w:pPr>
        <w:ind w:left="851" w:right="901"/>
        <w:jc w:val="both"/>
        <w:rPr>
          <w:rFonts w:ascii="Palatino Linotype" w:eastAsia="Palatino Linotype" w:hAnsi="Palatino Linotype" w:cs="Palatino Linotype"/>
          <w:i/>
          <w:color w:val="000000"/>
          <w:sz w:val="22"/>
          <w:szCs w:val="22"/>
        </w:rPr>
      </w:pPr>
      <w:r w:rsidRPr="00C60ABB">
        <w:rPr>
          <w:rFonts w:ascii="Palatino Linotype" w:eastAsia="Palatino Linotype" w:hAnsi="Palatino Linotype" w:cs="Palatino Linotype"/>
          <w:i/>
          <w:color w:val="000000"/>
          <w:sz w:val="22"/>
          <w:szCs w:val="22"/>
        </w:rPr>
        <w:lastRenderedPageBreak/>
        <w:t xml:space="preserve">Resoluciones: </w:t>
      </w:r>
    </w:p>
    <w:p w14:paraId="67055E82" w14:textId="77777777" w:rsidR="004E626C" w:rsidRPr="00C60ABB" w:rsidRDefault="005C42B7">
      <w:pPr>
        <w:ind w:left="851" w:right="901"/>
        <w:jc w:val="both"/>
        <w:rPr>
          <w:rFonts w:ascii="Palatino Linotype" w:eastAsia="Palatino Linotype" w:hAnsi="Palatino Linotype" w:cs="Palatino Linotype"/>
          <w:i/>
          <w:color w:val="000000"/>
          <w:sz w:val="22"/>
          <w:szCs w:val="22"/>
        </w:rPr>
      </w:pPr>
      <w:r w:rsidRPr="00C60ABB">
        <w:rPr>
          <w:rFonts w:ascii="Noto Sans Symbols" w:eastAsia="Noto Sans Symbols" w:hAnsi="Noto Sans Symbols" w:cs="Noto Sans Symbols"/>
          <w:i/>
          <w:color w:val="000000"/>
          <w:sz w:val="22"/>
          <w:szCs w:val="22"/>
        </w:rPr>
        <w:t>∙</w:t>
      </w:r>
      <w:r w:rsidRPr="00C60ABB">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14:paraId="54079C1C" w14:textId="77777777" w:rsidR="004E626C" w:rsidRPr="00C60ABB" w:rsidRDefault="005C42B7">
      <w:pPr>
        <w:ind w:left="851" w:right="901"/>
        <w:jc w:val="both"/>
        <w:rPr>
          <w:rFonts w:ascii="Palatino Linotype" w:eastAsia="Palatino Linotype" w:hAnsi="Palatino Linotype" w:cs="Palatino Linotype"/>
          <w:i/>
          <w:color w:val="000000"/>
          <w:sz w:val="22"/>
          <w:szCs w:val="22"/>
        </w:rPr>
      </w:pPr>
      <w:r w:rsidRPr="00C60ABB">
        <w:rPr>
          <w:rFonts w:ascii="Noto Sans Symbols" w:eastAsia="Noto Sans Symbols" w:hAnsi="Noto Sans Symbols" w:cs="Noto Sans Symbols"/>
          <w:i/>
          <w:color w:val="000000"/>
          <w:sz w:val="22"/>
          <w:szCs w:val="22"/>
        </w:rPr>
        <w:t>∙</w:t>
      </w:r>
      <w:r w:rsidRPr="00C60ABB">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14:paraId="42FCB3D1" w14:textId="77777777" w:rsidR="004E626C" w:rsidRPr="00C60ABB" w:rsidRDefault="005C42B7">
      <w:pPr>
        <w:ind w:left="851" w:right="901"/>
        <w:jc w:val="both"/>
        <w:rPr>
          <w:rFonts w:ascii="Palatino Linotype" w:eastAsia="Palatino Linotype" w:hAnsi="Palatino Linotype" w:cs="Palatino Linotype"/>
          <w:i/>
          <w:color w:val="000000"/>
          <w:sz w:val="22"/>
          <w:szCs w:val="22"/>
        </w:rPr>
      </w:pPr>
      <w:r w:rsidRPr="00C60ABB">
        <w:rPr>
          <w:rFonts w:ascii="Noto Sans Symbols" w:eastAsia="Noto Sans Symbols" w:hAnsi="Noto Sans Symbols" w:cs="Noto Sans Symbols"/>
          <w:i/>
          <w:color w:val="000000"/>
          <w:sz w:val="22"/>
          <w:szCs w:val="22"/>
        </w:rPr>
        <w:t>∙</w:t>
      </w:r>
      <w:r w:rsidRPr="00C60ABB">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w:t>
      </w:r>
      <w:proofErr w:type="gramStart"/>
      <w:r w:rsidRPr="00C60ABB">
        <w:rPr>
          <w:rFonts w:ascii="Palatino Linotype" w:eastAsia="Palatino Linotype" w:hAnsi="Palatino Linotype" w:cs="Palatino Linotype"/>
          <w:i/>
          <w:color w:val="000000"/>
          <w:sz w:val="22"/>
          <w:szCs w:val="22"/>
        </w:rPr>
        <w:t>.”(</w:t>
      </w:r>
      <w:proofErr w:type="gramEnd"/>
      <w:r w:rsidRPr="00C60ABB">
        <w:rPr>
          <w:rFonts w:ascii="Palatino Linotype" w:eastAsia="Palatino Linotype" w:hAnsi="Palatino Linotype" w:cs="Palatino Linotype"/>
          <w:i/>
          <w:color w:val="000000"/>
          <w:sz w:val="22"/>
          <w:szCs w:val="22"/>
        </w:rPr>
        <w:t>Sic)</w:t>
      </w:r>
    </w:p>
    <w:p w14:paraId="738B2400" w14:textId="77777777" w:rsidR="004E626C" w:rsidRPr="00C60ABB" w:rsidRDefault="004E626C">
      <w:pPr>
        <w:spacing w:line="360" w:lineRule="auto"/>
        <w:jc w:val="both"/>
        <w:rPr>
          <w:rFonts w:ascii="Palatino Linotype" w:eastAsia="Palatino Linotype" w:hAnsi="Palatino Linotype" w:cs="Palatino Linotype"/>
        </w:rPr>
      </w:pPr>
    </w:p>
    <w:p w14:paraId="3BF1145A" w14:textId="77777777" w:rsidR="004E626C" w:rsidRPr="00C60ABB" w:rsidRDefault="005C42B7">
      <w:pPr>
        <w:spacing w:line="360" w:lineRule="auto"/>
        <w:jc w:val="both"/>
        <w:rPr>
          <w:rFonts w:ascii="Palatino Linotype" w:eastAsia="Palatino Linotype" w:hAnsi="Palatino Linotype" w:cs="Palatino Linotype"/>
          <w:color w:val="000000"/>
        </w:rPr>
      </w:pPr>
      <w:r w:rsidRPr="00C60ABB">
        <w:rPr>
          <w:rFonts w:ascii="Palatino Linotype" w:eastAsia="Palatino Linotype" w:hAnsi="Palatino Linotype" w:cs="Palatino Linotype"/>
        </w:rPr>
        <w:t xml:space="preserve">En esa tesitura, el artículo 24 en su último párrafo de la Ley de la Materia, dispone que los Sujetos Obligados </w:t>
      </w:r>
      <w:r w:rsidRPr="00C60ABB">
        <w:rPr>
          <w:rFonts w:ascii="Palatino Linotype" w:eastAsia="Palatino Linotype" w:hAnsi="Palatino Linotype" w:cs="Palatino Linotype"/>
          <w:color w:val="000000"/>
        </w:rPr>
        <w:t xml:space="preserve">sólo proporcionarán la información pública que </w:t>
      </w:r>
      <w:r w:rsidRPr="00C60ABB">
        <w:rPr>
          <w:rFonts w:ascii="Palatino Linotype" w:eastAsia="Palatino Linotype" w:hAnsi="Palatino Linotype" w:cs="Palatino Linotype"/>
        </w:rPr>
        <w:t>generen</w:t>
      </w:r>
      <w:r w:rsidRPr="00C60ABB">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2AA6A061" w14:textId="77777777" w:rsidR="004E626C" w:rsidRPr="00C60ABB" w:rsidRDefault="004E626C">
      <w:pPr>
        <w:spacing w:line="360" w:lineRule="auto"/>
        <w:jc w:val="both"/>
        <w:rPr>
          <w:rFonts w:ascii="Palatino Linotype" w:eastAsia="Palatino Linotype" w:hAnsi="Palatino Linotype" w:cs="Palatino Linotype"/>
          <w:color w:val="000000"/>
        </w:rPr>
      </w:pPr>
    </w:p>
    <w:p w14:paraId="5563815A" w14:textId="77777777" w:rsidR="004E626C" w:rsidRPr="00C60ABB" w:rsidRDefault="005C42B7">
      <w:pPr>
        <w:spacing w:line="360" w:lineRule="auto"/>
        <w:ind w:right="49"/>
        <w:jc w:val="both"/>
        <w:rPr>
          <w:rFonts w:ascii="Palatino Linotype" w:eastAsia="Palatino Linotype" w:hAnsi="Palatino Linotype" w:cs="Palatino Linotype"/>
        </w:rPr>
      </w:pPr>
      <w:r w:rsidRPr="00C60ABB">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5664AE9" w14:textId="77777777" w:rsidR="004E626C" w:rsidRPr="00C60ABB" w:rsidRDefault="004E626C">
      <w:pPr>
        <w:spacing w:line="360" w:lineRule="auto"/>
        <w:ind w:right="49"/>
        <w:jc w:val="both"/>
        <w:rPr>
          <w:rFonts w:ascii="Palatino Linotype" w:eastAsia="Palatino Linotype" w:hAnsi="Palatino Linotype" w:cs="Palatino Linotype"/>
        </w:rPr>
      </w:pPr>
    </w:p>
    <w:p w14:paraId="2054B818" w14:textId="77777777" w:rsidR="004E626C" w:rsidRPr="00C60ABB" w:rsidRDefault="005C42B7">
      <w:pPr>
        <w:spacing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w:t>
      </w:r>
      <w:r w:rsidRPr="00C60ABB">
        <w:rPr>
          <w:rFonts w:ascii="Palatino Linotype" w:eastAsia="Palatino Linotype" w:hAnsi="Palatino Linotype" w:cs="Palatino Linotype"/>
        </w:rPr>
        <w:lastRenderedPageBreak/>
        <w:t xml:space="preserve">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D273653" w14:textId="77777777" w:rsidR="004E626C" w:rsidRPr="00C60ABB" w:rsidRDefault="004E626C">
      <w:pPr>
        <w:ind w:left="851" w:right="899"/>
        <w:jc w:val="both"/>
        <w:rPr>
          <w:rFonts w:ascii="Palatino Linotype" w:eastAsia="Palatino Linotype" w:hAnsi="Palatino Linotype" w:cs="Palatino Linotype"/>
          <w:i/>
          <w:sz w:val="22"/>
          <w:szCs w:val="22"/>
        </w:rPr>
      </w:pPr>
    </w:p>
    <w:p w14:paraId="145C048B" w14:textId="77777777" w:rsidR="004E626C" w:rsidRPr="00C60ABB" w:rsidRDefault="004E626C">
      <w:pPr>
        <w:ind w:left="851" w:right="899"/>
        <w:jc w:val="both"/>
        <w:rPr>
          <w:rFonts w:ascii="Palatino Linotype" w:eastAsia="Palatino Linotype" w:hAnsi="Palatino Linotype" w:cs="Palatino Linotype"/>
          <w:i/>
          <w:sz w:val="22"/>
          <w:szCs w:val="22"/>
        </w:rPr>
      </w:pPr>
    </w:p>
    <w:p w14:paraId="2926FBAD"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w:t>
      </w:r>
      <w:r w:rsidRPr="00C60ABB">
        <w:rPr>
          <w:rFonts w:ascii="Palatino Linotype" w:eastAsia="Palatino Linotype" w:hAnsi="Palatino Linotype" w:cs="Palatino Linotype"/>
          <w:b/>
          <w:i/>
          <w:sz w:val="22"/>
          <w:szCs w:val="22"/>
        </w:rPr>
        <w:t xml:space="preserve">Artículo 3. </w:t>
      </w:r>
      <w:r w:rsidRPr="00C60ABB">
        <w:rPr>
          <w:rFonts w:ascii="Palatino Linotype" w:eastAsia="Palatino Linotype" w:hAnsi="Palatino Linotype" w:cs="Palatino Linotype"/>
          <w:i/>
          <w:sz w:val="22"/>
          <w:szCs w:val="22"/>
        </w:rPr>
        <w:t>Para los efectos de la presente Ley se entenderá por:</w:t>
      </w:r>
    </w:p>
    <w:p w14:paraId="5791D1A5"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w:t>
      </w:r>
    </w:p>
    <w:p w14:paraId="102490D1" w14:textId="77777777" w:rsidR="004E626C" w:rsidRPr="00C60ABB" w:rsidRDefault="005C42B7">
      <w:pPr>
        <w:ind w:left="851" w:right="899"/>
        <w:jc w:val="both"/>
        <w:rPr>
          <w:rFonts w:ascii="Palatino Linotype" w:eastAsia="Palatino Linotype" w:hAnsi="Palatino Linotype" w:cs="Palatino Linotype"/>
          <w:i/>
          <w:color w:val="000000"/>
          <w:sz w:val="22"/>
          <w:szCs w:val="22"/>
        </w:rPr>
      </w:pPr>
      <w:r w:rsidRPr="00C60ABB">
        <w:rPr>
          <w:rFonts w:ascii="Palatino Linotype" w:eastAsia="Palatino Linotype" w:hAnsi="Palatino Linotype" w:cs="Palatino Linotype"/>
          <w:b/>
          <w:i/>
          <w:color w:val="000000"/>
          <w:sz w:val="22"/>
          <w:szCs w:val="22"/>
        </w:rPr>
        <w:t>XI. Documento:</w:t>
      </w:r>
      <w:r w:rsidRPr="00C60ABB">
        <w:rPr>
          <w:rFonts w:ascii="Palatino Linotype" w:eastAsia="Palatino Linotype" w:hAnsi="Palatino Linotype" w:cs="Palatino Linotype"/>
          <w:i/>
          <w:color w:val="000000"/>
          <w:sz w:val="22"/>
          <w:szCs w:val="22"/>
        </w:rPr>
        <w:t xml:space="preserve"> Los expedientes, reportes, estudios, actas</w:t>
      </w:r>
      <w:r w:rsidRPr="00C60ABB">
        <w:rPr>
          <w:rFonts w:ascii="Palatino Linotype" w:eastAsia="Palatino Linotype" w:hAnsi="Palatino Linotype" w:cs="Palatino Linotype"/>
          <w:b/>
          <w:i/>
          <w:color w:val="000000"/>
          <w:sz w:val="22"/>
          <w:szCs w:val="22"/>
        </w:rPr>
        <w:t>,</w:t>
      </w:r>
      <w:r w:rsidRPr="00C60ABB">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65D46EA6" w14:textId="77777777" w:rsidR="004E626C" w:rsidRPr="00C60ABB" w:rsidRDefault="004E626C">
      <w:pPr>
        <w:ind w:left="851" w:right="899"/>
        <w:jc w:val="both"/>
        <w:rPr>
          <w:rFonts w:ascii="Palatino Linotype" w:eastAsia="Palatino Linotype" w:hAnsi="Palatino Linotype" w:cs="Palatino Linotype"/>
          <w:sz w:val="22"/>
          <w:szCs w:val="22"/>
        </w:rPr>
      </w:pPr>
    </w:p>
    <w:p w14:paraId="21A5D682" w14:textId="77777777" w:rsidR="004E626C" w:rsidRPr="00C60ABB" w:rsidRDefault="005C42B7">
      <w:pPr>
        <w:spacing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2230AE5" w14:textId="77777777" w:rsidR="004E626C" w:rsidRPr="00C60ABB" w:rsidRDefault="004E626C">
      <w:pPr>
        <w:ind w:left="851" w:right="899"/>
        <w:jc w:val="both"/>
        <w:rPr>
          <w:rFonts w:ascii="Palatino Linotype" w:eastAsia="Palatino Linotype" w:hAnsi="Palatino Linotype" w:cs="Palatino Linotype"/>
          <w:b/>
          <w:sz w:val="22"/>
          <w:szCs w:val="22"/>
        </w:rPr>
      </w:pPr>
    </w:p>
    <w:p w14:paraId="4565F2F2" w14:textId="77777777" w:rsidR="004E626C" w:rsidRPr="00C60ABB" w:rsidRDefault="005C42B7">
      <w:pPr>
        <w:ind w:left="851" w:right="899"/>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sz w:val="22"/>
          <w:szCs w:val="22"/>
        </w:rPr>
        <w:t>“</w:t>
      </w:r>
      <w:r w:rsidRPr="00C60ABB">
        <w:rPr>
          <w:rFonts w:ascii="Palatino Linotype" w:eastAsia="Palatino Linotype" w:hAnsi="Palatino Linotype" w:cs="Palatino Linotype"/>
          <w:b/>
          <w:i/>
          <w:sz w:val="22"/>
          <w:szCs w:val="22"/>
        </w:rPr>
        <w:t>CRITERIO 0002-11</w:t>
      </w:r>
    </w:p>
    <w:p w14:paraId="7325FC36"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C60AB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3499CB4"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En </w:t>
      </w:r>
      <w:proofErr w:type="gramStart"/>
      <w:r w:rsidRPr="00C60ABB">
        <w:rPr>
          <w:rFonts w:ascii="Palatino Linotype" w:eastAsia="Palatino Linotype" w:hAnsi="Palatino Linotype" w:cs="Palatino Linotype"/>
          <w:i/>
          <w:sz w:val="22"/>
          <w:szCs w:val="22"/>
        </w:rPr>
        <w:t>consecuencia</w:t>
      </w:r>
      <w:proofErr w:type="gramEnd"/>
      <w:r w:rsidRPr="00C60ABB">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0A0D6D40"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lastRenderedPageBreak/>
        <w:t xml:space="preserve">1) Que se trate de información registrada en cualquier soporte documental, </w:t>
      </w:r>
      <w:proofErr w:type="gramStart"/>
      <w:r w:rsidRPr="00C60ABB">
        <w:rPr>
          <w:rFonts w:ascii="Palatino Linotype" w:eastAsia="Palatino Linotype" w:hAnsi="Palatino Linotype" w:cs="Palatino Linotype"/>
          <w:i/>
          <w:sz w:val="22"/>
          <w:szCs w:val="22"/>
        </w:rPr>
        <w:t>que</w:t>
      </w:r>
      <w:proofErr w:type="gramEnd"/>
      <w:r w:rsidRPr="00C60ABB">
        <w:rPr>
          <w:rFonts w:ascii="Palatino Linotype" w:eastAsia="Palatino Linotype" w:hAnsi="Palatino Linotype" w:cs="Palatino Linotype"/>
          <w:i/>
          <w:sz w:val="22"/>
          <w:szCs w:val="22"/>
        </w:rPr>
        <w:t xml:space="preserve"> en ejercicio de las atribuciones conferidas, sea generada por los Sujetos Obligados;</w:t>
      </w:r>
    </w:p>
    <w:p w14:paraId="4024EB25" w14:textId="77777777" w:rsidR="004E626C" w:rsidRPr="00C60ABB" w:rsidRDefault="005C42B7">
      <w:pPr>
        <w:ind w:left="851" w:right="899"/>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C60ABB">
        <w:rPr>
          <w:rFonts w:ascii="Palatino Linotype" w:eastAsia="Palatino Linotype" w:hAnsi="Palatino Linotype" w:cs="Palatino Linotype"/>
          <w:b/>
          <w:i/>
          <w:sz w:val="22"/>
          <w:szCs w:val="22"/>
        </w:rPr>
        <w:t>que</w:t>
      </w:r>
      <w:proofErr w:type="gramEnd"/>
      <w:r w:rsidRPr="00C60ABB">
        <w:rPr>
          <w:rFonts w:ascii="Palatino Linotype" w:eastAsia="Palatino Linotype" w:hAnsi="Palatino Linotype" w:cs="Palatino Linotype"/>
          <w:b/>
          <w:i/>
          <w:sz w:val="22"/>
          <w:szCs w:val="22"/>
        </w:rPr>
        <w:t xml:space="preserve"> en ejercicio de las atribuciones conferidas, sea administrada por los Sujetos Obligados, y</w:t>
      </w:r>
    </w:p>
    <w:p w14:paraId="635DBB70" w14:textId="77777777" w:rsidR="004E626C" w:rsidRPr="00C60ABB" w:rsidRDefault="005C42B7">
      <w:pPr>
        <w:ind w:left="851" w:right="899"/>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w:t>
      </w:r>
      <w:proofErr w:type="gramStart"/>
      <w:r w:rsidRPr="00C60ABB">
        <w:rPr>
          <w:rFonts w:ascii="Palatino Linotype" w:eastAsia="Palatino Linotype" w:hAnsi="Palatino Linotype" w:cs="Palatino Linotype"/>
          <w:b/>
          <w:i/>
          <w:sz w:val="22"/>
          <w:szCs w:val="22"/>
        </w:rPr>
        <w:t>.”(</w:t>
      </w:r>
      <w:proofErr w:type="gramEnd"/>
      <w:r w:rsidRPr="00C60ABB">
        <w:rPr>
          <w:rFonts w:ascii="Palatino Linotype" w:eastAsia="Palatino Linotype" w:hAnsi="Palatino Linotype" w:cs="Palatino Linotype"/>
          <w:b/>
          <w:i/>
          <w:sz w:val="22"/>
          <w:szCs w:val="22"/>
        </w:rPr>
        <w:t>Sic)</w:t>
      </w:r>
    </w:p>
    <w:p w14:paraId="1DEC9F17" w14:textId="77777777" w:rsidR="004E626C" w:rsidRPr="00C60ABB" w:rsidRDefault="005C42B7">
      <w:pPr>
        <w:spacing w:before="240" w:after="240"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Ahora bien, del análisis de la solicitud de información pública que motivó el recurso de revisión que ahora se resuelve, se advierte que el particular requirió al Ayuntamiento de Capulhuac, lo siguiente:</w:t>
      </w:r>
    </w:p>
    <w:p w14:paraId="19A0024F" w14:textId="77777777" w:rsidR="004E626C" w:rsidRPr="00C60ABB" w:rsidRDefault="005C42B7">
      <w:pPr>
        <w:spacing w:before="240" w:after="240"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 xml:space="preserve">1.- TODOS LOS DOCUMENTOS FORMADOS EN RELACIÓN CON EL PROCEDIMIENTO DE ADQUISICIÓN DE LA REPARACIÓN Y MANTENIMIENTO DE VEHÍCULOS DE SEGURIDAD PÚBLICA Y PROTECCIÓN CIVIL CON RECURSOS DEL FONDO DE APORTACIONES PARA EL FORTALECIMIENTO DE LOS MUNICIPIOS Y DE LAS DEMARCACIONES TERRITORIALES DEL DISTRITO FEDERAL PARA EL EJERCICIO FISCAL 2022, EN COPIA LEGIBLE, Y QUE INCLUYA LA INFORMACIÓN SEÑALADA EN LA FRACCIÓN XXIX DEL ARTÍCULO 92 DE LA LEY DE TRANSPARENCIA LOCAL. </w:t>
      </w:r>
    </w:p>
    <w:p w14:paraId="2A855915" w14:textId="77777777" w:rsidR="004E626C" w:rsidRPr="00C60ABB" w:rsidRDefault="005C42B7">
      <w:pPr>
        <w:spacing w:before="240" w:after="240"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 xml:space="preserve">2.- COPIA DE LAS FACTURAS EMITIDAS POR REPARACIÓN Y MANTENIMIENTO. </w:t>
      </w:r>
    </w:p>
    <w:p w14:paraId="58B73FF0" w14:textId="77777777" w:rsidR="004E626C" w:rsidRPr="00C60ABB" w:rsidRDefault="005C42B7">
      <w:pPr>
        <w:spacing w:before="240" w:after="240"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3.- COPIA DE LOS CHEQUES O TRANSFERENCIAS ELECTRÓNICAS O EL DOCUMENTO GENERADO POR LA TESORERÍA MUNICIPAL QUE ACREDITE EL PAGO DE LAS FACTURAS A QUE SE REFIERE EL PUNTO ANTERIOR.</w:t>
      </w:r>
    </w:p>
    <w:p w14:paraId="091CB4B4" w14:textId="77777777" w:rsidR="004E626C" w:rsidRPr="00C60ABB" w:rsidRDefault="005C42B7">
      <w:pPr>
        <w:spacing w:before="240" w:after="240"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 xml:space="preserve">En respuesta, el </w:t>
      </w:r>
      <w:r w:rsidRPr="00C60ABB">
        <w:rPr>
          <w:rFonts w:ascii="Palatino Linotype" w:eastAsia="Palatino Linotype" w:hAnsi="Palatino Linotype" w:cs="Palatino Linotype"/>
          <w:b/>
        </w:rPr>
        <w:t>SUJETO OBLIGADO</w:t>
      </w:r>
      <w:r w:rsidRPr="00C60ABB">
        <w:rPr>
          <w:rFonts w:ascii="Palatino Linotype" w:eastAsia="Palatino Linotype" w:hAnsi="Palatino Linotype" w:cs="Palatino Linotype"/>
        </w:rPr>
        <w:t xml:space="preserve"> a través del Titular de Recursos Materiales hizo entrega de 156 fojas que se relacionan con la información solicitada, en razón </w:t>
      </w:r>
      <w:r w:rsidRPr="00C60ABB">
        <w:rPr>
          <w:rFonts w:ascii="Palatino Linotype" w:eastAsia="Palatino Linotype" w:hAnsi="Palatino Linotype" w:cs="Palatino Linotype"/>
        </w:rPr>
        <w:lastRenderedPageBreak/>
        <w:t xml:space="preserve">de que contiene documentación sobre la reparación y mantenimiento de vehículos del Ayuntamiento de Capulhuac en especificó de su Dirección de Seguridad Pública y Tránsito </w:t>
      </w:r>
      <w:proofErr w:type="gramStart"/>
      <w:r w:rsidRPr="00C60ABB">
        <w:rPr>
          <w:rFonts w:ascii="Palatino Linotype" w:eastAsia="Palatino Linotype" w:hAnsi="Palatino Linotype" w:cs="Palatino Linotype"/>
        </w:rPr>
        <w:t>y  Coordinación</w:t>
      </w:r>
      <w:proofErr w:type="gramEnd"/>
      <w:r w:rsidRPr="00C60ABB">
        <w:rPr>
          <w:rFonts w:ascii="Palatino Linotype" w:eastAsia="Palatino Linotype" w:hAnsi="Palatino Linotype" w:cs="Palatino Linotype"/>
        </w:rPr>
        <w:t xml:space="preserve"> de Protección Civil y Bomberos, del ejercicio fiscal 2022, en donde se observa lo siguiente:</w:t>
      </w:r>
    </w:p>
    <w:p w14:paraId="2D4D210D" w14:textId="77777777" w:rsidR="004E626C" w:rsidRPr="00C60ABB" w:rsidRDefault="005C42B7">
      <w:pPr>
        <w:numPr>
          <w:ilvl w:val="0"/>
          <w:numId w:val="2"/>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sidRPr="00C60ABB">
        <w:rPr>
          <w:rFonts w:ascii="Palatino Linotype" w:eastAsia="Palatino Linotype" w:hAnsi="Palatino Linotype" w:cs="Palatino Linotype"/>
          <w:color w:val="000000"/>
        </w:rPr>
        <w:t>Requisiciones.</w:t>
      </w:r>
    </w:p>
    <w:p w14:paraId="02F9CA64" w14:textId="77777777" w:rsidR="004E626C" w:rsidRPr="00C60ABB" w:rsidRDefault="005C42B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C60ABB">
        <w:rPr>
          <w:rFonts w:ascii="Palatino Linotype" w:eastAsia="Palatino Linotype" w:hAnsi="Palatino Linotype" w:cs="Palatino Linotype"/>
          <w:color w:val="000000"/>
        </w:rPr>
        <w:t>Formatos de solicitud del área usuaria.</w:t>
      </w:r>
    </w:p>
    <w:p w14:paraId="43D60990" w14:textId="77777777" w:rsidR="004E626C" w:rsidRPr="00C60ABB" w:rsidRDefault="005C42B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C60ABB">
        <w:rPr>
          <w:rFonts w:ascii="Palatino Linotype" w:eastAsia="Palatino Linotype" w:hAnsi="Palatino Linotype" w:cs="Palatino Linotype"/>
          <w:color w:val="000000"/>
        </w:rPr>
        <w:t>Cotizaciones.</w:t>
      </w:r>
    </w:p>
    <w:p w14:paraId="0539ABBD" w14:textId="77777777" w:rsidR="004E626C" w:rsidRPr="00C60ABB" w:rsidRDefault="005C42B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C60ABB">
        <w:rPr>
          <w:rFonts w:ascii="Palatino Linotype" w:eastAsia="Palatino Linotype" w:hAnsi="Palatino Linotype" w:cs="Palatino Linotype"/>
          <w:color w:val="000000"/>
        </w:rPr>
        <w:t>Facturas.</w:t>
      </w:r>
    </w:p>
    <w:p w14:paraId="107E34A6" w14:textId="77777777" w:rsidR="004E626C" w:rsidRPr="00C60ABB" w:rsidRDefault="005C42B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C60ABB">
        <w:rPr>
          <w:rFonts w:ascii="Palatino Linotype" w:eastAsia="Palatino Linotype" w:hAnsi="Palatino Linotype" w:cs="Palatino Linotype"/>
          <w:color w:val="000000"/>
        </w:rPr>
        <w:t>Fotografías.</w:t>
      </w:r>
    </w:p>
    <w:p w14:paraId="54B6869E" w14:textId="77777777" w:rsidR="004E626C" w:rsidRPr="00C60ABB" w:rsidRDefault="005C42B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C60ABB">
        <w:rPr>
          <w:rFonts w:ascii="Palatino Linotype" w:eastAsia="Palatino Linotype" w:hAnsi="Palatino Linotype" w:cs="Palatino Linotype"/>
          <w:color w:val="000000"/>
        </w:rPr>
        <w:t>Detalles del CDF sobre el pago de la factura.</w:t>
      </w:r>
    </w:p>
    <w:p w14:paraId="79572BB8" w14:textId="77777777" w:rsidR="004E626C" w:rsidRPr="00C60ABB" w:rsidRDefault="005C42B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C60ABB">
        <w:rPr>
          <w:rFonts w:ascii="Palatino Linotype" w:eastAsia="Palatino Linotype" w:hAnsi="Palatino Linotype" w:cs="Palatino Linotype"/>
          <w:color w:val="000000"/>
        </w:rPr>
        <w:t>Bitácoras de Reparación y mantenimiento de vehículos.</w:t>
      </w:r>
    </w:p>
    <w:p w14:paraId="20352742" w14:textId="77777777" w:rsidR="004E626C" w:rsidRPr="00C60ABB" w:rsidRDefault="005C42B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C60ABB">
        <w:rPr>
          <w:rFonts w:ascii="Palatino Linotype" w:eastAsia="Palatino Linotype" w:hAnsi="Palatino Linotype" w:cs="Palatino Linotype"/>
          <w:color w:val="000000"/>
        </w:rPr>
        <w:t>Cuadros comparativos económicos sobre los servicios realizados a los vehículos.</w:t>
      </w:r>
    </w:p>
    <w:p w14:paraId="322FDABB" w14:textId="77777777" w:rsidR="004E626C" w:rsidRPr="00C60ABB" w:rsidRDefault="005C42B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C60ABB">
        <w:rPr>
          <w:rFonts w:ascii="Palatino Linotype" w:eastAsia="Palatino Linotype" w:hAnsi="Palatino Linotype" w:cs="Palatino Linotype"/>
          <w:color w:val="000000"/>
        </w:rPr>
        <w:t xml:space="preserve">Formatos de fallo para adquisición bajo el supuesto del artículo 48 </w:t>
      </w:r>
      <w:proofErr w:type="spellStart"/>
      <w:r w:rsidRPr="00C60ABB">
        <w:rPr>
          <w:rFonts w:ascii="Palatino Linotype" w:eastAsia="Palatino Linotype" w:hAnsi="Palatino Linotype" w:cs="Palatino Linotype"/>
          <w:color w:val="000000"/>
        </w:rPr>
        <w:t>fraccion</w:t>
      </w:r>
      <w:proofErr w:type="spellEnd"/>
      <w:r w:rsidRPr="00C60ABB">
        <w:rPr>
          <w:rFonts w:ascii="Palatino Linotype" w:eastAsia="Palatino Linotype" w:hAnsi="Palatino Linotype" w:cs="Palatino Linotype"/>
          <w:color w:val="000000"/>
        </w:rPr>
        <w:t xml:space="preserve"> XI de la Ley de Contratación Pública del Estado de México y Municipios.</w:t>
      </w:r>
    </w:p>
    <w:p w14:paraId="70E703E9" w14:textId="77777777" w:rsidR="004E626C" w:rsidRPr="00C60ABB" w:rsidRDefault="005C42B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C60ABB">
        <w:rPr>
          <w:rFonts w:ascii="Palatino Linotype" w:eastAsia="Palatino Linotype" w:hAnsi="Palatino Linotype" w:cs="Palatino Linotype"/>
          <w:color w:val="000000"/>
        </w:rPr>
        <w:t>Contratos de Adquisición de Bienes y Servicios.</w:t>
      </w:r>
    </w:p>
    <w:p w14:paraId="698DE286" w14:textId="77777777" w:rsidR="004E626C" w:rsidRPr="00C60ABB" w:rsidRDefault="005C42B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C60ABB">
        <w:rPr>
          <w:rFonts w:ascii="Palatino Linotype" w:eastAsia="Palatino Linotype" w:hAnsi="Palatino Linotype" w:cs="Palatino Linotype"/>
          <w:color w:val="000000"/>
        </w:rPr>
        <w:t>Bitácoras de Reparación y mantenimiento de vehículos.</w:t>
      </w:r>
    </w:p>
    <w:p w14:paraId="033829A4" w14:textId="77777777" w:rsidR="004E626C" w:rsidRPr="00C60ABB" w:rsidRDefault="005C42B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C60ABB">
        <w:rPr>
          <w:rFonts w:ascii="Palatino Linotype" w:eastAsia="Palatino Linotype" w:hAnsi="Palatino Linotype" w:cs="Palatino Linotype"/>
          <w:color w:val="000000"/>
        </w:rPr>
        <w:t>Evidencias de la Reparación y mantenimiento de vehículos.</w:t>
      </w:r>
    </w:p>
    <w:p w14:paraId="1CA22ED4" w14:textId="77777777" w:rsidR="004E626C" w:rsidRPr="00C60ABB" w:rsidRDefault="005C42B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C60ABB">
        <w:rPr>
          <w:rFonts w:ascii="Palatino Linotype" w:eastAsia="Palatino Linotype" w:hAnsi="Palatino Linotype" w:cs="Palatino Linotype"/>
          <w:color w:val="000000"/>
        </w:rPr>
        <w:t>Excepción de garantías al cumplimiento a los contratos de Adquisición de Bienes y Servicios.</w:t>
      </w:r>
    </w:p>
    <w:p w14:paraId="14EB41FA" w14:textId="77777777" w:rsidR="004E626C" w:rsidRPr="00C60ABB" w:rsidRDefault="005C42B7">
      <w:pPr>
        <w:numPr>
          <w:ilvl w:val="0"/>
          <w:numId w:val="2"/>
        </w:num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sidRPr="00C60ABB">
        <w:rPr>
          <w:rFonts w:ascii="Palatino Linotype" w:eastAsia="Palatino Linotype" w:hAnsi="Palatino Linotype" w:cs="Palatino Linotype"/>
          <w:color w:val="000000"/>
        </w:rPr>
        <w:t>Formatos de conformidad del Área usuaria.</w:t>
      </w:r>
    </w:p>
    <w:p w14:paraId="204EDED3" w14:textId="77777777" w:rsidR="004E626C" w:rsidRPr="00C60ABB" w:rsidRDefault="005C42B7">
      <w:pPr>
        <w:spacing w:before="240" w:after="240"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 xml:space="preserve">Cabe señalar, que la mayor parte de los documentos descritos con antelación se aprecian ilegibles. </w:t>
      </w:r>
    </w:p>
    <w:p w14:paraId="0CC717AD" w14:textId="77777777" w:rsidR="004E626C" w:rsidRPr="00C60ABB" w:rsidRDefault="005C42B7">
      <w:pPr>
        <w:spacing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lastRenderedPageBreak/>
        <w:t xml:space="preserve">Una vez conocida la respuesta la parte </w:t>
      </w:r>
      <w:r w:rsidRPr="00C60ABB">
        <w:rPr>
          <w:rFonts w:ascii="Palatino Linotype" w:eastAsia="Palatino Linotype" w:hAnsi="Palatino Linotype" w:cs="Palatino Linotype"/>
          <w:b/>
        </w:rPr>
        <w:t>RECURRENTE</w:t>
      </w:r>
      <w:r w:rsidRPr="00C60ABB">
        <w:rPr>
          <w:rFonts w:ascii="Palatino Linotype" w:eastAsia="Palatino Linotype" w:hAnsi="Palatino Linotype" w:cs="Palatino Linotype"/>
        </w:rPr>
        <w:t xml:space="preserve"> se inconformó por lo siguiente:</w:t>
      </w:r>
    </w:p>
    <w:p w14:paraId="4CE40537" w14:textId="77777777" w:rsidR="004E626C" w:rsidRPr="00C60ABB" w:rsidRDefault="004E626C">
      <w:pPr>
        <w:spacing w:line="360" w:lineRule="auto"/>
        <w:jc w:val="both"/>
        <w:rPr>
          <w:rFonts w:ascii="Palatino Linotype" w:eastAsia="Palatino Linotype" w:hAnsi="Palatino Linotype" w:cs="Palatino Linotype"/>
        </w:rPr>
      </w:pPr>
    </w:p>
    <w:p w14:paraId="62A8DFC0"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w:t>
      </w:r>
      <w:r w:rsidRPr="00C60ABB">
        <w:rPr>
          <w:rFonts w:ascii="Palatino Linotype" w:eastAsia="Palatino Linotype" w:hAnsi="Palatino Linotype" w:cs="Palatino Linotype"/>
          <w:b/>
          <w:i/>
          <w:sz w:val="22"/>
          <w:szCs w:val="22"/>
        </w:rPr>
        <w:t>LA INFORMACIÓN PROPORCIONADA NO CUMPLE CON LOS ATRIBUTOS DE CALIDAD Y ACCESIBILIDAD</w:t>
      </w:r>
      <w:r w:rsidRPr="00C60ABB">
        <w:rPr>
          <w:rFonts w:ascii="Palatino Linotype" w:eastAsia="Palatino Linotype" w:hAnsi="Palatino Linotype" w:cs="Palatino Linotype"/>
          <w:i/>
          <w:sz w:val="22"/>
          <w:szCs w:val="22"/>
        </w:rPr>
        <w:t xml:space="preserve">, </w:t>
      </w:r>
      <w:r w:rsidRPr="00C60ABB">
        <w:rPr>
          <w:rFonts w:ascii="Palatino Linotype" w:eastAsia="Palatino Linotype" w:hAnsi="Palatino Linotype" w:cs="Palatino Linotype"/>
          <w:i/>
          <w:sz w:val="22"/>
          <w:szCs w:val="22"/>
          <w:u w:val="single"/>
        </w:rPr>
        <w:t>ASÍ COMO TAMPOCO CUMPLE CON LAS CARACTERÍSTICAS DE VERACIDAD, CONFIABILIDAD, OPORTUNIDAD, CONGRUENCIA, INTEGRALIDAD, ACTUALIDAD, COMPRENSIBILIDAD Y VERIFICABILIDAD, CON LO CUAL NO SE ASEGURA QUE SU ORGANIZACIÓN Y PRESENTACIÓN GARANTICEN SU HOMOLOGACIÓN Y ESTANDARIZACIÓN EN TÉRMINOS DE LA NORMATIVIDAD DE LA MATERIA APLICABLE EN LA ESPECIE, EN PERJUICIO DEL SOLICITANTE</w:t>
      </w:r>
      <w:r w:rsidRPr="00C60ABB">
        <w:rPr>
          <w:rFonts w:ascii="Palatino Linotype" w:eastAsia="Palatino Linotype" w:hAnsi="Palatino Linotype" w:cs="Palatino Linotype"/>
          <w:i/>
          <w:sz w:val="22"/>
          <w:szCs w:val="22"/>
        </w:rPr>
        <w:t>.” (Sic)</w:t>
      </w:r>
    </w:p>
    <w:p w14:paraId="039CC19D" w14:textId="77777777" w:rsidR="004E626C" w:rsidRPr="00C60ABB" w:rsidRDefault="004E626C">
      <w:pPr>
        <w:spacing w:line="360" w:lineRule="auto"/>
        <w:jc w:val="both"/>
        <w:rPr>
          <w:rFonts w:ascii="Palatino Linotype" w:eastAsia="Palatino Linotype" w:hAnsi="Palatino Linotype" w:cs="Palatino Linotype"/>
        </w:rPr>
      </w:pPr>
    </w:p>
    <w:p w14:paraId="2FBC56FD" w14:textId="77777777" w:rsidR="004E626C" w:rsidRPr="00C60ABB" w:rsidRDefault="005C42B7">
      <w:pPr>
        <w:spacing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 xml:space="preserve">Ante la interposición del recurso de revisión el </w:t>
      </w:r>
      <w:r w:rsidRPr="00C60ABB">
        <w:rPr>
          <w:rFonts w:ascii="Palatino Linotype" w:eastAsia="Palatino Linotype" w:hAnsi="Palatino Linotype" w:cs="Palatino Linotype"/>
          <w:b/>
        </w:rPr>
        <w:t>SUJETO OBLIGADO</w:t>
      </w:r>
      <w:r w:rsidRPr="00C60ABB">
        <w:rPr>
          <w:rFonts w:ascii="Palatino Linotype" w:eastAsia="Palatino Linotype" w:hAnsi="Palatino Linotype" w:cs="Palatino Linotype"/>
        </w:rPr>
        <w:t xml:space="preserve">, fue omiso en rendir su informe justificado. </w:t>
      </w:r>
    </w:p>
    <w:p w14:paraId="6761EF2A" w14:textId="77777777" w:rsidR="004E626C" w:rsidRPr="00C60ABB" w:rsidRDefault="004E626C">
      <w:pPr>
        <w:spacing w:line="360" w:lineRule="auto"/>
        <w:jc w:val="both"/>
        <w:rPr>
          <w:rFonts w:ascii="Palatino Linotype" w:eastAsia="Palatino Linotype" w:hAnsi="Palatino Linotype" w:cs="Palatino Linotype"/>
        </w:rPr>
      </w:pPr>
    </w:p>
    <w:p w14:paraId="3321147F" w14:textId="77777777" w:rsidR="004E626C" w:rsidRPr="00C60ABB" w:rsidRDefault="005C42B7">
      <w:pPr>
        <w:spacing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color w:val="000000"/>
        </w:rPr>
        <w:t>Con base en lo precedente</w:t>
      </w:r>
      <w:r w:rsidRPr="00C60ABB">
        <w:rPr>
          <w:rFonts w:ascii="Palatino Linotype" w:eastAsia="Palatino Linotype" w:hAnsi="Palatino Linotype" w:cs="Palatino Linotype"/>
        </w:rPr>
        <w:t xml:space="preserve">, se determina que la información proporcionada por el </w:t>
      </w:r>
      <w:r w:rsidRPr="00C60ABB">
        <w:rPr>
          <w:rFonts w:ascii="Palatino Linotype" w:eastAsia="Palatino Linotype" w:hAnsi="Palatino Linotype" w:cs="Palatino Linotype"/>
          <w:b/>
        </w:rPr>
        <w:t>SUJETO OBLIGADO</w:t>
      </w:r>
      <w:r w:rsidRPr="00C60ABB">
        <w:rPr>
          <w:rFonts w:ascii="Palatino Linotype" w:eastAsia="Palatino Linotype" w:hAnsi="Palatino Linotype" w:cs="Palatino Linotype"/>
        </w:rPr>
        <w:t xml:space="preserve"> en su respuesta, cumple parcialmente con lo establecido por los artículos 4, 12 y 24 último párrafo de la Ley de Transparencia y Acceso a la Información Pública del Estado de México y Municipios; por ello, los motivos de inconformidad acontecen fundados para modificar la respuesta del </w:t>
      </w:r>
      <w:r w:rsidRPr="00C60ABB">
        <w:rPr>
          <w:rFonts w:ascii="Palatino Linotype" w:eastAsia="Palatino Linotype" w:hAnsi="Palatino Linotype" w:cs="Palatino Linotype"/>
          <w:b/>
        </w:rPr>
        <w:t>SUJETO OBLIGADO</w:t>
      </w:r>
      <w:r w:rsidRPr="00C60ABB">
        <w:rPr>
          <w:rFonts w:ascii="Palatino Linotype" w:eastAsia="Palatino Linotype" w:hAnsi="Palatino Linotype" w:cs="Palatino Linotype"/>
        </w:rPr>
        <w:t xml:space="preserve"> en razón de las consideraciones de derecho que a continuación se exponen:</w:t>
      </w:r>
    </w:p>
    <w:p w14:paraId="171C17BE" w14:textId="77777777" w:rsidR="004E626C" w:rsidRPr="00C60ABB" w:rsidRDefault="005C42B7">
      <w:pPr>
        <w:spacing w:before="240" w:after="240"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 xml:space="preserve">De una revisión a la documentación remitida en respuesta, efectivamente como lo refirió la parte </w:t>
      </w:r>
      <w:r w:rsidRPr="00C60ABB">
        <w:rPr>
          <w:rFonts w:ascii="Palatino Linotype" w:eastAsia="Palatino Linotype" w:hAnsi="Palatino Linotype" w:cs="Palatino Linotype"/>
          <w:b/>
        </w:rPr>
        <w:t>RECURRENTE</w:t>
      </w:r>
      <w:r w:rsidRPr="00C60ABB">
        <w:rPr>
          <w:rFonts w:ascii="Palatino Linotype" w:eastAsia="Palatino Linotype" w:hAnsi="Palatino Linotype" w:cs="Palatino Linotype"/>
        </w:rPr>
        <w:t xml:space="preserve"> en sus motivos de inconformidad la misma se aprecia ilegible, como se observa a continuación de manera de ejemplo:</w:t>
      </w:r>
    </w:p>
    <w:p w14:paraId="2BC79211" w14:textId="77777777" w:rsidR="004E626C" w:rsidRPr="00C60ABB" w:rsidRDefault="005C42B7">
      <w:pPr>
        <w:spacing w:before="240" w:after="240"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noProof/>
          <w:lang w:val="es-MX"/>
        </w:rPr>
        <w:lastRenderedPageBreak/>
        <w:drawing>
          <wp:inline distT="0" distB="0" distL="0" distR="0" wp14:anchorId="27817E10" wp14:editId="2DCDF039">
            <wp:extent cx="5612130" cy="2944495"/>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612130" cy="2944495"/>
                    </a:xfrm>
                    <a:prstGeom prst="rect">
                      <a:avLst/>
                    </a:prstGeom>
                    <a:ln/>
                  </pic:spPr>
                </pic:pic>
              </a:graphicData>
            </a:graphic>
          </wp:inline>
        </w:drawing>
      </w:r>
      <w:r w:rsidRPr="00C60ABB">
        <w:rPr>
          <w:noProof/>
          <w:lang w:val="es-MX"/>
        </w:rPr>
        <mc:AlternateContent>
          <mc:Choice Requires="wps">
            <w:drawing>
              <wp:anchor distT="0" distB="0" distL="114300" distR="114300" simplePos="0" relativeHeight="251658240" behindDoc="0" locked="0" layoutInCell="1" hidden="0" allowOverlap="1" wp14:anchorId="50858E54" wp14:editId="2EB1FB44">
                <wp:simplePos x="0" y="0"/>
                <wp:positionH relativeFrom="column">
                  <wp:posOffset>1409700</wp:posOffset>
                </wp:positionH>
                <wp:positionV relativeFrom="paragraph">
                  <wp:posOffset>914400</wp:posOffset>
                </wp:positionV>
                <wp:extent cx="903829" cy="587305"/>
                <wp:effectExtent l="0" t="0" r="0" b="0"/>
                <wp:wrapNone/>
                <wp:docPr id="37" name="Flecha izquierda 37"/>
                <wp:cNvGraphicFramePr/>
                <a:graphic xmlns:a="http://schemas.openxmlformats.org/drawingml/2006/main">
                  <a:graphicData uri="http://schemas.microsoft.com/office/word/2010/wordprocessingShape">
                    <wps:wsp>
                      <wps:cNvSpPr/>
                      <wps:spPr>
                        <a:xfrm>
                          <a:off x="4898848" y="3491110"/>
                          <a:ext cx="894304" cy="577780"/>
                        </a:xfrm>
                        <a:prstGeom prst="lef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6ED8F574" w14:textId="77777777" w:rsidR="008B3FF0" w:rsidRDefault="008B3FF0">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37" o:spid="_x0000_s1026" type="#_x0000_t66" style="position:absolute;left:0;text-align:left;margin-left:111pt;margin-top:1in;width:71.15pt;height:46.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" adj="6978"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8B3FF0" w:rsidRDefault="008B3FF0">
                      <w:pPr>
                        <w:textDirection w:val="btLr"/>
                      </w:pPr>
                    </w:p>
                  </w:txbxContent>
                </v:textbox>
              </v:shape>
            </w:pict>
          </mc:Fallback>
        </mc:AlternateContent>
      </w:r>
    </w:p>
    <w:p w14:paraId="223B58F0" w14:textId="77777777" w:rsidR="004E626C" w:rsidRPr="00C60ABB" w:rsidRDefault="005C42B7">
      <w:pPr>
        <w:spacing w:before="240" w:after="240"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noProof/>
          <w:lang w:val="es-MX"/>
        </w:rPr>
        <w:drawing>
          <wp:inline distT="0" distB="0" distL="0" distR="0" wp14:anchorId="7D0135DE" wp14:editId="327C8182">
            <wp:extent cx="5616617" cy="3062169"/>
            <wp:effectExtent l="0" t="0" r="0" b="0"/>
            <wp:docPr id="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616617" cy="3062169"/>
                    </a:xfrm>
                    <a:prstGeom prst="rect">
                      <a:avLst/>
                    </a:prstGeom>
                    <a:ln/>
                  </pic:spPr>
                </pic:pic>
              </a:graphicData>
            </a:graphic>
          </wp:inline>
        </w:drawing>
      </w:r>
    </w:p>
    <w:p w14:paraId="59CFC2F5" w14:textId="77777777" w:rsidR="004E626C" w:rsidRPr="00C60ABB" w:rsidRDefault="005C42B7">
      <w:pPr>
        <w:spacing w:before="240" w:after="240"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noProof/>
          <w:lang w:val="es-MX"/>
        </w:rPr>
        <w:lastRenderedPageBreak/>
        <w:drawing>
          <wp:inline distT="0" distB="0" distL="0" distR="0" wp14:anchorId="6D811571" wp14:editId="0C207941">
            <wp:extent cx="5620201" cy="3144626"/>
            <wp:effectExtent l="0" t="0" r="0" b="0"/>
            <wp:docPr id="4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5620201" cy="3144626"/>
                    </a:xfrm>
                    <a:prstGeom prst="rect">
                      <a:avLst/>
                    </a:prstGeom>
                    <a:ln/>
                  </pic:spPr>
                </pic:pic>
              </a:graphicData>
            </a:graphic>
          </wp:inline>
        </w:drawing>
      </w:r>
      <w:r w:rsidRPr="00C60ABB">
        <w:rPr>
          <w:noProof/>
          <w:lang w:val="es-MX"/>
        </w:rPr>
        <mc:AlternateContent>
          <mc:Choice Requires="wps">
            <w:drawing>
              <wp:anchor distT="0" distB="0" distL="114300" distR="114300" simplePos="0" relativeHeight="251659264" behindDoc="0" locked="0" layoutInCell="1" hidden="0" allowOverlap="1" wp14:anchorId="54D866FD" wp14:editId="0CF3D07B">
                <wp:simplePos x="0" y="0"/>
                <wp:positionH relativeFrom="column">
                  <wp:posOffset>3784600</wp:posOffset>
                </wp:positionH>
                <wp:positionV relativeFrom="paragraph">
                  <wp:posOffset>2463800</wp:posOffset>
                </wp:positionV>
                <wp:extent cx="456677" cy="406435"/>
                <wp:effectExtent l="0" t="0" r="0" b="0"/>
                <wp:wrapNone/>
                <wp:docPr id="38" name="Flecha derecha 38"/>
                <wp:cNvGraphicFramePr/>
                <a:graphic xmlns:a="http://schemas.openxmlformats.org/drawingml/2006/main">
                  <a:graphicData uri="http://schemas.microsoft.com/office/word/2010/wordprocessingShape">
                    <wps:wsp>
                      <wps:cNvSpPr/>
                      <wps:spPr>
                        <a:xfrm>
                          <a:off x="5122424" y="3581545"/>
                          <a:ext cx="447152" cy="396910"/>
                        </a:xfrm>
                        <a:prstGeom prst="righ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77C95A0F" w14:textId="77777777" w:rsidR="008B3FF0" w:rsidRDefault="008B3FF0">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8" o:spid="_x0000_s1027" type="#_x0000_t13" style="position:absolute;left:0;text-align:left;margin-left:298pt;margin-top:194pt;width:35.95pt;height:3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" adj="12013" fillcolor="#3e7fcd" strokecolor="#4a7dba">
                <v:fill color2="#96c0ff" angle="180" focus="100%" type="gradient">
                  <o:fill v:ext="view" type="gradientUnscaled"/>
                </v:fill>
                <v:stroke startarrowwidth="narrow" startarrowlength="short" endarrowwidth="narrow" endarrowlength="short" joinstyle="round"/>
                <v:textbox inset="2.53958mm,2.53958mm,2.53958mm,2.53958mm">
                  <w:txbxContent>
                    <w:p w:rsidR="008B3FF0" w:rsidRDefault="008B3FF0">
                      <w:pPr>
                        <w:textDirection w:val="btLr"/>
                      </w:pPr>
                    </w:p>
                  </w:txbxContent>
                </v:textbox>
              </v:shape>
            </w:pict>
          </mc:Fallback>
        </mc:AlternateContent>
      </w:r>
    </w:p>
    <w:p w14:paraId="12770DB1" w14:textId="77777777" w:rsidR="004E626C" w:rsidRPr="00C60ABB" w:rsidRDefault="005C42B7">
      <w:pPr>
        <w:spacing w:before="240" w:after="240"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noProof/>
          <w:lang w:val="es-MX"/>
        </w:rPr>
        <w:drawing>
          <wp:inline distT="0" distB="0" distL="0" distR="0" wp14:anchorId="0091A6A0" wp14:editId="6EB1F47B">
            <wp:extent cx="5616027" cy="3685278"/>
            <wp:effectExtent l="0" t="0" r="0" b="0"/>
            <wp:docPr id="4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616027" cy="3685278"/>
                    </a:xfrm>
                    <a:prstGeom prst="rect">
                      <a:avLst/>
                    </a:prstGeom>
                    <a:ln/>
                  </pic:spPr>
                </pic:pic>
              </a:graphicData>
            </a:graphic>
          </wp:inline>
        </w:drawing>
      </w:r>
    </w:p>
    <w:p w14:paraId="7C550D39" w14:textId="77777777" w:rsidR="004E626C" w:rsidRPr="00C60ABB" w:rsidRDefault="004E626C">
      <w:pPr>
        <w:spacing w:before="240" w:after="240" w:line="360" w:lineRule="auto"/>
        <w:jc w:val="both"/>
        <w:rPr>
          <w:rFonts w:ascii="Palatino Linotype" w:eastAsia="Palatino Linotype" w:hAnsi="Palatino Linotype" w:cs="Palatino Linotype"/>
        </w:rPr>
      </w:pPr>
    </w:p>
    <w:p w14:paraId="65E94050" w14:textId="77777777" w:rsidR="004E626C" w:rsidRPr="00C60ABB" w:rsidRDefault="005C42B7">
      <w:pPr>
        <w:spacing w:before="240" w:after="240"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noProof/>
          <w:lang w:val="es-MX"/>
        </w:rPr>
        <w:lastRenderedPageBreak/>
        <w:drawing>
          <wp:inline distT="0" distB="0" distL="0" distR="0" wp14:anchorId="3BFD00E8" wp14:editId="74188AC9">
            <wp:extent cx="5612130" cy="4198620"/>
            <wp:effectExtent l="0" t="0" r="0" b="0"/>
            <wp:docPr id="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612130" cy="4198620"/>
                    </a:xfrm>
                    <a:prstGeom prst="rect">
                      <a:avLst/>
                    </a:prstGeom>
                    <a:ln/>
                  </pic:spPr>
                </pic:pic>
              </a:graphicData>
            </a:graphic>
          </wp:inline>
        </w:drawing>
      </w:r>
    </w:p>
    <w:p w14:paraId="40551999" w14:textId="77777777" w:rsidR="004E626C" w:rsidRPr="00C60ABB" w:rsidRDefault="005C42B7">
      <w:pPr>
        <w:spacing w:before="240" w:after="240"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noProof/>
          <w:lang w:val="es-MX"/>
        </w:rPr>
        <w:drawing>
          <wp:inline distT="0" distB="0" distL="0" distR="0" wp14:anchorId="6C913E4C" wp14:editId="1B0FDE6D">
            <wp:extent cx="5500060" cy="3239101"/>
            <wp:effectExtent l="0" t="0" r="0" b="0"/>
            <wp:docPr id="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500060" cy="3239101"/>
                    </a:xfrm>
                    <a:prstGeom prst="rect">
                      <a:avLst/>
                    </a:prstGeom>
                    <a:ln/>
                  </pic:spPr>
                </pic:pic>
              </a:graphicData>
            </a:graphic>
          </wp:inline>
        </w:drawing>
      </w:r>
    </w:p>
    <w:p w14:paraId="1BC3E8F0" w14:textId="77777777" w:rsidR="004E626C" w:rsidRPr="00C60ABB" w:rsidRDefault="005C42B7">
      <w:pPr>
        <w:spacing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lastRenderedPageBreak/>
        <w:t xml:space="preserve">Luego entonces se considera que la parte </w:t>
      </w:r>
      <w:r w:rsidRPr="00C60ABB">
        <w:rPr>
          <w:rFonts w:ascii="Palatino Linotype" w:eastAsia="Palatino Linotype" w:hAnsi="Palatino Linotype" w:cs="Palatino Linotype"/>
          <w:b/>
        </w:rPr>
        <w:t>RECURRENTE</w:t>
      </w:r>
      <w:r w:rsidRPr="00C60ABB">
        <w:rPr>
          <w:rFonts w:ascii="Palatino Linotype" w:eastAsia="Palatino Linotype" w:hAnsi="Palatino Linotype" w:cs="Palatino Linotype"/>
        </w:rPr>
        <w:t xml:space="preserve"> no pudo verificar la información entregada por el Titular de la Unidad de Recursos Materiales del </w:t>
      </w:r>
      <w:r w:rsidRPr="00C60ABB">
        <w:rPr>
          <w:rFonts w:ascii="Palatino Linotype" w:eastAsia="Palatino Linotype" w:hAnsi="Palatino Linotype" w:cs="Palatino Linotype"/>
          <w:b/>
        </w:rPr>
        <w:t xml:space="preserve">SUJETO OBLIGADO </w:t>
      </w:r>
      <w:r w:rsidRPr="00C60ABB">
        <w:rPr>
          <w:rFonts w:ascii="Palatino Linotype" w:eastAsia="Palatino Linotype" w:hAnsi="Palatino Linotype" w:cs="Palatino Linotype"/>
        </w:rPr>
        <w:t xml:space="preserve">y acceder a la misma, para determinar se la misma está completa o no.  </w:t>
      </w:r>
    </w:p>
    <w:p w14:paraId="45CBF74F" w14:textId="77777777" w:rsidR="004E626C" w:rsidRPr="00C60ABB" w:rsidRDefault="005C42B7">
      <w:pPr>
        <w:widowControl w:val="0"/>
        <w:tabs>
          <w:tab w:val="left" w:pos="1701"/>
          <w:tab w:val="left" w:pos="1843"/>
        </w:tabs>
        <w:spacing w:before="360" w:after="240" w:line="360" w:lineRule="auto"/>
        <w:ind w:right="142"/>
        <w:jc w:val="both"/>
        <w:rPr>
          <w:rFonts w:ascii="Palatino Linotype" w:eastAsia="Palatino Linotype" w:hAnsi="Palatino Linotype" w:cs="Palatino Linotype"/>
        </w:rPr>
      </w:pPr>
      <w:r w:rsidRPr="00C60ABB">
        <w:rPr>
          <w:rFonts w:ascii="Palatino Linotype" w:eastAsia="Palatino Linotype" w:hAnsi="Palatino Linotype" w:cs="Palatino Linotype"/>
        </w:rPr>
        <w:t xml:space="preserve">Bajo ese tenor no se pasa por alto que el hacer entrega de un documento cuya información se encuentre ilegible, deja en total incertidumbre al particular, violentando con su respuesta el Derecho de Acceso a la Información. </w:t>
      </w:r>
    </w:p>
    <w:p w14:paraId="3CDB6D69" w14:textId="77777777" w:rsidR="004E626C" w:rsidRPr="00C60ABB" w:rsidRDefault="005C42B7">
      <w:pPr>
        <w:widowControl w:val="0"/>
        <w:tabs>
          <w:tab w:val="left" w:pos="1701"/>
          <w:tab w:val="left" w:pos="1843"/>
        </w:tabs>
        <w:spacing w:before="360" w:after="240" w:line="360" w:lineRule="auto"/>
        <w:ind w:right="142"/>
        <w:jc w:val="both"/>
        <w:rPr>
          <w:rFonts w:ascii="Palatino Linotype" w:eastAsia="Palatino Linotype" w:hAnsi="Palatino Linotype" w:cs="Palatino Linotype"/>
        </w:rPr>
      </w:pPr>
      <w:r w:rsidRPr="00C60ABB">
        <w:rPr>
          <w:rFonts w:ascii="Palatino Linotype" w:eastAsia="Palatino Linotype" w:hAnsi="Palatino Linotype" w:cs="Palatino Linotype"/>
        </w:rPr>
        <w:t xml:space="preserve">Es decir, la información documental que entregue el </w:t>
      </w:r>
      <w:r w:rsidRPr="00C60ABB">
        <w:rPr>
          <w:rFonts w:ascii="Palatino Linotype" w:eastAsia="Palatino Linotype" w:hAnsi="Palatino Linotype" w:cs="Palatino Linotype"/>
          <w:b/>
        </w:rPr>
        <w:t>SUJETO OBLIGADO</w:t>
      </w:r>
      <w:r w:rsidRPr="00C60ABB">
        <w:rPr>
          <w:rFonts w:ascii="Palatino Linotype" w:eastAsia="Palatino Linotype" w:hAnsi="Palatino Linotype" w:cs="Palatino Linotype"/>
        </w:rPr>
        <w:t xml:space="preserve"> debe ser clara, entendible y legible, esto con la finalidad de que pueda ser verificada la información contenida en los documentos proporcionados, ya que de lo contrario se incumple el principio de accesibilidad, lo que constituye una restricción indirecta al Derecho de Acceso a la Información Pública.</w:t>
      </w:r>
    </w:p>
    <w:p w14:paraId="49013B92" w14:textId="77777777" w:rsidR="004E626C" w:rsidRPr="00C60ABB" w:rsidRDefault="005C42B7">
      <w:pPr>
        <w:widowControl w:val="0"/>
        <w:tabs>
          <w:tab w:val="left" w:pos="1701"/>
          <w:tab w:val="left" w:pos="1843"/>
        </w:tabs>
        <w:spacing w:before="360" w:after="240" w:line="360" w:lineRule="auto"/>
        <w:ind w:right="142"/>
        <w:jc w:val="both"/>
        <w:rPr>
          <w:rFonts w:ascii="Palatino Linotype" w:eastAsia="Palatino Linotype" w:hAnsi="Palatino Linotype" w:cs="Palatino Linotype"/>
        </w:rPr>
      </w:pPr>
      <w:r w:rsidRPr="00C60ABB">
        <w:rPr>
          <w:rFonts w:ascii="Palatino Linotype" w:eastAsia="Palatino Linotype" w:hAnsi="Palatino Linotype" w:cs="Palatino Linotype"/>
        </w:rPr>
        <w:t>Sirve de apoyo a lo anterior como criterio orientador la tesis número II. 1°. C.T. 55 C, publicada en el Semanario Judicial de la Federación y su Gaceta bajo el número de3 registro 201,412, que a la letra dice:</w:t>
      </w:r>
    </w:p>
    <w:p w14:paraId="4F57357E" w14:textId="77777777" w:rsidR="004E626C" w:rsidRPr="00C60ABB" w:rsidRDefault="005C42B7">
      <w:pPr>
        <w:ind w:left="851" w:right="851"/>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“COTEJO DE COPIAS FOTOSTÁTICAS ILEGIBLES. AL NO SER POSIBLE CONSTATAR SU AUTENTICIDAD ES INÚTIL E INTRASCENDENTE SU PERFECCIONAMIENTO, POR LO QUE LA JUNTA ESTÁ IMPEDIDA PARA ORDENAR SU DESAHOGO. Cuando alguna de las partes en el juicio laboral ofrece como prueba algún documento en copia fotostática y su perfeccionamiento por medio del cotejo con su original, la Junta estará impedida para ordenar su desahogo, si el texto de esas reproducciones fotostáticas es ilegible en alguna de sus partes, toda vez que el actuario no podrá constatar, a través de sus sentidos, si concuerdan o no las copias aportadas al sumario con sus originales, pues no es posible que en caso de que la parte legible de esas reproducciones resulte igual que sus originales y, que por ese hecho, considerara lo mismo respecto de la otra parte a la que no puede dar lectura, dado que es </w:t>
      </w:r>
      <w:r w:rsidRPr="00C60ABB">
        <w:rPr>
          <w:rFonts w:ascii="Palatino Linotype" w:eastAsia="Palatino Linotype" w:hAnsi="Palatino Linotype" w:cs="Palatino Linotype"/>
          <w:i/>
          <w:sz w:val="22"/>
          <w:szCs w:val="22"/>
        </w:rPr>
        <w:lastRenderedPageBreak/>
        <w:t>ilegible; por tanto, al ser imposible constatar su autenticidad por medio del citado perfeccionamiento, dicha probanza se torna inútil e intrascendente, conforme al artículo 779 de la Ley Federal del Trabajo.”(Sic)</w:t>
      </w:r>
    </w:p>
    <w:p w14:paraId="5FABFA5D" w14:textId="77777777" w:rsidR="004E626C" w:rsidRPr="00C60ABB" w:rsidRDefault="005C42B7">
      <w:pPr>
        <w:widowControl w:val="0"/>
        <w:tabs>
          <w:tab w:val="left" w:pos="1701"/>
          <w:tab w:val="left" w:pos="1843"/>
        </w:tabs>
        <w:spacing w:before="360" w:after="240" w:line="360" w:lineRule="auto"/>
        <w:ind w:right="142"/>
        <w:jc w:val="both"/>
        <w:rPr>
          <w:rFonts w:ascii="Palatino Linotype" w:eastAsia="Palatino Linotype" w:hAnsi="Palatino Linotype" w:cs="Palatino Linotype"/>
        </w:rPr>
      </w:pPr>
      <w:r w:rsidRPr="00C60ABB">
        <w:rPr>
          <w:rFonts w:ascii="Palatino Linotype" w:eastAsia="Palatino Linotype" w:hAnsi="Palatino Linotype" w:cs="Palatino Linotype"/>
        </w:rPr>
        <w:t xml:space="preserve">En conclusión, el </w:t>
      </w:r>
      <w:r w:rsidRPr="00C60ABB">
        <w:rPr>
          <w:rFonts w:ascii="Palatino Linotype" w:eastAsia="Palatino Linotype" w:hAnsi="Palatino Linotype" w:cs="Palatino Linotype"/>
          <w:b/>
        </w:rPr>
        <w:t>SUJETO OBLIGADO</w:t>
      </w:r>
      <w:r w:rsidRPr="00C60ABB">
        <w:rPr>
          <w:rFonts w:ascii="Palatino Linotype" w:eastAsia="Palatino Linotype" w:hAnsi="Palatino Linotype" w:cs="Palatino Linotype"/>
        </w:rPr>
        <w:t xml:space="preserve"> al momento en que dé respuesta a cualquier solicitud de acceso a la información deberá revisar y verificar que la documentación que remitió en su respuesta y que resultó ilegible o indebidamente escaneada, sea entregada de manera adecuada, para que este Instituto tenga por satisfecho el derecho de acceso a la información ejercido por la parte </w:t>
      </w:r>
      <w:r w:rsidRPr="00C60ABB">
        <w:rPr>
          <w:rFonts w:ascii="Palatino Linotype" w:eastAsia="Palatino Linotype" w:hAnsi="Palatino Linotype" w:cs="Palatino Linotype"/>
          <w:b/>
        </w:rPr>
        <w:t>RECURRENTE</w:t>
      </w:r>
      <w:r w:rsidRPr="00C60ABB">
        <w:rPr>
          <w:rFonts w:ascii="Palatino Linotype" w:eastAsia="Palatino Linotype" w:hAnsi="Palatino Linotype" w:cs="Palatino Linotype"/>
        </w:rPr>
        <w:t>.</w:t>
      </w:r>
    </w:p>
    <w:p w14:paraId="63B0A896" w14:textId="77777777" w:rsidR="004E626C" w:rsidRPr="00C60ABB" w:rsidRDefault="005C42B7">
      <w:pPr>
        <w:spacing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 xml:space="preserve">Ahora bien y toda vez que la inconformidad de la parte </w:t>
      </w:r>
      <w:r w:rsidRPr="00C60ABB">
        <w:rPr>
          <w:rFonts w:ascii="Palatino Linotype" w:eastAsia="Palatino Linotype" w:hAnsi="Palatino Linotype" w:cs="Palatino Linotype"/>
          <w:b/>
        </w:rPr>
        <w:t>RECURRENTE,</w:t>
      </w:r>
      <w:r w:rsidRPr="00C60ABB">
        <w:rPr>
          <w:rFonts w:ascii="Palatino Linotype" w:eastAsia="Palatino Linotype" w:hAnsi="Palatino Linotype" w:cs="Palatino Linotype"/>
        </w:rPr>
        <w:t xml:space="preserve"> versa sobre que la información entregada en respuesta no garantiza lo establecido por el artículo 11 de la Ley de la Materia, que señala:</w:t>
      </w:r>
    </w:p>
    <w:p w14:paraId="0B40646D" w14:textId="77777777" w:rsidR="004E626C" w:rsidRPr="00C60ABB" w:rsidRDefault="005C42B7">
      <w:pPr>
        <w:spacing w:before="240" w:after="240"/>
        <w:ind w:left="851" w:right="900"/>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w:t>
      </w:r>
    </w:p>
    <w:p w14:paraId="40596C95" w14:textId="77777777" w:rsidR="004E626C" w:rsidRPr="00C60ABB" w:rsidRDefault="005C42B7">
      <w:pPr>
        <w:spacing w:before="240" w:after="240"/>
        <w:ind w:left="851" w:right="900"/>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Los sujetos obligados garantizarán, en todo momento, que la información generada tenga un lenguaje sencillo para cualquier persona y, en los casos en que así se requiera, realizarán las gestiones necesarias para contar con la traducción a lenguas indígenas, principalmente cuando se trate de aquellas residentes en el Estado de México.” (Sic)</w:t>
      </w:r>
    </w:p>
    <w:p w14:paraId="41A778CE" w14:textId="77777777" w:rsidR="004E626C" w:rsidRPr="00C60ABB" w:rsidRDefault="005C42B7">
      <w:pPr>
        <w:spacing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Se procede analizar la naturaleza de la información requerida en los siguientes términos:</w:t>
      </w:r>
    </w:p>
    <w:p w14:paraId="50D24729" w14:textId="77777777" w:rsidR="004E626C" w:rsidRPr="00C60ABB" w:rsidRDefault="005C42B7">
      <w:pPr>
        <w:spacing w:before="240" w:after="240"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 xml:space="preserve">Los artículos 1°, fracción I, y 4°de la Ley de la de Contratación Pública del Estado de México y Municipios, especifica que los Ayuntamientos del Estado de México, serán </w:t>
      </w:r>
      <w:r w:rsidRPr="00C60ABB">
        <w:rPr>
          <w:rFonts w:ascii="Palatino Linotype" w:eastAsia="Palatino Linotype" w:hAnsi="Palatino Linotype" w:cs="Palatino Linotype"/>
        </w:rPr>
        <w:lastRenderedPageBreak/>
        <w:t xml:space="preserve">los encargados de realizar los actos relativos a la planeación, programación, presupuestación, ejecución y control de la adquisición, arrendamiento de bienes y </w:t>
      </w:r>
      <w:r w:rsidRPr="00C60ABB">
        <w:rPr>
          <w:rFonts w:ascii="Palatino Linotype" w:eastAsia="Palatino Linotype" w:hAnsi="Palatino Linotype" w:cs="Palatino Linotype"/>
          <w:b/>
        </w:rPr>
        <w:t>la contratación de servicios de cualquier naturaleza</w:t>
      </w:r>
      <w:r w:rsidRPr="00C60ABB">
        <w:rPr>
          <w:rFonts w:ascii="Palatino Linotype" w:eastAsia="Palatino Linotype" w:hAnsi="Palatino Linotype" w:cs="Palatino Linotype"/>
        </w:rPr>
        <w:t>, como así lo señalan en seguida:</w:t>
      </w:r>
    </w:p>
    <w:p w14:paraId="2E00BEF2"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“Artículo 1.- Esta Ley tiene por objeto regular los actos relativos a la planeación, programación, presupuestación, ejecución y control de la adquisición, enajenación y arrendamiento de bienes, y la contratación de servicios de cualquier naturaleza, que realicen: </w:t>
      </w:r>
    </w:p>
    <w:p w14:paraId="6DAA1597"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I. Las secretarías y las unidades administrativas del Poder Ejecutivo del Estado. </w:t>
      </w:r>
    </w:p>
    <w:p w14:paraId="310B2D3B"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II. Derogada. </w:t>
      </w:r>
    </w:p>
    <w:p w14:paraId="14D2EF27"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III. </w:t>
      </w:r>
      <w:r w:rsidRPr="00C60ABB">
        <w:rPr>
          <w:rFonts w:ascii="Palatino Linotype" w:eastAsia="Palatino Linotype" w:hAnsi="Palatino Linotype" w:cs="Palatino Linotype"/>
          <w:b/>
          <w:i/>
          <w:sz w:val="22"/>
          <w:szCs w:val="22"/>
        </w:rPr>
        <w:t>Los ayuntamientos de los municipios del Estado</w:t>
      </w:r>
      <w:r w:rsidRPr="00C60ABB">
        <w:rPr>
          <w:rFonts w:ascii="Palatino Linotype" w:eastAsia="Palatino Linotype" w:hAnsi="Palatino Linotype" w:cs="Palatino Linotype"/>
          <w:i/>
          <w:sz w:val="22"/>
          <w:szCs w:val="22"/>
        </w:rPr>
        <w:t xml:space="preserve">. </w:t>
      </w:r>
    </w:p>
    <w:p w14:paraId="7B2D5FEA"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IV. Los organismos auxiliares y fideicomisos públicos, de carácter estatal o municipal. </w:t>
      </w:r>
    </w:p>
    <w:p w14:paraId="16C58F6B"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V. Los tribunales administrativos. </w:t>
      </w:r>
    </w:p>
    <w:p w14:paraId="341BB5A4"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Los actos a los que se refiere este artículo que se realicen con cargo total o parcial a fondos del Gobierno del Estado de México, se estarán a lo dispuesto por esta Ley. </w:t>
      </w:r>
    </w:p>
    <w:p w14:paraId="26143024"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Los actos a que se refiere este artículo que se realicen con cargo total o parcial a fondos del Gobierno Federal, estarán a lo dispuesto por la legislación federal. También serán aplicables las disposiciones de esta Ley a los particulares que participen en los procedimientos, operaciones o contratos regulados en esta Ley. </w:t>
      </w:r>
    </w:p>
    <w:p w14:paraId="6F87AD91"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Los poderes Legislativo y Judicial, así como los organismos autónomos aplicarán las disposiciones de esta Ley en lo que no se oponga a los ordenamientos legales que los regulan, sujetándose a sus propios órganos de control. No será aplicable lo dispuesto por esta Ley en los actos objeto del mismo, derivados de convenios celebrados entre dependencias, entidades y ayuntamientos, entre sí o con los de otros estados o de la Federación, excepto cuando sea parte un particular en los procedimientos o contratos respectivos. </w:t>
      </w:r>
    </w:p>
    <w:p w14:paraId="431A815F"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Tampoco serán aplicables las disposiciones de esta Ley en los actos que realicen los fideicomisos públicos en los que el Gobierno del Estado no sea fideicomitente único. </w:t>
      </w:r>
    </w:p>
    <w:p w14:paraId="6AE1F05A"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w:t>
      </w:r>
    </w:p>
    <w:p w14:paraId="78CE9A89"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b/>
          <w:i/>
          <w:sz w:val="22"/>
          <w:szCs w:val="22"/>
        </w:rPr>
        <w:t>Artículo 4.- Para los efectos de esta Ley, en las adquisiciones</w:t>
      </w:r>
      <w:r w:rsidRPr="00C60ABB">
        <w:rPr>
          <w:rFonts w:ascii="Palatino Linotype" w:eastAsia="Palatino Linotype" w:hAnsi="Palatino Linotype" w:cs="Palatino Linotype"/>
          <w:i/>
          <w:sz w:val="22"/>
          <w:szCs w:val="22"/>
        </w:rPr>
        <w:t xml:space="preserve">, enajenaciones, arrendamientos </w:t>
      </w:r>
      <w:r w:rsidRPr="00C60ABB">
        <w:rPr>
          <w:rFonts w:ascii="Palatino Linotype" w:eastAsia="Palatino Linotype" w:hAnsi="Palatino Linotype" w:cs="Palatino Linotype"/>
          <w:b/>
          <w:i/>
          <w:sz w:val="22"/>
          <w:szCs w:val="22"/>
        </w:rPr>
        <w:t>y servicios, quedan comprendidos</w:t>
      </w:r>
      <w:r w:rsidRPr="00C60ABB">
        <w:rPr>
          <w:rFonts w:ascii="Palatino Linotype" w:eastAsia="Palatino Linotype" w:hAnsi="Palatino Linotype" w:cs="Palatino Linotype"/>
          <w:i/>
          <w:sz w:val="22"/>
          <w:szCs w:val="22"/>
        </w:rPr>
        <w:t>:</w:t>
      </w:r>
    </w:p>
    <w:p w14:paraId="290B8510"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I. La adquisición de bienes muebles. </w:t>
      </w:r>
    </w:p>
    <w:p w14:paraId="39FC8410"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II. La adquisición de bienes inmuebles, a través de compraventa. </w:t>
      </w:r>
    </w:p>
    <w:p w14:paraId="27633E12"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III. La enajenación de bienes muebles e inmuebles. </w:t>
      </w:r>
    </w:p>
    <w:p w14:paraId="2550ED5E"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IV. El arrendamiento de bienes muebles e inmuebles. </w:t>
      </w:r>
    </w:p>
    <w:p w14:paraId="2CAEE4CC"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lastRenderedPageBreak/>
        <w:t xml:space="preserve">V. La contratación de los servicios, relacionados con bienes muebles que se encuentran incorporados o adheridos a bienes inmuebles, cuya instalación o mantenimiento no implique modificación al bien inmueble. </w:t>
      </w:r>
    </w:p>
    <w:p w14:paraId="4C8C420C"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VI. La contratación de los servicios de reconstrucción y mantenimiento de bienes muebles. </w:t>
      </w:r>
    </w:p>
    <w:p w14:paraId="3BCE9B54"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VII. La contratación de los servicios de maquila, seguros y transportación, así como de los de limpieza y vigilancia de bienes inmuebles. </w:t>
      </w:r>
    </w:p>
    <w:p w14:paraId="0029BE9C"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VIII. La prestación de servicios profesionales, la contratación de consultorías, asesorías y estudios e investigaciones, excepto la contratación de servicios personales de personas físicas bajo el régimen de honorarios. </w:t>
      </w:r>
    </w:p>
    <w:p w14:paraId="5C821906"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En general, otros actos que impliquen la contratación de servicios de cualquier naturaleza. </w:t>
      </w:r>
    </w:p>
    <w:p w14:paraId="0606D76C"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No aplicarán las disposiciones de la presente Ley a la operación, administración, uso, goce, disposición o cualquier otro acto jurídico sobre bienes muebles o inmuebles que pudieren regularse por esta Ley, si dichos actos derivan de la prestación de servicios bajo la modalidad de proyectos para prestación de servicios; en estos casos, aplicarán las disposiciones del Libro Décimo Sexto del Código Administrativo del Estado de México. La contratación de seguros de garantía financiera, así como de servicios profesionales, consultorías, asesorías, estudios e investigaciones en relación con créditos, empréstitos, préstamos o financiamientos de cualquier naturaleza, incluyendo la emisión de valores, o cualquier otro servicio financiero no estarán sujetos a lo dispuesto por esta Ley. Tampoco aplicará esta ley a la contratación de servicios financieros relacionados con la apertura de cuentas bancarias para la recepción y manejo, inversión y pago de recursos públicos.” (Sic)</w:t>
      </w:r>
    </w:p>
    <w:p w14:paraId="4F82FCBC" w14:textId="77777777" w:rsidR="004E626C" w:rsidRPr="00C60ABB" w:rsidRDefault="005C42B7">
      <w:pPr>
        <w:spacing w:before="240" w:after="240" w:line="360" w:lineRule="auto"/>
        <w:ind w:right="49"/>
        <w:jc w:val="both"/>
        <w:rPr>
          <w:rFonts w:ascii="Palatino Linotype" w:eastAsia="Palatino Linotype" w:hAnsi="Palatino Linotype" w:cs="Palatino Linotype"/>
        </w:rPr>
      </w:pPr>
      <w:r w:rsidRPr="00C60ABB">
        <w:rPr>
          <w:rFonts w:ascii="Palatino Linotype" w:eastAsia="Palatino Linotype" w:hAnsi="Palatino Linotype" w:cs="Palatino Linotype"/>
        </w:rPr>
        <w:t xml:space="preserve">Asimismo, conforme a los artículos 26 y 27 de la Ley de la de Contratación Pública del Estado de México y Municipios, las adquisiciones, arrendamientos y servicios, se adjudicarán a través de </w:t>
      </w:r>
      <w:r w:rsidRPr="00C60ABB">
        <w:rPr>
          <w:rFonts w:ascii="Palatino Linotype" w:eastAsia="Palatino Linotype" w:hAnsi="Palatino Linotype" w:cs="Palatino Linotype"/>
          <w:b/>
        </w:rPr>
        <w:t>procedimientos de licitación pública, invitación restringida y adjudicación directa</w:t>
      </w:r>
      <w:r w:rsidRPr="00C60ABB">
        <w:rPr>
          <w:rFonts w:ascii="Palatino Linotype" w:eastAsia="Palatino Linotype" w:hAnsi="Palatino Linotype" w:cs="Palatino Linotype"/>
        </w:rPr>
        <w:t>, que señalan:</w:t>
      </w:r>
    </w:p>
    <w:p w14:paraId="6F26A278"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“Artículo 26.- Las adquisiciones, arrendamientos y servicios se adjudicarán a través </w:t>
      </w:r>
      <w:r w:rsidRPr="00C60ABB">
        <w:rPr>
          <w:rFonts w:ascii="Palatino Linotype" w:eastAsia="Palatino Linotype" w:hAnsi="Palatino Linotype" w:cs="Palatino Linotype"/>
          <w:b/>
          <w:i/>
          <w:sz w:val="22"/>
          <w:szCs w:val="22"/>
        </w:rPr>
        <w:t>de licitaciones públicas</w:t>
      </w:r>
      <w:r w:rsidRPr="00C60ABB">
        <w:rPr>
          <w:rFonts w:ascii="Palatino Linotype" w:eastAsia="Palatino Linotype" w:hAnsi="Palatino Linotype" w:cs="Palatino Linotype"/>
          <w:i/>
          <w:sz w:val="22"/>
          <w:szCs w:val="22"/>
        </w:rPr>
        <w:t xml:space="preserve">, mediante convocatoria pública. </w:t>
      </w:r>
    </w:p>
    <w:p w14:paraId="3833BE32"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Artículo 27.- La Secretaría, las entidades, los tribunales administrativos y </w:t>
      </w:r>
      <w:r w:rsidRPr="00C60ABB">
        <w:rPr>
          <w:rFonts w:ascii="Palatino Linotype" w:eastAsia="Palatino Linotype" w:hAnsi="Palatino Linotype" w:cs="Palatino Linotype"/>
          <w:b/>
          <w:i/>
          <w:sz w:val="22"/>
          <w:szCs w:val="22"/>
        </w:rPr>
        <w:t>los ayuntamientos podrán adjudicar adquisiciones, arrendamientos y servicios</w:t>
      </w:r>
      <w:r w:rsidRPr="00C60ABB">
        <w:rPr>
          <w:rFonts w:ascii="Palatino Linotype" w:eastAsia="Palatino Linotype" w:hAnsi="Palatino Linotype" w:cs="Palatino Linotype"/>
          <w:i/>
          <w:sz w:val="22"/>
          <w:szCs w:val="22"/>
        </w:rPr>
        <w:t xml:space="preserve">, mediante las excepciones al procedimiento de licitación que a continuación se señalan: I. </w:t>
      </w:r>
      <w:r w:rsidRPr="00C60ABB">
        <w:rPr>
          <w:rFonts w:ascii="Palatino Linotype" w:eastAsia="Palatino Linotype" w:hAnsi="Palatino Linotype" w:cs="Palatino Linotype"/>
          <w:b/>
          <w:i/>
          <w:sz w:val="22"/>
          <w:szCs w:val="22"/>
        </w:rPr>
        <w:t>Invitación restringida. II. Adjudicación directa</w:t>
      </w:r>
      <w:r w:rsidRPr="00C60ABB">
        <w:rPr>
          <w:rFonts w:ascii="Palatino Linotype" w:eastAsia="Palatino Linotype" w:hAnsi="Palatino Linotype" w:cs="Palatino Linotype"/>
          <w:i/>
          <w:sz w:val="22"/>
          <w:szCs w:val="22"/>
        </w:rPr>
        <w:t>” (Sic)</w:t>
      </w:r>
    </w:p>
    <w:p w14:paraId="34144D85" w14:textId="77777777" w:rsidR="004E626C" w:rsidRPr="00C60ABB" w:rsidRDefault="004E626C">
      <w:pPr>
        <w:ind w:left="851" w:right="899"/>
        <w:jc w:val="both"/>
        <w:rPr>
          <w:rFonts w:ascii="Palatino Linotype" w:eastAsia="Palatino Linotype" w:hAnsi="Palatino Linotype" w:cs="Palatino Linotype"/>
          <w:i/>
          <w:sz w:val="22"/>
          <w:szCs w:val="22"/>
        </w:rPr>
      </w:pPr>
    </w:p>
    <w:p w14:paraId="09EEBA7E" w14:textId="77777777" w:rsidR="004E626C" w:rsidRPr="00C60ABB" w:rsidRDefault="005C42B7">
      <w:pPr>
        <w:spacing w:before="240" w:after="240" w:line="360" w:lineRule="auto"/>
        <w:ind w:right="49"/>
        <w:jc w:val="both"/>
        <w:rPr>
          <w:rFonts w:ascii="Palatino Linotype" w:eastAsia="Palatino Linotype" w:hAnsi="Palatino Linotype" w:cs="Palatino Linotype"/>
        </w:rPr>
      </w:pPr>
      <w:r w:rsidRPr="00C60ABB">
        <w:rPr>
          <w:rFonts w:ascii="Palatino Linotype" w:eastAsia="Palatino Linotype" w:hAnsi="Palatino Linotype" w:cs="Palatino Linotype"/>
        </w:rPr>
        <w:t xml:space="preserve">En donde los procedimientos </w:t>
      </w:r>
      <w:r w:rsidRPr="00C60ABB">
        <w:rPr>
          <w:rFonts w:ascii="Palatino Linotype" w:eastAsia="Palatino Linotype" w:hAnsi="Palatino Linotype" w:cs="Palatino Linotype"/>
          <w:b/>
        </w:rPr>
        <w:t>de licitación pública,</w:t>
      </w:r>
      <w:r w:rsidRPr="00C60ABB">
        <w:rPr>
          <w:rFonts w:ascii="Palatino Linotype" w:eastAsia="Palatino Linotype" w:hAnsi="Palatino Linotype" w:cs="Palatino Linotype"/>
        </w:rPr>
        <w:t xml:space="preserve"> </w:t>
      </w:r>
      <w:r w:rsidRPr="00C60ABB">
        <w:rPr>
          <w:rFonts w:ascii="Palatino Linotype" w:eastAsia="Palatino Linotype" w:hAnsi="Palatino Linotype" w:cs="Palatino Linotype"/>
          <w:b/>
        </w:rPr>
        <w:t>invitación restringida y adjudicación directa</w:t>
      </w:r>
      <w:r w:rsidRPr="00C60ABB">
        <w:rPr>
          <w:rFonts w:ascii="Palatino Linotype" w:eastAsia="Palatino Linotype" w:hAnsi="Palatino Linotype" w:cs="Palatino Linotype"/>
        </w:rPr>
        <w:t xml:space="preserve">, consisten en términos de lo señalado por los artículos 29 al </w:t>
      </w:r>
      <w:proofErr w:type="gramStart"/>
      <w:r w:rsidRPr="00C60ABB">
        <w:rPr>
          <w:rFonts w:ascii="Palatino Linotype" w:eastAsia="Palatino Linotype" w:hAnsi="Palatino Linotype" w:cs="Palatino Linotype"/>
        </w:rPr>
        <w:t>42,  44</w:t>
      </w:r>
      <w:proofErr w:type="gramEnd"/>
      <w:r w:rsidRPr="00C60ABB">
        <w:rPr>
          <w:rFonts w:ascii="Palatino Linotype" w:eastAsia="Palatino Linotype" w:hAnsi="Palatino Linotype" w:cs="Palatino Linotype"/>
        </w:rPr>
        <w:t xml:space="preserve"> al 47 y 48 al 50 de la Ley de la de Contratación Pública del Estado de México y Municipios, de los siguientes:</w:t>
      </w:r>
    </w:p>
    <w:p w14:paraId="267518B7"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“Artículo 29.- </w:t>
      </w:r>
      <w:r w:rsidRPr="00C60ABB">
        <w:rPr>
          <w:rFonts w:ascii="Palatino Linotype" w:eastAsia="Palatino Linotype" w:hAnsi="Palatino Linotype" w:cs="Palatino Linotype"/>
          <w:b/>
          <w:i/>
          <w:sz w:val="22"/>
          <w:szCs w:val="22"/>
        </w:rPr>
        <w:t>En el procedimiento de licitación pública</w:t>
      </w:r>
      <w:r w:rsidRPr="00C60ABB">
        <w:rPr>
          <w:rFonts w:ascii="Palatino Linotype" w:eastAsia="Palatino Linotype" w:hAnsi="Palatino Linotype" w:cs="Palatino Linotype"/>
          <w:i/>
          <w:sz w:val="22"/>
          <w:szCs w:val="22"/>
        </w:rPr>
        <w:t xml:space="preserve"> deberán establecerse los mismos requisitos y condiciones para todos los licitantes.</w:t>
      </w:r>
    </w:p>
    <w:p w14:paraId="7541ED02"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Todo licitante que satisfaga los requisitos de la convocatoria y de las bases de la licitación tendrá derecho a presentar su propuesta. Las entidades, los tribunales administrativos y los ayuntamientos proporcionarán a los interesados igual acceso a la información relacionada con la licitación, a fin de evitar favorecer a algún participante. </w:t>
      </w:r>
    </w:p>
    <w:p w14:paraId="7D2E5F55"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Artículo 30.- Las licitaciones públicas podrán ser: </w:t>
      </w:r>
    </w:p>
    <w:p w14:paraId="770C3896"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I. Nacionales, cuando únicamente puedan participar personas de nacionalidad mexicana. </w:t>
      </w:r>
    </w:p>
    <w:p w14:paraId="2AE3C44F"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II. Internacionales, cuando puedan participar tanto personas de nacionalidad mexicana como extranjera. </w:t>
      </w:r>
    </w:p>
    <w:p w14:paraId="7EEEE13D"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Artículo 31.- Solamente se podrán llevar a cabo licitaciones internacionales cuando: Previa investigación de mercado que realice la convocante, no exista el bien o el servicio en el mercado nacional y no existan ofertas de empresas nacionales; o sea, convenientes en términos de precio, calidad, financiamiento y oportunidad. Resulte obligatorio por los tratados internacionales en que México sea parte o por convenios celebrados por el Gobierno del Estado. </w:t>
      </w:r>
    </w:p>
    <w:p w14:paraId="2D43D97F"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b/>
          <w:i/>
          <w:sz w:val="22"/>
          <w:szCs w:val="22"/>
        </w:rPr>
        <w:t xml:space="preserve">Artículo 32.- </w:t>
      </w:r>
      <w:r w:rsidRPr="00C60ABB">
        <w:rPr>
          <w:rFonts w:ascii="Palatino Linotype" w:eastAsia="Palatino Linotype" w:hAnsi="Palatino Linotype" w:cs="Palatino Linotype"/>
          <w:i/>
          <w:sz w:val="22"/>
          <w:szCs w:val="22"/>
        </w:rPr>
        <w:t xml:space="preserve">La Secretaría, las entidades, los tribunales administrativos y </w:t>
      </w:r>
      <w:r w:rsidRPr="00C60ABB">
        <w:rPr>
          <w:rFonts w:ascii="Palatino Linotype" w:eastAsia="Palatino Linotype" w:hAnsi="Palatino Linotype" w:cs="Palatino Linotype"/>
          <w:b/>
          <w:i/>
          <w:sz w:val="22"/>
          <w:szCs w:val="22"/>
        </w:rPr>
        <w:t>los ayuntamientos</w:t>
      </w:r>
      <w:r w:rsidRPr="00C60ABB">
        <w:rPr>
          <w:rFonts w:ascii="Palatino Linotype" w:eastAsia="Palatino Linotype" w:hAnsi="Palatino Linotype" w:cs="Palatino Linotype"/>
          <w:i/>
          <w:sz w:val="22"/>
          <w:szCs w:val="22"/>
        </w:rPr>
        <w:t xml:space="preserve">, en términos de esta Ley, serán los responsables de llevar a cabo el procedimiento de licitación pública. </w:t>
      </w:r>
    </w:p>
    <w:p w14:paraId="1EFBAC30"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Artículo 33.- Las convocatorias podrán referirse a la celebración de una o más licitaciones públicas; se publicarán por una sola vez, cuando menos en uno de los diarios de mayor circulación en la capital del Estado y en uno de los diarios de mayor circulación nacional, así como a través del COMPRAMEX, y contendrán: </w:t>
      </w:r>
    </w:p>
    <w:p w14:paraId="3809791E"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I. El nombre de la convocante. </w:t>
      </w:r>
    </w:p>
    <w:p w14:paraId="5E7838E8"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II. La descripción genérica de los bienes o servicios objeto de la licitación, así como la descripción especifica de por los menos cinco partidas o conceptos de mayor monto, de ser el caso. </w:t>
      </w:r>
    </w:p>
    <w:p w14:paraId="452C0149"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III. La indicación de si la licitación es nacional o internacional, así como que </w:t>
      </w:r>
      <w:proofErr w:type="gramStart"/>
      <w:r w:rsidRPr="00C60ABB">
        <w:rPr>
          <w:rFonts w:ascii="Palatino Linotype" w:eastAsia="Palatino Linotype" w:hAnsi="Palatino Linotype" w:cs="Palatino Linotype"/>
          <w:i/>
          <w:sz w:val="22"/>
          <w:szCs w:val="22"/>
        </w:rPr>
        <w:t>las propuestas deberá</w:t>
      </w:r>
      <w:proofErr w:type="gramEnd"/>
      <w:r w:rsidRPr="00C60ABB">
        <w:rPr>
          <w:rFonts w:ascii="Palatino Linotype" w:eastAsia="Palatino Linotype" w:hAnsi="Palatino Linotype" w:cs="Palatino Linotype"/>
          <w:i/>
          <w:sz w:val="22"/>
          <w:szCs w:val="22"/>
        </w:rPr>
        <w:t xml:space="preserve"> presentarse en idioma español. </w:t>
      </w:r>
    </w:p>
    <w:p w14:paraId="443A21AA"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lastRenderedPageBreak/>
        <w:t xml:space="preserve">IV. El origen de los recursos. </w:t>
      </w:r>
    </w:p>
    <w:p w14:paraId="052A4FED"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V. El lugar y plazo de entrega, así como las condiciones de pago. </w:t>
      </w:r>
    </w:p>
    <w:p w14:paraId="4348F06B"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VI. La indicación de los lugares, fechas, horarios y medios electrónicos en que los interesados podrán obtener las bases de licitación y, en su caso, el costo, forma de pago y si la licitación será presencial, electrónica o mixta. </w:t>
      </w:r>
    </w:p>
    <w:p w14:paraId="603C10FC"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VII. La fecha, hora y lugar de la o las juntas aclaratorias, en su caso. </w:t>
      </w:r>
    </w:p>
    <w:p w14:paraId="7B6484C3"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VIII. La fecha, hora y lugar de celebración del acto de presentación, apertura y evaluación de propuestas, dictamen y fallo. </w:t>
      </w:r>
    </w:p>
    <w:p w14:paraId="5A461849"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IX. En el caso de contratos abiertos, las cantidades y plazos mínimos y máximos</w:t>
      </w:r>
    </w:p>
    <w:p w14:paraId="4E1E94A4"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X. La indicación de las personas que estén impedidas a participar, conforme a las disposiciones de esta Ley. </w:t>
      </w:r>
    </w:p>
    <w:p w14:paraId="0639358B"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XI. La garantía que deberá otorgarse para asegurar la seriedad de la postura, tratándose de subasta. </w:t>
      </w:r>
    </w:p>
    <w:p w14:paraId="5BC7C06E"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XII. En su caso, la garantía de defectos o vicios ocultos de los bienes según lo determine la convocante, debiendo justificar dicho requisito. </w:t>
      </w:r>
    </w:p>
    <w:p w14:paraId="192E18E0"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XIII. Los criterios específicos que se utilizarán para la evaluación de las propuestas y adjudicación de los contratos. </w:t>
      </w:r>
    </w:p>
    <w:p w14:paraId="187D05D8"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XIV. La justificación para no aceptar proposiciones conjuntas. </w:t>
      </w:r>
    </w:p>
    <w:p w14:paraId="0F55F95A"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XV. Los demás requisitos generales que deberán cumplir los interesados, según las características y magnitud de los bienes y servicios. </w:t>
      </w:r>
    </w:p>
    <w:p w14:paraId="704BA8EA"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En la convocatoria deberá especificarse si en la licitación aplicará la modalidad de subasta inversa. La Secretaría de la Contraloría hará pública la información referente a los procedimientos de adquisición, a través de su portal de internet. Artículo 34.- Las bases de la licitación pública tendrán un costo de recuperación y contendrán los requisitos que se establezcan en el reglamento de esta Ley. </w:t>
      </w:r>
    </w:p>
    <w:p w14:paraId="219C1431"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Artículo 35.- En los procedimientos de licitación pública se observará lo siguiente: I. El acto de presentación y apertura de propuestas se llevará a cabo por el servidor público que designe la convocante, conforme al procedimiento que se establezca en el reglamento de esta Ley. </w:t>
      </w:r>
    </w:p>
    <w:p w14:paraId="7BBF66F3"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II. El comité de adquisiciones y servicios evaluará y analizará las propuestas técnicas y económicas presentadas por los licitantes en el ámbito de las respectivas competencias de sus integrantes, y emitirá el dictamen de adjudicación. </w:t>
      </w:r>
    </w:p>
    <w:p w14:paraId="78DD7F98"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III. Las bases de licitación se pondrán a la venta a partir de la fecha de publicación de la convocatoria y hasta el día hábil anterior a la fecha de celebración de la junta de aclaraciones o, en su defecto, del acto de presentación y apertura de propuestas. </w:t>
      </w:r>
    </w:p>
    <w:p w14:paraId="6474EC38"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IV. Las convocantes podrán modificar los plazos y términos establecidos en la convocatoria o en las bases de licitación, hasta cinco días hábiles anteriores a la fecha de la celebración del acto de presentación y apertura de propuestas. </w:t>
      </w:r>
    </w:p>
    <w:p w14:paraId="7496FFE0"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V. Las modificaciones no podrán limitar el número de licitantes, sustituir o variar sustancialmente los bienes o servicios convocados originalmente, ni adicionar otros distintos. </w:t>
      </w:r>
    </w:p>
    <w:p w14:paraId="5FE324EA"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lastRenderedPageBreak/>
        <w:t xml:space="preserve">VI. Las modificaciones a la convocatoria o a las bases se harán del conocimiento de los interesados hasta tres días hábiles antes de la fecha señalada para el acto de presentación y apertura de propuestas. </w:t>
      </w:r>
    </w:p>
    <w:p w14:paraId="280C1E9E"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VII. Se emitirá el fallo dentro de los 15 días hábiles siguientes a la publicación de la convocatoria. </w:t>
      </w:r>
    </w:p>
    <w:p w14:paraId="73FF65AB"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VIII. Los licitantes se podrán registrar hasta el día y la hora fijados para el acto de presentación y apertura de propuestas.</w:t>
      </w:r>
    </w:p>
    <w:p w14:paraId="27EC3BE5"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Artículo 36.- El acto de presentación y apertura de propuestas se celebrará de manera pública y en presencia de todos los oferentes, en la forma siguiente: </w:t>
      </w:r>
    </w:p>
    <w:p w14:paraId="2CC293E3"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I. Los licitantes presentarán, por escrito y en sobre cerrado por separado, sus propuestas técnica y económica, así como los demás documentos requeridos en las bases de la licitación. </w:t>
      </w:r>
    </w:p>
    <w:p w14:paraId="3FB0412F"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II. La apertura de propuestas podrá efectuarse cuando se haya presentado una propuesta cuando menos. </w:t>
      </w:r>
    </w:p>
    <w:p w14:paraId="67C17A1E"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III. Se abrirán las propuestas técnicas, desechándose las que cuantitativamente no cumplan con cualquiera de los requisitos establecidos en las bases de licitación, poniéndolas a disposición del interesado conjuntamente con el sobre que contenga la propuesta económica. </w:t>
      </w:r>
    </w:p>
    <w:p w14:paraId="0476CD22"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IV. Se procederá a la apertura de las propuestas económicas de los licitantes cuyas propuestas técnicas fueron aceptadas cuantitativamente. </w:t>
      </w:r>
    </w:p>
    <w:p w14:paraId="5CA84AF8"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V. Se desecharán las propuestas económicas que cuantitativamente no cumplan con cualquiera de los requisitos establecidos en las bases de la licitación, poniéndolas a disposición del interesado. </w:t>
      </w:r>
    </w:p>
    <w:p w14:paraId="3F510015"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VI. Una vez efectuada la apertura de las propuestas técnicas y económicas, se elaborará el acta relativa a esta etapa del procedimiento y, posteriormente, se pondrá a disposición del Comité de Adquisiciones y Servicios, quien evaluará y analizará las propuestas presentadas y formulará el dictamen que servirá como base para el fallo, en el que se hará constar la reseña cronológica de los actos del procedimiento y el análisis de las propuestas, conforme al criterio de evaluación establecido en las bases. </w:t>
      </w:r>
    </w:p>
    <w:p w14:paraId="217D065D"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VII. Cuando el procedimiento de licitación se realice por conducto del COMPRAMEX, las propuestas técnicas y económicas se presentarán en los formatos electrónicos a que se refieran las bases respectivas y en él se observarán las mismas condiciones a que se refiere el presente artículo. </w:t>
      </w:r>
    </w:p>
    <w:p w14:paraId="5469E45E"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VIII. Si es el caso, que el procedimiento de licitación deba desahogarse bajo la modalidad de subasta inversa, una vez que se haya realizado la evaluación de las propuestas, se procederá a informar a los postores el momento en que dará inicio la etapa de ofertas subsecuentes de descuentos. </w:t>
      </w:r>
    </w:p>
    <w:p w14:paraId="7D6AC808"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El reglamento de esta Ley establecerá los criterios para la evaluación de las propuestas, así como el procedimiento para los actos de presentación y apertura de propuestas y de fallo. Dos o más personas podrán presentar, conjuntamente, </w:t>
      </w:r>
      <w:r w:rsidRPr="00C60ABB">
        <w:rPr>
          <w:rFonts w:ascii="Palatino Linotype" w:eastAsia="Palatino Linotype" w:hAnsi="Palatino Linotype" w:cs="Palatino Linotype"/>
          <w:i/>
          <w:sz w:val="22"/>
          <w:szCs w:val="22"/>
        </w:rPr>
        <w:lastRenderedPageBreak/>
        <w:t xml:space="preserve">una propuesta, sin necesidad de constituir una sociedad o una nueva sociedad, en caso de personas jurídica colectivas; para tales efectos, en la propuesta y en el contrato se establecerán, con precisión, las obligaciones de cada una de ellas, así como la manera en que se exigiría su cumplimiento. </w:t>
      </w:r>
    </w:p>
    <w:p w14:paraId="0488CB9A"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En este supuesto, la propuesta deberá ser firmada por el representante común que, para ese acto, haya sido designado por el grupo de personas, ya sea autógrafamente o por los medios de identificación electrónica autorizados por la Ley de Gobierno Digital. </w:t>
      </w:r>
    </w:p>
    <w:p w14:paraId="0EF78D9E"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Cuando la propuesta conjunta resulte adjudicada con un contrato, dicho instrumento deberá ser firmado por el representante legal de cada uno de los participantes en la proposición, a quienes se considerará, para efectos del procedimiento y del contrato, como responsables solidarios o mancomunados, según se establezca en el propio contrato. </w:t>
      </w:r>
    </w:p>
    <w:p w14:paraId="4A00A27E"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Lo anterior, sin perjuicio de que las personas que integran la propuesta conjunta puedan constituirse en una nueva sociedad, para dar cumplimiento a las obligaciones previstas en el convenio de proposición conjunta, siempre y cuando se mantengan en la nueva sociedad las responsabilidades de dicho convenio. </w:t>
      </w:r>
    </w:p>
    <w:p w14:paraId="1566892D"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Artículo 37.- El comité de adquisiciones y servicios realizará el análisis y evaluación de las propuestas, mediante la verificación del cumplimiento de la información y de la documentación solicitada en las bases de la licitación y conforme al criterio establecidas en las mismas. </w:t>
      </w:r>
    </w:p>
    <w:p w14:paraId="19A94F2E"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 </w:t>
      </w:r>
    </w:p>
    <w:p w14:paraId="0F4F444C"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Artículo 38.-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 </w:t>
      </w:r>
    </w:p>
    <w:p w14:paraId="6EFBCE01"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El fallo de adjudicación surtirá efectos desde la emisión, siendo responsabilidad de los licitantes enterarse de su contenido, por lo </w:t>
      </w:r>
      <w:proofErr w:type="gramStart"/>
      <w:r w:rsidRPr="00C60ABB">
        <w:rPr>
          <w:rFonts w:ascii="Palatino Linotype" w:eastAsia="Palatino Linotype" w:hAnsi="Palatino Linotype" w:cs="Palatino Linotype"/>
          <w:i/>
          <w:sz w:val="22"/>
          <w:szCs w:val="22"/>
        </w:rPr>
        <w:t>que</w:t>
      </w:r>
      <w:proofErr w:type="gramEnd"/>
      <w:r w:rsidRPr="00C60ABB">
        <w:rPr>
          <w:rFonts w:ascii="Palatino Linotype" w:eastAsia="Palatino Linotype" w:hAnsi="Palatino Linotype" w:cs="Palatino Linotype"/>
          <w:i/>
          <w:sz w:val="22"/>
          <w:szCs w:val="22"/>
        </w:rPr>
        <w:t xml:space="preserve"> a partir de ese momento, las obligaciones derivadas de éste serán exigibles sin perjuicio de la formalización del contrato respectivo, en los términos señalados en el fallo. Artículo 39.- Para cada uno de los actos del procedimiento adquisitivo se levantará el acta respectiva, la cual será firmada por los participantes, sin que la falta de firma de alguno de ellos invalide su contenido y efectos. </w:t>
      </w:r>
    </w:p>
    <w:p w14:paraId="4D1AF79F"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Artículo 40.- En los casos en que las propuestas económicas estén por arriba del precio de mercado, la convocante lo hará de conocimiento de los participantes, a fin de que reduzcan los precios de sus propuestas hasta que se presente alguna </w:t>
      </w:r>
      <w:r w:rsidRPr="00C60ABB">
        <w:rPr>
          <w:rFonts w:ascii="Palatino Linotype" w:eastAsia="Palatino Linotype" w:hAnsi="Palatino Linotype" w:cs="Palatino Linotype"/>
          <w:i/>
          <w:sz w:val="22"/>
          <w:szCs w:val="22"/>
        </w:rPr>
        <w:lastRenderedPageBreak/>
        <w:t xml:space="preserve">que esté dentro del precio del estudio de mercado; en caso contrario, se declarará desierta la licitación. </w:t>
      </w:r>
    </w:p>
    <w:p w14:paraId="1E9A60F6"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La convocante procederá a adjudicar el contrato al licitante que presente la propuesta que, estando dentro del precio de mercado, sea la más baja o haya obtenido el mejor puntaje en la evaluación, atendiendo al criterio utilizado, debiendo dar preferencia, en igualdad de condiciones, a las presentadas por micro, pequeñas y medianas empresas. </w:t>
      </w:r>
    </w:p>
    <w:p w14:paraId="23867ACF"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Si fuera el caso de que éstas hubieren presentado una misma oferta económica, se asignará a la que, a juicio del comité de adquisiciones y servicios, represente mayores ventajas para el convocante en cuanto a precio, fechas de entrega de bienes y/o prestación de servicios, así como otros criterios de valoración objetiva. Lo establecido en este artículo será aplicable en el procedimiento de invitación restringida. </w:t>
      </w:r>
    </w:p>
    <w:p w14:paraId="79222EF0"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Artículo 41.- La Secretaría, las entidades, los tribunales administrativos y los ayuntamientos procederán a declarar desierta la licitación en los procedimientos que tramiten, cuando no reciban propuesta alguna o las presentadas no reúnan los requisitos exigidos en las bases de licitación. Podrá declararse desierta una licitación parcialmente, cuando no se hubiese recibido propuesta alguna o las presentadas no reúnan los requisitos, respecto de una o varias partidas o conceptos. </w:t>
      </w:r>
    </w:p>
    <w:p w14:paraId="2F6FA1ED"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Artículo 42.- La convocante podrá cancelar una licitación por caso fortuito o por causa de fuerza mayor, o cuando existan circunstancias debidamente justificadas que produzcan la extinción de la necesidad de adquirir los bienes y los servicios de que se trate, o </w:t>
      </w:r>
      <w:proofErr w:type="gramStart"/>
      <w:r w:rsidRPr="00C60ABB">
        <w:rPr>
          <w:rFonts w:ascii="Palatino Linotype" w:eastAsia="Palatino Linotype" w:hAnsi="Palatino Linotype" w:cs="Palatino Linotype"/>
          <w:i/>
          <w:sz w:val="22"/>
          <w:szCs w:val="22"/>
        </w:rPr>
        <w:t>que</w:t>
      </w:r>
      <w:proofErr w:type="gramEnd"/>
      <w:r w:rsidRPr="00C60ABB">
        <w:rPr>
          <w:rFonts w:ascii="Palatino Linotype" w:eastAsia="Palatino Linotype" w:hAnsi="Palatino Linotype" w:cs="Palatino Linotype"/>
          <w:i/>
          <w:sz w:val="22"/>
          <w:szCs w:val="22"/>
        </w:rPr>
        <w:t xml:space="preserve"> de continuarse con el procedimiento de licitación o contratación en su caso, se pudiera ocasionar un daño o perjuicio a la administración pública estatal o municipal. </w:t>
      </w:r>
    </w:p>
    <w:p w14:paraId="68A3DAEF"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Las convocantes deberán comunicar la cancelación a los interesados, mediante escrito en el que se justifique la causa o causas de la misma. </w:t>
      </w:r>
    </w:p>
    <w:p w14:paraId="7112FADB"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En estos casos, la cancelación no implicará ninguna responsabilidad de carácter económico para las convocantes.</w:t>
      </w:r>
    </w:p>
    <w:p w14:paraId="002EA351"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w:t>
      </w:r>
    </w:p>
    <w:p w14:paraId="183C025E"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Artículo 44.- La Secretaría, las entidades, los tribunales administrativos y los </w:t>
      </w:r>
      <w:r w:rsidRPr="00C60ABB">
        <w:rPr>
          <w:rFonts w:ascii="Palatino Linotype" w:eastAsia="Palatino Linotype" w:hAnsi="Palatino Linotype" w:cs="Palatino Linotype"/>
          <w:b/>
          <w:i/>
          <w:sz w:val="22"/>
          <w:szCs w:val="22"/>
        </w:rPr>
        <w:t>ayuntamientos podrán adquirir y contratar servicios mediante invitación restringida</w:t>
      </w:r>
      <w:r w:rsidRPr="00C60ABB">
        <w:rPr>
          <w:rFonts w:ascii="Palatino Linotype" w:eastAsia="Palatino Linotype" w:hAnsi="Palatino Linotype" w:cs="Palatino Linotype"/>
          <w:i/>
          <w:sz w:val="22"/>
          <w:szCs w:val="22"/>
        </w:rPr>
        <w:t xml:space="preserve">, cuando: </w:t>
      </w:r>
    </w:p>
    <w:p w14:paraId="51337C82"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I. Se hubiere declarado desierto un procedimiento de licitación, o </w:t>
      </w:r>
    </w:p>
    <w:p w14:paraId="3F3C5D73"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II. El importe de la operación no exceda de los montos establecidos por el Presupuesto de Egresos del Gobierno del Estado de México del ejercicio correspondiente. </w:t>
      </w:r>
    </w:p>
    <w:p w14:paraId="09D9E91C"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La Secretaría, las entidades, los tribunales administrativos y los ayuntamientos se abstendrán de fraccionar el importe de las operaciones, con el propósito de quedar comprendidos en este supuesto de excepción. La Secretaría de la </w:t>
      </w:r>
      <w:r w:rsidRPr="00C60ABB">
        <w:rPr>
          <w:rFonts w:ascii="Palatino Linotype" w:eastAsia="Palatino Linotype" w:hAnsi="Palatino Linotype" w:cs="Palatino Linotype"/>
          <w:i/>
          <w:sz w:val="22"/>
          <w:szCs w:val="22"/>
        </w:rPr>
        <w:lastRenderedPageBreak/>
        <w:t xml:space="preserve">Contraloría y los órganos de control interno, en el ámbito de su competencia, vigilarán el cumplimiento de esta disposición. </w:t>
      </w:r>
    </w:p>
    <w:p w14:paraId="07D092F8"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En la invitación deberá especificarse si en el proceso de asignación aplicará la modalidad de subasta inversa. </w:t>
      </w:r>
    </w:p>
    <w:p w14:paraId="67A2E59F"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Artículo 45.- El procedimiento establecido en el artículo anterior, comprende la invitación de tres personas cuando menos, que serán seleccionadas de entre las que se inscriban en el catálogo de proveedores cuando exista el número de proveedores referidos. </w:t>
      </w:r>
    </w:p>
    <w:p w14:paraId="6F4FE112"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Artículo 46.- El procedimiento de invitación restringida se desarrollará en los términos de la licitación pública, a excepción de la publicación de la convocatoria. Artículo 47.- El procedimiento de invitación restringida se declarará desierto, cuando no se presente propuesta alguna que cumpla con los requisitos establecidos en las bases.</w:t>
      </w:r>
    </w:p>
    <w:p w14:paraId="667A6759"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Artículo 48.- La Secretaría, las entidades, los tribunales administrativos y </w:t>
      </w:r>
      <w:r w:rsidRPr="00C60ABB">
        <w:rPr>
          <w:rFonts w:ascii="Palatino Linotype" w:eastAsia="Palatino Linotype" w:hAnsi="Palatino Linotype" w:cs="Palatino Linotype"/>
          <w:b/>
          <w:i/>
          <w:sz w:val="22"/>
          <w:szCs w:val="22"/>
        </w:rPr>
        <w:t xml:space="preserve">los ayuntamientos podrán adquirir </w:t>
      </w:r>
      <w:r w:rsidRPr="00C60ABB">
        <w:rPr>
          <w:rFonts w:ascii="Palatino Linotype" w:eastAsia="Palatino Linotype" w:hAnsi="Palatino Linotype" w:cs="Palatino Linotype"/>
          <w:i/>
          <w:sz w:val="22"/>
          <w:szCs w:val="22"/>
        </w:rPr>
        <w:t xml:space="preserve">bienes, arrendar bienes muebles e inmuebles </w:t>
      </w:r>
      <w:r w:rsidRPr="00C60ABB">
        <w:rPr>
          <w:rFonts w:ascii="Palatino Linotype" w:eastAsia="Palatino Linotype" w:hAnsi="Palatino Linotype" w:cs="Palatino Linotype"/>
          <w:b/>
          <w:i/>
          <w:sz w:val="22"/>
          <w:szCs w:val="22"/>
        </w:rPr>
        <w:t>y contratar servicios, mediante adjudicación directa</w:t>
      </w:r>
      <w:r w:rsidRPr="00C60ABB">
        <w:rPr>
          <w:rFonts w:ascii="Palatino Linotype" w:eastAsia="Palatino Linotype" w:hAnsi="Palatino Linotype" w:cs="Palatino Linotype"/>
          <w:i/>
          <w:sz w:val="22"/>
          <w:szCs w:val="22"/>
        </w:rPr>
        <w:t xml:space="preserve">, cuando: </w:t>
      </w:r>
    </w:p>
    <w:p w14:paraId="00DBAC42"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I. La adquisición o el servicio sólo puedan realizarse con una determinada persona, por tratarse de obras de arte, titularidad de patentes, registros, marcas específicas, derechos de autor u otros derechos exclusivos. </w:t>
      </w:r>
    </w:p>
    <w:p w14:paraId="066C1B2C"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II.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 </w:t>
      </w:r>
    </w:p>
    <w:p w14:paraId="7C5B2D7D"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III. Se trate de servicios que requieran de experiencia, técnicas o equipos especiales, o se trate de la adquisición de bienes usados o de características especiales que solamente puedan ser prestados o suministrados por una sola persona. </w:t>
      </w:r>
    </w:p>
    <w:p w14:paraId="50ED1D30"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IV.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 </w:t>
      </w:r>
    </w:p>
    <w:p w14:paraId="33858FEF"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V. Existan circunstancias que puedan provocar pérdidas o costos adicionales importantes al erario. </w:t>
      </w:r>
    </w:p>
    <w:p w14:paraId="25EF80F8"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VI. Pueda comprometerse información de naturaleza confidencial para el Estado o municipios, por razones de seguridad pública. </w:t>
      </w:r>
    </w:p>
    <w:p w14:paraId="703365F5"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VII. Existan circunstancias extraordinarias o imprevisibles derivadas de riesgo o desastre. En este supuesto, la adquisición, arrendamiento y servicio deberá limitarse a lo estrictamente necesario para enfrentar tal eventualidad. </w:t>
      </w:r>
    </w:p>
    <w:p w14:paraId="7EDB6D39"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lastRenderedPageBreak/>
        <w:t xml:space="preserve">VIII. Se hubiere rescindido un contrato, por causas imputables al proveedor o que la persona que habiendo resultado ganadora en una licitación, no concurra a la suscripción del contrato dentro del plazo establecido en esta Ley. En estos supuestos, la Secretaría, la entidad, el tribunal administrativo o el ayuntamiento podrá adjudicar el contrato al licitante que haya presentado la propuesta solvente más cercana a la ganadora y así, sucesivamente. En todo caso, la diferencia de precio no deberá de ser superior al diez por ciento, respecto de la propuesta ganadora. </w:t>
      </w:r>
    </w:p>
    <w:p w14:paraId="42FA2269"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IX. Se hubiere declarado desierto un procedimiento de invitación restringida. </w:t>
      </w:r>
    </w:p>
    <w:p w14:paraId="1106F5FB"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X. Cuando se aseguren condiciones financieras que permitan al Estado o a los municipios cumplir con la obligación de pago de manera diferida, sin que ello implique un costo financiero adicional o </w:t>
      </w:r>
      <w:proofErr w:type="gramStart"/>
      <w:r w:rsidRPr="00C60ABB">
        <w:rPr>
          <w:rFonts w:ascii="Palatino Linotype" w:eastAsia="Palatino Linotype" w:hAnsi="Palatino Linotype" w:cs="Palatino Linotype"/>
          <w:i/>
          <w:sz w:val="22"/>
          <w:szCs w:val="22"/>
        </w:rPr>
        <w:t>que</w:t>
      </w:r>
      <w:proofErr w:type="gramEnd"/>
      <w:r w:rsidRPr="00C60ABB">
        <w:rPr>
          <w:rFonts w:ascii="Palatino Linotype" w:eastAsia="Palatino Linotype" w:hAnsi="Palatino Linotype" w:cs="Palatino Linotype"/>
          <w:i/>
          <w:sz w:val="22"/>
          <w:szCs w:val="22"/>
        </w:rPr>
        <w:t xml:space="preserve"> habiéndolo, sea inferior al del mercado, o </w:t>
      </w:r>
    </w:p>
    <w:p w14:paraId="53175DDF"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XI. El importe de la operación no rebase los montos establecidos en el Presupuesto de Egresos del Gobierno del Estado del ejercicio correspondiente. Tratándose de arrendamientos de inmuebles se entenderá por importe de la operación el monto mensual de la renta.</w:t>
      </w:r>
    </w:p>
    <w:p w14:paraId="42791CFD"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w:t>
      </w:r>
    </w:p>
    <w:p w14:paraId="3B59DBBE"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XII.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 </w:t>
      </w:r>
    </w:p>
    <w:p w14:paraId="014FECF5"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Artículo 49.- El procedimiento de adjudicación directa se substanciará con arreglo a el reglamento de esta Ley. </w:t>
      </w:r>
    </w:p>
    <w:p w14:paraId="724219D0" w14:textId="77777777" w:rsidR="004E626C" w:rsidRPr="00C60ABB" w:rsidRDefault="005C42B7">
      <w:pPr>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Artículo 50.- Las disposiciones relativas a los procedimientos de adquisición establecidas en este capítulo serán aplicables a los arrendamientos de bienes muebles e inmuebles, con arreglo a el reglamento de esta Ley.” (Sic)</w:t>
      </w:r>
    </w:p>
    <w:p w14:paraId="6CE54436" w14:textId="77777777" w:rsidR="004E626C" w:rsidRPr="00C60ABB" w:rsidRDefault="005C42B7">
      <w:pPr>
        <w:spacing w:before="240" w:after="240" w:line="360" w:lineRule="auto"/>
        <w:ind w:right="49"/>
        <w:jc w:val="both"/>
        <w:rPr>
          <w:rFonts w:ascii="Palatino Linotype" w:eastAsia="Palatino Linotype" w:hAnsi="Palatino Linotype" w:cs="Palatino Linotype"/>
        </w:rPr>
      </w:pPr>
      <w:r w:rsidRPr="00C60ABB">
        <w:rPr>
          <w:rFonts w:ascii="Palatino Linotype" w:eastAsia="Palatino Linotype" w:hAnsi="Palatino Linotype" w:cs="Palatino Linotype"/>
        </w:rPr>
        <w:t xml:space="preserve">De lo anterior se advierte que el </w:t>
      </w:r>
      <w:r w:rsidRPr="00C60ABB">
        <w:rPr>
          <w:rFonts w:ascii="Palatino Linotype" w:eastAsia="Palatino Linotype" w:hAnsi="Palatino Linotype" w:cs="Palatino Linotype"/>
          <w:b/>
        </w:rPr>
        <w:t>SUJETO OBLIGADO</w:t>
      </w:r>
      <w:r w:rsidRPr="00C60ABB">
        <w:rPr>
          <w:rFonts w:ascii="Palatino Linotype" w:eastAsia="Palatino Linotype" w:hAnsi="Palatino Linotype" w:cs="Palatino Linotype"/>
        </w:rPr>
        <w:t>, como un Ayuntamiento del Estado de México, conoce de toda la información generada con motivo de la licitación pública, invitación restringida y adjudicación directa en las que sea parte.</w:t>
      </w:r>
    </w:p>
    <w:p w14:paraId="3276B68B" w14:textId="77777777" w:rsidR="004E626C" w:rsidRPr="00C60ABB" w:rsidRDefault="005C42B7">
      <w:pPr>
        <w:spacing w:before="240" w:after="240" w:line="360" w:lineRule="auto"/>
        <w:ind w:right="49"/>
        <w:jc w:val="both"/>
        <w:rPr>
          <w:rFonts w:ascii="Palatino Linotype" w:eastAsia="Palatino Linotype" w:hAnsi="Palatino Linotype" w:cs="Palatino Linotype"/>
        </w:rPr>
      </w:pPr>
      <w:r w:rsidRPr="00C60ABB">
        <w:rPr>
          <w:rFonts w:ascii="Palatino Linotype" w:eastAsia="Palatino Linotype" w:hAnsi="Palatino Linotype" w:cs="Palatino Linotype"/>
        </w:rPr>
        <w:t xml:space="preserve">Máxime, que la información solicitada se trata de una obligación de transparencia, en términos del artículo 92, fracción XXIX de la Ley de la Materia, en donde </w:t>
      </w:r>
      <w:r w:rsidRPr="00C60ABB">
        <w:rPr>
          <w:rFonts w:ascii="Palatino Linotype" w:eastAsia="Palatino Linotype" w:hAnsi="Palatino Linotype" w:cs="Palatino Linotype"/>
        </w:rPr>
        <w:lastRenderedPageBreak/>
        <w:t xml:space="preserve">establece que los Sujetos Obligados se encuentran constreñidos a poner a disposición del público de manera permanente y actualizada de forma sencilla, precisa y entendible, en los respectivos medios electrónicos, de acuerdo con sus facultades, atribuciones, funciones u objeto social, según corresponda, entre otra información, aquella que se relacione con los procesos y resultados sobre procedimientos de adjudicación directa, invitación restringida y licitación de cualquier naturaleza, como se lee enseguida: </w:t>
      </w:r>
    </w:p>
    <w:p w14:paraId="0F45ADC5" w14:textId="77777777" w:rsidR="004E626C" w:rsidRPr="00C60ABB" w:rsidRDefault="005C42B7">
      <w:pPr>
        <w:ind w:left="1276" w:right="902"/>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w:t>
      </w:r>
      <w:r w:rsidRPr="00C60ABB">
        <w:rPr>
          <w:rFonts w:ascii="Palatino Linotype" w:eastAsia="Palatino Linotype" w:hAnsi="Palatino Linotype" w:cs="Palatino Linotype"/>
          <w:b/>
          <w:i/>
          <w:sz w:val="22"/>
          <w:szCs w:val="22"/>
        </w:rPr>
        <w:t>Artículo 92</w:t>
      </w:r>
      <w:r w:rsidRPr="00C60ABB">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F2805AD" w14:textId="77777777" w:rsidR="004E626C" w:rsidRPr="00C60ABB" w:rsidRDefault="005C42B7">
      <w:pPr>
        <w:tabs>
          <w:tab w:val="left" w:pos="426"/>
        </w:tabs>
        <w:spacing w:before="120" w:after="120"/>
        <w:ind w:left="1276" w:right="902"/>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w:t>
      </w:r>
    </w:p>
    <w:p w14:paraId="3D6EB702" w14:textId="77777777" w:rsidR="004E626C" w:rsidRPr="00C60ABB" w:rsidRDefault="005C42B7">
      <w:pPr>
        <w:tabs>
          <w:tab w:val="left" w:pos="426"/>
        </w:tabs>
        <w:spacing w:before="120" w:after="120"/>
        <w:ind w:left="1276" w:right="902"/>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b/>
          <w:i/>
          <w:sz w:val="22"/>
          <w:szCs w:val="22"/>
        </w:rPr>
        <w:t>XXIX.</w:t>
      </w:r>
      <w:r w:rsidRPr="00C60ABB">
        <w:rPr>
          <w:rFonts w:ascii="Palatino Linotype" w:eastAsia="Palatino Linotype" w:hAnsi="Palatino Linotype" w:cs="Palatino Linotype"/>
          <w:i/>
          <w:sz w:val="22"/>
          <w:szCs w:val="22"/>
        </w:rPr>
        <w:t xml:space="preserve"> La </w:t>
      </w:r>
      <w:r w:rsidRPr="00C60ABB">
        <w:rPr>
          <w:rFonts w:ascii="Palatino Linotype" w:eastAsia="Palatino Linotype" w:hAnsi="Palatino Linotype" w:cs="Palatino Linotype"/>
          <w:b/>
          <w:i/>
          <w:sz w:val="22"/>
          <w:szCs w:val="22"/>
        </w:rPr>
        <w:t xml:space="preserve">información sobre los procesos y resultados sobre procedimientos de </w:t>
      </w:r>
      <w:r w:rsidRPr="00C60ABB">
        <w:rPr>
          <w:rFonts w:ascii="Palatino Linotype" w:eastAsia="Palatino Linotype" w:hAnsi="Palatino Linotype" w:cs="Palatino Linotype"/>
          <w:b/>
          <w:i/>
          <w:sz w:val="22"/>
          <w:szCs w:val="22"/>
          <w:u w:val="single"/>
        </w:rPr>
        <w:t>adjudicación directa, invitación restringida y licitación de cualquier naturaleza</w:t>
      </w:r>
      <w:r w:rsidRPr="00C60ABB">
        <w:rPr>
          <w:rFonts w:ascii="Palatino Linotype" w:eastAsia="Palatino Linotype" w:hAnsi="Palatino Linotype" w:cs="Palatino Linotype"/>
          <w:i/>
          <w:sz w:val="22"/>
          <w:szCs w:val="22"/>
          <w:u w:val="single"/>
        </w:rPr>
        <w:t xml:space="preserve">, </w:t>
      </w:r>
      <w:r w:rsidRPr="00C60ABB">
        <w:rPr>
          <w:rFonts w:ascii="Palatino Linotype" w:eastAsia="Palatino Linotype" w:hAnsi="Palatino Linotype" w:cs="Palatino Linotype"/>
          <w:b/>
          <w:i/>
          <w:sz w:val="22"/>
          <w:szCs w:val="22"/>
        </w:rPr>
        <w:t>incluyendo la versión pública</w:t>
      </w:r>
      <w:r w:rsidRPr="00C60ABB">
        <w:rPr>
          <w:rFonts w:ascii="Palatino Linotype" w:eastAsia="Palatino Linotype" w:hAnsi="Palatino Linotype" w:cs="Palatino Linotype"/>
          <w:i/>
          <w:sz w:val="22"/>
          <w:szCs w:val="22"/>
        </w:rPr>
        <w:t xml:space="preserve"> </w:t>
      </w:r>
      <w:r w:rsidRPr="00C60ABB">
        <w:rPr>
          <w:rFonts w:ascii="Palatino Linotype" w:eastAsia="Palatino Linotype" w:hAnsi="Palatino Linotype" w:cs="Palatino Linotype"/>
          <w:b/>
          <w:i/>
          <w:sz w:val="22"/>
          <w:szCs w:val="22"/>
          <w:u w:val="single"/>
        </w:rPr>
        <w:t xml:space="preserve">del expediente respectivo </w:t>
      </w:r>
      <w:r w:rsidRPr="00C60ABB">
        <w:rPr>
          <w:rFonts w:ascii="Palatino Linotype" w:eastAsia="Palatino Linotype" w:hAnsi="Palatino Linotype" w:cs="Palatino Linotype"/>
          <w:i/>
          <w:sz w:val="22"/>
          <w:szCs w:val="22"/>
        </w:rPr>
        <w:t>y de los contratos celebrados, que deberán contener, por los menos, lo siguiente:</w:t>
      </w:r>
    </w:p>
    <w:p w14:paraId="5B6F96A0"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b/>
          <w:i/>
          <w:sz w:val="22"/>
          <w:szCs w:val="22"/>
          <w:u w:val="single"/>
        </w:rPr>
      </w:pPr>
      <w:r w:rsidRPr="00C60ABB">
        <w:rPr>
          <w:rFonts w:ascii="Palatino Linotype" w:eastAsia="Palatino Linotype" w:hAnsi="Palatino Linotype" w:cs="Palatino Linotype"/>
          <w:b/>
          <w:i/>
          <w:sz w:val="22"/>
          <w:szCs w:val="22"/>
          <w:u w:val="single"/>
        </w:rPr>
        <w:t>a) De licitaciones públicas o procedimientos de invitación restringida:</w:t>
      </w:r>
    </w:p>
    <w:p w14:paraId="62F25C3A"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b/>
          <w:i/>
          <w:sz w:val="22"/>
          <w:szCs w:val="22"/>
        </w:rPr>
      </w:pPr>
      <w:r w:rsidRPr="00C60ABB">
        <w:rPr>
          <w:b/>
        </w:rPr>
        <w:t>1</w:t>
      </w:r>
      <w:r w:rsidRPr="00C60ABB">
        <w:rPr>
          <w:rFonts w:ascii="Palatino Linotype" w:eastAsia="Palatino Linotype" w:hAnsi="Palatino Linotype" w:cs="Palatino Linotype"/>
          <w:b/>
          <w:i/>
          <w:sz w:val="22"/>
          <w:szCs w:val="22"/>
        </w:rPr>
        <w:t xml:space="preserve">) La convocatoria o invitación emitida, así como los fundamentos legales aplicados para llevarla a cabo; </w:t>
      </w:r>
    </w:p>
    <w:p w14:paraId="06C910B0"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sz w:val="22"/>
          <w:szCs w:val="22"/>
        </w:rPr>
        <w:t xml:space="preserve">2) Los nombres de los participantes o invitados; </w:t>
      </w:r>
    </w:p>
    <w:p w14:paraId="6A91EDD3"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sz w:val="22"/>
          <w:szCs w:val="22"/>
        </w:rPr>
        <w:t xml:space="preserve">3) El nombre del ganador y las razones que lo justifican; </w:t>
      </w:r>
    </w:p>
    <w:p w14:paraId="7B5DB933"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sz w:val="22"/>
          <w:szCs w:val="22"/>
        </w:rPr>
        <w:t xml:space="preserve">4) El área solicitante y la responsable de su ejecución; </w:t>
      </w:r>
    </w:p>
    <w:p w14:paraId="5596DBE7"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sz w:val="22"/>
          <w:szCs w:val="22"/>
        </w:rPr>
        <w:t xml:space="preserve">5) Las convocatorias e invitaciones emitidas; </w:t>
      </w:r>
    </w:p>
    <w:p w14:paraId="177F08DC"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sz w:val="22"/>
          <w:szCs w:val="22"/>
        </w:rPr>
        <w:t>6) Los dictámenes y fallo de adjudicación;</w:t>
      </w:r>
    </w:p>
    <w:p w14:paraId="7F838E86"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sz w:val="22"/>
          <w:szCs w:val="22"/>
        </w:rPr>
        <w:t xml:space="preserve"> 7) El contrato y, en su caso, sus anexos; </w:t>
      </w:r>
    </w:p>
    <w:p w14:paraId="74FFAA21"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sz w:val="22"/>
          <w:szCs w:val="22"/>
        </w:rPr>
        <w:lastRenderedPageBreak/>
        <w:t xml:space="preserve">8) Los mecanismos de vigilancia y supervisión, incluyendo en su caso, los estudios de impacto urbano y ambiental, según corresponda; </w:t>
      </w:r>
    </w:p>
    <w:p w14:paraId="0F2EB325"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sz w:val="22"/>
          <w:szCs w:val="22"/>
        </w:rPr>
        <w:t xml:space="preserve">9) La partida presupuestal, de conformidad con el clasificador por objeto del gasto, en el caso de ser aplicable; </w:t>
      </w:r>
    </w:p>
    <w:p w14:paraId="0D9B4F5D"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sz w:val="22"/>
          <w:szCs w:val="22"/>
        </w:rPr>
        <w:t xml:space="preserve">10) Origen de los recursos especificando si son federales, estatales o municipales, así como el tipo de fondo de participación o aportación respectiva; </w:t>
      </w:r>
    </w:p>
    <w:p w14:paraId="1A4049C0"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sz w:val="22"/>
          <w:szCs w:val="22"/>
        </w:rPr>
        <w:t xml:space="preserve">11) Los convenios modificatorios que, en su caso, sean firmados, precisando el objeto y la fecha de celebración; </w:t>
      </w:r>
    </w:p>
    <w:p w14:paraId="2F5A0F9C"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sz w:val="22"/>
          <w:szCs w:val="22"/>
        </w:rPr>
        <w:t xml:space="preserve">12) Los informes de avance físico y financiero sobre las obras o servicios contratados; </w:t>
      </w:r>
    </w:p>
    <w:p w14:paraId="2D15AABD"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sz w:val="22"/>
          <w:szCs w:val="22"/>
        </w:rPr>
        <w:t xml:space="preserve">13) El convenio de terminación; y </w:t>
      </w:r>
    </w:p>
    <w:p w14:paraId="3343F10C"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sz w:val="22"/>
          <w:szCs w:val="22"/>
        </w:rPr>
        <w:t>14) El finiquito.</w:t>
      </w:r>
    </w:p>
    <w:p w14:paraId="508331C6"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sz w:val="22"/>
          <w:szCs w:val="22"/>
        </w:rPr>
        <w:t xml:space="preserve">b) De las adjudicaciones directas: </w:t>
      </w:r>
    </w:p>
    <w:p w14:paraId="54195FA8"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sz w:val="22"/>
          <w:szCs w:val="22"/>
        </w:rPr>
        <w:t xml:space="preserve">1) La propuesta enviada por el participante; </w:t>
      </w:r>
    </w:p>
    <w:p w14:paraId="6C778AFE"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sz w:val="22"/>
          <w:szCs w:val="22"/>
        </w:rPr>
        <w:t xml:space="preserve">2) Los motivos y fundamentos legales aplicados para llevarla a cabo; </w:t>
      </w:r>
    </w:p>
    <w:p w14:paraId="411C1FBE"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sz w:val="22"/>
          <w:szCs w:val="22"/>
        </w:rPr>
        <w:t xml:space="preserve">3) La autorización del ejercicio de la opción; </w:t>
      </w:r>
    </w:p>
    <w:p w14:paraId="6EFAA465"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sz w:val="22"/>
          <w:szCs w:val="22"/>
        </w:rPr>
        <w:t xml:space="preserve">4) En su caso, las cotizaciones consideradas, especificando los nombres de los proveedores y sus montos; </w:t>
      </w:r>
    </w:p>
    <w:p w14:paraId="2081B7DF"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sz w:val="22"/>
          <w:szCs w:val="22"/>
        </w:rPr>
        <w:t xml:space="preserve">5) El nombre de la persona física o jurídica colectiva adjudicada; </w:t>
      </w:r>
    </w:p>
    <w:p w14:paraId="2B779F2F"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sz w:val="22"/>
          <w:szCs w:val="22"/>
        </w:rPr>
        <w:t xml:space="preserve">6) La unidad administrativa solicitante y la responsable de su ejecución; </w:t>
      </w:r>
    </w:p>
    <w:p w14:paraId="27229841"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sz w:val="22"/>
          <w:szCs w:val="22"/>
        </w:rPr>
        <w:t xml:space="preserve">7) El número, fecha, el monto del contrato y el plazo de entrega o de ejecución de los servicios u obra; </w:t>
      </w:r>
    </w:p>
    <w:p w14:paraId="7537C8B5"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sz w:val="22"/>
          <w:szCs w:val="22"/>
        </w:rPr>
        <w:t xml:space="preserve">8) Los mecanismos de vigilancia y supervisión, incluyendo, en su caso, los estudios de impacto urbano y ambiental, según corresponda; </w:t>
      </w:r>
    </w:p>
    <w:p w14:paraId="781BB273"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sz w:val="22"/>
          <w:szCs w:val="22"/>
        </w:rPr>
        <w:t xml:space="preserve">9) Los informes de avance sobre las obras o servicios contratados; 10) El convenio de terminación; y </w:t>
      </w:r>
    </w:p>
    <w:p w14:paraId="5999D8CB"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sz w:val="22"/>
          <w:szCs w:val="22"/>
        </w:rPr>
        <w:t>11) El finiquito</w:t>
      </w:r>
    </w:p>
    <w:p w14:paraId="7E1EB6B0"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b/>
          <w:i/>
          <w:sz w:val="22"/>
          <w:szCs w:val="22"/>
          <w:u w:val="single"/>
        </w:rPr>
      </w:pPr>
      <w:r w:rsidRPr="00C60ABB">
        <w:rPr>
          <w:rFonts w:ascii="Palatino Linotype" w:eastAsia="Palatino Linotype" w:hAnsi="Palatino Linotype" w:cs="Palatino Linotype"/>
          <w:b/>
          <w:i/>
          <w:sz w:val="22"/>
          <w:szCs w:val="22"/>
          <w:u w:val="single"/>
        </w:rPr>
        <w:t xml:space="preserve">b) De las adjudicaciones directas: </w:t>
      </w:r>
    </w:p>
    <w:p w14:paraId="7B53810F"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sz w:val="22"/>
          <w:szCs w:val="22"/>
        </w:rPr>
        <w:lastRenderedPageBreak/>
        <w:t xml:space="preserve">1) La propuesta enviada por el participante; </w:t>
      </w:r>
    </w:p>
    <w:p w14:paraId="4D8B17DB"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sz w:val="22"/>
          <w:szCs w:val="22"/>
        </w:rPr>
        <w:t xml:space="preserve">2) Los motivos y fundamentos legales aplicados para llevarla a cabo; </w:t>
      </w:r>
    </w:p>
    <w:p w14:paraId="6C1F0CB0"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sz w:val="22"/>
          <w:szCs w:val="22"/>
        </w:rPr>
        <w:t xml:space="preserve">3) La autorización del ejercicio de la opción; </w:t>
      </w:r>
    </w:p>
    <w:p w14:paraId="7E36BDDC"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sz w:val="22"/>
          <w:szCs w:val="22"/>
        </w:rPr>
        <w:t xml:space="preserve">4) En su caso, las cotizaciones consideradas, especificando los nombres de los proveedores y sus montos; </w:t>
      </w:r>
    </w:p>
    <w:p w14:paraId="151E9FEE"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sz w:val="22"/>
          <w:szCs w:val="22"/>
        </w:rPr>
        <w:t xml:space="preserve">5) El nombre de la persona física o jurídica colectiva adjudicada; </w:t>
      </w:r>
    </w:p>
    <w:p w14:paraId="52EA1C71"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sz w:val="22"/>
          <w:szCs w:val="22"/>
        </w:rPr>
        <w:t xml:space="preserve">6) La unidad administrativa solicitante y la responsable de su ejecución; </w:t>
      </w:r>
    </w:p>
    <w:p w14:paraId="7A51F09E"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sz w:val="22"/>
          <w:szCs w:val="22"/>
        </w:rPr>
        <w:t xml:space="preserve">7) El número, fecha, el monto del contrato y el plazo de entrega o de ejecución de los servicios u obra; </w:t>
      </w:r>
    </w:p>
    <w:p w14:paraId="3488C7DF"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sz w:val="22"/>
          <w:szCs w:val="22"/>
        </w:rPr>
        <w:t xml:space="preserve">8) Los mecanismos de vigilancia y supervisión, incluyendo, en su caso, los estudios de impacto urbano y ambiental, según corresponda; </w:t>
      </w:r>
    </w:p>
    <w:p w14:paraId="7E689431"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sz w:val="22"/>
          <w:szCs w:val="22"/>
        </w:rPr>
        <w:t xml:space="preserve">9) Los informes de avance sobre las obras o servicios contratados; 10) El convenio de terminación; y </w:t>
      </w:r>
    </w:p>
    <w:p w14:paraId="0D0A285F"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sz w:val="22"/>
          <w:szCs w:val="22"/>
        </w:rPr>
        <w:t>11) El finiquito” (Sic)</w:t>
      </w:r>
    </w:p>
    <w:p w14:paraId="59BB6EB2" w14:textId="77777777" w:rsidR="004E626C" w:rsidRPr="00C60ABB" w:rsidRDefault="004E626C">
      <w:pPr>
        <w:spacing w:line="360" w:lineRule="auto"/>
        <w:jc w:val="both"/>
        <w:rPr>
          <w:rFonts w:ascii="Palatino Linotype" w:eastAsia="Palatino Linotype" w:hAnsi="Palatino Linotype" w:cs="Palatino Linotype"/>
        </w:rPr>
      </w:pPr>
    </w:p>
    <w:p w14:paraId="0692869F" w14:textId="77777777" w:rsidR="004E626C" w:rsidRPr="00C60ABB" w:rsidRDefault="005C42B7">
      <w:pPr>
        <w:spacing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Lo que se robustece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que establece lo siguiente:</w:t>
      </w:r>
    </w:p>
    <w:p w14:paraId="3E434114" w14:textId="77777777" w:rsidR="004E626C" w:rsidRPr="00C60ABB" w:rsidRDefault="004E626C">
      <w:pPr>
        <w:spacing w:line="360" w:lineRule="auto"/>
        <w:jc w:val="both"/>
        <w:rPr>
          <w:rFonts w:ascii="Palatino Linotype" w:eastAsia="Palatino Linotype" w:hAnsi="Palatino Linotype" w:cs="Palatino Linotype"/>
        </w:rPr>
      </w:pPr>
    </w:p>
    <w:p w14:paraId="35246266" w14:textId="77777777" w:rsidR="004E626C" w:rsidRPr="00C60ABB" w:rsidRDefault="005C42B7">
      <w:pPr>
        <w:spacing w:line="276" w:lineRule="auto"/>
        <w:ind w:left="851" w:right="900"/>
        <w:jc w:val="center"/>
        <w:rPr>
          <w:rFonts w:ascii="Palatino Linotype" w:eastAsia="Palatino Linotype" w:hAnsi="Palatino Linotype" w:cs="Palatino Linotype"/>
          <w:i/>
        </w:rPr>
      </w:pPr>
      <w:r w:rsidRPr="00C60ABB">
        <w:rPr>
          <w:rFonts w:ascii="Palatino Linotype" w:eastAsia="Palatino Linotype" w:hAnsi="Palatino Linotype" w:cs="Palatino Linotype"/>
          <w:i/>
        </w:rPr>
        <w:t>OBLIGACIONES DE TRANSPARENCIA COMUNES</w:t>
      </w:r>
    </w:p>
    <w:p w14:paraId="4FDFBD7E" w14:textId="77777777" w:rsidR="004E626C" w:rsidRPr="00C60ABB" w:rsidRDefault="005C42B7">
      <w:pPr>
        <w:spacing w:line="276" w:lineRule="auto"/>
        <w:ind w:left="851" w:right="900"/>
        <w:jc w:val="center"/>
        <w:rPr>
          <w:rFonts w:ascii="Palatino Linotype" w:eastAsia="Palatino Linotype" w:hAnsi="Palatino Linotype" w:cs="Palatino Linotype"/>
          <w:i/>
        </w:rPr>
      </w:pPr>
      <w:r w:rsidRPr="00C60ABB">
        <w:rPr>
          <w:rFonts w:ascii="Palatino Linotype" w:eastAsia="Palatino Linotype" w:hAnsi="Palatino Linotype" w:cs="Palatino Linotype"/>
          <w:i/>
        </w:rPr>
        <w:t>TODOS LOS SUJETOS OBLIGADOS</w:t>
      </w:r>
    </w:p>
    <w:p w14:paraId="55756DD4" w14:textId="77777777" w:rsidR="004E626C" w:rsidRPr="00C60ABB" w:rsidRDefault="005C42B7">
      <w:pPr>
        <w:spacing w:line="276" w:lineRule="auto"/>
        <w:ind w:left="851" w:right="900"/>
        <w:jc w:val="both"/>
        <w:rPr>
          <w:rFonts w:ascii="Palatino Linotype" w:eastAsia="Palatino Linotype" w:hAnsi="Palatino Linotype" w:cs="Palatino Linotype"/>
          <w:i/>
        </w:rPr>
      </w:pPr>
      <w:r w:rsidRPr="00C60ABB">
        <w:rPr>
          <w:rFonts w:ascii="Palatino Linotype" w:eastAsia="Palatino Linotype" w:hAnsi="Palatino Linotype" w:cs="Palatino Linotype"/>
          <w:i/>
        </w:rPr>
        <w:t>Criterios para las obligaciones de transparencia comunes</w:t>
      </w:r>
    </w:p>
    <w:p w14:paraId="15033CCE" w14:textId="77777777" w:rsidR="004E626C" w:rsidRPr="00C60ABB" w:rsidRDefault="005C42B7">
      <w:pPr>
        <w:spacing w:line="276" w:lineRule="auto"/>
        <w:ind w:left="851" w:right="900"/>
        <w:jc w:val="both"/>
        <w:rPr>
          <w:rFonts w:ascii="Palatino Linotype" w:eastAsia="Palatino Linotype" w:hAnsi="Palatino Linotype" w:cs="Palatino Linotype"/>
          <w:i/>
        </w:rPr>
      </w:pPr>
      <w:r w:rsidRPr="00C60ABB">
        <w:rPr>
          <w:rFonts w:ascii="Palatino Linotype" w:eastAsia="Palatino Linotype" w:hAnsi="Palatino Linotype" w:cs="Palatino Linotype"/>
          <w:i/>
        </w:rPr>
        <w:t xml:space="preserve">El catálogo de la información que todos los sujetos obligados deben poner a disposición de las personas en sus portales de Internet y en la Plataforma </w:t>
      </w:r>
      <w:r w:rsidRPr="00C60ABB">
        <w:rPr>
          <w:rFonts w:ascii="Palatino Linotype" w:eastAsia="Palatino Linotype" w:hAnsi="Palatino Linotype" w:cs="Palatino Linotype"/>
          <w:i/>
        </w:rPr>
        <w:lastRenderedPageBreak/>
        <w:t>Nacional está detallado en el Título Quinto, Capítulo II de la Ley General, en el artículo 70, fracciones I a la XLVIII.</w:t>
      </w:r>
    </w:p>
    <w:p w14:paraId="384055B2" w14:textId="77777777" w:rsidR="004E626C" w:rsidRPr="00C60ABB" w:rsidRDefault="005C42B7">
      <w:pPr>
        <w:spacing w:line="276" w:lineRule="auto"/>
        <w:ind w:left="851" w:right="900"/>
        <w:jc w:val="both"/>
        <w:rPr>
          <w:rFonts w:ascii="Palatino Linotype" w:eastAsia="Palatino Linotype" w:hAnsi="Palatino Linotype" w:cs="Palatino Linotype"/>
          <w:i/>
        </w:rPr>
      </w:pPr>
      <w:r w:rsidRPr="00C60ABB">
        <w:rPr>
          <w:rFonts w:ascii="Palatino Linotype" w:eastAsia="Palatino Linotype" w:hAnsi="Palatino Linotype" w:cs="Palatino Linotype"/>
          <w:i/>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14:paraId="1724639C" w14:textId="77777777" w:rsidR="004E626C" w:rsidRPr="00C60ABB" w:rsidRDefault="005C42B7">
      <w:pPr>
        <w:spacing w:line="276" w:lineRule="auto"/>
        <w:ind w:left="851" w:right="900"/>
        <w:jc w:val="both"/>
        <w:rPr>
          <w:rFonts w:ascii="Palatino Linotype" w:eastAsia="Palatino Linotype" w:hAnsi="Palatino Linotype" w:cs="Palatino Linotype"/>
          <w:i/>
        </w:rPr>
      </w:pPr>
      <w:r w:rsidRPr="00C60ABB">
        <w:rPr>
          <w:rFonts w:ascii="Palatino Linotype" w:eastAsia="Palatino Linotype" w:hAnsi="Palatino Linotype" w:cs="Palatino Linotype"/>
          <w:i/>
        </w:rPr>
        <w:t>El artículo 70 dice a la letra:</w:t>
      </w:r>
    </w:p>
    <w:p w14:paraId="6A0E1842" w14:textId="77777777" w:rsidR="004E626C" w:rsidRPr="00C60ABB" w:rsidRDefault="005C42B7">
      <w:pPr>
        <w:spacing w:line="276" w:lineRule="auto"/>
        <w:ind w:left="851" w:right="900"/>
        <w:jc w:val="both"/>
        <w:rPr>
          <w:rFonts w:ascii="Palatino Linotype" w:eastAsia="Palatino Linotype" w:hAnsi="Palatino Linotype" w:cs="Palatino Linotype"/>
          <w:i/>
        </w:rPr>
      </w:pPr>
      <w:r w:rsidRPr="00C60ABB">
        <w:rPr>
          <w:rFonts w:ascii="Palatino Linotype" w:eastAsia="Palatino Linotype" w:hAnsi="Palatino Linotype" w:cs="Palatino Linotype"/>
          <w:i/>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39C58BD8" w14:textId="77777777" w:rsidR="004E626C" w:rsidRPr="00C60ABB" w:rsidRDefault="005C42B7">
      <w:pPr>
        <w:spacing w:line="276" w:lineRule="auto"/>
        <w:ind w:left="851" w:right="900"/>
        <w:jc w:val="both"/>
        <w:rPr>
          <w:rFonts w:ascii="Palatino Linotype" w:eastAsia="Palatino Linotype" w:hAnsi="Palatino Linotype" w:cs="Palatino Linotype"/>
          <w:i/>
        </w:rPr>
      </w:pPr>
      <w:r w:rsidRPr="00C60ABB">
        <w:rPr>
          <w:rFonts w:ascii="Palatino Linotype" w:eastAsia="Palatino Linotype" w:hAnsi="Palatino Linotype" w:cs="Palatino Linotype"/>
          <w:i/>
        </w:rPr>
        <w:t>(…)</w:t>
      </w:r>
    </w:p>
    <w:p w14:paraId="6A92BE93" w14:textId="77777777" w:rsidR="004E626C" w:rsidRPr="00C60ABB" w:rsidRDefault="005C42B7">
      <w:pPr>
        <w:spacing w:line="276" w:lineRule="auto"/>
        <w:ind w:left="851" w:right="900"/>
        <w:jc w:val="both"/>
        <w:rPr>
          <w:rFonts w:ascii="Palatino Linotype" w:eastAsia="Palatino Linotype" w:hAnsi="Palatino Linotype" w:cs="Palatino Linotype"/>
          <w:i/>
        </w:rPr>
      </w:pPr>
      <w:r w:rsidRPr="00C60ABB">
        <w:rPr>
          <w:rFonts w:ascii="Palatino Linotype" w:eastAsia="Palatino Linotype" w:hAnsi="Palatino Linotype" w:cs="Palatino Linotype"/>
          <w:i/>
        </w:rPr>
        <w:t>Periodo de actualización: trimestral</w:t>
      </w:r>
    </w:p>
    <w:p w14:paraId="1AA5F6D4" w14:textId="77777777" w:rsidR="004E626C" w:rsidRPr="00C60ABB" w:rsidRDefault="005C42B7">
      <w:pPr>
        <w:spacing w:line="276" w:lineRule="auto"/>
        <w:ind w:left="851" w:right="900"/>
        <w:jc w:val="both"/>
        <w:rPr>
          <w:rFonts w:ascii="Palatino Linotype" w:eastAsia="Palatino Linotype" w:hAnsi="Palatino Linotype" w:cs="Palatino Linotype"/>
          <w:i/>
        </w:rPr>
      </w:pPr>
      <w:r w:rsidRPr="00C60ABB">
        <w:rPr>
          <w:rFonts w:ascii="Palatino Linotype" w:eastAsia="Palatino Linotype" w:hAnsi="Palatino Linotype" w:cs="Palatino Linotype"/>
          <w:i/>
        </w:rPr>
        <w:t>Conservar en el sitio de Internet: información del ejercicio en curso y la correspondiente a dos ejercicios anteriores</w:t>
      </w:r>
    </w:p>
    <w:p w14:paraId="6BFAEC4B" w14:textId="77777777" w:rsidR="004E626C" w:rsidRPr="00C60ABB" w:rsidRDefault="005C42B7">
      <w:pPr>
        <w:spacing w:line="276" w:lineRule="auto"/>
        <w:ind w:left="851" w:right="900"/>
        <w:jc w:val="both"/>
        <w:rPr>
          <w:rFonts w:ascii="Palatino Linotype" w:eastAsia="Palatino Linotype" w:hAnsi="Palatino Linotype" w:cs="Palatino Linotype"/>
          <w:i/>
        </w:rPr>
      </w:pPr>
      <w:r w:rsidRPr="00C60ABB">
        <w:rPr>
          <w:rFonts w:ascii="Palatino Linotype" w:eastAsia="Palatino Linotype" w:hAnsi="Palatino Linotype" w:cs="Palatino Linotype"/>
          <w:i/>
        </w:rPr>
        <w:t>Aplica a: todos los sujetos obligados</w:t>
      </w:r>
    </w:p>
    <w:p w14:paraId="1447EBD0" w14:textId="77777777" w:rsidR="004E626C" w:rsidRPr="00C60ABB" w:rsidRDefault="005C42B7">
      <w:pPr>
        <w:ind w:left="851" w:right="902"/>
        <w:jc w:val="both"/>
        <w:rPr>
          <w:rFonts w:ascii="Palatino Linotype" w:eastAsia="Palatino Linotype" w:hAnsi="Palatino Linotype" w:cs="Palatino Linotype"/>
          <w:i/>
        </w:rPr>
      </w:pPr>
      <w:r w:rsidRPr="00C60ABB">
        <w:rPr>
          <w:rFonts w:ascii="Palatino Linotype" w:eastAsia="Palatino Linotype" w:hAnsi="Palatino Linotype" w:cs="Palatino Linotype"/>
          <w:i/>
        </w:rPr>
        <w:t xml:space="preserve">XXVIII. 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p w14:paraId="262E5A10" w14:textId="77777777" w:rsidR="004E626C" w:rsidRPr="00C60ABB" w:rsidRDefault="005C42B7">
      <w:pPr>
        <w:ind w:left="851" w:right="902"/>
        <w:jc w:val="both"/>
        <w:rPr>
          <w:rFonts w:ascii="Palatino Linotype" w:eastAsia="Palatino Linotype" w:hAnsi="Palatino Linotype" w:cs="Palatino Linotype"/>
          <w:b/>
          <w:i/>
          <w:u w:val="single"/>
        </w:rPr>
      </w:pPr>
      <w:r w:rsidRPr="00C60ABB">
        <w:rPr>
          <w:rFonts w:ascii="Palatino Linotype" w:eastAsia="Palatino Linotype" w:hAnsi="Palatino Linotype" w:cs="Palatino Linotype"/>
          <w:b/>
          <w:i/>
          <w:u w:val="single"/>
        </w:rPr>
        <w:t xml:space="preserve">a) De licitaciones públicas o procedimientos de invitación restringida: </w:t>
      </w:r>
    </w:p>
    <w:p w14:paraId="5B41E6EF" w14:textId="77777777" w:rsidR="004E626C" w:rsidRPr="00C60ABB" w:rsidRDefault="005C42B7">
      <w:pPr>
        <w:ind w:left="851" w:right="902"/>
        <w:jc w:val="both"/>
        <w:rPr>
          <w:rFonts w:ascii="Palatino Linotype" w:eastAsia="Palatino Linotype" w:hAnsi="Palatino Linotype" w:cs="Palatino Linotype"/>
          <w:b/>
          <w:i/>
        </w:rPr>
      </w:pPr>
      <w:r w:rsidRPr="00C60ABB">
        <w:rPr>
          <w:rFonts w:ascii="Palatino Linotype" w:eastAsia="Palatino Linotype" w:hAnsi="Palatino Linotype" w:cs="Palatino Linotype"/>
          <w:b/>
          <w:i/>
        </w:rPr>
        <w:t xml:space="preserve">1. La convocatoria o invitación emitida, así como los fundamentos legales aplicados para llevarla a cabo; </w:t>
      </w:r>
    </w:p>
    <w:p w14:paraId="0A4557D6" w14:textId="77777777" w:rsidR="004E626C" w:rsidRPr="00C60ABB" w:rsidRDefault="005C42B7">
      <w:pPr>
        <w:ind w:left="851" w:right="902"/>
        <w:jc w:val="both"/>
        <w:rPr>
          <w:rFonts w:ascii="Palatino Linotype" w:eastAsia="Palatino Linotype" w:hAnsi="Palatino Linotype" w:cs="Palatino Linotype"/>
          <w:b/>
          <w:i/>
        </w:rPr>
      </w:pPr>
      <w:r w:rsidRPr="00C60ABB">
        <w:rPr>
          <w:rFonts w:ascii="Palatino Linotype" w:eastAsia="Palatino Linotype" w:hAnsi="Palatino Linotype" w:cs="Palatino Linotype"/>
          <w:b/>
          <w:i/>
        </w:rPr>
        <w:t xml:space="preserve">2. Los nombres de los participantes o invitados; </w:t>
      </w:r>
    </w:p>
    <w:p w14:paraId="21476DA2" w14:textId="77777777" w:rsidR="004E626C" w:rsidRPr="00C60ABB" w:rsidRDefault="005C42B7">
      <w:pPr>
        <w:ind w:left="851" w:right="902"/>
        <w:jc w:val="both"/>
        <w:rPr>
          <w:rFonts w:ascii="Palatino Linotype" w:eastAsia="Palatino Linotype" w:hAnsi="Palatino Linotype" w:cs="Palatino Linotype"/>
          <w:b/>
          <w:i/>
        </w:rPr>
      </w:pPr>
      <w:r w:rsidRPr="00C60ABB">
        <w:rPr>
          <w:rFonts w:ascii="Palatino Linotype" w:eastAsia="Palatino Linotype" w:hAnsi="Palatino Linotype" w:cs="Palatino Linotype"/>
          <w:b/>
          <w:i/>
        </w:rPr>
        <w:t xml:space="preserve">3. El nombre del ganador y las razones que lo justifican; </w:t>
      </w:r>
    </w:p>
    <w:p w14:paraId="4C459EDE" w14:textId="77777777" w:rsidR="004E626C" w:rsidRPr="00C60ABB" w:rsidRDefault="005C42B7">
      <w:pPr>
        <w:ind w:left="851" w:right="902"/>
        <w:jc w:val="both"/>
        <w:rPr>
          <w:rFonts w:ascii="Palatino Linotype" w:eastAsia="Palatino Linotype" w:hAnsi="Palatino Linotype" w:cs="Palatino Linotype"/>
          <w:b/>
          <w:i/>
        </w:rPr>
      </w:pPr>
      <w:r w:rsidRPr="00C60ABB">
        <w:rPr>
          <w:rFonts w:ascii="Palatino Linotype" w:eastAsia="Palatino Linotype" w:hAnsi="Palatino Linotype" w:cs="Palatino Linotype"/>
          <w:b/>
          <w:i/>
        </w:rPr>
        <w:t xml:space="preserve">4. El área solicitante y la responsable de su ejecución; </w:t>
      </w:r>
    </w:p>
    <w:p w14:paraId="25EC7B46" w14:textId="77777777" w:rsidR="004E626C" w:rsidRPr="00C60ABB" w:rsidRDefault="005C42B7">
      <w:pPr>
        <w:ind w:left="851" w:right="902"/>
        <w:jc w:val="both"/>
        <w:rPr>
          <w:rFonts w:ascii="Palatino Linotype" w:eastAsia="Palatino Linotype" w:hAnsi="Palatino Linotype" w:cs="Palatino Linotype"/>
          <w:b/>
          <w:i/>
        </w:rPr>
      </w:pPr>
      <w:r w:rsidRPr="00C60ABB">
        <w:rPr>
          <w:rFonts w:ascii="Palatino Linotype" w:eastAsia="Palatino Linotype" w:hAnsi="Palatino Linotype" w:cs="Palatino Linotype"/>
          <w:b/>
          <w:i/>
        </w:rPr>
        <w:t xml:space="preserve">5. Las convocatorias e invitaciones emitidas; </w:t>
      </w:r>
    </w:p>
    <w:p w14:paraId="7C41F0FC" w14:textId="77777777" w:rsidR="004E626C" w:rsidRPr="00C60ABB" w:rsidRDefault="005C42B7">
      <w:pPr>
        <w:ind w:left="851" w:right="902"/>
        <w:jc w:val="both"/>
        <w:rPr>
          <w:rFonts w:ascii="Palatino Linotype" w:eastAsia="Palatino Linotype" w:hAnsi="Palatino Linotype" w:cs="Palatino Linotype"/>
          <w:b/>
          <w:i/>
        </w:rPr>
      </w:pPr>
      <w:r w:rsidRPr="00C60ABB">
        <w:rPr>
          <w:rFonts w:ascii="Palatino Linotype" w:eastAsia="Palatino Linotype" w:hAnsi="Palatino Linotype" w:cs="Palatino Linotype"/>
          <w:b/>
          <w:i/>
        </w:rPr>
        <w:t xml:space="preserve">6. Los dictámenes y fallo de adjudicación; </w:t>
      </w:r>
    </w:p>
    <w:p w14:paraId="08C6FB78" w14:textId="77777777" w:rsidR="004E626C" w:rsidRPr="00C60ABB" w:rsidRDefault="005C42B7">
      <w:pPr>
        <w:ind w:left="851" w:right="902"/>
        <w:jc w:val="both"/>
        <w:rPr>
          <w:rFonts w:ascii="Palatino Linotype" w:eastAsia="Palatino Linotype" w:hAnsi="Palatino Linotype" w:cs="Palatino Linotype"/>
          <w:b/>
          <w:i/>
        </w:rPr>
      </w:pPr>
      <w:r w:rsidRPr="00C60ABB">
        <w:rPr>
          <w:rFonts w:ascii="Palatino Linotype" w:eastAsia="Palatino Linotype" w:hAnsi="Palatino Linotype" w:cs="Palatino Linotype"/>
          <w:b/>
          <w:i/>
        </w:rPr>
        <w:t xml:space="preserve">7. El contrato y, en su caso, sus anexos; </w:t>
      </w:r>
    </w:p>
    <w:p w14:paraId="54A9F140" w14:textId="77777777" w:rsidR="004E626C" w:rsidRPr="00C60ABB" w:rsidRDefault="005C42B7">
      <w:pPr>
        <w:ind w:left="851" w:right="902"/>
        <w:jc w:val="both"/>
        <w:rPr>
          <w:rFonts w:ascii="Palatino Linotype" w:eastAsia="Palatino Linotype" w:hAnsi="Palatino Linotype" w:cs="Palatino Linotype"/>
          <w:b/>
          <w:i/>
        </w:rPr>
      </w:pPr>
      <w:r w:rsidRPr="00C60ABB">
        <w:rPr>
          <w:rFonts w:ascii="Palatino Linotype" w:eastAsia="Palatino Linotype" w:hAnsi="Palatino Linotype" w:cs="Palatino Linotype"/>
          <w:b/>
          <w:i/>
        </w:rPr>
        <w:lastRenderedPageBreak/>
        <w:t xml:space="preserve">8. Los mecanismos de vigilancia y supervisión, incluyendo, en su caso, los estudios de impacto urbano y ambiental, según corresponda; </w:t>
      </w:r>
    </w:p>
    <w:p w14:paraId="1699091B" w14:textId="77777777" w:rsidR="004E626C" w:rsidRPr="00C60ABB" w:rsidRDefault="005C42B7">
      <w:pPr>
        <w:ind w:left="851" w:right="902"/>
        <w:jc w:val="both"/>
        <w:rPr>
          <w:rFonts w:ascii="Palatino Linotype" w:eastAsia="Palatino Linotype" w:hAnsi="Palatino Linotype" w:cs="Palatino Linotype"/>
          <w:b/>
          <w:i/>
        </w:rPr>
      </w:pPr>
      <w:r w:rsidRPr="00C60ABB">
        <w:rPr>
          <w:rFonts w:ascii="Palatino Linotype" w:eastAsia="Palatino Linotype" w:hAnsi="Palatino Linotype" w:cs="Palatino Linotype"/>
          <w:b/>
          <w:i/>
        </w:rPr>
        <w:t xml:space="preserve">9. La partida presupuestal de conformidad con el clasificador por objeto del gasto, en el caso de ser aplicable; </w:t>
      </w:r>
    </w:p>
    <w:p w14:paraId="07FF1705" w14:textId="77777777" w:rsidR="004E626C" w:rsidRPr="00C60ABB" w:rsidRDefault="005C42B7">
      <w:pPr>
        <w:ind w:left="851" w:right="902"/>
        <w:jc w:val="both"/>
        <w:rPr>
          <w:rFonts w:ascii="Palatino Linotype" w:eastAsia="Palatino Linotype" w:hAnsi="Palatino Linotype" w:cs="Palatino Linotype"/>
          <w:b/>
          <w:i/>
        </w:rPr>
      </w:pPr>
      <w:r w:rsidRPr="00C60ABB">
        <w:rPr>
          <w:rFonts w:ascii="Palatino Linotype" w:eastAsia="Palatino Linotype" w:hAnsi="Palatino Linotype" w:cs="Palatino Linotype"/>
          <w:b/>
          <w:i/>
        </w:rPr>
        <w:t xml:space="preserve">10. Origen de los recursos especificando si son federales, estatales o municipales, así como el tipo de fondo de participación o aportación respectiva; </w:t>
      </w:r>
    </w:p>
    <w:p w14:paraId="6022D5DC" w14:textId="77777777" w:rsidR="004E626C" w:rsidRPr="00C60ABB" w:rsidRDefault="005C42B7">
      <w:pPr>
        <w:ind w:left="851" w:right="902"/>
        <w:jc w:val="both"/>
        <w:rPr>
          <w:rFonts w:ascii="Palatino Linotype" w:eastAsia="Palatino Linotype" w:hAnsi="Palatino Linotype" w:cs="Palatino Linotype"/>
          <w:b/>
          <w:i/>
        </w:rPr>
      </w:pPr>
      <w:r w:rsidRPr="00C60ABB">
        <w:rPr>
          <w:rFonts w:ascii="Palatino Linotype" w:eastAsia="Palatino Linotype" w:hAnsi="Palatino Linotype" w:cs="Palatino Linotype"/>
          <w:b/>
          <w:i/>
        </w:rPr>
        <w:t xml:space="preserve">11. Los convenios modificatorios que, en su caso, sean firmados, precisando el objeto y la fecha de celebración; </w:t>
      </w:r>
    </w:p>
    <w:p w14:paraId="337337DB" w14:textId="77777777" w:rsidR="004E626C" w:rsidRPr="00C60ABB" w:rsidRDefault="005C42B7">
      <w:pPr>
        <w:ind w:left="851" w:right="902"/>
        <w:jc w:val="both"/>
        <w:rPr>
          <w:rFonts w:ascii="Palatino Linotype" w:eastAsia="Palatino Linotype" w:hAnsi="Palatino Linotype" w:cs="Palatino Linotype"/>
          <w:b/>
          <w:i/>
        </w:rPr>
      </w:pPr>
      <w:r w:rsidRPr="00C60ABB">
        <w:rPr>
          <w:rFonts w:ascii="Palatino Linotype" w:eastAsia="Palatino Linotype" w:hAnsi="Palatino Linotype" w:cs="Palatino Linotype"/>
          <w:b/>
          <w:i/>
        </w:rPr>
        <w:t xml:space="preserve">12. Los informes de avance físico y financiero sobre las obras o servicios contratados; </w:t>
      </w:r>
    </w:p>
    <w:p w14:paraId="6632ABB7" w14:textId="77777777" w:rsidR="004E626C" w:rsidRPr="00C60ABB" w:rsidRDefault="005C42B7">
      <w:pPr>
        <w:ind w:left="851" w:right="902"/>
        <w:jc w:val="both"/>
        <w:rPr>
          <w:rFonts w:ascii="Palatino Linotype" w:eastAsia="Palatino Linotype" w:hAnsi="Palatino Linotype" w:cs="Palatino Linotype"/>
          <w:b/>
          <w:i/>
        </w:rPr>
      </w:pPr>
      <w:r w:rsidRPr="00C60ABB">
        <w:rPr>
          <w:rFonts w:ascii="Palatino Linotype" w:eastAsia="Palatino Linotype" w:hAnsi="Palatino Linotype" w:cs="Palatino Linotype"/>
          <w:b/>
          <w:i/>
        </w:rPr>
        <w:t xml:space="preserve">13. El convenio de terminación; y </w:t>
      </w:r>
    </w:p>
    <w:p w14:paraId="40F27F8B" w14:textId="77777777" w:rsidR="004E626C" w:rsidRPr="00C60ABB" w:rsidRDefault="005C42B7">
      <w:pPr>
        <w:ind w:left="851" w:right="902"/>
        <w:jc w:val="both"/>
        <w:rPr>
          <w:rFonts w:ascii="Palatino Linotype" w:eastAsia="Palatino Linotype" w:hAnsi="Palatino Linotype" w:cs="Palatino Linotype"/>
          <w:b/>
          <w:i/>
        </w:rPr>
      </w:pPr>
      <w:r w:rsidRPr="00C60ABB">
        <w:rPr>
          <w:rFonts w:ascii="Palatino Linotype" w:eastAsia="Palatino Linotype" w:hAnsi="Palatino Linotype" w:cs="Palatino Linotype"/>
          <w:b/>
          <w:i/>
        </w:rPr>
        <w:t>14. El finiquito</w:t>
      </w:r>
    </w:p>
    <w:p w14:paraId="3213DF33" w14:textId="77777777" w:rsidR="004E626C" w:rsidRPr="00C60ABB" w:rsidRDefault="005C42B7">
      <w:pPr>
        <w:ind w:left="851" w:right="902"/>
        <w:jc w:val="both"/>
        <w:rPr>
          <w:rFonts w:ascii="Palatino Linotype" w:eastAsia="Palatino Linotype" w:hAnsi="Palatino Linotype" w:cs="Palatino Linotype"/>
          <w:b/>
          <w:i/>
          <w:u w:val="single"/>
        </w:rPr>
      </w:pPr>
      <w:r w:rsidRPr="00C60ABB">
        <w:rPr>
          <w:rFonts w:ascii="Palatino Linotype" w:eastAsia="Palatino Linotype" w:hAnsi="Palatino Linotype" w:cs="Palatino Linotype"/>
          <w:b/>
          <w:i/>
          <w:u w:val="single"/>
        </w:rPr>
        <w:t xml:space="preserve">b) De las adjudicaciones directas: </w:t>
      </w:r>
    </w:p>
    <w:p w14:paraId="3F6669FD" w14:textId="77777777" w:rsidR="004E626C" w:rsidRPr="00C60ABB" w:rsidRDefault="005C42B7">
      <w:pPr>
        <w:ind w:left="851" w:right="902"/>
        <w:jc w:val="both"/>
        <w:rPr>
          <w:rFonts w:ascii="Palatino Linotype" w:eastAsia="Palatino Linotype" w:hAnsi="Palatino Linotype" w:cs="Palatino Linotype"/>
          <w:b/>
          <w:i/>
        </w:rPr>
      </w:pPr>
      <w:r w:rsidRPr="00C60ABB">
        <w:rPr>
          <w:rFonts w:ascii="Palatino Linotype" w:eastAsia="Palatino Linotype" w:hAnsi="Palatino Linotype" w:cs="Palatino Linotype"/>
          <w:b/>
          <w:i/>
        </w:rPr>
        <w:t xml:space="preserve">1. La propuesta enviada por el participante; </w:t>
      </w:r>
    </w:p>
    <w:p w14:paraId="56FCED2B" w14:textId="77777777" w:rsidR="004E626C" w:rsidRPr="00C60ABB" w:rsidRDefault="005C42B7">
      <w:pPr>
        <w:ind w:left="851" w:right="902"/>
        <w:jc w:val="both"/>
        <w:rPr>
          <w:rFonts w:ascii="Palatino Linotype" w:eastAsia="Palatino Linotype" w:hAnsi="Palatino Linotype" w:cs="Palatino Linotype"/>
          <w:b/>
          <w:i/>
        </w:rPr>
      </w:pPr>
      <w:r w:rsidRPr="00C60ABB">
        <w:rPr>
          <w:rFonts w:ascii="Palatino Linotype" w:eastAsia="Palatino Linotype" w:hAnsi="Palatino Linotype" w:cs="Palatino Linotype"/>
          <w:b/>
          <w:i/>
        </w:rPr>
        <w:t xml:space="preserve">2. Los motivos y fundamentos legales aplicados para llevarla a cabo; </w:t>
      </w:r>
    </w:p>
    <w:p w14:paraId="402377CB" w14:textId="77777777" w:rsidR="004E626C" w:rsidRPr="00C60ABB" w:rsidRDefault="005C42B7">
      <w:pPr>
        <w:ind w:left="851" w:right="902"/>
        <w:jc w:val="both"/>
        <w:rPr>
          <w:rFonts w:ascii="Palatino Linotype" w:eastAsia="Palatino Linotype" w:hAnsi="Palatino Linotype" w:cs="Palatino Linotype"/>
          <w:b/>
          <w:i/>
        </w:rPr>
      </w:pPr>
      <w:r w:rsidRPr="00C60ABB">
        <w:rPr>
          <w:rFonts w:ascii="Palatino Linotype" w:eastAsia="Palatino Linotype" w:hAnsi="Palatino Linotype" w:cs="Palatino Linotype"/>
          <w:b/>
          <w:i/>
        </w:rPr>
        <w:t xml:space="preserve">3. La autorización del ejercicio de la opción; </w:t>
      </w:r>
    </w:p>
    <w:p w14:paraId="2BB7732D" w14:textId="77777777" w:rsidR="004E626C" w:rsidRPr="00C60ABB" w:rsidRDefault="005C42B7">
      <w:pPr>
        <w:ind w:left="851" w:right="902"/>
        <w:jc w:val="both"/>
        <w:rPr>
          <w:rFonts w:ascii="Palatino Linotype" w:eastAsia="Palatino Linotype" w:hAnsi="Palatino Linotype" w:cs="Palatino Linotype"/>
          <w:b/>
          <w:i/>
        </w:rPr>
      </w:pPr>
      <w:r w:rsidRPr="00C60ABB">
        <w:rPr>
          <w:rFonts w:ascii="Palatino Linotype" w:eastAsia="Palatino Linotype" w:hAnsi="Palatino Linotype" w:cs="Palatino Linotype"/>
          <w:b/>
          <w:i/>
        </w:rPr>
        <w:t xml:space="preserve">4. En su caso, las cotizaciones consideradas, especificando los nombres de los proveedores y los montos; </w:t>
      </w:r>
    </w:p>
    <w:p w14:paraId="37CA4350" w14:textId="77777777" w:rsidR="004E626C" w:rsidRPr="00C60ABB" w:rsidRDefault="005C42B7">
      <w:pPr>
        <w:ind w:left="851" w:right="902"/>
        <w:jc w:val="both"/>
        <w:rPr>
          <w:rFonts w:ascii="Palatino Linotype" w:eastAsia="Palatino Linotype" w:hAnsi="Palatino Linotype" w:cs="Palatino Linotype"/>
          <w:b/>
          <w:i/>
        </w:rPr>
      </w:pPr>
      <w:r w:rsidRPr="00C60ABB">
        <w:rPr>
          <w:rFonts w:ascii="Palatino Linotype" w:eastAsia="Palatino Linotype" w:hAnsi="Palatino Linotype" w:cs="Palatino Linotype"/>
          <w:b/>
          <w:i/>
        </w:rPr>
        <w:t xml:space="preserve">5. El nombre de la persona física o moral adjudicada; </w:t>
      </w:r>
    </w:p>
    <w:p w14:paraId="65853637" w14:textId="77777777" w:rsidR="004E626C" w:rsidRPr="00C60ABB" w:rsidRDefault="005C42B7">
      <w:pPr>
        <w:ind w:left="851" w:right="902"/>
        <w:jc w:val="both"/>
        <w:rPr>
          <w:rFonts w:ascii="Palatino Linotype" w:eastAsia="Palatino Linotype" w:hAnsi="Palatino Linotype" w:cs="Palatino Linotype"/>
          <w:b/>
          <w:i/>
        </w:rPr>
      </w:pPr>
      <w:r w:rsidRPr="00C60ABB">
        <w:rPr>
          <w:rFonts w:ascii="Palatino Linotype" w:eastAsia="Palatino Linotype" w:hAnsi="Palatino Linotype" w:cs="Palatino Linotype"/>
          <w:b/>
          <w:i/>
        </w:rPr>
        <w:t xml:space="preserve">6. La unidad administrativa solicitante y la responsable de su ejecución; </w:t>
      </w:r>
    </w:p>
    <w:p w14:paraId="427DDA3C" w14:textId="77777777" w:rsidR="004E626C" w:rsidRPr="00C60ABB" w:rsidRDefault="005C42B7">
      <w:pPr>
        <w:ind w:left="851" w:right="902"/>
        <w:jc w:val="both"/>
        <w:rPr>
          <w:rFonts w:ascii="Palatino Linotype" w:eastAsia="Palatino Linotype" w:hAnsi="Palatino Linotype" w:cs="Palatino Linotype"/>
          <w:b/>
          <w:i/>
        </w:rPr>
      </w:pPr>
      <w:r w:rsidRPr="00C60ABB">
        <w:rPr>
          <w:rFonts w:ascii="Palatino Linotype" w:eastAsia="Palatino Linotype" w:hAnsi="Palatino Linotype" w:cs="Palatino Linotype"/>
          <w:b/>
          <w:i/>
        </w:rPr>
        <w:t xml:space="preserve">7. El número, fecha, el monto del contrato y el plazo de entrega o de ejecución de los servicios u obra; </w:t>
      </w:r>
    </w:p>
    <w:p w14:paraId="712A0C1B" w14:textId="77777777" w:rsidR="004E626C" w:rsidRPr="00C60ABB" w:rsidRDefault="005C42B7">
      <w:pPr>
        <w:ind w:left="851" w:right="902"/>
        <w:jc w:val="both"/>
        <w:rPr>
          <w:rFonts w:ascii="Palatino Linotype" w:eastAsia="Palatino Linotype" w:hAnsi="Palatino Linotype" w:cs="Palatino Linotype"/>
          <w:b/>
          <w:i/>
        </w:rPr>
      </w:pPr>
      <w:r w:rsidRPr="00C60ABB">
        <w:rPr>
          <w:rFonts w:ascii="Palatino Linotype" w:eastAsia="Palatino Linotype" w:hAnsi="Palatino Linotype" w:cs="Palatino Linotype"/>
          <w:b/>
          <w:i/>
        </w:rPr>
        <w:t xml:space="preserve">8. Los mecanismos de vigilancia y supervisión, incluyendo, en su caso, los estudios de impacto urbano y ambiental, según corresponda; </w:t>
      </w:r>
    </w:p>
    <w:p w14:paraId="751F5F9E" w14:textId="77777777" w:rsidR="004E626C" w:rsidRPr="00C60ABB" w:rsidRDefault="005C42B7">
      <w:pPr>
        <w:ind w:left="851" w:right="902"/>
        <w:jc w:val="both"/>
        <w:rPr>
          <w:rFonts w:ascii="Palatino Linotype" w:eastAsia="Palatino Linotype" w:hAnsi="Palatino Linotype" w:cs="Palatino Linotype"/>
          <w:b/>
          <w:i/>
        </w:rPr>
      </w:pPr>
      <w:r w:rsidRPr="00C60ABB">
        <w:rPr>
          <w:rFonts w:ascii="Palatino Linotype" w:eastAsia="Palatino Linotype" w:hAnsi="Palatino Linotype" w:cs="Palatino Linotype"/>
          <w:b/>
          <w:i/>
        </w:rPr>
        <w:t>9. Los informes de avance sobre las obras o servicios contratados;</w:t>
      </w:r>
    </w:p>
    <w:p w14:paraId="4FA41B52" w14:textId="77777777" w:rsidR="004E626C" w:rsidRPr="00C60ABB" w:rsidRDefault="005C42B7">
      <w:pPr>
        <w:ind w:left="851" w:right="902"/>
        <w:jc w:val="both"/>
        <w:rPr>
          <w:rFonts w:ascii="Palatino Linotype" w:eastAsia="Palatino Linotype" w:hAnsi="Palatino Linotype" w:cs="Palatino Linotype"/>
          <w:b/>
          <w:i/>
        </w:rPr>
      </w:pPr>
      <w:r w:rsidRPr="00C60ABB">
        <w:rPr>
          <w:rFonts w:ascii="Palatino Linotype" w:eastAsia="Palatino Linotype" w:hAnsi="Palatino Linotype" w:cs="Palatino Linotype"/>
          <w:b/>
          <w:i/>
        </w:rPr>
        <w:t xml:space="preserve">10. El convenio de terminación; y </w:t>
      </w:r>
    </w:p>
    <w:p w14:paraId="65B8FA6B" w14:textId="77777777" w:rsidR="004E626C" w:rsidRPr="00C60ABB" w:rsidRDefault="005C42B7">
      <w:pPr>
        <w:ind w:left="851" w:right="902"/>
        <w:jc w:val="both"/>
        <w:rPr>
          <w:rFonts w:ascii="Palatino Linotype" w:eastAsia="Palatino Linotype" w:hAnsi="Palatino Linotype" w:cs="Palatino Linotype"/>
          <w:b/>
          <w:i/>
        </w:rPr>
      </w:pPr>
      <w:r w:rsidRPr="00C60ABB">
        <w:rPr>
          <w:rFonts w:ascii="Palatino Linotype" w:eastAsia="Palatino Linotype" w:hAnsi="Palatino Linotype" w:cs="Palatino Linotype"/>
          <w:b/>
          <w:i/>
        </w:rPr>
        <w:t>11. El finiquito.” (Sic)</w:t>
      </w:r>
    </w:p>
    <w:p w14:paraId="046BCEB7" w14:textId="77777777" w:rsidR="004E626C" w:rsidRPr="00C60ABB" w:rsidRDefault="005C42B7">
      <w:pPr>
        <w:spacing w:before="240" w:after="240" w:line="360" w:lineRule="auto"/>
        <w:ind w:right="51"/>
        <w:jc w:val="both"/>
        <w:rPr>
          <w:rFonts w:ascii="Palatino Linotype" w:eastAsia="Palatino Linotype" w:hAnsi="Palatino Linotype" w:cs="Palatino Linotype"/>
        </w:rPr>
      </w:pPr>
      <w:r w:rsidRPr="00C60ABB">
        <w:rPr>
          <w:rFonts w:ascii="Palatino Linotype" w:eastAsia="Palatino Linotype" w:hAnsi="Palatino Linotype" w:cs="Palatino Linotype"/>
        </w:rPr>
        <w:t>En tal sentido, toda vez que la mayoría de la información</w:t>
      </w:r>
      <w:r w:rsidRPr="00C60ABB">
        <w:rPr>
          <w:rFonts w:ascii="Palatino Linotype" w:eastAsia="Palatino Linotype" w:hAnsi="Palatino Linotype" w:cs="Palatino Linotype"/>
          <w:color w:val="FF0000"/>
        </w:rPr>
        <w:t xml:space="preserve"> </w:t>
      </w:r>
      <w:r w:rsidRPr="00C60ABB">
        <w:rPr>
          <w:rFonts w:ascii="Palatino Linotype" w:eastAsia="Palatino Linotype" w:hAnsi="Palatino Linotype" w:cs="Palatino Linotype"/>
        </w:rPr>
        <w:t xml:space="preserve">versa sobre una obligación de transparencia que el </w:t>
      </w:r>
      <w:r w:rsidRPr="00C60ABB">
        <w:rPr>
          <w:rFonts w:ascii="Palatino Linotype" w:eastAsia="Palatino Linotype" w:hAnsi="Palatino Linotype" w:cs="Palatino Linotype"/>
          <w:b/>
        </w:rPr>
        <w:t>SUJETO OBLIGADO</w:t>
      </w:r>
      <w:r w:rsidRPr="00C60ABB">
        <w:rPr>
          <w:rFonts w:ascii="Palatino Linotype" w:eastAsia="Palatino Linotype" w:hAnsi="Palatino Linotype" w:cs="Palatino Linotype"/>
        </w:rPr>
        <w:t xml:space="preserve"> debe cumplir de conformidad con la normativa aplicable.</w:t>
      </w:r>
    </w:p>
    <w:p w14:paraId="36E5EEEA" w14:textId="77777777" w:rsidR="004E626C" w:rsidRPr="00C60ABB" w:rsidRDefault="005C42B7">
      <w:pPr>
        <w:spacing w:before="240" w:after="240" w:line="360" w:lineRule="auto"/>
        <w:ind w:right="51"/>
        <w:jc w:val="both"/>
        <w:rPr>
          <w:rFonts w:ascii="Palatino Linotype" w:eastAsia="Palatino Linotype" w:hAnsi="Palatino Linotype" w:cs="Palatino Linotype"/>
        </w:rPr>
      </w:pPr>
      <w:r w:rsidRPr="00C60ABB">
        <w:rPr>
          <w:rFonts w:ascii="Palatino Linotype" w:eastAsia="Palatino Linotype" w:hAnsi="Palatino Linotype" w:cs="Palatino Linotype"/>
        </w:rPr>
        <w:lastRenderedPageBreak/>
        <w:t xml:space="preserve">Precisado lo anterior de una revisión minuciosa de la información remitida en respuesta se aprecia que el </w:t>
      </w:r>
      <w:r w:rsidRPr="00C60ABB">
        <w:rPr>
          <w:rFonts w:ascii="Palatino Linotype" w:eastAsia="Palatino Linotype" w:hAnsi="Palatino Linotype" w:cs="Palatino Linotype"/>
          <w:b/>
        </w:rPr>
        <w:t>SUJETO OBLIGADO</w:t>
      </w:r>
      <w:r w:rsidRPr="00C60ABB">
        <w:rPr>
          <w:rFonts w:ascii="Palatino Linotype" w:eastAsia="Palatino Linotype" w:hAnsi="Palatino Linotype" w:cs="Palatino Linotype"/>
        </w:rPr>
        <w:t>, remitió información que se relaciona con lo solicitado, como se observa a continuación de manera de ejemplo:</w:t>
      </w:r>
    </w:p>
    <w:p w14:paraId="2E0B55D5" w14:textId="77777777" w:rsidR="004E626C" w:rsidRPr="00C60ABB" w:rsidRDefault="005C42B7">
      <w:pPr>
        <w:spacing w:before="240" w:after="240" w:line="360" w:lineRule="auto"/>
        <w:ind w:right="51"/>
        <w:jc w:val="both"/>
        <w:rPr>
          <w:rFonts w:ascii="Palatino Linotype" w:eastAsia="Palatino Linotype" w:hAnsi="Palatino Linotype" w:cs="Palatino Linotype"/>
        </w:rPr>
      </w:pPr>
      <w:r w:rsidRPr="00C60ABB">
        <w:rPr>
          <w:rFonts w:ascii="Palatino Linotype" w:eastAsia="Palatino Linotype" w:hAnsi="Palatino Linotype" w:cs="Palatino Linotype"/>
          <w:noProof/>
          <w:lang w:val="es-MX"/>
        </w:rPr>
        <w:drawing>
          <wp:inline distT="0" distB="0" distL="0" distR="0" wp14:anchorId="4AD4B5F7" wp14:editId="5D55B1AD">
            <wp:extent cx="5616533" cy="5200377"/>
            <wp:effectExtent l="0" t="0" r="0" b="0"/>
            <wp:docPr id="4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5616533" cy="5200377"/>
                    </a:xfrm>
                    <a:prstGeom prst="rect">
                      <a:avLst/>
                    </a:prstGeom>
                    <a:ln/>
                  </pic:spPr>
                </pic:pic>
              </a:graphicData>
            </a:graphic>
          </wp:inline>
        </w:drawing>
      </w:r>
    </w:p>
    <w:p w14:paraId="03E8A985" w14:textId="77777777" w:rsidR="004E626C" w:rsidRPr="00C60ABB" w:rsidRDefault="005C42B7">
      <w:pPr>
        <w:spacing w:before="240" w:after="240" w:line="360" w:lineRule="auto"/>
        <w:ind w:right="51"/>
        <w:jc w:val="both"/>
        <w:rPr>
          <w:rFonts w:ascii="Palatino Linotype" w:eastAsia="Palatino Linotype" w:hAnsi="Palatino Linotype" w:cs="Palatino Linotype"/>
        </w:rPr>
      </w:pPr>
      <w:r w:rsidRPr="00C60ABB">
        <w:rPr>
          <w:rFonts w:ascii="Palatino Linotype" w:eastAsia="Palatino Linotype" w:hAnsi="Palatino Linotype" w:cs="Palatino Linotype"/>
          <w:noProof/>
          <w:lang w:val="es-MX"/>
        </w:rPr>
        <w:lastRenderedPageBreak/>
        <w:drawing>
          <wp:inline distT="0" distB="0" distL="0" distR="0" wp14:anchorId="3B8E17BC" wp14:editId="553151A0">
            <wp:extent cx="5612374" cy="7310756"/>
            <wp:effectExtent l="0" t="0" r="0" b="0"/>
            <wp:docPr id="5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612374" cy="7310756"/>
                    </a:xfrm>
                    <a:prstGeom prst="rect">
                      <a:avLst/>
                    </a:prstGeom>
                    <a:ln/>
                  </pic:spPr>
                </pic:pic>
              </a:graphicData>
            </a:graphic>
          </wp:inline>
        </w:drawing>
      </w:r>
    </w:p>
    <w:p w14:paraId="0FBBFE54" w14:textId="77777777" w:rsidR="004E626C" w:rsidRPr="00C60ABB" w:rsidRDefault="005C42B7">
      <w:pPr>
        <w:spacing w:before="240" w:after="240" w:line="360" w:lineRule="auto"/>
        <w:ind w:right="51"/>
        <w:jc w:val="both"/>
        <w:rPr>
          <w:rFonts w:ascii="Palatino Linotype" w:eastAsia="Palatino Linotype" w:hAnsi="Palatino Linotype" w:cs="Palatino Linotype"/>
        </w:rPr>
      </w:pPr>
      <w:r w:rsidRPr="00C60ABB">
        <w:rPr>
          <w:rFonts w:ascii="Palatino Linotype" w:eastAsia="Palatino Linotype" w:hAnsi="Palatino Linotype" w:cs="Palatino Linotype"/>
          <w:noProof/>
          <w:lang w:val="es-MX"/>
        </w:rPr>
        <w:lastRenderedPageBreak/>
        <w:drawing>
          <wp:inline distT="0" distB="0" distL="0" distR="0" wp14:anchorId="60154828" wp14:editId="2B7E08FD">
            <wp:extent cx="5614495" cy="7418695"/>
            <wp:effectExtent l="0" t="0" r="0" b="0"/>
            <wp:docPr id="5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5614495" cy="7418695"/>
                    </a:xfrm>
                    <a:prstGeom prst="rect">
                      <a:avLst/>
                    </a:prstGeom>
                    <a:ln/>
                  </pic:spPr>
                </pic:pic>
              </a:graphicData>
            </a:graphic>
          </wp:inline>
        </w:drawing>
      </w:r>
    </w:p>
    <w:p w14:paraId="3A189A08" w14:textId="77777777" w:rsidR="004E626C" w:rsidRPr="00C60ABB" w:rsidRDefault="005C42B7">
      <w:pPr>
        <w:spacing w:before="240" w:after="240" w:line="360" w:lineRule="auto"/>
        <w:ind w:right="51"/>
        <w:jc w:val="both"/>
        <w:rPr>
          <w:rFonts w:ascii="Palatino Linotype" w:eastAsia="Palatino Linotype" w:hAnsi="Palatino Linotype" w:cs="Palatino Linotype"/>
        </w:rPr>
      </w:pPr>
      <w:r w:rsidRPr="00C60ABB">
        <w:rPr>
          <w:rFonts w:ascii="Palatino Linotype" w:eastAsia="Palatino Linotype" w:hAnsi="Palatino Linotype" w:cs="Palatino Linotype"/>
          <w:noProof/>
          <w:lang w:val="es-MX"/>
        </w:rPr>
        <w:lastRenderedPageBreak/>
        <w:drawing>
          <wp:inline distT="0" distB="0" distL="0" distR="0" wp14:anchorId="1D2B9F50" wp14:editId="2D8B8BE4">
            <wp:extent cx="5612130" cy="6692900"/>
            <wp:effectExtent l="0" t="0" r="0" b="0"/>
            <wp:docPr id="5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5612130" cy="6692900"/>
                    </a:xfrm>
                    <a:prstGeom prst="rect">
                      <a:avLst/>
                    </a:prstGeom>
                    <a:ln/>
                  </pic:spPr>
                </pic:pic>
              </a:graphicData>
            </a:graphic>
          </wp:inline>
        </w:drawing>
      </w:r>
    </w:p>
    <w:p w14:paraId="5CDA039D" w14:textId="77777777" w:rsidR="004E626C" w:rsidRPr="00C60ABB" w:rsidRDefault="005C42B7">
      <w:pPr>
        <w:spacing w:before="240" w:after="240" w:line="360" w:lineRule="auto"/>
        <w:ind w:right="51"/>
        <w:jc w:val="both"/>
        <w:rPr>
          <w:rFonts w:ascii="Palatino Linotype" w:eastAsia="Palatino Linotype" w:hAnsi="Palatino Linotype" w:cs="Palatino Linotype"/>
        </w:rPr>
      </w:pPr>
      <w:r w:rsidRPr="00C60ABB">
        <w:rPr>
          <w:rFonts w:ascii="Palatino Linotype" w:eastAsia="Palatino Linotype" w:hAnsi="Palatino Linotype" w:cs="Palatino Linotype"/>
        </w:rPr>
        <w:t xml:space="preserve">Las cuales corresponden a un contrato de adjudicación directa, requisiciones y factura, sobre la contratación de un servicio para la reparación y mantenimiento de </w:t>
      </w:r>
      <w:r w:rsidRPr="00C60ABB">
        <w:rPr>
          <w:rFonts w:ascii="Palatino Linotype" w:eastAsia="Palatino Linotype" w:hAnsi="Palatino Linotype" w:cs="Palatino Linotype"/>
        </w:rPr>
        <w:lastRenderedPageBreak/>
        <w:t xml:space="preserve">vehículos, de la Dirección de Seguridad Pública y Tránsito </w:t>
      </w:r>
      <w:proofErr w:type="gramStart"/>
      <w:r w:rsidRPr="00C60ABB">
        <w:rPr>
          <w:rFonts w:ascii="Palatino Linotype" w:eastAsia="Palatino Linotype" w:hAnsi="Palatino Linotype" w:cs="Palatino Linotype"/>
        </w:rPr>
        <w:t>y  Coordinación</w:t>
      </w:r>
      <w:proofErr w:type="gramEnd"/>
      <w:r w:rsidRPr="00C60ABB">
        <w:rPr>
          <w:rFonts w:ascii="Palatino Linotype" w:eastAsia="Palatino Linotype" w:hAnsi="Palatino Linotype" w:cs="Palatino Linotype"/>
        </w:rPr>
        <w:t xml:space="preserve"> de Protección Civil y Bomberos, ambos del </w:t>
      </w:r>
      <w:r w:rsidRPr="00C60ABB">
        <w:rPr>
          <w:rFonts w:ascii="Palatino Linotype" w:eastAsia="Palatino Linotype" w:hAnsi="Palatino Linotype" w:cs="Palatino Linotype"/>
          <w:b/>
        </w:rPr>
        <w:t>SUJETO OBLIGADO</w:t>
      </w:r>
      <w:r w:rsidRPr="00C60ABB">
        <w:rPr>
          <w:rFonts w:ascii="Palatino Linotype" w:eastAsia="Palatino Linotype" w:hAnsi="Palatino Linotype" w:cs="Palatino Linotype"/>
        </w:rPr>
        <w:t>.</w:t>
      </w:r>
    </w:p>
    <w:p w14:paraId="32C98EA7" w14:textId="77777777" w:rsidR="004E626C" w:rsidRPr="00C60ABB" w:rsidRDefault="005C42B7">
      <w:pPr>
        <w:spacing w:before="240" w:after="240" w:line="360" w:lineRule="auto"/>
        <w:ind w:right="51"/>
        <w:jc w:val="both"/>
        <w:rPr>
          <w:rFonts w:ascii="Palatino Linotype" w:eastAsia="Palatino Linotype" w:hAnsi="Palatino Linotype" w:cs="Palatino Linotype"/>
        </w:rPr>
      </w:pPr>
      <w:r w:rsidRPr="00C60ABB">
        <w:rPr>
          <w:rFonts w:ascii="Palatino Linotype" w:eastAsia="Palatino Linotype" w:hAnsi="Palatino Linotype" w:cs="Palatino Linotype"/>
        </w:rPr>
        <w:t xml:space="preserve">Sin embargo, por </w:t>
      </w:r>
      <w:proofErr w:type="gramStart"/>
      <w:r w:rsidRPr="00C60ABB">
        <w:rPr>
          <w:rFonts w:ascii="Palatino Linotype" w:eastAsia="Palatino Linotype" w:hAnsi="Palatino Linotype" w:cs="Palatino Linotype"/>
        </w:rPr>
        <w:t>ejemplo</w:t>
      </w:r>
      <w:proofErr w:type="gramEnd"/>
      <w:r w:rsidRPr="00C60ABB">
        <w:rPr>
          <w:rFonts w:ascii="Palatino Linotype" w:eastAsia="Palatino Linotype" w:hAnsi="Palatino Linotype" w:cs="Palatino Linotype"/>
        </w:rPr>
        <w:t xml:space="preserve"> para la adjudicación directa se establece que se debe publicar como mínimo lo siguiente, en términos de lo ya expuesto:</w:t>
      </w:r>
    </w:p>
    <w:p w14:paraId="797276BB"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b/>
          <w:i/>
          <w:sz w:val="22"/>
          <w:szCs w:val="22"/>
          <w:u w:val="single"/>
        </w:rPr>
      </w:pPr>
      <w:r w:rsidRPr="00C60ABB">
        <w:rPr>
          <w:rFonts w:ascii="Palatino Linotype" w:eastAsia="Palatino Linotype" w:hAnsi="Palatino Linotype" w:cs="Palatino Linotype"/>
          <w:b/>
          <w:i/>
        </w:rPr>
        <w:t>“…</w:t>
      </w:r>
      <w:r w:rsidRPr="00C60ABB">
        <w:rPr>
          <w:rFonts w:ascii="Palatino Linotype" w:eastAsia="Palatino Linotype" w:hAnsi="Palatino Linotype" w:cs="Palatino Linotype"/>
          <w:b/>
          <w:i/>
          <w:sz w:val="22"/>
          <w:szCs w:val="22"/>
          <w:u w:val="single"/>
        </w:rPr>
        <w:t xml:space="preserve">b) De las adjudicaciones directas: </w:t>
      </w:r>
    </w:p>
    <w:p w14:paraId="3741CA83"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1) La propuesta enviada por el participante; </w:t>
      </w:r>
    </w:p>
    <w:p w14:paraId="7202D0B0"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2) Los motivos y fundamentos legales aplicados para llevarla a cabo; </w:t>
      </w:r>
    </w:p>
    <w:p w14:paraId="710CEC9E"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3) La autorización del ejercicio de la opción; </w:t>
      </w:r>
    </w:p>
    <w:p w14:paraId="17DE4CD5"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4) En su caso, las cotizaciones consideradas, especificando los nombres de los proveedores y sus montos; </w:t>
      </w:r>
    </w:p>
    <w:p w14:paraId="46363C5A"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5) El nombre de la persona física o jurídica colectiva adjudicada; </w:t>
      </w:r>
    </w:p>
    <w:p w14:paraId="29B632A5"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6) La unidad administrativa solicitante y la responsable de su ejecución; </w:t>
      </w:r>
    </w:p>
    <w:p w14:paraId="4DC1B7A3"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7) El número, fecha, el monto del contrato y el plazo de entrega o de ejecución de los servicios u obra; </w:t>
      </w:r>
    </w:p>
    <w:p w14:paraId="1BAEBDEF"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sz w:val="22"/>
          <w:szCs w:val="22"/>
        </w:rPr>
        <w:t xml:space="preserve">8) Los mecanismos de vigilancia y supervisión, incluyendo, en su caso, los estudios de impacto urbano y ambiental, según corresponda; </w:t>
      </w:r>
    </w:p>
    <w:p w14:paraId="19B94BE0"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sz w:val="22"/>
          <w:szCs w:val="22"/>
        </w:rPr>
        <w:t xml:space="preserve">9) Los informes de avance sobre las obras o servicios contratados; 10) El convenio de terminación; y </w:t>
      </w:r>
    </w:p>
    <w:p w14:paraId="74A07FE0" w14:textId="77777777" w:rsidR="004E626C" w:rsidRPr="00C60ABB" w:rsidRDefault="005C42B7">
      <w:pPr>
        <w:tabs>
          <w:tab w:val="left" w:pos="426"/>
        </w:tabs>
        <w:spacing w:before="120" w:after="120"/>
        <w:ind w:left="1418" w:right="902"/>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sz w:val="22"/>
          <w:szCs w:val="22"/>
        </w:rPr>
        <w:t>11) El finiquito” (Sic)</w:t>
      </w:r>
    </w:p>
    <w:p w14:paraId="4C56BAB9" w14:textId="77777777" w:rsidR="004E626C" w:rsidRPr="00C60ABB" w:rsidRDefault="005C42B7">
      <w:pPr>
        <w:spacing w:before="240" w:after="240" w:line="360" w:lineRule="auto"/>
        <w:ind w:right="51"/>
        <w:jc w:val="both"/>
        <w:rPr>
          <w:rFonts w:ascii="Palatino Linotype" w:eastAsia="Palatino Linotype" w:hAnsi="Palatino Linotype" w:cs="Palatino Linotype"/>
        </w:rPr>
      </w:pPr>
      <w:r w:rsidRPr="00C60ABB">
        <w:rPr>
          <w:rFonts w:ascii="Palatino Linotype" w:eastAsia="Palatino Linotype" w:hAnsi="Palatino Linotype" w:cs="Palatino Linotype"/>
        </w:rPr>
        <w:t xml:space="preserve">Sin que se advierta en la información entregada en respuesta, </w:t>
      </w:r>
      <w:proofErr w:type="gramStart"/>
      <w:r w:rsidRPr="00C60ABB">
        <w:rPr>
          <w:rFonts w:ascii="Palatino Linotype" w:eastAsia="Palatino Linotype" w:hAnsi="Palatino Linotype" w:cs="Palatino Linotype"/>
        </w:rPr>
        <w:t>todo la documentación</w:t>
      </w:r>
      <w:proofErr w:type="gramEnd"/>
      <w:r w:rsidRPr="00C60ABB">
        <w:rPr>
          <w:rFonts w:ascii="Palatino Linotype" w:eastAsia="Palatino Linotype" w:hAnsi="Palatino Linotype" w:cs="Palatino Linotype"/>
        </w:rPr>
        <w:t xml:space="preserve"> que señala el artículo 92 fracción XXIX de la Ley de la Materia y que debe publicar el </w:t>
      </w:r>
      <w:r w:rsidRPr="00C60ABB">
        <w:rPr>
          <w:rFonts w:ascii="Palatino Linotype" w:eastAsia="Palatino Linotype" w:hAnsi="Palatino Linotype" w:cs="Palatino Linotype"/>
          <w:b/>
        </w:rPr>
        <w:t>SUJETO OBLIGADO</w:t>
      </w:r>
      <w:r w:rsidRPr="00C60ABB">
        <w:rPr>
          <w:rFonts w:ascii="Palatino Linotype" w:eastAsia="Palatino Linotype" w:hAnsi="Palatino Linotype" w:cs="Palatino Linotype"/>
        </w:rPr>
        <w:t xml:space="preserve">, tratándose por ejemplo en adjudicaciones directas para la contratación de un servicio. </w:t>
      </w:r>
    </w:p>
    <w:p w14:paraId="364618E9" w14:textId="77777777" w:rsidR="004E626C" w:rsidRPr="00C60ABB" w:rsidRDefault="005C42B7">
      <w:pPr>
        <w:spacing w:before="240" w:after="240" w:line="360" w:lineRule="auto"/>
        <w:ind w:right="51"/>
        <w:jc w:val="both"/>
        <w:rPr>
          <w:rFonts w:ascii="Palatino Linotype" w:eastAsia="Palatino Linotype" w:hAnsi="Palatino Linotype" w:cs="Palatino Linotype"/>
        </w:rPr>
      </w:pPr>
      <w:r w:rsidRPr="00C60ABB">
        <w:rPr>
          <w:rFonts w:ascii="Palatino Linotype" w:eastAsia="Palatino Linotype" w:hAnsi="Palatino Linotype" w:cs="Palatino Linotype"/>
        </w:rPr>
        <w:t xml:space="preserve">Por consiguiente, se puede concluir que el </w:t>
      </w:r>
      <w:r w:rsidRPr="00C60ABB">
        <w:rPr>
          <w:rFonts w:ascii="Palatino Linotype" w:eastAsia="Palatino Linotype" w:hAnsi="Palatino Linotype" w:cs="Palatino Linotype"/>
          <w:b/>
        </w:rPr>
        <w:t>SUJETO OBLIGADO</w:t>
      </w:r>
      <w:r w:rsidRPr="00C60ABB">
        <w:rPr>
          <w:rFonts w:ascii="Palatino Linotype" w:eastAsia="Palatino Linotype" w:hAnsi="Palatino Linotype" w:cs="Palatino Linotype"/>
        </w:rPr>
        <w:t xml:space="preserve"> no siguió el procedimiento establecido por el artículo 162 de la Ley de Transparencia y Acceso a la Información Pública del Estado de México y Municipios, ya que, no se puede </w:t>
      </w:r>
      <w:r w:rsidRPr="00C60ABB">
        <w:rPr>
          <w:rFonts w:ascii="Palatino Linotype" w:eastAsia="Palatino Linotype" w:hAnsi="Palatino Linotype" w:cs="Palatino Linotype"/>
        </w:rPr>
        <w:lastRenderedPageBreak/>
        <w:t xml:space="preserve">perder de vista que para otorgar respuesta a la solicitud inicial, el </w:t>
      </w:r>
      <w:r w:rsidRPr="00C60ABB">
        <w:rPr>
          <w:rFonts w:ascii="Palatino Linotype" w:eastAsia="Palatino Linotype" w:hAnsi="Palatino Linotype" w:cs="Palatino Linotype"/>
          <w:b/>
        </w:rPr>
        <w:t>SUJETO OBLIGADO</w:t>
      </w:r>
      <w:r w:rsidRPr="00C60ABB">
        <w:rPr>
          <w:rFonts w:ascii="Palatino Linotype" w:eastAsia="Palatino Linotype" w:hAnsi="Palatino Linotype" w:cs="Palatino Linotype"/>
        </w:rPr>
        <w:t xml:space="preserve"> 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14:paraId="3A3663FC" w14:textId="77777777" w:rsidR="004E626C" w:rsidRPr="00C60ABB" w:rsidRDefault="005C42B7">
      <w:pPr>
        <w:spacing w:before="240" w:after="240"/>
        <w:ind w:left="709" w:right="902"/>
        <w:jc w:val="both"/>
        <w:rPr>
          <w:rFonts w:ascii="Palatino Linotype" w:eastAsia="Palatino Linotype" w:hAnsi="Palatino Linotype" w:cs="Palatino Linotype"/>
          <w:i/>
          <w:sz w:val="20"/>
          <w:szCs w:val="20"/>
        </w:rPr>
      </w:pPr>
      <w:r w:rsidRPr="00C60ABB">
        <w:rPr>
          <w:rFonts w:ascii="Palatino Linotype" w:eastAsia="Palatino Linotype" w:hAnsi="Palatino Linotype" w:cs="Palatino Linotype"/>
          <w:i/>
          <w:sz w:val="20"/>
          <w:szCs w:val="20"/>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14:paraId="53A67D02" w14:textId="77777777" w:rsidR="004E626C" w:rsidRPr="00C60ABB" w:rsidRDefault="005C42B7">
      <w:pPr>
        <w:shd w:val="clear" w:color="auto" w:fill="FFFFFF"/>
        <w:spacing w:before="240" w:after="240" w:line="360" w:lineRule="auto"/>
        <w:jc w:val="both"/>
        <w:rPr>
          <w:color w:val="222222"/>
        </w:rPr>
      </w:pPr>
      <w:r w:rsidRPr="00C60ABB">
        <w:rPr>
          <w:rFonts w:ascii="Palatino Linotype" w:eastAsia="Palatino Linotype" w:hAnsi="Palatino Linotype" w:cs="Palatino Linotype"/>
          <w:color w:val="222222"/>
        </w:rPr>
        <w:t>En este orden de ideas, se advierte que efectivamente la Unidad de Transparencia no cumplió con lo expresado en el artículo 162 de la Ley </w:t>
      </w:r>
      <w:r w:rsidRPr="00C60ABB">
        <w:rPr>
          <w:rFonts w:ascii="Palatino Linotype" w:eastAsia="Palatino Linotype" w:hAnsi="Palatino Linotype" w:cs="Palatino Linotype"/>
          <w:color w:val="000000"/>
        </w:rPr>
        <w:t>de Transparencia y Acceso a la Información Pública del Estado de México y Municipios, el cual menciona lo siguiente:</w:t>
      </w:r>
    </w:p>
    <w:p w14:paraId="351693FD" w14:textId="77777777" w:rsidR="004E626C" w:rsidRPr="00C60ABB" w:rsidRDefault="005C42B7">
      <w:pPr>
        <w:shd w:val="clear" w:color="auto" w:fill="FFFFFF"/>
        <w:spacing w:after="240" w:line="276" w:lineRule="auto"/>
        <w:ind w:left="993" w:right="1041"/>
        <w:jc w:val="both"/>
        <w:rPr>
          <w:color w:val="222222"/>
        </w:rPr>
      </w:pPr>
      <w:r w:rsidRPr="00C60ABB">
        <w:rPr>
          <w:rFonts w:ascii="Palatino Linotype" w:eastAsia="Palatino Linotype" w:hAnsi="Palatino Linotype" w:cs="Palatino Linotype"/>
          <w:b/>
          <w:i/>
          <w:color w:val="222222"/>
          <w:sz w:val="22"/>
          <w:szCs w:val="22"/>
        </w:rPr>
        <w:t>“Artículo 162.</w:t>
      </w:r>
      <w:r w:rsidRPr="00C60ABB">
        <w:rPr>
          <w:rFonts w:ascii="Palatino Linotype" w:eastAsia="Palatino Linotype" w:hAnsi="Palatino Linotype" w:cs="Palatino Linotype"/>
          <w:i/>
          <w:color w:val="222222"/>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14:paraId="3E3817B8" w14:textId="77777777" w:rsidR="004E626C" w:rsidRPr="00C60ABB" w:rsidRDefault="005C42B7">
      <w:pPr>
        <w:shd w:val="clear" w:color="auto" w:fill="FFFFFF"/>
        <w:spacing w:line="360" w:lineRule="auto"/>
        <w:jc w:val="both"/>
        <w:rPr>
          <w:color w:val="222222"/>
        </w:rPr>
      </w:pPr>
      <w:r w:rsidRPr="00C60ABB">
        <w:rPr>
          <w:rFonts w:ascii="Palatino Linotype" w:eastAsia="Palatino Linotype" w:hAnsi="Palatino Linotype" w:cs="Palatino Linotype"/>
          <w:color w:val="222222"/>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C60ABB">
        <w:rPr>
          <w:rFonts w:ascii="Palatino Linotype" w:eastAsia="Palatino Linotype" w:hAnsi="Palatino Linotype" w:cs="Palatino Linotype"/>
          <w:color w:val="222222"/>
          <w:vertAlign w:val="superscript"/>
        </w:rPr>
        <w:footnoteReference w:id="1"/>
      </w:r>
      <w:r w:rsidRPr="00C60ABB">
        <w:rPr>
          <w:rFonts w:ascii="Palatino Linotype" w:eastAsia="Palatino Linotype" w:hAnsi="Palatino Linotype" w:cs="Palatino Linotype"/>
          <w:color w:val="222222"/>
        </w:rPr>
        <w:t xml:space="preserve">, para ello la misma norma establece que los sujetos obligados deberán otorgar el acceso a los documentos que obren en sus archivos o que estén obligados a documentar de </w:t>
      </w:r>
      <w:r w:rsidRPr="00C60ABB">
        <w:rPr>
          <w:rFonts w:ascii="Palatino Linotype" w:eastAsia="Palatino Linotype" w:hAnsi="Palatino Linotype" w:cs="Palatino Linotype"/>
          <w:color w:val="222222"/>
        </w:rPr>
        <w:lastRenderedPageBreak/>
        <w:t>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08F2BA46" w14:textId="77777777" w:rsidR="004E626C" w:rsidRPr="00C60ABB" w:rsidRDefault="004E626C">
      <w:pPr>
        <w:shd w:val="clear" w:color="auto" w:fill="FFFFFF"/>
        <w:ind w:left="993" w:right="1041"/>
        <w:jc w:val="both"/>
        <w:rPr>
          <w:rFonts w:ascii="Palatino Linotype" w:eastAsia="Palatino Linotype" w:hAnsi="Palatino Linotype" w:cs="Palatino Linotype"/>
          <w:b/>
          <w:i/>
          <w:color w:val="222222"/>
          <w:sz w:val="22"/>
          <w:szCs w:val="22"/>
        </w:rPr>
      </w:pPr>
    </w:p>
    <w:p w14:paraId="62E0CD65" w14:textId="77777777" w:rsidR="004E626C" w:rsidRPr="00C60ABB" w:rsidRDefault="005C42B7">
      <w:pPr>
        <w:shd w:val="clear" w:color="auto" w:fill="FFFFFF"/>
        <w:ind w:left="993" w:right="1041"/>
        <w:jc w:val="both"/>
        <w:rPr>
          <w:color w:val="222222"/>
        </w:rPr>
      </w:pPr>
      <w:r w:rsidRPr="00C60ABB">
        <w:rPr>
          <w:rFonts w:ascii="Palatino Linotype" w:eastAsia="Palatino Linotype" w:hAnsi="Palatino Linotype" w:cs="Palatino Linotype"/>
          <w:b/>
          <w:i/>
          <w:color w:val="222222"/>
          <w:sz w:val="22"/>
          <w:szCs w:val="22"/>
        </w:rPr>
        <w:t>“Artículo 160. </w:t>
      </w:r>
      <w:r w:rsidRPr="00C60ABB">
        <w:rPr>
          <w:rFonts w:ascii="Palatino Linotype" w:eastAsia="Palatino Linotype" w:hAnsi="Palatino Linotype" w:cs="Palatino Linotype"/>
          <w:i/>
          <w:color w:val="222222"/>
          <w:sz w:val="22"/>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5347DD8" w14:textId="77777777" w:rsidR="004E626C" w:rsidRPr="00C60ABB" w:rsidRDefault="005C42B7">
      <w:pPr>
        <w:shd w:val="clear" w:color="auto" w:fill="FFFFFF"/>
        <w:ind w:left="993" w:right="1041"/>
        <w:jc w:val="both"/>
        <w:rPr>
          <w:color w:val="222222"/>
        </w:rPr>
      </w:pPr>
      <w:r w:rsidRPr="00C60ABB">
        <w:rPr>
          <w:rFonts w:ascii="Palatino Linotype" w:eastAsia="Palatino Linotype" w:hAnsi="Palatino Linotype" w:cs="Palatino Linotype"/>
          <w:i/>
          <w:color w:val="222222"/>
          <w:sz w:val="22"/>
          <w:szCs w:val="22"/>
        </w:rPr>
        <w:t>En caso que la información solicitada consista en bases de datos se deberá privilegiar la entrega de la misma en formatos abiertos.</w:t>
      </w:r>
    </w:p>
    <w:p w14:paraId="29CCC5B9" w14:textId="77777777" w:rsidR="004E626C" w:rsidRPr="00C60ABB" w:rsidRDefault="005C42B7">
      <w:pPr>
        <w:shd w:val="clear" w:color="auto" w:fill="FFFFFF"/>
        <w:ind w:left="993" w:right="1041"/>
        <w:jc w:val="both"/>
        <w:rPr>
          <w:color w:val="222222"/>
        </w:rPr>
      </w:pPr>
      <w:r w:rsidRPr="00C60ABB">
        <w:rPr>
          <w:rFonts w:ascii="Palatino Linotype" w:eastAsia="Palatino Linotype" w:hAnsi="Palatino Linotype" w:cs="Palatino Linotype"/>
          <w:b/>
          <w:i/>
          <w:color w:val="222222"/>
          <w:sz w:val="22"/>
          <w:szCs w:val="22"/>
        </w:rPr>
        <w:t>Artículo 163.</w:t>
      </w:r>
      <w:r w:rsidRPr="00C60ABB">
        <w:rPr>
          <w:rFonts w:ascii="Palatino Linotype" w:eastAsia="Palatino Linotype" w:hAnsi="Palatino Linotype" w:cs="Palatino Linotype"/>
          <w:i/>
          <w:color w:val="222222"/>
          <w:sz w:val="22"/>
          <w:szCs w:val="22"/>
        </w:rPr>
        <w:t> La Unidad de Transparencia deberá notificar la respuesta a la solicitud al interesado en el menor tiempo posible, que no podrá exceder de quince días hábiles, contados a partir del día siguiente a la presentación de aquélla.</w:t>
      </w:r>
    </w:p>
    <w:p w14:paraId="2FCA2685" w14:textId="77777777" w:rsidR="004E626C" w:rsidRPr="00C60ABB" w:rsidRDefault="005C42B7">
      <w:pPr>
        <w:shd w:val="clear" w:color="auto" w:fill="FFFFFF"/>
        <w:ind w:left="993" w:right="1041"/>
        <w:jc w:val="both"/>
        <w:rPr>
          <w:color w:val="222222"/>
        </w:rPr>
      </w:pPr>
      <w:r w:rsidRPr="00C60ABB">
        <w:rPr>
          <w:rFonts w:ascii="Palatino Linotype" w:eastAsia="Palatino Linotype" w:hAnsi="Palatino Linotype" w:cs="Palatino Linotype"/>
          <w:i/>
          <w:color w:val="222222"/>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79348DC3" w14:textId="77777777" w:rsidR="004E626C" w:rsidRPr="00C60ABB" w:rsidRDefault="005C42B7">
      <w:pPr>
        <w:shd w:val="clear" w:color="auto" w:fill="FFFFFF"/>
        <w:ind w:left="993" w:right="1041"/>
        <w:jc w:val="both"/>
        <w:rPr>
          <w:color w:val="222222"/>
        </w:rPr>
      </w:pPr>
      <w:r w:rsidRPr="00C60ABB">
        <w:rPr>
          <w:rFonts w:ascii="Palatino Linotype" w:eastAsia="Palatino Linotype" w:hAnsi="Palatino Linotype" w:cs="Palatino Linotype"/>
          <w:b/>
          <w:i/>
          <w:color w:val="222222"/>
          <w:sz w:val="22"/>
          <w:szCs w:val="22"/>
        </w:rPr>
        <w:t>Artículo 165.</w:t>
      </w:r>
      <w:r w:rsidRPr="00C60ABB">
        <w:rPr>
          <w:rFonts w:ascii="Palatino Linotype" w:eastAsia="Palatino Linotype" w:hAnsi="Palatino Linotype" w:cs="Palatino Linotype"/>
          <w:i/>
          <w:color w:val="222222"/>
          <w:sz w:val="22"/>
          <w:szCs w:val="22"/>
        </w:rPr>
        <w:t> Los sujetos obligados establecerán la forma y términos en que darán trámite interno a las solicitudes en materia de acceso a la información.</w:t>
      </w:r>
    </w:p>
    <w:p w14:paraId="702F5CAF" w14:textId="77777777" w:rsidR="004E626C" w:rsidRPr="00C60ABB" w:rsidRDefault="005C42B7">
      <w:pPr>
        <w:shd w:val="clear" w:color="auto" w:fill="FFFFFF"/>
        <w:ind w:left="993" w:right="1041"/>
        <w:jc w:val="both"/>
        <w:rPr>
          <w:color w:val="222222"/>
        </w:rPr>
      </w:pPr>
      <w:r w:rsidRPr="00C60ABB">
        <w:rPr>
          <w:rFonts w:ascii="Palatino Linotype" w:eastAsia="Palatino Linotype" w:hAnsi="Palatino Linotype" w:cs="Palatino Linotype"/>
          <w:i/>
          <w:color w:val="222222"/>
          <w:sz w:val="22"/>
          <w:szCs w:val="22"/>
        </w:rPr>
        <w:t>La información que se entregue en versión pública, cuya modalidad de reproducción o envío tenga un costo, procederá una vez que se acredite el pago respectivo. No puede entenderse como reproducción la elaboración de la misma.</w:t>
      </w:r>
    </w:p>
    <w:p w14:paraId="6403A6AC" w14:textId="77777777" w:rsidR="004E626C" w:rsidRPr="00C60ABB" w:rsidRDefault="005C42B7">
      <w:pPr>
        <w:shd w:val="clear" w:color="auto" w:fill="FFFFFF"/>
        <w:spacing w:after="240"/>
        <w:ind w:left="993" w:right="1041"/>
        <w:jc w:val="both"/>
        <w:rPr>
          <w:color w:val="222222"/>
        </w:rPr>
      </w:pPr>
      <w:r w:rsidRPr="00C60ABB">
        <w:rPr>
          <w:rFonts w:ascii="Palatino Linotype" w:eastAsia="Palatino Linotype" w:hAnsi="Palatino Linotype" w:cs="Palatino Linotype"/>
          <w:i/>
          <w:color w:val="222222"/>
          <w:sz w:val="22"/>
          <w:szCs w:val="22"/>
        </w:rPr>
        <w:t>Ante la falta de respuesta a una solicitud en el plazo previsto y en caso de que proceda el acceso, los costos de reproducción y envío correrán a cargo del sujeto obligado.” (Sic)</w:t>
      </w:r>
    </w:p>
    <w:p w14:paraId="7B1E137C" w14:textId="77777777" w:rsidR="004E626C" w:rsidRPr="00C60ABB" w:rsidRDefault="005C42B7">
      <w:pPr>
        <w:shd w:val="clear" w:color="auto" w:fill="FFFFFF"/>
        <w:spacing w:before="240" w:after="240" w:line="360" w:lineRule="auto"/>
        <w:jc w:val="both"/>
        <w:rPr>
          <w:color w:val="222222"/>
        </w:rPr>
      </w:pPr>
      <w:r w:rsidRPr="00C60ABB">
        <w:rPr>
          <w:rFonts w:ascii="Palatino Linotype" w:eastAsia="Palatino Linotype" w:hAnsi="Palatino Linotype" w:cs="Palatino Linotype"/>
          <w:color w:val="222222"/>
        </w:rPr>
        <w:lastRenderedPageBreak/>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C60ABB">
        <w:rPr>
          <w:rFonts w:ascii="Palatino Linotype" w:eastAsia="Palatino Linotype" w:hAnsi="Palatino Linotype" w:cs="Palatino Linotype"/>
          <w:color w:val="222222"/>
          <w:vertAlign w:val="superscript"/>
        </w:rPr>
        <w:footnoteReference w:id="2"/>
      </w:r>
      <w:r w:rsidRPr="00C60ABB">
        <w:rPr>
          <w:rFonts w:ascii="Palatino Linotype" w:eastAsia="Palatino Linotype" w:hAnsi="Palatino Linotype" w:cs="Palatino Linotype"/>
          <w:color w:val="222222"/>
        </w:rPr>
        <w:t xml:space="preserve">, situación que no se advierte en el presente caso, toda vez que el </w:t>
      </w:r>
      <w:r w:rsidRPr="00C60ABB">
        <w:rPr>
          <w:rFonts w:ascii="Palatino Linotype" w:eastAsia="Palatino Linotype" w:hAnsi="Palatino Linotype" w:cs="Palatino Linotype"/>
          <w:b/>
          <w:color w:val="222222"/>
        </w:rPr>
        <w:t>SUJETO OBLIGADO</w:t>
      </w:r>
      <w:r w:rsidRPr="00C60ABB">
        <w:rPr>
          <w:rFonts w:ascii="Palatino Linotype" w:eastAsia="Palatino Linotype" w:hAnsi="Palatino Linotype" w:cs="Palatino Linotype"/>
          <w:color w:val="222222"/>
        </w:rPr>
        <w:t xml:space="preserve">, a través de su </w:t>
      </w:r>
      <w:r w:rsidRPr="00C60ABB">
        <w:rPr>
          <w:rFonts w:ascii="Palatino Linotype" w:eastAsia="Palatino Linotype" w:hAnsi="Palatino Linotype" w:cs="Palatino Linotype"/>
          <w:color w:val="000000"/>
        </w:rPr>
        <w:t xml:space="preserve">Unidad de Transparencia </w:t>
      </w:r>
      <w:r w:rsidRPr="00C60ABB">
        <w:rPr>
          <w:rFonts w:ascii="Palatino Linotype" w:eastAsia="Palatino Linotype" w:hAnsi="Palatino Linotype" w:cs="Palatino Linotype"/>
          <w:color w:val="222222"/>
        </w:rPr>
        <w:t>no ha brindado el acceso a la información solicitada por el particular de manera completa,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14:paraId="4BDE77AE" w14:textId="77777777" w:rsidR="004E626C" w:rsidRPr="00C60ABB" w:rsidRDefault="005C42B7">
      <w:pPr>
        <w:spacing w:line="360" w:lineRule="auto"/>
        <w:ind w:right="51"/>
        <w:jc w:val="both"/>
        <w:rPr>
          <w:rFonts w:ascii="Palatino Linotype" w:eastAsia="Palatino Linotype" w:hAnsi="Palatino Linotype" w:cs="Palatino Linotype"/>
        </w:rPr>
      </w:pPr>
      <w:r w:rsidRPr="00C60ABB">
        <w:rPr>
          <w:rFonts w:ascii="Palatino Linotype" w:eastAsia="Palatino Linotype" w:hAnsi="Palatino Linotype" w:cs="Palatino Linotype"/>
          <w:color w:val="222222"/>
        </w:rPr>
        <w:t xml:space="preserve">En mérito de lo anterior, se colige que el </w:t>
      </w:r>
      <w:r w:rsidRPr="00C60ABB">
        <w:rPr>
          <w:rFonts w:ascii="Palatino Linotype" w:eastAsia="Palatino Linotype" w:hAnsi="Palatino Linotype" w:cs="Palatino Linotype"/>
          <w:b/>
          <w:color w:val="222222"/>
        </w:rPr>
        <w:t>SUJETO OBLIGADO</w:t>
      </w:r>
      <w:r w:rsidRPr="00C60ABB">
        <w:rPr>
          <w:rFonts w:ascii="Palatino Linotype" w:eastAsia="Palatino Linotype" w:hAnsi="Palatino Linotype" w:cs="Palatino Linotype"/>
          <w:color w:val="222222"/>
        </w:rPr>
        <w:t xml:space="preserve"> debió realizar una búsqueda exhaustiva y razonable de la información peticionada en todas las áreas competentes para que se pronunciaran respecto de la solicitud del particular, como pudieran ser </w:t>
      </w:r>
      <w:r w:rsidRPr="00C60ABB">
        <w:rPr>
          <w:rFonts w:ascii="Palatino Linotype" w:eastAsia="Palatino Linotype" w:hAnsi="Palatino Linotype" w:cs="Palatino Linotype"/>
          <w:b/>
          <w:color w:val="222222"/>
          <w:u w:val="single"/>
        </w:rPr>
        <w:t>la Tesorería Municipal</w:t>
      </w:r>
      <w:r w:rsidRPr="00C60ABB">
        <w:rPr>
          <w:rFonts w:ascii="Palatino Linotype" w:eastAsia="Palatino Linotype" w:hAnsi="Palatino Linotype" w:cs="Palatino Linotype"/>
        </w:rPr>
        <w:t>, en términos de lo señalado por el 57 del Bando Municipal del Ayuntamiento de Capulhuac para el año 2023, que señala:</w:t>
      </w:r>
    </w:p>
    <w:p w14:paraId="30A21CF6" w14:textId="77777777" w:rsidR="004E626C" w:rsidRPr="00C60ABB" w:rsidRDefault="004E626C">
      <w:pPr>
        <w:spacing w:line="360" w:lineRule="auto"/>
        <w:ind w:right="51"/>
        <w:jc w:val="both"/>
        <w:rPr>
          <w:rFonts w:ascii="Palatino Linotype" w:eastAsia="Palatino Linotype" w:hAnsi="Palatino Linotype" w:cs="Palatino Linotype"/>
        </w:rPr>
      </w:pPr>
    </w:p>
    <w:p w14:paraId="563DDF89" w14:textId="77777777" w:rsidR="004E626C" w:rsidRPr="00C60ABB" w:rsidRDefault="005C42B7">
      <w:pPr>
        <w:shd w:val="clear" w:color="auto" w:fill="FFFFFF"/>
        <w:ind w:left="993" w:right="1041"/>
        <w:jc w:val="both"/>
        <w:rPr>
          <w:rFonts w:ascii="Palatino Linotype" w:eastAsia="Palatino Linotype" w:hAnsi="Palatino Linotype" w:cs="Palatino Linotype"/>
          <w:i/>
          <w:color w:val="222222"/>
          <w:sz w:val="22"/>
          <w:szCs w:val="22"/>
        </w:rPr>
      </w:pPr>
      <w:r w:rsidRPr="00C60ABB">
        <w:rPr>
          <w:rFonts w:ascii="Palatino Linotype" w:eastAsia="Palatino Linotype" w:hAnsi="Palatino Linotype" w:cs="Palatino Linotype"/>
          <w:i/>
          <w:color w:val="222222"/>
          <w:sz w:val="22"/>
          <w:szCs w:val="22"/>
        </w:rPr>
        <w:t xml:space="preserve">“Artículo 57. </w:t>
      </w:r>
      <w:r w:rsidRPr="00C60ABB">
        <w:rPr>
          <w:rFonts w:ascii="Palatino Linotype" w:eastAsia="Palatino Linotype" w:hAnsi="Palatino Linotype" w:cs="Palatino Linotype"/>
          <w:b/>
          <w:i/>
          <w:color w:val="222222"/>
          <w:sz w:val="22"/>
          <w:szCs w:val="22"/>
        </w:rPr>
        <w:t>La Tesorería Municipal es el órgano encargado</w:t>
      </w:r>
      <w:r w:rsidRPr="00C60ABB">
        <w:rPr>
          <w:rFonts w:ascii="Palatino Linotype" w:eastAsia="Palatino Linotype" w:hAnsi="Palatino Linotype" w:cs="Palatino Linotype"/>
          <w:i/>
          <w:color w:val="222222"/>
          <w:sz w:val="22"/>
          <w:szCs w:val="22"/>
        </w:rPr>
        <w:t xml:space="preserve"> de la recaudación de los ingresos municipales y de los derivados de la suscripción de convenios, así como responsable </w:t>
      </w:r>
      <w:r w:rsidRPr="00C60ABB">
        <w:rPr>
          <w:rFonts w:ascii="Palatino Linotype" w:eastAsia="Palatino Linotype" w:hAnsi="Palatino Linotype" w:cs="Palatino Linotype"/>
          <w:b/>
          <w:i/>
          <w:color w:val="222222"/>
          <w:sz w:val="22"/>
          <w:szCs w:val="22"/>
        </w:rPr>
        <w:t>de realizar las erogaciones que haga el Municipio de conformidad con las disposiciones legales aplicables</w:t>
      </w:r>
      <w:r w:rsidRPr="00C60ABB">
        <w:rPr>
          <w:rFonts w:ascii="Palatino Linotype" w:eastAsia="Palatino Linotype" w:hAnsi="Palatino Linotype" w:cs="Palatino Linotype"/>
          <w:i/>
          <w:color w:val="222222"/>
          <w:sz w:val="22"/>
          <w:szCs w:val="22"/>
        </w:rPr>
        <w:t xml:space="preserve">, sin perjuicio de lo que establece el artículo 95 de la Ley Orgánica Municipal y demás aplicables, tendrá las siguientes atribuciones: </w:t>
      </w:r>
    </w:p>
    <w:p w14:paraId="1EB56044" w14:textId="77777777" w:rsidR="004E626C" w:rsidRPr="00C60ABB" w:rsidRDefault="005C42B7">
      <w:pPr>
        <w:shd w:val="clear" w:color="auto" w:fill="FFFFFF"/>
        <w:ind w:left="993" w:right="1041"/>
        <w:jc w:val="both"/>
        <w:rPr>
          <w:rFonts w:ascii="Palatino Linotype" w:eastAsia="Palatino Linotype" w:hAnsi="Palatino Linotype" w:cs="Palatino Linotype"/>
          <w:i/>
          <w:color w:val="222222"/>
          <w:sz w:val="22"/>
          <w:szCs w:val="22"/>
        </w:rPr>
      </w:pPr>
      <w:r w:rsidRPr="00C60ABB">
        <w:rPr>
          <w:rFonts w:ascii="Palatino Linotype" w:eastAsia="Palatino Linotype" w:hAnsi="Palatino Linotype" w:cs="Palatino Linotype"/>
          <w:i/>
          <w:color w:val="222222"/>
          <w:sz w:val="22"/>
          <w:szCs w:val="22"/>
        </w:rPr>
        <w:t xml:space="preserve">I. Determinar, liquidar, recaudar, fiscalizar y administrar las contribuciones en los términos de los ordenamientos jurídicos aplicables y, en su caso, aplicar el procedimiento administrativo de ejecución; </w:t>
      </w:r>
    </w:p>
    <w:p w14:paraId="2F3ACDD9" w14:textId="77777777" w:rsidR="004E626C" w:rsidRPr="00C60ABB" w:rsidRDefault="005C42B7">
      <w:pPr>
        <w:shd w:val="clear" w:color="auto" w:fill="FFFFFF"/>
        <w:ind w:left="993" w:right="1041"/>
        <w:jc w:val="both"/>
        <w:rPr>
          <w:rFonts w:ascii="Palatino Linotype" w:eastAsia="Palatino Linotype" w:hAnsi="Palatino Linotype" w:cs="Palatino Linotype"/>
          <w:i/>
          <w:color w:val="222222"/>
          <w:sz w:val="22"/>
          <w:szCs w:val="22"/>
        </w:rPr>
      </w:pPr>
      <w:r w:rsidRPr="00C60ABB">
        <w:rPr>
          <w:rFonts w:ascii="Palatino Linotype" w:eastAsia="Palatino Linotype" w:hAnsi="Palatino Linotype" w:cs="Palatino Linotype"/>
          <w:i/>
          <w:color w:val="222222"/>
          <w:sz w:val="22"/>
          <w:szCs w:val="22"/>
        </w:rPr>
        <w:lastRenderedPageBreak/>
        <w:t xml:space="preserve">II. Imponer las sanciones administrativas que procedan por infracciones a las disposiciones fiscales; </w:t>
      </w:r>
    </w:p>
    <w:p w14:paraId="7DF7B9B2" w14:textId="77777777" w:rsidR="004E626C" w:rsidRPr="00C60ABB" w:rsidRDefault="005C42B7">
      <w:pPr>
        <w:shd w:val="clear" w:color="auto" w:fill="FFFFFF"/>
        <w:ind w:left="993" w:right="1041"/>
        <w:jc w:val="both"/>
        <w:rPr>
          <w:rFonts w:ascii="Palatino Linotype" w:eastAsia="Palatino Linotype" w:hAnsi="Palatino Linotype" w:cs="Palatino Linotype"/>
          <w:i/>
          <w:color w:val="222222"/>
          <w:sz w:val="22"/>
          <w:szCs w:val="22"/>
        </w:rPr>
      </w:pPr>
      <w:r w:rsidRPr="00C60ABB">
        <w:rPr>
          <w:rFonts w:ascii="Palatino Linotype" w:eastAsia="Palatino Linotype" w:hAnsi="Palatino Linotype" w:cs="Palatino Linotype"/>
          <w:i/>
          <w:color w:val="222222"/>
          <w:sz w:val="22"/>
          <w:szCs w:val="22"/>
        </w:rPr>
        <w:t xml:space="preserve">III. Participar en la formulación de convenios fiscales; </w:t>
      </w:r>
    </w:p>
    <w:p w14:paraId="239BE6E3" w14:textId="77777777" w:rsidR="004E626C" w:rsidRPr="00C60ABB" w:rsidRDefault="005C42B7">
      <w:pPr>
        <w:shd w:val="clear" w:color="auto" w:fill="FFFFFF"/>
        <w:ind w:left="993" w:right="1041"/>
        <w:jc w:val="both"/>
        <w:rPr>
          <w:rFonts w:ascii="Palatino Linotype" w:eastAsia="Palatino Linotype" w:hAnsi="Palatino Linotype" w:cs="Palatino Linotype"/>
          <w:i/>
          <w:color w:val="222222"/>
          <w:sz w:val="22"/>
          <w:szCs w:val="22"/>
        </w:rPr>
      </w:pPr>
      <w:r w:rsidRPr="00C60ABB">
        <w:rPr>
          <w:rFonts w:ascii="Palatino Linotype" w:eastAsia="Palatino Linotype" w:hAnsi="Palatino Linotype" w:cs="Palatino Linotype"/>
          <w:i/>
          <w:color w:val="222222"/>
          <w:sz w:val="22"/>
          <w:szCs w:val="22"/>
        </w:rPr>
        <w:t xml:space="preserve">IV. Custodiar y ejercer las garantías que se otorguen en favor de la Hacienda Municipal; </w:t>
      </w:r>
    </w:p>
    <w:p w14:paraId="2EF56ACF" w14:textId="77777777" w:rsidR="004E626C" w:rsidRPr="00C60ABB" w:rsidRDefault="005C42B7">
      <w:pPr>
        <w:shd w:val="clear" w:color="auto" w:fill="FFFFFF"/>
        <w:ind w:left="993" w:right="1041"/>
        <w:jc w:val="both"/>
        <w:rPr>
          <w:rFonts w:ascii="Palatino Linotype" w:eastAsia="Palatino Linotype" w:hAnsi="Palatino Linotype" w:cs="Palatino Linotype"/>
          <w:i/>
          <w:color w:val="222222"/>
          <w:sz w:val="22"/>
          <w:szCs w:val="22"/>
        </w:rPr>
      </w:pPr>
      <w:r w:rsidRPr="00C60ABB">
        <w:rPr>
          <w:rFonts w:ascii="Palatino Linotype" w:eastAsia="Palatino Linotype" w:hAnsi="Palatino Linotype" w:cs="Palatino Linotype"/>
          <w:i/>
          <w:color w:val="222222"/>
          <w:sz w:val="22"/>
          <w:szCs w:val="22"/>
        </w:rPr>
        <w:t xml:space="preserve">V. Elaborar y mantener actualizado el Padrón de Contribuyentes, y </w:t>
      </w:r>
    </w:p>
    <w:p w14:paraId="180F4099" w14:textId="77777777" w:rsidR="004E626C" w:rsidRPr="00C60ABB" w:rsidRDefault="005C42B7">
      <w:pPr>
        <w:shd w:val="clear" w:color="auto" w:fill="FFFFFF"/>
        <w:ind w:left="993" w:right="1041"/>
        <w:jc w:val="both"/>
        <w:rPr>
          <w:rFonts w:ascii="Palatino Linotype" w:eastAsia="Palatino Linotype" w:hAnsi="Palatino Linotype" w:cs="Palatino Linotype"/>
          <w:i/>
          <w:color w:val="222222"/>
          <w:sz w:val="22"/>
          <w:szCs w:val="22"/>
        </w:rPr>
      </w:pPr>
      <w:r w:rsidRPr="00C60ABB">
        <w:rPr>
          <w:rFonts w:ascii="Palatino Linotype" w:eastAsia="Palatino Linotype" w:hAnsi="Palatino Linotype" w:cs="Palatino Linotype"/>
          <w:i/>
          <w:color w:val="222222"/>
          <w:sz w:val="22"/>
          <w:szCs w:val="22"/>
        </w:rPr>
        <w:t>VI.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que constituyan los créditos fiscales correspondientes;</w:t>
      </w:r>
    </w:p>
    <w:p w14:paraId="1C2DE64E" w14:textId="77777777" w:rsidR="004E626C" w:rsidRPr="00C60ABB" w:rsidRDefault="004E626C">
      <w:pPr>
        <w:spacing w:line="360" w:lineRule="auto"/>
        <w:jc w:val="both"/>
        <w:rPr>
          <w:rFonts w:ascii="Palatino Linotype" w:eastAsia="Palatino Linotype" w:hAnsi="Palatino Linotype" w:cs="Palatino Linotype"/>
        </w:rPr>
      </w:pPr>
    </w:p>
    <w:p w14:paraId="27E90512" w14:textId="77777777" w:rsidR="004E626C" w:rsidRPr="00C60ABB" w:rsidRDefault="005C42B7">
      <w:pPr>
        <w:spacing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Lo que se robustece con lo señalado por el artículo 95 fracción IV de la Ley Orgánica Municipal del Estado de México, que señala:</w:t>
      </w:r>
    </w:p>
    <w:p w14:paraId="31744900" w14:textId="77777777" w:rsidR="004E626C" w:rsidRPr="00C60ABB" w:rsidRDefault="004E626C">
      <w:pPr>
        <w:spacing w:line="360" w:lineRule="auto"/>
        <w:jc w:val="both"/>
        <w:rPr>
          <w:rFonts w:ascii="Palatino Linotype" w:eastAsia="Palatino Linotype" w:hAnsi="Palatino Linotype" w:cs="Palatino Linotype"/>
        </w:rPr>
      </w:pPr>
    </w:p>
    <w:p w14:paraId="55214716" w14:textId="77777777" w:rsidR="004E626C" w:rsidRPr="00C60ABB" w:rsidRDefault="005C42B7">
      <w:pPr>
        <w:ind w:left="567" w:right="567"/>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“Artículo 95.- Son atribuciones del tesorero municipal: </w:t>
      </w:r>
    </w:p>
    <w:p w14:paraId="78B0F8C5" w14:textId="77777777" w:rsidR="004E626C" w:rsidRPr="00C60ABB" w:rsidRDefault="005C42B7">
      <w:pPr>
        <w:ind w:left="567" w:right="567"/>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w:t>
      </w:r>
    </w:p>
    <w:p w14:paraId="38449F58" w14:textId="77777777" w:rsidR="004E626C" w:rsidRPr="00C60ABB" w:rsidRDefault="005C42B7">
      <w:pPr>
        <w:ind w:left="567" w:right="567"/>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b/>
          <w:i/>
          <w:sz w:val="22"/>
          <w:szCs w:val="22"/>
        </w:rPr>
        <w:t>IV. Llevar los registros contables, financieros y administrativos de los</w:t>
      </w:r>
      <w:r w:rsidRPr="00C60ABB">
        <w:rPr>
          <w:rFonts w:ascii="Palatino Linotype" w:eastAsia="Palatino Linotype" w:hAnsi="Palatino Linotype" w:cs="Palatino Linotype"/>
          <w:i/>
          <w:sz w:val="22"/>
          <w:szCs w:val="22"/>
        </w:rPr>
        <w:t xml:space="preserve"> ingresos, </w:t>
      </w:r>
      <w:r w:rsidRPr="00C60ABB">
        <w:rPr>
          <w:rFonts w:ascii="Palatino Linotype" w:eastAsia="Palatino Linotype" w:hAnsi="Palatino Linotype" w:cs="Palatino Linotype"/>
          <w:b/>
          <w:i/>
          <w:sz w:val="22"/>
          <w:szCs w:val="22"/>
        </w:rPr>
        <w:t>egresos</w:t>
      </w:r>
      <w:r w:rsidRPr="00C60ABB">
        <w:rPr>
          <w:rFonts w:ascii="Palatino Linotype" w:eastAsia="Palatino Linotype" w:hAnsi="Palatino Linotype" w:cs="Palatino Linotype"/>
          <w:i/>
          <w:sz w:val="22"/>
          <w:szCs w:val="22"/>
        </w:rPr>
        <w:t>, e inventarios…” (Sic)</w:t>
      </w:r>
    </w:p>
    <w:p w14:paraId="3BA1BD86" w14:textId="77777777" w:rsidR="004E626C" w:rsidRPr="00C60ABB" w:rsidRDefault="004E626C">
      <w:pPr>
        <w:spacing w:after="240" w:line="360" w:lineRule="auto"/>
        <w:ind w:right="51"/>
        <w:jc w:val="both"/>
        <w:rPr>
          <w:rFonts w:ascii="Palatino Linotype" w:eastAsia="Palatino Linotype" w:hAnsi="Palatino Linotype" w:cs="Palatino Linotype"/>
        </w:rPr>
      </w:pPr>
    </w:p>
    <w:p w14:paraId="46F08D41" w14:textId="77777777" w:rsidR="004E626C" w:rsidRPr="00C60ABB" w:rsidRDefault="005C42B7">
      <w:pPr>
        <w:spacing w:before="240" w:after="240" w:line="360" w:lineRule="auto"/>
        <w:ind w:right="51"/>
        <w:jc w:val="both"/>
        <w:rPr>
          <w:rFonts w:ascii="Palatino Linotype" w:eastAsia="Palatino Linotype" w:hAnsi="Palatino Linotype" w:cs="Palatino Linotype"/>
        </w:rPr>
      </w:pPr>
      <w:r w:rsidRPr="00C60ABB">
        <w:rPr>
          <w:rFonts w:ascii="Palatino Linotype" w:eastAsia="Palatino Linotype" w:hAnsi="Palatino Linotype" w:cs="Palatino Linotype"/>
        </w:rPr>
        <w:t xml:space="preserve">Además, que uno de los requerimientos de la parte </w:t>
      </w:r>
      <w:r w:rsidRPr="00C60ABB">
        <w:rPr>
          <w:rFonts w:ascii="Palatino Linotype" w:eastAsia="Palatino Linotype" w:hAnsi="Palatino Linotype" w:cs="Palatino Linotype"/>
          <w:b/>
        </w:rPr>
        <w:t>RECURRENTE</w:t>
      </w:r>
      <w:r w:rsidRPr="00C60ABB">
        <w:rPr>
          <w:rFonts w:ascii="Palatino Linotype" w:eastAsia="Palatino Linotype" w:hAnsi="Palatino Linotype" w:cs="Palatino Linotype"/>
        </w:rPr>
        <w:t>, fue lo relativo a:</w:t>
      </w:r>
    </w:p>
    <w:p w14:paraId="1567CCB5" w14:textId="77777777" w:rsidR="004E626C" w:rsidRPr="00C60ABB" w:rsidRDefault="005C42B7">
      <w:pPr>
        <w:shd w:val="clear" w:color="auto" w:fill="FFFFFF"/>
        <w:ind w:left="993" w:right="1041"/>
        <w:jc w:val="both"/>
        <w:rPr>
          <w:rFonts w:ascii="Palatino Linotype" w:eastAsia="Palatino Linotype" w:hAnsi="Palatino Linotype" w:cs="Palatino Linotype"/>
          <w:i/>
          <w:color w:val="222222"/>
          <w:sz w:val="22"/>
          <w:szCs w:val="22"/>
        </w:rPr>
      </w:pPr>
      <w:r w:rsidRPr="00C60ABB">
        <w:rPr>
          <w:rFonts w:ascii="Palatino Linotype" w:eastAsia="Palatino Linotype" w:hAnsi="Palatino Linotype" w:cs="Palatino Linotype"/>
          <w:i/>
          <w:color w:val="222222"/>
          <w:sz w:val="22"/>
          <w:szCs w:val="22"/>
        </w:rPr>
        <w:t>“…COPIA DE LOS CHEQUES O TRANSFERENCIAS ELECTRÓNICAS O EL DOCUMENTO GENERADO POR LA TESORERÍA MUNICIPAL QUE ACREDITE EL PAGO DE LAS FACTURAS…” (Sic)</w:t>
      </w:r>
    </w:p>
    <w:p w14:paraId="4A250A47" w14:textId="77777777" w:rsidR="004E626C" w:rsidRPr="00C60ABB" w:rsidRDefault="005C42B7">
      <w:pPr>
        <w:widowControl w:val="0"/>
        <w:spacing w:before="240" w:after="240"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 xml:space="preserve">Ante ello, los artículos 342, 343, 344 y 345 del Código Financiero del Estado de México y Municipios disponen el sistema y las políticas que deben seguirse para llevar el registro contable y presupuestal de las operaciones financieras, en los </w:t>
      </w:r>
      <w:r w:rsidRPr="00C60ABB">
        <w:rPr>
          <w:rFonts w:ascii="Palatino Linotype" w:eastAsia="Palatino Linotype" w:hAnsi="Palatino Linotype" w:cs="Palatino Linotype"/>
        </w:rPr>
        <w:lastRenderedPageBreak/>
        <w:t>siguientes términos:</w:t>
      </w:r>
    </w:p>
    <w:p w14:paraId="0A082D6C" w14:textId="77777777" w:rsidR="004E626C" w:rsidRPr="00C60ABB" w:rsidRDefault="005C42B7">
      <w:pPr>
        <w:spacing w:before="120" w:after="120" w:line="276" w:lineRule="auto"/>
        <w:ind w:left="851" w:right="850"/>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color w:val="000000"/>
          <w:sz w:val="22"/>
          <w:szCs w:val="22"/>
        </w:rPr>
        <w:t>“</w:t>
      </w:r>
      <w:r w:rsidRPr="00C60ABB">
        <w:rPr>
          <w:rFonts w:ascii="Palatino Linotype" w:eastAsia="Palatino Linotype" w:hAnsi="Palatino Linotype" w:cs="Palatino Linotype"/>
          <w:b/>
          <w:i/>
          <w:sz w:val="22"/>
          <w:szCs w:val="22"/>
        </w:rPr>
        <w:t>Artículo 342.-</w:t>
      </w:r>
      <w:r w:rsidRPr="00C60ABB">
        <w:rPr>
          <w:rFonts w:ascii="Palatino Linotype" w:eastAsia="Palatino Linotype" w:hAnsi="Palatino Linotype" w:cs="Palatino Linotype"/>
          <w:i/>
          <w:sz w:val="22"/>
          <w:szCs w:val="22"/>
        </w:rPr>
        <w:t xml:space="preserve"> El registro contable del efecto patrimonial y presupuestal de las operaciones financieras, se realizará conforme al sistema y a las disposiciones que se aprueben en materia de </w:t>
      </w:r>
      <w:r w:rsidRPr="00C60ABB">
        <w:rPr>
          <w:rFonts w:ascii="Palatino Linotype" w:eastAsia="Palatino Linotype" w:hAnsi="Palatino Linotype" w:cs="Palatino Linotype"/>
          <w:i/>
          <w:color w:val="000000"/>
          <w:sz w:val="22"/>
          <w:szCs w:val="22"/>
        </w:rPr>
        <w:t>planeación</w:t>
      </w:r>
      <w:r w:rsidRPr="00C60ABB">
        <w:rPr>
          <w:rFonts w:ascii="Palatino Linotype" w:eastAsia="Palatino Linotype" w:hAnsi="Palatino Linotype" w:cs="Palatino Linotype"/>
          <w:i/>
          <w:sz w:val="22"/>
          <w:szCs w:val="22"/>
        </w:rPr>
        <w:t xml:space="preserve">, programación, presupuestación, evaluación y </w:t>
      </w:r>
      <w:r w:rsidRPr="00C60ABB">
        <w:rPr>
          <w:rFonts w:ascii="Palatino Linotype" w:eastAsia="Palatino Linotype" w:hAnsi="Palatino Linotype" w:cs="Palatino Linotype"/>
          <w:i/>
          <w:color w:val="000000"/>
          <w:sz w:val="22"/>
          <w:szCs w:val="22"/>
        </w:rPr>
        <w:t>contabilidad</w:t>
      </w:r>
      <w:r w:rsidRPr="00C60ABB">
        <w:rPr>
          <w:rFonts w:ascii="Palatino Linotype" w:eastAsia="Palatino Linotype" w:hAnsi="Palatino Linotype" w:cs="Palatino Linotype"/>
          <w:i/>
          <w:sz w:val="22"/>
          <w:szCs w:val="22"/>
        </w:rPr>
        <w:t xml:space="preserve"> gubernamental. </w:t>
      </w:r>
    </w:p>
    <w:p w14:paraId="76C343B9" w14:textId="77777777" w:rsidR="004E626C" w:rsidRPr="00C60ABB" w:rsidRDefault="005C42B7">
      <w:pPr>
        <w:spacing w:before="120" w:after="120" w:line="276" w:lineRule="auto"/>
        <w:ind w:left="851" w:right="850"/>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color w:val="000000"/>
          <w:sz w:val="22"/>
          <w:szCs w:val="22"/>
        </w:rPr>
        <w:t>…</w:t>
      </w:r>
    </w:p>
    <w:p w14:paraId="3C0A18F4" w14:textId="77777777" w:rsidR="004E626C" w:rsidRPr="00C60ABB" w:rsidRDefault="005C42B7">
      <w:pPr>
        <w:spacing w:before="120" w:after="120" w:line="276" w:lineRule="auto"/>
        <w:ind w:left="851" w:right="850"/>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b/>
          <w:i/>
          <w:sz w:val="22"/>
          <w:szCs w:val="22"/>
        </w:rPr>
        <w:t>Artículo 343.-</w:t>
      </w:r>
      <w:r w:rsidRPr="00C60ABB">
        <w:rPr>
          <w:rFonts w:ascii="Palatino Linotype" w:eastAsia="Palatino Linotype" w:hAnsi="Palatino Linotype" w:cs="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6A6C0F25" w14:textId="77777777" w:rsidR="004E626C" w:rsidRPr="00C60ABB" w:rsidRDefault="005C42B7">
      <w:pPr>
        <w:spacing w:before="120" w:after="120" w:line="276" w:lineRule="auto"/>
        <w:ind w:left="851" w:right="850"/>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El sistema de contabilidad sobre base acumulativa total se sustentará en los postulados básicos y el marco conceptual de la contabilidad gubernamental. </w:t>
      </w:r>
    </w:p>
    <w:p w14:paraId="4E8DFBB9" w14:textId="77777777" w:rsidR="004E626C" w:rsidRPr="00C60ABB" w:rsidRDefault="005C42B7">
      <w:pPr>
        <w:spacing w:before="120" w:after="120" w:line="276" w:lineRule="auto"/>
        <w:ind w:left="851" w:right="850"/>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b/>
          <w:i/>
          <w:sz w:val="22"/>
          <w:szCs w:val="22"/>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C60ABB">
        <w:rPr>
          <w:rFonts w:ascii="Palatino Linotype" w:eastAsia="Palatino Linotype" w:hAnsi="Palatino Linotype" w:cs="Palatino Linotype"/>
          <w:i/>
          <w:sz w:val="22"/>
          <w:szCs w:val="22"/>
        </w:rPr>
        <w:t xml:space="preserve">en el caso de los Municipios se hará por la Tesorería. </w:t>
      </w:r>
    </w:p>
    <w:p w14:paraId="37FEB6A8" w14:textId="77777777" w:rsidR="004E626C" w:rsidRPr="00C60ABB" w:rsidRDefault="005C42B7">
      <w:pPr>
        <w:spacing w:before="120" w:after="120" w:line="276" w:lineRule="auto"/>
        <w:ind w:left="851" w:right="51"/>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Derogado. </w:t>
      </w:r>
    </w:p>
    <w:p w14:paraId="41B22BB0" w14:textId="77777777" w:rsidR="004E626C" w:rsidRPr="00C60ABB" w:rsidRDefault="005C42B7">
      <w:pPr>
        <w:spacing w:before="120" w:after="120" w:line="276" w:lineRule="auto"/>
        <w:ind w:left="851" w:right="850"/>
        <w:jc w:val="both"/>
        <w:rPr>
          <w:rFonts w:ascii="Palatino Linotype" w:eastAsia="Palatino Linotype" w:hAnsi="Palatino Linotype" w:cs="Palatino Linotype"/>
          <w:b/>
          <w:i/>
          <w:sz w:val="22"/>
          <w:szCs w:val="22"/>
          <w:u w:val="single"/>
        </w:rPr>
      </w:pPr>
      <w:r w:rsidRPr="00C60ABB">
        <w:rPr>
          <w:rFonts w:ascii="Palatino Linotype" w:eastAsia="Palatino Linotype" w:hAnsi="Palatino Linotype" w:cs="Palatino Linotype"/>
          <w:b/>
          <w:i/>
          <w:sz w:val="22"/>
          <w:szCs w:val="22"/>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C60ABB">
        <w:rPr>
          <w:rFonts w:ascii="Palatino Linotype" w:eastAsia="Palatino Linotype" w:hAnsi="Palatino Linotype" w:cs="Palatino Linotype"/>
          <w:i/>
          <w:sz w:val="22"/>
          <w:szCs w:val="22"/>
        </w:rPr>
        <w:t xml:space="preserve"> a partir del ejercicio presupuestal siguiente al que corresponda, e</w:t>
      </w:r>
      <w:r w:rsidRPr="00C60ABB">
        <w:rPr>
          <w:rFonts w:ascii="Palatino Linotype" w:eastAsia="Palatino Linotype" w:hAnsi="Palatino Linotype" w:cs="Palatino Linotype"/>
          <w:b/>
          <w:i/>
          <w:sz w:val="22"/>
          <w:szCs w:val="22"/>
          <w:u w:val="single"/>
        </w:rPr>
        <w:t xml:space="preserve">n el caso de los municipios se hará por la Tesorería. </w:t>
      </w:r>
    </w:p>
    <w:p w14:paraId="6B42E4EA" w14:textId="77777777" w:rsidR="004E626C" w:rsidRPr="00C60ABB" w:rsidRDefault="005C42B7">
      <w:pPr>
        <w:spacing w:before="120" w:after="120" w:line="276" w:lineRule="auto"/>
        <w:ind w:left="851" w:right="51"/>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w:t>
      </w:r>
    </w:p>
    <w:p w14:paraId="0054C705" w14:textId="77777777" w:rsidR="004E626C" w:rsidRPr="00C60ABB" w:rsidRDefault="005C42B7">
      <w:pPr>
        <w:spacing w:before="120" w:after="120" w:line="276" w:lineRule="auto"/>
        <w:ind w:left="851" w:right="850"/>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b/>
          <w:i/>
          <w:sz w:val="22"/>
          <w:szCs w:val="22"/>
        </w:rPr>
        <w:t>Artículo 345.-</w:t>
      </w:r>
      <w:r w:rsidRPr="00C60ABB">
        <w:rPr>
          <w:rFonts w:ascii="Palatino Linotype" w:eastAsia="Palatino Linotype" w:hAnsi="Palatino Linotype" w:cs="Palatino Linotype"/>
          <w:i/>
          <w:sz w:val="22"/>
          <w:szCs w:val="22"/>
        </w:rPr>
        <w:t xml:space="preserve"> </w:t>
      </w:r>
      <w:r w:rsidRPr="00C60ABB">
        <w:rPr>
          <w:rFonts w:ascii="Palatino Linotype" w:eastAsia="Palatino Linotype" w:hAnsi="Palatino Linotype" w:cs="Palatino Linotype"/>
          <w:b/>
          <w:i/>
          <w:sz w:val="22"/>
          <w:szCs w:val="22"/>
        </w:rPr>
        <w:t xml:space="preserve">Las Dependencias, Entidades Públicas y unidades administrativas deberán conservar la documentación contable del año en curso y la de ejercicios anteriores cuyas cuentas públicas hayan sido </w:t>
      </w:r>
      <w:r w:rsidRPr="00C60ABB">
        <w:rPr>
          <w:rFonts w:ascii="Palatino Linotype" w:eastAsia="Palatino Linotype" w:hAnsi="Palatino Linotype" w:cs="Palatino Linotype"/>
          <w:b/>
          <w:i/>
          <w:sz w:val="22"/>
          <w:szCs w:val="22"/>
        </w:rPr>
        <w:lastRenderedPageBreak/>
        <w:t>revisadas y fiscalizadas por la Legislatura</w:t>
      </w:r>
      <w:r w:rsidRPr="00C60ABB">
        <w:rPr>
          <w:rFonts w:ascii="Palatino Linotype" w:eastAsia="Palatino Linotype" w:hAnsi="Palatino Linotype" w:cs="Palatino Linotype"/>
          <w:i/>
          <w:sz w:val="22"/>
          <w:szCs w:val="22"/>
        </w:rPr>
        <w:t xml:space="preserve">, la remitirán en un plazo que no excederá de seis meses al Archivo Contable Gubernamental. </w:t>
      </w:r>
      <w:r w:rsidRPr="00C60ABB">
        <w:rPr>
          <w:rFonts w:ascii="Palatino Linotype" w:eastAsia="Palatino Linotype" w:hAnsi="Palatino Linotype" w:cs="Palatino Linotype"/>
          <w:b/>
          <w:i/>
          <w:sz w:val="22"/>
          <w:szCs w:val="22"/>
        </w:rPr>
        <w:t>Tratándose de los comprobantes fiscales digitales, estos deberán estar agregados en forma electrónica en cada póliza de registro contable</w:t>
      </w:r>
      <w:r w:rsidRPr="00C60ABB">
        <w:rPr>
          <w:rFonts w:ascii="Palatino Linotype" w:eastAsia="Palatino Linotype" w:hAnsi="Palatino Linotype" w:cs="Palatino Linotype"/>
          <w:i/>
          <w:sz w:val="22"/>
          <w:szCs w:val="22"/>
        </w:rPr>
        <w:t xml:space="preserve">. </w:t>
      </w:r>
    </w:p>
    <w:p w14:paraId="4F63AE68" w14:textId="77777777" w:rsidR="004E626C" w:rsidRPr="00C60ABB" w:rsidRDefault="005C42B7">
      <w:pPr>
        <w:spacing w:before="120" w:after="120" w:line="276" w:lineRule="auto"/>
        <w:ind w:left="851" w:right="850"/>
        <w:jc w:val="both"/>
        <w:rPr>
          <w:rFonts w:ascii="Palatino Linotype" w:eastAsia="Palatino Linotype" w:hAnsi="Palatino Linotype" w:cs="Palatino Linotype"/>
          <w:i/>
          <w:color w:val="000000"/>
          <w:sz w:val="22"/>
          <w:szCs w:val="22"/>
        </w:rPr>
      </w:pPr>
      <w:r w:rsidRPr="00C60ABB">
        <w:rPr>
          <w:rFonts w:ascii="Palatino Linotype" w:eastAsia="Palatino Linotype" w:hAnsi="Palatino Linotype" w:cs="Palatino Linotype"/>
          <w:i/>
          <w:sz w:val="22"/>
          <w:szCs w:val="22"/>
        </w:rPr>
        <w:t>El plazo señalado en el párrafo anterior, empezará a contar a partir de la publicación en el Periódico Oficial, del decreto correspondiente.</w:t>
      </w:r>
      <w:r w:rsidRPr="00C60ABB">
        <w:rPr>
          <w:rFonts w:ascii="Palatino Linotype" w:eastAsia="Palatino Linotype" w:hAnsi="Palatino Linotype" w:cs="Palatino Linotype"/>
          <w:i/>
          <w:color w:val="000000"/>
          <w:sz w:val="22"/>
          <w:szCs w:val="22"/>
        </w:rPr>
        <w:t xml:space="preserve"> “</w:t>
      </w:r>
      <w:r w:rsidRPr="00C60ABB">
        <w:rPr>
          <w:rFonts w:ascii="Palatino Linotype" w:eastAsia="Palatino Linotype" w:hAnsi="Palatino Linotype" w:cs="Palatino Linotype"/>
          <w:i/>
          <w:sz w:val="22"/>
          <w:szCs w:val="22"/>
        </w:rPr>
        <w:t>(Sic)</w:t>
      </w:r>
      <w:r w:rsidRPr="00C60ABB">
        <w:rPr>
          <w:rFonts w:ascii="Palatino Linotype" w:eastAsia="Palatino Linotype" w:hAnsi="Palatino Linotype" w:cs="Palatino Linotype"/>
          <w:i/>
          <w:color w:val="000000"/>
          <w:sz w:val="22"/>
          <w:szCs w:val="22"/>
        </w:rPr>
        <w:t xml:space="preserve"> </w:t>
      </w:r>
    </w:p>
    <w:p w14:paraId="3E26B056" w14:textId="77777777" w:rsidR="004E626C" w:rsidRPr="00C60ABB" w:rsidRDefault="005C42B7">
      <w:pPr>
        <w:spacing w:before="240" w:after="240" w:line="360" w:lineRule="auto"/>
        <w:jc w:val="both"/>
        <w:rPr>
          <w:rFonts w:ascii="Palatino Linotype" w:eastAsia="Palatino Linotype" w:hAnsi="Palatino Linotype" w:cs="Palatino Linotype"/>
          <w:color w:val="000000"/>
        </w:rPr>
      </w:pPr>
      <w:r w:rsidRPr="00C60ABB">
        <w:rPr>
          <w:rFonts w:ascii="Palatino Linotype" w:eastAsia="Palatino Linotype" w:hAnsi="Palatino Linotype" w:cs="Palatino Linotype"/>
        </w:rPr>
        <w:t>De una interpretación sistemática de los artículos transcritos, se desprende primeramente que el</w:t>
      </w:r>
      <w:r w:rsidRPr="00C60ABB">
        <w:rPr>
          <w:rFonts w:ascii="Palatino Linotype" w:eastAsia="Palatino Linotype" w:hAnsi="Palatino Linotype" w:cs="Palatino Linotype"/>
          <w:color w:val="000000"/>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 y deberá estar soportado con los documentos comprobatorios originales.</w:t>
      </w:r>
    </w:p>
    <w:p w14:paraId="6D47B253" w14:textId="77777777" w:rsidR="004E626C" w:rsidRPr="00C60ABB" w:rsidRDefault="005C42B7">
      <w:pPr>
        <w:spacing w:before="240" w:after="240" w:line="360" w:lineRule="auto"/>
        <w:ind w:right="-232"/>
        <w:jc w:val="both"/>
        <w:rPr>
          <w:rFonts w:ascii="Palatino Linotype" w:eastAsia="Palatino Linotype" w:hAnsi="Palatino Linotype" w:cs="Palatino Linotype"/>
        </w:rPr>
      </w:pPr>
      <w:r w:rsidRPr="00C60ABB">
        <w:rPr>
          <w:rFonts w:ascii="Palatino Linotype" w:eastAsia="Palatino Linotype" w:hAnsi="Palatino Linotype" w:cs="Palatino Linotype"/>
        </w:rPr>
        <w:t>En ese sentido, debe decirse que las facturas emitidas en favor de los proveedores, contratistas o prestadores de servicios, la cual se encuentra definida en el Glosario de Términos Hacendarios que emite el Instituto Hacendario del Estado de México, como:</w:t>
      </w:r>
    </w:p>
    <w:p w14:paraId="7291073F" w14:textId="77777777" w:rsidR="004E626C" w:rsidRPr="00C60ABB" w:rsidRDefault="005C42B7">
      <w:pPr>
        <w:spacing w:before="120" w:after="120" w:line="276" w:lineRule="auto"/>
        <w:ind w:left="851" w:right="902"/>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i/>
          <w:sz w:val="22"/>
          <w:szCs w:val="22"/>
        </w:rPr>
        <w:t>“</w:t>
      </w:r>
      <w:r w:rsidRPr="00C60ABB">
        <w:rPr>
          <w:rFonts w:ascii="Palatino Linotype" w:eastAsia="Palatino Linotype" w:hAnsi="Palatino Linotype" w:cs="Palatino Linotype"/>
          <w:b/>
          <w:i/>
          <w:sz w:val="22"/>
          <w:szCs w:val="22"/>
        </w:rPr>
        <w:t>FACTURA</w:t>
      </w:r>
    </w:p>
    <w:p w14:paraId="40CFE7B5" w14:textId="77777777" w:rsidR="004E626C" w:rsidRPr="00C60ABB" w:rsidRDefault="005C42B7">
      <w:pPr>
        <w:spacing w:before="120" w:after="120" w:line="276" w:lineRule="auto"/>
        <w:ind w:left="851" w:right="902"/>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Es el documento fiscal que emite la persona física o moral para comprobar la venta o adquisición de un bien y/o servicio.” (Sic)</w:t>
      </w:r>
    </w:p>
    <w:p w14:paraId="02F8F348" w14:textId="77777777" w:rsidR="004E626C" w:rsidRPr="00C60ABB" w:rsidRDefault="005C42B7">
      <w:pPr>
        <w:spacing w:before="240" w:after="240" w:line="360" w:lineRule="auto"/>
        <w:jc w:val="both"/>
        <w:rPr>
          <w:rFonts w:ascii="Palatino Linotype" w:eastAsia="Palatino Linotype" w:hAnsi="Palatino Linotype" w:cs="Palatino Linotype"/>
          <w:color w:val="000000"/>
        </w:rPr>
      </w:pPr>
      <w:r w:rsidRPr="00C60ABB">
        <w:rPr>
          <w:rFonts w:ascii="Palatino Linotype" w:eastAsia="Palatino Linotype" w:hAnsi="Palatino Linotype" w:cs="Palatino Linotype"/>
        </w:rPr>
        <w:t>Luego entonces las facturas son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w:t>
      </w:r>
      <w:r w:rsidRPr="00C60ABB">
        <w:rPr>
          <w:rFonts w:ascii="Palatino Linotype" w:eastAsia="Palatino Linotype" w:hAnsi="Palatino Linotype" w:cs="Palatino Linotype"/>
          <w:color w:val="000000"/>
        </w:rPr>
        <w:t xml:space="preserve">os recursos económicos del Estado, de los Municipios, así como de los Organismos Autónomos, se administrarán con eficiencia, eficacia y honradez, para cumplir con los objetivos y programas a los que estén destinados. </w:t>
      </w:r>
    </w:p>
    <w:p w14:paraId="2399D38B" w14:textId="77777777" w:rsidR="004E626C" w:rsidRPr="00C60ABB" w:rsidRDefault="005C42B7">
      <w:pPr>
        <w:spacing w:before="240" w:after="240"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lastRenderedPageBreak/>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5F5552CA" w14:textId="77777777" w:rsidR="004E626C" w:rsidRPr="00C60ABB" w:rsidRDefault="005C42B7">
      <w:pPr>
        <w:spacing w:before="120" w:after="120" w:line="276" w:lineRule="auto"/>
        <w:ind w:firstLine="708"/>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rPr>
        <w:t>“</w:t>
      </w:r>
      <w:r w:rsidRPr="00C60ABB">
        <w:rPr>
          <w:rFonts w:ascii="Palatino Linotype" w:eastAsia="Palatino Linotype" w:hAnsi="Palatino Linotype" w:cs="Palatino Linotype"/>
          <w:b/>
          <w:i/>
          <w:sz w:val="22"/>
          <w:szCs w:val="22"/>
        </w:rPr>
        <w:t xml:space="preserve">REGISTRO CONTABLE </w:t>
      </w:r>
    </w:p>
    <w:p w14:paraId="6755F150" w14:textId="77777777" w:rsidR="004E626C" w:rsidRPr="00C60ABB" w:rsidRDefault="005C42B7">
      <w:pPr>
        <w:spacing w:before="120" w:after="120" w:line="276" w:lineRule="auto"/>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Asiento que se realiza en los libros de contabilidad de las actividades relacionadas con el ingreso y egresos de un ente económico.” (Sic)</w:t>
      </w:r>
    </w:p>
    <w:p w14:paraId="67177369" w14:textId="77777777" w:rsidR="004E626C" w:rsidRPr="00C60ABB" w:rsidRDefault="005C42B7">
      <w:pPr>
        <w:spacing w:before="120" w:after="120" w:line="276" w:lineRule="auto"/>
        <w:ind w:right="899" w:firstLine="708"/>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sz w:val="22"/>
          <w:szCs w:val="22"/>
        </w:rPr>
        <w:t>“REGISTRO PRESUPUESTARIO</w:t>
      </w:r>
    </w:p>
    <w:p w14:paraId="09B36BD3" w14:textId="77777777" w:rsidR="004E626C" w:rsidRPr="00C60ABB" w:rsidRDefault="005C42B7">
      <w:pPr>
        <w:spacing w:before="120" w:after="120" w:line="276" w:lineRule="auto"/>
        <w:ind w:left="708"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Asiento contable de las erogaciones realizadas por las dependencias y entidades con relación a la asignación, modificación y ejercicio de los recursos presupuestarios que se les hayan autorizado.” (Sic)</w:t>
      </w:r>
    </w:p>
    <w:p w14:paraId="433C279D" w14:textId="77777777" w:rsidR="004E626C" w:rsidRPr="00C60ABB" w:rsidRDefault="005C42B7">
      <w:pPr>
        <w:spacing w:before="240" w:after="240" w:line="360" w:lineRule="auto"/>
        <w:jc w:val="both"/>
        <w:rPr>
          <w:rFonts w:ascii="Palatino Linotype" w:eastAsia="Palatino Linotype" w:hAnsi="Palatino Linotype" w:cs="Palatino Linotype"/>
          <w:color w:val="000000"/>
        </w:rPr>
      </w:pPr>
      <w:r w:rsidRPr="00C60ABB">
        <w:rPr>
          <w:rFonts w:ascii="Palatino Linotype" w:eastAsia="Palatino Linotype" w:hAnsi="Palatino Linotype" w:cs="Palatino Linotype"/>
          <w:color w:val="000000"/>
        </w:rPr>
        <w:t>Por otra parte, se establece que el sistema de contabilidad sobre base acumulativa total se sustentará en los principios de contabilidad gubernamental.</w:t>
      </w:r>
    </w:p>
    <w:p w14:paraId="75C88115" w14:textId="77777777" w:rsidR="004E626C" w:rsidRPr="00C60ABB" w:rsidRDefault="005C42B7">
      <w:pPr>
        <w:spacing w:before="240" w:after="240" w:line="360" w:lineRule="auto"/>
        <w:jc w:val="both"/>
        <w:rPr>
          <w:rFonts w:ascii="Palatino Linotype" w:eastAsia="Palatino Linotype" w:hAnsi="Palatino Linotype" w:cs="Palatino Linotype"/>
          <w:color w:val="000000"/>
        </w:rPr>
      </w:pPr>
      <w:r w:rsidRPr="00C60ABB">
        <w:rPr>
          <w:rFonts w:ascii="Palatino Linotype" w:eastAsia="Palatino Linotype" w:hAnsi="Palatino Linotype" w:cs="Palatino Linotype"/>
          <w:color w:val="000000"/>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280CF4AC" w14:textId="77777777" w:rsidR="004E626C" w:rsidRPr="00C60ABB" w:rsidRDefault="005C42B7">
      <w:pPr>
        <w:spacing w:before="240" w:after="240"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lastRenderedPageBreak/>
        <w:t xml:space="preserve">Correlativo a lo anterior, es preciso referir una definición de </w:t>
      </w:r>
      <w:r w:rsidRPr="00C60ABB">
        <w:rPr>
          <w:rFonts w:ascii="Palatino Linotype" w:eastAsia="Palatino Linotype" w:hAnsi="Palatino Linotype" w:cs="Palatino Linotype"/>
          <w:i/>
        </w:rPr>
        <w:t>póliza contable</w:t>
      </w:r>
      <w:r w:rsidRPr="00C60ABB">
        <w:rPr>
          <w:rFonts w:ascii="Palatino Linotype" w:eastAsia="Palatino Linotype" w:hAnsi="Palatino Linotype" w:cs="Palatino Linotype"/>
        </w:rPr>
        <w:t xml:space="preserve">, la cual, primeramente, no está definida en el Código Financiero del Estado de México y Municipios; no obstante, los ya mencionados Glosarios la definen como: </w:t>
      </w:r>
    </w:p>
    <w:p w14:paraId="14132FA5" w14:textId="77777777" w:rsidR="004E626C" w:rsidRPr="00C60ABB" w:rsidRDefault="005C42B7">
      <w:pPr>
        <w:spacing w:before="120" w:after="120" w:line="276" w:lineRule="auto"/>
        <w:ind w:left="851" w:right="899"/>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i/>
          <w:sz w:val="22"/>
          <w:szCs w:val="22"/>
        </w:rPr>
        <w:t>“</w:t>
      </w:r>
      <w:r w:rsidRPr="00C60ABB">
        <w:rPr>
          <w:rFonts w:ascii="Palatino Linotype" w:eastAsia="Palatino Linotype" w:hAnsi="Palatino Linotype" w:cs="Palatino Linotype"/>
          <w:b/>
          <w:i/>
          <w:sz w:val="22"/>
          <w:szCs w:val="22"/>
        </w:rPr>
        <w:t>PÓLIZA CONTABLE</w:t>
      </w:r>
    </w:p>
    <w:p w14:paraId="3F179985" w14:textId="77777777" w:rsidR="004E626C" w:rsidRPr="00C60ABB" w:rsidRDefault="005C42B7">
      <w:pPr>
        <w:spacing w:before="120" w:after="120" w:line="276" w:lineRule="auto"/>
        <w:ind w:left="851" w:right="899"/>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Documento en el cual se asientan en forma individual todas y cada una de las operaciones desarrolladas por una institución, así como la información necesaria para la identificación de dichas operaciones.” (sic)</w:t>
      </w:r>
    </w:p>
    <w:p w14:paraId="07694F39" w14:textId="77777777" w:rsidR="004E626C" w:rsidRPr="00C60ABB" w:rsidRDefault="005C42B7">
      <w:pPr>
        <w:spacing w:before="240" w:after="240"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 xml:space="preserve">Así, se advierte que la </w:t>
      </w:r>
      <w:r w:rsidRPr="00C60ABB">
        <w:rPr>
          <w:rFonts w:ascii="Palatino Linotype" w:eastAsia="Palatino Linotype" w:hAnsi="Palatino Linotype" w:cs="Palatino Linotype"/>
          <w:i/>
        </w:rPr>
        <w:t>póliza contable</w:t>
      </w:r>
      <w:r w:rsidRPr="00C60ABB">
        <w:rPr>
          <w:rFonts w:ascii="Palatino Linotype" w:eastAsia="Palatino Linotype" w:hAnsi="Palatino Linotype" w:cs="Palatino Linotype"/>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6E10F141" w14:textId="77777777" w:rsidR="004E626C" w:rsidRPr="00C60ABB" w:rsidRDefault="005C42B7">
      <w:pPr>
        <w:spacing w:before="240" w:after="240"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 xml:space="preserve">En este sentido, existen diversos tipos de pólizas contables de acuerdo a las operaciones realizadas, dentro de las cuales, encontramos las llamadas </w:t>
      </w:r>
      <w:r w:rsidRPr="00C60ABB">
        <w:rPr>
          <w:rFonts w:ascii="Palatino Linotype" w:eastAsia="Palatino Linotype" w:hAnsi="Palatino Linotype" w:cs="Palatino Linotype"/>
          <w:i/>
        </w:rPr>
        <w:t>pólizas de egresos</w:t>
      </w:r>
      <w:r w:rsidRPr="00C60ABB">
        <w:rPr>
          <w:rFonts w:ascii="Palatino Linotype" w:eastAsia="Palatino Linotype" w:hAnsi="Palatino Linotype" w:cs="Palatino Linotype"/>
        </w:rPr>
        <w:t xml:space="preserve">, son aquellas en las cuales se anotan diariamente las operaciones que representan gastos, es decir, salidas de dinero para el </w:t>
      </w:r>
      <w:r w:rsidRPr="00C60ABB">
        <w:rPr>
          <w:rFonts w:ascii="Palatino Linotype" w:eastAsia="Palatino Linotype" w:hAnsi="Palatino Linotype" w:cs="Palatino Linotype"/>
          <w:b/>
        </w:rPr>
        <w:t>SUJETO OBLIGADO</w:t>
      </w:r>
      <w:r w:rsidRPr="00C60ABB">
        <w:rPr>
          <w:rFonts w:ascii="Palatino Linotype" w:eastAsia="Palatino Linotype" w:hAnsi="Palatino Linotype" w:cs="Palatino Linotype"/>
        </w:rPr>
        <w:t xml:space="preserve">, las que, además, deben encontrarse acompañadas de las documentales que sirven de soporte de dicho movimiento. </w:t>
      </w:r>
    </w:p>
    <w:p w14:paraId="1B04499F" w14:textId="77777777" w:rsidR="004E626C" w:rsidRPr="00C60ABB" w:rsidRDefault="005C42B7">
      <w:pPr>
        <w:spacing w:line="360" w:lineRule="auto"/>
        <w:ind w:right="50"/>
        <w:jc w:val="both"/>
        <w:rPr>
          <w:rFonts w:ascii="Palatino Linotype" w:eastAsia="Palatino Linotype" w:hAnsi="Palatino Linotype" w:cs="Palatino Linotype"/>
          <w:color w:val="000000"/>
        </w:rPr>
      </w:pPr>
      <w:r w:rsidRPr="00C60ABB">
        <w:rPr>
          <w:rFonts w:ascii="Palatino Linotype" w:eastAsia="Palatino Linotype" w:hAnsi="Palatino Linotype" w:cs="Palatino Linotype"/>
          <w:color w:val="000000"/>
        </w:rPr>
        <w:t xml:space="preserve">De este modo, </w:t>
      </w:r>
      <w:r w:rsidRPr="00C60ABB">
        <w:rPr>
          <w:rFonts w:ascii="Palatino Linotype" w:eastAsia="Palatino Linotype" w:hAnsi="Palatino Linotype" w:cs="Palatino Linotype"/>
          <w:b/>
          <w:color w:val="000000"/>
        </w:rPr>
        <w:t>EL SUJETO OBLIGADO</w:t>
      </w:r>
      <w:r w:rsidRPr="00C60ABB">
        <w:rPr>
          <w:rFonts w:ascii="Palatino Linotype" w:eastAsia="Palatino Linotype" w:hAnsi="Palatino Linotype" w:cs="Palatino Linotype"/>
          <w:color w:val="000000"/>
        </w:rPr>
        <w:t xml:space="preserve"> debe tener registro de la expedición de las pólizas de egresos; que le son requeridos a través del ejercicio del derecho fundamental de acceso a la información pública, ya que con tales documentales acredita y soporta el gasto realizado, es decir se hace del conocimiento de los particulares el uso y destino de los recursos públicos. </w:t>
      </w:r>
    </w:p>
    <w:p w14:paraId="0E8907BF" w14:textId="77777777" w:rsidR="004E626C" w:rsidRPr="00C60ABB" w:rsidRDefault="004E626C">
      <w:pPr>
        <w:spacing w:line="360" w:lineRule="auto"/>
        <w:ind w:firstLine="567"/>
        <w:jc w:val="both"/>
        <w:rPr>
          <w:rFonts w:ascii="Palatino Linotype" w:eastAsia="Palatino Linotype" w:hAnsi="Palatino Linotype" w:cs="Palatino Linotype"/>
        </w:rPr>
      </w:pPr>
    </w:p>
    <w:p w14:paraId="39FAD998" w14:textId="77777777" w:rsidR="004E626C" w:rsidRPr="00C60ABB" w:rsidRDefault="005C42B7">
      <w:pPr>
        <w:spacing w:line="360" w:lineRule="auto"/>
        <w:ind w:right="50"/>
        <w:jc w:val="both"/>
        <w:rPr>
          <w:rFonts w:ascii="Palatino Linotype" w:eastAsia="Palatino Linotype" w:hAnsi="Palatino Linotype" w:cs="Palatino Linotype"/>
          <w:color w:val="000000"/>
        </w:rPr>
      </w:pPr>
      <w:r w:rsidRPr="00C60ABB">
        <w:rPr>
          <w:rFonts w:ascii="Palatino Linotype" w:eastAsia="Palatino Linotype" w:hAnsi="Palatino Linotype" w:cs="Palatino Linotype"/>
          <w:color w:val="000000"/>
        </w:rPr>
        <w:lastRenderedPageBreak/>
        <w:t xml:space="preserve">De igual forma, es de suma importancia destacar que el penúltimo párrafo, del artículo 23 de la </w:t>
      </w:r>
      <w:r w:rsidRPr="00C60ABB">
        <w:rPr>
          <w:rFonts w:ascii="Palatino Linotype" w:eastAsia="Palatino Linotype" w:hAnsi="Palatino Linotype" w:cs="Palatino Linotype"/>
        </w:rPr>
        <w:t>Ley de Transparencia y Acceso a la Información Pública del Estado de México y Municipios</w:t>
      </w:r>
      <w:r w:rsidRPr="00C60ABB">
        <w:rPr>
          <w:rFonts w:ascii="Palatino Linotype" w:eastAsia="Palatino Linotype" w:hAnsi="Palatino Linotype" w:cs="Palatino Linotype"/>
          <w:color w:val="000000"/>
        </w:rPr>
        <w:t xml:space="preserve">, establece como deber de los sujetos obligados de hacer pública toda la información relativa a los montos y personas a quienes se entreguen recursos públicos, con la única finalidad de dar a conocer a la ciudadanía la forma, términos y montos en que se aplican los recursos públicos y con ello transparentar la forma, términos, causas y finalidad en la disposición de esos recursos; ya que este precepto legal que establece: </w:t>
      </w:r>
    </w:p>
    <w:p w14:paraId="677A6054" w14:textId="77777777" w:rsidR="004E626C" w:rsidRPr="00C60ABB" w:rsidRDefault="004E626C">
      <w:pPr>
        <w:ind w:right="50"/>
        <w:jc w:val="both"/>
        <w:rPr>
          <w:rFonts w:ascii="Palatino Linotype" w:eastAsia="Palatino Linotype" w:hAnsi="Palatino Linotype" w:cs="Palatino Linotype"/>
          <w:color w:val="000000"/>
        </w:rPr>
      </w:pPr>
    </w:p>
    <w:p w14:paraId="5CCE54A0" w14:textId="77777777" w:rsidR="004E626C" w:rsidRPr="00C60ABB" w:rsidRDefault="005C42B7">
      <w:pPr>
        <w:spacing w:line="276" w:lineRule="auto"/>
        <w:ind w:left="851" w:right="901"/>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sz w:val="22"/>
          <w:szCs w:val="22"/>
        </w:rPr>
        <w:t>“Artículo 23…</w:t>
      </w:r>
    </w:p>
    <w:p w14:paraId="72915D5B" w14:textId="77777777" w:rsidR="004E626C" w:rsidRPr="00C60ABB" w:rsidRDefault="004E626C">
      <w:pPr>
        <w:spacing w:line="276" w:lineRule="auto"/>
        <w:ind w:left="851" w:right="901"/>
        <w:jc w:val="both"/>
        <w:rPr>
          <w:rFonts w:ascii="Palatino Linotype" w:eastAsia="Palatino Linotype" w:hAnsi="Palatino Linotype" w:cs="Palatino Linotype"/>
          <w:i/>
          <w:sz w:val="22"/>
          <w:szCs w:val="22"/>
        </w:rPr>
      </w:pPr>
    </w:p>
    <w:p w14:paraId="4DB76717" w14:textId="77777777" w:rsidR="004E626C" w:rsidRPr="00C60ABB" w:rsidRDefault="005C42B7">
      <w:pPr>
        <w:spacing w:line="276" w:lineRule="auto"/>
        <w:ind w:left="851" w:right="901"/>
        <w:jc w:val="both"/>
        <w:rPr>
          <w:rFonts w:ascii="Palatino Linotype" w:eastAsia="Palatino Linotype" w:hAnsi="Palatino Linotype" w:cs="Palatino Linotype"/>
          <w:i/>
          <w:color w:val="000000"/>
          <w:sz w:val="22"/>
          <w:szCs w:val="22"/>
        </w:rPr>
      </w:pPr>
      <w:r w:rsidRPr="00C60ABB">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recursos…(Sic</w:t>
      </w:r>
      <w:r w:rsidRPr="00C60ABB">
        <w:rPr>
          <w:rFonts w:ascii="Palatino Linotype" w:eastAsia="Palatino Linotype" w:hAnsi="Palatino Linotype" w:cs="Palatino Linotype"/>
          <w:i/>
          <w:color w:val="000000"/>
          <w:sz w:val="22"/>
          <w:szCs w:val="22"/>
        </w:rPr>
        <w:t>)”</w:t>
      </w:r>
    </w:p>
    <w:p w14:paraId="0FFAC117" w14:textId="77777777" w:rsidR="004E626C" w:rsidRPr="00C60ABB" w:rsidRDefault="004E626C">
      <w:pPr>
        <w:spacing w:line="360" w:lineRule="auto"/>
        <w:jc w:val="both"/>
        <w:rPr>
          <w:rFonts w:ascii="Palatino Linotype" w:eastAsia="Palatino Linotype" w:hAnsi="Palatino Linotype" w:cs="Palatino Linotype"/>
        </w:rPr>
      </w:pPr>
    </w:p>
    <w:p w14:paraId="21CE39C4" w14:textId="77777777" w:rsidR="004E626C" w:rsidRPr="00C60ABB" w:rsidRDefault="005C42B7">
      <w:pPr>
        <w:spacing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 xml:space="preserve">En </w:t>
      </w:r>
      <w:proofErr w:type="gramStart"/>
      <w:r w:rsidRPr="00C60ABB">
        <w:rPr>
          <w:rFonts w:ascii="Palatino Linotype" w:eastAsia="Palatino Linotype" w:hAnsi="Palatino Linotype" w:cs="Palatino Linotype"/>
        </w:rPr>
        <w:t>consecuencia</w:t>
      </w:r>
      <w:proofErr w:type="gramEnd"/>
      <w:r w:rsidRPr="00C60ABB">
        <w:rPr>
          <w:rFonts w:ascii="Palatino Linotype" w:eastAsia="Palatino Linotype" w:hAnsi="Palatino Linotype" w:cs="Palatino Linotype"/>
        </w:rPr>
        <w:t xml:space="preserve"> la respuesta del </w:t>
      </w:r>
      <w:r w:rsidRPr="00C60ABB">
        <w:rPr>
          <w:rFonts w:ascii="Palatino Linotype" w:eastAsia="Palatino Linotype" w:hAnsi="Palatino Linotype" w:cs="Palatino Linotype"/>
          <w:b/>
        </w:rPr>
        <w:t>SUJETO OBLIGADO</w:t>
      </w:r>
      <w:r w:rsidRPr="00C60ABB">
        <w:rPr>
          <w:rFonts w:ascii="Palatino Linotype" w:eastAsia="Palatino Linotype" w:hAnsi="Palatino Linotype" w:cs="Palatino Linotype"/>
        </w:rPr>
        <w:t>, careció de los principios de congruencia y exhaustividad, como refuerzo de lo anterior, resulta crucial el Criterio 02/17, emitido por el Pleno del Instituto Nacional de Transparencia y Acceso a la Información y Protección de Datos Personales, de título y texto siguientes:</w:t>
      </w:r>
    </w:p>
    <w:p w14:paraId="7F8AE6B2" w14:textId="77777777" w:rsidR="004E626C" w:rsidRPr="00C60ABB" w:rsidRDefault="005C42B7">
      <w:pPr>
        <w:spacing w:before="80" w:after="240"/>
        <w:ind w:left="567" w:right="900"/>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b/>
          <w:i/>
          <w:sz w:val="22"/>
          <w:szCs w:val="22"/>
        </w:rPr>
        <w:t xml:space="preserve">“Congruencia y exhaustividad. Sus alcances para garantizar el derecho de acceso a la información. </w:t>
      </w:r>
      <w:r w:rsidRPr="00C60ABB">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C60ABB">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C60ABB">
        <w:rPr>
          <w:rFonts w:ascii="Palatino Linotype" w:eastAsia="Palatino Linotype" w:hAnsi="Palatino Linotype" w:cs="Palatino Linotype"/>
          <w:i/>
          <w:sz w:val="22"/>
          <w:szCs w:val="22"/>
        </w:rPr>
        <w:t xml:space="preserve">; mientras que </w:t>
      </w:r>
      <w:r w:rsidRPr="00C60ABB">
        <w:rPr>
          <w:rFonts w:ascii="Palatino Linotype" w:eastAsia="Palatino Linotype" w:hAnsi="Palatino Linotype" w:cs="Palatino Linotype"/>
          <w:b/>
          <w:i/>
          <w:sz w:val="22"/>
          <w:szCs w:val="22"/>
        </w:rPr>
        <w:t>la exhaustividad significa que dicha respuesta se refiera expresamente a cada uno de los puntos solicitados</w:t>
      </w:r>
      <w:r w:rsidRPr="00C60ABB">
        <w:rPr>
          <w:rFonts w:ascii="Palatino Linotype" w:eastAsia="Palatino Linotype" w:hAnsi="Palatino Linotype" w:cs="Palatino Linotype"/>
          <w:i/>
          <w:sz w:val="22"/>
          <w:szCs w:val="22"/>
        </w:rPr>
        <w:t xml:space="preserve">. Por lo anterior, los sujetos obligados cumplirán con los principios de congruencia y exhaustividad, cuando las respuestas </w:t>
      </w:r>
      <w:r w:rsidRPr="00C60ABB">
        <w:rPr>
          <w:rFonts w:ascii="Palatino Linotype" w:eastAsia="Palatino Linotype" w:hAnsi="Palatino Linotype" w:cs="Palatino Linotype"/>
          <w:i/>
          <w:sz w:val="22"/>
          <w:szCs w:val="22"/>
        </w:rPr>
        <w:lastRenderedPageBreak/>
        <w:t>que emitan guarden una relación lógica con lo solicitado y atiendan de manera puntual y expresa, cada uno de los contenidos de información.” (Sic)</w:t>
      </w:r>
    </w:p>
    <w:p w14:paraId="0EC13A58" w14:textId="7F1F4CC9" w:rsidR="004E626C" w:rsidRPr="00C60ABB" w:rsidRDefault="005C42B7">
      <w:pPr>
        <w:spacing w:before="280" w:after="280"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color w:val="000000"/>
        </w:rPr>
        <w:t xml:space="preserve">Razones por las cuales, lo procedente es ordenar al </w:t>
      </w:r>
      <w:r w:rsidRPr="00C60ABB">
        <w:rPr>
          <w:rFonts w:ascii="Palatino Linotype" w:eastAsia="Palatino Linotype" w:hAnsi="Palatino Linotype" w:cs="Palatino Linotype"/>
          <w:b/>
          <w:color w:val="000000"/>
        </w:rPr>
        <w:t xml:space="preserve">SUJETO OBLIGADO </w:t>
      </w:r>
      <w:r w:rsidRPr="00C60ABB">
        <w:rPr>
          <w:rFonts w:ascii="Palatino Linotype" w:eastAsia="Palatino Linotype" w:hAnsi="Palatino Linotype" w:cs="Palatino Linotype"/>
          <w:color w:val="000000"/>
        </w:rPr>
        <w:t xml:space="preserve">entregue </w:t>
      </w:r>
      <w:r w:rsidRPr="00C60ABB">
        <w:rPr>
          <w:rFonts w:ascii="Palatino Linotype" w:eastAsia="Palatino Linotype" w:hAnsi="Palatino Linotype" w:cs="Palatino Linotype"/>
        </w:rPr>
        <w:t xml:space="preserve">los documentos formados en relación con </w:t>
      </w:r>
      <w:r w:rsidR="008B3FF0" w:rsidRPr="00C60ABB">
        <w:rPr>
          <w:rFonts w:ascii="Palatino Linotype" w:eastAsia="Palatino Linotype" w:hAnsi="Palatino Linotype" w:cs="Palatino Linotype"/>
        </w:rPr>
        <w:t>la contratación</w:t>
      </w:r>
      <w:r w:rsidRPr="00C60ABB">
        <w:rPr>
          <w:rFonts w:ascii="Palatino Linotype" w:eastAsia="Palatino Linotype" w:hAnsi="Palatino Linotype" w:cs="Palatino Linotype"/>
        </w:rPr>
        <w:t xml:space="preserve"> </w:t>
      </w:r>
      <w:r w:rsidR="00AE7397" w:rsidRPr="00C60ABB">
        <w:rPr>
          <w:rFonts w:ascii="Palatino Linotype" w:eastAsia="Palatino Linotype" w:hAnsi="Palatino Linotype" w:cs="Palatino Linotype"/>
        </w:rPr>
        <w:t>para la</w:t>
      </w:r>
      <w:r w:rsidRPr="00C60ABB">
        <w:rPr>
          <w:rFonts w:ascii="Palatino Linotype" w:eastAsia="Palatino Linotype" w:hAnsi="Palatino Linotype" w:cs="Palatino Linotype"/>
        </w:rPr>
        <w:t xml:space="preserve"> reparación y mantenimiento de vehículos de la Dirección de Seguridad Pública y Tránsito y  Coordinación de Protección Civil y Bomberos, con recursos del Fondo de Aportaciones para el Fortalecimiento de los Municipios y de las Demarcaciones Territoriales del Distrito Federal; en el que se incluya la información señalada en el artículo</w:t>
      </w:r>
      <w:r w:rsidRPr="00C60ABB">
        <w:rPr>
          <w:rFonts w:ascii="Verdana" w:eastAsia="Verdana" w:hAnsi="Verdana" w:cs="Verdana"/>
          <w:color w:val="000000"/>
          <w:sz w:val="14"/>
          <w:szCs w:val="14"/>
        </w:rPr>
        <w:t xml:space="preserve"> </w:t>
      </w:r>
      <w:r w:rsidRPr="00C60ABB">
        <w:rPr>
          <w:rFonts w:ascii="Palatino Linotype" w:eastAsia="Palatino Linotype" w:hAnsi="Palatino Linotype" w:cs="Palatino Linotype"/>
        </w:rPr>
        <w:t>92 fracción XIX de la Ley de Transparencia Local, las facturas y los cheques o transferencias electrónicas o el documento generado que acredite el pago de las facturas, del ejercicio fiscal 2022, y en versión pública conforme a lo señalado por el considerando quinto de la presente resolución.</w:t>
      </w:r>
    </w:p>
    <w:p w14:paraId="2086C928" w14:textId="0282A648" w:rsidR="008B3FF0" w:rsidRPr="00C60ABB" w:rsidRDefault="005C42B7" w:rsidP="008B3FF0">
      <w:pPr>
        <w:spacing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 xml:space="preserve">Para el caso de que la información que se ordena, en relación con </w:t>
      </w:r>
      <w:r w:rsidR="008B3FF0" w:rsidRPr="00C60ABB">
        <w:rPr>
          <w:rFonts w:ascii="Palatino Linotype" w:eastAsia="Palatino Linotype" w:hAnsi="Palatino Linotype" w:cs="Palatino Linotype"/>
        </w:rPr>
        <w:t xml:space="preserve">la contratación </w:t>
      </w:r>
      <w:r w:rsidR="00AE7397" w:rsidRPr="00C60ABB">
        <w:rPr>
          <w:rFonts w:ascii="Palatino Linotype" w:eastAsia="Palatino Linotype" w:hAnsi="Palatino Linotype" w:cs="Palatino Linotype"/>
        </w:rPr>
        <w:t xml:space="preserve">para </w:t>
      </w:r>
      <w:r w:rsidRPr="00C60ABB">
        <w:rPr>
          <w:rFonts w:ascii="Palatino Linotype" w:eastAsia="Palatino Linotype" w:hAnsi="Palatino Linotype" w:cs="Palatino Linotype"/>
        </w:rPr>
        <w:t>la reparación y mantenimiento de vehículos, en específico de la Dirección de Seguridad Pública</w:t>
      </w:r>
      <w:r w:rsidR="00CB121B" w:rsidRPr="00C60ABB">
        <w:rPr>
          <w:rFonts w:ascii="Palatino Linotype" w:eastAsia="Palatino Linotype" w:hAnsi="Palatino Linotype" w:cs="Palatino Linotype"/>
        </w:rPr>
        <w:t xml:space="preserve"> y Tránsito</w:t>
      </w:r>
      <w:r w:rsidRPr="00C60ABB">
        <w:rPr>
          <w:rFonts w:ascii="Palatino Linotype" w:eastAsia="Palatino Linotype" w:hAnsi="Palatino Linotype" w:cs="Palatino Linotype"/>
        </w:rPr>
        <w:t xml:space="preserve"> del Ayuntamiento de Capulhuac,</w:t>
      </w:r>
      <w:r w:rsidR="0097762B" w:rsidRPr="00C60ABB">
        <w:rPr>
          <w:rFonts w:ascii="Palatino Linotype" w:eastAsia="Palatino Linotype" w:hAnsi="Palatino Linotype" w:cs="Palatino Linotype"/>
        </w:rPr>
        <w:t xml:space="preserve"> </w:t>
      </w:r>
      <w:r w:rsidR="006923CB" w:rsidRPr="00C60ABB">
        <w:rPr>
          <w:rFonts w:ascii="Palatino Linotype" w:eastAsia="Palatino Linotype" w:hAnsi="Palatino Linotype" w:cs="Palatino Linotype"/>
        </w:rPr>
        <w:t xml:space="preserve">contenga información del </w:t>
      </w:r>
      <w:r w:rsidR="008B3FF0" w:rsidRPr="00C60ABB">
        <w:rPr>
          <w:rFonts w:ascii="Palatino Linotype" w:eastAsia="Palatino Linotype" w:hAnsi="Palatino Linotype" w:cs="Palatino Linotype"/>
          <w:b/>
          <w:u w:val="single"/>
        </w:rPr>
        <w:t>equipamiento y características de las patrullas</w:t>
      </w:r>
      <w:r w:rsidR="006923CB" w:rsidRPr="00C60ABB">
        <w:rPr>
          <w:rFonts w:ascii="Palatino Linotype" w:eastAsia="Palatino Linotype" w:hAnsi="Palatino Linotype" w:cs="Palatino Linotype"/>
          <w:b/>
          <w:u w:val="single"/>
        </w:rPr>
        <w:t xml:space="preserve"> municipales</w:t>
      </w:r>
      <w:r w:rsidR="006923CB" w:rsidRPr="00C60ABB">
        <w:rPr>
          <w:rFonts w:ascii="Palatino Linotype" w:eastAsia="Palatino Linotype" w:hAnsi="Palatino Linotype" w:cs="Palatino Linotype"/>
        </w:rPr>
        <w:t xml:space="preserve">, </w:t>
      </w:r>
      <w:r w:rsidR="006923CB" w:rsidRPr="00C60ABB">
        <w:rPr>
          <w:rFonts w:ascii="Palatino Linotype" w:eastAsia="Palatino Linotype" w:hAnsi="Palatino Linotype" w:cs="Palatino Linotype"/>
          <w:b/>
          <w:bCs/>
          <w:u w:val="single"/>
        </w:rPr>
        <w:t>dicha descripción</w:t>
      </w:r>
      <w:r w:rsidR="006923CB" w:rsidRPr="00C60ABB">
        <w:rPr>
          <w:rFonts w:ascii="Palatino Linotype" w:eastAsia="Palatino Linotype" w:hAnsi="Palatino Linotype" w:cs="Palatino Linotype"/>
        </w:rPr>
        <w:t xml:space="preserve"> deberá clasificarse en términos de lo previsto </w:t>
      </w:r>
      <w:r w:rsidR="008B3FF0" w:rsidRPr="00C60ABB">
        <w:rPr>
          <w:rFonts w:ascii="Palatino Linotype" w:eastAsia="Palatino Linotype" w:hAnsi="Palatino Linotype" w:cs="Palatino Linotype"/>
        </w:rPr>
        <w:t>en el artículo 140, fracción I de la Ley de Transparencia y Acceso a la Información Pública del Estado de México</w:t>
      </w:r>
      <w:r w:rsidR="0097762B" w:rsidRPr="00C60ABB">
        <w:rPr>
          <w:rFonts w:ascii="Palatino Linotype" w:eastAsia="Palatino Linotype" w:hAnsi="Palatino Linotype" w:cs="Palatino Linotype"/>
        </w:rPr>
        <w:t xml:space="preserve"> y Municipios, a través d</w:t>
      </w:r>
      <w:r w:rsidR="008B3FF0" w:rsidRPr="00C60ABB">
        <w:rPr>
          <w:rFonts w:ascii="Palatino Linotype" w:eastAsia="Palatino Linotype" w:hAnsi="Palatino Linotype" w:cs="Palatino Linotype"/>
        </w:rPr>
        <w:t xml:space="preserve">el acuerdo de clasificación emitido por el Comité de Transparencia, en donde de manera fundada y motivada, </w:t>
      </w:r>
      <w:r w:rsidR="00F61C9D" w:rsidRPr="00C60ABB">
        <w:rPr>
          <w:rFonts w:ascii="Palatino Linotype" w:eastAsia="Palatino Linotype" w:hAnsi="Palatino Linotype" w:cs="Palatino Linotype"/>
        </w:rPr>
        <w:t xml:space="preserve">mediante </w:t>
      </w:r>
      <w:r w:rsidR="008B3FF0" w:rsidRPr="00C60ABB">
        <w:rPr>
          <w:rFonts w:ascii="Palatino Linotype" w:eastAsia="Palatino Linotype" w:hAnsi="Palatino Linotype" w:cs="Palatino Linotype"/>
        </w:rPr>
        <w:t>prueba de daño, confirme la clasificación como reservada</w:t>
      </w:r>
      <w:r w:rsidR="0097762B" w:rsidRPr="00C60ABB">
        <w:rPr>
          <w:rFonts w:ascii="Palatino Linotype" w:eastAsia="Palatino Linotype" w:hAnsi="Palatino Linotype" w:cs="Palatino Linotype"/>
        </w:rPr>
        <w:t xml:space="preserve"> </w:t>
      </w:r>
      <w:r w:rsidR="00AE7397" w:rsidRPr="00C60ABB">
        <w:rPr>
          <w:rFonts w:ascii="Palatino Linotype" w:eastAsia="Palatino Linotype" w:hAnsi="Palatino Linotype" w:cs="Palatino Linotype"/>
        </w:rPr>
        <w:t xml:space="preserve">del equipamiento y características de las patrullas </w:t>
      </w:r>
      <w:r w:rsidR="008B3FF0" w:rsidRPr="00C60ABB">
        <w:rPr>
          <w:rFonts w:ascii="Palatino Linotype" w:eastAsia="Palatino Linotype" w:hAnsi="Palatino Linotype" w:cs="Palatino Linotype"/>
        </w:rPr>
        <w:t>de las patrullas municipales, a través de la versión pública que entregue.</w:t>
      </w:r>
    </w:p>
    <w:p w14:paraId="6DDFD174" w14:textId="77777777" w:rsidR="008B3FF0" w:rsidRPr="00C60ABB" w:rsidRDefault="008B3FF0" w:rsidP="008B3FF0">
      <w:pPr>
        <w:spacing w:line="360" w:lineRule="auto"/>
        <w:jc w:val="both"/>
        <w:rPr>
          <w:rFonts w:ascii="Palatino Linotype" w:eastAsia="Palatino Linotype" w:hAnsi="Palatino Linotype" w:cs="Palatino Linotype"/>
        </w:rPr>
      </w:pPr>
    </w:p>
    <w:p w14:paraId="0DA7F043" w14:textId="59E3120C" w:rsidR="008B3FF0" w:rsidRPr="00C60ABB" w:rsidRDefault="008B3FF0" w:rsidP="008B3FF0">
      <w:pPr>
        <w:spacing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 xml:space="preserve"> De tal manera, que para el presente asunto, es dable señalar que si bien la información respecto a la contratación </w:t>
      </w:r>
      <w:r w:rsidR="00AE7397" w:rsidRPr="00C60ABB">
        <w:rPr>
          <w:rFonts w:ascii="Palatino Linotype" w:eastAsia="Palatino Linotype" w:hAnsi="Palatino Linotype" w:cs="Palatino Linotype"/>
        </w:rPr>
        <w:t>para la</w:t>
      </w:r>
      <w:r w:rsidRPr="00C60ABB">
        <w:rPr>
          <w:rFonts w:ascii="Palatino Linotype" w:eastAsia="Palatino Linotype" w:hAnsi="Palatino Linotype" w:cs="Palatino Linotype"/>
        </w:rPr>
        <w:t xml:space="preserve"> reparación y mantenimiento de </w:t>
      </w:r>
      <w:r w:rsidRPr="00C60ABB">
        <w:rPr>
          <w:rFonts w:ascii="Palatino Linotype" w:eastAsia="Palatino Linotype" w:hAnsi="Palatino Linotype" w:cs="Palatino Linotype"/>
        </w:rPr>
        <w:lastRenderedPageBreak/>
        <w:t>vehículos, en específico de la Dirección de Seguridad Pública y Tránsito del Ayuntamiento de Capulhuac, o en su caso en los contratos que hayan sido celebrados con esa finalidad</w:t>
      </w:r>
      <w:r w:rsidRPr="00C60ABB">
        <w:rPr>
          <w:rFonts w:ascii="Palatino Linotype" w:eastAsia="Palatino Linotype" w:hAnsi="Palatino Linotype" w:cs="Palatino Linotype"/>
          <w:b/>
          <w:bCs/>
          <w:u w:val="single"/>
        </w:rPr>
        <w:t>, es considerada como p</w:t>
      </w:r>
      <w:r w:rsidR="00AE7397" w:rsidRPr="00C60ABB">
        <w:rPr>
          <w:rFonts w:ascii="Palatino Linotype" w:eastAsia="Palatino Linotype" w:hAnsi="Palatino Linotype" w:cs="Palatino Linotype"/>
          <w:b/>
          <w:bCs/>
          <w:u w:val="single"/>
        </w:rPr>
        <w:t>ú</w:t>
      </w:r>
      <w:r w:rsidRPr="00C60ABB">
        <w:rPr>
          <w:rFonts w:ascii="Palatino Linotype" w:eastAsia="Palatino Linotype" w:hAnsi="Palatino Linotype" w:cs="Palatino Linotype"/>
          <w:b/>
          <w:bCs/>
          <w:u w:val="single"/>
        </w:rPr>
        <w:t>blica</w:t>
      </w:r>
      <w:r w:rsidRPr="00C60ABB">
        <w:rPr>
          <w:rFonts w:ascii="Palatino Linotype" w:eastAsia="Palatino Linotype" w:hAnsi="Palatino Linotype" w:cs="Palatino Linotype"/>
        </w:rPr>
        <w:t>; sin embargo no debe escapar de la óptica lo referido en líneas previas</w:t>
      </w:r>
      <w:r w:rsidR="00F61C9D" w:rsidRPr="00C60ABB">
        <w:rPr>
          <w:rFonts w:ascii="Palatino Linotype" w:eastAsia="Palatino Linotype" w:hAnsi="Palatino Linotype" w:cs="Palatino Linotype"/>
        </w:rPr>
        <w:t>,</w:t>
      </w:r>
      <w:r w:rsidRPr="00C60ABB">
        <w:rPr>
          <w:rFonts w:ascii="Palatino Linotype" w:eastAsia="Palatino Linotype" w:hAnsi="Palatino Linotype" w:cs="Palatino Linotype"/>
        </w:rPr>
        <w:t xml:space="preserve"> deberá </w:t>
      </w:r>
      <w:r w:rsidR="00F61C9D" w:rsidRPr="00C60ABB">
        <w:rPr>
          <w:rFonts w:ascii="Palatino Linotype" w:eastAsia="Palatino Linotype" w:hAnsi="Palatino Linotype" w:cs="Palatino Linotype"/>
        </w:rPr>
        <w:t xml:space="preserve">en su caso, </w:t>
      </w:r>
      <w:r w:rsidRPr="00C60ABB">
        <w:rPr>
          <w:rFonts w:ascii="Palatino Linotype" w:eastAsia="Palatino Linotype" w:hAnsi="Palatino Linotype" w:cs="Palatino Linotype"/>
        </w:rPr>
        <w:t>reservarse</w:t>
      </w:r>
      <w:r w:rsidR="0097762B" w:rsidRPr="00C60ABB">
        <w:rPr>
          <w:rFonts w:ascii="Palatino Linotype" w:eastAsia="Palatino Linotype" w:hAnsi="Palatino Linotype" w:cs="Palatino Linotype"/>
        </w:rPr>
        <w:t xml:space="preserve"> que el</w:t>
      </w:r>
      <w:r w:rsidRPr="00C60ABB">
        <w:rPr>
          <w:rFonts w:ascii="Palatino Linotype" w:eastAsia="Palatino Linotype" w:hAnsi="Palatino Linotype" w:cs="Palatino Linotype"/>
        </w:rPr>
        <w:t xml:space="preserve"> </w:t>
      </w:r>
      <w:r w:rsidR="00AE7397" w:rsidRPr="00C60ABB">
        <w:rPr>
          <w:rFonts w:ascii="Palatino Linotype" w:eastAsia="Palatino Linotype" w:hAnsi="Palatino Linotype" w:cs="Palatino Linotype"/>
          <w:b/>
          <w:u w:val="single"/>
        </w:rPr>
        <w:t>equipamiento y características de las patrullas</w:t>
      </w:r>
      <w:r w:rsidR="00AE7397" w:rsidRPr="00C60ABB">
        <w:rPr>
          <w:rFonts w:ascii="Palatino Linotype" w:eastAsia="Palatino Linotype" w:hAnsi="Palatino Linotype" w:cs="Palatino Linotype"/>
        </w:rPr>
        <w:t xml:space="preserve"> </w:t>
      </w:r>
      <w:r w:rsidRPr="00C60ABB">
        <w:rPr>
          <w:rFonts w:ascii="Palatino Linotype" w:eastAsia="Palatino Linotype" w:hAnsi="Palatino Linotype" w:cs="Palatino Linotype"/>
        </w:rPr>
        <w:t>con las que cuentan las patrullas municipales</w:t>
      </w:r>
      <w:r w:rsidR="00F61C9D" w:rsidRPr="00C60ABB">
        <w:rPr>
          <w:rFonts w:ascii="Palatino Linotype" w:eastAsia="Palatino Linotype" w:hAnsi="Palatino Linotype" w:cs="Palatino Linotype"/>
        </w:rPr>
        <w:t xml:space="preserve">. </w:t>
      </w:r>
    </w:p>
    <w:p w14:paraId="7EB8E6EB" w14:textId="77777777" w:rsidR="004E626C" w:rsidRPr="00C60ABB" w:rsidRDefault="005C42B7" w:rsidP="008B3FF0">
      <w:pPr>
        <w:spacing w:before="280" w:after="280"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 xml:space="preserve">Finalmente, es necesario resaltar que el recurso de revisión previsto en la Ley de la materia no es el medio para investigar y, en su caso, sancionar a servidores públicos por la falta de cuidado de la protección de datos personales; no obstante, de la información enviada por el </w:t>
      </w:r>
      <w:r w:rsidRPr="00C60ABB">
        <w:rPr>
          <w:rFonts w:ascii="Palatino Linotype" w:eastAsia="Palatino Linotype" w:hAnsi="Palatino Linotype" w:cs="Palatino Linotype"/>
          <w:b/>
        </w:rPr>
        <w:t xml:space="preserve">SUJETO OBLIGADO </w:t>
      </w:r>
      <w:r w:rsidRPr="00C60ABB">
        <w:rPr>
          <w:rFonts w:ascii="Palatino Linotype" w:eastAsia="Palatino Linotype" w:hAnsi="Palatino Linotype" w:cs="Palatino Linotype"/>
        </w:rPr>
        <w:t>en respuesta, se aprecia que se dejaron a la vista datos personales susceptibles de ser clasificados como confidenciales, de manera específica, la firma de un particular; por ello, se dará vista al área competente para que en ejercicio de sus atribuciones realice las investigaciones pertinentes por las omisiones detectadas atribuibles al Sujeto Obligado.</w:t>
      </w:r>
    </w:p>
    <w:p w14:paraId="167FC880" w14:textId="77777777" w:rsidR="004E626C" w:rsidRPr="00C60ABB" w:rsidRDefault="005C42B7">
      <w:pPr>
        <w:spacing w:before="240" w:after="240"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Asimismo, es conveniente señalar las fracciones XIV, XXII, XXIII y XXV, del artículo 82, de la Ley de Protección de Datos Personales en Posesión de Sujetos Obligados del Estado de México y Municipios, que establece:</w:t>
      </w:r>
    </w:p>
    <w:p w14:paraId="3F3B852E" w14:textId="77777777" w:rsidR="004E626C" w:rsidRPr="00C60ABB" w:rsidRDefault="005C42B7">
      <w:pPr>
        <w:spacing w:before="240" w:after="240"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 xml:space="preserve"> Atribuciones del Instituto:</w:t>
      </w:r>
    </w:p>
    <w:p w14:paraId="697115C4" w14:textId="77777777" w:rsidR="004E626C" w:rsidRPr="00C60ABB" w:rsidRDefault="005C42B7">
      <w:pPr>
        <w:spacing w:before="80"/>
        <w:ind w:left="567" w:right="902"/>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“Artículo 82. El Instituto, además de las atribuciones encomendadas por la Ley de Transparencia y normatividad aplicable, tendrá las atribuciones siguientes:</w:t>
      </w:r>
    </w:p>
    <w:p w14:paraId="325CFB29" w14:textId="77777777" w:rsidR="004E626C" w:rsidRPr="00C60ABB" w:rsidRDefault="005C42B7">
      <w:pPr>
        <w:ind w:left="567" w:right="902"/>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w:t>
      </w:r>
    </w:p>
    <w:p w14:paraId="341C3082" w14:textId="77777777" w:rsidR="004E626C" w:rsidRPr="00C60ABB" w:rsidRDefault="005C42B7">
      <w:pPr>
        <w:ind w:left="567" w:right="902"/>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XIV. Formular observaciones y recomendaciones a los sujetos obligados que incumplan esta Ley.</w:t>
      </w:r>
    </w:p>
    <w:p w14:paraId="387DB22F" w14:textId="77777777" w:rsidR="004E626C" w:rsidRPr="00C60ABB" w:rsidRDefault="005C42B7">
      <w:pPr>
        <w:ind w:left="567" w:right="902"/>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w:t>
      </w:r>
    </w:p>
    <w:p w14:paraId="49298F70" w14:textId="77777777" w:rsidR="004E626C" w:rsidRPr="00C60ABB" w:rsidRDefault="005C42B7">
      <w:pPr>
        <w:ind w:left="567" w:right="902"/>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lastRenderedPageBreak/>
        <w:t>XXII. Verificar el cumplimiento de las disposiciones previstas en esta Ley a través de los procedimientos de revisión que resulten compatibles con las disposiciones de esta Ley.</w:t>
      </w:r>
    </w:p>
    <w:p w14:paraId="5A7097C6" w14:textId="77777777" w:rsidR="004E626C" w:rsidRPr="00C60ABB" w:rsidRDefault="005C42B7">
      <w:pPr>
        <w:ind w:left="567" w:right="902"/>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XXIII. Implementar los procedimientos que resulten necesarios para el cumplimiento de las disposiciones de esta Ley y para asegurar la protección de datos personales de los titulares. (…)</w:t>
      </w:r>
    </w:p>
    <w:p w14:paraId="2C7B69D6" w14:textId="77777777" w:rsidR="004E626C" w:rsidRPr="00C60ABB" w:rsidRDefault="005C42B7">
      <w:pPr>
        <w:ind w:left="567" w:right="902"/>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 xml:space="preserve">XXV. Investigar las posibles violaciones a la seguridad de los datos personales a fin de determinar la práctica de </w:t>
      </w:r>
      <w:proofErr w:type="gramStart"/>
      <w:r w:rsidRPr="00C60ABB">
        <w:rPr>
          <w:rFonts w:ascii="Palatino Linotype" w:eastAsia="Palatino Linotype" w:hAnsi="Palatino Linotype" w:cs="Palatino Linotype"/>
          <w:i/>
          <w:sz w:val="22"/>
          <w:szCs w:val="22"/>
        </w:rPr>
        <w:t>verificaciones.(</w:t>
      </w:r>
      <w:proofErr w:type="gramEnd"/>
      <w:r w:rsidRPr="00C60ABB">
        <w:rPr>
          <w:rFonts w:ascii="Palatino Linotype" w:eastAsia="Palatino Linotype" w:hAnsi="Palatino Linotype" w:cs="Palatino Linotype"/>
          <w:i/>
          <w:sz w:val="22"/>
          <w:szCs w:val="22"/>
        </w:rPr>
        <w:t>…)”</w:t>
      </w:r>
    </w:p>
    <w:p w14:paraId="15980798" w14:textId="77777777" w:rsidR="004E626C" w:rsidRPr="00C60ABB" w:rsidRDefault="005C42B7">
      <w:pPr>
        <w:spacing w:after="240"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 xml:space="preserve"> </w:t>
      </w:r>
    </w:p>
    <w:p w14:paraId="04680553" w14:textId="77777777" w:rsidR="004E626C" w:rsidRPr="00C60ABB" w:rsidRDefault="005C42B7">
      <w:pPr>
        <w:spacing w:before="240" w:after="240"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 xml:space="preserve">En ese sentido, el actuar del </w:t>
      </w:r>
      <w:r w:rsidRPr="00C60ABB">
        <w:rPr>
          <w:rFonts w:ascii="Palatino Linotype" w:eastAsia="Palatino Linotype" w:hAnsi="Palatino Linotype" w:cs="Palatino Linotype"/>
          <w:b/>
        </w:rPr>
        <w:t>SUJETO OBLIGADO</w:t>
      </w:r>
      <w:r w:rsidRPr="00C60ABB">
        <w:rPr>
          <w:rFonts w:ascii="Palatino Linotype" w:eastAsia="Palatino Linotype" w:hAnsi="Palatino Linotype" w:cs="Palatino Linotype"/>
        </w:rPr>
        <w:t xml:space="preserve"> no se encuentra apegado a derecho y es por ello que a todas luces su respuesta transgrede la esfera privada de los particulares que proporcionaron sus datos personales, es por ello que ahora que dichos datos personales obran en poder de la parte </w:t>
      </w:r>
      <w:r w:rsidRPr="00C60ABB">
        <w:rPr>
          <w:rFonts w:ascii="Palatino Linotype" w:eastAsia="Palatino Linotype" w:hAnsi="Palatino Linotype" w:cs="Palatino Linotype"/>
          <w:b/>
        </w:rPr>
        <w:t>RECURRENTE</w:t>
      </w:r>
      <w:r w:rsidRPr="00C60ABB">
        <w:rPr>
          <w:rFonts w:ascii="Palatino Linotype" w:eastAsia="Palatino Linotype" w:hAnsi="Palatino Linotype" w:cs="Palatino Linotype"/>
        </w:rPr>
        <w:t xml:space="preserve">, se le insta para que no haga un mal manejo de los mismos, pues con su divulgación afectaría indudablemente a la esfera de un particular, no obstante, en lo que respecta al indebido actuar del </w:t>
      </w:r>
      <w:r w:rsidRPr="00C60ABB">
        <w:rPr>
          <w:rFonts w:ascii="Palatino Linotype" w:eastAsia="Palatino Linotype" w:hAnsi="Palatino Linotype" w:cs="Palatino Linotype"/>
          <w:b/>
        </w:rPr>
        <w:t>SUJETO OBLIGADO</w:t>
      </w:r>
      <w:r w:rsidRPr="00C60ABB">
        <w:rPr>
          <w:rFonts w:ascii="Palatino Linotype" w:eastAsia="Palatino Linotype" w:hAnsi="Palatino Linotype" w:cs="Palatino Linotype"/>
        </w:rPr>
        <w:t xml:space="preserve">, este Instituto determina procedente hacer del conocimiento de la Dirección General de Protección de Datos Personales de este Instituto las posibles infracciones en las que el </w:t>
      </w:r>
      <w:r w:rsidRPr="00C60ABB">
        <w:rPr>
          <w:rFonts w:ascii="Palatino Linotype" w:eastAsia="Palatino Linotype" w:hAnsi="Palatino Linotype" w:cs="Palatino Linotype"/>
          <w:b/>
        </w:rPr>
        <w:t>SUJETO OBLIGADO</w:t>
      </w:r>
      <w:r w:rsidRPr="00C60ABB">
        <w:rPr>
          <w:rFonts w:ascii="Palatino Linotype" w:eastAsia="Palatino Linotype" w:hAnsi="Palatino Linotype" w:cs="Palatino Linotype"/>
        </w:rPr>
        <w:t xml:space="preserve"> incurrió.</w:t>
      </w:r>
    </w:p>
    <w:p w14:paraId="25A0EFFC" w14:textId="77777777" w:rsidR="004E626C" w:rsidRPr="00C60ABB" w:rsidRDefault="005C42B7">
      <w:pPr>
        <w:spacing w:before="240" w:after="240" w:line="360" w:lineRule="auto"/>
        <w:ind w:right="49"/>
        <w:jc w:val="both"/>
        <w:rPr>
          <w:rFonts w:ascii="Palatino Linotype" w:eastAsia="Palatino Linotype" w:hAnsi="Palatino Linotype" w:cs="Palatino Linotype"/>
        </w:rPr>
      </w:pPr>
      <w:r w:rsidRPr="00C60ABB">
        <w:rPr>
          <w:rFonts w:ascii="Palatino Linotype" w:eastAsia="Palatino Linotype" w:hAnsi="Palatino Linotype" w:cs="Palatino Linotype"/>
          <w:b/>
        </w:rPr>
        <w:t xml:space="preserve">Quinto. Versión Pública. </w:t>
      </w:r>
      <w:r w:rsidRPr="00C60ABB">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w:t>
      </w:r>
      <w:r w:rsidRPr="00C60ABB">
        <w:rPr>
          <w:rFonts w:ascii="Palatino Linotype" w:eastAsia="Palatino Linotype" w:hAnsi="Palatino Linotype" w:cs="Palatino Linotype"/>
          <w:b/>
        </w:rPr>
        <w:t>RECURRENTE</w:t>
      </w:r>
      <w:r w:rsidRPr="00C60ABB">
        <w:rPr>
          <w:rFonts w:ascii="Palatino Linotype" w:eastAsia="Palatino Linotype" w:hAnsi="Palatino Linotype" w:cs="Palatino Linotype"/>
        </w:rPr>
        <w:t xml:space="preserve"> sin menoscabar el derecho a la protección de los datos personales de terceros.</w:t>
      </w:r>
    </w:p>
    <w:p w14:paraId="2A235E2E" w14:textId="77777777" w:rsidR="004E626C" w:rsidRPr="00C60ABB" w:rsidRDefault="005C42B7">
      <w:pPr>
        <w:spacing w:after="240" w:line="360" w:lineRule="auto"/>
        <w:ind w:right="50"/>
        <w:jc w:val="both"/>
        <w:rPr>
          <w:rFonts w:ascii="Palatino Linotype" w:eastAsia="Palatino Linotype" w:hAnsi="Palatino Linotype" w:cs="Palatino Linotype"/>
        </w:rPr>
      </w:pPr>
      <w:r w:rsidRPr="00C60ABB">
        <w:rPr>
          <w:rFonts w:ascii="Palatino Linotype" w:eastAsia="Palatino Linotype" w:hAnsi="Palatino Linotype" w:cs="Palatino Linotype"/>
        </w:rPr>
        <w:lastRenderedPageBreak/>
        <w:t>Lo anterior, de conformidad a lo que señalan los artículos 3, fracciones IX, XX, XXXII, XLV; 6, 137 y 143 fracción I, de la Ley de Transparencia y Acceso a la Información Pública del Estado de México y Municipios vigente, que se leen como sigue:</w:t>
      </w:r>
    </w:p>
    <w:p w14:paraId="29E0D711" w14:textId="77777777" w:rsidR="004E626C" w:rsidRPr="00C60ABB" w:rsidRDefault="005C42B7">
      <w:pPr>
        <w:ind w:left="993" w:right="1041"/>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sz w:val="22"/>
          <w:szCs w:val="22"/>
        </w:rPr>
        <w:t xml:space="preserve"> “Artículo 3. Para los efectos de la presente Ley se entenderá por:</w:t>
      </w:r>
    </w:p>
    <w:p w14:paraId="31A75E2D" w14:textId="77777777" w:rsidR="004E626C" w:rsidRPr="00C60ABB" w:rsidRDefault="005C42B7">
      <w:pPr>
        <w:ind w:left="993" w:right="1041"/>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b/>
          <w:i/>
          <w:sz w:val="22"/>
          <w:szCs w:val="22"/>
        </w:rPr>
        <w:t>IX. Datos personales:</w:t>
      </w:r>
      <w:r w:rsidRPr="00C60ABB">
        <w:rPr>
          <w:rFonts w:ascii="Palatino Linotype" w:eastAsia="Palatino Linotype" w:hAnsi="Palatino Linotype" w:cs="Palatino Linotype"/>
          <w:i/>
          <w:sz w:val="22"/>
          <w:szCs w:val="22"/>
        </w:rPr>
        <w:t xml:space="preserve"> </w:t>
      </w:r>
      <w:r w:rsidRPr="00C60ABB">
        <w:rPr>
          <w:rFonts w:ascii="Palatino Linotype" w:eastAsia="Palatino Linotype" w:hAnsi="Palatino Linotype" w:cs="Palatino Linotype"/>
          <w:b/>
          <w:i/>
          <w:sz w:val="22"/>
          <w:szCs w:val="22"/>
        </w:rPr>
        <w:t>La información concerniente a una persona, identificada o identificable</w:t>
      </w:r>
      <w:r w:rsidRPr="00C60ABB">
        <w:rPr>
          <w:rFonts w:ascii="Palatino Linotype" w:eastAsia="Palatino Linotype" w:hAnsi="Palatino Linotype" w:cs="Palatino Linotype"/>
          <w:i/>
          <w:sz w:val="22"/>
          <w:szCs w:val="22"/>
        </w:rPr>
        <w:t xml:space="preserve"> según lo dispuesto por la Ley de Protección de Datos Personales del Estado de México;</w:t>
      </w:r>
    </w:p>
    <w:p w14:paraId="7CD4A442" w14:textId="77777777" w:rsidR="004E626C" w:rsidRPr="00C60ABB" w:rsidRDefault="005C42B7">
      <w:pPr>
        <w:ind w:left="993" w:right="1041"/>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b/>
          <w:i/>
          <w:sz w:val="22"/>
          <w:szCs w:val="22"/>
        </w:rPr>
        <w:t>XX. Información clasificada:</w:t>
      </w:r>
      <w:r w:rsidRPr="00C60ABB">
        <w:rPr>
          <w:rFonts w:ascii="Palatino Linotype" w:eastAsia="Palatino Linotype" w:hAnsi="Palatino Linotype" w:cs="Palatino Linotype"/>
          <w:i/>
          <w:sz w:val="22"/>
          <w:szCs w:val="22"/>
        </w:rPr>
        <w:t xml:space="preserve"> Aquella considerada por la presente Ley como reservada o confidencial;</w:t>
      </w:r>
    </w:p>
    <w:p w14:paraId="04AE75DC" w14:textId="77777777" w:rsidR="004E626C" w:rsidRPr="00C60ABB" w:rsidRDefault="005C42B7">
      <w:pPr>
        <w:ind w:left="993" w:right="1041"/>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b/>
          <w:i/>
          <w:sz w:val="22"/>
          <w:szCs w:val="22"/>
        </w:rPr>
        <w:t>XXXII. Protección de Datos Personales:</w:t>
      </w:r>
      <w:r w:rsidRPr="00C60ABB">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33EC3265" w14:textId="77777777" w:rsidR="004E626C" w:rsidRPr="00C60ABB" w:rsidRDefault="005C42B7">
      <w:pPr>
        <w:ind w:left="993" w:right="1041"/>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b/>
          <w:i/>
          <w:sz w:val="22"/>
          <w:szCs w:val="22"/>
        </w:rPr>
        <w:t>XLV. Versión pública</w:t>
      </w:r>
      <w:r w:rsidRPr="00C60ABB">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07560C62" w14:textId="77777777" w:rsidR="004E626C" w:rsidRPr="00C60ABB" w:rsidRDefault="004E626C">
      <w:pPr>
        <w:ind w:left="993" w:right="1041"/>
        <w:jc w:val="both"/>
        <w:rPr>
          <w:rFonts w:ascii="Palatino Linotype" w:eastAsia="Palatino Linotype" w:hAnsi="Palatino Linotype" w:cs="Palatino Linotype"/>
          <w:i/>
          <w:sz w:val="22"/>
          <w:szCs w:val="22"/>
        </w:rPr>
      </w:pPr>
    </w:p>
    <w:p w14:paraId="0B25CE37" w14:textId="77777777" w:rsidR="004E626C" w:rsidRPr="00C60ABB" w:rsidRDefault="005C42B7">
      <w:pPr>
        <w:ind w:left="993" w:right="1041"/>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b/>
          <w:i/>
          <w:sz w:val="22"/>
          <w:szCs w:val="22"/>
        </w:rPr>
        <w:t>“Artículo 6.</w:t>
      </w:r>
      <w:r w:rsidRPr="00C60ABB">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464D9D0" w14:textId="77777777" w:rsidR="004E626C" w:rsidRPr="00C60ABB" w:rsidRDefault="004E626C">
      <w:pPr>
        <w:ind w:left="993" w:right="1041"/>
        <w:jc w:val="both"/>
        <w:rPr>
          <w:rFonts w:ascii="Palatino Linotype" w:eastAsia="Palatino Linotype" w:hAnsi="Palatino Linotype" w:cs="Palatino Linotype"/>
          <w:i/>
          <w:sz w:val="22"/>
          <w:szCs w:val="22"/>
        </w:rPr>
      </w:pPr>
    </w:p>
    <w:p w14:paraId="6C04E57D" w14:textId="77777777" w:rsidR="004E626C" w:rsidRPr="00C60ABB" w:rsidRDefault="005C42B7">
      <w:pPr>
        <w:ind w:left="993" w:right="1041"/>
        <w:jc w:val="both"/>
        <w:rPr>
          <w:rFonts w:ascii="Palatino Linotype" w:eastAsia="Palatino Linotype" w:hAnsi="Palatino Linotype" w:cs="Palatino Linotype"/>
          <w:b/>
          <w:i/>
          <w:sz w:val="22"/>
          <w:szCs w:val="22"/>
        </w:rPr>
      </w:pPr>
      <w:r w:rsidRPr="00C60ABB">
        <w:rPr>
          <w:rFonts w:ascii="Palatino Linotype" w:eastAsia="Palatino Linotype" w:hAnsi="Palatino Linotype" w:cs="Palatino Linotype"/>
          <w:b/>
          <w:i/>
          <w:sz w:val="22"/>
          <w:szCs w:val="22"/>
        </w:rPr>
        <w:t>“Artículo 137.</w:t>
      </w:r>
      <w:r w:rsidRPr="00C60ABB">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2E4DFF4" w14:textId="77777777" w:rsidR="004E626C" w:rsidRPr="00C60ABB" w:rsidRDefault="004E626C">
      <w:pPr>
        <w:ind w:left="993" w:right="1041"/>
        <w:jc w:val="both"/>
        <w:rPr>
          <w:rFonts w:ascii="Palatino Linotype" w:eastAsia="Palatino Linotype" w:hAnsi="Palatino Linotype" w:cs="Palatino Linotype"/>
          <w:b/>
          <w:i/>
          <w:sz w:val="22"/>
          <w:szCs w:val="22"/>
        </w:rPr>
      </w:pPr>
    </w:p>
    <w:p w14:paraId="71704AB6" w14:textId="77777777" w:rsidR="004E626C" w:rsidRPr="00C60ABB" w:rsidRDefault="005C42B7">
      <w:pPr>
        <w:ind w:left="993" w:right="1041"/>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b/>
          <w:i/>
          <w:sz w:val="22"/>
          <w:szCs w:val="22"/>
        </w:rPr>
        <w:t>“Artículo 143</w:t>
      </w:r>
      <w:r w:rsidRPr="00C60ABB">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BEF155C" w14:textId="77777777" w:rsidR="004E626C" w:rsidRPr="00C60ABB" w:rsidRDefault="005C42B7">
      <w:pPr>
        <w:ind w:left="993" w:right="1041"/>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b/>
          <w:i/>
          <w:sz w:val="22"/>
          <w:szCs w:val="22"/>
        </w:rPr>
        <w:t>I.</w:t>
      </w:r>
      <w:r w:rsidRPr="00C60ABB">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1E136455" w14:textId="77777777" w:rsidR="004E626C" w:rsidRPr="00C60ABB" w:rsidRDefault="005C42B7">
      <w:pPr>
        <w:ind w:left="993" w:right="1041"/>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lastRenderedPageBreak/>
        <w:t>II. Los secretos bancario, fiduciario, industrial, comercial, fiscal, bursátil y postal, cuya titularidad corresponda a particulares, sujetos de derecho internacional o a sujetos obligados cuando no involucren el ejercicio de recursos públicos; y</w:t>
      </w:r>
    </w:p>
    <w:p w14:paraId="68FCD8BC" w14:textId="77777777" w:rsidR="004E626C" w:rsidRPr="00C60ABB" w:rsidRDefault="005C42B7">
      <w:pPr>
        <w:ind w:left="993" w:right="1041"/>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4713858E" w14:textId="77777777" w:rsidR="004E626C" w:rsidRPr="00C60ABB" w:rsidRDefault="004E626C">
      <w:pPr>
        <w:ind w:left="993" w:right="1041"/>
        <w:jc w:val="both"/>
        <w:rPr>
          <w:rFonts w:ascii="Palatino Linotype" w:eastAsia="Palatino Linotype" w:hAnsi="Palatino Linotype" w:cs="Palatino Linotype"/>
          <w:i/>
          <w:sz w:val="22"/>
          <w:szCs w:val="22"/>
        </w:rPr>
      </w:pPr>
    </w:p>
    <w:p w14:paraId="52F76995" w14:textId="77777777" w:rsidR="004E626C" w:rsidRPr="00C60ABB" w:rsidRDefault="005C42B7">
      <w:pPr>
        <w:spacing w:line="360" w:lineRule="auto"/>
        <w:ind w:right="51"/>
        <w:jc w:val="both"/>
        <w:rPr>
          <w:rFonts w:ascii="Palatino Linotype" w:eastAsia="Palatino Linotype" w:hAnsi="Palatino Linotype" w:cs="Palatino Linotype"/>
        </w:rPr>
      </w:pPr>
      <w:r w:rsidRPr="00C60ABB">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parte </w:t>
      </w:r>
      <w:r w:rsidRPr="00C60ABB">
        <w:rPr>
          <w:rFonts w:ascii="Palatino Linotype" w:eastAsia="Palatino Linotype" w:hAnsi="Palatino Linotype" w:cs="Palatino Linotype"/>
          <w:b/>
        </w:rPr>
        <w:t>RECURRENTE</w:t>
      </w:r>
      <w:r w:rsidRPr="00C60ABB">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789A6087" w14:textId="77777777" w:rsidR="004E626C" w:rsidRPr="00C60ABB" w:rsidRDefault="004E626C">
      <w:pPr>
        <w:spacing w:line="360" w:lineRule="auto"/>
        <w:ind w:right="51"/>
        <w:jc w:val="both"/>
        <w:rPr>
          <w:rFonts w:ascii="Palatino Linotype" w:eastAsia="Palatino Linotype" w:hAnsi="Palatino Linotype" w:cs="Palatino Linotype"/>
        </w:rPr>
      </w:pPr>
    </w:p>
    <w:p w14:paraId="55760E5B" w14:textId="77777777" w:rsidR="004E626C" w:rsidRPr="00C60ABB" w:rsidRDefault="005C42B7">
      <w:pPr>
        <w:spacing w:line="360" w:lineRule="auto"/>
        <w:ind w:right="50"/>
        <w:jc w:val="both"/>
        <w:rPr>
          <w:rFonts w:ascii="Palatino Linotype" w:eastAsia="Palatino Linotype" w:hAnsi="Palatino Linotype" w:cs="Palatino Linotype"/>
        </w:rPr>
      </w:pPr>
      <w:r w:rsidRPr="00C60ABB">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D11A7E1" w14:textId="77777777" w:rsidR="004E626C" w:rsidRPr="00C60ABB" w:rsidRDefault="004E626C">
      <w:pPr>
        <w:spacing w:line="360" w:lineRule="auto"/>
        <w:ind w:right="51"/>
        <w:jc w:val="both"/>
        <w:rPr>
          <w:rFonts w:ascii="Palatino Linotype" w:eastAsia="Palatino Linotype" w:hAnsi="Palatino Linotype" w:cs="Palatino Linotype"/>
        </w:rPr>
      </w:pPr>
    </w:p>
    <w:p w14:paraId="19622F05" w14:textId="77777777" w:rsidR="004E626C" w:rsidRPr="00C60ABB" w:rsidRDefault="005C42B7">
      <w:pPr>
        <w:spacing w:line="360" w:lineRule="auto"/>
        <w:ind w:right="51"/>
        <w:jc w:val="both"/>
        <w:rPr>
          <w:rFonts w:ascii="Palatino Linotype" w:eastAsia="Palatino Linotype" w:hAnsi="Palatino Linotype" w:cs="Palatino Linotype"/>
        </w:rPr>
      </w:pPr>
      <w:r w:rsidRPr="00C60ABB">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w:t>
      </w:r>
      <w:r w:rsidRPr="00C60ABB">
        <w:rPr>
          <w:rFonts w:ascii="Palatino Linotype" w:eastAsia="Palatino Linotype" w:hAnsi="Palatino Linotype" w:cs="Palatino Linotype"/>
        </w:rPr>
        <w:lastRenderedPageBreak/>
        <w:t xml:space="preserve">tome el Servidor Público Habilitado o el </w:t>
      </w:r>
      <w:proofErr w:type="gramStart"/>
      <w:r w:rsidRPr="00C60ABB">
        <w:rPr>
          <w:rFonts w:ascii="Palatino Linotype" w:eastAsia="Palatino Linotype" w:hAnsi="Palatino Linotype" w:cs="Palatino Linotype"/>
        </w:rPr>
        <w:t>Responsable</w:t>
      </w:r>
      <w:proofErr w:type="gramEnd"/>
      <w:r w:rsidRPr="00C60ABB">
        <w:rPr>
          <w:rFonts w:ascii="Palatino Linotype" w:eastAsia="Palatino Linotype" w:hAnsi="Palatino Linotype" w:cs="Palatino Linotype"/>
        </w:rPr>
        <w:t xml:space="preserve"> de la Unidad de Transparencia del </w:t>
      </w:r>
      <w:r w:rsidRPr="00C60ABB">
        <w:rPr>
          <w:rFonts w:ascii="Palatino Linotype" w:eastAsia="Palatino Linotype" w:hAnsi="Palatino Linotype" w:cs="Palatino Linotype"/>
          <w:b/>
        </w:rPr>
        <w:t>SUJETO OBLIGADO</w:t>
      </w:r>
      <w:r w:rsidRPr="00C60ABB">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14:paraId="66B282D8" w14:textId="77777777" w:rsidR="004E626C" w:rsidRPr="00C60ABB" w:rsidRDefault="004E626C">
      <w:pPr>
        <w:spacing w:line="360" w:lineRule="auto"/>
        <w:ind w:right="51"/>
        <w:jc w:val="both"/>
        <w:rPr>
          <w:rFonts w:ascii="Palatino Linotype" w:eastAsia="Palatino Linotype" w:hAnsi="Palatino Linotype" w:cs="Palatino Linotype"/>
        </w:rPr>
      </w:pPr>
    </w:p>
    <w:p w14:paraId="695282DD" w14:textId="77777777" w:rsidR="004E626C" w:rsidRPr="00C60ABB" w:rsidRDefault="005C42B7">
      <w:pPr>
        <w:ind w:left="992" w:right="1043"/>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b/>
          <w:i/>
          <w:sz w:val="22"/>
          <w:szCs w:val="22"/>
        </w:rPr>
        <w:t>“Artículo 49.</w:t>
      </w:r>
      <w:r w:rsidRPr="00C60ABB">
        <w:rPr>
          <w:rFonts w:ascii="Palatino Linotype" w:eastAsia="Palatino Linotype" w:hAnsi="Palatino Linotype" w:cs="Palatino Linotype"/>
          <w:i/>
          <w:sz w:val="22"/>
          <w:szCs w:val="22"/>
        </w:rPr>
        <w:t xml:space="preserve"> </w:t>
      </w:r>
      <w:r w:rsidRPr="00C60ABB">
        <w:rPr>
          <w:rFonts w:ascii="Palatino Linotype" w:eastAsia="Palatino Linotype" w:hAnsi="Palatino Linotype" w:cs="Palatino Linotype"/>
          <w:b/>
          <w:i/>
          <w:sz w:val="22"/>
          <w:szCs w:val="22"/>
        </w:rPr>
        <w:t>Los Comités de Transparencia</w:t>
      </w:r>
      <w:r w:rsidRPr="00C60ABB">
        <w:rPr>
          <w:rFonts w:ascii="Palatino Linotype" w:eastAsia="Palatino Linotype" w:hAnsi="Palatino Linotype" w:cs="Palatino Linotype"/>
          <w:i/>
          <w:sz w:val="22"/>
          <w:szCs w:val="22"/>
        </w:rPr>
        <w:t xml:space="preserve"> tendrán las siguientes atribuciones:</w:t>
      </w:r>
    </w:p>
    <w:p w14:paraId="1D7355CB" w14:textId="77777777" w:rsidR="004E626C" w:rsidRPr="00C60ABB" w:rsidRDefault="005C42B7">
      <w:pPr>
        <w:ind w:left="992" w:right="1043"/>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b/>
          <w:i/>
          <w:sz w:val="22"/>
          <w:szCs w:val="22"/>
        </w:rPr>
        <w:t>VIII. Aprobar, modificar o revocar la clasificación de la información</w:t>
      </w:r>
      <w:r w:rsidRPr="00C60ABB">
        <w:rPr>
          <w:rFonts w:ascii="Palatino Linotype" w:eastAsia="Palatino Linotype" w:hAnsi="Palatino Linotype" w:cs="Palatino Linotype"/>
          <w:i/>
          <w:sz w:val="22"/>
          <w:szCs w:val="22"/>
        </w:rPr>
        <w:t>…”</w:t>
      </w:r>
    </w:p>
    <w:p w14:paraId="6CAF09BC" w14:textId="77777777" w:rsidR="004E626C" w:rsidRPr="00C60ABB" w:rsidRDefault="005C42B7">
      <w:pPr>
        <w:ind w:left="992" w:right="1043"/>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w:t>
      </w:r>
      <w:r w:rsidRPr="00C60ABB">
        <w:rPr>
          <w:rFonts w:ascii="Palatino Linotype" w:eastAsia="Palatino Linotype" w:hAnsi="Palatino Linotype" w:cs="Palatino Linotype"/>
          <w:b/>
          <w:i/>
          <w:sz w:val="22"/>
          <w:szCs w:val="22"/>
        </w:rPr>
        <w:t>Artículo 53.</w:t>
      </w:r>
      <w:r w:rsidRPr="00C60ABB">
        <w:rPr>
          <w:rFonts w:ascii="Palatino Linotype" w:eastAsia="Palatino Linotype" w:hAnsi="Palatino Linotype" w:cs="Palatino Linotype"/>
          <w:i/>
          <w:sz w:val="22"/>
          <w:szCs w:val="22"/>
        </w:rPr>
        <w:t xml:space="preserve"> Las </w:t>
      </w:r>
      <w:r w:rsidRPr="00C60ABB">
        <w:rPr>
          <w:rFonts w:ascii="Palatino Linotype" w:eastAsia="Palatino Linotype" w:hAnsi="Palatino Linotype" w:cs="Palatino Linotype"/>
          <w:b/>
          <w:i/>
          <w:sz w:val="22"/>
          <w:szCs w:val="22"/>
        </w:rPr>
        <w:t>Unidades de Transparencia</w:t>
      </w:r>
      <w:r w:rsidRPr="00C60ABB">
        <w:rPr>
          <w:rFonts w:ascii="Palatino Linotype" w:eastAsia="Palatino Linotype" w:hAnsi="Palatino Linotype" w:cs="Palatino Linotype"/>
          <w:i/>
          <w:sz w:val="22"/>
          <w:szCs w:val="22"/>
        </w:rPr>
        <w:t xml:space="preserve"> tendrán las siguientes </w:t>
      </w:r>
      <w:r w:rsidRPr="00C60ABB">
        <w:rPr>
          <w:rFonts w:ascii="Palatino Linotype" w:eastAsia="Palatino Linotype" w:hAnsi="Palatino Linotype" w:cs="Palatino Linotype"/>
          <w:b/>
          <w:i/>
          <w:sz w:val="22"/>
          <w:szCs w:val="22"/>
        </w:rPr>
        <w:t>funciones</w:t>
      </w:r>
      <w:r w:rsidRPr="00C60ABB">
        <w:rPr>
          <w:rFonts w:ascii="Palatino Linotype" w:eastAsia="Palatino Linotype" w:hAnsi="Palatino Linotype" w:cs="Palatino Linotype"/>
          <w:i/>
          <w:sz w:val="22"/>
          <w:szCs w:val="22"/>
        </w:rPr>
        <w:t>:</w:t>
      </w:r>
    </w:p>
    <w:p w14:paraId="12156BF5" w14:textId="77777777" w:rsidR="004E626C" w:rsidRPr="00C60ABB" w:rsidRDefault="005C42B7">
      <w:pPr>
        <w:ind w:left="992" w:right="1043"/>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b/>
          <w:i/>
          <w:sz w:val="22"/>
          <w:szCs w:val="22"/>
        </w:rPr>
        <w:t>X. Presentar ante el Comité, el proyecto de clasificación de información</w:t>
      </w:r>
      <w:r w:rsidRPr="00C60ABB">
        <w:rPr>
          <w:rFonts w:ascii="Palatino Linotype" w:eastAsia="Palatino Linotype" w:hAnsi="Palatino Linotype" w:cs="Palatino Linotype"/>
          <w:i/>
          <w:sz w:val="22"/>
          <w:szCs w:val="22"/>
        </w:rPr>
        <w:t xml:space="preserve">…” </w:t>
      </w:r>
    </w:p>
    <w:p w14:paraId="5ADB56D1" w14:textId="77777777" w:rsidR="004E626C" w:rsidRPr="00C60ABB" w:rsidRDefault="005C42B7">
      <w:pPr>
        <w:ind w:left="992" w:right="1043"/>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b/>
          <w:i/>
          <w:sz w:val="22"/>
          <w:szCs w:val="22"/>
        </w:rPr>
        <w:t>“Artículo 59.</w:t>
      </w:r>
      <w:r w:rsidRPr="00C60ABB">
        <w:rPr>
          <w:rFonts w:ascii="Palatino Linotype" w:eastAsia="Palatino Linotype" w:hAnsi="Palatino Linotype" w:cs="Palatino Linotype"/>
          <w:i/>
          <w:sz w:val="22"/>
          <w:szCs w:val="22"/>
        </w:rPr>
        <w:t xml:space="preserve"> Los </w:t>
      </w:r>
      <w:r w:rsidRPr="00C60ABB">
        <w:rPr>
          <w:rFonts w:ascii="Palatino Linotype" w:eastAsia="Palatino Linotype" w:hAnsi="Palatino Linotype" w:cs="Palatino Linotype"/>
          <w:b/>
          <w:i/>
          <w:sz w:val="22"/>
          <w:szCs w:val="22"/>
        </w:rPr>
        <w:t>servidores públicos habilitados</w:t>
      </w:r>
      <w:r w:rsidRPr="00C60ABB">
        <w:rPr>
          <w:rFonts w:ascii="Palatino Linotype" w:eastAsia="Palatino Linotype" w:hAnsi="Palatino Linotype" w:cs="Palatino Linotype"/>
          <w:i/>
          <w:sz w:val="22"/>
          <w:szCs w:val="22"/>
        </w:rPr>
        <w:t xml:space="preserve"> tendrán las </w:t>
      </w:r>
      <w:r w:rsidRPr="00C60ABB">
        <w:rPr>
          <w:rFonts w:ascii="Palatino Linotype" w:eastAsia="Palatino Linotype" w:hAnsi="Palatino Linotype" w:cs="Palatino Linotype"/>
          <w:b/>
          <w:i/>
          <w:sz w:val="22"/>
          <w:szCs w:val="22"/>
        </w:rPr>
        <w:t>funciones</w:t>
      </w:r>
      <w:r w:rsidRPr="00C60ABB">
        <w:rPr>
          <w:rFonts w:ascii="Palatino Linotype" w:eastAsia="Palatino Linotype" w:hAnsi="Palatino Linotype" w:cs="Palatino Linotype"/>
          <w:i/>
          <w:sz w:val="22"/>
          <w:szCs w:val="22"/>
        </w:rPr>
        <w:t xml:space="preserve"> siguientes:</w:t>
      </w:r>
    </w:p>
    <w:p w14:paraId="2B9E6E56" w14:textId="77777777" w:rsidR="004E626C" w:rsidRPr="00C60ABB" w:rsidRDefault="005C42B7">
      <w:pPr>
        <w:ind w:left="992" w:right="1043"/>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C60ABB">
        <w:rPr>
          <w:rFonts w:ascii="Palatino Linotype" w:eastAsia="Palatino Linotype" w:hAnsi="Palatino Linotype" w:cs="Palatino Linotype"/>
          <w:i/>
          <w:sz w:val="22"/>
          <w:szCs w:val="22"/>
        </w:rPr>
        <w:t>, la cual tendrá los fundamentos y argumentos en que se basa dicha propuesta…” (Sic)</w:t>
      </w:r>
    </w:p>
    <w:p w14:paraId="77FBADFC" w14:textId="77777777" w:rsidR="004E626C" w:rsidRPr="00C60ABB" w:rsidRDefault="004E626C">
      <w:pPr>
        <w:ind w:left="992" w:right="1043"/>
        <w:jc w:val="both"/>
        <w:rPr>
          <w:rFonts w:ascii="Palatino Linotype" w:eastAsia="Palatino Linotype" w:hAnsi="Palatino Linotype" w:cs="Palatino Linotype"/>
          <w:i/>
          <w:sz w:val="22"/>
          <w:szCs w:val="22"/>
        </w:rPr>
      </w:pPr>
    </w:p>
    <w:p w14:paraId="0D4E8719" w14:textId="77777777" w:rsidR="004E626C" w:rsidRPr="00C60ABB" w:rsidRDefault="005C42B7">
      <w:pPr>
        <w:spacing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8A188F3" w14:textId="77777777" w:rsidR="004E626C" w:rsidRPr="00C60ABB" w:rsidRDefault="004E626C">
      <w:pPr>
        <w:spacing w:line="360" w:lineRule="auto"/>
        <w:jc w:val="both"/>
        <w:rPr>
          <w:rFonts w:ascii="Palatino Linotype" w:eastAsia="Palatino Linotype" w:hAnsi="Palatino Linotype" w:cs="Palatino Linotype"/>
        </w:rPr>
      </w:pPr>
    </w:p>
    <w:p w14:paraId="080F94F8" w14:textId="77777777" w:rsidR="004E626C" w:rsidRPr="00C60ABB" w:rsidRDefault="005C42B7">
      <w:pPr>
        <w:spacing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lastRenderedPageBreak/>
        <w:t>Para lo cual, a su vez en el caso de información de carácter confidencial, se debe atender a lo que señala el artículo 149 de la Ley de Transparencia Local vigente, que se lee como sigue:</w:t>
      </w:r>
    </w:p>
    <w:p w14:paraId="58D29488" w14:textId="77777777" w:rsidR="004E626C" w:rsidRPr="00C60ABB" w:rsidRDefault="004E626C">
      <w:pPr>
        <w:spacing w:line="360" w:lineRule="auto"/>
        <w:jc w:val="both"/>
        <w:rPr>
          <w:rFonts w:ascii="Palatino Linotype" w:eastAsia="Palatino Linotype" w:hAnsi="Palatino Linotype" w:cs="Palatino Linotype"/>
        </w:rPr>
      </w:pPr>
    </w:p>
    <w:p w14:paraId="21990637" w14:textId="77777777" w:rsidR="004E626C" w:rsidRPr="00C60ABB" w:rsidRDefault="005C42B7">
      <w:pPr>
        <w:spacing w:after="240"/>
        <w:ind w:left="993" w:right="1041"/>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w:t>
      </w:r>
      <w:r w:rsidRPr="00C60ABB">
        <w:rPr>
          <w:rFonts w:ascii="Palatino Linotype" w:eastAsia="Palatino Linotype" w:hAnsi="Palatino Linotype" w:cs="Palatino Linotype"/>
          <w:b/>
          <w:i/>
          <w:sz w:val="22"/>
          <w:szCs w:val="22"/>
        </w:rPr>
        <w:t>Artículo 149.</w:t>
      </w:r>
      <w:r w:rsidRPr="00C60ABB">
        <w:rPr>
          <w:rFonts w:ascii="Palatino Linotype" w:eastAsia="Palatino Linotype" w:hAnsi="Palatino Linotype" w:cs="Palatino Linotype"/>
          <w:i/>
          <w:sz w:val="22"/>
          <w:szCs w:val="22"/>
        </w:rPr>
        <w:t xml:space="preserve"> El </w:t>
      </w:r>
      <w:r w:rsidRPr="00C60ABB">
        <w:rPr>
          <w:rFonts w:ascii="Palatino Linotype" w:eastAsia="Palatino Linotype" w:hAnsi="Palatino Linotype" w:cs="Palatino Linotype"/>
          <w:b/>
          <w:i/>
          <w:sz w:val="22"/>
          <w:szCs w:val="22"/>
        </w:rPr>
        <w:t>acuerdo que clasifique la información como confidencial</w:t>
      </w:r>
      <w:r w:rsidRPr="00C60ABB">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roofErr w:type="gramStart"/>
      <w:r w:rsidRPr="00C60ABB">
        <w:rPr>
          <w:rFonts w:ascii="Palatino Linotype" w:eastAsia="Palatino Linotype" w:hAnsi="Palatino Linotype" w:cs="Palatino Linotype"/>
          <w:i/>
          <w:sz w:val="22"/>
          <w:szCs w:val="22"/>
        </w:rPr>
        <w:t>.”(</w:t>
      </w:r>
      <w:proofErr w:type="gramEnd"/>
      <w:r w:rsidRPr="00C60ABB">
        <w:rPr>
          <w:rFonts w:ascii="Palatino Linotype" w:eastAsia="Palatino Linotype" w:hAnsi="Palatino Linotype" w:cs="Palatino Linotype"/>
          <w:i/>
          <w:sz w:val="22"/>
          <w:szCs w:val="22"/>
        </w:rPr>
        <w:t>Sic)</w:t>
      </w:r>
    </w:p>
    <w:p w14:paraId="06903989" w14:textId="77777777" w:rsidR="004E626C" w:rsidRPr="00C60ABB" w:rsidRDefault="004E626C">
      <w:pPr>
        <w:spacing w:before="240" w:line="360" w:lineRule="auto"/>
        <w:ind w:right="51"/>
        <w:jc w:val="both"/>
        <w:rPr>
          <w:rFonts w:ascii="Palatino Linotype" w:eastAsia="Palatino Linotype" w:hAnsi="Palatino Linotype" w:cs="Palatino Linotype"/>
          <w:i/>
          <w:sz w:val="22"/>
          <w:szCs w:val="22"/>
        </w:rPr>
      </w:pPr>
    </w:p>
    <w:p w14:paraId="65FBF02B" w14:textId="77777777" w:rsidR="004E626C" w:rsidRPr="00C60ABB" w:rsidRDefault="005C42B7">
      <w:pPr>
        <w:spacing w:line="360" w:lineRule="auto"/>
        <w:ind w:right="51"/>
        <w:jc w:val="both"/>
        <w:rPr>
          <w:rFonts w:ascii="Palatino Linotype" w:eastAsia="Palatino Linotype" w:hAnsi="Palatino Linotype" w:cs="Palatino Linotype"/>
        </w:rPr>
      </w:pPr>
      <w:r w:rsidRPr="00C60ABB">
        <w:rPr>
          <w:rFonts w:ascii="Palatino Linotype" w:eastAsia="Palatino Linotype" w:hAnsi="Palatino Linotype" w:cs="Palatino Linotype"/>
        </w:rPr>
        <w:t xml:space="preserve">Es decir, el </w:t>
      </w:r>
      <w:r w:rsidRPr="00C60ABB">
        <w:rPr>
          <w:rFonts w:ascii="Palatino Linotype" w:eastAsia="Palatino Linotype" w:hAnsi="Palatino Linotype" w:cs="Palatino Linotype"/>
          <w:b/>
        </w:rPr>
        <w:t>SUJETO OBLIGADO</w:t>
      </w:r>
      <w:r w:rsidRPr="00C60ABB">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0D3992B1" w14:textId="77777777" w:rsidR="004E626C" w:rsidRPr="00C60ABB" w:rsidRDefault="004E626C">
      <w:pPr>
        <w:spacing w:line="360" w:lineRule="auto"/>
        <w:ind w:right="51"/>
        <w:jc w:val="both"/>
        <w:rPr>
          <w:rFonts w:ascii="Palatino Linotype" w:eastAsia="Palatino Linotype" w:hAnsi="Palatino Linotype" w:cs="Palatino Linotype"/>
        </w:rPr>
      </w:pPr>
    </w:p>
    <w:p w14:paraId="74BD4772" w14:textId="77777777" w:rsidR="004E626C" w:rsidRPr="00C60ABB" w:rsidRDefault="005C42B7">
      <w:pPr>
        <w:spacing w:line="360" w:lineRule="auto"/>
        <w:ind w:right="-93"/>
        <w:jc w:val="both"/>
        <w:rPr>
          <w:rFonts w:ascii="Palatino Linotype" w:eastAsia="Palatino Linotype" w:hAnsi="Palatino Linotype" w:cs="Palatino Linotype"/>
        </w:rPr>
      </w:pPr>
      <w:r w:rsidRPr="00C60ABB">
        <w:rPr>
          <w:rFonts w:ascii="Palatino Linotype" w:eastAsia="Palatino Linotype" w:hAnsi="Palatino Linotype" w:cs="Palatino Linotype"/>
        </w:rPr>
        <w:t>En cuanto a la firma, la real Academia Española lo establece como “</w:t>
      </w:r>
      <w:r w:rsidRPr="00C60ABB">
        <w:rPr>
          <w:rFonts w:ascii="Palatino Linotype" w:eastAsia="Palatino Linotype" w:hAnsi="Palatino Linotype" w:cs="Palatino Linotype"/>
          <w:color w:val="000000"/>
        </w:rPr>
        <w:t>Rasgo o conjunto de rasgos, realizados siempre de la misma manera, que identifican a una persona y sustituyen a su nombre y apellidos para aprobar o dar autenticidad a un documento”, en ese sentido, se trata de un dato personal.</w:t>
      </w:r>
    </w:p>
    <w:p w14:paraId="1C6AD4A1" w14:textId="77777777" w:rsidR="004E626C" w:rsidRPr="00C60ABB" w:rsidRDefault="004E626C">
      <w:pPr>
        <w:pBdr>
          <w:top w:val="nil"/>
          <w:left w:val="nil"/>
          <w:bottom w:val="nil"/>
          <w:right w:val="nil"/>
          <w:between w:val="nil"/>
        </w:pBdr>
        <w:ind w:left="720"/>
        <w:jc w:val="both"/>
        <w:rPr>
          <w:rFonts w:ascii="Palatino Linotype" w:eastAsia="Palatino Linotype" w:hAnsi="Palatino Linotype" w:cs="Palatino Linotype"/>
          <w:color w:val="000000"/>
        </w:rPr>
      </w:pPr>
    </w:p>
    <w:p w14:paraId="496BF3D6" w14:textId="77777777" w:rsidR="004E626C" w:rsidRPr="00C60ABB" w:rsidRDefault="005C42B7">
      <w:pPr>
        <w:spacing w:line="360" w:lineRule="auto"/>
        <w:ind w:right="-93"/>
        <w:jc w:val="both"/>
        <w:rPr>
          <w:rFonts w:ascii="Palatino Linotype" w:eastAsia="Palatino Linotype" w:hAnsi="Palatino Linotype" w:cs="Palatino Linotype"/>
          <w:color w:val="000000"/>
        </w:rPr>
      </w:pPr>
      <w:r w:rsidRPr="00C60ABB">
        <w:rPr>
          <w:rFonts w:ascii="Palatino Linotype" w:eastAsia="Palatino Linotype" w:hAnsi="Palatino Linotype" w:cs="Palatino Linotype"/>
          <w:color w:val="000000"/>
        </w:rPr>
        <w:lastRenderedPageBreak/>
        <w:t>Ahora bien, tratándose de servidores públicos el Criterio SO/002/2019, emitido por el Instituto Nacional de Transparencia, Acceso a la Información y Protección de Datos Personales, establece lo siguiente:</w:t>
      </w:r>
    </w:p>
    <w:p w14:paraId="4D76404B" w14:textId="77777777" w:rsidR="004E626C" w:rsidRPr="00C60ABB" w:rsidRDefault="004E626C">
      <w:pPr>
        <w:spacing w:line="360" w:lineRule="auto"/>
        <w:ind w:right="49"/>
        <w:jc w:val="both"/>
        <w:rPr>
          <w:rFonts w:ascii="Palatino Linotype" w:eastAsia="Palatino Linotype" w:hAnsi="Palatino Linotype" w:cs="Palatino Linotype"/>
        </w:rPr>
      </w:pPr>
    </w:p>
    <w:p w14:paraId="4C8D5822" w14:textId="77777777" w:rsidR="004E626C" w:rsidRPr="00C60ABB" w:rsidRDefault="005C42B7">
      <w:pPr>
        <w:ind w:left="851" w:right="822"/>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p>
    <w:p w14:paraId="657AF6DA" w14:textId="77777777" w:rsidR="004E626C" w:rsidRPr="00C60ABB" w:rsidRDefault="004E626C">
      <w:pPr>
        <w:spacing w:line="360" w:lineRule="auto"/>
        <w:ind w:right="49"/>
        <w:jc w:val="both"/>
        <w:rPr>
          <w:rFonts w:ascii="Palatino Linotype" w:eastAsia="Palatino Linotype" w:hAnsi="Palatino Linotype" w:cs="Palatino Linotype"/>
        </w:rPr>
      </w:pPr>
    </w:p>
    <w:p w14:paraId="395CF59E" w14:textId="77777777" w:rsidR="004E626C" w:rsidRPr="00C60ABB" w:rsidRDefault="005C42B7">
      <w:pPr>
        <w:spacing w:line="360" w:lineRule="auto"/>
        <w:ind w:right="-93"/>
        <w:jc w:val="both"/>
        <w:rPr>
          <w:rFonts w:ascii="Palatino Linotype" w:eastAsia="Palatino Linotype" w:hAnsi="Palatino Linotype" w:cs="Palatino Linotype"/>
          <w:color w:val="000000"/>
        </w:rPr>
      </w:pPr>
      <w:r w:rsidRPr="00C60ABB">
        <w:rPr>
          <w:rFonts w:ascii="Palatino Linotype" w:eastAsia="Palatino Linotype" w:hAnsi="Palatino Linotype" w:cs="Palatino Linotype"/>
          <w:color w:val="000000"/>
        </w:rPr>
        <w:t xml:space="preserve">Como ya lo refiere el Criterio señalado, la firma es un dato personal confidencial y solo será publica para el caso de los servidores públicos en el ejercicio de sus funciones. </w:t>
      </w:r>
    </w:p>
    <w:p w14:paraId="3E4781DE" w14:textId="77777777" w:rsidR="004E626C" w:rsidRPr="00C60ABB" w:rsidRDefault="004E626C">
      <w:pPr>
        <w:spacing w:line="360" w:lineRule="auto"/>
        <w:jc w:val="both"/>
        <w:rPr>
          <w:rFonts w:ascii="Palatino Linotype" w:eastAsia="Palatino Linotype" w:hAnsi="Palatino Linotype" w:cs="Palatino Linotype"/>
        </w:rPr>
      </w:pPr>
    </w:p>
    <w:p w14:paraId="584E08D3" w14:textId="77777777" w:rsidR="004E626C" w:rsidRPr="00C60ABB" w:rsidRDefault="005C42B7">
      <w:pPr>
        <w:spacing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14:paraId="44B56510" w14:textId="77777777" w:rsidR="004E626C" w:rsidRPr="00C60ABB" w:rsidRDefault="004E626C">
      <w:pPr>
        <w:spacing w:line="360" w:lineRule="auto"/>
        <w:ind w:right="50"/>
        <w:jc w:val="both"/>
        <w:rPr>
          <w:rFonts w:ascii="Palatino Linotype" w:eastAsia="Palatino Linotype" w:hAnsi="Palatino Linotype" w:cs="Palatino Linotype"/>
        </w:rPr>
      </w:pPr>
    </w:p>
    <w:p w14:paraId="7DF2EB8E" w14:textId="77777777" w:rsidR="004E626C" w:rsidRPr="00C60ABB" w:rsidRDefault="005C42B7">
      <w:pPr>
        <w:spacing w:line="360" w:lineRule="auto"/>
        <w:ind w:right="51"/>
        <w:jc w:val="both"/>
        <w:rPr>
          <w:rFonts w:ascii="Palatino Linotype" w:eastAsia="Palatino Linotype" w:hAnsi="Palatino Linotype" w:cs="Palatino Linotype"/>
        </w:rPr>
      </w:pPr>
      <w:r w:rsidRPr="00C60ABB">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6B439122" w14:textId="77777777" w:rsidR="004E626C" w:rsidRPr="00C60ABB" w:rsidRDefault="004E626C">
      <w:pPr>
        <w:spacing w:line="360" w:lineRule="auto"/>
        <w:ind w:right="51"/>
        <w:jc w:val="both"/>
        <w:rPr>
          <w:rFonts w:ascii="Palatino Linotype" w:eastAsia="Palatino Linotype" w:hAnsi="Palatino Linotype" w:cs="Palatino Linotype"/>
        </w:rPr>
      </w:pPr>
    </w:p>
    <w:p w14:paraId="1A23AA95" w14:textId="77777777" w:rsidR="004E626C" w:rsidRPr="00C60ABB" w:rsidRDefault="005C42B7">
      <w:pPr>
        <w:spacing w:line="360" w:lineRule="auto"/>
        <w:ind w:right="50"/>
        <w:jc w:val="both"/>
        <w:rPr>
          <w:rFonts w:ascii="Palatino Linotype" w:eastAsia="Palatino Linotype" w:hAnsi="Palatino Linotype" w:cs="Palatino Linotype"/>
        </w:rPr>
      </w:pPr>
      <w:r w:rsidRPr="00C60ABB">
        <w:rPr>
          <w:rFonts w:ascii="Palatino Linotype" w:eastAsia="Palatino Linotype" w:hAnsi="Palatino Linotype" w:cs="Palatino Linotype"/>
        </w:rPr>
        <w:t>Lo anterior encuentra sustento en el criterio 10/17 emitido por el Instituto Nacional de Transparencia y Acceso a la Información Pública del Estado de México y Municipios, que a la letra dicen:</w:t>
      </w:r>
    </w:p>
    <w:p w14:paraId="6553D8E3" w14:textId="77777777" w:rsidR="004E626C" w:rsidRPr="00C60ABB" w:rsidRDefault="004E626C">
      <w:pPr>
        <w:ind w:right="50"/>
        <w:jc w:val="both"/>
        <w:rPr>
          <w:rFonts w:ascii="Palatino Linotype" w:eastAsia="Palatino Linotype" w:hAnsi="Palatino Linotype" w:cs="Palatino Linotype"/>
        </w:rPr>
      </w:pPr>
    </w:p>
    <w:p w14:paraId="5CB47699" w14:textId="77777777" w:rsidR="004E626C" w:rsidRPr="00C60ABB" w:rsidRDefault="005C42B7">
      <w:pPr>
        <w:ind w:left="851" w:right="1134"/>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b/>
          <w:i/>
          <w:sz w:val="22"/>
          <w:szCs w:val="22"/>
        </w:rPr>
        <w:t>“Cuentas bancarias y/o CLABE interbancaria de personas físicas y morales privadas.</w:t>
      </w:r>
      <w:r w:rsidRPr="00C60ABB">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1236A845" w14:textId="77777777" w:rsidR="004E626C" w:rsidRPr="00C60ABB" w:rsidRDefault="004E626C">
      <w:pPr>
        <w:ind w:left="851" w:right="899"/>
        <w:jc w:val="center"/>
        <w:rPr>
          <w:rFonts w:ascii="Palatino Linotype" w:eastAsia="Palatino Linotype" w:hAnsi="Palatino Linotype" w:cs="Palatino Linotype"/>
          <w:b/>
          <w:i/>
          <w:sz w:val="22"/>
          <w:szCs w:val="22"/>
        </w:rPr>
      </w:pPr>
    </w:p>
    <w:p w14:paraId="55E22CFE" w14:textId="77777777" w:rsidR="004E626C" w:rsidRPr="00C60ABB" w:rsidRDefault="005C42B7">
      <w:pPr>
        <w:spacing w:line="360" w:lineRule="auto"/>
        <w:ind w:right="50"/>
        <w:jc w:val="both"/>
        <w:rPr>
          <w:rFonts w:ascii="Palatino Linotype" w:eastAsia="Palatino Linotype" w:hAnsi="Palatino Linotype" w:cs="Palatino Linotype"/>
        </w:rPr>
      </w:pPr>
      <w:r w:rsidRPr="00C60ABB">
        <w:rPr>
          <w:rFonts w:ascii="Palatino Linotype" w:eastAsia="Palatino Linotype" w:hAnsi="Palatino Linotype" w:cs="Palatino Linotype"/>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14:paraId="60E4E284" w14:textId="77777777" w:rsidR="004E626C" w:rsidRPr="00C60ABB" w:rsidRDefault="004E626C">
      <w:pPr>
        <w:ind w:right="50"/>
        <w:jc w:val="both"/>
        <w:rPr>
          <w:rFonts w:ascii="Palatino Linotype" w:eastAsia="Palatino Linotype" w:hAnsi="Palatino Linotype" w:cs="Palatino Linotype"/>
        </w:rPr>
      </w:pPr>
    </w:p>
    <w:p w14:paraId="47D2BE6A" w14:textId="77777777" w:rsidR="004E626C" w:rsidRPr="00C60ABB" w:rsidRDefault="005C42B7">
      <w:pPr>
        <w:ind w:left="851" w:right="1134"/>
        <w:jc w:val="both"/>
        <w:rPr>
          <w:rFonts w:ascii="Palatino Linotype" w:eastAsia="Palatino Linotype" w:hAnsi="Palatino Linotype" w:cs="Palatino Linotype"/>
          <w:i/>
          <w:sz w:val="22"/>
          <w:szCs w:val="22"/>
        </w:rPr>
      </w:pPr>
      <w:r w:rsidRPr="00C60ABB">
        <w:rPr>
          <w:rFonts w:ascii="Palatino Linotype" w:eastAsia="Palatino Linotype" w:hAnsi="Palatino Linotype" w:cs="Palatino Linotype"/>
          <w:i/>
          <w:sz w:val="22"/>
          <w:szCs w:val="22"/>
        </w:rPr>
        <w:t>“</w:t>
      </w:r>
      <w:r w:rsidRPr="00C60ABB">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C60ABB">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7ADFC7E3" w14:textId="77777777" w:rsidR="004E626C" w:rsidRPr="00C60ABB" w:rsidRDefault="005C42B7">
      <w:pPr>
        <w:spacing w:before="240" w:after="240" w:line="360" w:lineRule="auto"/>
        <w:ind w:right="50"/>
        <w:jc w:val="both"/>
        <w:rPr>
          <w:rFonts w:ascii="Palatino Linotype" w:eastAsia="Palatino Linotype" w:hAnsi="Palatino Linotype" w:cs="Palatino Linotype"/>
        </w:rPr>
      </w:pPr>
      <w:r w:rsidRPr="00C60ABB">
        <w:rPr>
          <w:rFonts w:ascii="Palatino Linotype" w:eastAsia="Palatino Linotype" w:hAnsi="Palatino Linotype" w:cs="Palatino Linotype"/>
        </w:rPr>
        <w:t xml:space="preserve">Sobre el RFC, dada la naturaleza de la información que se ordena, es importante resaltar que, si bien este Instituto ha sostenido que el RFC y domicilio de las personas físicas debe ser testado por los Sujetos Obligados, en las versiones públicas </w:t>
      </w:r>
      <w:r w:rsidRPr="00C60ABB">
        <w:rPr>
          <w:rFonts w:ascii="Palatino Linotype" w:eastAsia="Palatino Linotype" w:hAnsi="Palatino Linotype" w:cs="Palatino Linotype"/>
        </w:rPr>
        <w:lastRenderedPageBreak/>
        <w:t>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7604586E" w14:textId="77777777" w:rsidR="004E626C" w:rsidRPr="00C60ABB" w:rsidRDefault="005C42B7">
      <w:pPr>
        <w:spacing w:before="240" w:after="240" w:line="360" w:lineRule="auto"/>
        <w:ind w:right="50"/>
        <w:jc w:val="both"/>
        <w:rPr>
          <w:rFonts w:ascii="Palatino Linotype" w:eastAsia="Palatino Linotype" w:hAnsi="Palatino Linotype" w:cs="Palatino Linotype"/>
        </w:rPr>
      </w:pPr>
      <w:r w:rsidRPr="00C60ABB">
        <w:rPr>
          <w:rFonts w:ascii="Palatino Linotype" w:eastAsia="Palatino Linotype" w:hAnsi="Palatino Linotype" w:cs="Palatino Linotype"/>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1FC175AA" w14:textId="77777777" w:rsidR="004E626C" w:rsidRPr="00C60ABB" w:rsidRDefault="005C42B7">
      <w:pPr>
        <w:spacing w:before="240" w:after="240" w:line="360" w:lineRule="auto"/>
        <w:ind w:right="50"/>
        <w:jc w:val="both"/>
        <w:rPr>
          <w:rFonts w:ascii="Palatino Linotype" w:eastAsia="Palatino Linotype" w:hAnsi="Palatino Linotype" w:cs="Palatino Linotype"/>
        </w:rPr>
      </w:pPr>
      <w:r w:rsidRPr="00C60ABB">
        <w:rPr>
          <w:rFonts w:ascii="Palatino Linotype" w:eastAsia="Palatino Linotype" w:hAnsi="Palatino Linotype" w:cs="Palatino Linotype"/>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5BCBBE6B" w14:textId="77777777" w:rsidR="004E626C" w:rsidRPr="00C60ABB" w:rsidRDefault="005C42B7">
      <w:pPr>
        <w:spacing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 xml:space="preserve">Al respecto, se destaca que la versión pública que elabore el </w:t>
      </w:r>
      <w:r w:rsidRPr="00C60ABB">
        <w:rPr>
          <w:rFonts w:ascii="Palatino Linotype" w:eastAsia="Palatino Linotype" w:hAnsi="Palatino Linotype" w:cs="Palatino Linotype"/>
          <w:b/>
        </w:rPr>
        <w:t>SUJETO OBLIGADO</w:t>
      </w:r>
      <w:r w:rsidRPr="00C60ABB">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w:t>
      </w:r>
      <w:r w:rsidRPr="00C60ABB">
        <w:rPr>
          <w:rFonts w:ascii="Palatino Linotype" w:eastAsia="Palatino Linotype" w:hAnsi="Palatino Linotype" w:cs="Palatino Linotype"/>
        </w:rPr>
        <w:lastRenderedPageBreak/>
        <w:t xml:space="preserve">de la Ley de Transparencia y Acceso a la Información Pública del Estado de México y Municipios, ya expuesto; así como con los numerales aplicables de los </w:t>
      </w:r>
      <w:r w:rsidRPr="00C60ABB">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C60ABB">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3254E989" w14:textId="77777777" w:rsidR="004E626C" w:rsidRPr="00C60ABB" w:rsidRDefault="004E626C">
      <w:pPr>
        <w:ind w:left="709" w:right="709"/>
        <w:jc w:val="both"/>
        <w:rPr>
          <w:rFonts w:ascii="Palatino Linotype" w:eastAsia="Palatino Linotype" w:hAnsi="Palatino Linotype" w:cs="Palatino Linotype"/>
          <w:b/>
          <w:i/>
          <w:sz w:val="22"/>
          <w:szCs w:val="22"/>
        </w:rPr>
      </w:pPr>
    </w:p>
    <w:p w14:paraId="7E8FFE5D" w14:textId="77777777" w:rsidR="004E626C" w:rsidRPr="00C60ABB" w:rsidRDefault="005C42B7">
      <w:pPr>
        <w:pBdr>
          <w:top w:val="nil"/>
          <w:left w:val="nil"/>
          <w:bottom w:val="nil"/>
          <w:right w:val="nil"/>
          <w:between w:val="nil"/>
        </w:pBdr>
        <w:ind w:left="709" w:right="709"/>
        <w:jc w:val="both"/>
        <w:rPr>
          <w:color w:val="000000"/>
        </w:rPr>
      </w:pPr>
      <w:r w:rsidRPr="00C60ABB">
        <w:rPr>
          <w:rFonts w:ascii="Palatino Linotype" w:eastAsia="Palatino Linotype" w:hAnsi="Palatino Linotype" w:cs="Palatino Linotype"/>
          <w:b/>
          <w:i/>
          <w:color w:val="000000"/>
          <w:sz w:val="22"/>
          <w:szCs w:val="22"/>
        </w:rPr>
        <w:t>“Lineamientos Generales en materia de Clasificación y Desclasificación de la Información, así como para la elaboración de Versiones Públicas</w:t>
      </w:r>
    </w:p>
    <w:p w14:paraId="751E2E91" w14:textId="77777777" w:rsidR="004E626C" w:rsidRPr="00C60ABB" w:rsidRDefault="005C42B7">
      <w:pPr>
        <w:pBdr>
          <w:top w:val="nil"/>
          <w:left w:val="nil"/>
          <w:bottom w:val="nil"/>
          <w:right w:val="nil"/>
          <w:between w:val="nil"/>
        </w:pBdr>
        <w:ind w:left="709" w:right="709"/>
        <w:jc w:val="both"/>
        <w:rPr>
          <w:color w:val="000000"/>
        </w:rPr>
      </w:pPr>
      <w:r w:rsidRPr="00C60ABB">
        <w:rPr>
          <w:rFonts w:ascii="Palatino Linotype" w:eastAsia="Palatino Linotype" w:hAnsi="Palatino Linotype" w:cs="Palatino Linotype"/>
          <w:i/>
          <w:color w:val="000000"/>
          <w:sz w:val="22"/>
          <w:szCs w:val="22"/>
        </w:rPr>
        <w:t>“</w:t>
      </w:r>
      <w:proofErr w:type="gramStart"/>
      <w:r w:rsidRPr="00C60ABB">
        <w:rPr>
          <w:rFonts w:ascii="Palatino Linotype" w:eastAsia="Palatino Linotype" w:hAnsi="Palatino Linotype" w:cs="Palatino Linotype"/>
          <w:b/>
          <w:i/>
          <w:color w:val="000000"/>
          <w:sz w:val="22"/>
          <w:szCs w:val="22"/>
        </w:rPr>
        <w:t>Segundo.-</w:t>
      </w:r>
      <w:proofErr w:type="gramEnd"/>
      <w:r w:rsidRPr="00C60ABB">
        <w:rPr>
          <w:rFonts w:ascii="Palatino Linotype" w:eastAsia="Palatino Linotype" w:hAnsi="Palatino Linotype" w:cs="Palatino Linotype"/>
          <w:i/>
          <w:color w:val="000000"/>
          <w:sz w:val="22"/>
          <w:szCs w:val="22"/>
        </w:rPr>
        <w:t xml:space="preserve"> Para efectos de los presentes Lineamientos Generales, se entenderá por:</w:t>
      </w:r>
    </w:p>
    <w:p w14:paraId="21ED6963" w14:textId="77777777" w:rsidR="004E626C" w:rsidRPr="00C60ABB" w:rsidRDefault="005C42B7">
      <w:pPr>
        <w:pBdr>
          <w:top w:val="nil"/>
          <w:left w:val="nil"/>
          <w:bottom w:val="nil"/>
          <w:right w:val="nil"/>
          <w:between w:val="nil"/>
        </w:pBdr>
        <w:ind w:left="709" w:right="709"/>
        <w:jc w:val="both"/>
        <w:rPr>
          <w:color w:val="000000"/>
        </w:rPr>
      </w:pPr>
      <w:r w:rsidRPr="00C60ABB">
        <w:rPr>
          <w:rFonts w:ascii="Palatino Linotype" w:eastAsia="Palatino Linotype" w:hAnsi="Palatino Linotype" w:cs="Palatino Linotype"/>
          <w:b/>
          <w:i/>
          <w:color w:val="000000"/>
          <w:sz w:val="22"/>
          <w:szCs w:val="22"/>
        </w:rPr>
        <w:t>XVIII.</w:t>
      </w:r>
      <w:r w:rsidRPr="00C60ABB">
        <w:rPr>
          <w:rFonts w:ascii="Palatino Linotype" w:eastAsia="Palatino Linotype" w:hAnsi="Palatino Linotype" w:cs="Palatino Linotype"/>
          <w:i/>
          <w:color w:val="000000"/>
          <w:sz w:val="22"/>
          <w:szCs w:val="22"/>
        </w:rPr>
        <w:t xml:space="preserve"> </w:t>
      </w:r>
      <w:r w:rsidRPr="00C60ABB">
        <w:rPr>
          <w:rFonts w:ascii="Palatino Linotype" w:eastAsia="Palatino Linotype" w:hAnsi="Palatino Linotype" w:cs="Palatino Linotype"/>
          <w:b/>
          <w:i/>
          <w:color w:val="000000"/>
          <w:sz w:val="22"/>
          <w:szCs w:val="22"/>
        </w:rPr>
        <w:t>Versión pública:</w:t>
      </w:r>
      <w:r w:rsidRPr="00C60ABB">
        <w:rPr>
          <w:rFonts w:ascii="Palatino Linotype" w:eastAsia="Palatino Linotype" w:hAnsi="Palatino Linotype" w:cs="Palatino Linotype"/>
          <w:i/>
          <w:color w:val="000000"/>
          <w:sz w:val="22"/>
          <w:szCs w:val="22"/>
        </w:rPr>
        <w:t xml:space="preserve"> El documento a partir del que se otorga acceso a la información, en el que se testan partes o secciones clasificadas, indicando el contenido de éstas de manera genérica, </w:t>
      </w:r>
      <w:r w:rsidRPr="00C60ABB">
        <w:rPr>
          <w:rFonts w:ascii="Palatino Linotype" w:eastAsia="Palatino Linotype" w:hAnsi="Palatino Linotype" w:cs="Palatino Linotype"/>
          <w:b/>
          <w:i/>
          <w:color w:val="000000"/>
          <w:sz w:val="22"/>
          <w:szCs w:val="22"/>
          <w:u w:val="single"/>
        </w:rPr>
        <w:t>fundando y motivando la</w:t>
      </w:r>
      <w:r w:rsidRPr="00C60ABB">
        <w:rPr>
          <w:rFonts w:ascii="Palatino Linotype" w:eastAsia="Palatino Linotype" w:hAnsi="Palatino Linotype" w:cs="Palatino Linotype"/>
          <w:i/>
          <w:color w:val="000000"/>
          <w:sz w:val="22"/>
          <w:szCs w:val="22"/>
        </w:rPr>
        <w:t xml:space="preserve"> reserva o </w:t>
      </w:r>
      <w:r w:rsidRPr="00C60ABB">
        <w:rPr>
          <w:rFonts w:ascii="Palatino Linotype" w:eastAsia="Palatino Linotype" w:hAnsi="Palatino Linotype" w:cs="Palatino Linotype"/>
          <w:b/>
          <w:i/>
          <w:color w:val="000000"/>
          <w:sz w:val="22"/>
          <w:szCs w:val="22"/>
          <w:u w:val="single"/>
        </w:rPr>
        <w:t>confidencialidad</w:t>
      </w:r>
      <w:r w:rsidRPr="00C60ABB">
        <w:rPr>
          <w:rFonts w:ascii="Palatino Linotype" w:eastAsia="Palatino Linotype" w:hAnsi="Palatino Linotype" w:cs="Palatino Linotype"/>
          <w:i/>
          <w:color w:val="000000"/>
          <w:sz w:val="22"/>
          <w:szCs w:val="22"/>
        </w:rPr>
        <w:t>, a través de la resolución que para tal efecto emita el Comité de Transparencia.</w:t>
      </w:r>
    </w:p>
    <w:p w14:paraId="2BF0C66B" w14:textId="77777777" w:rsidR="004E626C" w:rsidRPr="00C60ABB" w:rsidRDefault="005C42B7">
      <w:pPr>
        <w:pBdr>
          <w:top w:val="nil"/>
          <w:left w:val="nil"/>
          <w:bottom w:val="nil"/>
          <w:right w:val="nil"/>
          <w:between w:val="nil"/>
        </w:pBdr>
        <w:ind w:left="709" w:right="709"/>
        <w:jc w:val="both"/>
        <w:rPr>
          <w:color w:val="000000"/>
        </w:rPr>
      </w:pPr>
      <w:r w:rsidRPr="00C60ABB">
        <w:rPr>
          <w:rFonts w:ascii="Palatino Linotype" w:eastAsia="Palatino Linotype" w:hAnsi="Palatino Linotype" w:cs="Palatino Linotype"/>
          <w:b/>
          <w:i/>
          <w:color w:val="000000"/>
          <w:sz w:val="22"/>
          <w:szCs w:val="22"/>
        </w:rPr>
        <w:t>Cuarto.</w:t>
      </w:r>
      <w:r w:rsidRPr="00C60ABB">
        <w:rPr>
          <w:rFonts w:ascii="Palatino Linotype" w:eastAsia="Palatino Linotype" w:hAnsi="Palatino Linotype" w:cs="Palatino Linotype"/>
          <w:i/>
          <w:color w:val="000000"/>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EF8CD56" w14:textId="77777777" w:rsidR="004E626C" w:rsidRPr="00C60ABB" w:rsidRDefault="005C42B7">
      <w:pPr>
        <w:pBdr>
          <w:top w:val="nil"/>
          <w:left w:val="nil"/>
          <w:bottom w:val="nil"/>
          <w:right w:val="nil"/>
          <w:between w:val="nil"/>
        </w:pBdr>
        <w:ind w:left="709" w:right="709"/>
        <w:jc w:val="both"/>
        <w:rPr>
          <w:color w:val="000000"/>
        </w:rPr>
      </w:pPr>
      <w:r w:rsidRPr="00C60ABB">
        <w:rPr>
          <w:rFonts w:ascii="Palatino Linotype" w:eastAsia="Palatino Linotype" w:hAnsi="Palatino Linotype" w:cs="Palatino Linotype"/>
          <w:i/>
          <w:color w:val="000000"/>
          <w:sz w:val="22"/>
          <w:szCs w:val="22"/>
        </w:rPr>
        <w:t>Los sujetos obligados deberán aplicar, de manera estricta, las excepciones al derecho de acceso a la información y sólo podrán invocarlas cuando acrediten su procedencia.</w:t>
      </w:r>
    </w:p>
    <w:p w14:paraId="39EA4D9C" w14:textId="77777777" w:rsidR="004E626C" w:rsidRPr="00C60ABB" w:rsidRDefault="005C42B7">
      <w:pPr>
        <w:pBdr>
          <w:top w:val="nil"/>
          <w:left w:val="nil"/>
          <w:bottom w:val="nil"/>
          <w:right w:val="nil"/>
          <w:between w:val="nil"/>
        </w:pBdr>
        <w:ind w:left="709" w:right="709"/>
        <w:jc w:val="both"/>
        <w:rPr>
          <w:color w:val="000000"/>
        </w:rPr>
      </w:pPr>
      <w:r w:rsidRPr="00C60ABB">
        <w:rPr>
          <w:rFonts w:ascii="Palatino Linotype" w:eastAsia="Palatino Linotype" w:hAnsi="Palatino Linotype" w:cs="Palatino Linotype"/>
          <w:b/>
          <w:i/>
          <w:color w:val="000000"/>
          <w:sz w:val="22"/>
          <w:szCs w:val="22"/>
        </w:rPr>
        <w:t>Quinto.</w:t>
      </w:r>
      <w:r w:rsidRPr="00C60ABB">
        <w:rPr>
          <w:rFonts w:ascii="Palatino Linotype" w:eastAsia="Palatino Linotype" w:hAnsi="Palatino Linotype" w:cs="Palatino Linotype"/>
          <w:i/>
          <w:color w:val="000000"/>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CB02CB1" w14:textId="77777777" w:rsidR="004E626C" w:rsidRPr="00C60ABB" w:rsidRDefault="005C42B7">
      <w:pPr>
        <w:pBdr>
          <w:top w:val="nil"/>
          <w:left w:val="nil"/>
          <w:bottom w:val="nil"/>
          <w:right w:val="nil"/>
          <w:between w:val="nil"/>
        </w:pBdr>
        <w:ind w:left="709" w:right="709"/>
        <w:jc w:val="both"/>
        <w:rPr>
          <w:color w:val="000000"/>
        </w:rPr>
      </w:pPr>
      <w:r w:rsidRPr="00C60ABB">
        <w:rPr>
          <w:rFonts w:ascii="Palatino Linotype" w:eastAsia="Palatino Linotype" w:hAnsi="Palatino Linotype" w:cs="Palatino Linotype"/>
          <w:b/>
          <w:i/>
          <w:color w:val="000000"/>
          <w:sz w:val="22"/>
          <w:szCs w:val="22"/>
        </w:rPr>
        <w:t>…</w:t>
      </w:r>
    </w:p>
    <w:p w14:paraId="3DAF6608" w14:textId="77777777" w:rsidR="004E626C" w:rsidRPr="00C60ABB" w:rsidRDefault="005C42B7">
      <w:pPr>
        <w:pBdr>
          <w:top w:val="nil"/>
          <w:left w:val="nil"/>
          <w:bottom w:val="nil"/>
          <w:right w:val="nil"/>
          <w:between w:val="nil"/>
        </w:pBdr>
        <w:ind w:left="709" w:right="709"/>
        <w:jc w:val="both"/>
        <w:rPr>
          <w:color w:val="000000"/>
        </w:rPr>
      </w:pPr>
      <w:r w:rsidRPr="00C60ABB">
        <w:rPr>
          <w:rFonts w:ascii="Palatino Linotype" w:eastAsia="Palatino Linotype" w:hAnsi="Palatino Linotype" w:cs="Palatino Linotype"/>
          <w:b/>
          <w:i/>
          <w:color w:val="000000"/>
          <w:sz w:val="22"/>
          <w:szCs w:val="22"/>
        </w:rPr>
        <w:t>Séptimo.</w:t>
      </w:r>
      <w:r w:rsidRPr="00C60ABB">
        <w:rPr>
          <w:rFonts w:ascii="Palatino Linotype" w:eastAsia="Palatino Linotype" w:hAnsi="Palatino Linotype" w:cs="Palatino Linotype"/>
          <w:i/>
          <w:color w:val="000000"/>
          <w:sz w:val="22"/>
          <w:szCs w:val="22"/>
        </w:rPr>
        <w:t xml:space="preserve"> La clasificación de la información se llevará a cabo en el momento en que:</w:t>
      </w:r>
    </w:p>
    <w:p w14:paraId="0CEA11C2" w14:textId="77777777" w:rsidR="004E626C" w:rsidRPr="00C60ABB" w:rsidRDefault="005C42B7">
      <w:pPr>
        <w:pBdr>
          <w:top w:val="nil"/>
          <w:left w:val="nil"/>
          <w:bottom w:val="nil"/>
          <w:right w:val="nil"/>
          <w:between w:val="nil"/>
        </w:pBdr>
        <w:ind w:left="709" w:right="709"/>
        <w:jc w:val="both"/>
        <w:rPr>
          <w:color w:val="000000"/>
        </w:rPr>
      </w:pPr>
      <w:r w:rsidRPr="00C60ABB">
        <w:rPr>
          <w:rFonts w:ascii="Palatino Linotype" w:eastAsia="Palatino Linotype" w:hAnsi="Palatino Linotype" w:cs="Palatino Linotype"/>
          <w:b/>
          <w:i/>
          <w:color w:val="000000"/>
          <w:sz w:val="22"/>
          <w:szCs w:val="22"/>
        </w:rPr>
        <w:t>I.</w:t>
      </w:r>
      <w:r w:rsidRPr="00C60ABB">
        <w:rPr>
          <w:rFonts w:ascii="Palatino Linotype" w:eastAsia="Palatino Linotype" w:hAnsi="Palatino Linotype" w:cs="Palatino Linotype"/>
          <w:i/>
          <w:color w:val="000000"/>
          <w:sz w:val="22"/>
          <w:szCs w:val="22"/>
        </w:rPr>
        <w:t xml:space="preserve"> Se reciba una solicitud de acceso a la información;</w:t>
      </w:r>
    </w:p>
    <w:p w14:paraId="0AB7F295" w14:textId="77777777" w:rsidR="004E626C" w:rsidRPr="00C60ABB" w:rsidRDefault="005C42B7">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sidRPr="00C60ABB">
        <w:rPr>
          <w:rFonts w:ascii="Palatino Linotype" w:eastAsia="Palatino Linotype" w:hAnsi="Palatino Linotype" w:cs="Palatino Linotype"/>
          <w:b/>
          <w:i/>
          <w:color w:val="000000"/>
          <w:sz w:val="22"/>
          <w:szCs w:val="22"/>
        </w:rPr>
        <w:lastRenderedPageBreak/>
        <w:t>II.</w:t>
      </w:r>
      <w:r w:rsidRPr="00C60ABB">
        <w:rPr>
          <w:rFonts w:ascii="Palatino Linotype" w:eastAsia="Palatino Linotype" w:hAnsi="Palatino Linotype" w:cs="Palatino Linotype"/>
          <w:i/>
          <w:color w:val="000000"/>
          <w:sz w:val="22"/>
          <w:szCs w:val="22"/>
        </w:rPr>
        <w:t xml:space="preserve"> </w:t>
      </w:r>
      <w:proofErr w:type="gramStart"/>
      <w:r w:rsidRPr="00C60ABB">
        <w:rPr>
          <w:rFonts w:ascii="Palatino Linotype" w:eastAsia="Palatino Linotype" w:hAnsi="Palatino Linotype" w:cs="Palatino Linotype"/>
          <w:i/>
          <w:color w:val="000000"/>
          <w:sz w:val="22"/>
          <w:szCs w:val="22"/>
        </w:rPr>
        <w:t>Se  determine</w:t>
      </w:r>
      <w:proofErr w:type="gramEnd"/>
      <w:r w:rsidRPr="00C60ABB">
        <w:rPr>
          <w:rFonts w:ascii="Palatino Linotype" w:eastAsia="Palatino Linotype" w:hAnsi="Palatino Linotype" w:cs="Palatino Linotype"/>
          <w:i/>
          <w:color w:val="000000"/>
          <w:sz w:val="22"/>
          <w:szCs w:val="22"/>
        </w:rPr>
        <w:t xml:space="preserve"> mediante resolución del Comité de Transparencia, el órgano garante </w:t>
      </w:r>
    </w:p>
    <w:p w14:paraId="4DE1ECF5" w14:textId="77777777" w:rsidR="004E626C" w:rsidRPr="00C60ABB" w:rsidRDefault="005C42B7">
      <w:pPr>
        <w:pBdr>
          <w:top w:val="nil"/>
          <w:left w:val="nil"/>
          <w:bottom w:val="nil"/>
          <w:right w:val="nil"/>
          <w:between w:val="nil"/>
        </w:pBdr>
        <w:ind w:left="709" w:right="709"/>
        <w:jc w:val="both"/>
        <w:rPr>
          <w:color w:val="000000"/>
        </w:rPr>
      </w:pPr>
      <w:r w:rsidRPr="00C60ABB">
        <w:rPr>
          <w:rFonts w:ascii="Palatino Linotype" w:eastAsia="Palatino Linotype" w:hAnsi="Palatino Linotype" w:cs="Palatino Linotype"/>
          <w:i/>
          <w:color w:val="000000"/>
          <w:sz w:val="22"/>
          <w:szCs w:val="22"/>
        </w:rPr>
        <w:t>competente, o en cumplimiento a una sentencia del Poder Judicial; o</w:t>
      </w:r>
    </w:p>
    <w:p w14:paraId="6F4C60FF" w14:textId="77777777" w:rsidR="004E626C" w:rsidRPr="00C60ABB" w:rsidRDefault="005C42B7">
      <w:pPr>
        <w:pBdr>
          <w:top w:val="nil"/>
          <w:left w:val="nil"/>
          <w:bottom w:val="nil"/>
          <w:right w:val="nil"/>
          <w:between w:val="nil"/>
        </w:pBdr>
        <w:ind w:left="709" w:right="709"/>
        <w:jc w:val="both"/>
        <w:rPr>
          <w:color w:val="000000"/>
        </w:rPr>
      </w:pPr>
      <w:r w:rsidRPr="00C60ABB">
        <w:rPr>
          <w:rFonts w:ascii="Palatino Linotype" w:eastAsia="Palatino Linotype" w:hAnsi="Palatino Linotype" w:cs="Palatino Linotype"/>
          <w:b/>
          <w:i/>
          <w:color w:val="000000"/>
          <w:sz w:val="22"/>
          <w:szCs w:val="22"/>
        </w:rPr>
        <w:t>III.</w:t>
      </w:r>
      <w:r w:rsidRPr="00C60ABB">
        <w:rPr>
          <w:rFonts w:ascii="Palatino Linotype" w:eastAsia="Palatino Linotype" w:hAnsi="Palatino Linotype" w:cs="Palatino Linotype"/>
          <w:i/>
          <w:color w:val="000000"/>
          <w:sz w:val="22"/>
          <w:szCs w:val="22"/>
        </w:rPr>
        <w:t xml:space="preserve"> Se generen versiones públicas para dar cumplimiento a las obligaciones de transparencia previstas en la Ley General, la Ley Federal y las correspondientes de las entidades federativas.</w:t>
      </w:r>
    </w:p>
    <w:p w14:paraId="6032095A" w14:textId="77777777" w:rsidR="004E626C" w:rsidRPr="00C60ABB" w:rsidRDefault="005C42B7">
      <w:pPr>
        <w:pBdr>
          <w:top w:val="nil"/>
          <w:left w:val="nil"/>
          <w:bottom w:val="nil"/>
          <w:right w:val="nil"/>
          <w:between w:val="nil"/>
        </w:pBdr>
        <w:ind w:left="709" w:right="709"/>
        <w:jc w:val="both"/>
        <w:rPr>
          <w:color w:val="000000"/>
        </w:rPr>
      </w:pPr>
      <w:r w:rsidRPr="00C60ABB">
        <w:rPr>
          <w:rFonts w:ascii="Palatino Linotype" w:eastAsia="Palatino Linotype" w:hAnsi="Palatino Linotype" w:cs="Palatino Linotype"/>
          <w:i/>
          <w:color w:val="000000"/>
          <w:sz w:val="22"/>
          <w:szCs w:val="22"/>
        </w:rPr>
        <w:t>Los titulares de las áreas deberán revisar la clasificación al momento de la recepción de una solicitud de acceso a la información, para verificar si encuadra en una causal de reserva o de confidencialidad.</w:t>
      </w:r>
    </w:p>
    <w:p w14:paraId="7A9D9F21" w14:textId="77777777" w:rsidR="004E626C" w:rsidRPr="00C60ABB" w:rsidRDefault="005C42B7">
      <w:pPr>
        <w:pBdr>
          <w:top w:val="nil"/>
          <w:left w:val="nil"/>
          <w:bottom w:val="nil"/>
          <w:right w:val="nil"/>
          <w:between w:val="nil"/>
        </w:pBdr>
        <w:ind w:left="709" w:right="709"/>
        <w:jc w:val="both"/>
        <w:rPr>
          <w:color w:val="000000"/>
        </w:rPr>
      </w:pPr>
      <w:r w:rsidRPr="00C60ABB">
        <w:rPr>
          <w:rFonts w:ascii="Palatino Linotype" w:eastAsia="Palatino Linotype" w:hAnsi="Palatino Linotype" w:cs="Palatino Linotype"/>
          <w:b/>
          <w:i/>
          <w:color w:val="000000"/>
          <w:sz w:val="22"/>
          <w:szCs w:val="22"/>
        </w:rPr>
        <w:t>Octavo.</w:t>
      </w:r>
      <w:r w:rsidRPr="00C60ABB">
        <w:rPr>
          <w:rFonts w:ascii="Palatino Linotype" w:eastAsia="Palatino Linotype" w:hAnsi="Palatino Linotype" w:cs="Palatino Linotype"/>
          <w:i/>
          <w:color w:val="000000"/>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BEEA23D" w14:textId="77777777" w:rsidR="004E626C" w:rsidRPr="00C60ABB" w:rsidRDefault="005C42B7">
      <w:pPr>
        <w:pBdr>
          <w:top w:val="nil"/>
          <w:left w:val="nil"/>
          <w:bottom w:val="nil"/>
          <w:right w:val="nil"/>
          <w:between w:val="nil"/>
        </w:pBdr>
        <w:ind w:left="709" w:right="709"/>
        <w:jc w:val="both"/>
        <w:rPr>
          <w:color w:val="000000"/>
        </w:rPr>
      </w:pPr>
      <w:r w:rsidRPr="00C60ABB">
        <w:rPr>
          <w:rFonts w:ascii="Palatino Linotype" w:eastAsia="Palatino Linotype" w:hAnsi="Palatino Linotype" w:cs="Palatino Linotype"/>
          <w:i/>
          <w:color w:val="000000"/>
          <w:sz w:val="22"/>
          <w:szCs w:val="22"/>
        </w:rPr>
        <w:t>Para motivar la clasificación se deberán señalar las razones o circunstancias especiales que lo llevaron a concluir que el caso particular se ajusta al supuesto previsto por la norma legal invocada como fundamento.</w:t>
      </w:r>
    </w:p>
    <w:p w14:paraId="5CD2AB57" w14:textId="77777777" w:rsidR="004E626C" w:rsidRPr="00C60ABB" w:rsidRDefault="005C42B7">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sidRPr="00C60ABB">
        <w:rPr>
          <w:rFonts w:ascii="Palatino Linotype" w:eastAsia="Palatino Linotype" w:hAnsi="Palatino Linotype" w:cs="Palatino Linotype"/>
          <w:i/>
          <w:color w:val="000000"/>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190416C1" w14:textId="77777777" w:rsidR="004E626C" w:rsidRPr="00C60ABB" w:rsidRDefault="005C42B7">
      <w:pPr>
        <w:pBdr>
          <w:top w:val="nil"/>
          <w:left w:val="nil"/>
          <w:bottom w:val="nil"/>
          <w:right w:val="nil"/>
          <w:between w:val="nil"/>
        </w:pBdr>
        <w:ind w:left="709" w:right="709"/>
        <w:jc w:val="both"/>
        <w:rPr>
          <w:color w:val="000000"/>
        </w:rPr>
      </w:pPr>
      <w:r w:rsidRPr="00C60ABB">
        <w:rPr>
          <w:rFonts w:ascii="Palatino Linotype" w:eastAsia="Palatino Linotype" w:hAnsi="Palatino Linotype" w:cs="Palatino Linotype"/>
          <w:b/>
          <w:i/>
          <w:color w:val="000000"/>
          <w:sz w:val="22"/>
          <w:szCs w:val="22"/>
        </w:rPr>
        <w:t>Noveno.</w:t>
      </w:r>
      <w:r w:rsidRPr="00C60ABB">
        <w:rPr>
          <w:rFonts w:ascii="Palatino Linotype" w:eastAsia="Palatino Linotype" w:hAnsi="Palatino Linotype" w:cs="Palatino Linotype"/>
          <w:i/>
          <w:color w:val="000000"/>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CE99E0A" w14:textId="77777777" w:rsidR="004E626C" w:rsidRPr="00C60ABB" w:rsidRDefault="005C42B7">
      <w:pPr>
        <w:pBdr>
          <w:top w:val="nil"/>
          <w:left w:val="nil"/>
          <w:bottom w:val="nil"/>
          <w:right w:val="nil"/>
          <w:between w:val="nil"/>
        </w:pBdr>
        <w:ind w:left="709" w:right="709"/>
        <w:jc w:val="both"/>
        <w:rPr>
          <w:color w:val="000000"/>
        </w:rPr>
      </w:pPr>
      <w:r w:rsidRPr="00C60ABB">
        <w:rPr>
          <w:rFonts w:ascii="Palatino Linotype" w:eastAsia="Palatino Linotype" w:hAnsi="Palatino Linotype" w:cs="Palatino Linotype"/>
          <w:b/>
          <w:i/>
          <w:color w:val="000000"/>
          <w:sz w:val="22"/>
          <w:szCs w:val="22"/>
        </w:rPr>
        <w:t>Décimo.</w:t>
      </w:r>
      <w:r w:rsidRPr="00C60ABB">
        <w:rPr>
          <w:rFonts w:ascii="Palatino Linotype" w:eastAsia="Palatino Linotype" w:hAnsi="Palatino Linotype" w:cs="Palatino Linotype"/>
          <w:i/>
          <w:color w:val="000000"/>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3960BAC1" w14:textId="77777777" w:rsidR="004E626C" w:rsidRPr="00C60ABB" w:rsidRDefault="005C42B7">
      <w:pPr>
        <w:pBdr>
          <w:top w:val="nil"/>
          <w:left w:val="nil"/>
          <w:bottom w:val="nil"/>
          <w:right w:val="nil"/>
          <w:between w:val="nil"/>
        </w:pBdr>
        <w:ind w:left="709" w:right="709"/>
        <w:jc w:val="both"/>
        <w:rPr>
          <w:color w:val="000000"/>
        </w:rPr>
      </w:pPr>
      <w:r w:rsidRPr="00C60ABB">
        <w:rPr>
          <w:rFonts w:ascii="Palatino Linotype" w:eastAsia="Palatino Linotype" w:hAnsi="Palatino Linotype" w:cs="Palatino Linotype"/>
          <w:i/>
          <w:color w:val="000000"/>
          <w:sz w:val="22"/>
          <w:szCs w:val="22"/>
        </w:rPr>
        <w:t>En ausencia de los titulares de las áreas, la información será clasificada o desclasificada por la persona que lo supla, en términos de la normativa que rija la actuación del sujeto obligado.</w:t>
      </w:r>
    </w:p>
    <w:p w14:paraId="4EE93EC7" w14:textId="77777777" w:rsidR="004E626C" w:rsidRPr="00C60ABB" w:rsidRDefault="005C42B7">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sidRPr="00C60ABB">
        <w:rPr>
          <w:rFonts w:ascii="Palatino Linotype" w:eastAsia="Palatino Linotype" w:hAnsi="Palatino Linotype" w:cs="Palatino Linotype"/>
          <w:b/>
          <w:i/>
          <w:color w:val="000000"/>
          <w:sz w:val="22"/>
          <w:szCs w:val="22"/>
        </w:rPr>
        <w:t>Décimo primero.</w:t>
      </w:r>
      <w:r w:rsidRPr="00C60ABB">
        <w:rPr>
          <w:rFonts w:ascii="Palatino Linotype" w:eastAsia="Palatino Linotype" w:hAnsi="Palatino Linotype" w:cs="Palatino Linotype"/>
          <w:i/>
          <w:color w:val="000000"/>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51A28C4" w14:textId="77777777" w:rsidR="004E626C" w:rsidRPr="00C60ABB" w:rsidRDefault="004E626C">
      <w:pPr>
        <w:pBdr>
          <w:top w:val="nil"/>
          <w:left w:val="nil"/>
          <w:bottom w:val="nil"/>
          <w:right w:val="nil"/>
          <w:between w:val="nil"/>
        </w:pBdr>
        <w:ind w:right="709"/>
        <w:jc w:val="both"/>
        <w:rPr>
          <w:color w:val="000000"/>
        </w:rPr>
      </w:pPr>
    </w:p>
    <w:p w14:paraId="379AC431" w14:textId="77777777" w:rsidR="004E626C" w:rsidRPr="00C60ABB" w:rsidRDefault="005C42B7">
      <w:pPr>
        <w:pBdr>
          <w:top w:val="nil"/>
          <w:left w:val="nil"/>
          <w:bottom w:val="nil"/>
          <w:right w:val="nil"/>
          <w:between w:val="nil"/>
        </w:pBdr>
        <w:ind w:left="709" w:right="709"/>
        <w:jc w:val="both"/>
        <w:rPr>
          <w:color w:val="000000"/>
        </w:rPr>
      </w:pPr>
      <w:r w:rsidRPr="00C60ABB">
        <w:rPr>
          <w:rFonts w:ascii="Palatino Linotype" w:eastAsia="Palatino Linotype" w:hAnsi="Palatino Linotype" w:cs="Palatino Linotype"/>
          <w:i/>
          <w:color w:val="000000"/>
          <w:sz w:val="22"/>
          <w:szCs w:val="22"/>
        </w:rPr>
        <w:t>[…]</w:t>
      </w:r>
    </w:p>
    <w:p w14:paraId="47654F3C" w14:textId="77777777" w:rsidR="004E626C" w:rsidRPr="00C60ABB" w:rsidRDefault="005C42B7">
      <w:pPr>
        <w:pBdr>
          <w:top w:val="nil"/>
          <w:left w:val="nil"/>
          <w:bottom w:val="nil"/>
          <w:right w:val="nil"/>
          <w:between w:val="nil"/>
        </w:pBdr>
        <w:ind w:left="709" w:right="709"/>
        <w:jc w:val="center"/>
        <w:rPr>
          <w:color w:val="000000"/>
        </w:rPr>
      </w:pPr>
      <w:r w:rsidRPr="00C60ABB">
        <w:rPr>
          <w:rFonts w:ascii="Palatino Linotype" w:eastAsia="Palatino Linotype" w:hAnsi="Palatino Linotype" w:cs="Palatino Linotype"/>
          <w:b/>
          <w:i/>
          <w:color w:val="000000"/>
          <w:sz w:val="22"/>
          <w:szCs w:val="22"/>
        </w:rPr>
        <w:t>CAPÍTULO VIII</w:t>
      </w:r>
    </w:p>
    <w:p w14:paraId="149D9CEC" w14:textId="77777777" w:rsidR="004E626C" w:rsidRPr="00C60ABB" w:rsidRDefault="005C42B7">
      <w:pPr>
        <w:pBdr>
          <w:top w:val="nil"/>
          <w:left w:val="nil"/>
          <w:bottom w:val="nil"/>
          <w:right w:val="nil"/>
          <w:between w:val="nil"/>
        </w:pBdr>
        <w:spacing w:after="160"/>
        <w:ind w:left="709" w:right="709"/>
        <w:jc w:val="center"/>
        <w:rPr>
          <w:rFonts w:ascii="Palatino Linotype" w:eastAsia="Palatino Linotype" w:hAnsi="Palatino Linotype" w:cs="Palatino Linotype"/>
          <w:b/>
          <w:i/>
          <w:color w:val="000000"/>
          <w:sz w:val="22"/>
          <w:szCs w:val="22"/>
        </w:rPr>
      </w:pPr>
      <w:r w:rsidRPr="00C60ABB">
        <w:rPr>
          <w:rFonts w:ascii="Palatino Linotype" w:eastAsia="Palatino Linotype" w:hAnsi="Palatino Linotype" w:cs="Palatino Linotype"/>
          <w:b/>
          <w:i/>
          <w:color w:val="000000"/>
          <w:sz w:val="22"/>
          <w:szCs w:val="22"/>
        </w:rPr>
        <w:t>DE LOS ELEMENTOS PARA LA CLASIFICACIÓN</w:t>
      </w:r>
    </w:p>
    <w:p w14:paraId="7D99C154" w14:textId="77777777" w:rsidR="004E626C" w:rsidRPr="00C60ABB" w:rsidRDefault="005C42B7">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C60ABB">
        <w:rPr>
          <w:rFonts w:ascii="Palatino Linotype" w:eastAsia="Palatino Linotype" w:hAnsi="Palatino Linotype" w:cs="Palatino Linotype"/>
          <w:b/>
          <w:i/>
          <w:color w:val="000000"/>
          <w:sz w:val="22"/>
          <w:szCs w:val="22"/>
        </w:rPr>
        <w:lastRenderedPageBreak/>
        <w:t>Quincuagésimo</w:t>
      </w:r>
      <w:r w:rsidRPr="00C60ABB">
        <w:rPr>
          <w:rFonts w:ascii="Palatino Linotype" w:eastAsia="Palatino Linotype" w:hAnsi="Palatino Linotype" w:cs="Palatino Linotype"/>
          <w:i/>
          <w:color w:val="000000"/>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0E9AAB2E" w14:textId="77777777" w:rsidR="004E626C" w:rsidRPr="00C60ABB" w:rsidRDefault="005C42B7">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C60ABB">
        <w:rPr>
          <w:rFonts w:ascii="Palatino Linotype" w:eastAsia="Palatino Linotype" w:hAnsi="Palatino Linotype" w:cs="Palatino Linotype"/>
          <w:b/>
          <w:i/>
          <w:color w:val="000000"/>
          <w:sz w:val="22"/>
          <w:szCs w:val="22"/>
        </w:rPr>
        <w:t>Quincuagésimo primero</w:t>
      </w:r>
      <w:r w:rsidRPr="00C60ABB">
        <w:rPr>
          <w:rFonts w:ascii="Palatino Linotype" w:eastAsia="Palatino Linotype" w:hAnsi="Palatino Linotype" w:cs="Palatino Linotype"/>
          <w:i/>
          <w:color w:val="000000"/>
          <w:sz w:val="22"/>
          <w:szCs w:val="22"/>
        </w:rPr>
        <w:t>. Toda acta del Comité de Transparencia deberá contener:</w:t>
      </w:r>
    </w:p>
    <w:p w14:paraId="5EA5BA55" w14:textId="77777777" w:rsidR="004E626C" w:rsidRPr="00C60ABB" w:rsidRDefault="005C42B7">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C60ABB">
        <w:rPr>
          <w:rFonts w:ascii="Palatino Linotype" w:eastAsia="Palatino Linotype" w:hAnsi="Palatino Linotype" w:cs="Palatino Linotype"/>
          <w:i/>
          <w:color w:val="000000"/>
          <w:sz w:val="22"/>
          <w:szCs w:val="22"/>
        </w:rPr>
        <w:t xml:space="preserve">I. El número de sesión y fecha; </w:t>
      </w:r>
    </w:p>
    <w:p w14:paraId="16EA38AE" w14:textId="77777777" w:rsidR="004E626C" w:rsidRPr="00C60ABB" w:rsidRDefault="005C42B7">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C60ABB">
        <w:rPr>
          <w:rFonts w:ascii="Palatino Linotype" w:eastAsia="Palatino Linotype" w:hAnsi="Palatino Linotype" w:cs="Palatino Linotype"/>
          <w:i/>
          <w:color w:val="000000"/>
          <w:sz w:val="22"/>
          <w:szCs w:val="22"/>
        </w:rPr>
        <w:t>II. El nombre del área que solicitó la clasificación de información;</w:t>
      </w:r>
    </w:p>
    <w:p w14:paraId="328D30F8" w14:textId="77777777" w:rsidR="004E626C" w:rsidRPr="00C60ABB" w:rsidRDefault="005C42B7">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C60ABB">
        <w:rPr>
          <w:rFonts w:ascii="Palatino Linotype" w:eastAsia="Palatino Linotype" w:hAnsi="Palatino Linotype" w:cs="Palatino Linotype"/>
          <w:i/>
          <w:color w:val="000000"/>
          <w:sz w:val="22"/>
          <w:szCs w:val="22"/>
        </w:rPr>
        <w:t>III. La fundamentación legal y motivación correspondiente;</w:t>
      </w:r>
    </w:p>
    <w:p w14:paraId="6D9C780D" w14:textId="77777777" w:rsidR="004E626C" w:rsidRPr="00C60ABB" w:rsidRDefault="005C42B7">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C60ABB">
        <w:rPr>
          <w:rFonts w:ascii="Palatino Linotype" w:eastAsia="Palatino Linotype" w:hAnsi="Palatino Linotype" w:cs="Palatino Linotype"/>
          <w:i/>
          <w:color w:val="000000"/>
          <w:sz w:val="22"/>
          <w:szCs w:val="22"/>
        </w:rPr>
        <w:t>IV. La resolución o resoluciones aprobadas; y</w:t>
      </w:r>
    </w:p>
    <w:p w14:paraId="26B68263" w14:textId="77777777" w:rsidR="004E626C" w:rsidRPr="00C60ABB" w:rsidRDefault="005C42B7">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C60ABB">
        <w:rPr>
          <w:rFonts w:ascii="Palatino Linotype" w:eastAsia="Palatino Linotype" w:hAnsi="Palatino Linotype" w:cs="Palatino Linotype"/>
          <w:i/>
          <w:color w:val="000000"/>
          <w:sz w:val="22"/>
          <w:szCs w:val="22"/>
        </w:rPr>
        <w:t xml:space="preserve">V. La rúbrica o firma digital de cada integrante del Comité de Transparencia. </w:t>
      </w:r>
    </w:p>
    <w:p w14:paraId="42B4C696" w14:textId="77777777" w:rsidR="004E626C" w:rsidRPr="00C60ABB" w:rsidRDefault="005C42B7">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C60ABB">
        <w:rPr>
          <w:rFonts w:ascii="Palatino Linotype" w:eastAsia="Palatino Linotype" w:hAnsi="Palatino Linotype" w:cs="Palatino Linotype"/>
          <w:i/>
          <w:color w:val="000000"/>
          <w:sz w:val="22"/>
          <w:szCs w:val="22"/>
        </w:rPr>
        <w:t>Las resoluciones del Comité en las que se haya determinado confirmar o modificar la clasificación de información pública como reservada, deberán incluir, cuando menos:</w:t>
      </w:r>
    </w:p>
    <w:p w14:paraId="2C33524B" w14:textId="77777777" w:rsidR="004E626C" w:rsidRPr="00C60ABB" w:rsidRDefault="005C42B7">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C60ABB">
        <w:rPr>
          <w:rFonts w:ascii="Palatino Linotype" w:eastAsia="Palatino Linotype" w:hAnsi="Palatino Linotype" w:cs="Palatino Linotype"/>
          <w:i/>
          <w:color w:val="000000"/>
          <w:sz w:val="22"/>
          <w:szCs w:val="22"/>
        </w:rPr>
        <w:t>I. Los motivos y razonamientos que sustenten la confirmación o modificación de la prueba de daño;</w:t>
      </w:r>
    </w:p>
    <w:p w14:paraId="47E8CD01" w14:textId="77777777" w:rsidR="004E626C" w:rsidRPr="00C60ABB" w:rsidRDefault="005C42B7">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C60ABB">
        <w:rPr>
          <w:rFonts w:ascii="Palatino Linotype" w:eastAsia="Palatino Linotype" w:hAnsi="Palatino Linotype" w:cs="Palatino Linotype"/>
          <w:i/>
          <w:color w:val="000000"/>
          <w:sz w:val="22"/>
          <w:szCs w:val="22"/>
        </w:rPr>
        <w:t>II. Descripción de las partes o secciones reservadas, en caso de clasificación parcial;</w:t>
      </w:r>
    </w:p>
    <w:p w14:paraId="490D7D53" w14:textId="77777777" w:rsidR="004E626C" w:rsidRPr="00C60ABB" w:rsidRDefault="005C42B7">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C60ABB">
        <w:rPr>
          <w:rFonts w:ascii="Palatino Linotype" w:eastAsia="Palatino Linotype" w:hAnsi="Palatino Linotype" w:cs="Palatino Linotype"/>
          <w:i/>
          <w:color w:val="000000"/>
          <w:sz w:val="22"/>
          <w:szCs w:val="22"/>
        </w:rPr>
        <w:t>III. El periodo por el que mantendrá su clasificación y fecha de expiración; y</w:t>
      </w:r>
    </w:p>
    <w:p w14:paraId="258DAA74" w14:textId="77777777" w:rsidR="004E626C" w:rsidRPr="00C60ABB" w:rsidRDefault="005C42B7">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C60ABB">
        <w:rPr>
          <w:rFonts w:ascii="Palatino Linotype" w:eastAsia="Palatino Linotype" w:hAnsi="Palatino Linotype" w:cs="Palatino Linotype"/>
          <w:i/>
          <w:color w:val="000000"/>
          <w:sz w:val="22"/>
          <w:szCs w:val="22"/>
        </w:rPr>
        <w:t>IV. El nombre del titular y área encargada de realizar la versión pública del documento, en su caso.</w:t>
      </w:r>
    </w:p>
    <w:p w14:paraId="46D0DAB0" w14:textId="77777777" w:rsidR="004E626C" w:rsidRPr="00C60ABB" w:rsidRDefault="005C42B7">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C60ABB">
        <w:rPr>
          <w:rFonts w:ascii="Palatino Linotype" w:eastAsia="Palatino Linotype" w:hAnsi="Palatino Linotype" w:cs="Palatino Linotype"/>
          <w:i/>
          <w:color w:val="000000"/>
          <w:sz w:val="22"/>
          <w:szCs w:val="22"/>
        </w:rPr>
        <w:t xml:space="preserve">En los casos en que se clasifique la información como reservada siempre se entregará o anexará la prueba de daño con la respuesta al solicitante. </w:t>
      </w:r>
    </w:p>
    <w:p w14:paraId="556274C4" w14:textId="77777777" w:rsidR="004E626C" w:rsidRPr="00C60ABB" w:rsidRDefault="005C42B7">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C60ABB">
        <w:rPr>
          <w:rFonts w:ascii="Palatino Linotype" w:eastAsia="Palatino Linotype" w:hAnsi="Palatino Linotype" w:cs="Palatino Linotype"/>
          <w:i/>
          <w:color w:val="000000"/>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3D267372" w14:textId="77777777" w:rsidR="004E626C" w:rsidRPr="00C60ABB" w:rsidRDefault="005C42B7">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C60ABB">
        <w:rPr>
          <w:rFonts w:ascii="Palatino Linotype" w:eastAsia="Palatino Linotype" w:hAnsi="Palatino Linotype" w:cs="Palatino Linotype"/>
          <w:b/>
          <w:i/>
          <w:color w:val="000000"/>
          <w:sz w:val="22"/>
          <w:szCs w:val="22"/>
        </w:rPr>
        <w:t>Quincuagésimo segundo</w:t>
      </w:r>
      <w:r w:rsidRPr="00C60ABB">
        <w:rPr>
          <w:rFonts w:ascii="Palatino Linotype" w:eastAsia="Palatino Linotype" w:hAnsi="Palatino Linotype" w:cs="Palatino Linotype"/>
          <w:i/>
          <w:color w:val="000000"/>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727BA01" w14:textId="77777777" w:rsidR="004E626C" w:rsidRPr="00C60ABB" w:rsidRDefault="005C42B7">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C60ABB">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14:paraId="1A1766D2" w14:textId="77777777" w:rsidR="004E626C" w:rsidRPr="00C60ABB" w:rsidRDefault="005C42B7">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C60ABB">
        <w:rPr>
          <w:rFonts w:ascii="Palatino Linotype" w:eastAsia="Palatino Linotype" w:hAnsi="Palatino Linotype" w:cs="Palatino Linotype"/>
          <w:i/>
          <w:color w:val="000000"/>
          <w:sz w:val="22"/>
          <w:szCs w:val="22"/>
        </w:rPr>
        <w:lastRenderedPageBreak/>
        <w:t>I. Fijar la fecha en que se elaboró la versión pública y la fecha en la cual el Comité de Transparencia confirmó dicha versión;</w:t>
      </w:r>
    </w:p>
    <w:p w14:paraId="0ED05172" w14:textId="77777777" w:rsidR="004E626C" w:rsidRPr="00C60ABB" w:rsidRDefault="005C42B7">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C60ABB">
        <w:rPr>
          <w:rFonts w:ascii="Palatino Linotype" w:eastAsia="Palatino Linotype" w:hAnsi="Palatino Linotype" w:cs="Palatino Linotype"/>
          <w:i/>
          <w:color w:val="000000"/>
          <w:sz w:val="22"/>
          <w:szCs w:val="22"/>
        </w:rPr>
        <w:t>II. Señalar dentro del documento el tipo de información confidencial que fue testada en cada caso específico, de conformidad con el lineamiento trigésimo octavo; y</w:t>
      </w:r>
    </w:p>
    <w:p w14:paraId="68D13D01" w14:textId="77777777" w:rsidR="004E626C" w:rsidRPr="00C60ABB" w:rsidRDefault="005C42B7">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C60ABB">
        <w:rPr>
          <w:rFonts w:ascii="Palatino Linotype" w:eastAsia="Palatino Linotype" w:hAnsi="Palatino Linotype" w:cs="Palatino Linotype"/>
          <w:i/>
          <w:color w:val="000000"/>
          <w:sz w:val="22"/>
          <w:szCs w:val="22"/>
        </w:rPr>
        <w:t>III. Señalar las personas o instancias autorizadas a acceder a la información clasificada.</w:t>
      </w:r>
    </w:p>
    <w:p w14:paraId="3E1E5137" w14:textId="77777777" w:rsidR="004E626C" w:rsidRPr="00C60ABB" w:rsidRDefault="005C42B7">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C60ABB">
        <w:rPr>
          <w:rFonts w:ascii="Palatino Linotype" w:eastAsia="Palatino Linotype" w:hAnsi="Palatino Linotype" w:cs="Palatino Linotype"/>
          <w:i/>
          <w:color w:val="000000"/>
          <w:sz w:val="22"/>
          <w:szCs w:val="22"/>
        </w:rPr>
        <w:t>En los documentos de difusión electrónica, señalar en la primera hoja y en el nombre del archivo, que la versión pública corresponde a un documento que contiene información confidencial.</w:t>
      </w:r>
    </w:p>
    <w:p w14:paraId="2C1E7C81" w14:textId="77777777" w:rsidR="004E626C" w:rsidRPr="00C60ABB" w:rsidRDefault="005C42B7">
      <w:pPr>
        <w:pBdr>
          <w:top w:val="nil"/>
          <w:left w:val="nil"/>
          <w:bottom w:val="nil"/>
          <w:right w:val="nil"/>
          <w:between w:val="nil"/>
        </w:pBdr>
        <w:spacing w:after="160"/>
        <w:ind w:left="709" w:right="709"/>
        <w:jc w:val="both"/>
        <w:rPr>
          <w:color w:val="000000"/>
        </w:rPr>
      </w:pPr>
      <w:r w:rsidRPr="00C60ABB">
        <w:rPr>
          <w:rFonts w:ascii="Palatino Linotype" w:eastAsia="Palatino Linotype" w:hAnsi="Palatino Linotype" w:cs="Palatino Linotype"/>
          <w:b/>
          <w:i/>
          <w:color w:val="000000"/>
          <w:sz w:val="22"/>
          <w:szCs w:val="22"/>
        </w:rPr>
        <w:t xml:space="preserve">Quincuagésimo tercero. </w:t>
      </w:r>
      <w:r w:rsidRPr="00C60ABB">
        <w:rPr>
          <w:rFonts w:ascii="Palatino Linotype" w:eastAsia="Palatino Linotype" w:hAnsi="Palatino Linotype" w:cs="Palatino Linotype"/>
          <w:b/>
          <w:i/>
          <w:color w:val="000000"/>
          <w:sz w:val="22"/>
          <w:szCs w:val="22"/>
          <w:u w:val="single"/>
        </w:rPr>
        <w:t xml:space="preserve">El formato para señalar la clasificación de un documento o expediente que contenga información reservada, es el </w:t>
      </w:r>
      <w:proofErr w:type="gramStart"/>
      <w:r w:rsidRPr="00C60ABB">
        <w:rPr>
          <w:rFonts w:ascii="Palatino Linotype" w:eastAsia="Palatino Linotype" w:hAnsi="Palatino Linotype" w:cs="Palatino Linotype"/>
          <w:b/>
          <w:i/>
          <w:color w:val="000000"/>
          <w:sz w:val="22"/>
          <w:szCs w:val="22"/>
          <w:u w:val="single"/>
        </w:rPr>
        <w:t>siguiente:</w:t>
      </w:r>
      <w:r w:rsidRPr="00C60ABB">
        <w:rPr>
          <w:rFonts w:ascii="Palatino Linotype" w:eastAsia="Palatino Linotype" w:hAnsi="Palatino Linotype" w:cs="Palatino Linotype"/>
          <w:i/>
          <w:color w:val="000000"/>
          <w:sz w:val="22"/>
          <w:szCs w:val="22"/>
        </w:rPr>
        <w:t>:</w:t>
      </w:r>
      <w:proofErr w:type="gramEnd"/>
    </w:p>
    <w:tbl>
      <w:tblPr>
        <w:tblStyle w:val="ad"/>
        <w:tblW w:w="8833" w:type="dxa"/>
        <w:jc w:val="center"/>
        <w:tblInd w:w="0" w:type="dxa"/>
        <w:tblLayout w:type="fixed"/>
        <w:tblLook w:val="0400" w:firstRow="0" w:lastRow="0" w:firstColumn="0" w:lastColumn="0" w:noHBand="0" w:noVBand="1"/>
      </w:tblPr>
      <w:tblGrid>
        <w:gridCol w:w="1660"/>
        <w:gridCol w:w="1980"/>
        <w:gridCol w:w="5193"/>
      </w:tblGrid>
      <w:tr w:rsidR="004E626C" w:rsidRPr="00C60ABB" w14:paraId="4031DA2F" w14:textId="77777777">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289B2C51" w14:textId="77777777" w:rsidR="004E626C" w:rsidRPr="00C60ABB" w:rsidRDefault="004E626C">
            <w:pPr>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FFF5E4" w14:textId="77777777" w:rsidR="004E626C" w:rsidRPr="00C60ABB" w:rsidRDefault="005C42B7">
            <w:pPr>
              <w:pBdr>
                <w:top w:val="nil"/>
                <w:left w:val="nil"/>
                <w:bottom w:val="nil"/>
                <w:right w:val="nil"/>
                <w:between w:val="nil"/>
              </w:pBdr>
              <w:jc w:val="center"/>
              <w:rPr>
                <w:color w:val="000000"/>
              </w:rPr>
            </w:pPr>
            <w:r w:rsidRPr="00C60ABB">
              <w:rPr>
                <w:rFonts w:ascii="Palatino Linotype" w:eastAsia="Palatino Linotype" w:hAnsi="Palatino Linotype" w:cs="Palatino Linotype"/>
                <w:b/>
                <w:i/>
                <w:color w:val="000000"/>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891D31" w14:textId="77777777" w:rsidR="004E626C" w:rsidRPr="00C60ABB" w:rsidRDefault="005C42B7">
            <w:pPr>
              <w:pBdr>
                <w:top w:val="nil"/>
                <w:left w:val="nil"/>
                <w:bottom w:val="nil"/>
                <w:right w:val="nil"/>
                <w:between w:val="nil"/>
              </w:pBdr>
              <w:jc w:val="center"/>
              <w:rPr>
                <w:color w:val="000000"/>
              </w:rPr>
            </w:pPr>
            <w:r w:rsidRPr="00C60ABB">
              <w:rPr>
                <w:rFonts w:ascii="Palatino Linotype" w:eastAsia="Palatino Linotype" w:hAnsi="Palatino Linotype" w:cs="Palatino Linotype"/>
                <w:b/>
                <w:i/>
                <w:color w:val="000000"/>
              </w:rPr>
              <w:t>Dónde:</w:t>
            </w:r>
          </w:p>
        </w:tc>
      </w:tr>
      <w:tr w:rsidR="004E626C" w:rsidRPr="00C60ABB" w14:paraId="7807D8EF" w14:textId="7777777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8C20CE" w14:textId="77777777" w:rsidR="004E626C" w:rsidRPr="00C60ABB" w:rsidRDefault="005C42B7">
            <w:pPr>
              <w:pBdr>
                <w:top w:val="nil"/>
                <w:left w:val="nil"/>
                <w:bottom w:val="nil"/>
                <w:right w:val="nil"/>
                <w:between w:val="nil"/>
              </w:pBdr>
              <w:jc w:val="center"/>
              <w:rPr>
                <w:color w:val="000000"/>
              </w:rPr>
            </w:pPr>
            <w:r w:rsidRPr="00C60ABB">
              <w:rPr>
                <w:rFonts w:ascii="Palatino Linotype" w:eastAsia="Palatino Linotype" w:hAnsi="Palatino Linotype" w:cs="Palatino Linotype"/>
                <w:b/>
                <w:i/>
                <w:color w:val="000000"/>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D34F9C" w14:textId="77777777" w:rsidR="004E626C" w:rsidRPr="00C60ABB" w:rsidRDefault="005C42B7">
            <w:pPr>
              <w:pBdr>
                <w:top w:val="nil"/>
                <w:left w:val="nil"/>
                <w:bottom w:val="nil"/>
                <w:right w:val="nil"/>
                <w:between w:val="nil"/>
              </w:pBdr>
              <w:jc w:val="center"/>
              <w:rPr>
                <w:color w:val="000000"/>
              </w:rPr>
            </w:pPr>
            <w:r w:rsidRPr="00C60ABB">
              <w:rPr>
                <w:rFonts w:ascii="Palatino Linotype" w:eastAsia="Palatino Linotype" w:hAnsi="Palatino Linotype" w:cs="Palatino Linotype"/>
                <w:i/>
                <w:color w:val="000000"/>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A1E62B" w14:textId="77777777" w:rsidR="004E626C" w:rsidRPr="00C60ABB" w:rsidRDefault="005C42B7">
            <w:pPr>
              <w:pBdr>
                <w:top w:val="nil"/>
                <w:left w:val="nil"/>
                <w:bottom w:val="nil"/>
                <w:right w:val="nil"/>
                <w:between w:val="nil"/>
              </w:pBdr>
              <w:jc w:val="both"/>
              <w:rPr>
                <w:color w:val="000000"/>
              </w:rPr>
            </w:pPr>
            <w:r w:rsidRPr="00C60ABB">
              <w:rPr>
                <w:rFonts w:ascii="Palatino Linotype" w:eastAsia="Palatino Linotype" w:hAnsi="Palatino Linotype" w:cs="Palatino Linotype"/>
                <w:i/>
                <w:color w:val="000000"/>
              </w:rPr>
              <w:t>Se anotará la fecha en la que el Comité de Transparencia confirmó la clasificación del documento o expediente, en su caso.</w:t>
            </w:r>
          </w:p>
        </w:tc>
      </w:tr>
      <w:tr w:rsidR="004E626C" w:rsidRPr="00C60ABB" w14:paraId="00DBD858"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1A3671" w14:textId="77777777" w:rsidR="004E626C" w:rsidRPr="00C60ABB" w:rsidRDefault="004E626C">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A7835C" w14:textId="77777777" w:rsidR="004E626C" w:rsidRPr="00C60ABB" w:rsidRDefault="005C42B7">
            <w:pPr>
              <w:pBdr>
                <w:top w:val="nil"/>
                <w:left w:val="nil"/>
                <w:bottom w:val="nil"/>
                <w:right w:val="nil"/>
                <w:between w:val="nil"/>
              </w:pBdr>
              <w:jc w:val="center"/>
              <w:rPr>
                <w:color w:val="000000"/>
              </w:rPr>
            </w:pPr>
            <w:r w:rsidRPr="00C60ABB">
              <w:rPr>
                <w:rFonts w:ascii="Palatino Linotype" w:eastAsia="Palatino Linotype" w:hAnsi="Palatino Linotype" w:cs="Palatino Linotype"/>
                <w:i/>
                <w:color w:val="000000"/>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67595A" w14:textId="77777777" w:rsidR="004E626C" w:rsidRPr="00C60ABB" w:rsidRDefault="005C42B7">
            <w:pPr>
              <w:pBdr>
                <w:top w:val="nil"/>
                <w:left w:val="nil"/>
                <w:bottom w:val="nil"/>
                <w:right w:val="nil"/>
                <w:between w:val="nil"/>
              </w:pBdr>
              <w:jc w:val="both"/>
              <w:rPr>
                <w:color w:val="000000"/>
              </w:rPr>
            </w:pPr>
            <w:r w:rsidRPr="00C60ABB">
              <w:rPr>
                <w:rFonts w:ascii="Palatino Linotype" w:eastAsia="Palatino Linotype" w:hAnsi="Palatino Linotype" w:cs="Palatino Linotype"/>
                <w:i/>
                <w:color w:val="000000"/>
              </w:rPr>
              <w:t>Se señalará el nombre del área del cual es titular quien clasifica.</w:t>
            </w:r>
          </w:p>
        </w:tc>
      </w:tr>
      <w:tr w:rsidR="004E626C" w:rsidRPr="00C60ABB" w14:paraId="440C1BAB"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076B2F" w14:textId="77777777" w:rsidR="004E626C" w:rsidRPr="00C60ABB" w:rsidRDefault="004E626C">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A79AED" w14:textId="77777777" w:rsidR="004E626C" w:rsidRPr="00C60ABB" w:rsidRDefault="005C42B7">
            <w:pPr>
              <w:pBdr>
                <w:top w:val="nil"/>
                <w:left w:val="nil"/>
                <w:bottom w:val="nil"/>
                <w:right w:val="nil"/>
                <w:between w:val="nil"/>
              </w:pBdr>
              <w:jc w:val="center"/>
              <w:rPr>
                <w:color w:val="000000"/>
              </w:rPr>
            </w:pPr>
            <w:r w:rsidRPr="00C60ABB">
              <w:rPr>
                <w:rFonts w:ascii="Palatino Linotype" w:eastAsia="Palatino Linotype" w:hAnsi="Palatino Linotype" w:cs="Palatino Linotype"/>
                <w:i/>
                <w:color w:val="000000"/>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EF6BEC" w14:textId="77777777" w:rsidR="004E626C" w:rsidRPr="00C60ABB" w:rsidRDefault="005C42B7">
            <w:pPr>
              <w:pBdr>
                <w:top w:val="nil"/>
                <w:left w:val="nil"/>
                <w:bottom w:val="nil"/>
                <w:right w:val="nil"/>
                <w:between w:val="nil"/>
              </w:pBdr>
              <w:jc w:val="both"/>
              <w:rPr>
                <w:color w:val="000000"/>
              </w:rPr>
            </w:pPr>
            <w:r w:rsidRPr="00C60ABB">
              <w:rPr>
                <w:rFonts w:ascii="Palatino Linotype" w:eastAsia="Palatino Linotype" w:hAnsi="Palatino Linotype" w:cs="Palatino Linotype"/>
                <w:i/>
                <w:color w:val="000000"/>
              </w:rPr>
              <w:t>Se indicarán las partes o páginas del documento que se clasifican como reservadas, o, en su caso, se precisará que se ha reservado el documento o expediente en su totalidad.</w:t>
            </w:r>
          </w:p>
        </w:tc>
      </w:tr>
      <w:tr w:rsidR="004E626C" w:rsidRPr="00C60ABB" w14:paraId="31E116CD"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8E4E48" w14:textId="77777777" w:rsidR="004E626C" w:rsidRPr="00C60ABB" w:rsidRDefault="004E626C">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5DEDDC" w14:textId="77777777" w:rsidR="004E626C" w:rsidRPr="00C60ABB" w:rsidRDefault="005C42B7">
            <w:pPr>
              <w:pBdr>
                <w:top w:val="nil"/>
                <w:left w:val="nil"/>
                <w:bottom w:val="nil"/>
                <w:right w:val="nil"/>
                <w:between w:val="nil"/>
              </w:pBdr>
              <w:jc w:val="center"/>
              <w:rPr>
                <w:color w:val="000000"/>
              </w:rPr>
            </w:pPr>
            <w:r w:rsidRPr="00C60ABB">
              <w:rPr>
                <w:rFonts w:ascii="Palatino Linotype" w:eastAsia="Palatino Linotype" w:hAnsi="Palatino Linotype" w:cs="Palatino Linotype"/>
                <w:i/>
                <w:color w:val="000000"/>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7AD242" w14:textId="77777777" w:rsidR="004E626C" w:rsidRPr="00C60ABB" w:rsidRDefault="005C42B7">
            <w:pPr>
              <w:pBdr>
                <w:top w:val="nil"/>
                <w:left w:val="nil"/>
                <w:bottom w:val="nil"/>
                <w:right w:val="nil"/>
                <w:between w:val="nil"/>
              </w:pBdr>
              <w:jc w:val="both"/>
              <w:rPr>
                <w:color w:val="000000"/>
              </w:rPr>
            </w:pPr>
            <w:r w:rsidRPr="00C60ABB">
              <w:rPr>
                <w:rFonts w:ascii="Palatino Linotype" w:eastAsia="Palatino Linotype" w:hAnsi="Palatino Linotype" w:cs="Palatino Linotype"/>
                <w:i/>
                <w:color w:val="000000"/>
              </w:rPr>
              <w:t>Se anotará el número de años o meses por los que se mantendrá reservado el documento, el expediente o, en su caso, las partes o secciones reservadas.</w:t>
            </w:r>
          </w:p>
        </w:tc>
      </w:tr>
      <w:tr w:rsidR="004E626C" w:rsidRPr="00C60ABB" w14:paraId="0EC55955"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3494CF" w14:textId="77777777" w:rsidR="004E626C" w:rsidRPr="00C60ABB" w:rsidRDefault="004E626C">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3D96FA" w14:textId="77777777" w:rsidR="004E626C" w:rsidRPr="00C60ABB" w:rsidRDefault="005C42B7">
            <w:pPr>
              <w:pBdr>
                <w:top w:val="nil"/>
                <w:left w:val="nil"/>
                <w:bottom w:val="nil"/>
                <w:right w:val="nil"/>
                <w:between w:val="nil"/>
              </w:pBdr>
              <w:jc w:val="center"/>
              <w:rPr>
                <w:color w:val="000000"/>
              </w:rPr>
            </w:pPr>
            <w:r w:rsidRPr="00C60ABB">
              <w:rPr>
                <w:rFonts w:ascii="Palatino Linotype" w:eastAsia="Palatino Linotype" w:hAnsi="Palatino Linotype" w:cs="Palatino Linotype"/>
                <w:i/>
                <w:color w:val="000000"/>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D5BD20" w14:textId="77777777" w:rsidR="004E626C" w:rsidRPr="00C60ABB" w:rsidRDefault="005C42B7">
            <w:pPr>
              <w:pBdr>
                <w:top w:val="nil"/>
                <w:left w:val="nil"/>
                <w:bottom w:val="nil"/>
                <w:right w:val="nil"/>
                <w:between w:val="nil"/>
              </w:pBdr>
              <w:jc w:val="both"/>
              <w:rPr>
                <w:color w:val="000000"/>
              </w:rPr>
            </w:pPr>
            <w:r w:rsidRPr="00C60ABB">
              <w:rPr>
                <w:rFonts w:ascii="Palatino Linotype" w:eastAsia="Palatino Linotype" w:hAnsi="Palatino Linotype" w:cs="Palatino Linotype"/>
                <w:i/>
                <w:color w:val="000000"/>
              </w:rPr>
              <w:t>Se señalará el nombre del ordenamiento, el o los artículos, fracción(es), párrafo(s) con base en los cuales se sustente la reserva.</w:t>
            </w:r>
          </w:p>
        </w:tc>
      </w:tr>
      <w:tr w:rsidR="004E626C" w:rsidRPr="00C60ABB" w14:paraId="05753B6F"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00CA26" w14:textId="77777777" w:rsidR="004E626C" w:rsidRPr="00C60ABB" w:rsidRDefault="004E626C">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57FD73" w14:textId="77777777" w:rsidR="004E626C" w:rsidRPr="00C60ABB" w:rsidRDefault="005C42B7">
            <w:pPr>
              <w:pBdr>
                <w:top w:val="nil"/>
                <w:left w:val="nil"/>
                <w:bottom w:val="nil"/>
                <w:right w:val="nil"/>
                <w:between w:val="nil"/>
              </w:pBdr>
              <w:jc w:val="center"/>
              <w:rPr>
                <w:color w:val="000000"/>
              </w:rPr>
            </w:pPr>
            <w:r w:rsidRPr="00C60ABB">
              <w:rPr>
                <w:rFonts w:ascii="Palatino Linotype" w:eastAsia="Palatino Linotype" w:hAnsi="Palatino Linotype" w:cs="Palatino Linotype"/>
                <w:i/>
                <w:color w:val="000000"/>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A32953" w14:textId="77777777" w:rsidR="004E626C" w:rsidRPr="00C60ABB" w:rsidRDefault="005C42B7">
            <w:pPr>
              <w:pBdr>
                <w:top w:val="nil"/>
                <w:left w:val="nil"/>
                <w:bottom w:val="nil"/>
                <w:right w:val="nil"/>
                <w:between w:val="nil"/>
              </w:pBdr>
              <w:jc w:val="both"/>
              <w:rPr>
                <w:color w:val="000000"/>
              </w:rPr>
            </w:pPr>
            <w:r w:rsidRPr="00C60ABB">
              <w:rPr>
                <w:rFonts w:ascii="Palatino Linotype" w:eastAsia="Palatino Linotype" w:hAnsi="Palatino Linotype" w:cs="Palatino Linotype"/>
                <w:i/>
                <w:color w:val="000000"/>
              </w:rPr>
              <w:t>En caso de haber solicitado la ampliación del periodo de reserva originalmente establecido, se deberá anotar el número de años o meses por los que se amplía la reserva.</w:t>
            </w:r>
          </w:p>
        </w:tc>
      </w:tr>
      <w:tr w:rsidR="004E626C" w:rsidRPr="00C60ABB" w14:paraId="35F66531"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75C279" w14:textId="77777777" w:rsidR="004E626C" w:rsidRPr="00C60ABB" w:rsidRDefault="004E626C">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B2A228" w14:textId="77777777" w:rsidR="004E626C" w:rsidRPr="00C60ABB" w:rsidRDefault="005C42B7">
            <w:pPr>
              <w:pBdr>
                <w:top w:val="nil"/>
                <w:left w:val="nil"/>
                <w:bottom w:val="nil"/>
                <w:right w:val="nil"/>
                <w:between w:val="nil"/>
              </w:pBdr>
              <w:jc w:val="center"/>
              <w:rPr>
                <w:color w:val="000000"/>
              </w:rPr>
            </w:pPr>
            <w:r w:rsidRPr="00C60ABB">
              <w:rPr>
                <w:rFonts w:ascii="Palatino Linotype" w:eastAsia="Palatino Linotype" w:hAnsi="Palatino Linotype" w:cs="Palatino Linotype"/>
                <w:i/>
                <w:color w:val="000000"/>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03984C" w14:textId="77777777" w:rsidR="004E626C" w:rsidRPr="00C60ABB" w:rsidRDefault="005C42B7">
            <w:pPr>
              <w:pBdr>
                <w:top w:val="nil"/>
                <w:left w:val="nil"/>
                <w:bottom w:val="nil"/>
                <w:right w:val="nil"/>
                <w:between w:val="nil"/>
              </w:pBdr>
              <w:jc w:val="both"/>
              <w:rPr>
                <w:color w:val="000000"/>
              </w:rPr>
            </w:pPr>
            <w:r w:rsidRPr="00C60ABB">
              <w:rPr>
                <w:rFonts w:ascii="Palatino Linotype" w:eastAsia="Palatino Linotype" w:hAnsi="Palatino Linotype" w:cs="Palatino Linotype"/>
                <w:i/>
                <w:color w:val="000000"/>
              </w:rPr>
              <w:t>Rúbrica autógrafa o firma digital de quien clasifica.</w:t>
            </w:r>
          </w:p>
        </w:tc>
      </w:tr>
      <w:tr w:rsidR="004E626C" w:rsidRPr="00C60ABB" w14:paraId="6954E783"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94CA83" w14:textId="77777777" w:rsidR="004E626C" w:rsidRPr="00C60ABB" w:rsidRDefault="004E626C">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29E8E5" w14:textId="77777777" w:rsidR="004E626C" w:rsidRPr="00C60ABB" w:rsidRDefault="005C42B7">
            <w:pPr>
              <w:pBdr>
                <w:top w:val="nil"/>
                <w:left w:val="nil"/>
                <w:bottom w:val="nil"/>
                <w:right w:val="nil"/>
                <w:between w:val="nil"/>
              </w:pBdr>
              <w:jc w:val="center"/>
              <w:rPr>
                <w:color w:val="000000"/>
              </w:rPr>
            </w:pPr>
            <w:r w:rsidRPr="00C60ABB">
              <w:rPr>
                <w:rFonts w:ascii="Palatino Linotype" w:eastAsia="Palatino Linotype" w:hAnsi="Palatino Linotype" w:cs="Palatino Linotype"/>
                <w:i/>
                <w:color w:val="000000"/>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D862D8" w14:textId="77777777" w:rsidR="004E626C" w:rsidRPr="00C60ABB" w:rsidRDefault="005C42B7">
            <w:pPr>
              <w:pBdr>
                <w:top w:val="nil"/>
                <w:left w:val="nil"/>
                <w:bottom w:val="nil"/>
                <w:right w:val="nil"/>
                <w:between w:val="nil"/>
              </w:pBdr>
              <w:jc w:val="both"/>
              <w:rPr>
                <w:color w:val="000000"/>
              </w:rPr>
            </w:pPr>
            <w:r w:rsidRPr="00C60ABB">
              <w:rPr>
                <w:rFonts w:ascii="Palatino Linotype" w:eastAsia="Palatino Linotype" w:hAnsi="Palatino Linotype" w:cs="Palatino Linotype"/>
                <w:i/>
                <w:color w:val="000000"/>
              </w:rPr>
              <w:t>Se anotará la fecha en que se desclasifica el documento.</w:t>
            </w:r>
          </w:p>
        </w:tc>
      </w:tr>
      <w:tr w:rsidR="004E626C" w:rsidRPr="00C60ABB" w14:paraId="6C5FDF9E"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6DC5" w14:textId="77777777" w:rsidR="004E626C" w:rsidRPr="00C60ABB" w:rsidRDefault="004E626C">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7A0EF6" w14:textId="77777777" w:rsidR="004E626C" w:rsidRPr="00C60ABB" w:rsidRDefault="005C42B7">
            <w:pPr>
              <w:pBdr>
                <w:top w:val="nil"/>
                <w:left w:val="nil"/>
                <w:bottom w:val="nil"/>
                <w:right w:val="nil"/>
                <w:between w:val="nil"/>
              </w:pBdr>
              <w:jc w:val="center"/>
              <w:rPr>
                <w:color w:val="000000"/>
              </w:rPr>
            </w:pPr>
            <w:r w:rsidRPr="00C60ABB">
              <w:rPr>
                <w:rFonts w:ascii="Palatino Linotype" w:eastAsia="Palatino Linotype" w:hAnsi="Palatino Linotype" w:cs="Palatino Linotype"/>
                <w:i/>
                <w:color w:val="000000"/>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9CB886" w14:textId="77777777" w:rsidR="004E626C" w:rsidRPr="00C60ABB" w:rsidRDefault="005C42B7">
            <w:pPr>
              <w:pBdr>
                <w:top w:val="nil"/>
                <w:left w:val="nil"/>
                <w:bottom w:val="nil"/>
                <w:right w:val="nil"/>
                <w:between w:val="nil"/>
              </w:pBdr>
              <w:jc w:val="both"/>
              <w:rPr>
                <w:color w:val="000000"/>
              </w:rPr>
            </w:pPr>
            <w:r w:rsidRPr="00C60ABB">
              <w:rPr>
                <w:rFonts w:ascii="Palatino Linotype" w:eastAsia="Palatino Linotype" w:hAnsi="Palatino Linotype" w:cs="Palatino Linotype"/>
                <w:i/>
                <w:color w:val="000000"/>
              </w:rPr>
              <w:t>Rúbrica autógrafa o firma digital de quien desclasifica.</w:t>
            </w:r>
          </w:p>
        </w:tc>
      </w:tr>
      <w:tr w:rsidR="004E626C" w:rsidRPr="00C60ABB" w14:paraId="26F72DC0" w14:textId="77777777">
        <w:trPr>
          <w:gridAfter w:val="2"/>
          <w:wAfter w:w="7173" w:type="dxa"/>
          <w:trHeight w:val="317"/>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2A2AA" w14:textId="77777777" w:rsidR="004E626C" w:rsidRPr="00C60ABB" w:rsidRDefault="004E626C">
            <w:pPr>
              <w:widowControl w:val="0"/>
              <w:pBdr>
                <w:top w:val="nil"/>
                <w:left w:val="nil"/>
                <w:bottom w:val="nil"/>
                <w:right w:val="nil"/>
                <w:between w:val="nil"/>
              </w:pBdr>
              <w:spacing w:line="276" w:lineRule="auto"/>
              <w:rPr>
                <w:color w:val="000000"/>
              </w:rPr>
            </w:pPr>
          </w:p>
        </w:tc>
      </w:tr>
    </w:tbl>
    <w:p w14:paraId="73A2D7FE" w14:textId="77777777" w:rsidR="004E626C" w:rsidRPr="00C60ABB" w:rsidRDefault="005C42B7">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C60ABB">
        <w:rPr>
          <w:rFonts w:ascii="Palatino Linotype" w:eastAsia="Palatino Linotype" w:hAnsi="Palatino Linotype" w:cs="Palatino Linotype"/>
          <w:i/>
          <w:color w:val="000000"/>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494522C9" w14:textId="77777777" w:rsidR="004E626C" w:rsidRPr="00C60ABB" w:rsidRDefault="005C42B7">
      <w:pPr>
        <w:pBdr>
          <w:top w:val="nil"/>
          <w:left w:val="nil"/>
          <w:bottom w:val="nil"/>
          <w:right w:val="nil"/>
          <w:between w:val="nil"/>
        </w:pBdr>
        <w:spacing w:after="160"/>
        <w:ind w:left="709" w:right="709"/>
        <w:jc w:val="both"/>
      </w:pPr>
      <w:r w:rsidRPr="00C60ABB">
        <w:rPr>
          <w:rFonts w:ascii="Palatino Linotype" w:eastAsia="Palatino Linotype" w:hAnsi="Palatino Linotype" w:cs="Palatino Linotype"/>
          <w:i/>
          <w:color w:val="000000"/>
          <w:sz w:val="22"/>
          <w:szCs w:val="22"/>
        </w:rPr>
        <w:t xml:space="preserve">Quincuagésimo quinto. Cada área del sujeto obligado podrá designar formalmente a una o más personas como responsables del </w:t>
      </w:r>
      <w:proofErr w:type="spellStart"/>
      <w:r w:rsidRPr="00C60ABB">
        <w:rPr>
          <w:rFonts w:ascii="Palatino Linotype" w:eastAsia="Palatino Linotype" w:hAnsi="Palatino Linotype" w:cs="Palatino Linotype"/>
          <w:i/>
          <w:color w:val="000000"/>
          <w:sz w:val="22"/>
          <w:szCs w:val="22"/>
        </w:rPr>
        <w:t>testado</w:t>
      </w:r>
      <w:proofErr w:type="spellEnd"/>
      <w:r w:rsidRPr="00C60ABB">
        <w:rPr>
          <w:rFonts w:ascii="Palatino Linotype" w:eastAsia="Palatino Linotype" w:hAnsi="Palatino Linotype" w:cs="Palatino Linotype"/>
          <w:i/>
          <w:color w:val="000000"/>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w:t>
      </w:r>
    </w:p>
    <w:p w14:paraId="7C544811" w14:textId="77777777" w:rsidR="004E626C" w:rsidRPr="00C60ABB" w:rsidRDefault="004E626C">
      <w:pPr>
        <w:jc w:val="both"/>
      </w:pPr>
    </w:p>
    <w:p w14:paraId="485DA637" w14:textId="77777777" w:rsidR="004E626C" w:rsidRPr="00C60ABB" w:rsidRDefault="004E626C">
      <w:pPr>
        <w:rPr>
          <w:color w:val="000000"/>
        </w:rPr>
      </w:pPr>
    </w:p>
    <w:p w14:paraId="4BBE7781" w14:textId="77777777" w:rsidR="004E626C" w:rsidRPr="00C60ABB" w:rsidRDefault="005C42B7">
      <w:pPr>
        <w:spacing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64FB5C70" w14:textId="77777777" w:rsidR="004E626C" w:rsidRPr="00C60ABB" w:rsidRDefault="004E626C">
      <w:pPr>
        <w:spacing w:line="360" w:lineRule="auto"/>
        <w:jc w:val="both"/>
        <w:rPr>
          <w:rFonts w:ascii="Palatino Linotype" w:eastAsia="Palatino Linotype" w:hAnsi="Palatino Linotype" w:cs="Palatino Linotype"/>
        </w:rPr>
      </w:pPr>
    </w:p>
    <w:p w14:paraId="1A1626F5" w14:textId="77777777" w:rsidR="004E626C" w:rsidRPr="00C60ABB" w:rsidRDefault="005C42B7">
      <w:pPr>
        <w:shd w:val="clear" w:color="auto" w:fill="FFFFFF"/>
        <w:spacing w:line="360" w:lineRule="auto"/>
        <w:ind w:right="51"/>
        <w:jc w:val="both"/>
        <w:rPr>
          <w:rFonts w:ascii="Palatino Linotype" w:eastAsia="Palatino Linotype" w:hAnsi="Palatino Linotype" w:cs="Palatino Linotype"/>
        </w:rPr>
      </w:pPr>
      <w:r w:rsidRPr="00C60ABB">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w:t>
      </w:r>
      <w:r w:rsidRPr="00C60ABB">
        <w:rPr>
          <w:rFonts w:ascii="Palatino Linotype" w:eastAsia="Palatino Linotype" w:hAnsi="Palatino Linotype" w:cs="Palatino Linotype"/>
        </w:rPr>
        <w:lastRenderedPageBreak/>
        <w:t xml:space="preserve">acceso a la información del solicitante, por lo que el acuerdo respectivo, deberá hacerse del conocimiento de la parte </w:t>
      </w:r>
      <w:r w:rsidRPr="00C60ABB">
        <w:rPr>
          <w:rFonts w:ascii="Palatino Linotype" w:eastAsia="Palatino Linotype" w:hAnsi="Palatino Linotype" w:cs="Palatino Linotype"/>
          <w:b/>
        </w:rPr>
        <w:t>RECURRENTE</w:t>
      </w:r>
      <w:r w:rsidRPr="00C60ABB">
        <w:rPr>
          <w:rFonts w:ascii="Palatino Linotype" w:eastAsia="Palatino Linotype" w:hAnsi="Palatino Linotype" w:cs="Palatino Linotype"/>
        </w:rPr>
        <w:t>.</w:t>
      </w:r>
    </w:p>
    <w:p w14:paraId="5EE1388E" w14:textId="77777777" w:rsidR="004E626C" w:rsidRPr="00C60ABB" w:rsidRDefault="004E626C">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rPr>
      </w:pPr>
    </w:p>
    <w:p w14:paraId="0143783B" w14:textId="77777777" w:rsidR="004E626C" w:rsidRPr="00C60ABB" w:rsidRDefault="005C42B7">
      <w:pPr>
        <w:pBdr>
          <w:top w:val="nil"/>
          <w:left w:val="nil"/>
          <w:bottom w:val="nil"/>
          <w:right w:val="nil"/>
          <w:between w:val="nil"/>
        </w:pBdr>
        <w:shd w:val="clear" w:color="auto" w:fill="FFFFFF"/>
        <w:spacing w:after="200" w:line="360" w:lineRule="auto"/>
        <w:jc w:val="both"/>
        <w:rPr>
          <w:rFonts w:ascii="Palatino Linotype" w:eastAsia="Palatino Linotype" w:hAnsi="Palatino Linotype" w:cs="Palatino Linotype"/>
          <w:color w:val="000000"/>
        </w:rPr>
      </w:pPr>
      <w:r w:rsidRPr="00C60ABB">
        <w:rPr>
          <w:rFonts w:ascii="Palatino Linotype" w:eastAsia="Palatino Linotype" w:hAnsi="Palatino Linotype" w:cs="Palatino Linotype"/>
          <w:color w:val="000000"/>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14681E57" w14:textId="77777777" w:rsidR="004E626C" w:rsidRPr="00C60ABB" w:rsidRDefault="005C42B7">
      <w:pPr>
        <w:widowControl w:val="0"/>
        <w:spacing w:line="360" w:lineRule="auto"/>
        <w:jc w:val="center"/>
        <w:rPr>
          <w:rFonts w:ascii="Palatino Linotype" w:eastAsia="Palatino Linotype" w:hAnsi="Palatino Linotype" w:cs="Palatino Linotype"/>
          <w:b/>
          <w:color w:val="000000"/>
        </w:rPr>
      </w:pPr>
      <w:r w:rsidRPr="00C60ABB">
        <w:rPr>
          <w:rFonts w:ascii="Palatino Linotype" w:eastAsia="Palatino Linotype" w:hAnsi="Palatino Linotype" w:cs="Palatino Linotype"/>
          <w:b/>
          <w:color w:val="000000"/>
        </w:rPr>
        <w:t>III. R E S U E L V E:</w:t>
      </w:r>
    </w:p>
    <w:p w14:paraId="7960BE34" w14:textId="77777777" w:rsidR="004E626C" w:rsidRPr="00C60ABB" w:rsidRDefault="004E626C">
      <w:pPr>
        <w:pBdr>
          <w:top w:val="nil"/>
          <w:left w:val="nil"/>
          <w:bottom w:val="nil"/>
          <w:right w:val="nil"/>
          <w:between w:val="nil"/>
        </w:pBdr>
        <w:spacing w:line="360" w:lineRule="auto"/>
        <w:jc w:val="both"/>
        <w:rPr>
          <w:rFonts w:ascii="Palatino Linotype" w:eastAsia="Palatino Linotype" w:hAnsi="Palatino Linotype" w:cs="Palatino Linotype"/>
        </w:rPr>
      </w:pPr>
    </w:p>
    <w:p w14:paraId="0F6DCAFD" w14:textId="77777777" w:rsidR="004E626C" w:rsidRPr="00C60ABB" w:rsidRDefault="005C42B7">
      <w:pPr>
        <w:spacing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b/>
        </w:rPr>
        <w:t xml:space="preserve">PRIMERO. </w:t>
      </w:r>
      <w:r w:rsidRPr="00C60ABB">
        <w:rPr>
          <w:rFonts w:ascii="Palatino Linotype" w:eastAsia="Palatino Linotype" w:hAnsi="Palatino Linotype" w:cs="Palatino Linotype"/>
        </w:rPr>
        <w:t>Se</w:t>
      </w:r>
      <w:r w:rsidRPr="00C60ABB">
        <w:t xml:space="preserve"> </w:t>
      </w:r>
      <w:r w:rsidRPr="00C60ABB">
        <w:rPr>
          <w:rFonts w:ascii="Palatino Linotype" w:eastAsia="Palatino Linotype" w:hAnsi="Palatino Linotype" w:cs="Palatino Linotype"/>
          <w:b/>
        </w:rPr>
        <w:t xml:space="preserve">MODIFICA </w:t>
      </w:r>
      <w:r w:rsidRPr="00C60ABB">
        <w:rPr>
          <w:rFonts w:ascii="Palatino Linotype" w:eastAsia="Palatino Linotype" w:hAnsi="Palatino Linotype" w:cs="Palatino Linotype"/>
        </w:rPr>
        <w:t xml:space="preserve">la respuesta entregada por </w:t>
      </w:r>
      <w:r w:rsidRPr="00C60ABB">
        <w:rPr>
          <w:rFonts w:ascii="Palatino Linotype" w:eastAsia="Palatino Linotype" w:hAnsi="Palatino Linotype" w:cs="Palatino Linotype"/>
          <w:b/>
        </w:rPr>
        <w:t xml:space="preserve">EL SUJETO OBLIGADO </w:t>
      </w:r>
      <w:r w:rsidRPr="00C60ABB">
        <w:rPr>
          <w:rFonts w:ascii="Palatino Linotype" w:eastAsia="Palatino Linotype" w:hAnsi="Palatino Linotype" w:cs="Palatino Linotype"/>
        </w:rPr>
        <w:t xml:space="preserve">a la solicitud de información </w:t>
      </w:r>
      <w:r w:rsidRPr="00C60ABB">
        <w:rPr>
          <w:rFonts w:ascii="Palatino Linotype" w:eastAsia="Palatino Linotype" w:hAnsi="Palatino Linotype" w:cs="Palatino Linotype"/>
          <w:b/>
        </w:rPr>
        <w:t xml:space="preserve">00063/CAPULHUA/IP/2023, </w:t>
      </w:r>
      <w:r w:rsidRPr="00C60ABB">
        <w:rPr>
          <w:rFonts w:ascii="Palatino Linotype" w:eastAsia="Palatino Linotype" w:hAnsi="Palatino Linotype" w:cs="Palatino Linotype"/>
        </w:rPr>
        <w:t xml:space="preserve">por resultar parcialmente fundadas las razones o motivos de inconformidad hechos valer por </w:t>
      </w:r>
      <w:r w:rsidRPr="00C60ABB">
        <w:rPr>
          <w:rFonts w:ascii="Palatino Linotype" w:eastAsia="Palatino Linotype" w:hAnsi="Palatino Linotype" w:cs="Palatino Linotype"/>
          <w:b/>
        </w:rPr>
        <w:t xml:space="preserve">la parte RECURRENTE, </w:t>
      </w:r>
      <w:r w:rsidRPr="00C60ABB">
        <w:rPr>
          <w:rFonts w:ascii="Palatino Linotype" w:eastAsia="Palatino Linotype" w:hAnsi="Palatino Linotype" w:cs="Palatino Linotype"/>
        </w:rPr>
        <w:t xml:space="preserve">en el recurso de revisión </w:t>
      </w:r>
      <w:r w:rsidRPr="00C60ABB">
        <w:rPr>
          <w:rFonts w:ascii="Palatino Linotype" w:eastAsia="Palatino Linotype" w:hAnsi="Palatino Linotype" w:cs="Palatino Linotype"/>
          <w:b/>
        </w:rPr>
        <w:t>03344/INFOEM/IP/RR/2023,</w:t>
      </w:r>
      <w:r w:rsidRPr="00C60ABB">
        <w:rPr>
          <w:rFonts w:ascii="Palatino Linotype" w:eastAsia="Palatino Linotype" w:hAnsi="Palatino Linotype" w:cs="Palatino Linotype"/>
        </w:rPr>
        <w:t xml:space="preserve"> en términos del considerando </w:t>
      </w:r>
      <w:r w:rsidRPr="00C60ABB">
        <w:rPr>
          <w:rFonts w:ascii="Palatino Linotype" w:eastAsia="Palatino Linotype" w:hAnsi="Palatino Linotype" w:cs="Palatino Linotype"/>
          <w:b/>
        </w:rPr>
        <w:t>Cuarto</w:t>
      </w:r>
      <w:r w:rsidRPr="00C60ABB">
        <w:rPr>
          <w:rFonts w:ascii="Palatino Linotype" w:eastAsia="Palatino Linotype" w:hAnsi="Palatino Linotype" w:cs="Palatino Linotype"/>
        </w:rPr>
        <w:t xml:space="preserve"> de la presente Resolución.</w:t>
      </w:r>
    </w:p>
    <w:p w14:paraId="021111F9" w14:textId="77777777" w:rsidR="004E626C" w:rsidRPr="00C60ABB" w:rsidRDefault="004E626C">
      <w:pPr>
        <w:spacing w:line="360" w:lineRule="auto"/>
        <w:jc w:val="both"/>
        <w:rPr>
          <w:rFonts w:ascii="Palatino Linotype" w:eastAsia="Palatino Linotype" w:hAnsi="Palatino Linotype" w:cs="Palatino Linotype"/>
          <w:b/>
        </w:rPr>
      </w:pPr>
    </w:p>
    <w:p w14:paraId="63EB2A90" w14:textId="77777777" w:rsidR="004E626C" w:rsidRPr="00C60ABB" w:rsidRDefault="005C42B7">
      <w:pPr>
        <w:spacing w:line="360" w:lineRule="auto"/>
        <w:ind w:right="49"/>
        <w:jc w:val="both"/>
        <w:rPr>
          <w:rFonts w:ascii="Palatino Linotype" w:eastAsia="Palatino Linotype" w:hAnsi="Palatino Linotype" w:cs="Palatino Linotype"/>
        </w:rPr>
      </w:pPr>
      <w:r w:rsidRPr="00C60ABB">
        <w:rPr>
          <w:rFonts w:ascii="Palatino Linotype" w:eastAsia="Palatino Linotype" w:hAnsi="Palatino Linotype" w:cs="Palatino Linotype"/>
          <w:b/>
        </w:rPr>
        <w:t xml:space="preserve">SEGUNDO. </w:t>
      </w:r>
      <w:r w:rsidRPr="00C60ABB">
        <w:rPr>
          <w:rFonts w:ascii="Palatino Linotype" w:eastAsia="Palatino Linotype" w:hAnsi="Palatino Linotype" w:cs="Palatino Linotype"/>
        </w:rPr>
        <w:t>Se</w:t>
      </w:r>
      <w:r w:rsidRPr="00C60ABB">
        <w:rPr>
          <w:rFonts w:ascii="Palatino Linotype" w:eastAsia="Palatino Linotype" w:hAnsi="Palatino Linotype" w:cs="Palatino Linotype"/>
          <w:b/>
        </w:rPr>
        <w:t xml:space="preserve"> ORDENA </w:t>
      </w:r>
      <w:r w:rsidRPr="00C60ABB">
        <w:rPr>
          <w:rFonts w:ascii="Palatino Linotype" w:eastAsia="Palatino Linotype" w:hAnsi="Palatino Linotype" w:cs="Palatino Linotype"/>
        </w:rPr>
        <w:t xml:space="preserve">al </w:t>
      </w:r>
      <w:r w:rsidRPr="00C60ABB">
        <w:rPr>
          <w:rFonts w:ascii="Palatino Linotype" w:eastAsia="Palatino Linotype" w:hAnsi="Palatino Linotype" w:cs="Palatino Linotype"/>
          <w:b/>
        </w:rPr>
        <w:t>SUJETO OBLIGADO</w:t>
      </w:r>
      <w:r w:rsidRPr="00C60ABB">
        <w:rPr>
          <w:rFonts w:ascii="Palatino Linotype" w:eastAsia="Palatino Linotype" w:hAnsi="Palatino Linotype" w:cs="Palatino Linotype"/>
        </w:rPr>
        <w:t xml:space="preserve"> a que,</w:t>
      </w:r>
      <w:r w:rsidRPr="00C60ABB">
        <w:rPr>
          <w:rFonts w:ascii="Palatino Linotype" w:eastAsia="Palatino Linotype" w:hAnsi="Palatino Linotype" w:cs="Palatino Linotype"/>
          <w:b/>
        </w:rPr>
        <w:t xml:space="preserve"> </w:t>
      </w:r>
      <w:r w:rsidRPr="00C60ABB">
        <w:rPr>
          <w:rFonts w:ascii="Palatino Linotype" w:eastAsia="Palatino Linotype" w:hAnsi="Palatino Linotype" w:cs="Palatino Linotype"/>
        </w:rPr>
        <w:t xml:space="preserve">en términos del Considerando Cuarto y Quinto, entregue vía Sistema de Acceso a la Información Mexiquense (SAIMEX) y en versión pública, de manera </w:t>
      </w:r>
      <w:proofErr w:type="gramStart"/>
      <w:r w:rsidRPr="00C60ABB">
        <w:rPr>
          <w:rFonts w:ascii="Palatino Linotype" w:eastAsia="Palatino Linotype" w:hAnsi="Palatino Linotype" w:cs="Palatino Linotype"/>
        </w:rPr>
        <w:t>legible,  lo</w:t>
      </w:r>
      <w:proofErr w:type="gramEnd"/>
      <w:r w:rsidRPr="00C60ABB">
        <w:rPr>
          <w:rFonts w:ascii="Palatino Linotype" w:eastAsia="Palatino Linotype" w:hAnsi="Palatino Linotype" w:cs="Palatino Linotype"/>
        </w:rPr>
        <w:t xml:space="preserve"> siguiente:</w:t>
      </w:r>
    </w:p>
    <w:p w14:paraId="4FCCBD7E" w14:textId="77777777" w:rsidR="004E626C" w:rsidRPr="00C60ABB" w:rsidRDefault="005C42B7">
      <w:pPr>
        <w:numPr>
          <w:ilvl w:val="0"/>
          <w:numId w:val="3"/>
        </w:numPr>
        <w:pBdr>
          <w:top w:val="nil"/>
          <w:left w:val="nil"/>
          <w:bottom w:val="nil"/>
          <w:right w:val="nil"/>
          <w:between w:val="nil"/>
        </w:pBdr>
        <w:spacing w:before="280"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rPr>
        <w:t>Expe</w:t>
      </w:r>
      <w:r w:rsidR="00D531E5" w:rsidRPr="00C60ABB">
        <w:rPr>
          <w:rFonts w:ascii="Palatino Linotype" w:eastAsia="Palatino Linotype" w:hAnsi="Palatino Linotype" w:cs="Palatino Linotype"/>
        </w:rPr>
        <w:t xml:space="preserve">dientes integrados derivados de la contratación para la </w:t>
      </w:r>
      <w:r w:rsidRPr="00C60ABB">
        <w:rPr>
          <w:rFonts w:ascii="Palatino Linotype" w:eastAsia="Palatino Linotype" w:hAnsi="Palatino Linotype" w:cs="Palatino Linotype"/>
          <w:color w:val="000000"/>
        </w:rPr>
        <w:t xml:space="preserve">reparación y mantenimiento de vehículos de la Dirección de Seguridad Pública y Tránsito </w:t>
      </w:r>
      <w:proofErr w:type="gramStart"/>
      <w:r w:rsidRPr="00C60ABB">
        <w:rPr>
          <w:rFonts w:ascii="Palatino Linotype" w:eastAsia="Palatino Linotype" w:hAnsi="Palatino Linotype" w:cs="Palatino Linotype"/>
          <w:color w:val="000000"/>
        </w:rPr>
        <w:t>y  Coordinación</w:t>
      </w:r>
      <w:proofErr w:type="gramEnd"/>
      <w:r w:rsidRPr="00C60ABB">
        <w:rPr>
          <w:rFonts w:ascii="Palatino Linotype" w:eastAsia="Palatino Linotype" w:hAnsi="Palatino Linotype" w:cs="Palatino Linotype"/>
          <w:color w:val="000000"/>
        </w:rPr>
        <w:t xml:space="preserve"> de Protección Civil y Bomberos, as</w:t>
      </w:r>
      <w:r w:rsidRPr="00C60ABB">
        <w:rPr>
          <w:rFonts w:ascii="Palatino Linotype" w:eastAsia="Palatino Linotype" w:hAnsi="Palatino Linotype" w:cs="Palatino Linotype"/>
        </w:rPr>
        <w:t>í como facturas, cheques o transferencias electrónicas que acrediten los pagos por estos conceptos con r</w:t>
      </w:r>
      <w:r w:rsidRPr="00C60ABB">
        <w:rPr>
          <w:rFonts w:ascii="Palatino Linotype" w:eastAsia="Palatino Linotype" w:hAnsi="Palatino Linotype" w:cs="Palatino Linotype"/>
          <w:color w:val="000000"/>
        </w:rPr>
        <w:t xml:space="preserve">ecursos del Fondo de Aportaciones para el Fortalecimiento de los </w:t>
      </w:r>
      <w:r w:rsidRPr="00C60ABB">
        <w:rPr>
          <w:rFonts w:ascii="Palatino Linotype" w:eastAsia="Palatino Linotype" w:hAnsi="Palatino Linotype" w:cs="Palatino Linotype"/>
          <w:color w:val="000000"/>
        </w:rPr>
        <w:lastRenderedPageBreak/>
        <w:t>Municipios y de las Demarcaciones Territoriales del Distrito Federal</w:t>
      </w:r>
      <w:r w:rsidRPr="00C60ABB">
        <w:rPr>
          <w:rFonts w:ascii="Palatino Linotype" w:eastAsia="Palatino Linotype" w:hAnsi="Palatino Linotype" w:cs="Palatino Linotype"/>
        </w:rPr>
        <w:t>, correspondiente al ejercicio fiscal 2022.</w:t>
      </w:r>
    </w:p>
    <w:p w14:paraId="7C18BF54" w14:textId="77777777" w:rsidR="004E626C" w:rsidRPr="00C60ABB" w:rsidRDefault="005C42B7">
      <w:pPr>
        <w:pBdr>
          <w:top w:val="nil"/>
          <w:left w:val="nil"/>
          <w:bottom w:val="nil"/>
          <w:right w:val="nil"/>
          <w:between w:val="nil"/>
        </w:pBdr>
        <w:tabs>
          <w:tab w:val="left" w:pos="851"/>
        </w:tabs>
        <w:spacing w:after="240"/>
        <w:ind w:left="709"/>
        <w:jc w:val="both"/>
        <w:rPr>
          <w:rFonts w:ascii="Palatino Linotype" w:eastAsia="Palatino Linotype" w:hAnsi="Palatino Linotype" w:cs="Palatino Linotype"/>
          <w:i/>
          <w:color w:val="000000"/>
        </w:rPr>
      </w:pPr>
      <w:r w:rsidRPr="00C60ABB">
        <w:rPr>
          <w:rFonts w:ascii="Palatino Linotype" w:eastAsia="Palatino Linotype" w:hAnsi="Palatino Linotype" w:cs="Palatino Linotype"/>
          <w:i/>
          <w:color w:val="000000"/>
        </w:rPr>
        <w:t xml:space="preserve">Debiendo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los que se deberán poner a disposición del </w:t>
      </w:r>
      <w:r w:rsidRPr="00C60ABB">
        <w:rPr>
          <w:rFonts w:ascii="Palatino Linotype" w:eastAsia="Palatino Linotype" w:hAnsi="Palatino Linotype" w:cs="Palatino Linotype"/>
          <w:b/>
          <w:i/>
          <w:color w:val="000000"/>
        </w:rPr>
        <w:t>RECURRENTE</w:t>
      </w:r>
      <w:r w:rsidRPr="00C60ABB">
        <w:rPr>
          <w:rFonts w:ascii="Palatino Linotype" w:eastAsia="Palatino Linotype" w:hAnsi="Palatino Linotype" w:cs="Palatino Linotype"/>
          <w:i/>
          <w:color w:val="000000"/>
        </w:rPr>
        <w:t>, mismo que igualmente hará de su conocimiento.</w:t>
      </w:r>
    </w:p>
    <w:p w14:paraId="720F7D48" w14:textId="77777777" w:rsidR="004E626C" w:rsidRPr="00C60ABB" w:rsidRDefault="004E626C">
      <w:pPr>
        <w:pBdr>
          <w:top w:val="nil"/>
          <w:left w:val="nil"/>
          <w:bottom w:val="nil"/>
          <w:right w:val="nil"/>
          <w:between w:val="nil"/>
        </w:pBdr>
        <w:spacing w:line="276" w:lineRule="auto"/>
        <w:ind w:left="567" w:right="49"/>
        <w:jc w:val="both"/>
        <w:rPr>
          <w:rFonts w:ascii="Palatino Linotype" w:eastAsia="Palatino Linotype" w:hAnsi="Palatino Linotype" w:cs="Palatino Linotype"/>
          <w:i/>
          <w:color w:val="000000"/>
        </w:rPr>
      </w:pPr>
    </w:p>
    <w:p w14:paraId="57462C64" w14:textId="77777777" w:rsidR="004E626C" w:rsidRPr="00C60ABB" w:rsidRDefault="005C42B7">
      <w:pPr>
        <w:spacing w:line="360" w:lineRule="auto"/>
        <w:ind w:right="-93"/>
        <w:jc w:val="both"/>
        <w:rPr>
          <w:rFonts w:ascii="Palatino Linotype" w:eastAsia="Palatino Linotype" w:hAnsi="Palatino Linotype" w:cs="Palatino Linotype"/>
        </w:rPr>
      </w:pPr>
      <w:r w:rsidRPr="00C60ABB">
        <w:rPr>
          <w:rFonts w:ascii="Palatino Linotype" w:eastAsia="Palatino Linotype" w:hAnsi="Palatino Linotype" w:cs="Palatino Linotype"/>
          <w:b/>
        </w:rPr>
        <w:t xml:space="preserve">TERCERO. Notifíquese </w:t>
      </w:r>
      <w:r w:rsidRPr="00C60ABB">
        <w:rPr>
          <w:rFonts w:ascii="Palatino Linotype" w:eastAsia="Palatino Linotype" w:hAnsi="Palatino Linotype" w:cs="Palatino Linotype"/>
        </w:rPr>
        <w:t>la presente resolución al T</w:t>
      </w:r>
      <w:r w:rsidRPr="00C60ABB">
        <w:rPr>
          <w:rFonts w:ascii="Palatino Linotype" w:eastAsia="Palatino Linotype" w:hAnsi="Palatino Linotype" w:cs="Palatino Linotype"/>
          <w:b/>
        </w:rPr>
        <w:t xml:space="preserve">itular de la Unidad de Transparencia </w:t>
      </w:r>
      <w:r w:rsidRPr="00C60ABB">
        <w:rPr>
          <w:rFonts w:ascii="Palatino Linotype" w:eastAsia="Palatino Linotype" w:hAnsi="Palatino Linotype" w:cs="Palatino Linotype"/>
        </w:rPr>
        <w:t xml:space="preserve">del </w:t>
      </w:r>
      <w:r w:rsidRPr="00C60ABB">
        <w:rPr>
          <w:rFonts w:ascii="Palatino Linotype" w:eastAsia="Palatino Linotype" w:hAnsi="Palatino Linotype" w:cs="Palatino Linotype"/>
          <w:b/>
        </w:rPr>
        <w:t>SUJETO OBLIGADO</w:t>
      </w:r>
      <w:r w:rsidRPr="00C60ABB">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A21CE46" w14:textId="77777777" w:rsidR="004E626C" w:rsidRPr="00C60ABB" w:rsidRDefault="004E626C">
      <w:pPr>
        <w:spacing w:line="360" w:lineRule="auto"/>
        <w:ind w:right="-93"/>
        <w:jc w:val="both"/>
        <w:rPr>
          <w:rFonts w:ascii="Palatino Linotype" w:eastAsia="Palatino Linotype" w:hAnsi="Palatino Linotype" w:cs="Palatino Linotype"/>
        </w:rPr>
      </w:pPr>
    </w:p>
    <w:p w14:paraId="3DF31405" w14:textId="77777777" w:rsidR="004E626C" w:rsidRPr="00C60ABB" w:rsidRDefault="005C42B7">
      <w:pPr>
        <w:spacing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b/>
        </w:rPr>
        <w:t xml:space="preserve">CUARTO. </w:t>
      </w:r>
      <w:r w:rsidRPr="00C60ABB">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C60ABB">
        <w:rPr>
          <w:rFonts w:ascii="Palatino Linotype" w:eastAsia="Palatino Linotype" w:hAnsi="Palatino Linotype" w:cs="Palatino Linotype"/>
          <w:b/>
        </w:rPr>
        <w:t>EL SUJETO OBLIGADO</w:t>
      </w:r>
      <w:r w:rsidRPr="00C60ABB">
        <w:rPr>
          <w:rFonts w:ascii="Palatino Linotype" w:eastAsia="Palatino Linotype" w:hAnsi="Palatino Linotype" w:cs="Palatino Linotype"/>
        </w:rPr>
        <w:t xml:space="preserve"> de manera fundada y motivada, podrá solicitar una ampliación de plazo para el cumplimiento de la presente resolución.</w:t>
      </w:r>
    </w:p>
    <w:p w14:paraId="3153CD53" w14:textId="77777777" w:rsidR="004E626C" w:rsidRPr="00C60ABB" w:rsidRDefault="004E626C">
      <w:pPr>
        <w:spacing w:line="360" w:lineRule="auto"/>
        <w:jc w:val="both"/>
        <w:rPr>
          <w:rFonts w:ascii="Palatino Linotype" w:eastAsia="Palatino Linotype" w:hAnsi="Palatino Linotype" w:cs="Palatino Linotype"/>
          <w:b/>
        </w:rPr>
      </w:pPr>
    </w:p>
    <w:p w14:paraId="76F8A3E5" w14:textId="77777777" w:rsidR="004E626C" w:rsidRPr="00C60ABB" w:rsidRDefault="005C42B7">
      <w:pPr>
        <w:spacing w:line="360" w:lineRule="auto"/>
        <w:ind w:right="49"/>
        <w:jc w:val="both"/>
        <w:rPr>
          <w:rFonts w:ascii="Palatino Linotype" w:eastAsia="Palatino Linotype" w:hAnsi="Palatino Linotype" w:cs="Palatino Linotype"/>
        </w:rPr>
      </w:pPr>
      <w:bookmarkStart w:id="3" w:name="_heading=h.2et92p0" w:colFirst="0" w:colLast="0"/>
      <w:bookmarkEnd w:id="3"/>
      <w:r w:rsidRPr="00C60ABB">
        <w:rPr>
          <w:rFonts w:ascii="Palatino Linotype" w:eastAsia="Palatino Linotype" w:hAnsi="Palatino Linotype" w:cs="Palatino Linotype"/>
          <w:b/>
        </w:rPr>
        <w:t>QUINTO. Notifíquese vía SAIMEX</w:t>
      </w:r>
      <w:r w:rsidRPr="00C60ABB">
        <w:rPr>
          <w:rFonts w:ascii="Palatino Linotype" w:eastAsia="Palatino Linotype" w:hAnsi="Palatino Linotype" w:cs="Palatino Linotype"/>
        </w:rPr>
        <w:t xml:space="preserve">, a la parte </w:t>
      </w:r>
      <w:r w:rsidRPr="00C60ABB">
        <w:rPr>
          <w:rFonts w:ascii="Palatino Linotype" w:eastAsia="Palatino Linotype" w:hAnsi="Palatino Linotype" w:cs="Palatino Linotype"/>
          <w:b/>
        </w:rPr>
        <w:t>RECURRENTE</w:t>
      </w:r>
      <w:r w:rsidRPr="00C60ABB">
        <w:rPr>
          <w:rFonts w:ascii="Palatino Linotype" w:eastAsia="Palatino Linotype" w:hAnsi="Palatino Linotype" w:cs="Palatino Linotype"/>
        </w:rPr>
        <w:t xml:space="preserve"> la presente resolución, así como, que de conformidad con lo establecido en el artículo 196 de la </w:t>
      </w:r>
      <w:r w:rsidRPr="00C60ABB">
        <w:rPr>
          <w:rFonts w:ascii="Palatino Linotype" w:eastAsia="Palatino Linotype" w:hAnsi="Palatino Linotype" w:cs="Palatino Linotype"/>
        </w:rPr>
        <w:lastRenderedPageBreak/>
        <w:t>Ley de Transparencia y Acceso a la Información Pública del Estado de México y Municipios, podrá impugnar la presente resolución vía Juicio de Amparo en los términos de las leyes aplicables.</w:t>
      </w:r>
    </w:p>
    <w:p w14:paraId="3BB4719E" w14:textId="77777777" w:rsidR="004E626C" w:rsidRPr="00C60ABB" w:rsidRDefault="005C42B7">
      <w:pPr>
        <w:spacing w:before="240" w:after="240" w:line="360" w:lineRule="auto"/>
        <w:jc w:val="both"/>
        <w:rPr>
          <w:rFonts w:ascii="Palatino Linotype" w:eastAsia="Palatino Linotype" w:hAnsi="Palatino Linotype" w:cs="Palatino Linotype"/>
        </w:rPr>
      </w:pPr>
      <w:r w:rsidRPr="00C60ABB">
        <w:rPr>
          <w:rFonts w:ascii="Palatino Linotype" w:eastAsia="Palatino Linotype" w:hAnsi="Palatino Linotype" w:cs="Palatino Linotype"/>
          <w:b/>
        </w:rPr>
        <w:t>SEXTO</w:t>
      </w:r>
      <w:r w:rsidRPr="00C60ABB">
        <w:rPr>
          <w:rFonts w:ascii="Palatino Linotype" w:eastAsia="Palatino Linotype" w:hAnsi="Palatino Linotype" w:cs="Palatino Linotype"/>
        </w:rPr>
        <w:t>. Gírese oficio a la Dirección de Protección de Datos Personales de este Instituto para hacer de su conocimiento la presente resolución, a fin de que en ejercicio de sus atribuciones y de conformidad con el artículo 82, fracciones XIV, XXII, XXIII y XXV de la Ley de Protección de Datos Personales en Posesión de Sujetos Obligados del Estado de México y Municipios, determine lo conducente, en términos de lo señalado en el Considerando Cuarto de la presente resolución.</w:t>
      </w:r>
    </w:p>
    <w:p w14:paraId="147783C2" w14:textId="486F8EDB" w:rsidR="004E626C" w:rsidRDefault="005C42B7">
      <w:pPr>
        <w:spacing w:before="240" w:after="240" w:line="360" w:lineRule="auto"/>
        <w:jc w:val="both"/>
        <w:rPr>
          <w:rFonts w:ascii="Palatino Linotype" w:eastAsia="Palatino Linotype" w:hAnsi="Palatino Linotype" w:cs="Palatino Linotype"/>
        </w:rPr>
      </w:pPr>
      <w:bookmarkStart w:id="4" w:name="_heading=h.1fob9te" w:colFirst="0" w:colLast="0"/>
      <w:bookmarkEnd w:id="4"/>
      <w:r w:rsidRPr="00C60ABB">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EF43F4" w:rsidRPr="00C60ABB">
        <w:rPr>
          <w:rFonts w:ascii="Palatino Linotype" w:eastAsia="Palatino Linotype" w:hAnsi="Palatino Linotype" w:cs="Palatino Linotype"/>
        </w:rPr>
        <w:t xml:space="preserve"> EMITIENDO VOTO PARTICULAR</w:t>
      </w:r>
      <w:r w:rsidRPr="00C60ABB">
        <w:rPr>
          <w:rFonts w:ascii="Palatino Linotype" w:eastAsia="Palatino Linotype" w:hAnsi="Palatino Linotype" w:cs="Palatino Linotype"/>
        </w:rPr>
        <w:t xml:space="preserve"> Y GUADALUPE RAMÍREZ PEÑA; EN LA CUARTA SESIÓN ORDINARIA CELEBRADA EL OCHO DE FEBRERO DE DOS MIL VEINTICUATRO, ANTE EL SECRETARIO TÉCNICO DEL PLENO ALEXIS TAPIA RAMÍREZ.</w:t>
      </w:r>
    </w:p>
    <w:p w14:paraId="00906D03" w14:textId="77777777" w:rsidR="00C60ABB" w:rsidRDefault="00C60ABB">
      <w:pPr>
        <w:spacing w:before="240" w:after="240" w:line="360" w:lineRule="auto"/>
        <w:jc w:val="both"/>
        <w:rPr>
          <w:rFonts w:ascii="Palatino Linotype" w:eastAsia="Palatino Linotype" w:hAnsi="Palatino Linotype" w:cs="Palatino Linotype"/>
        </w:rPr>
      </w:pPr>
    </w:p>
    <w:p w14:paraId="3FB2BFB7" w14:textId="77777777" w:rsidR="00C60ABB" w:rsidRDefault="00C60ABB">
      <w:pPr>
        <w:spacing w:before="240" w:after="240" w:line="360" w:lineRule="auto"/>
        <w:jc w:val="both"/>
        <w:rPr>
          <w:rFonts w:ascii="Palatino Linotype" w:eastAsia="Palatino Linotype" w:hAnsi="Palatino Linotype" w:cs="Palatino Linotype"/>
        </w:rPr>
      </w:pPr>
    </w:p>
    <w:p w14:paraId="4771AF17" w14:textId="77777777" w:rsidR="00C60ABB" w:rsidRDefault="00C60ABB">
      <w:pPr>
        <w:spacing w:before="240" w:after="240" w:line="360" w:lineRule="auto"/>
        <w:jc w:val="both"/>
        <w:rPr>
          <w:rFonts w:ascii="Palatino Linotype" w:eastAsia="Palatino Linotype" w:hAnsi="Palatino Linotype" w:cs="Palatino Linotype"/>
        </w:rPr>
      </w:pPr>
    </w:p>
    <w:p w14:paraId="6F56E1F7" w14:textId="77777777" w:rsidR="00C60ABB" w:rsidRDefault="00C60ABB">
      <w:pPr>
        <w:spacing w:before="240" w:after="240" w:line="360" w:lineRule="auto"/>
        <w:jc w:val="both"/>
        <w:rPr>
          <w:rFonts w:ascii="Palatino Linotype" w:eastAsia="Palatino Linotype" w:hAnsi="Palatino Linotype" w:cs="Palatino Linotype"/>
        </w:rPr>
      </w:pPr>
    </w:p>
    <w:p w14:paraId="7327AE0C" w14:textId="77777777" w:rsidR="00C60ABB" w:rsidRDefault="00C60ABB">
      <w:pPr>
        <w:spacing w:before="240" w:after="240" w:line="360" w:lineRule="auto"/>
        <w:jc w:val="both"/>
        <w:rPr>
          <w:rFonts w:ascii="Palatino Linotype" w:eastAsia="Palatino Linotype" w:hAnsi="Palatino Linotype" w:cs="Palatino Linotype"/>
        </w:rPr>
      </w:pPr>
    </w:p>
    <w:p w14:paraId="544D0329" w14:textId="77777777" w:rsidR="00C60ABB" w:rsidRDefault="00C60ABB">
      <w:pPr>
        <w:spacing w:before="240" w:after="240" w:line="360" w:lineRule="auto"/>
        <w:jc w:val="both"/>
        <w:rPr>
          <w:rFonts w:ascii="Palatino Linotype" w:eastAsia="Palatino Linotype" w:hAnsi="Palatino Linotype" w:cs="Palatino Linotype"/>
        </w:rPr>
      </w:pPr>
    </w:p>
    <w:p w14:paraId="297F1F07" w14:textId="77777777" w:rsidR="00C60ABB" w:rsidRDefault="00C60ABB">
      <w:pPr>
        <w:spacing w:before="240" w:after="240" w:line="360" w:lineRule="auto"/>
        <w:jc w:val="both"/>
        <w:rPr>
          <w:rFonts w:ascii="Palatino Linotype" w:eastAsia="Palatino Linotype" w:hAnsi="Palatino Linotype" w:cs="Palatino Linotype"/>
        </w:rPr>
      </w:pPr>
    </w:p>
    <w:p w14:paraId="0CD60EF0" w14:textId="77777777" w:rsidR="00C60ABB" w:rsidRDefault="00C60ABB">
      <w:pPr>
        <w:spacing w:before="240" w:after="240" w:line="360" w:lineRule="auto"/>
        <w:jc w:val="both"/>
        <w:rPr>
          <w:rFonts w:ascii="Palatino Linotype" w:eastAsia="Palatino Linotype" w:hAnsi="Palatino Linotype" w:cs="Palatino Linotype"/>
        </w:rPr>
      </w:pPr>
    </w:p>
    <w:p w14:paraId="0B07B3EE" w14:textId="77777777" w:rsidR="00C60ABB" w:rsidRDefault="00C60ABB">
      <w:pPr>
        <w:spacing w:before="240" w:after="240" w:line="360" w:lineRule="auto"/>
        <w:jc w:val="both"/>
        <w:rPr>
          <w:rFonts w:ascii="Palatino Linotype" w:eastAsia="Palatino Linotype" w:hAnsi="Palatino Linotype" w:cs="Palatino Linotype"/>
        </w:rPr>
      </w:pPr>
    </w:p>
    <w:p w14:paraId="418E616A" w14:textId="77777777" w:rsidR="00C60ABB" w:rsidRDefault="00C60ABB">
      <w:pPr>
        <w:spacing w:before="240" w:after="240" w:line="360" w:lineRule="auto"/>
        <w:jc w:val="both"/>
        <w:rPr>
          <w:rFonts w:ascii="Palatino Linotype" w:eastAsia="Palatino Linotype" w:hAnsi="Palatino Linotype" w:cs="Palatino Linotype"/>
        </w:rPr>
      </w:pPr>
    </w:p>
    <w:p w14:paraId="0E3C02F1" w14:textId="77777777" w:rsidR="00C60ABB" w:rsidRDefault="00C60ABB">
      <w:pPr>
        <w:spacing w:before="240" w:after="240" w:line="360" w:lineRule="auto"/>
        <w:jc w:val="both"/>
        <w:rPr>
          <w:rFonts w:ascii="Palatino Linotype" w:eastAsia="Palatino Linotype" w:hAnsi="Palatino Linotype" w:cs="Palatino Linotype"/>
        </w:rPr>
      </w:pPr>
    </w:p>
    <w:p w14:paraId="2F498C74" w14:textId="77777777" w:rsidR="00C60ABB" w:rsidRDefault="00C60ABB">
      <w:pPr>
        <w:spacing w:before="240" w:after="240" w:line="360" w:lineRule="auto"/>
        <w:jc w:val="both"/>
        <w:rPr>
          <w:rFonts w:ascii="Palatino Linotype" w:eastAsia="Palatino Linotype" w:hAnsi="Palatino Linotype" w:cs="Palatino Linotype"/>
        </w:rPr>
      </w:pPr>
    </w:p>
    <w:sectPr w:rsidR="00C60ABB">
      <w:headerReference w:type="default" r:id="rId24"/>
      <w:footerReference w:type="default" r:id="rId25"/>
      <w:headerReference w:type="first" r:id="rId26"/>
      <w:footerReference w:type="first" r:id="rId27"/>
      <w:pgSz w:w="12240" w:h="15840"/>
      <w:pgMar w:top="1985"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B5986" w14:textId="77777777" w:rsidR="006E3710" w:rsidRDefault="006E3710">
      <w:r>
        <w:separator/>
      </w:r>
    </w:p>
  </w:endnote>
  <w:endnote w:type="continuationSeparator" w:id="0">
    <w:p w14:paraId="1D1186D7" w14:textId="77777777" w:rsidR="006E3710" w:rsidRDefault="006E3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E91CF" w14:textId="77777777" w:rsidR="008B3FF0" w:rsidRDefault="008B3FF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C0B8A">
      <w:rPr>
        <w:rFonts w:ascii="Palatino Linotype" w:eastAsia="Palatino Linotype" w:hAnsi="Palatino Linotype" w:cs="Palatino Linotype"/>
        <w:b/>
        <w:noProof/>
        <w:color w:val="000000"/>
        <w:sz w:val="20"/>
        <w:szCs w:val="20"/>
      </w:rPr>
      <w:t>70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C0B8A">
      <w:rPr>
        <w:rFonts w:ascii="Palatino Linotype" w:eastAsia="Palatino Linotype" w:hAnsi="Palatino Linotype" w:cs="Palatino Linotype"/>
        <w:b/>
        <w:noProof/>
        <w:color w:val="000000"/>
        <w:sz w:val="20"/>
        <w:szCs w:val="20"/>
      </w:rPr>
      <w:t>70</w:t>
    </w:r>
    <w:r>
      <w:rPr>
        <w:rFonts w:ascii="Palatino Linotype" w:eastAsia="Palatino Linotype" w:hAnsi="Palatino Linotype" w:cs="Palatino Linotype"/>
        <w:b/>
        <w:color w:val="000000"/>
        <w:sz w:val="20"/>
        <w:szCs w:val="20"/>
      </w:rPr>
      <w:fldChar w:fldCharType="end"/>
    </w:r>
  </w:p>
  <w:p w14:paraId="2BFCA045" w14:textId="77777777" w:rsidR="008B3FF0" w:rsidRDefault="008B3FF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F5F13" w14:textId="77777777" w:rsidR="008B3FF0" w:rsidRDefault="008B3FF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C0B8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C0B8A">
      <w:rPr>
        <w:rFonts w:ascii="Palatino Linotype" w:eastAsia="Palatino Linotype" w:hAnsi="Palatino Linotype" w:cs="Palatino Linotype"/>
        <w:b/>
        <w:noProof/>
        <w:color w:val="000000"/>
        <w:sz w:val="20"/>
        <w:szCs w:val="20"/>
      </w:rPr>
      <w:t>70</w:t>
    </w:r>
    <w:r>
      <w:rPr>
        <w:rFonts w:ascii="Palatino Linotype" w:eastAsia="Palatino Linotype" w:hAnsi="Palatino Linotype" w:cs="Palatino Linotype"/>
        <w:b/>
        <w:color w:val="000000"/>
        <w:sz w:val="20"/>
        <w:szCs w:val="20"/>
      </w:rPr>
      <w:fldChar w:fldCharType="end"/>
    </w:r>
  </w:p>
  <w:p w14:paraId="0E1F1992" w14:textId="77777777" w:rsidR="008B3FF0" w:rsidRDefault="008B3FF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1228D" w14:textId="77777777" w:rsidR="006E3710" w:rsidRDefault="006E3710">
      <w:r>
        <w:separator/>
      </w:r>
    </w:p>
  </w:footnote>
  <w:footnote w:type="continuationSeparator" w:id="0">
    <w:p w14:paraId="4FFFF429" w14:textId="77777777" w:rsidR="006E3710" w:rsidRDefault="006E3710">
      <w:r>
        <w:continuationSeparator/>
      </w:r>
    </w:p>
  </w:footnote>
  <w:footnote w:id="1">
    <w:p w14:paraId="320F3CE8" w14:textId="77777777" w:rsidR="008B3FF0" w:rsidRDefault="008B3FF0">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2">
    <w:p w14:paraId="0DA05CF0" w14:textId="77777777" w:rsidR="008B3FF0" w:rsidRDefault="008B3FF0">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4F25D" w14:textId="77777777" w:rsidR="008B3FF0" w:rsidRDefault="008B3FF0">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5A49EC12" wp14:editId="60F24E12">
          <wp:simplePos x="0" y="0"/>
          <wp:positionH relativeFrom="column">
            <wp:posOffset>-1080130</wp:posOffset>
          </wp:positionH>
          <wp:positionV relativeFrom="paragraph">
            <wp:posOffset>-488310</wp:posOffset>
          </wp:positionV>
          <wp:extent cx="7809865" cy="10165715"/>
          <wp:effectExtent l="0" t="0" r="0" b="0"/>
          <wp:wrapNone/>
          <wp:docPr id="3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
      <w:tblW w:w="5953" w:type="dxa"/>
      <w:tblInd w:w="3261" w:type="dxa"/>
      <w:tblLayout w:type="fixed"/>
      <w:tblLook w:val="0400" w:firstRow="0" w:lastRow="0" w:firstColumn="0" w:lastColumn="0" w:noHBand="0" w:noVBand="1"/>
    </w:tblPr>
    <w:tblGrid>
      <w:gridCol w:w="2489"/>
      <w:gridCol w:w="3464"/>
    </w:tblGrid>
    <w:tr w:rsidR="008B3FF0" w14:paraId="3AEBCBA8" w14:textId="77777777">
      <w:tc>
        <w:tcPr>
          <w:tcW w:w="2489" w:type="dxa"/>
          <w:shd w:val="clear" w:color="auto" w:fill="auto"/>
        </w:tcPr>
        <w:p w14:paraId="6C02BBCA" w14:textId="77777777" w:rsidR="008B3FF0" w:rsidRDefault="008B3FF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3FEB24B3" w14:textId="77777777" w:rsidR="008B3FF0" w:rsidRDefault="008B3FF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03344/INFOEM/IP/RR/2023</w:t>
          </w:r>
        </w:p>
      </w:tc>
    </w:tr>
    <w:tr w:rsidR="008B3FF0" w14:paraId="655C8D23" w14:textId="77777777">
      <w:trPr>
        <w:trHeight w:val="228"/>
      </w:trPr>
      <w:tc>
        <w:tcPr>
          <w:tcW w:w="2489" w:type="dxa"/>
          <w:shd w:val="clear" w:color="auto" w:fill="auto"/>
          <w:vAlign w:val="center"/>
        </w:tcPr>
        <w:p w14:paraId="02F0C3B4" w14:textId="77777777" w:rsidR="008B3FF0" w:rsidRDefault="008B3FF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6990716F" w14:textId="77777777" w:rsidR="008B3FF0" w:rsidRDefault="008B3FF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Capulhuac.</w:t>
          </w:r>
        </w:p>
      </w:tc>
    </w:tr>
    <w:tr w:rsidR="008B3FF0" w14:paraId="0F00509B" w14:textId="77777777">
      <w:tc>
        <w:tcPr>
          <w:tcW w:w="2489" w:type="dxa"/>
          <w:shd w:val="clear" w:color="auto" w:fill="auto"/>
          <w:vAlign w:val="center"/>
        </w:tcPr>
        <w:p w14:paraId="2A9F5214" w14:textId="77777777" w:rsidR="008B3FF0" w:rsidRDefault="008B3FF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D1CA55A" w14:textId="77777777" w:rsidR="008B3FF0" w:rsidRDefault="008B3FF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A20F4CC" w14:textId="77777777" w:rsidR="008B3FF0" w:rsidRDefault="008B3FF0">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B9134" w14:textId="77777777" w:rsidR="008B3FF0" w:rsidRDefault="008B3FF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e"/>
      <w:tblW w:w="5670" w:type="dxa"/>
      <w:tblInd w:w="3261" w:type="dxa"/>
      <w:tblLayout w:type="fixed"/>
      <w:tblLook w:val="0400" w:firstRow="0" w:lastRow="0" w:firstColumn="0" w:lastColumn="0" w:noHBand="0" w:noVBand="1"/>
    </w:tblPr>
    <w:tblGrid>
      <w:gridCol w:w="2551"/>
      <w:gridCol w:w="3119"/>
    </w:tblGrid>
    <w:tr w:rsidR="008B3FF0" w14:paraId="21A78301" w14:textId="77777777">
      <w:tc>
        <w:tcPr>
          <w:tcW w:w="2551" w:type="dxa"/>
          <w:shd w:val="clear" w:color="auto" w:fill="auto"/>
          <w:vAlign w:val="center"/>
        </w:tcPr>
        <w:p w14:paraId="5E3E5E8A" w14:textId="77777777" w:rsidR="008B3FF0" w:rsidRDefault="008B3FF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19BDCE7E" w14:textId="77777777" w:rsidR="008B3FF0" w:rsidRDefault="008B3FF0">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03344/INFOEM/IP/RR/2023</w:t>
          </w:r>
        </w:p>
      </w:tc>
    </w:tr>
    <w:tr w:rsidR="008B3FF0" w14:paraId="457BA421" w14:textId="77777777">
      <w:trPr>
        <w:trHeight w:val="130"/>
      </w:trPr>
      <w:tc>
        <w:tcPr>
          <w:tcW w:w="2551" w:type="dxa"/>
          <w:shd w:val="clear" w:color="auto" w:fill="auto"/>
          <w:vAlign w:val="center"/>
        </w:tcPr>
        <w:p w14:paraId="32597EED" w14:textId="77777777" w:rsidR="008B3FF0" w:rsidRDefault="008B3FF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2E672177" w14:textId="77777777" w:rsidR="008B3FF0" w:rsidRDefault="008B3FF0">
          <w:pPr>
            <w:ind w:right="-533"/>
            <w:jc w:val="both"/>
            <w:rPr>
              <w:rFonts w:ascii="Palatino Linotype" w:eastAsia="Palatino Linotype" w:hAnsi="Palatino Linotype" w:cs="Palatino Linotype"/>
              <w:b/>
              <w:sz w:val="22"/>
              <w:szCs w:val="22"/>
            </w:rPr>
          </w:pPr>
        </w:p>
      </w:tc>
    </w:tr>
    <w:tr w:rsidR="008B3FF0" w14:paraId="1D427276" w14:textId="77777777">
      <w:trPr>
        <w:trHeight w:val="228"/>
      </w:trPr>
      <w:tc>
        <w:tcPr>
          <w:tcW w:w="2551" w:type="dxa"/>
          <w:shd w:val="clear" w:color="auto" w:fill="auto"/>
          <w:vAlign w:val="center"/>
        </w:tcPr>
        <w:p w14:paraId="33544DEC" w14:textId="77777777" w:rsidR="008B3FF0" w:rsidRDefault="008B3FF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443E1899" w14:textId="77777777" w:rsidR="008B3FF0" w:rsidRDefault="008B3FF0">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Capulhuac.</w:t>
          </w:r>
        </w:p>
      </w:tc>
    </w:tr>
    <w:tr w:rsidR="008B3FF0" w14:paraId="3777E5A2" w14:textId="77777777">
      <w:tc>
        <w:tcPr>
          <w:tcW w:w="2551" w:type="dxa"/>
          <w:shd w:val="clear" w:color="auto" w:fill="auto"/>
          <w:vAlign w:val="center"/>
        </w:tcPr>
        <w:p w14:paraId="192DDA48" w14:textId="77777777" w:rsidR="008B3FF0" w:rsidRDefault="008B3FF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0F1BC597" w14:textId="77777777" w:rsidR="008B3FF0" w:rsidRDefault="008B3FF0">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DB13F09" w14:textId="77777777" w:rsidR="008B3FF0" w:rsidRDefault="008B3FF0">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4AA9F915" wp14:editId="75C56DB9">
          <wp:simplePos x="0" y="0"/>
          <wp:positionH relativeFrom="column">
            <wp:posOffset>-1089655</wp:posOffset>
          </wp:positionH>
          <wp:positionV relativeFrom="paragraph">
            <wp:posOffset>-1169665</wp:posOffset>
          </wp:positionV>
          <wp:extent cx="7809865" cy="10165715"/>
          <wp:effectExtent l="0" t="0" r="0" b="0"/>
          <wp:wrapNone/>
          <wp:docPr id="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83C40"/>
    <w:multiLevelType w:val="multilevel"/>
    <w:tmpl w:val="6372704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51C78B0"/>
    <w:multiLevelType w:val="multilevel"/>
    <w:tmpl w:val="95D6A4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030686C"/>
    <w:multiLevelType w:val="multilevel"/>
    <w:tmpl w:val="731C651A"/>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C44367F"/>
    <w:multiLevelType w:val="multilevel"/>
    <w:tmpl w:val="B27824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64612055"/>
    <w:multiLevelType w:val="multilevel"/>
    <w:tmpl w:val="23E0B9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3"/>
  </w:num>
  <w:num w:numId="3">
    <w:abstractNumId w:val="2"/>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626C"/>
    <w:rsid w:val="00221CEF"/>
    <w:rsid w:val="0035711C"/>
    <w:rsid w:val="003C0B8A"/>
    <w:rsid w:val="004E626C"/>
    <w:rsid w:val="005A5EA8"/>
    <w:rsid w:val="005C42B7"/>
    <w:rsid w:val="006923CB"/>
    <w:rsid w:val="006E3710"/>
    <w:rsid w:val="008B3FF0"/>
    <w:rsid w:val="0097762B"/>
    <w:rsid w:val="00AE7397"/>
    <w:rsid w:val="00BD6490"/>
    <w:rsid w:val="00C60ABB"/>
    <w:rsid w:val="00CB121B"/>
    <w:rsid w:val="00D531E5"/>
    <w:rsid w:val="00E95C70"/>
    <w:rsid w:val="00EF43F4"/>
    <w:rsid w:val="00F61C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D984A"/>
  <w15:docId w15:val="{194E5036-D827-4D2C-93CC-41818360C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Fundamentos,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Fundamentos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top w:w="15" w:type="dxa"/>
        <w:left w:w="15" w:type="dxa"/>
        <w:bottom w:w="15" w:type="dxa"/>
        <w:right w:w="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2232D5"/>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top w:w="15" w:type="dxa"/>
        <w:left w:w="115" w:type="dxa"/>
        <w:bottom w:w="15" w:type="dxa"/>
        <w:right w:w="115" w:type="dxa"/>
      </w:tblCellMar>
    </w:tblPr>
  </w:style>
  <w:style w:type="table" w:customStyle="1" w:styleId="af">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791507.page"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saimex.org.mx/saimex/solicitud/downloadAttach/1811107.page"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811106.pag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saimex.org.mx/saimex/solicitud/downloadAttach/1791508.page"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F5/sNJ5gceAoMR9aODmFjkmQKw==">CgMxLjAyCGguZ2pkZ3hzMgloLjMwajB6bGwyCGgudHlqY3d0MgloLjJldDkycDAyCWguMWZvYjl0ZTgAciExMjN2OXA2Nm9YOGxIZGNLRWcwbVg2LThWYW8yc1JsZDI=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70</Pages>
  <Words>17863</Words>
  <Characters>98247</Characters>
  <Application>Microsoft Office Word</Application>
  <DocSecurity>0</DocSecurity>
  <Lines>818</Lines>
  <Paragraphs>231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Villagómez Martínez</cp:lastModifiedBy>
  <cp:revision>2</cp:revision>
  <cp:lastPrinted>2024-02-09T16:29:00Z</cp:lastPrinted>
  <dcterms:created xsi:type="dcterms:W3CDTF">2024-02-16T21:20:00Z</dcterms:created>
  <dcterms:modified xsi:type="dcterms:W3CDTF">2024-02-16T21:20:00Z</dcterms:modified>
</cp:coreProperties>
</file>