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8F5" w:rsidRDefault="00A608F5">
      <w:pPr>
        <w:widowControl w:val="0"/>
        <w:pBdr>
          <w:top w:val="nil"/>
          <w:left w:val="nil"/>
          <w:bottom w:val="nil"/>
          <w:right w:val="nil"/>
          <w:between w:val="nil"/>
        </w:pBdr>
        <w:spacing w:after="0" w:line="276" w:lineRule="auto"/>
        <w:jc w:val="left"/>
      </w:pPr>
    </w:p>
    <w:p w:rsidR="00A608F5" w:rsidRDefault="00A608F5">
      <w:pPr>
        <w:widowControl w:val="0"/>
        <w:pBdr>
          <w:top w:val="nil"/>
          <w:left w:val="nil"/>
          <w:bottom w:val="nil"/>
          <w:right w:val="nil"/>
          <w:between w:val="nil"/>
        </w:pBdr>
        <w:spacing w:after="0" w:line="360" w:lineRule="auto"/>
        <w:jc w:val="left"/>
      </w:pPr>
    </w:p>
    <w:p w:rsidR="00A608F5" w:rsidRDefault="00A608F5">
      <w:pPr>
        <w:widowControl w:val="0"/>
        <w:pBdr>
          <w:top w:val="nil"/>
          <w:left w:val="nil"/>
          <w:bottom w:val="nil"/>
          <w:right w:val="nil"/>
          <w:between w:val="nil"/>
        </w:pBdr>
        <w:spacing w:after="0" w:line="360" w:lineRule="auto"/>
        <w:jc w:val="left"/>
      </w:pPr>
    </w:p>
    <w:p w:rsidR="00A608F5" w:rsidRPr="00996E39" w:rsidRDefault="00831E8B">
      <w:pPr>
        <w:keepNext/>
        <w:keepLines/>
        <w:pBdr>
          <w:top w:val="nil"/>
          <w:left w:val="nil"/>
          <w:bottom w:val="nil"/>
          <w:right w:val="nil"/>
          <w:between w:val="nil"/>
        </w:pBdr>
        <w:spacing w:before="240" w:after="0"/>
        <w:jc w:val="left"/>
        <w:rPr>
          <w:rFonts w:ascii="Calibri" w:eastAsia="Calibri" w:hAnsi="Calibri" w:cs="Calibri"/>
          <w:color w:val="2F5496"/>
          <w:sz w:val="32"/>
          <w:szCs w:val="32"/>
        </w:rPr>
      </w:pPr>
      <w:r w:rsidRPr="00996E39">
        <w:rPr>
          <w:rFonts w:ascii="Calibri" w:eastAsia="Calibri" w:hAnsi="Calibri" w:cs="Calibri"/>
          <w:color w:val="2F5496"/>
          <w:sz w:val="32"/>
          <w:szCs w:val="32"/>
        </w:rPr>
        <w:t>Contenido</w:t>
      </w:r>
    </w:p>
    <w:sdt>
      <w:sdtPr>
        <w:id w:val="-1890178757"/>
        <w:docPartObj>
          <w:docPartGallery w:val="Table of Contents"/>
          <w:docPartUnique/>
        </w:docPartObj>
      </w:sdtPr>
      <w:sdtEndPr/>
      <w:sdtContent>
        <w:p w:rsidR="00A608F5" w:rsidRPr="00996E39" w:rsidRDefault="00831E8B">
          <w:pPr>
            <w:pBdr>
              <w:top w:val="nil"/>
              <w:left w:val="nil"/>
              <w:bottom w:val="nil"/>
              <w:right w:val="nil"/>
              <w:between w:val="nil"/>
            </w:pBdr>
            <w:tabs>
              <w:tab w:val="right" w:pos="9204"/>
            </w:tabs>
            <w:spacing w:after="100"/>
            <w:rPr>
              <w:rFonts w:ascii="Calibri" w:eastAsia="Calibri" w:hAnsi="Calibri" w:cs="Calibri"/>
              <w:color w:val="000000"/>
            </w:rPr>
          </w:pPr>
          <w:r w:rsidRPr="00996E39">
            <w:fldChar w:fldCharType="begin"/>
          </w:r>
          <w:r w:rsidRPr="00996E39">
            <w:instrText xml:space="preserve"> TOC \h \u \z \t "Heading 1,1,Heading 2,2,Heading 3,3,"</w:instrText>
          </w:r>
          <w:r w:rsidRPr="00996E39">
            <w:fldChar w:fldCharType="separate"/>
          </w:r>
          <w:hyperlink w:anchor="_heading=h.1fob9te">
            <w:r w:rsidRPr="00996E39">
              <w:rPr>
                <w:color w:val="000000"/>
              </w:rPr>
              <w:t>A N T E C E D E N T E S</w:t>
            </w:r>
            <w:r w:rsidRPr="00996E39">
              <w:rPr>
                <w:color w:val="000000"/>
              </w:rPr>
              <w:tab/>
              <w:t>2</w:t>
            </w:r>
          </w:hyperlink>
        </w:p>
        <w:p w:rsidR="00A608F5" w:rsidRPr="00996E39" w:rsidRDefault="00826C39">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znysh7">
            <w:r w:rsidR="00831E8B" w:rsidRPr="00996E39">
              <w:rPr>
                <w:color w:val="000000"/>
              </w:rPr>
              <w:t>I. Presentación de la solicitud de información</w:t>
            </w:r>
            <w:r w:rsidR="00831E8B" w:rsidRPr="00996E39">
              <w:rPr>
                <w:color w:val="000000"/>
              </w:rPr>
              <w:tab/>
              <w:t>2</w:t>
            </w:r>
          </w:hyperlink>
        </w:p>
        <w:p w:rsidR="00A608F5" w:rsidRPr="00996E39" w:rsidRDefault="00826C39">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tyjcwt">
            <w:r w:rsidR="00831E8B" w:rsidRPr="00996E39">
              <w:rPr>
                <w:color w:val="000000"/>
              </w:rPr>
              <w:t>II. Respuesta del Sujeto Obligado</w:t>
            </w:r>
            <w:r w:rsidR="00831E8B" w:rsidRPr="00996E39">
              <w:rPr>
                <w:color w:val="000000"/>
              </w:rPr>
              <w:tab/>
              <w:t>3</w:t>
            </w:r>
          </w:hyperlink>
        </w:p>
        <w:p w:rsidR="00A608F5" w:rsidRPr="00996E39" w:rsidRDefault="00826C39">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dy6vkm">
            <w:r w:rsidR="00831E8B" w:rsidRPr="00996E39">
              <w:rPr>
                <w:color w:val="000000"/>
              </w:rPr>
              <w:t>III. Interposición del Recurso de Revisión</w:t>
            </w:r>
            <w:r w:rsidR="00831E8B" w:rsidRPr="00996E39">
              <w:rPr>
                <w:color w:val="000000"/>
              </w:rPr>
              <w:tab/>
              <w:t>3</w:t>
            </w:r>
          </w:hyperlink>
        </w:p>
        <w:p w:rsidR="00A608F5" w:rsidRPr="00996E39" w:rsidRDefault="00826C39">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t3h5sf">
            <w:r w:rsidR="00831E8B" w:rsidRPr="00996E39">
              <w:rPr>
                <w:color w:val="000000"/>
              </w:rPr>
              <w:t>IV. Trámite del Recurso de Revisión ante este Instituto</w:t>
            </w:r>
            <w:r w:rsidR="00831E8B" w:rsidRPr="00996E39">
              <w:rPr>
                <w:color w:val="000000"/>
              </w:rPr>
              <w:tab/>
              <w:t>4</w:t>
            </w:r>
          </w:hyperlink>
        </w:p>
        <w:p w:rsidR="00A608F5" w:rsidRPr="00996E39" w:rsidRDefault="00826C39">
          <w:pPr>
            <w:pBdr>
              <w:top w:val="nil"/>
              <w:left w:val="nil"/>
              <w:bottom w:val="nil"/>
              <w:right w:val="nil"/>
              <w:between w:val="nil"/>
            </w:pBdr>
            <w:tabs>
              <w:tab w:val="right" w:pos="9204"/>
            </w:tabs>
            <w:spacing w:after="100"/>
            <w:rPr>
              <w:rFonts w:ascii="Calibri" w:eastAsia="Calibri" w:hAnsi="Calibri" w:cs="Calibri"/>
              <w:color w:val="000000"/>
            </w:rPr>
          </w:pPr>
          <w:hyperlink w:anchor="_heading=h.4d34og8">
            <w:r w:rsidR="00831E8B" w:rsidRPr="00996E39">
              <w:rPr>
                <w:color w:val="000000"/>
              </w:rPr>
              <w:t>C O N S I D E R A N D O S</w:t>
            </w:r>
            <w:r w:rsidR="00831E8B" w:rsidRPr="00996E39">
              <w:rPr>
                <w:color w:val="000000"/>
              </w:rPr>
              <w:tab/>
              <w:t>5</w:t>
            </w:r>
          </w:hyperlink>
        </w:p>
        <w:p w:rsidR="00A608F5" w:rsidRPr="00996E39" w:rsidRDefault="00826C39">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2s8eyo1">
            <w:r w:rsidR="00831E8B" w:rsidRPr="00996E39">
              <w:rPr>
                <w:color w:val="000000"/>
              </w:rPr>
              <w:t>PRIMERO. Competencia</w:t>
            </w:r>
            <w:r w:rsidR="00831E8B" w:rsidRPr="00996E39">
              <w:rPr>
                <w:color w:val="000000"/>
              </w:rPr>
              <w:tab/>
              <w:t>5</w:t>
            </w:r>
          </w:hyperlink>
        </w:p>
        <w:p w:rsidR="00A608F5" w:rsidRPr="00996E39" w:rsidRDefault="00826C39">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7dp8vu">
            <w:r w:rsidR="00831E8B" w:rsidRPr="00996E39">
              <w:rPr>
                <w:color w:val="000000"/>
              </w:rPr>
              <w:t>SEGUNDO. Causales de improcedencia y sobreseimiento</w:t>
            </w:r>
            <w:r w:rsidR="00831E8B" w:rsidRPr="00996E39">
              <w:rPr>
                <w:color w:val="000000"/>
              </w:rPr>
              <w:tab/>
              <w:t>6</w:t>
            </w:r>
          </w:hyperlink>
        </w:p>
        <w:p w:rsidR="00A608F5" w:rsidRPr="00996E39" w:rsidRDefault="00826C39">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rdcrjn">
            <w:r w:rsidR="00831E8B" w:rsidRPr="00996E39">
              <w:rPr>
                <w:color w:val="000000"/>
              </w:rPr>
              <w:t>TERCERO. Determinación de la Controversia</w:t>
            </w:r>
            <w:r w:rsidR="00831E8B" w:rsidRPr="00996E39">
              <w:rPr>
                <w:color w:val="000000"/>
              </w:rPr>
              <w:tab/>
              <w:t>7</w:t>
            </w:r>
          </w:hyperlink>
        </w:p>
        <w:p w:rsidR="00A608F5" w:rsidRPr="00996E39" w:rsidRDefault="00826C39">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26in1rg">
            <w:r w:rsidR="00831E8B" w:rsidRPr="00996E39">
              <w:rPr>
                <w:color w:val="000000"/>
              </w:rPr>
              <w:t>CUARTO. Marco normativo aplicable en materia de transparencia y acceso a la información pública</w:t>
            </w:r>
            <w:r w:rsidR="00831E8B" w:rsidRPr="00996E39">
              <w:rPr>
                <w:color w:val="000000"/>
              </w:rPr>
              <w:tab/>
              <w:t>8</w:t>
            </w:r>
          </w:hyperlink>
        </w:p>
        <w:p w:rsidR="00A608F5" w:rsidRPr="00996E39" w:rsidRDefault="00826C39">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lnxbz9">
            <w:r w:rsidR="00831E8B" w:rsidRPr="00996E39">
              <w:rPr>
                <w:smallCaps/>
                <w:color w:val="000000"/>
              </w:rPr>
              <w:t>QUINTO.</w:t>
            </w:r>
          </w:hyperlink>
          <w:hyperlink w:anchor="_heading=h.lnxbz9">
            <w:r w:rsidR="00831E8B" w:rsidRPr="00996E39">
              <w:rPr>
                <w:color w:val="000000"/>
              </w:rPr>
              <w:t xml:space="preserve"> Estudio de Fondo</w:t>
            </w:r>
            <w:r w:rsidR="00831E8B" w:rsidRPr="00996E39">
              <w:rPr>
                <w:color w:val="000000"/>
              </w:rPr>
              <w:tab/>
              <w:t>10</w:t>
            </w:r>
          </w:hyperlink>
        </w:p>
        <w:p w:rsidR="00A608F5" w:rsidRPr="00996E39" w:rsidRDefault="00826C39">
          <w:pPr>
            <w:pBdr>
              <w:top w:val="nil"/>
              <w:left w:val="nil"/>
              <w:bottom w:val="nil"/>
              <w:right w:val="nil"/>
              <w:between w:val="nil"/>
            </w:pBdr>
            <w:tabs>
              <w:tab w:val="right" w:pos="9204"/>
            </w:tabs>
            <w:spacing w:after="100"/>
            <w:rPr>
              <w:rFonts w:ascii="Calibri" w:eastAsia="Calibri" w:hAnsi="Calibri" w:cs="Calibri"/>
              <w:color w:val="000000"/>
            </w:rPr>
          </w:pPr>
          <w:hyperlink w:anchor="_heading=h.qsh70q">
            <w:r w:rsidR="00831E8B" w:rsidRPr="00996E39">
              <w:rPr>
                <w:color w:val="000000"/>
              </w:rPr>
              <w:t>R E S U E L V E</w:t>
            </w:r>
            <w:r w:rsidR="00831E8B" w:rsidRPr="00996E39">
              <w:rPr>
                <w:color w:val="000000"/>
              </w:rPr>
              <w:tab/>
              <w:t>24</w:t>
            </w:r>
          </w:hyperlink>
        </w:p>
        <w:p w:rsidR="00A608F5" w:rsidRPr="00996E39" w:rsidRDefault="00831E8B">
          <w:r w:rsidRPr="00996E39">
            <w:fldChar w:fldCharType="end"/>
          </w:r>
        </w:p>
      </w:sdtContent>
    </w:sdt>
    <w:p w:rsidR="00A608F5" w:rsidRPr="00996E39" w:rsidRDefault="00A608F5">
      <w:pPr>
        <w:spacing w:after="0" w:line="360" w:lineRule="auto"/>
      </w:pPr>
    </w:p>
    <w:p w:rsidR="00A608F5" w:rsidRPr="00996E39" w:rsidRDefault="00A608F5">
      <w:pPr>
        <w:spacing w:after="0" w:line="360" w:lineRule="auto"/>
      </w:pPr>
    </w:p>
    <w:p w:rsidR="00A608F5" w:rsidRPr="00996E39" w:rsidRDefault="00831E8B">
      <w:pPr>
        <w:spacing w:after="0" w:line="360" w:lineRule="auto"/>
      </w:pPr>
      <w:r w:rsidRPr="00996E39">
        <w:br w:type="page"/>
      </w:r>
    </w:p>
    <w:p w:rsidR="00A608F5" w:rsidRPr="00996E39" w:rsidRDefault="00A608F5">
      <w:pPr>
        <w:widowControl w:val="0"/>
        <w:pBdr>
          <w:top w:val="nil"/>
          <w:left w:val="nil"/>
          <w:bottom w:val="nil"/>
          <w:right w:val="nil"/>
          <w:between w:val="nil"/>
        </w:pBdr>
        <w:spacing w:after="0" w:line="360" w:lineRule="auto"/>
        <w:jc w:val="left"/>
      </w:pPr>
    </w:p>
    <w:p w:rsidR="00A608F5" w:rsidRPr="00996E39" w:rsidRDefault="00831E8B">
      <w:pPr>
        <w:spacing w:after="0" w:line="360" w:lineRule="auto"/>
      </w:pPr>
      <w:r w:rsidRPr="00996E39">
        <w:t>Resolución del Pleno del Instituto de Transparencia, Acceso a la Información Pública y Protección de Datos Personales del Estado de México y Municipios, con domicilio en Metepec, Estado de México, de fecha veintiuno de noviembre de dos mil veinticuatro.</w:t>
      </w:r>
    </w:p>
    <w:p w:rsidR="00A608F5" w:rsidRPr="00996E39" w:rsidRDefault="00A608F5">
      <w:pPr>
        <w:spacing w:after="0" w:line="360" w:lineRule="auto"/>
        <w:rPr>
          <w:b/>
        </w:rPr>
      </w:pPr>
    </w:p>
    <w:p w:rsidR="00A608F5" w:rsidRPr="00996E39" w:rsidRDefault="00831E8B">
      <w:pPr>
        <w:spacing w:after="0" w:line="360" w:lineRule="auto"/>
      </w:pPr>
      <w:r w:rsidRPr="00996E39">
        <w:rPr>
          <w:b/>
        </w:rPr>
        <w:t>VISTO</w:t>
      </w:r>
      <w:r w:rsidRPr="00996E39">
        <w:t xml:space="preserve"> el expediente conformado con motivo del Recurso de Revisión </w:t>
      </w:r>
      <w:r w:rsidRPr="00996E39">
        <w:rPr>
          <w:b/>
        </w:rPr>
        <w:t>06596/INFOEM/IP/RR/2024</w:t>
      </w:r>
      <w:r w:rsidRPr="00996E39">
        <w:t xml:space="preserve">, interpuesto por </w:t>
      </w:r>
      <w:r w:rsidRPr="00996E39">
        <w:rPr>
          <w:b/>
        </w:rPr>
        <w:t>un Particular</w:t>
      </w:r>
      <w:r w:rsidRPr="00996E39">
        <w:t>, en adelante, la persona Recurrente o Particular, en contra de la respuesta del Sujeto Obligado, Ayuntamiento de Temamatla, se emite la presente Resolución, con base en los antecedentes y considerandos que se exponen a continuación:</w:t>
      </w:r>
    </w:p>
    <w:p w:rsidR="00A608F5" w:rsidRPr="00996E39" w:rsidRDefault="00A608F5">
      <w:pPr>
        <w:spacing w:after="0" w:line="360" w:lineRule="auto"/>
      </w:pPr>
    </w:p>
    <w:p w:rsidR="00A608F5" w:rsidRPr="00996E39" w:rsidRDefault="00831E8B">
      <w:pPr>
        <w:pStyle w:val="Ttulo1"/>
        <w:spacing w:before="0" w:after="0"/>
        <w:rPr>
          <w:sz w:val="22"/>
          <w:szCs w:val="22"/>
        </w:rPr>
      </w:pPr>
      <w:bookmarkStart w:id="0" w:name="_heading=h.1fob9te" w:colFirst="0" w:colLast="0"/>
      <w:bookmarkEnd w:id="0"/>
      <w:r w:rsidRPr="00996E39">
        <w:rPr>
          <w:sz w:val="22"/>
          <w:szCs w:val="22"/>
        </w:rPr>
        <w:t>A N T E C E D E N T E S</w:t>
      </w:r>
    </w:p>
    <w:p w:rsidR="00A608F5" w:rsidRPr="00996E39" w:rsidRDefault="00A608F5">
      <w:pPr>
        <w:spacing w:after="0" w:line="360" w:lineRule="auto"/>
      </w:pPr>
    </w:p>
    <w:p w:rsidR="00A608F5" w:rsidRPr="00996E39" w:rsidRDefault="00831E8B">
      <w:pPr>
        <w:pStyle w:val="Ttulo2"/>
        <w:spacing w:before="0" w:after="0"/>
      </w:pPr>
      <w:bookmarkStart w:id="1" w:name="_heading=h.3znysh7" w:colFirst="0" w:colLast="0"/>
      <w:bookmarkEnd w:id="1"/>
      <w:r w:rsidRPr="00996E39">
        <w:t>I. Presentación de la solicitud de información</w:t>
      </w:r>
    </w:p>
    <w:p w:rsidR="00A608F5" w:rsidRPr="00996E39" w:rsidRDefault="00A608F5">
      <w:pPr>
        <w:tabs>
          <w:tab w:val="left" w:pos="567"/>
        </w:tabs>
        <w:spacing w:after="0" w:line="360" w:lineRule="auto"/>
      </w:pPr>
    </w:p>
    <w:p w:rsidR="00A608F5" w:rsidRPr="00996E39" w:rsidRDefault="00831E8B">
      <w:pPr>
        <w:spacing w:after="0" w:line="360" w:lineRule="auto"/>
        <w:rPr>
          <w:color w:val="000000"/>
        </w:rPr>
      </w:pPr>
      <w:r w:rsidRPr="00996E39">
        <w:t xml:space="preserve">Con fecha veinticinco de septiembre de dos mil veinticuatro, </w:t>
      </w:r>
      <w:r w:rsidRPr="00996E39">
        <w:rPr>
          <w:color w:val="000000"/>
        </w:rPr>
        <w:t xml:space="preserve">la persona Particular presentó una solicitud de acceso a la información pública, </w:t>
      </w:r>
      <w:r w:rsidRPr="00996E39">
        <w:t>a través del</w:t>
      </w:r>
      <w:r w:rsidRPr="00996E39">
        <w:rPr>
          <w:color w:val="000000"/>
        </w:rPr>
        <w:t xml:space="preserve"> Sistema de Acceso a la Información Mexiquense, en lo sucesivo el SAIMEX, ante el </w:t>
      </w:r>
      <w:r w:rsidRPr="00996E39">
        <w:rPr>
          <w:b/>
        </w:rPr>
        <w:t>Ayuntamiento de Temamatla</w:t>
      </w:r>
      <w:r w:rsidRPr="00996E39">
        <w:rPr>
          <w:color w:val="000000"/>
        </w:rPr>
        <w:t>, en la que requirió lo siguiente:</w:t>
      </w:r>
    </w:p>
    <w:p w:rsidR="00A608F5" w:rsidRPr="00996E39" w:rsidRDefault="00A608F5">
      <w:pPr>
        <w:spacing w:after="0" w:line="360" w:lineRule="auto"/>
        <w:rPr>
          <w:color w:val="000000"/>
        </w:rPr>
      </w:pPr>
    </w:p>
    <w:p w:rsidR="00A608F5" w:rsidRPr="00996E39" w:rsidRDefault="00831E8B">
      <w:pPr>
        <w:tabs>
          <w:tab w:val="left" w:pos="567"/>
        </w:tabs>
        <w:spacing w:after="0" w:line="360" w:lineRule="auto"/>
        <w:ind w:left="567" w:right="709"/>
        <w:rPr>
          <w:b/>
          <w:sz w:val="20"/>
          <w:szCs w:val="20"/>
        </w:rPr>
      </w:pPr>
      <w:r w:rsidRPr="00996E39">
        <w:rPr>
          <w:b/>
          <w:sz w:val="20"/>
          <w:szCs w:val="20"/>
        </w:rPr>
        <w:t>Folio de la solicitud: 00314/TEMAMATL/IP/2024</w:t>
      </w:r>
    </w:p>
    <w:p w:rsidR="00A608F5" w:rsidRPr="00996E39" w:rsidRDefault="00831E8B">
      <w:pPr>
        <w:tabs>
          <w:tab w:val="left" w:pos="567"/>
        </w:tabs>
        <w:spacing w:after="0" w:line="360" w:lineRule="auto"/>
        <w:ind w:left="567" w:right="709"/>
        <w:rPr>
          <w:b/>
          <w:sz w:val="20"/>
          <w:szCs w:val="20"/>
        </w:rPr>
      </w:pPr>
      <w:r w:rsidRPr="00996E39">
        <w:rPr>
          <w:b/>
          <w:sz w:val="20"/>
          <w:szCs w:val="20"/>
        </w:rPr>
        <w:t>DESCRIPCIÓN CLARA Y PRECISA DE LA INFORMACIÓN SOLICITADA</w:t>
      </w:r>
    </w:p>
    <w:p w:rsidR="00A608F5" w:rsidRPr="00996E39" w:rsidRDefault="00831E8B">
      <w:pPr>
        <w:tabs>
          <w:tab w:val="left" w:pos="4667"/>
        </w:tabs>
        <w:spacing w:after="0" w:line="360" w:lineRule="auto"/>
        <w:ind w:left="567" w:right="709"/>
        <w:rPr>
          <w:i/>
          <w:sz w:val="20"/>
          <w:szCs w:val="20"/>
        </w:rPr>
      </w:pPr>
      <w:r w:rsidRPr="00996E39">
        <w:rPr>
          <w:i/>
          <w:sz w:val="20"/>
          <w:szCs w:val="20"/>
        </w:rPr>
        <w:t xml:space="preserve">“Cual </w:t>
      </w:r>
      <w:proofErr w:type="spellStart"/>
      <w:r w:rsidRPr="00996E39">
        <w:rPr>
          <w:i/>
          <w:sz w:val="20"/>
          <w:szCs w:val="20"/>
        </w:rPr>
        <w:t>a</w:t>
      </w:r>
      <w:proofErr w:type="spellEnd"/>
      <w:r w:rsidRPr="00996E39">
        <w:rPr>
          <w:i/>
          <w:sz w:val="20"/>
          <w:szCs w:val="20"/>
        </w:rPr>
        <w:t xml:space="preserve"> sido el monto mensual de gasto por concepto de eventos culturales, desfiles y demás eventos </w:t>
      </w:r>
      <w:proofErr w:type="spellStart"/>
      <w:r w:rsidRPr="00996E39">
        <w:rPr>
          <w:i/>
          <w:sz w:val="20"/>
          <w:szCs w:val="20"/>
        </w:rPr>
        <w:t>civicos</w:t>
      </w:r>
      <w:proofErr w:type="spellEnd"/>
      <w:r w:rsidRPr="00996E39">
        <w:rPr>
          <w:i/>
          <w:sz w:val="20"/>
          <w:szCs w:val="20"/>
        </w:rPr>
        <w:t xml:space="preserve"> durante la administración 2022 2024, cual ha sido el proveedor o proveedores, requiero la información desglosada por </w:t>
      </w:r>
      <w:proofErr w:type="gramStart"/>
      <w:r w:rsidRPr="00996E39">
        <w:rPr>
          <w:i/>
          <w:sz w:val="20"/>
          <w:szCs w:val="20"/>
        </w:rPr>
        <w:t>mes ,</w:t>
      </w:r>
      <w:proofErr w:type="gramEnd"/>
      <w:r w:rsidRPr="00996E39">
        <w:rPr>
          <w:i/>
          <w:sz w:val="20"/>
          <w:szCs w:val="20"/>
        </w:rPr>
        <w:t xml:space="preserve"> favor de adjuntar las pólizas de egresos por este concepto.” (Sic.)</w:t>
      </w:r>
    </w:p>
    <w:p w:rsidR="00A608F5" w:rsidRPr="00996E39" w:rsidRDefault="00831E8B">
      <w:pPr>
        <w:tabs>
          <w:tab w:val="left" w:pos="4667"/>
        </w:tabs>
        <w:spacing w:after="0" w:line="360" w:lineRule="auto"/>
        <w:ind w:left="567" w:right="709"/>
        <w:rPr>
          <w:i/>
          <w:sz w:val="20"/>
          <w:szCs w:val="20"/>
        </w:rPr>
      </w:pPr>
      <w:r w:rsidRPr="00996E39">
        <w:rPr>
          <w:i/>
          <w:sz w:val="20"/>
          <w:szCs w:val="20"/>
        </w:rPr>
        <w:t xml:space="preserve"> </w:t>
      </w:r>
    </w:p>
    <w:p w:rsidR="00A608F5" w:rsidRPr="00996E39" w:rsidRDefault="00831E8B">
      <w:pPr>
        <w:pBdr>
          <w:top w:val="nil"/>
          <w:left w:val="nil"/>
          <w:bottom w:val="nil"/>
          <w:right w:val="nil"/>
          <w:between w:val="nil"/>
        </w:pBdr>
        <w:tabs>
          <w:tab w:val="left" w:pos="567"/>
        </w:tabs>
        <w:spacing w:after="0" w:line="360" w:lineRule="auto"/>
        <w:ind w:left="567" w:right="709"/>
        <w:rPr>
          <w:i/>
          <w:color w:val="000000"/>
          <w:sz w:val="20"/>
          <w:szCs w:val="20"/>
        </w:rPr>
      </w:pPr>
      <w:r w:rsidRPr="00996E39">
        <w:rPr>
          <w:b/>
          <w:color w:val="000000"/>
          <w:sz w:val="20"/>
          <w:szCs w:val="20"/>
        </w:rPr>
        <w:t xml:space="preserve">MODALIDAD DE ENTREGA </w:t>
      </w:r>
      <w:r w:rsidRPr="00996E39">
        <w:rPr>
          <w:i/>
          <w:color w:val="000000"/>
          <w:sz w:val="20"/>
          <w:szCs w:val="20"/>
        </w:rPr>
        <w:t>“A través del SAIMEX”</w:t>
      </w:r>
    </w:p>
    <w:p w:rsidR="00A608F5" w:rsidRPr="00996E39" w:rsidRDefault="00831E8B">
      <w:pPr>
        <w:pStyle w:val="Ttulo2"/>
        <w:spacing w:before="0" w:after="0"/>
      </w:pPr>
      <w:bookmarkStart w:id="2" w:name="_heading=h.tyjcwt" w:colFirst="0" w:colLast="0"/>
      <w:bookmarkEnd w:id="2"/>
      <w:r w:rsidRPr="00996E39">
        <w:lastRenderedPageBreak/>
        <w:t>II. Respuesta del Sujeto Obligado</w:t>
      </w:r>
    </w:p>
    <w:p w:rsidR="00A608F5" w:rsidRPr="00996E39" w:rsidRDefault="00A608F5">
      <w:pPr>
        <w:spacing w:after="0" w:line="360" w:lineRule="auto"/>
      </w:pPr>
    </w:p>
    <w:p w:rsidR="00A608F5" w:rsidRPr="00996E39" w:rsidRDefault="00831E8B">
      <w:pPr>
        <w:spacing w:after="0" w:line="360" w:lineRule="auto"/>
      </w:pPr>
      <w:r w:rsidRPr="00996E39">
        <w:t>El diecisiete de octubre de dos mil veinticuatro, el Sujeto Obligado otorgó respuesta a través de SAIMEX, mediante dos documentos, de los que se desprende lo siguiente:</w:t>
      </w:r>
    </w:p>
    <w:p w:rsidR="00A608F5" w:rsidRPr="00996E39" w:rsidRDefault="00A608F5">
      <w:pPr>
        <w:spacing w:after="0" w:line="360" w:lineRule="auto"/>
      </w:pPr>
    </w:p>
    <w:p w:rsidR="00A608F5" w:rsidRPr="00996E39" w:rsidRDefault="00831E8B">
      <w:pPr>
        <w:numPr>
          <w:ilvl w:val="0"/>
          <w:numId w:val="3"/>
        </w:numPr>
        <w:pBdr>
          <w:top w:val="nil"/>
          <w:left w:val="nil"/>
          <w:bottom w:val="nil"/>
          <w:right w:val="nil"/>
          <w:between w:val="nil"/>
        </w:pBdr>
        <w:spacing w:after="0" w:line="360" w:lineRule="auto"/>
        <w:ind w:right="567"/>
        <w:rPr>
          <w:color w:val="000000"/>
        </w:rPr>
      </w:pPr>
      <w:r w:rsidRPr="00996E39">
        <w:rPr>
          <w:color w:val="000000"/>
        </w:rPr>
        <w:t xml:space="preserve">Oficio suscrito por la Tesorera Municipal, en el que señaló una liga electrónica en formato cerrado para consultar la información y señaló que se encuentra en los estados comparativos de egresos. </w:t>
      </w:r>
    </w:p>
    <w:p w:rsidR="00A608F5" w:rsidRPr="00996E39" w:rsidRDefault="00831E8B">
      <w:pPr>
        <w:numPr>
          <w:ilvl w:val="0"/>
          <w:numId w:val="3"/>
        </w:numPr>
        <w:pBdr>
          <w:top w:val="nil"/>
          <w:left w:val="nil"/>
          <w:bottom w:val="nil"/>
          <w:right w:val="nil"/>
          <w:between w:val="nil"/>
        </w:pBdr>
        <w:spacing w:after="0" w:line="360" w:lineRule="auto"/>
        <w:ind w:right="567"/>
        <w:rPr>
          <w:color w:val="000000"/>
        </w:rPr>
      </w:pPr>
      <w:r w:rsidRPr="00996E39">
        <w:rPr>
          <w:color w:val="000000"/>
        </w:rPr>
        <w:t xml:space="preserve">Acta ACT/TEMA/UTAIP/ORDINARIA/83/2024 correspondiente a la </w:t>
      </w:r>
      <w:proofErr w:type="spellStart"/>
      <w:r w:rsidRPr="00996E39">
        <w:rPr>
          <w:color w:val="000000"/>
        </w:rPr>
        <w:t>octagésima</w:t>
      </w:r>
      <w:proofErr w:type="spellEnd"/>
      <w:r w:rsidRPr="00996E39">
        <w:rPr>
          <w:color w:val="000000"/>
        </w:rPr>
        <w:t xml:space="preserve"> tercera sesión ordinaria del Comité de Transparencia, en el que se aprobó el cambio de modalidad de entrega de la información a consulta en sitio de diversas solicitudes, entre ellas la que nos ocupa.</w:t>
      </w:r>
    </w:p>
    <w:p w:rsidR="00A608F5" w:rsidRPr="00996E39" w:rsidRDefault="00A608F5">
      <w:pPr>
        <w:pBdr>
          <w:top w:val="nil"/>
          <w:left w:val="nil"/>
          <w:bottom w:val="nil"/>
          <w:right w:val="nil"/>
          <w:between w:val="nil"/>
        </w:pBdr>
        <w:spacing w:after="0" w:line="360" w:lineRule="auto"/>
        <w:ind w:right="567"/>
        <w:rPr>
          <w:color w:val="000000"/>
        </w:rPr>
      </w:pPr>
    </w:p>
    <w:p w:rsidR="00A608F5" w:rsidRPr="00996E39" w:rsidRDefault="00831E8B">
      <w:pPr>
        <w:pStyle w:val="Ttulo2"/>
        <w:spacing w:before="0" w:after="0"/>
      </w:pPr>
      <w:bookmarkStart w:id="3" w:name="_heading=h.3dy6vkm" w:colFirst="0" w:colLast="0"/>
      <w:bookmarkEnd w:id="3"/>
      <w:r w:rsidRPr="00996E39">
        <w:t>III. Interposición del Recurso de Revisión</w:t>
      </w:r>
    </w:p>
    <w:p w:rsidR="00A608F5" w:rsidRPr="00996E39" w:rsidRDefault="00A608F5">
      <w:pPr>
        <w:spacing w:after="0" w:line="360" w:lineRule="auto"/>
        <w:rPr>
          <w:b/>
        </w:rPr>
      </w:pPr>
    </w:p>
    <w:p w:rsidR="00A608F5" w:rsidRPr="00996E39" w:rsidRDefault="00831E8B">
      <w:pPr>
        <w:spacing w:after="0" w:line="360" w:lineRule="auto"/>
      </w:pPr>
      <w:bookmarkStart w:id="4" w:name="_heading=h.2et92p0" w:colFirst="0" w:colLast="0"/>
      <w:bookmarkEnd w:id="4"/>
      <w:r w:rsidRPr="00996E39">
        <w:t>Con fecha veintitrés de octubre de dos mil veinticuatro, se recibió en este Instituto, a través del SAIMEX, el Recurso de Revisión interpuesto por la persona Solicitante, en los siguientes términos:</w:t>
      </w:r>
    </w:p>
    <w:p w:rsidR="00A608F5" w:rsidRPr="00996E39" w:rsidRDefault="00A608F5">
      <w:pPr>
        <w:spacing w:after="0" w:line="360" w:lineRule="auto"/>
      </w:pPr>
    </w:p>
    <w:p w:rsidR="00A608F5" w:rsidRPr="00996E39" w:rsidRDefault="00831E8B">
      <w:pPr>
        <w:spacing w:after="0" w:line="360" w:lineRule="auto"/>
        <w:ind w:left="567" w:right="709"/>
        <w:rPr>
          <w:b/>
          <w:sz w:val="20"/>
          <w:szCs w:val="20"/>
        </w:rPr>
      </w:pPr>
      <w:r w:rsidRPr="00996E39">
        <w:rPr>
          <w:b/>
          <w:sz w:val="20"/>
          <w:szCs w:val="20"/>
        </w:rPr>
        <w:t>ACTO IMPUGNADO</w:t>
      </w:r>
      <w:r w:rsidRPr="00996E39">
        <w:rPr>
          <w:b/>
          <w:sz w:val="20"/>
          <w:szCs w:val="20"/>
        </w:rPr>
        <w:tab/>
      </w:r>
    </w:p>
    <w:p w:rsidR="00A608F5" w:rsidRPr="00996E39" w:rsidRDefault="00831E8B">
      <w:pPr>
        <w:spacing w:after="0" w:line="360" w:lineRule="auto"/>
        <w:ind w:left="567" w:right="709"/>
        <w:rPr>
          <w:i/>
          <w:sz w:val="20"/>
          <w:szCs w:val="20"/>
        </w:rPr>
      </w:pPr>
      <w:r w:rsidRPr="00996E39">
        <w:rPr>
          <w:i/>
          <w:sz w:val="20"/>
          <w:szCs w:val="20"/>
        </w:rPr>
        <w:t xml:space="preserve">“RESPUESTA A SOLICITUD.” </w:t>
      </w:r>
    </w:p>
    <w:p w:rsidR="00A608F5" w:rsidRPr="00996E39" w:rsidRDefault="00A608F5">
      <w:pPr>
        <w:spacing w:after="0" w:line="360" w:lineRule="auto"/>
        <w:ind w:left="567" w:right="709"/>
        <w:rPr>
          <w:sz w:val="20"/>
          <w:szCs w:val="20"/>
        </w:rPr>
      </w:pPr>
    </w:p>
    <w:p w:rsidR="00A608F5" w:rsidRPr="00996E39" w:rsidRDefault="00831E8B">
      <w:pPr>
        <w:spacing w:after="0" w:line="360" w:lineRule="auto"/>
        <w:ind w:left="567" w:right="709"/>
        <w:rPr>
          <w:b/>
          <w:sz w:val="20"/>
          <w:szCs w:val="20"/>
        </w:rPr>
      </w:pPr>
      <w:r w:rsidRPr="00996E39">
        <w:rPr>
          <w:b/>
          <w:sz w:val="20"/>
          <w:szCs w:val="20"/>
        </w:rPr>
        <w:t>RAZONES O MOTIVOS DE LA INCONFORMIDAD</w:t>
      </w:r>
      <w:r w:rsidRPr="00996E39">
        <w:rPr>
          <w:b/>
          <w:sz w:val="20"/>
          <w:szCs w:val="20"/>
        </w:rPr>
        <w:tab/>
      </w:r>
    </w:p>
    <w:p w:rsidR="00A608F5" w:rsidRPr="00996E39" w:rsidRDefault="00831E8B">
      <w:pPr>
        <w:tabs>
          <w:tab w:val="left" w:pos="4667"/>
        </w:tabs>
        <w:spacing w:after="0" w:line="360" w:lineRule="auto"/>
        <w:ind w:left="567" w:right="709"/>
        <w:rPr>
          <w:i/>
          <w:sz w:val="20"/>
          <w:szCs w:val="20"/>
        </w:rPr>
      </w:pPr>
      <w:r w:rsidRPr="00996E39">
        <w:rPr>
          <w:i/>
          <w:sz w:val="20"/>
          <w:szCs w:val="20"/>
        </w:rPr>
        <w:t xml:space="preserve">“EL SUJETO OBLIGADO REFIERE EN SU RESPUESTA UNA </w:t>
      </w:r>
      <w:r w:rsidRPr="00996E39">
        <w:rPr>
          <w:b/>
          <w:i/>
          <w:sz w:val="20"/>
          <w:szCs w:val="20"/>
        </w:rPr>
        <w:t xml:space="preserve">LIGA PARA LA CONSULTA DE LA INFORMACION </w:t>
      </w:r>
      <w:r w:rsidRPr="00996E39">
        <w:rPr>
          <w:i/>
          <w:sz w:val="20"/>
          <w:szCs w:val="20"/>
        </w:rPr>
        <w:t xml:space="preserve">SIN EMBARGO EN SU PLATAFORMA NO SE ENCUENTRA LA INFORMACION DE MANERA ESPECIFICA DEACUERDO A MI </w:t>
      </w:r>
      <w:r w:rsidRPr="00996E39">
        <w:rPr>
          <w:i/>
          <w:sz w:val="20"/>
          <w:szCs w:val="20"/>
        </w:rPr>
        <w:lastRenderedPageBreak/>
        <w:t xml:space="preserve">SOLICITUD LA INFORMACION ES GLOBAL Y GENERALIZADA, NI TAMPOCO SE ENCUENTRAN </w:t>
      </w:r>
      <w:r w:rsidRPr="00996E39">
        <w:rPr>
          <w:b/>
          <w:i/>
          <w:sz w:val="20"/>
          <w:szCs w:val="20"/>
        </w:rPr>
        <w:t>LAS POLIZAS</w:t>
      </w:r>
      <w:r w:rsidRPr="00996E39">
        <w:rPr>
          <w:i/>
          <w:sz w:val="20"/>
          <w:szCs w:val="20"/>
        </w:rPr>
        <w:t xml:space="preserve"> DE LA INFORMACION SOLICITADA” (sic.)</w:t>
      </w:r>
    </w:p>
    <w:p w:rsidR="00A608F5" w:rsidRPr="00996E39" w:rsidRDefault="00A608F5">
      <w:pPr>
        <w:tabs>
          <w:tab w:val="left" w:pos="4667"/>
        </w:tabs>
        <w:spacing w:after="0" w:line="360" w:lineRule="auto"/>
        <w:ind w:right="537"/>
      </w:pPr>
    </w:p>
    <w:p w:rsidR="00A608F5" w:rsidRPr="00996E39" w:rsidRDefault="00831E8B">
      <w:pPr>
        <w:pStyle w:val="Ttulo2"/>
        <w:spacing w:before="0" w:after="0"/>
      </w:pPr>
      <w:bookmarkStart w:id="5" w:name="_heading=h.1t3h5sf" w:colFirst="0" w:colLast="0"/>
      <w:bookmarkEnd w:id="5"/>
      <w:r w:rsidRPr="00996E39">
        <w:t>IV. Trámite del Recurso de Revisión ante este Instituto</w:t>
      </w:r>
    </w:p>
    <w:p w:rsidR="00A608F5" w:rsidRPr="00996E39" w:rsidRDefault="00A608F5">
      <w:pPr>
        <w:spacing w:after="0" w:line="360" w:lineRule="auto"/>
        <w:rPr>
          <w:b/>
        </w:rPr>
      </w:pPr>
    </w:p>
    <w:p w:rsidR="00A608F5" w:rsidRPr="00996E39" w:rsidRDefault="00831E8B">
      <w:pPr>
        <w:spacing w:after="0" w:line="360" w:lineRule="auto"/>
        <w:rPr>
          <w:color w:val="000000"/>
        </w:rPr>
      </w:pPr>
      <w:r w:rsidRPr="00996E39">
        <w:rPr>
          <w:b/>
        </w:rPr>
        <w:t>a) Turno del Medio de Impugnación.</w:t>
      </w:r>
      <w:r w:rsidRPr="00996E39">
        <w:t xml:space="preserve"> </w:t>
      </w:r>
      <w:r w:rsidRPr="00996E39">
        <w:rPr>
          <w:color w:val="000000"/>
        </w:rPr>
        <w:t xml:space="preserve">El veintitrés de octubre de dos mil veinticuatro, el SAIMEX, asignó el número de expediente </w:t>
      </w:r>
      <w:r w:rsidRPr="00996E39">
        <w:rPr>
          <w:b/>
          <w:color w:val="000000"/>
        </w:rPr>
        <w:t xml:space="preserve">06596/INFOEM/IP/RR/2024, </w:t>
      </w:r>
      <w:r w:rsidRPr="00996E39">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A608F5" w:rsidRPr="00996E39" w:rsidRDefault="00A608F5">
      <w:pPr>
        <w:spacing w:after="0" w:line="360" w:lineRule="auto"/>
      </w:pPr>
    </w:p>
    <w:p w:rsidR="00A608F5" w:rsidRPr="00996E39" w:rsidRDefault="00831E8B">
      <w:pPr>
        <w:spacing w:after="0" w:line="360" w:lineRule="auto"/>
        <w:rPr>
          <w:color w:val="000000"/>
        </w:rPr>
      </w:pPr>
      <w:bookmarkStart w:id="6" w:name="_heading=h.gjdgxs" w:colFirst="0" w:colLast="0"/>
      <w:bookmarkEnd w:id="6"/>
      <w:r w:rsidRPr="00996E39">
        <w:rPr>
          <w:b/>
        </w:rPr>
        <w:t>b) Admisión del Recurso de Revisión.</w:t>
      </w:r>
      <w:r w:rsidRPr="00996E39">
        <w:t xml:space="preserve"> </w:t>
      </w:r>
      <w:r w:rsidRPr="00996E39">
        <w:rPr>
          <w:color w:val="000000"/>
        </w:rPr>
        <w:t xml:space="preserve">El </w:t>
      </w:r>
      <w:r w:rsidRPr="00996E39">
        <w:t>veintiocho de octubre de dos mil veinticuatro</w:t>
      </w:r>
      <w:r w:rsidRPr="00996E39">
        <w:rPr>
          <w:color w:val="000000"/>
        </w:rPr>
        <w:t>, se acordó la admisión del Recurso de Revisión interpuestos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manifestaran lo que a su derecho conviniera y formularan alegatos.</w:t>
      </w:r>
    </w:p>
    <w:p w:rsidR="00A608F5" w:rsidRPr="00996E39" w:rsidRDefault="00A608F5">
      <w:pPr>
        <w:spacing w:after="0" w:line="360" w:lineRule="auto"/>
        <w:rPr>
          <w:color w:val="000000"/>
        </w:rPr>
      </w:pPr>
    </w:p>
    <w:p w:rsidR="00A608F5" w:rsidRPr="00996E39" w:rsidRDefault="00831E8B">
      <w:pPr>
        <w:spacing w:after="0" w:line="360" w:lineRule="auto"/>
        <w:rPr>
          <w:color w:val="000000"/>
        </w:rPr>
      </w:pPr>
      <w:r w:rsidRPr="00996E39">
        <w:rPr>
          <w:b/>
          <w:color w:val="000000"/>
        </w:rPr>
        <w:t>c</w:t>
      </w:r>
      <w:r w:rsidRPr="00996E39">
        <w:rPr>
          <w:b/>
        </w:rPr>
        <w:t>) Informe justificado y manifestaciones de la persona Recurrente.</w:t>
      </w:r>
      <w:r w:rsidRPr="00996E39">
        <w:t xml:space="preserve"> </w:t>
      </w:r>
      <w:r w:rsidRPr="00996E39">
        <w:rPr>
          <w:color w:val="000000"/>
        </w:rPr>
        <w:t>De las constancias que integran el SAIMEX se advierte que el Sujeto Obligado fue omiso en rendir informe justificado y la parte Recurrente fue omisa en añadir manifestaciones.</w:t>
      </w:r>
    </w:p>
    <w:p w:rsidR="00A608F5" w:rsidRPr="00996E39" w:rsidRDefault="00A608F5">
      <w:pPr>
        <w:widowControl w:val="0"/>
        <w:spacing w:after="0" w:line="360" w:lineRule="auto"/>
        <w:rPr>
          <w:b/>
        </w:rPr>
      </w:pPr>
    </w:p>
    <w:p w:rsidR="00A608F5" w:rsidRPr="00996E39" w:rsidRDefault="00C61040">
      <w:pPr>
        <w:spacing w:after="0" w:line="360" w:lineRule="auto"/>
        <w:rPr>
          <w:b/>
        </w:rPr>
      </w:pPr>
      <w:r w:rsidRPr="00996E39">
        <w:rPr>
          <w:b/>
        </w:rPr>
        <w:t>d</w:t>
      </w:r>
      <w:r w:rsidR="00831E8B" w:rsidRPr="00996E39">
        <w:rPr>
          <w:b/>
        </w:rPr>
        <w:t>) Cierre de instrucción.</w:t>
      </w:r>
      <w:r w:rsidR="00831E8B" w:rsidRPr="00996E39">
        <w:t xml:space="preserve"> El doce de noviembre de dos mil veinticuatro, al no existir diligencias pendientes por desahogar, se emitió el acuerdo por medio del cual se declaró cerrada la </w:t>
      </w:r>
      <w:r w:rsidR="00831E8B" w:rsidRPr="00996E39">
        <w:lastRenderedPageBreak/>
        <w:t>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A608F5" w:rsidRPr="00996E39" w:rsidRDefault="00A608F5">
      <w:pPr>
        <w:spacing w:after="0" w:line="360" w:lineRule="auto"/>
      </w:pPr>
    </w:p>
    <w:p w:rsidR="00A608F5" w:rsidRPr="00996E39" w:rsidRDefault="00831E8B">
      <w:pPr>
        <w:spacing w:after="0" w:line="360" w:lineRule="auto"/>
      </w:pPr>
      <w:r w:rsidRPr="00996E39">
        <w:t xml:space="preserve">En razón de que fue debidamente sustanciado e integrado el expediente electrónico y no existe diligencia pendiente de desahogo, se emite la resolución que conforme a Derecho proceda, de acuerdo a los siguientes: </w:t>
      </w:r>
    </w:p>
    <w:p w:rsidR="00A608F5" w:rsidRPr="00996E39" w:rsidRDefault="00A608F5">
      <w:pPr>
        <w:spacing w:after="0" w:line="360" w:lineRule="auto"/>
      </w:pPr>
    </w:p>
    <w:p w:rsidR="00A608F5" w:rsidRPr="00996E39" w:rsidRDefault="00831E8B">
      <w:pPr>
        <w:pStyle w:val="Ttulo1"/>
        <w:spacing w:before="0" w:after="0"/>
        <w:rPr>
          <w:sz w:val="22"/>
          <w:szCs w:val="22"/>
        </w:rPr>
      </w:pPr>
      <w:bookmarkStart w:id="7" w:name="_heading=h.4d34og8" w:colFirst="0" w:colLast="0"/>
      <w:bookmarkEnd w:id="7"/>
      <w:r w:rsidRPr="00996E39">
        <w:rPr>
          <w:sz w:val="22"/>
          <w:szCs w:val="22"/>
        </w:rPr>
        <w:t>C O N S I D E R A N D O S</w:t>
      </w:r>
    </w:p>
    <w:p w:rsidR="00A608F5" w:rsidRPr="00996E39" w:rsidRDefault="00A608F5">
      <w:pPr>
        <w:spacing w:after="0" w:line="360" w:lineRule="auto"/>
        <w:rPr>
          <w:b/>
        </w:rPr>
      </w:pPr>
    </w:p>
    <w:p w:rsidR="00A608F5" w:rsidRPr="00996E39" w:rsidRDefault="00831E8B">
      <w:pPr>
        <w:pStyle w:val="Ttulo2"/>
        <w:spacing w:before="0" w:after="0"/>
      </w:pPr>
      <w:bookmarkStart w:id="8" w:name="_heading=h.2s8eyo1" w:colFirst="0" w:colLast="0"/>
      <w:bookmarkEnd w:id="8"/>
      <w:r w:rsidRPr="00996E39">
        <w:t>PRIMERO. Competencia</w:t>
      </w:r>
    </w:p>
    <w:p w:rsidR="00A608F5" w:rsidRPr="00996E39" w:rsidRDefault="00A608F5">
      <w:pPr>
        <w:spacing w:after="0" w:line="360" w:lineRule="auto"/>
        <w:rPr>
          <w:b/>
        </w:rPr>
      </w:pPr>
    </w:p>
    <w:p w:rsidR="00A608F5" w:rsidRPr="00996E39" w:rsidRDefault="00831E8B">
      <w:pPr>
        <w:spacing w:after="0" w:line="360" w:lineRule="auto"/>
      </w:pPr>
      <w:r w:rsidRPr="00996E39">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996E39">
        <w:rPr>
          <w:color w:val="000000"/>
        </w:rPr>
        <w:t>trigésimo segundo, trigésimo tercero y trigésimo cuarto</w:t>
      </w:r>
      <w:r w:rsidRPr="00996E39">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A608F5" w:rsidRPr="00996E39" w:rsidRDefault="00A608F5">
      <w:pPr>
        <w:spacing w:after="0" w:line="360" w:lineRule="auto"/>
      </w:pPr>
    </w:p>
    <w:p w:rsidR="00A608F5" w:rsidRPr="00996E39" w:rsidRDefault="00831E8B">
      <w:pPr>
        <w:pStyle w:val="Ttulo2"/>
        <w:spacing w:before="0" w:after="0"/>
      </w:pPr>
      <w:bookmarkStart w:id="9" w:name="_heading=h.17dp8vu" w:colFirst="0" w:colLast="0"/>
      <w:bookmarkEnd w:id="9"/>
      <w:r w:rsidRPr="00996E39">
        <w:lastRenderedPageBreak/>
        <w:t>SEGUNDO. Causales de improcedencia y sobreseimiento</w:t>
      </w:r>
    </w:p>
    <w:p w:rsidR="00A608F5" w:rsidRPr="00996E39" w:rsidRDefault="00A608F5">
      <w:pPr>
        <w:spacing w:after="0" w:line="360" w:lineRule="auto"/>
      </w:pPr>
    </w:p>
    <w:p w:rsidR="00A608F5" w:rsidRPr="00996E39" w:rsidRDefault="00831E8B">
      <w:pPr>
        <w:spacing w:after="0" w:line="360" w:lineRule="auto"/>
      </w:pPr>
      <w:r w:rsidRPr="00996E39">
        <w:t xml:space="preserve">De las constancias que forman parte del Recurso de Revisión que se analiza, se advierte que previo al estudio del fondo de la </w:t>
      </w:r>
      <w:proofErr w:type="spellStart"/>
      <w:r w:rsidRPr="00996E39">
        <w:rPr>
          <w:i/>
        </w:rPr>
        <w:t>litis</w:t>
      </w:r>
      <w:proofErr w:type="spellEnd"/>
      <w:r w:rsidRPr="00996E39">
        <w:t>, es necesario estudiar las causales de improcedencia y sobreseimiento que se adviertan, para determinar lo que en Derecho proceda.</w:t>
      </w:r>
    </w:p>
    <w:p w:rsidR="00A608F5" w:rsidRPr="00996E39" w:rsidRDefault="00A608F5">
      <w:pPr>
        <w:spacing w:after="0" w:line="360" w:lineRule="auto"/>
      </w:pPr>
    </w:p>
    <w:p w:rsidR="00A608F5" w:rsidRPr="00996E39" w:rsidRDefault="00831E8B">
      <w:pPr>
        <w:spacing w:after="0" w:line="360" w:lineRule="auto"/>
        <w:rPr>
          <w:b/>
        </w:rPr>
      </w:pPr>
      <w:r w:rsidRPr="00996E39">
        <w:rPr>
          <w:b/>
        </w:rPr>
        <w:t>Causales de improcedencia</w:t>
      </w:r>
    </w:p>
    <w:p w:rsidR="00A608F5" w:rsidRPr="00996E39" w:rsidRDefault="00A608F5">
      <w:pPr>
        <w:spacing w:after="0" w:line="360" w:lineRule="auto"/>
      </w:pPr>
    </w:p>
    <w:p w:rsidR="00A608F5" w:rsidRPr="00996E39" w:rsidRDefault="00831E8B">
      <w:pPr>
        <w:spacing w:after="0" w:line="360" w:lineRule="auto"/>
      </w:pPr>
      <w:r w:rsidRPr="00996E39">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996E39">
        <w:t>./</w:t>
      </w:r>
      <w:proofErr w:type="gramEnd"/>
      <w:r w:rsidRPr="00996E39">
        <w:t>J. 163/2005</w:t>
      </w:r>
      <w:r w:rsidRPr="00996E39">
        <w:rPr>
          <w:b/>
        </w:rPr>
        <w:t xml:space="preserve"> </w:t>
      </w:r>
      <w:r w:rsidRPr="00996E39">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A608F5" w:rsidRPr="00996E39" w:rsidRDefault="00A608F5">
      <w:pPr>
        <w:spacing w:after="0" w:line="360" w:lineRule="auto"/>
      </w:pPr>
    </w:p>
    <w:p w:rsidR="00A608F5" w:rsidRPr="00996E39" w:rsidRDefault="00831E8B">
      <w:pPr>
        <w:spacing w:after="0" w:line="360" w:lineRule="auto"/>
      </w:pPr>
      <w:r w:rsidRPr="00996E39">
        <w:t xml:space="preserve">En el presente caso, </w:t>
      </w:r>
      <w:r w:rsidRPr="00996E39">
        <w:rPr>
          <w:b/>
        </w:rPr>
        <w:t>no se actualiza ninguna de las causales de improcedencia</w:t>
      </w:r>
      <w:r w:rsidRPr="00996E39">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A608F5" w:rsidRPr="00996E39" w:rsidRDefault="00A608F5">
      <w:pPr>
        <w:spacing w:after="0" w:line="360" w:lineRule="auto"/>
        <w:rPr>
          <w:b/>
        </w:rPr>
      </w:pPr>
    </w:p>
    <w:p w:rsidR="00A608F5" w:rsidRPr="00996E39" w:rsidRDefault="00831E8B">
      <w:pPr>
        <w:spacing w:after="0" w:line="360" w:lineRule="auto"/>
        <w:ind w:right="-28"/>
        <w:rPr>
          <w:b/>
          <w:color w:val="000000"/>
        </w:rPr>
      </w:pPr>
      <w:r w:rsidRPr="00996E39">
        <w:rPr>
          <w:b/>
          <w:color w:val="000000"/>
        </w:rPr>
        <w:t>Causales de sobreseimiento</w:t>
      </w:r>
    </w:p>
    <w:p w:rsidR="00A608F5" w:rsidRPr="00996E39" w:rsidRDefault="00A608F5">
      <w:pPr>
        <w:spacing w:after="0" w:line="360" w:lineRule="auto"/>
        <w:ind w:right="-28"/>
        <w:rPr>
          <w:color w:val="000000"/>
        </w:rPr>
      </w:pPr>
    </w:p>
    <w:p w:rsidR="00A608F5" w:rsidRPr="00996E39" w:rsidRDefault="00831E8B">
      <w:pPr>
        <w:spacing w:after="0" w:line="360" w:lineRule="auto"/>
        <w:rPr>
          <w:color w:val="000000"/>
        </w:rPr>
      </w:pPr>
      <w:r w:rsidRPr="00996E39">
        <w:rPr>
          <w:color w:val="000000"/>
        </w:rPr>
        <w:lastRenderedPageBreak/>
        <w:t>Por ser de previo y especial pronunciamiento, este Instituto analiza si se actualiza alguna causal de sobreseimiento.</w:t>
      </w:r>
    </w:p>
    <w:p w:rsidR="00A608F5" w:rsidRPr="00996E39" w:rsidRDefault="00A608F5">
      <w:pPr>
        <w:spacing w:after="0" w:line="360" w:lineRule="auto"/>
        <w:rPr>
          <w:color w:val="000000"/>
        </w:rPr>
      </w:pPr>
    </w:p>
    <w:p w:rsidR="00A608F5" w:rsidRPr="00996E39" w:rsidRDefault="00831E8B">
      <w:pPr>
        <w:spacing w:after="0" w:line="360" w:lineRule="auto"/>
        <w:rPr>
          <w:color w:val="0D0D0D"/>
        </w:rPr>
      </w:pPr>
      <w:r w:rsidRPr="00996E39">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sidRPr="00996E39">
        <w:rPr>
          <w:b/>
          <w:color w:val="0D0D0D"/>
        </w:rPr>
        <w:t xml:space="preserve"> </w:t>
      </w:r>
      <w:r w:rsidRPr="00996E39">
        <w:rPr>
          <w:color w:val="0D0D0D"/>
        </w:rPr>
        <w:t>toda vez que no hay constancias en el expediente en que se actúa, de que la persona Recurrente se haya desistido, fallecido, que el Sujeto Obligado hubiese modificado o revocado el acto impugnado o bien,</w:t>
      </w:r>
      <w:r w:rsidRPr="00996E39">
        <w:t xml:space="preserve"> </w:t>
      </w:r>
      <w:r w:rsidRPr="00996E39">
        <w:rPr>
          <w:color w:val="0D0D0D"/>
        </w:rPr>
        <w:t>que admitido una vez admitido el Recurso de Revisión, aparezca alguna causal de improcedencia o haya quedado sin materia.</w:t>
      </w:r>
    </w:p>
    <w:p w:rsidR="00A608F5" w:rsidRPr="00996E39" w:rsidRDefault="00A608F5">
      <w:pPr>
        <w:spacing w:after="0" w:line="360" w:lineRule="auto"/>
        <w:rPr>
          <w:color w:val="000000"/>
        </w:rPr>
      </w:pPr>
    </w:p>
    <w:p w:rsidR="00A608F5" w:rsidRPr="00996E39" w:rsidRDefault="00831E8B">
      <w:pPr>
        <w:pStyle w:val="Ttulo2"/>
        <w:spacing w:before="0" w:after="0"/>
      </w:pPr>
      <w:bookmarkStart w:id="10" w:name="_heading=h.3rdcrjn" w:colFirst="0" w:colLast="0"/>
      <w:bookmarkEnd w:id="10"/>
      <w:r w:rsidRPr="00996E39">
        <w:t xml:space="preserve">TERCERO. Determinación de la Controversia </w:t>
      </w:r>
    </w:p>
    <w:p w:rsidR="00A608F5" w:rsidRPr="00996E39" w:rsidRDefault="00A608F5">
      <w:pPr>
        <w:spacing w:after="0" w:line="360" w:lineRule="auto"/>
        <w:rPr>
          <w:b/>
        </w:rPr>
      </w:pPr>
    </w:p>
    <w:p w:rsidR="00A608F5" w:rsidRPr="00996E39" w:rsidRDefault="00831E8B">
      <w:pPr>
        <w:tabs>
          <w:tab w:val="left" w:pos="4962"/>
        </w:tabs>
        <w:spacing w:after="0" w:line="360" w:lineRule="auto"/>
      </w:pPr>
      <w:r w:rsidRPr="00996E39">
        <w:t>La persona Solicitante requirió lo siguiente:</w:t>
      </w:r>
    </w:p>
    <w:p w:rsidR="00A608F5" w:rsidRPr="00996E39" w:rsidRDefault="00A608F5">
      <w:pPr>
        <w:tabs>
          <w:tab w:val="left" w:pos="4962"/>
        </w:tabs>
        <w:spacing w:after="0" w:line="360" w:lineRule="auto"/>
      </w:pPr>
    </w:p>
    <w:p w:rsidR="00A608F5" w:rsidRPr="00996E39" w:rsidRDefault="00831E8B">
      <w:pPr>
        <w:tabs>
          <w:tab w:val="left" w:pos="4962"/>
        </w:tabs>
        <w:spacing w:after="0" w:line="360" w:lineRule="auto"/>
      </w:pPr>
      <w:r w:rsidRPr="00996E39">
        <w:t>Durante la administración 2022 al 2024, por los conceptos de los eventos cívicos, culturales y desfiles, la entrega desglosada por mes de lo siguiente:</w:t>
      </w:r>
    </w:p>
    <w:p w:rsidR="00996E39" w:rsidRPr="00996E39" w:rsidRDefault="00996E39">
      <w:pPr>
        <w:tabs>
          <w:tab w:val="left" w:pos="4962"/>
        </w:tabs>
        <w:spacing w:after="0" w:line="360" w:lineRule="auto"/>
      </w:pPr>
    </w:p>
    <w:p w:rsidR="00A608F5" w:rsidRPr="00996E39" w:rsidRDefault="00831E8B">
      <w:pPr>
        <w:numPr>
          <w:ilvl w:val="0"/>
          <w:numId w:val="4"/>
        </w:numPr>
        <w:pBdr>
          <w:top w:val="nil"/>
          <w:left w:val="nil"/>
          <w:bottom w:val="nil"/>
          <w:right w:val="nil"/>
          <w:between w:val="nil"/>
        </w:pBdr>
        <w:tabs>
          <w:tab w:val="left" w:pos="4962"/>
        </w:tabs>
        <w:spacing w:after="0" w:line="360" w:lineRule="auto"/>
      </w:pPr>
      <w:r w:rsidRPr="00996E39">
        <w:rPr>
          <w:color w:val="000000"/>
        </w:rPr>
        <w:t>El monto mensual de gasto.</w:t>
      </w:r>
    </w:p>
    <w:p w:rsidR="00A608F5" w:rsidRPr="00996E39" w:rsidRDefault="00831E8B">
      <w:pPr>
        <w:numPr>
          <w:ilvl w:val="0"/>
          <w:numId w:val="4"/>
        </w:numPr>
        <w:pBdr>
          <w:top w:val="nil"/>
          <w:left w:val="nil"/>
          <w:bottom w:val="nil"/>
          <w:right w:val="nil"/>
          <w:between w:val="nil"/>
        </w:pBdr>
        <w:tabs>
          <w:tab w:val="left" w:pos="4962"/>
        </w:tabs>
        <w:spacing w:after="0" w:line="360" w:lineRule="auto"/>
      </w:pPr>
      <w:r w:rsidRPr="00996E39">
        <w:rPr>
          <w:color w:val="000000"/>
        </w:rPr>
        <w:t xml:space="preserve">El nombre de los proveedores </w:t>
      </w:r>
    </w:p>
    <w:p w:rsidR="00A608F5" w:rsidRPr="00996E39" w:rsidRDefault="00831E8B">
      <w:pPr>
        <w:numPr>
          <w:ilvl w:val="0"/>
          <w:numId w:val="4"/>
        </w:numPr>
        <w:pBdr>
          <w:top w:val="nil"/>
          <w:left w:val="nil"/>
          <w:bottom w:val="nil"/>
          <w:right w:val="nil"/>
          <w:between w:val="nil"/>
        </w:pBdr>
        <w:tabs>
          <w:tab w:val="left" w:pos="4962"/>
        </w:tabs>
        <w:spacing w:after="0" w:line="360" w:lineRule="auto"/>
      </w:pPr>
      <w:r w:rsidRPr="00996E39">
        <w:rPr>
          <w:color w:val="000000"/>
        </w:rPr>
        <w:t xml:space="preserve">Pólizas de egresos. </w:t>
      </w:r>
    </w:p>
    <w:p w:rsidR="00A608F5" w:rsidRPr="00996E39" w:rsidRDefault="00A608F5">
      <w:pPr>
        <w:tabs>
          <w:tab w:val="left" w:pos="4962"/>
        </w:tabs>
        <w:spacing w:after="0" w:line="360" w:lineRule="auto"/>
      </w:pPr>
    </w:p>
    <w:p w:rsidR="00A608F5" w:rsidRPr="00996E39" w:rsidRDefault="00831E8B">
      <w:pPr>
        <w:tabs>
          <w:tab w:val="left" w:pos="4962"/>
        </w:tabs>
        <w:spacing w:after="0" w:line="360" w:lineRule="auto"/>
      </w:pPr>
      <w:r w:rsidRPr="00996E39">
        <w:t xml:space="preserve">En respuesta, el Sujeto Obligado a través de la Tesorera Municipal entregó una liga electrónica en formato cerrado y señaló que en ella podría acceder a la información, específicamente en los estados comparativos de egresos, asimismo remitió una Acta del Comité de Transparencia en </w:t>
      </w:r>
      <w:r w:rsidRPr="00996E39">
        <w:lastRenderedPageBreak/>
        <w:t xml:space="preserve">el que se aprobó el cambio de modalidad de la entrega a consulta directa. Derivado de la respuesta, la persona Solicitante se inconformó bajo el argumento de que la liga proporcionada no tiene la información solicitada de manera específica, ya que se muestra de forma global y generalizada, asimismo refirió que no se localizan las pólizas solicitadas. Durante la sustanciación del Recurso de Revisión ambas partes fueron omisas en rendir informe justificado o añadir manifestaciones. </w:t>
      </w:r>
    </w:p>
    <w:p w:rsidR="00A608F5" w:rsidRPr="00996E39" w:rsidRDefault="00A608F5">
      <w:pPr>
        <w:tabs>
          <w:tab w:val="left" w:pos="4962"/>
        </w:tabs>
        <w:spacing w:after="0" w:line="360" w:lineRule="auto"/>
      </w:pPr>
    </w:p>
    <w:p w:rsidR="00A608F5" w:rsidRPr="00996E39" w:rsidRDefault="00831E8B">
      <w:pPr>
        <w:tabs>
          <w:tab w:val="left" w:pos="4962"/>
        </w:tabs>
        <w:spacing w:after="0" w:line="360" w:lineRule="auto"/>
      </w:pPr>
      <w:r w:rsidRPr="00996E39">
        <w:t xml:space="preserve">Así pues, de las constancias que integran el expediente, se advierte que </w:t>
      </w:r>
      <w:r w:rsidRPr="00996E39">
        <w:rPr>
          <w:color w:val="000000"/>
        </w:rPr>
        <w:t xml:space="preserve">en el asunto que nos ocupa se actualiza la causal de procedencia señalada en el </w:t>
      </w:r>
      <w:r w:rsidRPr="00996E39">
        <w:t xml:space="preserve">artículo 179, fracción VI, de la Ley de la materia; por la entrega de la información que no corresponde con lo solicitado. </w:t>
      </w:r>
    </w:p>
    <w:p w:rsidR="00A608F5" w:rsidRPr="00996E39" w:rsidRDefault="00A608F5">
      <w:pPr>
        <w:tabs>
          <w:tab w:val="left" w:pos="4962"/>
        </w:tabs>
        <w:spacing w:after="0" w:line="360" w:lineRule="auto"/>
        <w:rPr>
          <w:b/>
        </w:rPr>
      </w:pPr>
    </w:p>
    <w:p w:rsidR="00A608F5" w:rsidRPr="00996E39" w:rsidRDefault="00831E8B">
      <w:pPr>
        <w:tabs>
          <w:tab w:val="left" w:pos="4962"/>
        </w:tabs>
        <w:spacing w:after="0" w:line="360" w:lineRule="auto"/>
      </w:pPr>
      <w:r w:rsidRPr="00996E39">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A608F5" w:rsidRPr="00996E39" w:rsidRDefault="00A608F5">
      <w:pPr>
        <w:spacing w:after="0" w:line="360" w:lineRule="auto"/>
      </w:pPr>
    </w:p>
    <w:p w:rsidR="00A608F5" w:rsidRPr="00996E39" w:rsidRDefault="00831E8B">
      <w:pPr>
        <w:pStyle w:val="Ttulo2"/>
        <w:spacing w:before="0" w:after="0"/>
      </w:pPr>
      <w:bookmarkStart w:id="11" w:name="_heading=h.26in1rg" w:colFirst="0" w:colLast="0"/>
      <w:bookmarkEnd w:id="11"/>
      <w:r w:rsidRPr="00996E39">
        <w:t>CUARTO. Marco normativo aplicable en materia de transparencia y acceso a la información pública</w:t>
      </w:r>
    </w:p>
    <w:p w:rsidR="00A608F5" w:rsidRPr="00996E39" w:rsidRDefault="00A608F5">
      <w:pPr>
        <w:spacing w:after="0" w:line="360" w:lineRule="auto"/>
        <w:rPr>
          <w:color w:val="000000"/>
        </w:rPr>
      </w:pPr>
    </w:p>
    <w:p w:rsidR="00A608F5" w:rsidRPr="00996E39" w:rsidRDefault="00831E8B">
      <w:pPr>
        <w:spacing w:after="0" w:line="360" w:lineRule="auto"/>
        <w:rPr>
          <w:color w:val="000000"/>
        </w:rPr>
      </w:pPr>
      <w:r w:rsidRPr="00996E39">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A608F5" w:rsidRPr="00996E39" w:rsidRDefault="00A608F5">
      <w:pPr>
        <w:spacing w:after="0" w:line="360" w:lineRule="auto"/>
        <w:rPr>
          <w:color w:val="000000"/>
        </w:rPr>
      </w:pPr>
    </w:p>
    <w:p w:rsidR="00A608F5" w:rsidRPr="00996E39" w:rsidRDefault="00831E8B">
      <w:pPr>
        <w:spacing w:after="0" w:line="360" w:lineRule="auto"/>
        <w:rPr>
          <w:color w:val="000000"/>
        </w:rPr>
      </w:pPr>
      <w:r w:rsidRPr="00996E39">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A608F5" w:rsidRPr="00996E39" w:rsidRDefault="00A608F5">
      <w:pPr>
        <w:spacing w:after="0" w:line="360" w:lineRule="auto"/>
        <w:rPr>
          <w:color w:val="000000"/>
        </w:rPr>
      </w:pPr>
    </w:p>
    <w:p w:rsidR="00A608F5" w:rsidRPr="00996E39" w:rsidRDefault="00831E8B">
      <w:pPr>
        <w:spacing w:after="0" w:line="360" w:lineRule="auto"/>
        <w:rPr>
          <w:color w:val="000000"/>
        </w:rPr>
      </w:pPr>
      <w:r w:rsidRPr="00996E39">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A608F5" w:rsidRPr="00996E39" w:rsidRDefault="00A608F5">
      <w:pPr>
        <w:spacing w:after="0" w:line="360" w:lineRule="auto"/>
        <w:rPr>
          <w:color w:val="000000"/>
        </w:rPr>
      </w:pPr>
    </w:p>
    <w:p w:rsidR="00A608F5" w:rsidRPr="00996E39" w:rsidRDefault="00831E8B">
      <w:pPr>
        <w:spacing w:after="0" w:line="360" w:lineRule="auto"/>
        <w:rPr>
          <w:color w:val="000000"/>
        </w:rPr>
      </w:pPr>
      <w:r w:rsidRPr="00996E39">
        <w:rPr>
          <w:color w:val="000000"/>
        </w:rPr>
        <w:t>Por su parte, la Ley de Transparencia y Acceso a la Información Pública del Estado de México y Municipios (Reglamentaria del artículo 5° de la Constitución Local), establece lo siguiente:</w:t>
      </w:r>
    </w:p>
    <w:p w:rsidR="00A608F5" w:rsidRPr="00996E39" w:rsidRDefault="00A608F5">
      <w:pPr>
        <w:spacing w:after="0" w:line="360" w:lineRule="auto"/>
        <w:rPr>
          <w:color w:val="000000"/>
        </w:rPr>
      </w:pPr>
    </w:p>
    <w:p w:rsidR="00A608F5" w:rsidRPr="00996E39" w:rsidRDefault="00831E8B">
      <w:pPr>
        <w:spacing w:after="0" w:line="360" w:lineRule="auto"/>
        <w:rPr>
          <w:color w:val="000000"/>
        </w:rPr>
      </w:pPr>
      <w:r w:rsidRPr="00996E39">
        <w:rPr>
          <w:color w:val="000000"/>
        </w:rPr>
        <w:t xml:space="preserve">El artículo </w:t>
      </w:r>
      <w:r w:rsidRPr="00996E39">
        <w:t>12 dice que</w:t>
      </w:r>
      <w:r w:rsidRPr="00996E39">
        <w:rPr>
          <w:color w:val="000000"/>
        </w:rPr>
        <w:t>, quienes generen, recopilen, administren, manejen, procesen, archiven o conserven información pública serán responsables de la misma.</w:t>
      </w:r>
    </w:p>
    <w:p w:rsidR="00A608F5" w:rsidRPr="00996E39" w:rsidRDefault="00A608F5">
      <w:pPr>
        <w:spacing w:after="0" w:line="360" w:lineRule="auto"/>
        <w:rPr>
          <w:color w:val="000000"/>
        </w:rPr>
      </w:pPr>
    </w:p>
    <w:p w:rsidR="00A608F5" w:rsidRPr="00996E39" w:rsidRDefault="00831E8B">
      <w:pPr>
        <w:widowControl w:val="0"/>
        <w:spacing w:after="0" w:line="360" w:lineRule="auto"/>
        <w:rPr>
          <w:color w:val="000000"/>
        </w:rPr>
      </w:pPr>
      <w:r w:rsidRPr="00996E39">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A608F5" w:rsidRPr="00996E39" w:rsidRDefault="00A608F5">
      <w:pPr>
        <w:spacing w:after="0" w:line="360" w:lineRule="auto"/>
        <w:rPr>
          <w:color w:val="000000"/>
        </w:rPr>
      </w:pPr>
    </w:p>
    <w:p w:rsidR="00A608F5" w:rsidRPr="00996E39" w:rsidRDefault="00831E8B">
      <w:pPr>
        <w:spacing w:after="0" w:line="360" w:lineRule="auto"/>
        <w:rPr>
          <w:color w:val="000000"/>
        </w:rPr>
      </w:pPr>
      <w:r w:rsidRPr="00996E39">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A608F5" w:rsidRPr="00996E39" w:rsidRDefault="00A608F5">
      <w:pPr>
        <w:spacing w:after="0" w:line="360" w:lineRule="auto"/>
      </w:pPr>
    </w:p>
    <w:p w:rsidR="00A608F5" w:rsidRPr="00996E39" w:rsidRDefault="00831E8B">
      <w:pPr>
        <w:pStyle w:val="Ttulo2"/>
        <w:spacing w:before="0" w:after="0"/>
      </w:pPr>
      <w:bookmarkStart w:id="12" w:name="_heading=h.lnxbz9" w:colFirst="0" w:colLast="0"/>
      <w:bookmarkEnd w:id="12"/>
      <w:r w:rsidRPr="00996E39">
        <w:rPr>
          <w:smallCaps/>
        </w:rPr>
        <w:t>QUINTO.</w:t>
      </w:r>
      <w:r w:rsidRPr="00996E39">
        <w:t xml:space="preserve"> Estudio de Fondo</w:t>
      </w:r>
    </w:p>
    <w:p w:rsidR="00A608F5" w:rsidRPr="00996E39" w:rsidRDefault="00A608F5">
      <w:pPr>
        <w:spacing w:after="0" w:line="360" w:lineRule="auto"/>
        <w:ind w:right="-28"/>
      </w:pPr>
    </w:p>
    <w:p w:rsidR="00A608F5" w:rsidRPr="00996E39" w:rsidRDefault="00831E8B">
      <w:pPr>
        <w:spacing w:after="0" w:line="360" w:lineRule="auto"/>
        <w:ind w:right="-28"/>
      </w:pPr>
      <w:r w:rsidRPr="00996E39">
        <w:t xml:space="preserve">Una vez expuesto lo anterior, se reitera que la persona Solicitante requiere la información relacionada con eventos culturales, desfiles y eventos cívicos que se realizaron durante la </w:t>
      </w:r>
      <w:r w:rsidRPr="00996E39">
        <w:lastRenderedPageBreak/>
        <w:t>administración 2022 a 2024, e información relacionada con proveedores y pólizas de egresos; al respecto se debe tener en consideración que el artículo 31, fracción XIX, de la Ley Orgánica Municipal del Estado de México, establece que los Ayuntamientos serán los encargados de aprobar anualmente, el Presupuesto de Egresos, en base a los ingresos presupuestados para el ejercicio de corresponda; por su parte, los artículos 100 y 101, fracción II, de dicho ordenamiento jurídico, prevén que el Presupuesto de Egresos, deberá contener las previsiones de gasto público y se conformará, entre otras cosas, por la estimación de los ingresos y gastos del ejercicio fiscal calendarizados.</w:t>
      </w:r>
    </w:p>
    <w:p w:rsidR="00A608F5" w:rsidRPr="00996E39" w:rsidRDefault="00A608F5">
      <w:pPr>
        <w:spacing w:after="0" w:line="360" w:lineRule="auto"/>
      </w:pPr>
    </w:p>
    <w:p w:rsidR="00A608F5" w:rsidRPr="00996E39" w:rsidRDefault="00831E8B">
      <w:pPr>
        <w:spacing w:after="0" w:line="360" w:lineRule="auto"/>
        <w:ind w:right="-28"/>
      </w:pPr>
      <w:r w:rsidRPr="00996E39">
        <w:t xml:space="preserve">Así, el Manual para la Planeación, Programación y Presupuesto de Egresos Municipal para los Ejercicio Fiscales, dos mil veintidós, dos mil veintitrés y dos mil veinticuatro, establecen que el Presupuesto es la estimación financiera anticipada de los ingresos y egresos del gobierno, necesarios para cumplir con los objetivos establecidos; además, que el mismo involucra planes, políticas, programas, proyectos, estrategias y objetivos del municipio; por lo que los Ayuntamientos cuentan con un presupuesto económico para realizar los pagos correspondientes a sus actividades. </w:t>
      </w:r>
    </w:p>
    <w:p w:rsidR="00A608F5" w:rsidRPr="00996E39" w:rsidRDefault="00A608F5">
      <w:pPr>
        <w:spacing w:after="0" w:line="360" w:lineRule="auto"/>
      </w:pPr>
    </w:p>
    <w:p w:rsidR="00A608F5" w:rsidRPr="00996E39" w:rsidRDefault="00831E8B">
      <w:pPr>
        <w:tabs>
          <w:tab w:val="left" w:pos="4962"/>
        </w:tabs>
        <w:spacing w:after="0" w:line="360" w:lineRule="auto"/>
      </w:pPr>
      <w:r w:rsidRPr="00996E39">
        <w:t xml:space="preserve">Por otra parte, de conformidad con lo dispuesto en los artículos 1°, 26, 27, y 65 de la Ley de Contratación Pública del Estado de México; la cual tiene como objetivo regular los actos relativos a la planeación, programación, presupuestación, ejecución y control de la adquisición, enajenación y arrendamiento de bienes, y la contratación de servicios de cualquier naturaleza que realicen los Ayuntamientos, establece también que se pueden realizar adquisiciones mediante invitación restringida y adjudicaciones directas, que derivan todas ellas en contratados asimismo y derivado de la voluntad expresa de los contratantes, puede existir constancias que den cuenta del pago en cumplimiento a contraprestaciones pactadas, como lo son las facturas, recibos o pólizas; por lo que en caso de que el Sujeto Obligado realizará </w:t>
      </w:r>
      <w:r w:rsidRPr="00996E39">
        <w:lastRenderedPageBreak/>
        <w:t xml:space="preserve">adquisiciones con motivo de los eventos señalados en la solicitud debieron tener lugar a través de procesos de adquisiciones y constar en contratos y pólizas. </w:t>
      </w:r>
    </w:p>
    <w:p w:rsidR="00A608F5" w:rsidRPr="00996E39" w:rsidRDefault="00A608F5">
      <w:pPr>
        <w:spacing w:after="0" w:line="360" w:lineRule="auto"/>
        <w:ind w:right="-28"/>
      </w:pPr>
    </w:p>
    <w:p w:rsidR="00A608F5" w:rsidRPr="00996E39" w:rsidRDefault="00831E8B">
      <w:pPr>
        <w:spacing w:after="0" w:line="360" w:lineRule="auto"/>
        <w:ind w:right="-28"/>
      </w:pPr>
      <w:r w:rsidRPr="00996E39">
        <w:t>Por su parte, los Lineamientos para la Integración y Entrega del Informe Trimestral Municipal 2022, los Lineamientos para la Integración y Entrega de los Informes Trimestrales Municipales del Ejercicio Fiscal 2023 y los Lineamientos para la Integración, Presentación y Envío de los Informes Trimestrales Municipales del Ejercicio Fiscal 2024, se advierte que el Municipio debe entregar al Órgano Superior de Fiscalización, el Diario General de Pólizas, el cual, es uno de los documentos que puede dar cuenta de la información requerida; además, que debe obrar en otros documentos, tales como las facturas de pago, entre otros.</w:t>
      </w:r>
    </w:p>
    <w:p w:rsidR="00A608F5" w:rsidRPr="00996E39" w:rsidRDefault="00A608F5">
      <w:pPr>
        <w:tabs>
          <w:tab w:val="left" w:pos="4962"/>
        </w:tabs>
        <w:spacing w:after="0" w:line="360" w:lineRule="auto"/>
      </w:pPr>
    </w:p>
    <w:p w:rsidR="00A608F5" w:rsidRPr="00996E39" w:rsidRDefault="00831E8B">
      <w:pPr>
        <w:spacing w:after="0" w:line="360" w:lineRule="auto"/>
        <w:ind w:right="-93"/>
      </w:pPr>
      <w:r w:rsidRPr="00996E39">
        <w:t>Cabe destacar que el MANUAL ÚNICO DE CONTABILIDAD GUBERNAMENTAL PARA LAS DEPENDENCIAS Y ENTIDADES PÚBLICAS DEL GOBIERNO Y MUNICIPIOS DEL ESTADO DE MÉXICO 2023, prevé que se debe contar con un registro contable y presupuestal durante los ejercicios fiscales, de forma tal que se advierta de forma simultánea la ejecución del presupuesto de egresos como de la ley de ingresos, que se vea reflejado en las pólizas de cuentas de la Contabilidad patrimonial y presupuestal, por lo que se considera que las pólizas corresponden a un documento en el que se asientan las operaciones desarrolladas, y toda la información necesaria para su identificación, de conformidad con la Guía Técnica 8 “La Contabilidad y la Cuenta Pública Municipal”; además, dichas pólizas se dividen en las siguientes:</w:t>
      </w:r>
    </w:p>
    <w:p w:rsidR="00A608F5" w:rsidRPr="00996E39" w:rsidRDefault="00A608F5">
      <w:pPr>
        <w:spacing w:after="0" w:line="360" w:lineRule="auto"/>
        <w:ind w:right="-93"/>
      </w:pPr>
    </w:p>
    <w:p w:rsidR="00A608F5" w:rsidRPr="00996E39" w:rsidRDefault="00831E8B">
      <w:pPr>
        <w:numPr>
          <w:ilvl w:val="0"/>
          <w:numId w:val="5"/>
        </w:numPr>
        <w:spacing w:after="0" w:line="360" w:lineRule="auto"/>
        <w:ind w:right="-93"/>
        <w:rPr>
          <w:b/>
        </w:rPr>
      </w:pPr>
      <w:r w:rsidRPr="00996E39">
        <w:rPr>
          <w:b/>
        </w:rPr>
        <w:t xml:space="preserve">Póliza de Ingresos: </w:t>
      </w:r>
      <w:r w:rsidRPr="00996E39">
        <w:t>Es aquella donde se anotan las operaciones que representan ingresos, esto es, entradas de dinero para el municipio.</w:t>
      </w:r>
    </w:p>
    <w:p w:rsidR="00A608F5" w:rsidRPr="00996E39" w:rsidRDefault="00831E8B">
      <w:pPr>
        <w:numPr>
          <w:ilvl w:val="0"/>
          <w:numId w:val="5"/>
        </w:numPr>
        <w:spacing w:after="0" w:line="360" w:lineRule="auto"/>
        <w:ind w:right="-93"/>
        <w:rPr>
          <w:b/>
        </w:rPr>
      </w:pPr>
      <w:r w:rsidRPr="00996E39">
        <w:rPr>
          <w:b/>
        </w:rPr>
        <w:t xml:space="preserve">Póliza de Diario: </w:t>
      </w:r>
      <w:r w:rsidRPr="00996E39">
        <w:t>Es la que se elabora cuando la operación que se está registrando no implica una entrada o una salida (ingreso o egreso) de dinero para el municipio.</w:t>
      </w:r>
    </w:p>
    <w:p w:rsidR="00A608F5" w:rsidRPr="00996E39" w:rsidRDefault="00831E8B">
      <w:pPr>
        <w:numPr>
          <w:ilvl w:val="0"/>
          <w:numId w:val="5"/>
        </w:numPr>
        <w:spacing w:after="0" w:line="360" w:lineRule="auto"/>
        <w:ind w:right="-93"/>
        <w:rPr>
          <w:b/>
        </w:rPr>
      </w:pPr>
      <w:r w:rsidRPr="00996E39">
        <w:rPr>
          <w:b/>
        </w:rPr>
        <w:lastRenderedPageBreak/>
        <w:t xml:space="preserve">Póliza de Egresos: </w:t>
      </w:r>
      <w:r w:rsidRPr="00996E39">
        <w:t>Corresponde a aquella donde se anotan las operaciones que impliquen egresos, es decir, la salida de dinero, en efectivo o transferencia, para el municipio.</w:t>
      </w:r>
    </w:p>
    <w:p w:rsidR="00A608F5" w:rsidRPr="00996E39" w:rsidRDefault="00831E8B">
      <w:pPr>
        <w:numPr>
          <w:ilvl w:val="0"/>
          <w:numId w:val="5"/>
        </w:numPr>
        <w:spacing w:after="0" w:line="360" w:lineRule="auto"/>
        <w:ind w:right="-93"/>
        <w:rPr>
          <w:b/>
        </w:rPr>
      </w:pPr>
      <w:r w:rsidRPr="00996E39">
        <w:rPr>
          <w:b/>
        </w:rPr>
        <w:t xml:space="preserve">Póliza Cheque: </w:t>
      </w:r>
      <w:r w:rsidRPr="00996E39">
        <w:t>Es la que se elabora cuando la operación implique una salida de dinero del municipio, a través de un cheque.</w:t>
      </w:r>
    </w:p>
    <w:p w:rsidR="00A608F5" w:rsidRPr="00996E39" w:rsidRDefault="00A608F5">
      <w:pPr>
        <w:spacing w:after="0" w:line="360" w:lineRule="auto"/>
      </w:pPr>
    </w:p>
    <w:p w:rsidR="00A608F5" w:rsidRPr="00996E39" w:rsidRDefault="00831E8B">
      <w:pPr>
        <w:spacing w:after="0" w:line="360" w:lineRule="auto"/>
      </w:pPr>
      <w:r w:rsidRPr="00996E39">
        <w:t xml:space="preserve">Así pues, se aprecia que el Sujeto Obligado </w:t>
      </w:r>
      <w:r w:rsidRPr="00996E39">
        <w:rPr>
          <w:b/>
        </w:rPr>
        <w:t>debe generar la documentación que dé cuenta de lo solicitado y que puede constar en las pólizas o facturas emitidas por procesos de adquisición de bienes o servicios destinados a la realización de los eventos señalados en la solicitud de información</w:t>
      </w:r>
      <w:r w:rsidRPr="00996E39">
        <w:t>.</w:t>
      </w:r>
    </w:p>
    <w:p w:rsidR="00A608F5" w:rsidRPr="00996E39" w:rsidRDefault="00A608F5">
      <w:pPr>
        <w:spacing w:after="0" w:line="360" w:lineRule="auto"/>
      </w:pPr>
    </w:p>
    <w:p w:rsidR="00A608F5" w:rsidRPr="00996E39" w:rsidRDefault="00831E8B">
      <w:pPr>
        <w:spacing w:after="0" w:line="360" w:lineRule="auto"/>
      </w:pPr>
      <w:r w:rsidRPr="00996E39">
        <w:t xml:space="preserve">Aunado a ello, se debe tener en consideración que los artículos 93 y  95, fracción IV de la Ley Orgánica Municipal del Estado de México establecen que la Tesorería Municipal es el órgano encargado de la recaudación de ingresos municipales y de realizar las erogaciones del Ayuntamiento; además debe llevar los registros contables, financieros y administrativos de ingresos, egresos e inventarios; por lo que se advierte que la Tesorería Municipal es el área competente para conocer de la información solicitada.  </w:t>
      </w:r>
    </w:p>
    <w:p w:rsidR="00A608F5" w:rsidRPr="00996E39" w:rsidRDefault="00A608F5">
      <w:pPr>
        <w:spacing w:after="0" w:line="360" w:lineRule="auto"/>
      </w:pPr>
    </w:p>
    <w:p w:rsidR="00A608F5" w:rsidRPr="00996E39" w:rsidRDefault="00831E8B">
      <w:pPr>
        <w:spacing w:after="0" w:line="360" w:lineRule="auto"/>
        <w:rPr>
          <w:b/>
        </w:rPr>
      </w:pPr>
      <w:r w:rsidRPr="00996E39">
        <w:t>Ahora bien, es necesario traer a colación los artículos 44, fracción II y 57, 58, 59 y 60 del Bando Municipal de Temamatla, dos mil veinticuatro en relación con el Manual de Organización de la Dirección de Administración, que precisan que, el Sujeto Obligado para el ejercicio de sus funciones cuenta con diversas unidades administrativas, entre ellas, la Tesorería Municipal que es la</w:t>
      </w:r>
      <w:r w:rsidRPr="00996E39">
        <w:rPr>
          <w:b/>
        </w:rPr>
        <w:t xml:space="preserve"> </w:t>
      </w:r>
      <w:r w:rsidRPr="00996E39">
        <w:t xml:space="preserve">encargada de la recaudación de los ingresos municipales y de las erogaciones que realice el Ayuntamiento, aplicará las disposiciones financieras de disciplina financiera y de contabilidad del gasto público inherentes a su encargo, acorde a la legislación aplicable y vigente, y administra la hacienda pública; </w:t>
      </w:r>
      <w:r w:rsidRPr="00996E39">
        <w:rPr>
          <w:b/>
        </w:rPr>
        <w:t>por lo que la Tesorería Municipal es el área competente para conocer de la información solicitada.</w:t>
      </w:r>
    </w:p>
    <w:p w:rsidR="00A608F5" w:rsidRPr="00996E39" w:rsidRDefault="00A608F5">
      <w:pPr>
        <w:spacing w:after="0" w:line="360" w:lineRule="auto"/>
        <w:rPr>
          <w:b/>
        </w:rPr>
      </w:pPr>
    </w:p>
    <w:p w:rsidR="00A608F5" w:rsidRPr="00996E39" w:rsidRDefault="00831E8B">
      <w:pPr>
        <w:spacing w:after="0" w:line="360" w:lineRule="auto"/>
      </w:pPr>
      <w:r w:rsidRPr="00996E39">
        <w:t xml:space="preserve">Al respecto de la naturaleza de la información solicitada, se debe tener en consideración que los procedimientos de adquisición de bienes y servicios; entre los que se encuentra la información relacionada con nombre de los proveedores, contratos y pagos, que pueden configurar pólizas o facturas, configuran información pública que corresponde a las obligaciones de transparencia, en términos del artículo 92, fracción XXIX, de la Ley de Transparencia y Acceso a la Información Pública del Estado de México y Municipios; por tanto, es información pública que favorece la rendición de cuentas y la transparencia en los procesos de erogación. </w:t>
      </w:r>
    </w:p>
    <w:p w:rsidR="00A608F5" w:rsidRPr="00996E39" w:rsidRDefault="00A608F5">
      <w:pPr>
        <w:spacing w:after="0" w:line="360" w:lineRule="auto"/>
        <w:rPr>
          <w:b/>
        </w:rPr>
      </w:pPr>
    </w:p>
    <w:p w:rsidR="00A608F5" w:rsidRPr="00996E39" w:rsidRDefault="00831E8B">
      <w:pPr>
        <w:spacing w:after="0" w:line="360" w:lineRule="auto"/>
      </w:pPr>
      <w:r w:rsidRPr="00996E39">
        <w:t>En este contexto normativo, se procede al análisis de la respuesta proporcionada por el Sujeto Obligado, puesto que la Titular de la Tesorería Municipal indicó en respuesta una liga electrónica para consultar la información, sin embargo, se encuentra en formato cerrado, al respecto, es preciso establecer que al proporcionar información pública es necesario que sea en un formato que no tenga ninguna restricción en el acceso o reutilización, por lo que, es necesario que los datos digitales (como ligas electrónicas), se proporcionen en un formato abierto.</w:t>
      </w:r>
    </w:p>
    <w:p w:rsidR="00A608F5" w:rsidRPr="00996E39" w:rsidRDefault="00831E8B">
      <w:pPr>
        <w:spacing w:after="0" w:line="360" w:lineRule="auto"/>
      </w:pPr>
      <w:r w:rsidRPr="00996E39">
        <w:t> </w:t>
      </w:r>
    </w:p>
    <w:p w:rsidR="00A608F5" w:rsidRPr="00996E39" w:rsidRDefault="00831E8B">
      <w:pPr>
        <w:spacing w:after="0" w:line="360" w:lineRule="auto"/>
      </w:pPr>
      <w:r w:rsidRPr="00996E39">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rsidR="00A608F5" w:rsidRPr="00996E39" w:rsidRDefault="00831E8B">
      <w:pPr>
        <w:spacing w:after="0" w:line="360" w:lineRule="auto"/>
      </w:pPr>
      <w:r w:rsidRPr="00996E39">
        <w:t> </w:t>
      </w:r>
    </w:p>
    <w:p w:rsidR="00A608F5" w:rsidRPr="00996E39" w:rsidRDefault="00831E8B">
      <w:pPr>
        <w:numPr>
          <w:ilvl w:val="0"/>
          <w:numId w:val="6"/>
        </w:numPr>
        <w:spacing w:after="0" w:line="360" w:lineRule="auto"/>
      </w:pPr>
      <w:r w:rsidRPr="00996E39">
        <w:rPr>
          <w:b/>
        </w:rPr>
        <w:t>Dato abierto:</w:t>
      </w:r>
      <w:r w:rsidRPr="00996E39">
        <w:t> Datos digitales de carácter público que son accesibles en línea que pueden ser usados, reutilizados y redistribuidos por cualquier persona, mismos que se conforman de diversas características, entre las cuales se encuentra que se encuentren en formatos abiertos.</w:t>
      </w:r>
    </w:p>
    <w:p w:rsidR="00A608F5" w:rsidRPr="00996E39" w:rsidRDefault="00831E8B">
      <w:pPr>
        <w:spacing w:after="0" w:line="360" w:lineRule="auto"/>
      </w:pPr>
      <w:r w:rsidRPr="00996E39">
        <w:t> </w:t>
      </w:r>
    </w:p>
    <w:p w:rsidR="00A608F5" w:rsidRPr="00996E39" w:rsidRDefault="00831E8B">
      <w:pPr>
        <w:numPr>
          <w:ilvl w:val="0"/>
          <w:numId w:val="6"/>
        </w:numPr>
        <w:spacing w:after="0" w:line="360" w:lineRule="auto"/>
      </w:pPr>
      <w:r w:rsidRPr="00996E39">
        <w:rPr>
          <w:b/>
        </w:rPr>
        <w:lastRenderedPageBreak/>
        <w:t>Formato accesible:</w:t>
      </w:r>
      <w:r w:rsidRPr="00996E39">
        <w:t>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rsidR="00A608F5" w:rsidRPr="00996E39" w:rsidRDefault="00831E8B">
      <w:pPr>
        <w:spacing w:after="0" w:line="360" w:lineRule="auto"/>
      </w:pPr>
      <w:r w:rsidRPr="00996E39">
        <w:t> </w:t>
      </w:r>
    </w:p>
    <w:p w:rsidR="00A608F5" w:rsidRPr="00996E39" w:rsidRDefault="00831E8B">
      <w:pPr>
        <w:spacing w:after="0" w:line="360" w:lineRule="auto"/>
      </w:pPr>
      <w:r w:rsidRPr="00996E39">
        <w:t>Conforme a lo anterior, se considera que en el caso de que la información peticionada obre en ligas electrónicas, el Sujeto Obligado deberá privilegiar la entrega de estas, en datos abiertos, es decir, en un formato que permita la accesibilidad y facilidad a las personas Particulares, para obtener la información contenida estas.</w:t>
      </w:r>
    </w:p>
    <w:p w:rsidR="00A608F5" w:rsidRPr="00996E39" w:rsidRDefault="00831E8B">
      <w:pPr>
        <w:spacing w:after="0" w:line="360" w:lineRule="auto"/>
      </w:pPr>
      <w:r w:rsidRPr="00996E39">
        <w:t> </w:t>
      </w:r>
    </w:p>
    <w:p w:rsidR="00A608F5" w:rsidRPr="00996E39" w:rsidRDefault="00831E8B">
      <w:pPr>
        <w:spacing w:after="0" w:line="360" w:lineRule="auto"/>
      </w:pPr>
      <w:r w:rsidRPr="00996E39">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rsidR="00A608F5" w:rsidRPr="00996E39" w:rsidRDefault="00A608F5">
      <w:pPr>
        <w:spacing w:after="0" w:line="360" w:lineRule="auto"/>
      </w:pPr>
    </w:p>
    <w:p w:rsidR="00A608F5" w:rsidRPr="00996E39" w:rsidRDefault="00831E8B">
      <w:pPr>
        <w:spacing w:after="0" w:line="360" w:lineRule="auto"/>
      </w:pPr>
      <w:r w:rsidRPr="00996E39">
        <w:t xml:space="preserve">Cómo se logra observar, el Sujeto Obligado si bien señaló una página electrónica y que la información se encontraba en los estados comparativos de egresos, omitió proporcionar en formato abierto, lo cual implica la dificultad de acceder a la misma, pues se traduce al hecho de que la Particular tendría que colocar cada dígito alfanumérico, y cuya equivocación implicaría no acceder a la información contenida en las mismas; de igual forma omitió y señalar en qué parte de los estados comparativos de egresos se localiza el pago por los eventos señalados en la solicitud. </w:t>
      </w:r>
    </w:p>
    <w:p w:rsidR="00A608F5" w:rsidRPr="00996E39" w:rsidRDefault="00A608F5">
      <w:pPr>
        <w:spacing w:after="0" w:line="360" w:lineRule="auto"/>
      </w:pPr>
    </w:p>
    <w:p w:rsidR="00A608F5" w:rsidRPr="00996E39" w:rsidRDefault="00831E8B">
      <w:pPr>
        <w:spacing w:after="0" w:line="360" w:lineRule="auto"/>
      </w:pPr>
      <w:r w:rsidRPr="00996E39">
        <w:lastRenderedPageBreak/>
        <w:t xml:space="preserve">Sin menoscabar lo anterior, este Instituto revisó la liga electrónica remitida, de la que se advierte registros de 2022 a 2024 relacionados con entregas de cuenta pública e informes financieros, y en los estados comparativos de egresos se advierte la erogación por diversos motivos, sin que se especifiquen los gastos con motivo de los eventos señalados en la solicitud de información, por tanto, </w:t>
      </w:r>
      <w:r w:rsidRPr="00996E39">
        <w:rPr>
          <w:b/>
        </w:rPr>
        <w:t>no da cuenta de lo solicitado</w:t>
      </w:r>
      <w:r w:rsidRPr="00996E39">
        <w:t xml:space="preserve"> y en consecuencia resultan fundados los motivos de inconformidad planteados por la persona Recurrente y en consecuencia será necesario la búsqueda de la información y la entrega correspondiente. </w:t>
      </w:r>
    </w:p>
    <w:p w:rsidR="00A608F5" w:rsidRPr="00996E39" w:rsidRDefault="00A608F5">
      <w:pPr>
        <w:spacing w:after="0" w:line="360" w:lineRule="auto"/>
      </w:pPr>
    </w:p>
    <w:p w:rsidR="00A608F5" w:rsidRPr="00996E39" w:rsidRDefault="00831E8B">
      <w:pPr>
        <w:spacing w:after="0" w:line="360" w:lineRule="auto"/>
      </w:pPr>
      <w:r w:rsidRPr="00996E39">
        <w:t xml:space="preserve">No se omite mencionar que el Sujeto Obligado a través de respuesta también remitió el </w:t>
      </w:r>
      <w:r w:rsidRPr="00996E39">
        <w:rPr>
          <w:color w:val="000000"/>
        </w:rPr>
        <w:t xml:space="preserve">Acta ACT/TEMA/UTAIP/ORDINARIA/83/2024 correspondiente a la </w:t>
      </w:r>
      <w:proofErr w:type="spellStart"/>
      <w:r w:rsidRPr="00996E39">
        <w:rPr>
          <w:color w:val="000000"/>
        </w:rPr>
        <w:t>octagésima</w:t>
      </w:r>
      <w:proofErr w:type="spellEnd"/>
      <w:r w:rsidRPr="00996E39">
        <w:rPr>
          <w:color w:val="000000"/>
        </w:rPr>
        <w:t xml:space="preserve"> tercera sesión ordinaria del Comité de Transparencia</w:t>
      </w:r>
      <w:r w:rsidRPr="00996E39">
        <w:t>, que en su punto tercero, se aprobó el cambio de modalidad de la entrega de respuesta a diversas solicitudes, entre ellas la que nos ocupa, y se señaló que derivado a la carga de trabajo de las áreas, la falta de capacidad técnica, humana, material y de las más de 1164 solicitudes a diversas áreas aprobaron el cambio de modalidad; sin embargo, para el caso que nos ocupa, el Sujeto Obligado a través de la Tesorería Municipal sí dio respuesta a través de SAIMEX, por tanto, los argumentos vertidos resultan incongruentes, además no argumentó ni acreditó de forma debidamente fundada y motivada dichas imposibilidades, al respecto, se debe tener en cuenta que el artículo 155, fracción V, de la Ley de Transparencia y Acceso a la Información Pública del Estado de México y Municipios, se precisa que para presentar una solicitud, el particular podrá señalar la modalidad en la que prefiere que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A608F5" w:rsidRPr="00996E39" w:rsidRDefault="00A608F5">
      <w:pPr>
        <w:spacing w:after="0" w:line="360" w:lineRule="auto"/>
      </w:pPr>
    </w:p>
    <w:p w:rsidR="00A608F5" w:rsidRPr="00996E39" w:rsidRDefault="00831E8B">
      <w:pPr>
        <w:spacing w:after="0" w:line="360" w:lineRule="auto"/>
      </w:pPr>
      <w:r w:rsidRPr="00996E39">
        <w:t xml:space="preserve">Por su parte, el artículo 158, dispone que de manera excepcional, cuando de manera fundada y motivada lo determine el Sujeto Obligado, en los casos en que la entrega de la información que </w:t>
      </w:r>
      <w:r w:rsidRPr="00996E39">
        <w:lastRenderedPageBreak/>
        <w:t xml:space="preserve">se encuentre a su disposición, </w:t>
      </w:r>
      <w:r w:rsidRPr="00996E39">
        <w:rPr>
          <w:b/>
        </w:rPr>
        <w:t xml:space="preserve">sobrepase las capacidades técnicas del Sujeto Obligado </w:t>
      </w:r>
      <w:r w:rsidRPr="00996E39">
        <w:t>para cumplir con la solicitud, se podrá poner a disposición del solicitante la información en consulta directa.</w:t>
      </w:r>
    </w:p>
    <w:p w:rsidR="00A608F5" w:rsidRPr="00996E39" w:rsidRDefault="00A608F5">
      <w:pPr>
        <w:spacing w:after="0" w:line="360" w:lineRule="auto"/>
      </w:pPr>
    </w:p>
    <w:p w:rsidR="00A608F5" w:rsidRPr="00996E39" w:rsidRDefault="00831E8B">
      <w:pPr>
        <w:spacing w:after="0" w:line="360" w:lineRule="auto"/>
      </w:pPr>
      <w:r w:rsidRPr="00996E39">
        <w:t>En ese orden de ideas, el artículo 164 de dicho ordenamiento jurídico, prevé que el acceso se dará en la modalidad de entrega y, en su caso, de envío elegidos por el solicitante. Cuando la información no pueda entregarse o enviarse en la modalidad elegida, el sujeto obligado deberá ofrecer otra u otras modalidades de entrega. En cualquier caso, se deberá fundar y motivar la necesidad de ofrecer otras modalidades.</w:t>
      </w:r>
    </w:p>
    <w:p w:rsidR="00A608F5" w:rsidRPr="00996E39" w:rsidRDefault="00A608F5">
      <w:pPr>
        <w:spacing w:after="0" w:line="360" w:lineRule="auto"/>
      </w:pPr>
    </w:p>
    <w:p w:rsidR="00A608F5" w:rsidRPr="00996E39" w:rsidRDefault="00831E8B">
      <w:pPr>
        <w:spacing w:after="0" w:line="360" w:lineRule="auto"/>
      </w:pPr>
      <w:r w:rsidRPr="00996E39">
        <w:t>Así, cuando se justifique el impedimento, los Sujetos Obligados deberán ofrecer al particular otras modalidades de entrega que permita la información,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rsidR="00A608F5" w:rsidRPr="00996E39" w:rsidRDefault="00A608F5">
      <w:pPr>
        <w:spacing w:after="0" w:line="360" w:lineRule="auto"/>
      </w:pPr>
    </w:p>
    <w:p w:rsidR="00A608F5" w:rsidRPr="00996E39" w:rsidRDefault="00831E8B">
      <w:pPr>
        <w:spacing w:after="0" w:line="360" w:lineRule="auto"/>
        <w:ind w:left="567" w:right="539"/>
        <w:rPr>
          <w:i/>
          <w:sz w:val="20"/>
          <w:szCs w:val="20"/>
        </w:rPr>
      </w:pPr>
      <w:r w:rsidRPr="00996E39">
        <w:rPr>
          <w:b/>
          <w:i/>
          <w:sz w:val="20"/>
          <w:szCs w:val="20"/>
        </w:rPr>
        <w:t>“Modalidad de entrega. Procedencia de proporcionar la información solicitada en una diversa a la elegida por el solicitante</w:t>
      </w:r>
      <w:r w:rsidRPr="00996E39">
        <w:rPr>
          <w:i/>
          <w:sz w:val="20"/>
          <w:szCs w:val="20"/>
        </w:rPr>
        <w:t>.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rsidR="00A608F5" w:rsidRPr="00996E39" w:rsidRDefault="00A608F5">
      <w:pPr>
        <w:spacing w:after="0" w:line="360" w:lineRule="auto"/>
      </w:pPr>
    </w:p>
    <w:p w:rsidR="00A608F5" w:rsidRPr="00996E39" w:rsidRDefault="00831E8B">
      <w:pPr>
        <w:spacing w:after="0" w:line="360" w:lineRule="auto"/>
      </w:pPr>
      <w:r w:rsidRPr="00996E39">
        <w:t xml:space="preserve">Del citado criterio, se desprende que cuando no sea posible atender la modalidad elegida por los solicitantes, la obligación de acceso a la información se tendrá por cumplida cuando el Sujeto </w:t>
      </w:r>
      <w:r w:rsidRPr="00996E39">
        <w:lastRenderedPageBreak/>
        <w:t>Obligado justifique el impedimento para atender la misma y se notifique al particular la puesta a disposición de la información en todas las modalidades que lo permitan, procurando reducir los costos de entrega.</w:t>
      </w:r>
    </w:p>
    <w:p w:rsidR="00A608F5" w:rsidRPr="00996E39" w:rsidRDefault="00A608F5">
      <w:pPr>
        <w:spacing w:after="0" w:line="360" w:lineRule="auto"/>
      </w:pPr>
    </w:p>
    <w:p w:rsidR="00A608F5" w:rsidRPr="00996E39" w:rsidRDefault="00831E8B">
      <w:pPr>
        <w:spacing w:after="0" w:line="360" w:lineRule="auto"/>
      </w:pPr>
      <w:r w:rsidRPr="00996E39">
        <w:t xml:space="preserve">Para el caso que nos ocupa se observa que la modalidad de entrega que seleccionó el Particular es a través del Sistema de Acceso a la Información Mexiquense (SAIMEX), así, bajo el amparo de la normatividad antes señalada, se advierte que, para que tenga lugar el cambio de modalidad de entrega, el Sujeto Obligado </w:t>
      </w:r>
      <w:r w:rsidRPr="00996E39">
        <w:rPr>
          <w:b/>
        </w:rPr>
        <w:t>debió establecer las razones o motivos que fundamentan la solicitud de cambio de modalidad;</w:t>
      </w:r>
      <w:r w:rsidRPr="00996E39">
        <w:t xml:space="preserve"> sin embargo, en análisis a las respuestas, se advierte que el Sujeto Obligado no expuso de forma precisa y clara las razones o motivos que den impulso al cambio de modalidad, además, no señaló la cantidad precisa de hojas, ni  el peso de la misma, dado que en la respuesta que nos ocupa se limitó a señalar que derivado a la carga de trabajo de las áreas, la falta de capacidad técnica, humana, material y de las más de 1164 solicitudes a diversas áreas sin embargo si entregó respuesta lo</w:t>
      </w:r>
      <w:r w:rsidR="00567719">
        <w:t xml:space="preserve"> </w:t>
      </w:r>
      <w:r w:rsidRPr="00996E39">
        <w:t xml:space="preserve">que resulta incongruente; sumado a ello, de las constancias que obran en el SAIMEX, el Sujeto Obligado no presentó algún registro de incidencia ante la Dirección General de Informática de este Instituto. </w:t>
      </w:r>
    </w:p>
    <w:p w:rsidR="00A608F5" w:rsidRPr="00996E39" w:rsidRDefault="00A608F5">
      <w:pPr>
        <w:spacing w:after="0" w:line="360" w:lineRule="auto"/>
      </w:pPr>
    </w:p>
    <w:p w:rsidR="00A608F5" w:rsidRPr="00996E39" w:rsidRDefault="00831E8B">
      <w:pPr>
        <w:spacing w:after="0" w:line="360" w:lineRule="auto"/>
      </w:pPr>
      <w:r w:rsidRPr="00996E39">
        <w:t xml:space="preserve">En este contexto, se debe tener en cuenta que el Sistema de Acceso a la Información Mexiquense (SAIMEX) tiene el soporte técnico para adjuntar archivos de hasta 8,000 hojas; y para el caso que nos ocupa, no se aprecian razones o fundamentos suficientes para considerar que lo solicitado exceda la cantidad de hojas que soporta el SAIMEX y en consecuencia acreditar alguna imposibilidad técnica para la entrega de la información. </w:t>
      </w:r>
    </w:p>
    <w:p w:rsidR="00A608F5" w:rsidRPr="00996E39" w:rsidRDefault="00A608F5">
      <w:pPr>
        <w:spacing w:after="0" w:line="360" w:lineRule="auto"/>
      </w:pPr>
    </w:p>
    <w:p w:rsidR="00A608F5" w:rsidRPr="00996E39" w:rsidRDefault="00831E8B">
      <w:pPr>
        <w:spacing w:after="0" w:line="360" w:lineRule="auto"/>
        <w:rPr>
          <w:b/>
        </w:rPr>
      </w:pPr>
      <w:r w:rsidRPr="00996E39">
        <w:t xml:space="preserve">En consecuencia, los argumentos señalados por el Sujeto Obligado resultan insuficientes para que tenga lugar un cambio de modalidad, pues no se acreditó la existencia de una imposibilidad técnica que impida la entrega de la información por el medio solicitado; además, el Sujeto </w:t>
      </w:r>
      <w:r w:rsidRPr="00996E39">
        <w:lastRenderedPageBreak/>
        <w:t xml:space="preserve">Obligado no aportó elementos argumentativos que demostraran una imposibilidad técnica y humana para atender la solicitud de información. Por lo anterior, </w:t>
      </w:r>
      <w:r w:rsidRPr="00996E39">
        <w:rPr>
          <w:b/>
        </w:rPr>
        <w:t>resulta improcedente el cambio de modalidad propuesto por el Sujeto Obligado.</w:t>
      </w:r>
    </w:p>
    <w:p w:rsidR="00A608F5" w:rsidRPr="00996E39" w:rsidRDefault="00A608F5">
      <w:pPr>
        <w:spacing w:after="0" w:line="360" w:lineRule="auto"/>
        <w:rPr>
          <w:b/>
        </w:rPr>
      </w:pPr>
    </w:p>
    <w:p w:rsidR="00A608F5" w:rsidRPr="00996E39" w:rsidRDefault="00831E8B">
      <w:pPr>
        <w:spacing w:after="0" w:line="360" w:lineRule="auto"/>
      </w:pPr>
      <w:r w:rsidRPr="00996E39">
        <w:t xml:space="preserve">Así pues, resultan fundados los motivos de inconformidad planteados por la parte Recurrente y es procedente y es procedente </w:t>
      </w:r>
      <w:r w:rsidRPr="00996E39">
        <w:rPr>
          <w:b/>
        </w:rPr>
        <w:t>REVOCAR</w:t>
      </w:r>
      <w:r w:rsidRPr="00996E39">
        <w:t xml:space="preserve"> la respuesta inicial y ordenar la entrega de la información, para el caso de ser necesarias la versión pública en la que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A608F5" w:rsidRPr="00996E39" w:rsidRDefault="00A608F5">
      <w:pPr>
        <w:spacing w:after="0" w:line="360" w:lineRule="auto"/>
      </w:pPr>
    </w:p>
    <w:p w:rsidR="00A608F5" w:rsidRPr="00996E39" w:rsidRDefault="00831E8B">
      <w:pPr>
        <w:spacing w:after="0" w:line="360" w:lineRule="auto"/>
      </w:pPr>
      <w:r w:rsidRPr="00996E39">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A608F5" w:rsidRPr="00996E39" w:rsidRDefault="00A608F5">
      <w:pPr>
        <w:spacing w:after="0" w:line="360" w:lineRule="auto"/>
      </w:pPr>
    </w:p>
    <w:p w:rsidR="00A608F5" w:rsidRPr="00996E39" w:rsidRDefault="00831E8B">
      <w:pPr>
        <w:spacing w:after="0" w:line="360" w:lineRule="auto"/>
        <w:rPr>
          <w:b/>
          <w:color w:val="000000"/>
        </w:rPr>
      </w:pPr>
      <w:r w:rsidRPr="00996E39">
        <w:rPr>
          <w:b/>
        </w:rPr>
        <w:t>Versión Pública</w:t>
      </w:r>
    </w:p>
    <w:p w:rsidR="00A608F5" w:rsidRPr="00996E39" w:rsidRDefault="00A608F5">
      <w:pPr>
        <w:spacing w:after="0" w:line="360" w:lineRule="auto"/>
        <w:rPr>
          <w:b/>
          <w:smallCaps/>
        </w:rPr>
      </w:pPr>
    </w:p>
    <w:p w:rsidR="00A608F5" w:rsidRPr="00996E39" w:rsidRDefault="00831E8B">
      <w:pPr>
        <w:spacing w:after="0" w:line="360" w:lineRule="auto"/>
      </w:pPr>
      <w:r w:rsidRPr="00996E39">
        <w:t xml:space="preserve">Establecido lo anterior, y tal como se refirió en párrafos precedentes, de la naturaleza jurídica de los documentos requeridos por el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w:t>
      </w:r>
      <w:r w:rsidRPr="00996E39">
        <w:lastRenderedPageBreak/>
        <w:t xml:space="preserve">que la información que se refiere a la vida privada y los datos personales será protegida en los términos y con las excepciones que fijen las leyes. </w:t>
      </w:r>
    </w:p>
    <w:p w:rsidR="00A608F5" w:rsidRPr="00996E39" w:rsidRDefault="00A608F5">
      <w:pPr>
        <w:spacing w:after="0" w:line="360" w:lineRule="auto"/>
      </w:pPr>
    </w:p>
    <w:p w:rsidR="00A608F5" w:rsidRPr="00996E39" w:rsidRDefault="00831E8B">
      <w:pPr>
        <w:spacing w:after="0" w:line="360" w:lineRule="auto"/>
      </w:pPr>
      <w:r w:rsidRPr="00996E39">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rsidR="00A608F5" w:rsidRPr="00996E39" w:rsidRDefault="00A608F5">
      <w:pPr>
        <w:spacing w:after="0" w:line="360" w:lineRule="auto"/>
      </w:pPr>
    </w:p>
    <w:p w:rsidR="00A608F5" w:rsidRPr="00996E39" w:rsidRDefault="00831E8B">
      <w:pPr>
        <w:spacing w:after="0" w:line="360" w:lineRule="auto"/>
      </w:pPr>
      <w:r w:rsidRPr="00996E39">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A608F5" w:rsidRPr="00996E39" w:rsidRDefault="00A608F5">
      <w:pPr>
        <w:spacing w:after="0" w:line="360" w:lineRule="auto"/>
      </w:pPr>
    </w:p>
    <w:p w:rsidR="00A608F5" w:rsidRPr="00996E39" w:rsidRDefault="00831E8B">
      <w:pPr>
        <w:spacing w:after="0" w:line="360" w:lineRule="auto"/>
      </w:pPr>
      <w:r w:rsidRPr="00996E39">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A608F5" w:rsidRPr="00996E39" w:rsidRDefault="00A608F5">
      <w:pPr>
        <w:spacing w:after="0" w:line="360" w:lineRule="auto"/>
      </w:pPr>
    </w:p>
    <w:p w:rsidR="00A608F5" w:rsidRPr="00996E39" w:rsidRDefault="00831E8B">
      <w:pPr>
        <w:spacing w:after="0" w:line="360" w:lineRule="auto"/>
      </w:pPr>
      <w:r w:rsidRPr="00996E39">
        <w:t>En concordancia con lo previó, el artículo 143, fracción I, de la Ley previamente citada, establece que la información privada y los datos personales, concernientes a una persona física o jurídica colectiva identificada o identificable son confidenciales.</w:t>
      </w:r>
    </w:p>
    <w:p w:rsidR="00A608F5" w:rsidRPr="00996E39" w:rsidRDefault="00A608F5">
      <w:pPr>
        <w:spacing w:after="0" w:line="360" w:lineRule="auto"/>
      </w:pPr>
    </w:p>
    <w:p w:rsidR="00A608F5" w:rsidRPr="00996E39" w:rsidRDefault="00831E8B">
      <w:pPr>
        <w:spacing w:after="0" w:line="360" w:lineRule="auto"/>
      </w:pPr>
      <w:r w:rsidRPr="00996E39">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996E39">
        <w:rPr>
          <w:smallCaps/>
        </w:rPr>
        <w:t>I</w:t>
      </w:r>
      <w:r w:rsidRPr="00996E39">
        <w:t xml:space="preserve">) la información se encuentre en registros públicos o fuentes de acceso público, </w:t>
      </w:r>
      <w:r w:rsidRPr="00996E39">
        <w:rPr>
          <w:smallCaps/>
        </w:rPr>
        <w:t>II</w:t>
      </w:r>
      <w:r w:rsidRPr="00996E39">
        <w:t xml:space="preserve">) por ley tenga el carácter de pública, </w:t>
      </w:r>
      <w:r w:rsidRPr="00996E39">
        <w:rPr>
          <w:smallCaps/>
        </w:rPr>
        <w:t>III</w:t>
      </w:r>
      <w:r w:rsidRPr="00996E39">
        <w:t xml:space="preserve">) exista una orden judicial, </w:t>
      </w:r>
      <w:r w:rsidRPr="00996E39">
        <w:rPr>
          <w:smallCaps/>
        </w:rPr>
        <w:t>IV</w:t>
      </w:r>
      <w:r w:rsidRPr="00996E39">
        <w:t xml:space="preserve">) por razones de seguridad nacional y salubridad general o </w:t>
      </w:r>
      <w:r w:rsidRPr="00996E39">
        <w:rPr>
          <w:smallCaps/>
        </w:rPr>
        <w:t>V</w:t>
      </w:r>
      <w:r w:rsidRPr="00996E39">
        <w:t>) para proteger los derechos de terceros o cuando se transmitan entre sujetos obligados en términos de los tratados y los acuerdos interinstitucionales.</w:t>
      </w:r>
    </w:p>
    <w:p w:rsidR="00A608F5" w:rsidRPr="00996E39" w:rsidRDefault="00A608F5">
      <w:pPr>
        <w:spacing w:after="0" w:line="360" w:lineRule="auto"/>
      </w:pPr>
    </w:p>
    <w:p w:rsidR="00A608F5" w:rsidRPr="00996E39" w:rsidRDefault="00831E8B">
      <w:pPr>
        <w:spacing w:after="0" w:line="360" w:lineRule="auto"/>
      </w:pPr>
      <w:r w:rsidRPr="00996E39">
        <w:t>En términos de lo expuesto, la documentación y aquellos datos que se consideren confidenciales, serán una limitante del derecho de acceso a la información, siempre y cuando:</w:t>
      </w:r>
    </w:p>
    <w:p w:rsidR="00A608F5" w:rsidRPr="00996E39" w:rsidRDefault="00A608F5">
      <w:pPr>
        <w:spacing w:after="0" w:line="360" w:lineRule="auto"/>
      </w:pPr>
    </w:p>
    <w:p w:rsidR="00A608F5" w:rsidRPr="00996E39" w:rsidRDefault="00831E8B">
      <w:pPr>
        <w:numPr>
          <w:ilvl w:val="0"/>
          <w:numId w:val="1"/>
        </w:numPr>
        <w:spacing w:after="0" w:line="360" w:lineRule="auto"/>
        <w:ind w:left="0" w:firstLine="0"/>
      </w:pPr>
      <w:r w:rsidRPr="00996E39">
        <w:t xml:space="preserve">Se trate de datos personales o información privada; esto es, información concerniente a una persona física o jurídica colectiva y que esta sea identificada o identificable. </w:t>
      </w:r>
    </w:p>
    <w:p w:rsidR="00A608F5" w:rsidRPr="00996E39" w:rsidRDefault="00831E8B">
      <w:pPr>
        <w:numPr>
          <w:ilvl w:val="0"/>
          <w:numId w:val="1"/>
        </w:numPr>
        <w:spacing w:after="0" w:line="360" w:lineRule="auto"/>
        <w:ind w:left="0" w:firstLine="0"/>
      </w:pPr>
      <w:r w:rsidRPr="00996E39">
        <w:t xml:space="preserve">Para la difusión de los datos, se requiere el consentimiento del titular. </w:t>
      </w:r>
    </w:p>
    <w:p w:rsidR="00A608F5" w:rsidRPr="00996E39" w:rsidRDefault="00A608F5">
      <w:pPr>
        <w:spacing w:after="0" w:line="360" w:lineRule="auto"/>
      </w:pPr>
    </w:p>
    <w:p w:rsidR="00A608F5" w:rsidRPr="00996E39" w:rsidRDefault="00831E8B">
      <w:pPr>
        <w:spacing w:after="0" w:line="360" w:lineRule="auto"/>
      </w:pPr>
      <w:r w:rsidRPr="00996E39">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A608F5" w:rsidRPr="00996E39" w:rsidRDefault="00A608F5">
      <w:pPr>
        <w:spacing w:after="0" w:line="360" w:lineRule="auto"/>
      </w:pPr>
    </w:p>
    <w:p w:rsidR="00A608F5" w:rsidRPr="00996E39" w:rsidRDefault="00831E8B">
      <w:pPr>
        <w:spacing w:after="0" w:line="360" w:lineRule="auto"/>
      </w:pPr>
      <w:r w:rsidRPr="00996E39">
        <w:lastRenderedPageBreak/>
        <w:t>Además, en el artículo 5° de dicho ordenamiento jurídico, establece que es la Ley aplicable para todo tratamiento de datos personales.</w:t>
      </w:r>
    </w:p>
    <w:p w:rsidR="00A608F5" w:rsidRPr="00996E39" w:rsidRDefault="00A608F5">
      <w:pPr>
        <w:spacing w:after="0" w:line="360" w:lineRule="auto"/>
      </w:pPr>
    </w:p>
    <w:p w:rsidR="00A608F5" w:rsidRPr="00996E39" w:rsidRDefault="00831E8B">
      <w:pPr>
        <w:spacing w:after="0" w:line="360" w:lineRule="auto"/>
      </w:pPr>
      <w:r w:rsidRPr="00996E39">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A608F5" w:rsidRPr="00996E39" w:rsidRDefault="00A608F5">
      <w:pPr>
        <w:spacing w:after="0" w:line="360" w:lineRule="auto"/>
      </w:pPr>
    </w:p>
    <w:p w:rsidR="00A608F5" w:rsidRPr="00996E39" w:rsidRDefault="00831E8B">
      <w:pPr>
        <w:spacing w:after="0" w:line="360" w:lineRule="auto"/>
      </w:pPr>
      <w:r w:rsidRPr="00996E39">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A608F5" w:rsidRPr="00996E39" w:rsidRDefault="00A608F5">
      <w:pPr>
        <w:spacing w:after="0" w:line="360" w:lineRule="auto"/>
      </w:pPr>
    </w:p>
    <w:p w:rsidR="00A608F5" w:rsidRPr="00996E39" w:rsidRDefault="00831E8B">
      <w:pPr>
        <w:spacing w:after="0" w:line="360" w:lineRule="auto"/>
      </w:pPr>
      <w:r w:rsidRPr="00996E39">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A608F5" w:rsidRPr="00996E39" w:rsidRDefault="00A608F5">
      <w:pPr>
        <w:spacing w:after="0" w:line="360" w:lineRule="auto"/>
      </w:pPr>
    </w:p>
    <w:p w:rsidR="00A608F5" w:rsidRPr="00996E39" w:rsidRDefault="00831E8B">
      <w:pPr>
        <w:spacing w:after="0" w:line="360" w:lineRule="auto"/>
      </w:pPr>
      <w:r w:rsidRPr="00996E39">
        <w:lastRenderedPageBreak/>
        <w:t>De tal suerte, las instituciones públicas tienen la doble responsabilidad, por un lado, de proteger los datos personales y por otro, darles publicidad cuando la relevancia de esos datos sea de interés público.</w:t>
      </w:r>
    </w:p>
    <w:p w:rsidR="00A608F5" w:rsidRPr="00996E39" w:rsidRDefault="00A608F5">
      <w:pPr>
        <w:spacing w:after="0" w:line="360" w:lineRule="auto"/>
      </w:pPr>
    </w:p>
    <w:p w:rsidR="00A608F5" w:rsidRPr="00996E39" w:rsidRDefault="00831E8B">
      <w:pPr>
        <w:spacing w:after="0" w:line="360" w:lineRule="auto"/>
      </w:pPr>
      <w:r w:rsidRPr="00996E39">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A608F5" w:rsidRPr="00996E39" w:rsidRDefault="00A608F5">
      <w:pPr>
        <w:spacing w:after="0" w:line="360" w:lineRule="auto"/>
      </w:pPr>
    </w:p>
    <w:p w:rsidR="00A608F5" w:rsidRPr="00996E39" w:rsidRDefault="00831E8B">
      <w:pPr>
        <w:spacing w:after="0" w:line="360" w:lineRule="auto"/>
      </w:pPr>
      <w:r w:rsidRPr="00996E39">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rsidR="00996E39" w:rsidRPr="00996E39">
        <w:t>aun</w:t>
      </w:r>
      <w:r w:rsidRPr="00996E39">
        <w:t xml:space="preserve"> tratándose de información personal.</w:t>
      </w:r>
    </w:p>
    <w:p w:rsidR="00A608F5" w:rsidRPr="00996E39" w:rsidRDefault="00A608F5">
      <w:pPr>
        <w:spacing w:after="0" w:line="360" w:lineRule="auto"/>
      </w:pPr>
    </w:p>
    <w:p w:rsidR="00A608F5" w:rsidRPr="00996E39" w:rsidRDefault="00831E8B">
      <w:pPr>
        <w:spacing w:after="0" w:line="360" w:lineRule="auto"/>
      </w:pPr>
      <w:r w:rsidRPr="00996E39">
        <w:t xml:space="preserve">Ahora bien, cuando las personas tienen una relación comercial, laboral, de servicios, trámites o del tipo que sea, necesariamente por un tema de interés público, debe cederse un poco de privacidad, de tal forma que la gente en general pueda verificar el debido desempeño de los </w:t>
      </w:r>
      <w:r w:rsidRPr="00996E39">
        <w:lastRenderedPageBreak/>
        <w:t>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A608F5" w:rsidRPr="00996E39" w:rsidRDefault="00A608F5">
      <w:pPr>
        <w:spacing w:after="0" w:line="360" w:lineRule="auto"/>
      </w:pPr>
    </w:p>
    <w:p w:rsidR="00A608F5" w:rsidRPr="00996E39" w:rsidRDefault="00831E8B">
      <w:pPr>
        <w:spacing w:after="0" w:line="360" w:lineRule="auto"/>
      </w:pPr>
      <w:r w:rsidRPr="00996E39">
        <w:t xml:space="preserve">Bajo ese contexto, se analizarán de manera enunciativa más no limitativa algunos datos personales que pueden encontrarse dentro de los documentos que pueden dar cuenta de lo requerido por la persona Particular y que actualiza el supuesto de información confidencial por corresponder a la vida privada de las personas </w:t>
      </w:r>
      <w:r w:rsidRPr="00996E39">
        <w:rPr>
          <w:u w:val="single"/>
        </w:rPr>
        <w:t>son CURP, fecha de nacimiento, identificaciones como credencial de elector o pasaporte, domicilio o correo electrónico personales</w:t>
      </w:r>
      <w:r w:rsidRPr="00996E39">
        <w:t>, los cuales  actualizan la causal de clasificación establecida en el artículo 143, fracción I, de la Ley de Transparencia y Acceso a la Información Pública del Estado de México y Municipios.</w:t>
      </w:r>
    </w:p>
    <w:p w:rsidR="00A608F5" w:rsidRPr="00996E39" w:rsidRDefault="00A608F5">
      <w:pPr>
        <w:spacing w:after="0" w:line="360" w:lineRule="auto"/>
      </w:pPr>
    </w:p>
    <w:p w:rsidR="00A608F5" w:rsidRPr="00996E39" w:rsidRDefault="00831E8B">
      <w:pPr>
        <w:spacing w:after="0" w:line="360" w:lineRule="auto"/>
        <w:rPr>
          <w:b/>
        </w:rPr>
      </w:pPr>
      <w:r w:rsidRPr="00996E39">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rsidR="00A608F5" w:rsidRPr="00996E39" w:rsidRDefault="00A608F5">
      <w:pPr>
        <w:spacing w:after="0" w:line="360" w:lineRule="auto"/>
      </w:pPr>
    </w:p>
    <w:p w:rsidR="00A608F5" w:rsidRPr="00996E39" w:rsidRDefault="00831E8B">
      <w:pPr>
        <w:spacing w:after="0" w:line="360" w:lineRule="auto"/>
        <w:rPr>
          <w:b/>
        </w:rPr>
      </w:pPr>
      <w:r w:rsidRPr="00996E39">
        <w:rPr>
          <w:b/>
        </w:rPr>
        <w:t>SEXTO. Decisión</w:t>
      </w:r>
    </w:p>
    <w:p w:rsidR="00A608F5" w:rsidRPr="00996E39" w:rsidRDefault="00A608F5">
      <w:pPr>
        <w:spacing w:after="0" w:line="360" w:lineRule="auto"/>
        <w:rPr>
          <w:b/>
        </w:rPr>
      </w:pPr>
    </w:p>
    <w:p w:rsidR="00A608F5" w:rsidRPr="00996E39" w:rsidRDefault="00831E8B">
      <w:pPr>
        <w:spacing w:after="0" w:line="360" w:lineRule="auto"/>
      </w:pPr>
      <w:r w:rsidRPr="00996E39">
        <w:t xml:space="preserve">Con fundamento en el artículo 186, fracción III, de la Ley de Transparencia y Acceso a la Información Pública del Estado de México y Municipios, este Instituto considera procedente </w:t>
      </w:r>
      <w:r w:rsidRPr="00996E39">
        <w:rPr>
          <w:b/>
        </w:rPr>
        <w:t>REVOCAR</w:t>
      </w:r>
      <w:r w:rsidRPr="00996E39">
        <w:t xml:space="preserve"> la respuesta otorgada por el Sujeto Obligado a la solicitud de información </w:t>
      </w:r>
      <w:r w:rsidRPr="00996E39">
        <w:rPr>
          <w:b/>
          <w:color w:val="0D0D0D"/>
        </w:rPr>
        <w:t>00314/TEMAMATL/IP/2024</w:t>
      </w:r>
      <w:r w:rsidRPr="00996E39">
        <w:t xml:space="preserve">, por resultar fundadas las razones o motivos de inconformidad hechos valer por el Recurrente, en el Recurso de Revisión </w:t>
      </w:r>
      <w:r w:rsidRPr="00996E39">
        <w:rPr>
          <w:b/>
        </w:rPr>
        <w:t>06596/INFOEM/IP/RR/2024</w:t>
      </w:r>
      <w:r w:rsidRPr="00996E39">
        <w:t xml:space="preserve">, en </w:t>
      </w:r>
      <w:r w:rsidRPr="00996E39">
        <w:lastRenderedPageBreak/>
        <w:t xml:space="preserve">consecuencia procede </w:t>
      </w:r>
      <w:r w:rsidRPr="00996E39">
        <w:rPr>
          <w:b/>
        </w:rPr>
        <w:t xml:space="preserve">ORDENAR, </w:t>
      </w:r>
      <w:r w:rsidRPr="00996E39">
        <w:t xml:space="preserve">la entrega de la información conforme a lo expuesto en el considerando anterior. </w:t>
      </w:r>
    </w:p>
    <w:p w:rsidR="00A608F5" w:rsidRPr="00996E39" w:rsidRDefault="00A608F5">
      <w:pPr>
        <w:tabs>
          <w:tab w:val="left" w:pos="4962"/>
        </w:tabs>
        <w:spacing w:after="0" w:line="360" w:lineRule="auto"/>
        <w:rPr>
          <w:color w:val="000000"/>
        </w:rPr>
      </w:pPr>
    </w:p>
    <w:p w:rsidR="00A608F5" w:rsidRPr="00996E39" w:rsidRDefault="00831E8B">
      <w:pPr>
        <w:spacing w:after="0" w:line="360" w:lineRule="auto"/>
        <w:rPr>
          <w:b/>
          <w:u w:val="single"/>
        </w:rPr>
      </w:pPr>
      <w:r w:rsidRPr="00996E39">
        <w:rPr>
          <w:b/>
          <w:u w:val="single"/>
        </w:rPr>
        <w:t>Términos de la Resolución para el Recurrente</w:t>
      </w:r>
    </w:p>
    <w:p w:rsidR="00A608F5" w:rsidRPr="00996E39" w:rsidRDefault="00A608F5">
      <w:pPr>
        <w:spacing w:after="0" w:line="360" w:lineRule="auto"/>
      </w:pPr>
    </w:p>
    <w:p w:rsidR="00A608F5" w:rsidRPr="00996E39" w:rsidRDefault="00831E8B">
      <w:pPr>
        <w:spacing w:after="0" w:line="360" w:lineRule="auto"/>
        <w:rPr>
          <w:u w:val="single"/>
        </w:rPr>
      </w:pPr>
      <w:r w:rsidRPr="00996E39">
        <w:rPr>
          <w:u w:val="single"/>
        </w:rPr>
        <w:t>Se hace del conocimiento al Particular que este Organismo Garante le otorgó la razón en virtud de que el Sujeto Obligado entregó una liga no remite a la información solicitada y no acreditó la imposibilidad para entregar la información a través de la modalidad elegida, por lo que se ordena la entrega de la información a través de SAIMEX.</w:t>
      </w:r>
    </w:p>
    <w:p w:rsidR="00A608F5" w:rsidRPr="00996E39" w:rsidRDefault="00A608F5">
      <w:pPr>
        <w:spacing w:after="0" w:line="360" w:lineRule="auto"/>
        <w:rPr>
          <w:u w:val="single"/>
        </w:rPr>
      </w:pPr>
    </w:p>
    <w:p w:rsidR="00A608F5" w:rsidRPr="00996E39" w:rsidRDefault="00831E8B">
      <w:pPr>
        <w:spacing w:after="0" w:line="360" w:lineRule="auto"/>
        <w:rPr>
          <w:u w:val="single"/>
        </w:rPr>
      </w:pPr>
      <w:r w:rsidRPr="00996E39">
        <w:rPr>
          <w:u w:val="single"/>
        </w:rPr>
        <w:t>Es necesario mencionar que para el caso de que la información tenga datos personales será necesaria su entrega en versión pública, lo que significa que se testen los datos personales y se entrega acompañada de un acuerdo en el que se expresen las razones por las que se protegen dichos datos.</w:t>
      </w:r>
    </w:p>
    <w:p w:rsidR="00A608F5" w:rsidRPr="00996E39" w:rsidRDefault="00A608F5">
      <w:pPr>
        <w:spacing w:after="0" w:line="360" w:lineRule="auto"/>
        <w:rPr>
          <w:u w:val="single"/>
        </w:rPr>
      </w:pPr>
    </w:p>
    <w:p w:rsidR="00A608F5" w:rsidRPr="00996E39" w:rsidRDefault="00831E8B">
      <w:pPr>
        <w:spacing w:after="0" w:line="360" w:lineRule="auto"/>
        <w:rPr>
          <w:u w:val="single"/>
        </w:rPr>
      </w:pPr>
      <w:r w:rsidRPr="00996E39">
        <w:rPr>
          <w:u w:val="single"/>
        </w:rPr>
        <w:t>La labor del INFOEM, es apoyar a la población para acceder a la información pública y garantizar la protección de sus datos personales.</w:t>
      </w:r>
    </w:p>
    <w:p w:rsidR="00A608F5" w:rsidRPr="00996E39" w:rsidRDefault="00A608F5">
      <w:pPr>
        <w:tabs>
          <w:tab w:val="left" w:pos="4962"/>
        </w:tabs>
        <w:spacing w:after="0" w:line="360" w:lineRule="auto"/>
        <w:rPr>
          <w:color w:val="000000"/>
        </w:rPr>
      </w:pPr>
    </w:p>
    <w:p w:rsidR="00A608F5" w:rsidRPr="00996E39" w:rsidRDefault="00831E8B">
      <w:pPr>
        <w:pStyle w:val="Ttulo1"/>
        <w:spacing w:before="0" w:after="0"/>
        <w:rPr>
          <w:b w:val="0"/>
          <w:sz w:val="22"/>
          <w:szCs w:val="22"/>
        </w:rPr>
      </w:pPr>
      <w:bookmarkStart w:id="13" w:name="_heading=h.qsh70q" w:colFirst="0" w:colLast="0"/>
      <w:bookmarkEnd w:id="13"/>
      <w:r w:rsidRPr="00996E39">
        <w:rPr>
          <w:sz w:val="22"/>
          <w:szCs w:val="22"/>
        </w:rPr>
        <w:t>R E S U E L V E</w:t>
      </w:r>
    </w:p>
    <w:p w:rsidR="00A608F5" w:rsidRPr="00996E39" w:rsidRDefault="00A608F5">
      <w:pPr>
        <w:spacing w:after="0" w:line="360" w:lineRule="auto"/>
        <w:rPr>
          <w:b/>
        </w:rPr>
      </w:pPr>
    </w:p>
    <w:p w:rsidR="00A608F5" w:rsidRPr="00996E39" w:rsidRDefault="00831E8B">
      <w:pPr>
        <w:spacing w:after="0" w:line="360" w:lineRule="auto"/>
      </w:pPr>
      <w:r w:rsidRPr="00996E39">
        <w:rPr>
          <w:b/>
        </w:rPr>
        <w:t xml:space="preserve">PRIMERO. </w:t>
      </w:r>
      <w:r w:rsidRPr="00996E39">
        <w:t xml:space="preserve">Se </w:t>
      </w:r>
      <w:r w:rsidRPr="00996E39">
        <w:rPr>
          <w:b/>
        </w:rPr>
        <w:t>REVOCA</w:t>
      </w:r>
      <w:r w:rsidRPr="00996E39">
        <w:t xml:space="preserve"> la respuesta entregada por la </w:t>
      </w:r>
      <w:r w:rsidRPr="00996E39">
        <w:rPr>
          <w:b/>
        </w:rPr>
        <w:t xml:space="preserve">Ayuntamiento de Temamatla </w:t>
      </w:r>
      <w:r w:rsidRPr="00996E39">
        <w:t xml:space="preserve">a la solicitud de información </w:t>
      </w:r>
      <w:r w:rsidRPr="00996E39">
        <w:rPr>
          <w:b/>
        </w:rPr>
        <w:t xml:space="preserve">00314/TEMAMATL/IP/2024 </w:t>
      </w:r>
      <w:r w:rsidRPr="00996E39">
        <w:t xml:space="preserve">por resultar fundadas las razones o motivos de inconformidad hechos valer por el Recurrente en el Recurso de Revisión </w:t>
      </w:r>
      <w:r w:rsidRPr="00996E39">
        <w:rPr>
          <w:b/>
        </w:rPr>
        <w:t>06596/INFOEM/IP/RR/2024</w:t>
      </w:r>
      <w:r w:rsidRPr="00996E39">
        <w:t>, en términos de los considerandos QUINTO y SEXTO de la presente Resolución.</w:t>
      </w:r>
    </w:p>
    <w:p w:rsidR="00A608F5" w:rsidRPr="00996E39" w:rsidRDefault="00A608F5">
      <w:pPr>
        <w:spacing w:after="0" w:line="360" w:lineRule="auto"/>
      </w:pPr>
    </w:p>
    <w:p w:rsidR="00A608F5" w:rsidRPr="00996E39" w:rsidRDefault="00831E8B">
      <w:pPr>
        <w:spacing w:after="0" w:line="360" w:lineRule="auto"/>
        <w:rPr>
          <w:b/>
          <w:color w:val="000000"/>
        </w:rPr>
      </w:pPr>
      <w:r w:rsidRPr="00996E39">
        <w:rPr>
          <w:b/>
        </w:rPr>
        <w:lastRenderedPageBreak/>
        <w:t xml:space="preserve">SEGUNDO. </w:t>
      </w:r>
      <w:r w:rsidRPr="00996E39">
        <w:rPr>
          <w:color w:val="000000"/>
        </w:rPr>
        <w:t xml:space="preserve">Se </w:t>
      </w:r>
      <w:r w:rsidRPr="00996E39">
        <w:rPr>
          <w:b/>
          <w:color w:val="000000"/>
        </w:rPr>
        <w:t>ORDENA</w:t>
      </w:r>
      <w:r w:rsidRPr="00996E39">
        <w:rPr>
          <w:color w:val="000000"/>
        </w:rPr>
        <w:t xml:space="preserve"> al Sujeto Obligado, a efecto de entregue, previa búsqueda exhaustiva y razonable, a través del SAIMEX, en su caso, en versión pública,</w:t>
      </w:r>
      <w:r w:rsidRPr="00996E39">
        <w:rPr>
          <w:b/>
          <w:color w:val="000000"/>
        </w:rPr>
        <w:t xml:space="preserve"> </w:t>
      </w:r>
      <w:r w:rsidRPr="00996E39">
        <w:rPr>
          <w:color w:val="000000"/>
        </w:rPr>
        <w:t>los documentos que obren en los archivos del Sujeto Obligado y en los que conste lo siguiente</w:t>
      </w:r>
      <w:r w:rsidRPr="00996E39">
        <w:rPr>
          <w:b/>
          <w:color w:val="000000"/>
        </w:rPr>
        <w:t>:</w:t>
      </w:r>
    </w:p>
    <w:p w:rsidR="00A608F5" w:rsidRPr="00996E39" w:rsidRDefault="00A608F5">
      <w:pPr>
        <w:tabs>
          <w:tab w:val="left" w:pos="4962"/>
        </w:tabs>
        <w:spacing w:after="0" w:line="360" w:lineRule="auto"/>
      </w:pPr>
    </w:p>
    <w:p w:rsidR="00A608F5" w:rsidRPr="00996E39" w:rsidRDefault="00831E8B">
      <w:pPr>
        <w:tabs>
          <w:tab w:val="left" w:pos="4962"/>
        </w:tabs>
        <w:spacing w:after="0" w:line="360" w:lineRule="auto"/>
      </w:pPr>
      <w:r w:rsidRPr="00996E39">
        <w:t>Durante la administración 2022-2024; del periodo del primero de enero de 2022 al veinticinco de septiembre de 2024, por los conceptos de los eventos cívicos, culturales y desfiles, la entrega desglosada por mes de lo siguiente:</w:t>
      </w:r>
    </w:p>
    <w:p w:rsidR="00A608F5" w:rsidRPr="00996E39" w:rsidRDefault="00A608F5">
      <w:pPr>
        <w:tabs>
          <w:tab w:val="left" w:pos="4962"/>
        </w:tabs>
        <w:spacing w:after="0" w:line="360" w:lineRule="auto"/>
      </w:pPr>
    </w:p>
    <w:p w:rsidR="00A608F5" w:rsidRPr="00996E39" w:rsidRDefault="00831E8B">
      <w:pPr>
        <w:numPr>
          <w:ilvl w:val="0"/>
          <w:numId w:val="2"/>
        </w:numPr>
        <w:pBdr>
          <w:top w:val="nil"/>
          <w:left w:val="nil"/>
          <w:bottom w:val="nil"/>
          <w:right w:val="nil"/>
          <w:between w:val="nil"/>
        </w:pBdr>
        <w:tabs>
          <w:tab w:val="left" w:pos="4962"/>
        </w:tabs>
        <w:spacing w:after="0" w:line="360" w:lineRule="auto"/>
      </w:pPr>
      <w:r w:rsidRPr="00996E39">
        <w:rPr>
          <w:color w:val="000000"/>
        </w:rPr>
        <w:t>El monto mensual de gasto.</w:t>
      </w:r>
    </w:p>
    <w:p w:rsidR="00A608F5" w:rsidRPr="00996E39" w:rsidRDefault="00831E8B">
      <w:pPr>
        <w:numPr>
          <w:ilvl w:val="0"/>
          <w:numId w:val="2"/>
        </w:numPr>
        <w:pBdr>
          <w:top w:val="nil"/>
          <w:left w:val="nil"/>
          <w:bottom w:val="nil"/>
          <w:right w:val="nil"/>
          <w:between w:val="nil"/>
        </w:pBdr>
        <w:tabs>
          <w:tab w:val="left" w:pos="4962"/>
        </w:tabs>
        <w:spacing w:after="0" w:line="360" w:lineRule="auto"/>
      </w:pPr>
      <w:r w:rsidRPr="00996E39">
        <w:rPr>
          <w:color w:val="000000"/>
        </w:rPr>
        <w:t xml:space="preserve">El nombre de los proveedores </w:t>
      </w:r>
    </w:p>
    <w:p w:rsidR="00A608F5" w:rsidRPr="00996E39" w:rsidRDefault="00831E8B">
      <w:pPr>
        <w:numPr>
          <w:ilvl w:val="0"/>
          <w:numId w:val="2"/>
        </w:numPr>
        <w:pBdr>
          <w:top w:val="nil"/>
          <w:left w:val="nil"/>
          <w:bottom w:val="nil"/>
          <w:right w:val="nil"/>
          <w:between w:val="nil"/>
        </w:pBdr>
        <w:tabs>
          <w:tab w:val="left" w:pos="4962"/>
        </w:tabs>
        <w:spacing w:after="0" w:line="360" w:lineRule="auto"/>
      </w:pPr>
      <w:r w:rsidRPr="00996E39">
        <w:rPr>
          <w:color w:val="000000"/>
        </w:rPr>
        <w:t xml:space="preserve">Pólizas de egresos. </w:t>
      </w:r>
    </w:p>
    <w:p w:rsidR="00A608F5" w:rsidRPr="00996E39" w:rsidRDefault="00A608F5">
      <w:pPr>
        <w:pBdr>
          <w:top w:val="nil"/>
          <w:left w:val="nil"/>
          <w:bottom w:val="nil"/>
          <w:right w:val="nil"/>
          <w:between w:val="nil"/>
        </w:pBdr>
        <w:tabs>
          <w:tab w:val="left" w:pos="4962"/>
        </w:tabs>
        <w:spacing w:after="0" w:line="360" w:lineRule="auto"/>
        <w:ind w:left="720"/>
      </w:pPr>
    </w:p>
    <w:p w:rsidR="00A608F5" w:rsidRPr="00996E39" w:rsidRDefault="00831E8B">
      <w:pPr>
        <w:spacing w:after="0" w:line="360" w:lineRule="auto"/>
      </w:pPr>
      <w:r w:rsidRPr="00996E39">
        <w:rPr>
          <w:color w:val="000000"/>
        </w:rPr>
        <w:t>De ser necesarias las versiones públicas, se deberá proporcionar el Acuerdo de Clasificación donde el Comité de Transparencia, confirme la eliminación de los datos o secciones clasificadas</w:t>
      </w:r>
      <w:r w:rsidRPr="00996E39">
        <w:t xml:space="preserve">, de acuerdo con los artículos 49, fracciones II y VIII, 132, fracción II, 140 y 143, fracción I y 149 de la Ley de Transparencia y Acceso a la Información Pública del Estado de México y Municipios. </w:t>
      </w:r>
    </w:p>
    <w:p w:rsidR="00A608F5" w:rsidRPr="00996E39" w:rsidRDefault="00A608F5">
      <w:pPr>
        <w:spacing w:after="0" w:line="360" w:lineRule="auto"/>
        <w:rPr>
          <w:b/>
        </w:rPr>
      </w:pPr>
    </w:p>
    <w:p w:rsidR="00A608F5" w:rsidRPr="00996E39" w:rsidRDefault="00831E8B">
      <w:pPr>
        <w:spacing w:after="0" w:line="360" w:lineRule="auto"/>
      </w:pPr>
      <w:r w:rsidRPr="00996E39">
        <w:rPr>
          <w:b/>
        </w:rPr>
        <w:t xml:space="preserve">TERCERO. NOTIFÍQUESE POR SAIMEX </w:t>
      </w:r>
      <w:r w:rsidRPr="00996E39">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A608F5" w:rsidRPr="00996E39" w:rsidRDefault="00A608F5">
      <w:pPr>
        <w:spacing w:after="0" w:line="360" w:lineRule="auto"/>
      </w:pPr>
    </w:p>
    <w:p w:rsidR="00A608F5" w:rsidRPr="00996E39" w:rsidRDefault="00831E8B">
      <w:pPr>
        <w:spacing w:after="0" w:line="360" w:lineRule="auto"/>
      </w:pPr>
      <w:r w:rsidRPr="00996E39">
        <w:lastRenderedPageBreak/>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A608F5" w:rsidRPr="00996E39" w:rsidRDefault="00A608F5">
      <w:pPr>
        <w:spacing w:after="0" w:line="360" w:lineRule="auto"/>
        <w:rPr>
          <w:color w:val="000000"/>
        </w:rPr>
      </w:pPr>
    </w:p>
    <w:p w:rsidR="00A608F5" w:rsidRPr="00996E39" w:rsidRDefault="00831E8B">
      <w:pPr>
        <w:spacing w:after="0" w:line="360" w:lineRule="auto"/>
        <w:rPr>
          <w:color w:val="000000"/>
        </w:rPr>
      </w:pPr>
      <w:r w:rsidRPr="00996E39">
        <w:rPr>
          <w:b/>
          <w:color w:val="000000"/>
        </w:rPr>
        <w:t>CUARTO. NOTIFÍQUESE</w:t>
      </w:r>
      <w:r w:rsidRPr="00996E39">
        <w:rPr>
          <w:color w:val="000000"/>
        </w:rPr>
        <w:t xml:space="preserve"> </w:t>
      </w:r>
      <w:r w:rsidRPr="00996E39">
        <w:rPr>
          <w:b/>
        </w:rPr>
        <w:t xml:space="preserve">POR SAIMEX </w:t>
      </w:r>
      <w:r w:rsidRPr="00996E39">
        <w:rPr>
          <w:color w:val="000000"/>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A608F5" w:rsidRPr="00996E39" w:rsidRDefault="00A608F5">
      <w:pPr>
        <w:tabs>
          <w:tab w:val="left" w:pos="4962"/>
        </w:tabs>
        <w:spacing w:after="0" w:line="360" w:lineRule="auto"/>
      </w:pPr>
    </w:p>
    <w:p w:rsidR="00A608F5" w:rsidRDefault="00831E8B">
      <w:pPr>
        <w:tabs>
          <w:tab w:val="left" w:pos="4962"/>
        </w:tabs>
        <w:spacing w:after="0" w:line="360" w:lineRule="auto"/>
      </w:pPr>
      <w:r w:rsidRPr="00996E39">
        <w:t xml:space="preserve">ASÍ LO RESUELVE, POR </w:t>
      </w:r>
      <w:r w:rsidRPr="00996E39">
        <w:rPr>
          <w:b/>
        </w:rPr>
        <w:t>UNANIMIDAD</w:t>
      </w:r>
      <w:r w:rsidRPr="00996E39">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rsidR="00A608F5" w:rsidRDefault="00A608F5">
      <w:pPr>
        <w:widowControl w:val="0"/>
        <w:spacing w:after="0" w:line="360" w:lineRule="auto"/>
        <w:rPr>
          <w:b/>
        </w:rPr>
      </w:pPr>
    </w:p>
    <w:p w:rsidR="00A608F5" w:rsidRDefault="00A608F5">
      <w:pPr>
        <w:widowControl w:val="0"/>
        <w:spacing w:after="0" w:line="360" w:lineRule="auto"/>
        <w:rPr>
          <w:b/>
        </w:rPr>
      </w:pPr>
    </w:p>
    <w:p w:rsidR="00A608F5" w:rsidRDefault="00A608F5">
      <w:pPr>
        <w:widowControl w:val="0"/>
        <w:spacing w:after="0" w:line="360" w:lineRule="auto"/>
        <w:rPr>
          <w:b/>
        </w:rPr>
      </w:pPr>
    </w:p>
    <w:p w:rsidR="00A608F5" w:rsidRDefault="00A608F5">
      <w:pPr>
        <w:widowControl w:val="0"/>
        <w:spacing w:after="0" w:line="360" w:lineRule="auto"/>
        <w:rPr>
          <w:b/>
        </w:rPr>
      </w:pPr>
    </w:p>
    <w:p w:rsidR="00A608F5" w:rsidRDefault="00A608F5">
      <w:pPr>
        <w:widowControl w:val="0"/>
        <w:spacing w:after="0" w:line="360" w:lineRule="auto"/>
        <w:rPr>
          <w:b/>
        </w:rPr>
      </w:pPr>
    </w:p>
    <w:p w:rsidR="00A608F5" w:rsidRDefault="00A608F5">
      <w:pPr>
        <w:widowControl w:val="0"/>
        <w:spacing w:after="0" w:line="360" w:lineRule="auto"/>
        <w:rPr>
          <w:b/>
        </w:rPr>
      </w:pPr>
    </w:p>
    <w:p w:rsidR="00A608F5" w:rsidRDefault="00A608F5">
      <w:pPr>
        <w:widowControl w:val="0"/>
        <w:spacing w:after="0" w:line="360" w:lineRule="auto"/>
        <w:rPr>
          <w:b/>
        </w:rPr>
      </w:pPr>
    </w:p>
    <w:p w:rsidR="00A608F5" w:rsidRDefault="00A608F5">
      <w:pPr>
        <w:widowControl w:val="0"/>
        <w:spacing w:after="0" w:line="360" w:lineRule="auto"/>
        <w:rPr>
          <w:b/>
        </w:rPr>
      </w:pPr>
      <w:bookmarkStart w:id="14" w:name="_GoBack"/>
      <w:bookmarkEnd w:id="14"/>
    </w:p>
    <w:sectPr w:rsidR="00A608F5">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56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C39" w:rsidRDefault="00826C39">
      <w:pPr>
        <w:spacing w:after="0" w:line="240" w:lineRule="auto"/>
      </w:pPr>
      <w:r>
        <w:separator/>
      </w:r>
    </w:p>
  </w:endnote>
  <w:endnote w:type="continuationSeparator" w:id="0">
    <w:p w:rsidR="00826C39" w:rsidRDefault="0082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F5" w:rsidRDefault="00831E8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C2437">
      <w:rPr>
        <w:b/>
        <w:noProof/>
        <w:color w:val="000000"/>
        <w:sz w:val="24"/>
        <w:szCs w:val="24"/>
      </w:rPr>
      <w:t>27</w:t>
    </w:r>
    <w:r>
      <w:rPr>
        <w:b/>
        <w:color w:val="000000"/>
        <w:sz w:val="24"/>
        <w:szCs w:val="24"/>
      </w:rPr>
      <w:fldChar w:fldCharType="end"/>
    </w:r>
  </w:p>
  <w:p w:rsidR="00A608F5" w:rsidRDefault="00A608F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F5" w:rsidRDefault="00831E8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67719">
      <w:rPr>
        <w:b/>
        <w:noProof/>
        <w:color w:val="000000"/>
        <w:sz w:val="24"/>
        <w:szCs w:val="24"/>
      </w:rPr>
      <w:t>25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67719">
      <w:rPr>
        <w:b/>
        <w:noProof/>
        <w:color w:val="000000"/>
        <w:sz w:val="24"/>
        <w:szCs w:val="24"/>
      </w:rPr>
      <w:t>26</w:t>
    </w:r>
    <w:r>
      <w:rPr>
        <w:b/>
        <w:color w:val="000000"/>
        <w:sz w:val="24"/>
        <w:szCs w:val="24"/>
      </w:rPr>
      <w:fldChar w:fldCharType="end"/>
    </w:r>
  </w:p>
  <w:p w:rsidR="00A608F5" w:rsidRDefault="00A608F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F5" w:rsidRDefault="00831E8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6771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67719">
      <w:rPr>
        <w:b/>
        <w:noProof/>
        <w:color w:val="000000"/>
        <w:sz w:val="24"/>
        <w:szCs w:val="24"/>
      </w:rPr>
      <w:t>27</w:t>
    </w:r>
    <w:r>
      <w:rPr>
        <w:b/>
        <w:color w:val="000000"/>
        <w:sz w:val="24"/>
        <w:szCs w:val="24"/>
      </w:rPr>
      <w:fldChar w:fldCharType="end"/>
    </w:r>
  </w:p>
  <w:p w:rsidR="00A608F5" w:rsidRDefault="00A608F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C39" w:rsidRDefault="00826C39">
      <w:pPr>
        <w:spacing w:after="0" w:line="240" w:lineRule="auto"/>
      </w:pPr>
      <w:r>
        <w:separator/>
      </w:r>
    </w:p>
  </w:footnote>
  <w:footnote w:type="continuationSeparator" w:id="0">
    <w:p w:rsidR="00826C39" w:rsidRDefault="00826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F5" w:rsidRDefault="00A608F5">
    <w:pPr>
      <w:widowControl w:val="0"/>
      <w:pBdr>
        <w:top w:val="nil"/>
        <w:left w:val="nil"/>
        <w:bottom w:val="nil"/>
        <w:right w:val="nil"/>
        <w:between w:val="nil"/>
      </w:pBdr>
      <w:spacing w:after="0" w:line="276" w:lineRule="auto"/>
      <w:jc w:val="left"/>
      <w:rPr>
        <w:color w:val="000000"/>
      </w:rPr>
    </w:pPr>
  </w:p>
  <w:tbl>
    <w:tblPr>
      <w:tblStyle w:val="af3"/>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A608F5">
      <w:trPr>
        <w:trHeight w:val="141"/>
      </w:trPr>
      <w:tc>
        <w:tcPr>
          <w:tcW w:w="0" w:type="auto"/>
        </w:tcPr>
        <w:p w:rsidR="00A608F5" w:rsidRDefault="00831E8B">
          <w:pPr>
            <w:tabs>
              <w:tab w:val="right" w:pos="8838"/>
            </w:tabs>
            <w:ind w:right="-105"/>
            <w:rPr>
              <w:b/>
            </w:rPr>
          </w:pPr>
          <w:r>
            <w:rPr>
              <w:b/>
            </w:rPr>
            <w:t>Recurso de Revisión:</w:t>
          </w:r>
        </w:p>
      </w:tc>
      <w:tc>
        <w:tcPr>
          <w:tcW w:w="0" w:type="auto"/>
        </w:tcPr>
        <w:p w:rsidR="00A608F5" w:rsidRDefault="00831E8B">
          <w:pPr>
            <w:tabs>
              <w:tab w:val="right" w:pos="8838"/>
            </w:tabs>
            <w:ind w:left="-28" w:right="683"/>
          </w:pPr>
          <w:r>
            <w:t>04196/INFOEM/IP/RR/2020</w:t>
          </w:r>
        </w:p>
      </w:tc>
    </w:tr>
    <w:tr w:rsidR="00A608F5">
      <w:trPr>
        <w:trHeight w:val="276"/>
      </w:trPr>
      <w:tc>
        <w:tcPr>
          <w:tcW w:w="0" w:type="auto"/>
        </w:tcPr>
        <w:p w:rsidR="00A608F5" w:rsidRDefault="00831E8B">
          <w:pPr>
            <w:tabs>
              <w:tab w:val="right" w:pos="8838"/>
            </w:tabs>
            <w:ind w:right="-105"/>
            <w:rPr>
              <w:b/>
            </w:rPr>
          </w:pPr>
          <w:r>
            <w:rPr>
              <w:b/>
            </w:rPr>
            <w:t>Sujeto Obligado:</w:t>
          </w:r>
        </w:p>
      </w:tc>
      <w:tc>
        <w:tcPr>
          <w:tcW w:w="0" w:type="auto"/>
        </w:tcPr>
        <w:p w:rsidR="00A608F5" w:rsidRDefault="00831E8B">
          <w:pPr>
            <w:tabs>
              <w:tab w:val="right" w:pos="8838"/>
            </w:tabs>
            <w:ind w:right="116"/>
          </w:pPr>
          <w:r>
            <w:t>Ayuntamiento de Chapultepec</w:t>
          </w:r>
        </w:p>
      </w:tc>
    </w:tr>
    <w:tr w:rsidR="00A608F5">
      <w:trPr>
        <w:trHeight w:val="276"/>
      </w:trPr>
      <w:tc>
        <w:tcPr>
          <w:tcW w:w="0" w:type="auto"/>
        </w:tcPr>
        <w:p w:rsidR="00A608F5" w:rsidRDefault="00831E8B">
          <w:pPr>
            <w:tabs>
              <w:tab w:val="right" w:pos="8838"/>
            </w:tabs>
            <w:ind w:right="-105"/>
            <w:rPr>
              <w:b/>
            </w:rPr>
          </w:pPr>
          <w:r>
            <w:rPr>
              <w:b/>
            </w:rPr>
            <w:t>Comisionado Ponente:</w:t>
          </w:r>
        </w:p>
      </w:tc>
      <w:tc>
        <w:tcPr>
          <w:tcW w:w="0" w:type="auto"/>
        </w:tcPr>
        <w:p w:rsidR="00A608F5" w:rsidRDefault="00831E8B">
          <w:pPr>
            <w:tabs>
              <w:tab w:val="right" w:pos="8838"/>
            </w:tabs>
            <w:ind w:right="-32"/>
          </w:pPr>
          <w:r>
            <w:t>Luis Gustavo Parra Noriega</w:t>
          </w:r>
        </w:p>
      </w:tc>
    </w:tr>
  </w:tbl>
  <w:p w:rsidR="00A608F5" w:rsidRDefault="00826C3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F5" w:rsidRDefault="00A608F5">
    <w:pPr>
      <w:rPr>
        <w:sz w:val="16"/>
        <w:szCs w:val="16"/>
      </w:rPr>
    </w:pPr>
  </w:p>
  <w:tbl>
    <w:tblPr>
      <w:tblStyle w:val="af4"/>
      <w:tblW w:w="581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408"/>
    </w:tblGrid>
    <w:tr w:rsidR="00A608F5">
      <w:trPr>
        <w:trHeight w:val="141"/>
      </w:trPr>
      <w:tc>
        <w:tcPr>
          <w:tcW w:w="2404" w:type="dxa"/>
        </w:tcPr>
        <w:p w:rsidR="00A608F5" w:rsidRDefault="00831E8B">
          <w:pPr>
            <w:tabs>
              <w:tab w:val="right" w:pos="8838"/>
            </w:tabs>
            <w:ind w:left="-395" w:right="-105" w:firstLine="395"/>
            <w:rPr>
              <w:b/>
            </w:rPr>
          </w:pPr>
          <w:r>
            <w:rPr>
              <w:b/>
            </w:rPr>
            <w:t>Recurso de Revisión:</w:t>
          </w:r>
        </w:p>
      </w:tc>
      <w:tc>
        <w:tcPr>
          <w:tcW w:w="3408" w:type="dxa"/>
        </w:tcPr>
        <w:p w:rsidR="00A608F5" w:rsidRDefault="00831E8B">
          <w:pPr>
            <w:tabs>
              <w:tab w:val="right" w:pos="8838"/>
            </w:tabs>
            <w:ind w:left="-28" w:right="454"/>
            <w:rPr>
              <w:b/>
            </w:rPr>
          </w:pPr>
          <w:bookmarkStart w:id="15" w:name="_heading=h.30j0zll" w:colFirst="0" w:colLast="0"/>
          <w:bookmarkEnd w:id="15"/>
          <w:r>
            <w:rPr>
              <w:b/>
            </w:rPr>
            <w:t>06596/INFOEM/IP/RR/2024</w:t>
          </w:r>
        </w:p>
      </w:tc>
    </w:tr>
    <w:tr w:rsidR="00A608F5">
      <w:trPr>
        <w:trHeight w:val="276"/>
      </w:trPr>
      <w:tc>
        <w:tcPr>
          <w:tcW w:w="2404" w:type="dxa"/>
        </w:tcPr>
        <w:p w:rsidR="00A608F5" w:rsidRDefault="00831E8B">
          <w:pPr>
            <w:tabs>
              <w:tab w:val="right" w:pos="8838"/>
            </w:tabs>
            <w:ind w:right="-105"/>
            <w:rPr>
              <w:b/>
            </w:rPr>
          </w:pPr>
          <w:r>
            <w:rPr>
              <w:b/>
            </w:rPr>
            <w:t>Sujeto Obligado:</w:t>
          </w:r>
        </w:p>
      </w:tc>
      <w:tc>
        <w:tcPr>
          <w:tcW w:w="3408" w:type="dxa"/>
        </w:tcPr>
        <w:p w:rsidR="00A608F5" w:rsidRDefault="00831E8B">
          <w:pPr>
            <w:tabs>
              <w:tab w:val="left" w:pos="3158"/>
              <w:tab w:val="left" w:pos="4292"/>
              <w:tab w:val="right" w:pos="8838"/>
            </w:tabs>
            <w:ind w:right="601"/>
          </w:pPr>
          <w:r>
            <w:t>Ayuntamiento de Temamatla</w:t>
          </w:r>
        </w:p>
      </w:tc>
    </w:tr>
    <w:tr w:rsidR="00A608F5">
      <w:trPr>
        <w:trHeight w:val="276"/>
      </w:trPr>
      <w:tc>
        <w:tcPr>
          <w:tcW w:w="2404" w:type="dxa"/>
        </w:tcPr>
        <w:p w:rsidR="00A608F5" w:rsidRDefault="00831E8B">
          <w:pPr>
            <w:tabs>
              <w:tab w:val="right" w:pos="8838"/>
            </w:tabs>
            <w:ind w:right="-105"/>
            <w:rPr>
              <w:b/>
            </w:rPr>
          </w:pPr>
          <w:r>
            <w:rPr>
              <w:b/>
            </w:rPr>
            <w:t>Comisionado Ponente:</w:t>
          </w:r>
        </w:p>
      </w:tc>
      <w:tc>
        <w:tcPr>
          <w:tcW w:w="3408" w:type="dxa"/>
        </w:tcPr>
        <w:p w:rsidR="00A608F5" w:rsidRDefault="00831E8B">
          <w:pPr>
            <w:tabs>
              <w:tab w:val="right" w:pos="8838"/>
            </w:tabs>
            <w:ind w:right="454"/>
          </w:pPr>
          <w:r>
            <w:t>Luis Gustavo Parra Noriega</w:t>
          </w:r>
        </w:p>
        <w:p w:rsidR="00A608F5" w:rsidRDefault="00A608F5">
          <w:pPr>
            <w:tabs>
              <w:tab w:val="right" w:pos="8838"/>
            </w:tabs>
            <w:ind w:right="454"/>
          </w:pPr>
        </w:p>
      </w:tc>
    </w:tr>
  </w:tbl>
  <w:p w:rsidR="00A608F5" w:rsidRDefault="00826C3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F5" w:rsidRDefault="00826C39">
    <w:pPr>
      <w:widowControl w:val="0"/>
      <w:pBdr>
        <w:top w:val="nil"/>
        <w:left w:val="nil"/>
        <w:bottom w:val="nil"/>
        <w:right w:val="nil"/>
        <w:between w:val="nil"/>
      </w:pBdr>
      <w:spacing w:after="0" w:line="276" w:lineRule="auto"/>
      <w:jc w:val="left"/>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margin-left:-85.1pt;margin-top:-140.1pt;width:663.5pt;height:12in;z-index:-251658752;mso-position-horizontal:absolute;mso-position-horizontal-relative:margin;mso-position-vertical:absolute;mso-position-vertical-relative:margin">
          <v:imagedata r:id="rId1" o:title="image1"/>
          <w10:wrap anchorx="margin" anchory="margin"/>
        </v:shape>
      </w:pict>
    </w:r>
  </w:p>
  <w:tbl>
    <w:tblPr>
      <w:tblStyle w:val="af5"/>
      <w:tblW w:w="9214" w:type="dxa"/>
      <w:tblInd w:w="0" w:type="dxa"/>
      <w:tblLayout w:type="fixed"/>
      <w:tblLook w:val="0400" w:firstRow="0" w:lastRow="0" w:firstColumn="0" w:lastColumn="0" w:noHBand="0" w:noVBand="1"/>
    </w:tblPr>
    <w:tblGrid>
      <w:gridCol w:w="2127"/>
      <w:gridCol w:w="7087"/>
    </w:tblGrid>
    <w:tr w:rsidR="00A608F5">
      <w:trPr>
        <w:trHeight w:val="1546"/>
      </w:trPr>
      <w:tc>
        <w:tcPr>
          <w:tcW w:w="2127" w:type="dxa"/>
          <w:shd w:val="clear" w:color="auto" w:fill="auto"/>
        </w:tcPr>
        <w:p w:rsidR="00A608F5" w:rsidRDefault="00A608F5">
          <w:pPr>
            <w:tabs>
              <w:tab w:val="right" w:pos="4273"/>
            </w:tabs>
            <w:rPr>
              <w:rFonts w:ascii="Garamond" w:eastAsia="Garamond" w:hAnsi="Garamond" w:cs="Garamond"/>
              <w:sz w:val="16"/>
              <w:szCs w:val="16"/>
            </w:rPr>
          </w:pPr>
        </w:p>
      </w:tc>
      <w:tc>
        <w:tcPr>
          <w:tcW w:w="7087" w:type="dxa"/>
          <w:shd w:val="clear" w:color="auto" w:fill="auto"/>
        </w:tcPr>
        <w:p w:rsidR="00A608F5" w:rsidRDefault="00A608F5">
          <w:pPr>
            <w:rPr>
              <w:sz w:val="10"/>
              <w:szCs w:val="10"/>
            </w:rPr>
          </w:pPr>
        </w:p>
        <w:tbl>
          <w:tblPr>
            <w:tblStyle w:val="af6"/>
            <w:tblW w:w="5812" w:type="dxa"/>
            <w:tblInd w:w="1167" w:type="dxa"/>
            <w:tblLayout w:type="fixed"/>
            <w:tblLook w:val="0400" w:firstRow="0" w:lastRow="0" w:firstColumn="0" w:lastColumn="0" w:noHBand="0" w:noVBand="1"/>
          </w:tblPr>
          <w:tblGrid>
            <w:gridCol w:w="2583"/>
            <w:gridCol w:w="3229"/>
          </w:tblGrid>
          <w:tr w:rsidR="00A608F5">
            <w:trPr>
              <w:trHeight w:val="427"/>
            </w:trPr>
            <w:tc>
              <w:tcPr>
                <w:tcW w:w="2583" w:type="dxa"/>
                <w:vAlign w:val="bottom"/>
              </w:tcPr>
              <w:p w:rsidR="00A608F5" w:rsidRDefault="00831E8B">
                <w:pPr>
                  <w:tabs>
                    <w:tab w:val="right" w:pos="8838"/>
                  </w:tabs>
                  <w:ind w:right="-105"/>
                  <w:rPr>
                    <w:b/>
                  </w:rPr>
                </w:pPr>
                <w:r>
                  <w:rPr>
                    <w:b/>
                  </w:rPr>
                  <w:t>Recurso de Revisión:</w:t>
                </w:r>
              </w:p>
            </w:tc>
            <w:tc>
              <w:tcPr>
                <w:tcW w:w="3229" w:type="dxa"/>
              </w:tcPr>
              <w:p w:rsidR="00A608F5" w:rsidRDefault="00A608F5">
                <w:pPr>
                  <w:tabs>
                    <w:tab w:val="right" w:pos="8838"/>
                  </w:tabs>
                  <w:ind w:left="-28" w:right="-107"/>
                  <w:rPr>
                    <w:b/>
                  </w:rPr>
                </w:pPr>
              </w:p>
              <w:p w:rsidR="00A608F5" w:rsidRDefault="00831E8B">
                <w:pPr>
                  <w:tabs>
                    <w:tab w:val="right" w:pos="8838"/>
                  </w:tabs>
                  <w:ind w:left="-28" w:right="-107"/>
                  <w:rPr>
                    <w:b/>
                  </w:rPr>
                </w:pPr>
                <w:r>
                  <w:rPr>
                    <w:b/>
                  </w:rPr>
                  <w:t>06596/INFOEM/IP/RR/2024</w:t>
                </w:r>
              </w:p>
            </w:tc>
          </w:tr>
          <w:tr w:rsidR="00A608F5">
            <w:trPr>
              <w:trHeight w:val="141"/>
            </w:trPr>
            <w:tc>
              <w:tcPr>
                <w:tcW w:w="2583" w:type="dxa"/>
              </w:tcPr>
              <w:p w:rsidR="00A608F5" w:rsidRDefault="00831E8B">
                <w:pPr>
                  <w:tabs>
                    <w:tab w:val="right" w:pos="8838"/>
                  </w:tabs>
                  <w:ind w:right="-105"/>
                  <w:rPr>
                    <w:b/>
                  </w:rPr>
                </w:pPr>
                <w:r>
                  <w:rPr>
                    <w:b/>
                  </w:rPr>
                  <w:t>Recurrente:</w:t>
                </w:r>
              </w:p>
            </w:tc>
            <w:tc>
              <w:tcPr>
                <w:tcW w:w="3229" w:type="dxa"/>
              </w:tcPr>
              <w:p w:rsidR="00A608F5" w:rsidRDefault="00A608F5">
                <w:pPr>
                  <w:tabs>
                    <w:tab w:val="right" w:pos="8838"/>
                  </w:tabs>
                  <w:ind w:right="-107"/>
                </w:pPr>
              </w:p>
            </w:tc>
          </w:tr>
          <w:tr w:rsidR="00A608F5">
            <w:trPr>
              <w:trHeight w:val="276"/>
            </w:trPr>
            <w:tc>
              <w:tcPr>
                <w:tcW w:w="2583" w:type="dxa"/>
              </w:tcPr>
              <w:p w:rsidR="00A608F5" w:rsidRDefault="00831E8B">
                <w:pPr>
                  <w:tabs>
                    <w:tab w:val="right" w:pos="8838"/>
                  </w:tabs>
                  <w:ind w:right="-105"/>
                  <w:rPr>
                    <w:b/>
                  </w:rPr>
                </w:pPr>
                <w:r>
                  <w:rPr>
                    <w:b/>
                  </w:rPr>
                  <w:t>Sujeto Obligado:</w:t>
                </w:r>
              </w:p>
            </w:tc>
            <w:tc>
              <w:tcPr>
                <w:tcW w:w="3229" w:type="dxa"/>
              </w:tcPr>
              <w:p w:rsidR="00A608F5" w:rsidRDefault="00831E8B">
                <w:pPr>
                  <w:tabs>
                    <w:tab w:val="right" w:pos="8838"/>
                  </w:tabs>
                  <w:ind w:right="33"/>
                </w:pPr>
                <w:r>
                  <w:t>Ayuntamiento de Temamatla</w:t>
                </w:r>
              </w:p>
            </w:tc>
          </w:tr>
          <w:tr w:rsidR="00A608F5">
            <w:trPr>
              <w:trHeight w:val="276"/>
            </w:trPr>
            <w:tc>
              <w:tcPr>
                <w:tcW w:w="2583" w:type="dxa"/>
              </w:tcPr>
              <w:p w:rsidR="00A608F5" w:rsidRDefault="00831E8B">
                <w:pPr>
                  <w:tabs>
                    <w:tab w:val="right" w:pos="8838"/>
                  </w:tabs>
                  <w:ind w:right="-105"/>
                  <w:rPr>
                    <w:b/>
                  </w:rPr>
                </w:pPr>
                <w:r>
                  <w:rPr>
                    <w:b/>
                  </w:rPr>
                  <w:t>Comisionado Ponente:</w:t>
                </w:r>
              </w:p>
            </w:tc>
            <w:tc>
              <w:tcPr>
                <w:tcW w:w="3229" w:type="dxa"/>
              </w:tcPr>
              <w:p w:rsidR="00A608F5" w:rsidRDefault="00831E8B">
                <w:pPr>
                  <w:tabs>
                    <w:tab w:val="right" w:pos="8838"/>
                  </w:tabs>
                  <w:ind w:right="-107"/>
                </w:pPr>
                <w:r>
                  <w:t>Luis Gustavo Parra Noriega</w:t>
                </w:r>
              </w:p>
            </w:tc>
          </w:tr>
        </w:tbl>
        <w:p w:rsidR="00A608F5" w:rsidRDefault="00A608F5">
          <w:pPr>
            <w:tabs>
              <w:tab w:val="right" w:pos="8838"/>
            </w:tabs>
            <w:ind w:left="-28"/>
            <w:rPr>
              <w:rFonts w:ascii="Arial" w:eastAsia="Arial" w:hAnsi="Arial" w:cs="Arial"/>
              <w:b/>
            </w:rPr>
          </w:pPr>
        </w:p>
      </w:tc>
    </w:tr>
  </w:tbl>
  <w:p w:rsidR="00A608F5" w:rsidRDefault="00A608F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95369"/>
    <w:multiLevelType w:val="multilevel"/>
    <w:tmpl w:val="3F4470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EA3894"/>
    <w:multiLevelType w:val="multilevel"/>
    <w:tmpl w:val="AFACD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C86490"/>
    <w:multiLevelType w:val="multilevel"/>
    <w:tmpl w:val="52C83548"/>
    <w:lvl w:ilvl="0">
      <w:start w:val="2"/>
      <w:numFmt w:val="bullet"/>
      <w:lvlText w:val="-"/>
      <w:lvlJc w:val="left"/>
      <w:pPr>
        <w:ind w:left="720" w:hanging="360"/>
      </w:pPr>
      <w:rPr>
        <w:rFonts w:ascii="Palatino Linotype" w:eastAsia="Palatino Linotype" w:hAnsi="Palatino Linotype" w:cs="Palatino Linotyp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2E51D4"/>
    <w:multiLevelType w:val="multilevel"/>
    <w:tmpl w:val="1346D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F11B01"/>
    <w:multiLevelType w:val="multilevel"/>
    <w:tmpl w:val="4F444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9F0261"/>
    <w:multiLevelType w:val="multilevel"/>
    <w:tmpl w:val="C59A1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F5"/>
    <w:rsid w:val="00567719"/>
    <w:rsid w:val="007E6232"/>
    <w:rsid w:val="00826C39"/>
    <w:rsid w:val="00831E8B"/>
    <w:rsid w:val="008C2437"/>
    <w:rsid w:val="00996E39"/>
    <w:rsid w:val="00A608F5"/>
    <w:rsid w:val="00C61040"/>
    <w:rsid w:val="00CC5E7E"/>
    <w:rsid w:val="00E927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80F759A-39A8-4DEF-9DBB-BFEAEA03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B24"/>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4"/>
    <w:pPr>
      <w:spacing w:after="0" w:line="240" w:lineRule="auto"/>
    </w:pPr>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4"/>
    <w:pPr>
      <w:spacing w:after="0" w:line="240" w:lineRule="auto"/>
    </w:pPr>
    <w:tblPr>
      <w:tblStyleRowBandSize w:val="1"/>
      <w:tblStyleColBandSize w:val="1"/>
      <w:tblCellMar>
        <w:left w:w="108" w:type="dxa"/>
        <w:right w:w="108" w:type="dxa"/>
      </w:tblCellMar>
    </w:tblPr>
  </w:style>
  <w:style w:type="table" w:customStyle="1" w:styleId="a4">
    <w:basedOn w:val="TableNormal4"/>
    <w:pPr>
      <w:spacing w:after="0" w:line="240" w:lineRule="auto"/>
    </w:pPr>
    <w:tblPr>
      <w:tblStyleRowBandSize w:val="1"/>
      <w:tblStyleColBandSize w:val="1"/>
      <w:tblCellMar>
        <w:left w:w="108" w:type="dxa"/>
        <w:right w:w="108" w:type="dxa"/>
      </w:tblCellMar>
    </w:tblPr>
  </w:style>
  <w:style w:type="table" w:customStyle="1" w:styleId="a5">
    <w:basedOn w:val="TableNormal4"/>
    <w:pPr>
      <w:spacing w:after="0" w:line="240" w:lineRule="auto"/>
    </w:pPr>
    <w:tblPr>
      <w:tblStyleRowBandSize w:val="1"/>
      <w:tblStyleColBandSize w:val="1"/>
      <w:tblCellMar>
        <w:left w:w="108" w:type="dxa"/>
        <w:right w:w="108" w:type="dxa"/>
      </w:tblCellMar>
    </w:tblPr>
  </w:style>
  <w:style w:type="table" w:customStyle="1" w:styleId="a6">
    <w:basedOn w:val="TableNormal4"/>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770DA9"/>
    <w:rPr>
      <w:color w:val="605E5C"/>
      <w:shd w:val="clear" w:color="auto" w:fill="E1DFDD"/>
    </w:rPr>
  </w:style>
  <w:style w:type="table" w:customStyle="1" w:styleId="a7">
    <w:basedOn w:val="TableNormal3"/>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 w:type="table" w:customStyle="1" w:styleId="a9">
    <w:basedOn w:val="TableNormal3"/>
    <w:pPr>
      <w:spacing w:after="0" w:line="240" w:lineRule="auto"/>
    </w:pPr>
    <w:tblPr>
      <w:tblStyleRowBandSize w:val="1"/>
      <w:tblStyleColBandSize w:val="1"/>
      <w:tblCellMar>
        <w:left w:w="108" w:type="dxa"/>
        <w:right w:w="108" w:type="dxa"/>
      </w:tblCellMar>
    </w:tblPr>
  </w:style>
  <w:style w:type="table" w:customStyle="1" w:styleId="aa">
    <w:basedOn w:val="TableNormal3"/>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table" w:customStyle="1" w:styleId="ac">
    <w:basedOn w:val="TableNormal2"/>
    <w:pPr>
      <w:spacing w:after="0" w:line="240" w:lineRule="auto"/>
    </w:pPr>
    <w:tblPr>
      <w:tblStyleRowBandSize w:val="1"/>
      <w:tblStyleColBandSize w:val="1"/>
      <w:tblCellMar>
        <w:left w:w="108" w:type="dxa"/>
        <w:right w:w="108" w:type="dxa"/>
      </w:tblCellMar>
    </w:tblPr>
  </w:style>
  <w:style w:type="table" w:customStyle="1" w:styleId="ad">
    <w:basedOn w:val="TableNormal2"/>
    <w:pPr>
      <w:spacing w:after="0" w:line="240" w:lineRule="auto"/>
    </w:pPr>
    <w:tblPr>
      <w:tblStyleRowBandSize w:val="1"/>
      <w:tblStyleColBandSize w:val="1"/>
      <w:tblCellMar>
        <w:left w:w="108" w:type="dxa"/>
        <w:right w:w="108" w:type="dxa"/>
      </w:tblCellMar>
    </w:tblPr>
  </w:style>
  <w:style w:type="table" w:customStyle="1" w:styleId="ae">
    <w:basedOn w:val="TableNormal2"/>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QHvII3iAtwAdcTiR1xYAn+RvUw==">CgMxLjAyCWguMWZvYjl0ZTIJaC4zem55c2g3MghoLnR5amN3dDIJaC4zZHk2dmttMgloLjJldDkycDAyCWguMXQzaDVzZjIIaC5namRneHMyCWguNGQzNG9nODIJaC4yczhleW8xMgloLjE3ZHA4dnUyCWguM3JkY3JqbjIJaC4yNmluMXJnMghoLmxueGJ6OTIIaC5xc2g3MHEyCWguMzBqMHpsbDgAciExVXI4SFppeXFqZEpoeGhGUE41NFE5RXUwR2duUm1vcE0=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6754</Words>
  <Characters>37150</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4</cp:revision>
  <cp:lastPrinted>2024-11-22T17:21:00Z</cp:lastPrinted>
  <dcterms:created xsi:type="dcterms:W3CDTF">2024-11-22T17:20:00Z</dcterms:created>
  <dcterms:modified xsi:type="dcterms:W3CDTF">2025-02-05T18:40:00Z</dcterms:modified>
</cp:coreProperties>
</file>