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9D5C8" w14:textId="77777777" w:rsidR="00D3619C" w:rsidRDefault="00D3619C">
      <w:pPr>
        <w:widowControl w:val="0"/>
        <w:pBdr>
          <w:top w:val="nil"/>
          <w:left w:val="nil"/>
          <w:bottom w:val="nil"/>
          <w:right w:val="nil"/>
          <w:between w:val="nil"/>
        </w:pBdr>
        <w:spacing w:line="276" w:lineRule="auto"/>
      </w:pPr>
    </w:p>
    <w:p w14:paraId="323B4B8C" w14:textId="77777777" w:rsidR="00D3619C" w:rsidRDefault="00D3619C">
      <w:pPr>
        <w:widowControl w:val="0"/>
        <w:pBdr>
          <w:top w:val="nil"/>
          <w:left w:val="nil"/>
          <w:bottom w:val="nil"/>
          <w:right w:val="nil"/>
          <w:between w:val="nil"/>
        </w:pBdr>
        <w:spacing w:line="276" w:lineRule="auto"/>
      </w:pPr>
    </w:p>
    <w:p w14:paraId="27CE174C" w14:textId="77777777" w:rsidR="00D3619C" w:rsidRDefault="00E12C32">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w:t>
      </w:r>
      <w:r w:rsidR="002D305B">
        <w:rPr>
          <w:rFonts w:ascii="Palatino Linotype" w:eastAsia="Palatino Linotype" w:hAnsi="Palatino Linotype" w:cs="Palatino Linotype"/>
        </w:rPr>
        <w:t xml:space="preserve">(21) </w:t>
      </w:r>
      <w:r>
        <w:rPr>
          <w:rFonts w:ascii="Palatino Linotype" w:eastAsia="Palatino Linotype" w:hAnsi="Palatino Linotype" w:cs="Palatino Linotype"/>
        </w:rPr>
        <w:t>de noviembre de dos mil veinticuatro.</w:t>
      </w:r>
    </w:p>
    <w:p w14:paraId="2860857E" w14:textId="77777777" w:rsidR="00D3619C" w:rsidRDefault="00D3619C">
      <w:pPr>
        <w:tabs>
          <w:tab w:val="left" w:pos="3465"/>
        </w:tabs>
        <w:spacing w:line="360" w:lineRule="auto"/>
        <w:jc w:val="both"/>
        <w:rPr>
          <w:rFonts w:ascii="Palatino Linotype" w:eastAsia="Palatino Linotype" w:hAnsi="Palatino Linotype" w:cs="Palatino Linotype"/>
        </w:rPr>
      </w:pPr>
    </w:p>
    <w:p w14:paraId="19EE062C" w14:textId="70AF7827" w:rsidR="00D3619C" w:rsidRDefault="00E12C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el Recurso de Revisión </w:t>
      </w:r>
      <w:r>
        <w:rPr>
          <w:rFonts w:ascii="Palatino Linotype" w:eastAsia="Palatino Linotype" w:hAnsi="Palatino Linotype" w:cs="Palatino Linotype"/>
          <w:b/>
          <w:color w:val="000000"/>
        </w:rPr>
        <w:t>01953/INFOEM/IP/RR/2024</w:t>
      </w:r>
      <w:r>
        <w:rPr>
          <w:rFonts w:ascii="Palatino Linotype" w:eastAsia="Palatino Linotype" w:hAnsi="Palatino Linotype" w:cs="Palatino Linotype"/>
          <w:color w:val="000000"/>
        </w:rPr>
        <w:t xml:space="preserve">, promovido por </w:t>
      </w:r>
      <w:r w:rsidR="00996F3E">
        <w:rPr>
          <w:rFonts w:ascii="Palatino Linotype" w:eastAsia="Palatino Linotype" w:hAnsi="Palatino Linotype" w:cs="Palatino Linotype"/>
          <w:b/>
          <w:color w:val="000000"/>
          <w:sz w:val="22"/>
          <w:szCs w:val="22"/>
        </w:rPr>
        <w:t>XXX 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se denominará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otorgada a la solicitud de información </w:t>
      </w:r>
      <w:r>
        <w:rPr>
          <w:rFonts w:ascii="Palatino Linotype" w:eastAsia="Palatino Linotype" w:hAnsi="Palatino Linotype" w:cs="Palatino Linotype"/>
          <w:b/>
        </w:rPr>
        <w:t>00100/METEPEC/IP/2024</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rPr>
        <w:t>Sujeto Obligado</w:t>
      </w:r>
      <w:r>
        <w:rPr>
          <w:rFonts w:ascii="Palatino Linotype" w:eastAsia="Palatino Linotype" w:hAnsi="Palatino Linotype" w:cs="Palatino Linotype"/>
        </w:rPr>
        <w:t>; se emite la presente resolución con base en los siguientes:</w:t>
      </w:r>
    </w:p>
    <w:p w14:paraId="5B6F7FD4" w14:textId="77777777" w:rsidR="00D3619C" w:rsidRDefault="00D3619C">
      <w:pPr>
        <w:spacing w:line="360" w:lineRule="auto"/>
        <w:jc w:val="both"/>
        <w:rPr>
          <w:rFonts w:ascii="Palatino Linotype" w:eastAsia="Palatino Linotype" w:hAnsi="Palatino Linotype" w:cs="Palatino Linotype"/>
        </w:rPr>
      </w:pPr>
    </w:p>
    <w:p w14:paraId="5F87CA8B" w14:textId="77777777" w:rsidR="00D3619C" w:rsidRDefault="00E12C32">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7772313A" w14:textId="77777777" w:rsidR="00D3619C" w:rsidRDefault="00D3619C">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u w:val="single"/>
        </w:rPr>
      </w:pPr>
    </w:p>
    <w:p w14:paraId="72D76C23"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veintiséis de febrero de dos mil veinticuatro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presentó ante el Sujeto Obligado a través de la Plataforma Nacional de Transparencia (PNT), misma que se encuentra vinculada con el Sistema de Acceso a la Información Mexiquense (SAIMEX), la siguiente solicitud de información pública:</w:t>
      </w:r>
    </w:p>
    <w:p w14:paraId="4D5C7479" w14:textId="77777777" w:rsidR="00D3619C" w:rsidRDefault="00D3619C">
      <w:pPr>
        <w:pBdr>
          <w:top w:val="nil"/>
          <w:left w:val="nil"/>
          <w:bottom w:val="nil"/>
          <w:right w:val="nil"/>
          <w:between w:val="nil"/>
        </w:pBdr>
        <w:jc w:val="both"/>
        <w:rPr>
          <w:rFonts w:ascii="Palatino Linotype" w:eastAsia="Palatino Linotype" w:hAnsi="Palatino Linotype" w:cs="Palatino Linotype"/>
          <w:color w:val="000000"/>
        </w:rPr>
      </w:pPr>
    </w:p>
    <w:p w14:paraId="6EED263D" w14:textId="77777777" w:rsidR="00D3619C" w:rsidRDefault="00E12C32">
      <w:pPr>
        <w:pBdr>
          <w:top w:val="nil"/>
          <w:left w:val="nil"/>
          <w:bottom w:val="nil"/>
          <w:right w:val="nil"/>
          <w:between w:val="nil"/>
        </w:pBdr>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solicita informe si el municipio cuenta con ingresos autogenerados, en caso de ser afirmativo, se requiere un listado del objeto que los genera, el ingreso y monto erogado, por año 2021, 2022, 2023 y 2024.” (Sic)</w:t>
      </w:r>
    </w:p>
    <w:p w14:paraId="1AE0DBA9" w14:textId="77777777" w:rsidR="00D3619C" w:rsidRDefault="00D3619C">
      <w:pPr>
        <w:spacing w:line="360" w:lineRule="auto"/>
        <w:jc w:val="both"/>
        <w:rPr>
          <w:rFonts w:ascii="Palatino Linotype" w:eastAsia="Palatino Linotype" w:hAnsi="Palatino Linotype" w:cs="Palatino Linotype"/>
        </w:rPr>
      </w:pPr>
    </w:p>
    <w:p w14:paraId="3F57B2A5" w14:textId="77777777" w:rsidR="00D3619C" w:rsidRDefault="00E12C32">
      <w:pPr>
        <w:numPr>
          <w:ilvl w:val="0"/>
          <w:numId w:val="4"/>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eligió como modalidad de entrega de la información: A través del </w:t>
      </w:r>
      <w:r>
        <w:rPr>
          <w:rFonts w:ascii="Palatino Linotype" w:eastAsia="Palatino Linotype" w:hAnsi="Palatino Linotype" w:cs="Palatino Linotype"/>
          <w:b/>
          <w:color w:val="000000"/>
        </w:rPr>
        <w:t>SAIMEX y correo electrónico.</w:t>
      </w:r>
    </w:p>
    <w:p w14:paraId="226D2C06" w14:textId="77777777" w:rsidR="00D3619C" w:rsidRDefault="00D3619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u w:val="single"/>
        </w:rPr>
      </w:pPr>
    </w:p>
    <w:p w14:paraId="513EB1FA"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cuatro de marzo de dos mil veinticuatro</w:t>
      </w:r>
      <w:r>
        <w:rPr>
          <w:rFonts w:ascii="Palatino Linotype" w:eastAsia="Palatino Linotype" w:hAnsi="Palatino Linotype" w:cs="Palatino Linotype"/>
          <w:color w:val="000000"/>
        </w:rPr>
        <w:t xml:space="preserve"> en el tablero de seguimiento de solicitudes de puede visualizar una solicitud de prórroga para atender la presente solicitud.</w:t>
      </w:r>
    </w:p>
    <w:p w14:paraId="6D3EAED1" w14:textId="77777777" w:rsidR="00D3619C" w:rsidRDefault="00D3619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8C57074"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veinte de marzo de dos mil veinticuatro</w:t>
      </w:r>
      <w:r>
        <w:rPr>
          <w:rFonts w:ascii="Palatino Linotype" w:eastAsia="Palatino Linotype" w:hAnsi="Palatino Linotype" w:cs="Palatino Linotype"/>
          <w:color w:val="000000"/>
        </w:rPr>
        <w:t xml:space="preserve"> el Director de Transparencia y Gobierno Abierto notifica la ampliación del plazo por siete días hábiles, aprobado por el Comité de Transparencia del Ayuntamiento de Metepec, Estado de México, mediante la Centésima Décima Novena Sesión Extraordinaria.</w:t>
      </w:r>
    </w:p>
    <w:p w14:paraId="6977D49A" w14:textId="77777777" w:rsidR="00D3619C" w:rsidRDefault="00D3619C">
      <w:pPr>
        <w:pBdr>
          <w:top w:val="nil"/>
          <w:left w:val="nil"/>
          <w:bottom w:val="nil"/>
          <w:right w:val="nil"/>
          <w:between w:val="nil"/>
        </w:pBdr>
        <w:tabs>
          <w:tab w:val="left" w:pos="0"/>
        </w:tabs>
        <w:spacing w:line="360" w:lineRule="auto"/>
        <w:jc w:val="both"/>
        <w:rPr>
          <w:color w:val="000000"/>
        </w:rPr>
      </w:pPr>
    </w:p>
    <w:p w14:paraId="3523F635"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cinco de abril de dos mil veinticuatro</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dio respuesta a través de los siguientes archivos electrónicos </w:t>
      </w:r>
      <w:r>
        <w:rPr>
          <w:rFonts w:ascii="Palatino Linotype" w:eastAsia="Palatino Linotype" w:hAnsi="Palatino Linotype" w:cs="Palatino Linotype"/>
          <w:b/>
          <w:i/>
          <w:color w:val="000000"/>
        </w:rPr>
        <w:t>:</w:t>
      </w:r>
    </w:p>
    <w:p w14:paraId="3FA91610" w14:textId="77777777" w:rsidR="00D3619C" w:rsidRDefault="00E12C32">
      <w:pPr>
        <w:pBdr>
          <w:top w:val="nil"/>
          <w:left w:val="nil"/>
          <w:bottom w:val="nil"/>
          <w:right w:val="nil"/>
          <w:between w:val="nil"/>
        </w:pBdr>
        <w:tabs>
          <w:tab w:val="left" w:pos="0"/>
        </w:tabs>
        <w:ind w:left="566"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SOLIC 100.PDF</w:t>
      </w:r>
    </w:p>
    <w:p w14:paraId="54C0303D" w14:textId="77777777" w:rsidR="00D3619C" w:rsidRDefault="00E12C32">
      <w:pPr>
        <w:pBdr>
          <w:top w:val="nil"/>
          <w:left w:val="nil"/>
          <w:bottom w:val="nil"/>
          <w:right w:val="nil"/>
          <w:between w:val="nil"/>
        </w:pBdr>
        <w:tabs>
          <w:tab w:val="left" w:pos="0"/>
        </w:tabs>
        <w:ind w:left="566"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DTyGA/MET/320/2024 de fecha 05 de abril de 2024, a través del cual el Director de Transparencia y Gobierno Abierto informa al solicitante que la respuesta fue enviada al correo electrónico proporcionado.</w:t>
      </w:r>
    </w:p>
    <w:p w14:paraId="6C07787D" w14:textId="77777777" w:rsidR="00D3619C" w:rsidRDefault="00D3619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14:paraId="75A63590"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dieciséis de abril de dos mil veinticuatro</w:t>
      </w:r>
      <w:r>
        <w:rPr>
          <w:rFonts w:ascii="Palatino Linotype" w:eastAsia="Palatino Linotype" w:hAnsi="Palatino Linotype" w:cs="Palatino Linotype"/>
          <w:color w:val="000000"/>
        </w:rPr>
        <w:t>, el particular interpuso el recurso de revisión en contra de la respuesta otorgada por el Sujeto Obligado, realizando las siguientes manifestaciones:</w:t>
      </w:r>
    </w:p>
    <w:p w14:paraId="0461D3B8" w14:textId="77777777" w:rsidR="00D3619C" w:rsidRDefault="00E12C32">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 xml:space="preserve">“Por mi propio derecho interpongo recurso de revisión toda vez que el Ayuntamiento de Metepec omitió dar respuesta a mi solicitud de información con folio 00100/METEPEC/IP/2024 Lo anterior con base en los siguientes hechos: 1. Que con fecha 26 de febrero de 2024 solicité a través de la Plataforma Nacional de Transparencia lo siguiente: • Se solicita informe si el municipio cuenta con ingresos autogenerados, en </w:t>
      </w:r>
      <w:r>
        <w:rPr>
          <w:rFonts w:ascii="Palatino Linotype" w:eastAsia="Palatino Linotype" w:hAnsi="Palatino Linotype" w:cs="Palatino Linotype"/>
          <w:i/>
          <w:color w:val="000000"/>
          <w:sz w:val="22"/>
          <w:szCs w:val="22"/>
        </w:rPr>
        <w:lastRenderedPageBreak/>
        <w:t>caso de ser afirmativo, se requiere un listado del objeto que los genera, el ingreso y monto erogado, por año 2021, 2022, 2023 y 2024. 2. Que en la petición solicite que la información se me entregará vía Plataforma Nacional de Transparencia. 3. Que con fecha 05 de abril de 2024 en la Plataforma Nacional de Transparencia me aparece la notificación de respuesta; sin embargo no fue así, ya que materialmente mediante oficio DTyGA/MET/320/2024, se menciona que la información se remitió al correo electrónico a través del sistema de solicitudes de acceso la información de la PNT. 4. Se procede a revisar el correo electrónico vinculado, en cada una de las carpetas disponibles y no se localiza respuesta alguna. Por lo anterior y toda vez que la autoridad fue omisa en proporcionar la información solicitada en mi requerimiento de información pública, es que interpongo el presente recurso de revisión, para que se me proporcione la información y la misma sea proporcionada a través del medio requerido..” (Sic)</w:t>
      </w:r>
    </w:p>
    <w:p w14:paraId="3803FDCE" w14:textId="77777777" w:rsidR="00D3619C" w:rsidRDefault="00D3619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C2C9803" w14:textId="77777777" w:rsidR="00D3619C" w:rsidRDefault="00E12C32">
      <w:pPr>
        <w:numPr>
          <w:ilvl w:val="0"/>
          <w:numId w:val="3"/>
        </w:num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Razones o Motivos de inconformidad:</w:t>
      </w:r>
    </w:p>
    <w:p w14:paraId="25D06C34" w14:textId="77777777" w:rsidR="00D3619C" w:rsidRDefault="00D3619C">
      <w:pPr>
        <w:jc w:val="both"/>
        <w:rPr>
          <w:rFonts w:ascii="Palatino Linotype" w:eastAsia="Palatino Linotype" w:hAnsi="Palatino Linotype" w:cs="Palatino Linotype"/>
          <w:i/>
          <w:color w:val="000000"/>
          <w:sz w:val="22"/>
          <w:szCs w:val="22"/>
        </w:rPr>
      </w:pPr>
    </w:p>
    <w:p w14:paraId="47D3DACF" w14:textId="77777777" w:rsidR="00D3619C" w:rsidRDefault="00E12C32">
      <w:pP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solicitante adjuntó el siguiente archivo electrónico:</w:t>
      </w:r>
    </w:p>
    <w:p w14:paraId="257E21D3" w14:textId="77777777" w:rsidR="00D3619C" w:rsidRDefault="00D3619C">
      <w:pPr>
        <w:jc w:val="both"/>
        <w:rPr>
          <w:rFonts w:ascii="Palatino Linotype" w:eastAsia="Palatino Linotype" w:hAnsi="Palatino Linotype" w:cs="Palatino Linotype"/>
          <w:color w:val="000000"/>
          <w:sz w:val="22"/>
          <w:szCs w:val="22"/>
        </w:rPr>
      </w:pPr>
    </w:p>
    <w:p w14:paraId="72E46155" w14:textId="77777777" w:rsidR="00D3619C" w:rsidRDefault="00E12C32">
      <w:pPr>
        <w:ind w:left="720"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Archivo1713311435013.pdf</w:t>
      </w:r>
    </w:p>
    <w:p w14:paraId="3E76F73C" w14:textId="77777777" w:rsidR="00D3619C" w:rsidRDefault="00E12C32">
      <w:pPr>
        <w:ind w:left="720"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Documento que contiene el oficio de respuesta emitido por el Sujeto Obligado, ya descrito ele párrafo 4.</w:t>
      </w:r>
    </w:p>
    <w:p w14:paraId="74F78E4A" w14:textId="77777777" w:rsidR="00D3619C" w:rsidRDefault="00D3619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14:paraId="581A9063"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color w:val="000000"/>
        </w:rPr>
        <w:t xml:space="preserve">veintidós de abril de dos mil veinticuatro,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14:paraId="0E220833" w14:textId="77777777" w:rsidR="00D3619C" w:rsidRDefault="00D3619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14:paraId="4AA14506"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lastRenderedPageBreak/>
        <w:t>El 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color w:val="000000"/>
        </w:rPr>
        <w:t xml:space="preserve"> el veintinueve de abril y ocho de mayo de dos mil veinticuatro </w:t>
      </w:r>
      <w:r>
        <w:rPr>
          <w:rFonts w:ascii="Palatino Linotype" w:eastAsia="Palatino Linotype" w:hAnsi="Palatino Linotype" w:cs="Palatino Linotype"/>
          <w:color w:val="000000"/>
        </w:rPr>
        <w:t xml:space="preserve">presentó informe justificado a través de diversos archivos digitales, cuyo contenido </w:t>
      </w:r>
      <w:r>
        <w:rPr>
          <w:rFonts w:ascii="Palatino Linotype" w:eastAsia="Palatino Linotype" w:hAnsi="Palatino Linotype" w:cs="Palatino Linotype"/>
          <w:color w:val="000000"/>
          <w:u w:val="single"/>
        </w:rPr>
        <w:t>esencial</w:t>
      </w:r>
      <w:r>
        <w:rPr>
          <w:rFonts w:ascii="Palatino Linotype" w:eastAsia="Palatino Linotype" w:hAnsi="Palatino Linotype" w:cs="Palatino Linotype"/>
          <w:color w:val="000000"/>
        </w:rPr>
        <w:t xml:space="preserve"> es el siguiente:</w:t>
      </w:r>
    </w:p>
    <w:p w14:paraId="27E1CF5F" w14:textId="77777777" w:rsidR="00D3619C" w:rsidRDefault="00E12C32">
      <w:pPr>
        <w:numPr>
          <w:ilvl w:val="0"/>
          <w:numId w:val="5"/>
        </w:numPr>
        <w:pBdr>
          <w:top w:val="nil"/>
          <w:left w:val="nil"/>
          <w:bottom w:val="nil"/>
          <w:right w:val="nil"/>
          <w:between w:val="nil"/>
        </w:pBdr>
        <w:ind w:right="10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00100-TESORERÍA.pdf</w:t>
      </w:r>
    </w:p>
    <w:p w14:paraId="1CDD4156" w14:textId="77777777" w:rsidR="00D3619C" w:rsidRDefault="00E12C32">
      <w:pPr>
        <w:pBdr>
          <w:top w:val="nil"/>
          <w:left w:val="nil"/>
          <w:bottom w:val="nil"/>
          <w:right w:val="nil"/>
          <w:between w:val="nil"/>
        </w:pBdr>
        <w:ind w:left="720" w:right="10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DTyGA/MET/0429/2024 de fecha 23 de abril de 2024, a través del cual el Encargado del Despacho de la Dirección de Transparencia y Gobierno Abierto solicita al Tesorero Municipal informe justificado.</w:t>
      </w:r>
    </w:p>
    <w:p w14:paraId="6F204134" w14:textId="77777777" w:rsidR="00D3619C" w:rsidRDefault="00D3619C">
      <w:pPr>
        <w:pBdr>
          <w:top w:val="nil"/>
          <w:left w:val="nil"/>
          <w:bottom w:val="nil"/>
          <w:right w:val="nil"/>
          <w:between w:val="nil"/>
        </w:pBdr>
        <w:ind w:right="1041"/>
        <w:jc w:val="both"/>
        <w:rPr>
          <w:rFonts w:ascii="Palatino Linotype" w:eastAsia="Palatino Linotype" w:hAnsi="Palatino Linotype" w:cs="Palatino Linotype"/>
          <w:b/>
          <w:color w:val="000000"/>
          <w:sz w:val="22"/>
          <w:szCs w:val="22"/>
        </w:rPr>
      </w:pPr>
    </w:p>
    <w:p w14:paraId="4372543D" w14:textId="77777777" w:rsidR="00D3619C" w:rsidRDefault="00E12C32">
      <w:pPr>
        <w:numPr>
          <w:ilvl w:val="0"/>
          <w:numId w:val="5"/>
        </w:numPr>
        <w:pBdr>
          <w:top w:val="nil"/>
          <w:left w:val="nil"/>
          <w:bottom w:val="nil"/>
          <w:right w:val="nil"/>
          <w:between w:val="nil"/>
        </w:pBdr>
        <w:ind w:right="10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100-TES-M.pdf</w:t>
      </w:r>
    </w:p>
    <w:p w14:paraId="141674D1" w14:textId="77777777" w:rsidR="00D3619C" w:rsidRDefault="00E12C32">
      <w:pPr>
        <w:pBdr>
          <w:top w:val="nil"/>
          <w:left w:val="nil"/>
          <w:bottom w:val="nil"/>
          <w:right w:val="nil"/>
          <w:between w:val="nil"/>
        </w:pBdr>
        <w:ind w:left="720" w:right="10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TM/0619/2024 de fecha 29 de abril de 2024, firmado por el Tesorero Municipal, dirigido al Encargado del Despacho de la Dirección de Transparencia y Gobierno Abierto, mediante el cual manifiesta reiterar la respuesta emitida en el oficio TM/410/2024 de fecha 13 de marzo de 2024.</w:t>
      </w:r>
    </w:p>
    <w:p w14:paraId="3C8C226F" w14:textId="77777777" w:rsidR="00D3619C" w:rsidRDefault="00D3619C">
      <w:pPr>
        <w:pBdr>
          <w:top w:val="nil"/>
          <w:left w:val="nil"/>
          <w:bottom w:val="nil"/>
          <w:right w:val="nil"/>
          <w:between w:val="nil"/>
        </w:pBdr>
        <w:ind w:left="720" w:right="1041"/>
        <w:jc w:val="both"/>
        <w:rPr>
          <w:rFonts w:ascii="Palatino Linotype" w:eastAsia="Palatino Linotype" w:hAnsi="Palatino Linotype" w:cs="Palatino Linotype"/>
          <w:color w:val="000000"/>
          <w:sz w:val="22"/>
          <w:szCs w:val="22"/>
        </w:rPr>
      </w:pPr>
    </w:p>
    <w:p w14:paraId="6711D21D" w14:textId="77777777" w:rsidR="00D3619C" w:rsidRDefault="00E12C32">
      <w:pPr>
        <w:numPr>
          <w:ilvl w:val="0"/>
          <w:numId w:val="5"/>
        </w:numPr>
        <w:pBdr>
          <w:top w:val="nil"/>
          <w:left w:val="nil"/>
          <w:bottom w:val="nil"/>
          <w:right w:val="nil"/>
          <w:between w:val="nil"/>
        </w:pBdr>
        <w:ind w:right="10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Sol. 100.pdf</w:t>
      </w:r>
    </w:p>
    <w:p w14:paraId="31B6A1EA" w14:textId="77777777" w:rsidR="00D3619C" w:rsidRDefault="00E12C32">
      <w:pPr>
        <w:pBdr>
          <w:top w:val="nil"/>
          <w:left w:val="nil"/>
          <w:bottom w:val="nil"/>
          <w:right w:val="nil"/>
          <w:between w:val="nil"/>
        </w:pBdr>
        <w:ind w:left="720" w:right="10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TM/0410/2024 de fecha 13 de marzo de 2024, firmado por el Tesorero Municipal, dirigido al Director de Transparencia y Gobierno Abierto, en el que informa que después de una búsqueda exhaustiva en los archivos físicos y digitales que obran en la Tesorería Municipal, no se encontró información relacionada con la solicitud de información.</w:t>
      </w:r>
    </w:p>
    <w:p w14:paraId="466E5FC1" w14:textId="77777777" w:rsidR="00D3619C" w:rsidRDefault="00D3619C">
      <w:pPr>
        <w:pBdr>
          <w:top w:val="nil"/>
          <w:left w:val="nil"/>
          <w:bottom w:val="nil"/>
          <w:right w:val="nil"/>
          <w:between w:val="nil"/>
        </w:pBdr>
        <w:spacing w:line="360" w:lineRule="auto"/>
        <w:jc w:val="both"/>
        <w:rPr>
          <w:color w:val="000000"/>
        </w:rPr>
      </w:pPr>
    </w:p>
    <w:p w14:paraId="135C4F79"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Este Órgano Garante no pasa por alto justificar, que la dilación en la resolución del presente asunto, encuentra justificación en el incremento de recursos de revisión a resolverse por este Instituto, circunstancia atípica que ha rebasado las capacidades técnicas y humanas para la emisión de las resoluciones a dichos medios de impugnación, motivo por el que el</w:t>
      </w:r>
      <w:r>
        <w:rPr>
          <w:rFonts w:ascii="Palatino Linotype" w:eastAsia="Palatino Linotype" w:hAnsi="Palatino Linotype" w:cs="Palatino Linotype"/>
          <w:b/>
          <w:color w:val="000000"/>
        </w:rPr>
        <w:t xml:space="preserve"> doce de agosto de dos mil veinticuatro</w:t>
      </w:r>
      <w:r>
        <w:rPr>
          <w:rFonts w:ascii="Palatino Linotype" w:eastAsia="Palatino Linotype" w:hAnsi="Palatino Linotype" w:cs="Palatino Linotype"/>
          <w:color w:val="000000"/>
        </w:rPr>
        <w:t xml:space="preserve"> se acordó ampliar el término para resolver el presente asunto.</w:t>
      </w:r>
    </w:p>
    <w:p w14:paraId="57619F0F" w14:textId="77777777" w:rsidR="00D3619C" w:rsidRDefault="00D3619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1FF4F0"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w:t>
      </w:r>
      <w:r>
        <w:rPr>
          <w:rFonts w:ascii="Palatino Linotype" w:eastAsia="Palatino Linotype" w:hAnsi="Palatino Linotype" w:cs="Palatino Linotype"/>
          <w:color w:val="000000"/>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0048A03" w14:textId="77777777" w:rsidR="00D3619C" w:rsidRDefault="00D3619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92F3B01"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F76BC2" w14:textId="77777777" w:rsidR="00D3619C" w:rsidRDefault="00D3619C">
      <w:pPr>
        <w:pBdr>
          <w:top w:val="nil"/>
          <w:left w:val="nil"/>
          <w:bottom w:val="nil"/>
          <w:right w:val="nil"/>
          <w:between w:val="nil"/>
        </w:pBdr>
        <w:ind w:left="720"/>
        <w:rPr>
          <w:rFonts w:ascii="Palatino Linotype" w:eastAsia="Palatino Linotype" w:hAnsi="Palatino Linotype" w:cs="Palatino Linotype"/>
          <w:color w:val="000000"/>
        </w:rPr>
      </w:pPr>
    </w:p>
    <w:p w14:paraId="35EDC360"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6D01CE" w14:textId="77777777" w:rsidR="00D3619C" w:rsidRDefault="00D3619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9EB240F"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2CD346C4" w14:textId="77777777" w:rsidR="00D3619C" w:rsidRDefault="00E12C32">
      <w:pPr>
        <w:numPr>
          <w:ilvl w:val="0"/>
          <w:numId w:val="8"/>
        </w:num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404E9596" w14:textId="77777777" w:rsidR="00D3619C" w:rsidRDefault="00E12C32">
      <w:pPr>
        <w:numPr>
          <w:ilvl w:val="0"/>
          <w:numId w:val="8"/>
        </w:num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21CD60CE" w14:textId="77777777" w:rsidR="00D3619C" w:rsidRDefault="00E12C32">
      <w:pPr>
        <w:numPr>
          <w:ilvl w:val="0"/>
          <w:numId w:val="8"/>
        </w:num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5F0772FC" w14:textId="77777777" w:rsidR="00D3619C" w:rsidRDefault="00E12C32">
      <w:pPr>
        <w:ind w:left="851"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3BD31792" w14:textId="77777777" w:rsidR="00D3619C" w:rsidRDefault="00D3619C">
      <w:pPr>
        <w:spacing w:line="360" w:lineRule="auto"/>
        <w:ind w:left="851" w:hanging="284"/>
        <w:jc w:val="both"/>
        <w:rPr>
          <w:rFonts w:ascii="Palatino Linotype" w:eastAsia="Palatino Linotype" w:hAnsi="Palatino Linotype" w:cs="Palatino Linotype"/>
        </w:rPr>
      </w:pPr>
    </w:p>
    <w:p w14:paraId="2C3C16B4"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3FC8FE" w14:textId="77777777" w:rsidR="00D3619C" w:rsidRDefault="00D3619C">
      <w:pPr>
        <w:pBdr>
          <w:top w:val="nil"/>
          <w:left w:val="nil"/>
          <w:bottom w:val="nil"/>
          <w:right w:val="nil"/>
          <w:between w:val="nil"/>
        </w:pBdr>
        <w:spacing w:line="360" w:lineRule="auto"/>
        <w:jc w:val="both"/>
        <w:rPr>
          <w:color w:val="000000"/>
        </w:rPr>
      </w:pPr>
    </w:p>
    <w:p w14:paraId="620E6454" w14:textId="77777777" w:rsidR="00D3619C" w:rsidRDefault="00E12C3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5D2BE339" w14:textId="77777777" w:rsidR="00D3619C" w:rsidRDefault="00D3619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7B8F372" w14:textId="77777777" w:rsidR="00D3619C" w:rsidRDefault="00E12C3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3znysh7" w:colFirst="0" w:colLast="0"/>
      <w:bookmarkEnd w:id="3"/>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color w:val="000000"/>
        </w:rPr>
        <w:t>veinte de noviembre dos mil veinticuatro</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color w:val="000000"/>
        </w:rPr>
        <w:t>cierre del periodo de instrucción</w:t>
      </w:r>
      <w:r>
        <w:rPr>
          <w:rFonts w:ascii="Palatino Linotype" w:eastAsia="Palatino Linotype" w:hAnsi="Palatino Linotype" w:cs="Palatino Linotype"/>
          <w:color w:val="000000"/>
        </w:rPr>
        <w:t xml:space="preserve"> y, ordenó la resolución que conforme a Derecho proceda, de acuerdo a las siguientes:</w:t>
      </w:r>
    </w:p>
    <w:p w14:paraId="0D605248" w14:textId="77777777" w:rsidR="00D3619C" w:rsidRDefault="00D3619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3413CFE" w14:textId="77777777" w:rsidR="00D3619C" w:rsidRDefault="00E12C32">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C I O N E S</w:t>
      </w:r>
    </w:p>
    <w:p w14:paraId="38CDB5E3" w14:textId="77777777" w:rsidR="00D3619C" w:rsidRDefault="00D3619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46C7A898" w14:textId="77777777" w:rsidR="00D3619C" w:rsidRDefault="00E12C32">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PRIMERA. Competencia</w:t>
      </w:r>
    </w:p>
    <w:p w14:paraId="749BB4F8"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w:t>
      </w:r>
      <w:r>
        <w:rPr>
          <w:rFonts w:ascii="Palatino Linotype" w:eastAsia="Palatino Linotype" w:hAnsi="Palatino Linotype" w:cs="Palatino Linotype"/>
          <w:color w:val="000000"/>
        </w:rPr>
        <w:lastRenderedPageBreak/>
        <w:t>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47A8190" w14:textId="77777777" w:rsidR="00D3619C" w:rsidRDefault="00D3619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AC92158" w14:textId="77777777" w:rsidR="00D3619C" w:rsidRDefault="00E12C32">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SEGUNDA. Procedencia y previo y especial pronunciamiento.</w:t>
      </w:r>
    </w:p>
    <w:p w14:paraId="5110F101" w14:textId="77777777" w:rsidR="00D3619C" w:rsidRDefault="00E12C32">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Procedencia</w:t>
      </w:r>
    </w:p>
    <w:p w14:paraId="11FA8A82" w14:textId="77777777" w:rsidR="00D3619C" w:rsidRDefault="00D3619C"/>
    <w:p w14:paraId="53A05A38"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 xml:space="preserve">Este Órgano Garante considera que el medio de impugnación reúne los requisitos de procedencia </w:t>
      </w:r>
      <w:r>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49B1EAA3" w14:textId="77777777" w:rsidR="00D3619C" w:rsidRDefault="00D3619C">
      <w:pPr>
        <w:spacing w:line="360" w:lineRule="auto"/>
        <w:jc w:val="both"/>
        <w:rPr>
          <w:rFonts w:ascii="Palatino Linotype" w:eastAsia="Palatino Linotype" w:hAnsi="Palatino Linotype" w:cs="Palatino Linotype"/>
        </w:rPr>
      </w:pPr>
    </w:p>
    <w:p w14:paraId="49835651"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Por otro lado, el escrito contiene las formalidades previstas por el artículo 180, último párrafo, de la citada Ley de la materia, por lo que es procedente que este Instituto conozca y resuelva el presente recurso.</w:t>
      </w:r>
    </w:p>
    <w:p w14:paraId="4E9338DE" w14:textId="77777777" w:rsidR="00D3619C" w:rsidRDefault="00D3619C">
      <w:pPr>
        <w:spacing w:line="360" w:lineRule="auto"/>
        <w:jc w:val="both"/>
      </w:pPr>
    </w:p>
    <w:p w14:paraId="00F97584" w14:textId="77777777" w:rsidR="00D3619C" w:rsidRDefault="00D3619C">
      <w:pPr>
        <w:rPr>
          <w:rFonts w:ascii="Palatino Linotype" w:eastAsia="Palatino Linotype" w:hAnsi="Palatino Linotype" w:cs="Palatino Linotype"/>
          <w:b/>
          <w:color w:val="000000"/>
        </w:rPr>
      </w:pPr>
    </w:p>
    <w:p w14:paraId="7D1E0CC3" w14:textId="77777777" w:rsidR="00D3619C" w:rsidRDefault="00D3619C">
      <w:pPr>
        <w:rPr>
          <w:rFonts w:ascii="Palatino Linotype" w:eastAsia="Palatino Linotype" w:hAnsi="Palatino Linotype" w:cs="Palatino Linotype"/>
          <w:b/>
          <w:color w:val="000000"/>
        </w:rPr>
      </w:pPr>
    </w:p>
    <w:p w14:paraId="04DC7D72" w14:textId="77777777" w:rsidR="00D3619C" w:rsidRDefault="00D3619C">
      <w:pPr>
        <w:rPr>
          <w:rFonts w:ascii="Palatino Linotype" w:eastAsia="Palatino Linotype" w:hAnsi="Palatino Linotype" w:cs="Palatino Linotype"/>
          <w:b/>
          <w:color w:val="000000"/>
        </w:rPr>
      </w:pPr>
    </w:p>
    <w:p w14:paraId="19C52CF2" w14:textId="77777777" w:rsidR="00D3619C" w:rsidRDefault="00E12C32">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la prorroga indebida</w:t>
      </w:r>
    </w:p>
    <w:p w14:paraId="3C5A1209" w14:textId="77777777" w:rsidR="00D3619C" w:rsidRDefault="00E12C32">
      <w:pPr>
        <w:numPr>
          <w:ilvl w:val="0"/>
          <w:numId w:val="1"/>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Por otro lado</w:t>
      </w:r>
      <w:r>
        <w:rPr>
          <w:rFonts w:ascii="Palatino Linotype" w:eastAsia="Palatino Linotype" w:hAnsi="Palatino Linotype" w:cs="Palatino Linotype"/>
        </w:rPr>
        <w:t>, es menester señalar en un primer momento</w:t>
      </w:r>
      <w:r>
        <w:rPr>
          <w:rFonts w:ascii="Palatino Linotype" w:eastAsia="Palatino Linotype" w:hAnsi="Palatino Linotype" w:cs="Palatino Linotype"/>
          <w:color w:val="222222"/>
        </w:rPr>
        <w:t xml:space="preserv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solicitó una prórroga que resulta</w:t>
      </w:r>
      <w:r>
        <w:rPr>
          <w:rFonts w:ascii="Palatino Linotype" w:eastAsia="Palatino Linotype" w:hAnsi="Palatino Linotype" w:cs="Palatino Linotype"/>
          <w:b/>
          <w:i/>
          <w:color w:val="222222"/>
        </w:rPr>
        <w:t xml:space="preserve"> </w:t>
      </w:r>
      <w:r>
        <w:rPr>
          <w:rFonts w:ascii="Palatino Linotype" w:eastAsia="Palatino Linotype" w:hAnsi="Palatino Linotype" w:cs="Palatino Linotype"/>
          <w:color w:val="000000"/>
        </w:rPr>
        <w:t xml:space="preserve">indebida, infundada </w:t>
      </w:r>
      <w:r>
        <w:rPr>
          <w:rFonts w:ascii="Palatino Linotype" w:eastAsia="Palatino Linotype" w:hAnsi="Palatino Linotype" w:cs="Palatino Linotype"/>
          <w:color w:val="222222"/>
        </w:rPr>
        <w:t>y con falta de motivación, que si bien, fue otorgada, carece de toda validez; toda vez que el artículo 163 de la ley de la materia señala lo siguiente:</w:t>
      </w:r>
    </w:p>
    <w:p w14:paraId="6672C01B" w14:textId="77777777" w:rsidR="00D3619C" w:rsidRDefault="00D3619C">
      <w:pPr>
        <w:spacing w:line="360" w:lineRule="auto"/>
        <w:jc w:val="both"/>
        <w:rPr>
          <w:rFonts w:ascii="Palatino Linotype" w:eastAsia="Palatino Linotype" w:hAnsi="Palatino Linotype" w:cs="Palatino Linotype"/>
          <w:color w:val="222222"/>
        </w:rPr>
      </w:pPr>
    </w:p>
    <w:p w14:paraId="5B40A7AB" w14:textId="77777777" w:rsidR="00D3619C" w:rsidRDefault="00E12C32">
      <w:pPr>
        <w:pBdr>
          <w:top w:val="nil"/>
          <w:left w:val="nil"/>
          <w:bottom w:val="nil"/>
          <w:right w:val="nil"/>
          <w:between w:val="nil"/>
        </w:pBdr>
        <w:ind w:left="709"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Artículo 163. </w:t>
      </w:r>
      <w:r>
        <w:rPr>
          <w:rFonts w:ascii="Palatino Linotype" w:eastAsia="Palatino Linotype" w:hAnsi="Palatino Linotype" w:cs="Palatino Linotype"/>
          <w:i/>
          <w:color w:val="222222"/>
          <w:sz w:val="22"/>
          <w:szCs w:val="22"/>
        </w:rPr>
        <w:t>La Unidad de Transparencia deberá notificar la respuesta a la solicitud al interesado en el menor tiempo posible, que no podrá exceder de quince días hábiles, contados a partir del día siguiente a la presentación de aquélla.</w:t>
      </w:r>
    </w:p>
    <w:p w14:paraId="5A6D3F7C" w14:textId="77777777" w:rsidR="00D3619C" w:rsidRDefault="00D3619C">
      <w:pPr>
        <w:pBdr>
          <w:top w:val="nil"/>
          <w:left w:val="nil"/>
          <w:bottom w:val="nil"/>
          <w:right w:val="nil"/>
          <w:between w:val="nil"/>
        </w:pBdr>
        <w:ind w:left="709" w:right="900"/>
        <w:jc w:val="both"/>
        <w:rPr>
          <w:rFonts w:ascii="Palatino Linotype" w:eastAsia="Palatino Linotype" w:hAnsi="Palatino Linotype" w:cs="Palatino Linotype"/>
          <w:color w:val="222222"/>
          <w:sz w:val="22"/>
          <w:szCs w:val="22"/>
        </w:rPr>
      </w:pPr>
    </w:p>
    <w:p w14:paraId="2C295542" w14:textId="77777777" w:rsidR="00D3619C" w:rsidRDefault="00E12C32">
      <w:pPr>
        <w:pBdr>
          <w:top w:val="nil"/>
          <w:left w:val="nil"/>
          <w:bottom w:val="nil"/>
          <w:right w:val="nil"/>
          <w:between w:val="nil"/>
        </w:pBdr>
        <w:ind w:left="709"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8B89D51" w14:textId="77777777" w:rsidR="00D3619C" w:rsidRDefault="00D3619C">
      <w:pPr>
        <w:pBdr>
          <w:top w:val="nil"/>
          <w:left w:val="nil"/>
          <w:bottom w:val="nil"/>
          <w:right w:val="nil"/>
          <w:between w:val="nil"/>
        </w:pBdr>
        <w:ind w:left="709" w:right="900"/>
        <w:jc w:val="both"/>
        <w:rPr>
          <w:rFonts w:ascii="Palatino Linotype" w:eastAsia="Palatino Linotype" w:hAnsi="Palatino Linotype" w:cs="Palatino Linotype"/>
          <w:i/>
          <w:color w:val="222222"/>
          <w:sz w:val="22"/>
          <w:szCs w:val="22"/>
        </w:rPr>
      </w:pPr>
    </w:p>
    <w:p w14:paraId="6D780C2F" w14:textId="77777777" w:rsidR="00D3619C" w:rsidRDefault="00E12C32">
      <w:pPr>
        <w:numPr>
          <w:ilvl w:val="0"/>
          <w:numId w:val="1"/>
        </w:numPr>
        <w:spacing w:line="360" w:lineRule="auto"/>
        <w:ind w:left="0" w:firstLine="0"/>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 xml:space="preserve">Solo en aquellos </w:t>
      </w:r>
      <w:r>
        <w:rPr>
          <w:rFonts w:ascii="Palatino Linotype" w:eastAsia="Palatino Linotype" w:hAnsi="Palatino Linotype" w:cs="Palatino Linotype"/>
          <w:b/>
          <w:color w:val="222222"/>
        </w:rPr>
        <w:t>casos excepcionales</w:t>
      </w:r>
      <w:r>
        <w:rPr>
          <w:rFonts w:ascii="Palatino Linotype" w:eastAsia="Palatino Linotype" w:hAnsi="Palatino Linotype" w:cs="Palatino Linotype"/>
          <w:color w:val="222222"/>
        </w:rPr>
        <w:t xml:space="preserve"> el </w:t>
      </w:r>
      <w:r>
        <w:rPr>
          <w:rFonts w:ascii="Palatino Linotype" w:eastAsia="Palatino Linotype" w:hAnsi="Palatino Linotype" w:cs="Palatino Linotype"/>
          <w:b/>
          <w:color w:val="222222"/>
        </w:rPr>
        <w:t xml:space="preserve">SUJETO OBLIGADO </w:t>
      </w:r>
      <w:r>
        <w:rPr>
          <w:rFonts w:ascii="Palatino Linotype" w:eastAsia="Palatino Linotype" w:hAnsi="Palatino Linotype" w:cs="Palatino Linotype"/>
          <w:color w:val="222222"/>
        </w:rPr>
        <w:t xml:space="preserve">podrá solicitar se amplíe el termino de quince días para proporcionar respuesta a cualquier solicitud de </w:t>
      </w:r>
      <w:r>
        <w:rPr>
          <w:rFonts w:ascii="Palatino Linotype" w:eastAsia="Palatino Linotype" w:hAnsi="Palatino Linotype" w:cs="Palatino Linotype"/>
          <w:color w:val="000000"/>
        </w:rPr>
        <w:t>información</w:t>
      </w:r>
      <w:r>
        <w:rPr>
          <w:rFonts w:ascii="Palatino Linotype" w:eastAsia="Palatino Linotype" w:hAnsi="Palatino Linotype" w:cs="Palatino Linotype"/>
          <w:color w:val="222222"/>
        </w:rPr>
        <w:t xml:space="preserve">, plazo que podrá ser prorrogado por otros siete días más, siempre y cuando medien razones que justifiquen la ampliación, las cuales deberán estar </w:t>
      </w:r>
      <w:r>
        <w:rPr>
          <w:rFonts w:ascii="Palatino Linotype" w:eastAsia="Palatino Linotype" w:hAnsi="Palatino Linotype" w:cs="Palatino Linotype"/>
          <w:b/>
          <w:color w:val="222222"/>
          <w:u w:val="single"/>
        </w:rPr>
        <w:t>fundadas y motivadas</w:t>
      </w:r>
      <w:r>
        <w:rPr>
          <w:rFonts w:ascii="Palatino Linotype" w:eastAsia="Palatino Linotype" w:hAnsi="Palatino Linotype" w:cs="Palatino Linotype"/>
          <w:color w:val="222222"/>
        </w:rPr>
        <w:t xml:space="preserve">,  mismas que </w:t>
      </w:r>
      <w:r>
        <w:rPr>
          <w:rFonts w:ascii="Palatino Linotype" w:eastAsia="Palatino Linotype" w:hAnsi="Palatino Linotype" w:cs="Palatino Linotype"/>
          <w:b/>
          <w:color w:val="222222"/>
        </w:rPr>
        <w:t xml:space="preserve">deberán ser aprobadas por los integrantes de su Comité de Transparencia mediante la emisión de una resolución </w:t>
      </w:r>
      <w:r>
        <w:rPr>
          <w:rFonts w:ascii="Palatino Linotype" w:eastAsia="Palatino Linotype" w:hAnsi="Palatino Linotype" w:cs="Palatino Linotype"/>
          <w:color w:val="222222"/>
        </w:rPr>
        <w:t xml:space="preserve">que deberá notificarse al solicitante. Situación que, en el caso concreto, evidentemente no ocurrió </w:t>
      </w:r>
    </w:p>
    <w:p w14:paraId="31784629" w14:textId="77777777" w:rsidR="00D3619C" w:rsidRDefault="00D3619C">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6E2859B3" w14:textId="77777777" w:rsidR="00D3619C" w:rsidRDefault="00E12C32">
      <w:pPr>
        <w:numPr>
          <w:ilvl w:val="0"/>
          <w:numId w:val="1"/>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Lo anterior implica una alta responsabilidad, toda vez que dicha prórroga deberá recaer en un documento, debidamente </w:t>
      </w:r>
      <w:r>
        <w:rPr>
          <w:rFonts w:ascii="Palatino Linotype" w:eastAsia="Palatino Linotype" w:hAnsi="Palatino Linotype" w:cs="Palatino Linotype"/>
          <w:b/>
          <w:color w:val="222222"/>
        </w:rPr>
        <w:t>validado y firmado</w:t>
      </w:r>
      <w:r>
        <w:rPr>
          <w:rFonts w:ascii="Palatino Linotype" w:eastAsia="Palatino Linotype" w:hAnsi="Palatino Linotype" w:cs="Palatino Linotype"/>
          <w:color w:val="222222"/>
        </w:rPr>
        <w:t xml:space="preserve"> por los integrantes del Comité, lo cual obviamente no ocurrió en la prorroga emitida por el </w:t>
      </w:r>
      <w:r>
        <w:rPr>
          <w:rFonts w:ascii="Palatino Linotype" w:eastAsia="Palatino Linotype" w:hAnsi="Palatino Linotype" w:cs="Palatino Linotype"/>
          <w:b/>
          <w:color w:val="222222"/>
        </w:rPr>
        <w:t>Ayuntamiento de Metepec</w:t>
      </w:r>
      <w:r>
        <w:rPr>
          <w:rFonts w:ascii="Palatino Linotype" w:eastAsia="Palatino Linotype" w:hAnsi="Palatino Linotype" w:cs="Palatino Linotype"/>
          <w:color w:val="222222"/>
        </w:rPr>
        <w:t>, toda vez que en la prórroga requerida, no se señalan de por medio razones fundadas y motivadas, y si bien se señala existir un acuerdo del Comité de Transparencia, no se notificó al solicitante, violentando lo dispuesto en el artículo 163 de la Ley de Transparencia y Acceso a la Información Pública del Estado de México y Municipios</w:t>
      </w:r>
      <w:r>
        <w:rPr>
          <w:rFonts w:ascii="Palatino Linotype" w:eastAsia="Palatino Linotype" w:hAnsi="Palatino Linotype" w:cs="Palatino Linotype"/>
          <w:i/>
          <w:color w:val="222222"/>
        </w:rPr>
        <w:t>.</w:t>
      </w:r>
    </w:p>
    <w:p w14:paraId="1D061AD2" w14:textId="77777777" w:rsidR="00D3619C" w:rsidRDefault="00D3619C">
      <w:pPr>
        <w:pBdr>
          <w:top w:val="nil"/>
          <w:left w:val="nil"/>
          <w:bottom w:val="nil"/>
          <w:right w:val="nil"/>
          <w:between w:val="nil"/>
        </w:pBdr>
        <w:spacing w:line="360" w:lineRule="auto"/>
        <w:rPr>
          <w:rFonts w:ascii="Palatino Linotype" w:eastAsia="Palatino Linotype" w:hAnsi="Palatino Linotype" w:cs="Palatino Linotype"/>
          <w:color w:val="000000"/>
        </w:rPr>
      </w:pPr>
    </w:p>
    <w:p w14:paraId="0E3FA842" w14:textId="77777777" w:rsidR="00D3619C" w:rsidRDefault="00E12C32">
      <w:pPr>
        <w:pStyle w:val="Ttulo1"/>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TERCERA. Descripción de hechos y planteamiento de la controversia.</w:t>
      </w:r>
    </w:p>
    <w:p w14:paraId="3B26A7C5"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Se solicitó tener acceso, a la información que a continuación se describe:</w:t>
      </w:r>
    </w:p>
    <w:p w14:paraId="54FF0875" w14:textId="77777777" w:rsidR="00D3619C" w:rsidRDefault="00D3619C">
      <w:pPr>
        <w:pBdr>
          <w:top w:val="nil"/>
          <w:left w:val="nil"/>
          <w:bottom w:val="nil"/>
          <w:right w:val="nil"/>
          <w:between w:val="nil"/>
        </w:pBdr>
        <w:spacing w:line="360" w:lineRule="auto"/>
        <w:jc w:val="both"/>
        <w:rPr>
          <w:color w:val="000000"/>
        </w:rPr>
      </w:pPr>
    </w:p>
    <w:p w14:paraId="56F44CD1" w14:textId="77777777" w:rsidR="00D3619C" w:rsidRDefault="00E12C32">
      <w:pPr>
        <w:pBdr>
          <w:top w:val="nil"/>
          <w:left w:val="nil"/>
          <w:bottom w:val="nil"/>
          <w:right w:val="nil"/>
          <w:between w:val="nil"/>
        </w:pBd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Informar si el municipio cuenta con ingresos autogenerados, en caso de ser afirmativo, se requiere un listado del objeto que los genera, el ingreso y monto erogado, por año 2021, 2022, 2023 y 2024.</w:t>
      </w:r>
    </w:p>
    <w:p w14:paraId="7533BF5F" w14:textId="77777777" w:rsidR="00D3619C" w:rsidRDefault="00D3619C">
      <w:pPr>
        <w:pBdr>
          <w:top w:val="nil"/>
          <w:left w:val="nil"/>
          <w:bottom w:val="nil"/>
          <w:right w:val="nil"/>
          <w:between w:val="nil"/>
        </w:pBdr>
        <w:spacing w:line="360" w:lineRule="auto"/>
        <w:ind w:left="1428"/>
        <w:jc w:val="both"/>
        <w:rPr>
          <w:rFonts w:ascii="Palatino Linotype" w:eastAsia="Palatino Linotype" w:hAnsi="Palatino Linotype" w:cs="Palatino Linotype"/>
          <w:b/>
          <w:color w:val="000000"/>
        </w:rPr>
      </w:pPr>
    </w:p>
    <w:p w14:paraId="5D418A5C" w14:textId="77777777" w:rsidR="00D3619C" w:rsidRDefault="00E12C32">
      <w:pPr>
        <w:numPr>
          <w:ilvl w:val="0"/>
          <w:numId w:val="1"/>
        </w:numPr>
        <w:spacing w:line="360" w:lineRule="auto"/>
        <w:ind w:left="0" w:firstLine="0"/>
        <w:jc w:val="both"/>
        <w:rPr>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remitió los archivos ya descritos en el anterior Párrafo 4, inconforme con la respuesta, se interpuso recurso de revisión argumentando sustancialmente que el Sujeto Obligado no proporcionó la información solicitada.</w:t>
      </w:r>
    </w:p>
    <w:p w14:paraId="3665C629" w14:textId="77777777" w:rsidR="00D3619C" w:rsidRDefault="00D3619C">
      <w:pPr>
        <w:spacing w:line="360" w:lineRule="auto"/>
        <w:jc w:val="both"/>
        <w:rPr>
          <w:rFonts w:ascii="Palatino Linotype" w:eastAsia="Palatino Linotype" w:hAnsi="Palatino Linotype" w:cs="Palatino Linotype"/>
          <w:i/>
          <w:color w:val="000000"/>
        </w:rPr>
      </w:pPr>
    </w:p>
    <w:p w14:paraId="796FEB75"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Pr>
          <w:rFonts w:ascii="Palatino Linotype" w:eastAsia="Palatino Linotype" w:hAnsi="Palatino Linotype" w:cs="Palatino Linotype"/>
        </w:rPr>
        <w:lastRenderedPageBreak/>
        <w:t>artículo 179, fracción I,</w:t>
      </w:r>
      <w:r>
        <w:rPr>
          <w:rFonts w:ascii="Palatino Linotype" w:eastAsia="Palatino Linotype" w:hAnsi="Palatino Linotype" w:cs="Palatino Linotype"/>
          <w:b/>
        </w:rPr>
        <w:t xml:space="preserve"> </w:t>
      </w:r>
      <w:r>
        <w:rPr>
          <w:rFonts w:ascii="Palatino Linotype" w:eastAsia="Palatino Linotype" w:hAnsi="Palatino Linotype" w:cs="Palatino Linotype"/>
        </w:rPr>
        <w:t>de la Ley de Transparencia y Acceso a la Información Pública del Estado de</w:t>
      </w:r>
      <w:r>
        <w:rPr>
          <w:rFonts w:ascii="Palatino Linotype" w:eastAsia="Palatino Linotype" w:hAnsi="Palatino Linotype" w:cs="Palatino Linotype"/>
          <w:b/>
        </w:rPr>
        <w:t xml:space="preserv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relativa a la negativa a la información solicitada; </w:t>
      </w:r>
      <w:r>
        <w:rPr>
          <w:rFonts w:ascii="Palatino Linotype" w:eastAsia="Palatino Linotype" w:hAnsi="Palatino Linotype" w:cs="Palatino Linotype"/>
        </w:rPr>
        <w:t>contexto del cual se dolió el Recurrente al momento de impugnar el acto.</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señalada. </w:t>
      </w:r>
    </w:p>
    <w:p w14:paraId="55A8DC2B" w14:textId="77777777" w:rsidR="00D3619C" w:rsidRDefault="00D3619C">
      <w:pPr>
        <w:spacing w:line="360" w:lineRule="auto"/>
        <w:rPr>
          <w:rFonts w:ascii="Palatino Linotype" w:eastAsia="Palatino Linotype" w:hAnsi="Palatino Linotype" w:cs="Palatino Linotype"/>
        </w:rPr>
      </w:pPr>
    </w:p>
    <w:p w14:paraId="4A13306B" w14:textId="77777777" w:rsidR="00D3619C" w:rsidRDefault="00E12C32">
      <w:pPr>
        <w:pStyle w:val="Ttulo2"/>
        <w:spacing w:before="0" w:line="360" w:lineRule="auto"/>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t>CUARTA. Estudio de la controversia.</w:t>
      </w:r>
    </w:p>
    <w:p w14:paraId="5D3547B2"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600C54CC" w14:textId="77777777" w:rsidR="00D3619C" w:rsidRDefault="00D3619C">
      <w:pPr>
        <w:spacing w:line="360" w:lineRule="auto"/>
        <w:jc w:val="both"/>
        <w:rPr>
          <w:rFonts w:ascii="Palatino Linotype" w:eastAsia="Palatino Linotype" w:hAnsi="Palatino Linotype" w:cs="Palatino Linotype"/>
        </w:rPr>
      </w:pPr>
    </w:p>
    <w:p w14:paraId="541E0DD8"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005FB5A" w14:textId="77777777" w:rsidR="00D3619C" w:rsidRDefault="00D3619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088640B"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2B72C440" w14:textId="77777777" w:rsidR="00D3619C" w:rsidRDefault="00D3619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CDFA550" w14:textId="77777777" w:rsidR="00D3619C" w:rsidRDefault="00E12C32">
      <w:pPr>
        <w:numPr>
          <w:ilvl w:val="0"/>
          <w:numId w:val="2"/>
        </w:numPr>
        <w:pBdr>
          <w:top w:val="nil"/>
          <w:left w:val="nil"/>
          <w:bottom w:val="nil"/>
          <w:right w:val="nil"/>
          <w:between w:val="nil"/>
        </w:pBdr>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Del Sujeto Obligado.</w:t>
      </w:r>
    </w:p>
    <w:p w14:paraId="5AD5D4A3" w14:textId="77777777" w:rsidR="00D3619C" w:rsidRDefault="00E12C3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determinar la fuente obligacional del SUJETO OBLIGADO de generar, poseer y/o administrar, es necesario analizar el requerimiento planteado en la solicitud de acceso a la información, siendo que requirió información relativa ingresos autogenerados (recaudación municipal). </w:t>
      </w:r>
    </w:p>
    <w:p w14:paraId="584B64AE" w14:textId="77777777" w:rsidR="00D3619C" w:rsidRDefault="00D3619C">
      <w:pPr>
        <w:spacing w:line="360" w:lineRule="auto"/>
        <w:jc w:val="both"/>
        <w:rPr>
          <w:rFonts w:ascii="Palatino Linotype" w:eastAsia="Palatino Linotype" w:hAnsi="Palatino Linotype" w:cs="Palatino Linotype"/>
        </w:rPr>
      </w:pPr>
    </w:p>
    <w:p w14:paraId="5F623D87" w14:textId="77777777" w:rsidR="00D3619C" w:rsidRDefault="00E12C3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 importante señalar que la Hacienda Pública Municipal es el conjunto de rendimientos de los bienes que le pertenecen al municipio, y está conformada entre otros rubros, por las contribuciones y demás ingresos determinados en la Ley de Ingresos de los Municipios del Estado de México, los que decrete la Legislatura y otros que por cualquier título legal reciba, de conformidad con lo establecido en la Ley Orgánica Municipal del Estado de México, artículo 97, </w:t>
      </w:r>
      <w:r>
        <w:rPr>
          <w:rFonts w:ascii="Palatino Linotype" w:eastAsia="Palatino Linotype" w:hAnsi="Palatino Linotype" w:cs="Palatino Linotype"/>
        </w:rPr>
        <w:lastRenderedPageBreak/>
        <w:t>fracción V; Banco Municipal de Metepec, 2024, artículos 2, fracción XV y 31, fracción V.</w:t>
      </w:r>
    </w:p>
    <w:p w14:paraId="56DF4779" w14:textId="77777777" w:rsidR="00D3619C" w:rsidRDefault="00D3619C">
      <w:pPr>
        <w:spacing w:line="360" w:lineRule="auto"/>
        <w:jc w:val="both"/>
        <w:rPr>
          <w:rFonts w:ascii="Palatino Linotype" w:eastAsia="Palatino Linotype" w:hAnsi="Palatino Linotype" w:cs="Palatino Linotype"/>
        </w:rPr>
      </w:pPr>
    </w:p>
    <w:p w14:paraId="4EC5C838" w14:textId="77777777" w:rsidR="00D3619C" w:rsidRDefault="00E12C32">
      <w:pPr>
        <w:numPr>
          <w:ilvl w:val="0"/>
          <w:numId w:val="2"/>
        </w:numPr>
        <w:pBdr>
          <w:top w:val="nil"/>
          <w:left w:val="nil"/>
          <w:bottom w:val="nil"/>
          <w:right w:val="nil"/>
          <w:between w:val="nil"/>
        </w:pBdr>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la respuesta inicial e informe justificado.</w:t>
      </w:r>
    </w:p>
    <w:p w14:paraId="149EEF54"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 xml:space="preserve">De lo anterior, es dable señalar que la respuesta fue emitida por la unidad administrativa competente, a través del Servidor Público Habilitado de la </w:t>
      </w:r>
      <w:r>
        <w:rPr>
          <w:rFonts w:ascii="Palatino Linotype" w:eastAsia="Palatino Linotype" w:hAnsi="Palatino Linotype" w:cs="Palatino Linotype"/>
          <w:color w:val="000000"/>
        </w:rPr>
        <w:t>Tesorería Municipal.</w:t>
      </w:r>
    </w:p>
    <w:p w14:paraId="30501AF8" w14:textId="77777777" w:rsidR="00D3619C" w:rsidRDefault="00D3619C">
      <w:pPr>
        <w:spacing w:line="360" w:lineRule="auto"/>
        <w:jc w:val="both"/>
        <w:rPr>
          <w:rFonts w:ascii="Palatino Linotype" w:eastAsia="Palatino Linotype" w:hAnsi="Palatino Linotype" w:cs="Palatino Linotype"/>
        </w:rPr>
      </w:pPr>
    </w:p>
    <w:p w14:paraId="0C277171"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Establecido esto y atendiendo a que la controversia a resolver está estrictamente vinculada con la negativa a la información solicitada, se analizará lo requerido por el particular, ya señalado en el párrafo 22, y la respuesta proporcionada por el Sujeto Obligado.</w:t>
      </w:r>
    </w:p>
    <w:p w14:paraId="6037AB41" w14:textId="77777777" w:rsidR="00D3619C" w:rsidRDefault="00D3619C">
      <w:pPr>
        <w:spacing w:line="360" w:lineRule="auto"/>
        <w:jc w:val="both"/>
        <w:rPr>
          <w:rFonts w:ascii="Palatino Linotype" w:eastAsia="Palatino Linotype" w:hAnsi="Palatino Linotype" w:cs="Palatino Linotype"/>
        </w:rPr>
      </w:pPr>
    </w:p>
    <w:p w14:paraId="52B1C716"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En su respuesta primigenia el Sujeto Obligado manifestó haber hecho llegar la respuesta de la solicitud al correo electrónico proporcionado por el solicitante.</w:t>
      </w:r>
    </w:p>
    <w:p w14:paraId="092F751B" w14:textId="77777777" w:rsidR="00D3619C" w:rsidRDefault="00D3619C">
      <w:pPr>
        <w:spacing w:line="360" w:lineRule="auto"/>
        <w:jc w:val="both"/>
        <w:rPr>
          <w:rFonts w:ascii="Palatino Linotype" w:eastAsia="Palatino Linotype" w:hAnsi="Palatino Linotype" w:cs="Palatino Linotype"/>
        </w:rPr>
      </w:pPr>
    </w:p>
    <w:p w14:paraId="7CAC45AD"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Respuesta de la cual se dolió el recurrente al señalar, que después de revisar cada carpeta del correo electrónico no encontró respuesta alguna, por lo que solicitó se proporcionara la información requerida.</w:t>
      </w:r>
    </w:p>
    <w:p w14:paraId="77F9F8E0" w14:textId="77777777" w:rsidR="00D3619C" w:rsidRDefault="00D3619C">
      <w:pPr>
        <w:spacing w:line="360" w:lineRule="auto"/>
        <w:jc w:val="both"/>
        <w:rPr>
          <w:rFonts w:ascii="Palatino Linotype" w:eastAsia="Palatino Linotype" w:hAnsi="Palatino Linotype" w:cs="Palatino Linotype"/>
        </w:rPr>
      </w:pPr>
    </w:p>
    <w:p w14:paraId="4BCDB378" w14:textId="77777777" w:rsidR="00D3619C" w:rsidRDefault="00E12C32">
      <w:pPr>
        <w:numPr>
          <w:ilvl w:val="0"/>
          <w:numId w:val="1"/>
        </w:numPr>
        <w:spacing w:line="360" w:lineRule="auto"/>
        <w:ind w:left="0" w:firstLine="0"/>
        <w:jc w:val="both"/>
      </w:pPr>
      <w:r>
        <w:rPr>
          <w:rFonts w:ascii="Palatino Linotype" w:eastAsia="Palatino Linotype" w:hAnsi="Palatino Linotype" w:cs="Palatino Linotype"/>
        </w:rPr>
        <w:t xml:space="preserve">El veintinueve de abril y ocho de mayo de dos mil veinticuatro, el Sujeto Obligado rindió informe justificado en el que anexó diversos documentos, en lo que interesa al caso concreto, el oficio del Tesorero Municipal, en el que indica que después de una búsqueda exhaustiva en los archivos físicos y digitales que obran en </w:t>
      </w:r>
      <w:r>
        <w:rPr>
          <w:rFonts w:ascii="Palatino Linotype" w:eastAsia="Palatino Linotype" w:hAnsi="Palatino Linotype" w:cs="Palatino Linotype"/>
        </w:rPr>
        <w:lastRenderedPageBreak/>
        <w:t>la Tesorería Municipal, no se encontró información relacionada con la solicitud de información</w:t>
      </w:r>
    </w:p>
    <w:p w14:paraId="2D6AD371" w14:textId="77777777" w:rsidR="00D3619C" w:rsidRDefault="00D3619C">
      <w:pPr>
        <w:spacing w:line="360" w:lineRule="auto"/>
        <w:jc w:val="both"/>
        <w:rPr>
          <w:rFonts w:ascii="Palatino Linotype" w:eastAsia="Palatino Linotype" w:hAnsi="Palatino Linotype" w:cs="Palatino Linotype"/>
        </w:rPr>
      </w:pPr>
    </w:p>
    <w:p w14:paraId="763E6F83"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expuesto con antelación, es necesario traer a contexto la Ley Orgánica Municipal del Estado de México en el artículo 48, fracción IX, 93, 94, 95, fracciones I, II, IV, XI y XIII, 97, fracción V y 112, fracción XIV, los cuales disponen lo siguiente:</w:t>
      </w:r>
    </w:p>
    <w:p w14:paraId="5448F025" w14:textId="77777777" w:rsidR="00D3619C" w:rsidRDefault="00D3619C">
      <w:pPr>
        <w:pBdr>
          <w:top w:val="nil"/>
          <w:left w:val="nil"/>
          <w:bottom w:val="nil"/>
          <w:right w:val="nil"/>
          <w:between w:val="nil"/>
        </w:pBdr>
        <w:tabs>
          <w:tab w:val="left" w:pos="851"/>
        </w:tabs>
        <w:spacing w:line="276" w:lineRule="auto"/>
        <w:ind w:left="567" w:right="616"/>
        <w:jc w:val="center"/>
        <w:rPr>
          <w:rFonts w:ascii="Palatino Linotype" w:eastAsia="Palatino Linotype" w:hAnsi="Palatino Linotype" w:cs="Palatino Linotype"/>
          <w:b/>
          <w:i/>
          <w:color w:val="000000"/>
          <w:sz w:val="22"/>
          <w:szCs w:val="22"/>
        </w:rPr>
      </w:pPr>
    </w:p>
    <w:p w14:paraId="0D31A984" w14:textId="77777777" w:rsidR="00D3619C" w:rsidRDefault="00E12C32">
      <w:pPr>
        <w:pBdr>
          <w:top w:val="nil"/>
          <w:left w:val="nil"/>
          <w:bottom w:val="nil"/>
          <w:right w:val="nil"/>
          <w:between w:val="nil"/>
        </w:pBdr>
        <w:tabs>
          <w:tab w:val="left" w:pos="851"/>
        </w:tabs>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Orgánica Municipal del Estado de México</w:t>
      </w:r>
    </w:p>
    <w:p w14:paraId="4540D9E9" w14:textId="77777777" w:rsidR="00D3619C" w:rsidRDefault="00D3619C">
      <w:pPr>
        <w:pBdr>
          <w:top w:val="nil"/>
          <w:left w:val="nil"/>
          <w:bottom w:val="nil"/>
          <w:right w:val="nil"/>
          <w:between w:val="nil"/>
        </w:pBdr>
        <w:tabs>
          <w:tab w:val="left" w:pos="851"/>
        </w:tabs>
        <w:ind w:right="900"/>
        <w:jc w:val="center"/>
        <w:rPr>
          <w:rFonts w:ascii="Palatino Linotype" w:eastAsia="Palatino Linotype" w:hAnsi="Palatino Linotype" w:cs="Palatino Linotype"/>
          <w:b/>
          <w:i/>
          <w:color w:val="000000"/>
          <w:sz w:val="22"/>
          <w:szCs w:val="22"/>
        </w:rPr>
      </w:pPr>
    </w:p>
    <w:p w14:paraId="63F498E2" w14:textId="77777777" w:rsidR="00D3619C" w:rsidRDefault="00E12C32">
      <w:pPr>
        <w:pBdr>
          <w:top w:val="nil"/>
          <w:left w:val="nil"/>
          <w:bottom w:val="nil"/>
          <w:right w:val="nil"/>
          <w:between w:val="nil"/>
        </w:pBdr>
        <w:tabs>
          <w:tab w:val="left" w:pos="85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48.-</w:t>
      </w:r>
      <w:r>
        <w:rPr>
          <w:rFonts w:ascii="Palatino Linotype" w:eastAsia="Palatino Linotype" w:hAnsi="Palatino Linotype" w:cs="Palatino Linotype"/>
          <w:i/>
          <w:color w:val="000000"/>
          <w:sz w:val="22"/>
          <w:szCs w:val="22"/>
        </w:rPr>
        <w:t xml:space="preserve"> La persona titular de la presidencia municipal tiene las siguientes atribuciones:</w:t>
      </w:r>
    </w:p>
    <w:p w14:paraId="3999FCC1" w14:textId="77777777" w:rsidR="00D3619C" w:rsidRDefault="00E12C32">
      <w:pPr>
        <w:pBdr>
          <w:top w:val="nil"/>
          <w:left w:val="nil"/>
          <w:bottom w:val="nil"/>
          <w:right w:val="nil"/>
          <w:between w:val="nil"/>
        </w:pBdr>
        <w:tabs>
          <w:tab w:val="left" w:pos="85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3824C1B" w14:textId="77777777" w:rsidR="00D3619C" w:rsidRDefault="00E12C32">
      <w:pPr>
        <w:pBdr>
          <w:top w:val="nil"/>
          <w:left w:val="nil"/>
          <w:bottom w:val="nil"/>
          <w:right w:val="nil"/>
          <w:between w:val="nil"/>
        </w:pBdr>
        <w:tabs>
          <w:tab w:val="left" w:pos="85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w:t>
      </w:r>
      <w:r>
        <w:rPr>
          <w:rFonts w:ascii="Palatino Linotype" w:eastAsia="Palatino Linotype" w:hAnsi="Palatino Linotype" w:cs="Palatino Linotype"/>
          <w:i/>
          <w:color w:val="000000"/>
          <w:sz w:val="22"/>
          <w:szCs w:val="22"/>
        </w:rPr>
        <w:t xml:space="preserve"> Verificar que la recaudación de las contribuciones y demás ingresos propios del municipio se realicen conforme a las disposiciones legales aplicables;</w:t>
      </w:r>
    </w:p>
    <w:p w14:paraId="18AE9967" w14:textId="77777777" w:rsidR="00D3619C" w:rsidRDefault="00E12C32">
      <w:pPr>
        <w:pBdr>
          <w:top w:val="nil"/>
          <w:left w:val="nil"/>
          <w:bottom w:val="nil"/>
          <w:right w:val="nil"/>
          <w:between w:val="nil"/>
        </w:pBdr>
        <w:tabs>
          <w:tab w:val="left" w:pos="851"/>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D3FC5FA" w14:textId="77777777" w:rsidR="00D3619C" w:rsidRDefault="00D3619C">
      <w:pPr>
        <w:ind w:right="900"/>
        <w:rPr>
          <w:rFonts w:ascii="Palatino Linotype" w:eastAsia="Palatino Linotype" w:hAnsi="Palatino Linotype" w:cs="Palatino Linotype"/>
          <w:i/>
          <w:sz w:val="22"/>
          <w:szCs w:val="22"/>
        </w:rPr>
      </w:pPr>
    </w:p>
    <w:p w14:paraId="129B058E" w14:textId="77777777" w:rsidR="00D3619C" w:rsidRDefault="00E12C32">
      <w:pPr>
        <w:pBdr>
          <w:top w:val="nil"/>
          <w:left w:val="nil"/>
          <w:bottom w:val="nil"/>
          <w:right w:val="nil"/>
          <w:between w:val="nil"/>
        </w:pBdr>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CAPITULO SEGUNDO</w:t>
      </w:r>
    </w:p>
    <w:p w14:paraId="6030C444" w14:textId="77777777" w:rsidR="00D3619C" w:rsidRDefault="00E12C32">
      <w:pPr>
        <w:pBdr>
          <w:top w:val="nil"/>
          <w:left w:val="nil"/>
          <w:bottom w:val="nil"/>
          <w:right w:val="nil"/>
          <w:between w:val="nil"/>
        </w:pBdr>
        <w:ind w:left="1134"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la Tesorería Municipal</w:t>
      </w:r>
    </w:p>
    <w:p w14:paraId="49E660EF"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14:paraId="262190CF" w14:textId="77777777" w:rsidR="00D3619C" w:rsidRDefault="00D3619C">
      <w:pPr>
        <w:tabs>
          <w:tab w:val="left" w:pos="851"/>
        </w:tabs>
        <w:ind w:left="1134" w:right="900"/>
        <w:jc w:val="both"/>
        <w:rPr>
          <w:rFonts w:ascii="Palatino Linotype" w:eastAsia="Palatino Linotype" w:hAnsi="Palatino Linotype" w:cs="Palatino Linotype"/>
          <w:i/>
          <w:sz w:val="22"/>
          <w:szCs w:val="22"/>
        </w:rPr>
      </w:pPr>
    </w:p>
    <w:p w14:paraId="70BD22D3"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94.-</w:t>
      </w:r>
      <w:r>
        <w:rPr>
          <w:rFonts w:ascii="Palatino Linotype" w:eastAsia="Palatino Linotype" w:hAnsi="Palatino Linotype" w:cs="Palatino Linotype"/>
          <w:i/>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22EDD963" w14:textId="77777777" w:rsidR="00D3619C" w:rsidRDefault="00D3619C">
      <w:pPr>
        <w:tabs>
          <w:tab w:val="left" w:pos="851"/>
        </w:tabs>
        <w:ind w:left="1134" w:right="900"/>
        <w:jc w:val="both"/>
        <w:rPr>
          <w:rFonts w:ascii="Palatino Linotype" w:eastAsia="Palatino Linotype" w:hAnsi="Palatino Linotype" w:cs="Palatino Linotype"/>
          <w:i/>
          <w:sz w:val="22"/>
          <w:szCs w:val="22"/>
        </w:rPr>
      </w:pPr>
    </w:p>
    <w:p w14:paraId="19B971A0"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 Son atribuciones del tesorero municipal:</w:t>
      </w:r>
    </w:p>
    <w:p w14:paraId="7A48C59D"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Administrar la hacienda pública municipal, de conformidad con las disposiciones legales aplicables; </w:t>
      </w:r>
    </w:p>
    <w:p w14:paraId="54D2049B"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14:paraId="18078FCB"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75241E48"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Llevar los registros contables, financieros y administrativos de los ingresos, egresos, e inventarios;</w:t>
      </w:r>
    </w:p>
    <w:p w14:paraId="05AAB190"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6A891B"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Proponer la política de ingresos de la tesorería municipal;</w:t>
      </w:r>
    </w:p>
    <w:p w14:paraId="121A6F3C"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B29FA89"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Elaborar y mantener actualizado el Padrón de Contribuyentes;</w:t>
      </w:r>
    </w:p>
    <w:p w14:paraId="347D1F6B"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F2B0C33" w14:textId="77777777" w:rsidR="00D3619C" w:rsidRDefault="00D3619C">
      <w:pPr>
        <w:tabs>
          <w:tab w:val="left" w:pos="851"/>
        </w:tabs>
        <w:ind w:left="1134" w:right="900"/>
        <w:jc w:val="both"/>
        <w:rPr>
          <w:rFonts w:ascii="Palatino Linotype" w:eastAsia="Palatino Linotype" w:hAnsi="Palatino Linotype" w:cs="Palatino Linotype"/>
          <w:i/>
          <w:sz w:val="22"/>
          <w:szCs w:val="22"/>
        </w:rPr>
      </w:pPr>
    </w:p>
    <w:p w14:paraId="717FC4D2" w14:textId="77777777" w:rsidR="00D3619C" w:rsidRDefault="00E12C32">
      <w:pPr>
        <w:tabs>
          <w:tab w:val="left" w:pos="851"/>
        </w:tabs>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CAPITULO TERCERO</w:t>
      </w:r>
    </w:p>
    <w:p w14:paraId="4DAEAEF7" w14:textId="77777777" w:rsidR="00D3619C" w:rsidRDefault="00E12C32">
      <w:pPr>
        <w:tabs>
          <w:tab w:val="left" w:pos="851"/>
        </w:tabs>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Hacienda Pública Municipal</w:t>
      </w:r>
    </w:p>
    <w:p w14:paraId="417B0B2E"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La hacienda pública municipal se integra por:</w:t>
      </w:r>
    </w:p>
    <w:p w14:paraId="2868A832"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20960C0"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Las contribuciones y demás ingresos determinados en la Ley de Ingresos de los Municipios, los que decrete la Legislatura y otros que por cualquier título legal reciba;</w:t>
      </w:r>
    </w:p>
    <w:p w14:paraId="4CD196BE"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F90CD91" w14:textId="77777777" w:rsidR="00D3619C" w:rsidRDefault="00D3619C">
      <w:pPr>
        <w:tabs>
          <w:tab w:val="left" w:pos="851"/>
        </w:tabs>
        <w:ind w:left="1134" w:right="900"/>
        <w:jc w:val="both"/>
        <w:rPr>
          <w:rFonts w:ascii="Palatino Linotype" w:eastAsia="Palatino Linotype" w:hAnsi="Palatino Linotype" w:cs="Palatino Linotype"/>
          <w:i/>
          <w:sz w:val="22"/>
          <w:szCs w:val="22"/>
        </w:rPr>
      </w:pPr>
    </w:p>
    <w:p w14:paraId="112B05A7" w14:textId="77777777" w:rsidR="00D3619C" w:rsidRDefault="00E12C32">
      <w:pPr>
        <w:tabs>
          <w:tab w:val="left" w:pos="851"/>
        </w:tabs>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CAPITULO CUARTO</w:t>
      </w:r>
    </w:p>
    <w:p w14:paraId="3A848034" w14:textId="77777777" w:rsidR="00D3619C" w:rsidRDefault="00E12C32">
      <w:pPr>
        <w:tabs>
          <w:tab w:val="left" w:pos="851"/>
        </w:tabs>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Contraloría Municipal</w:t>
      </w:r>
    </w:p>
    <w:p w14:paraId="08372F00" w14:textId="77777777" w:rsidR="00D3619C" w:rsidRDefault="00D3619C">
      <w:pPr>
        <w:tabs>
          <w:tab w:val="left" w:pos="851"/>
        </w:tabs>
        <w:ind w:left="1134" w:right="900"/>
        <w:jc w:val="both"/>
        <w:rPr>
          <w:rFonts w:ascii="Palatino Linotype" w:eastAsia="Palatino Linotype" w:hAnsi="Palatino Linotype" w:cs="Palatino Linotype"/>
          <w:b/>
          <w:i/>
          <w:sz w:val="22"/>
          <w:szCs w:val="22"/>
        </w:rPr>
      </w:pPr>
    </w:p>
    <w:p w14:paraId="4812B9E3"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112.</w:t>
      </w:r>
      <w:r>
        <w:rPr>
          <w:rFonts w:ascii="Palatino Linotype" w:eastAsia="Palatino Linotype" w:hAnsi="Palatino Linotype" w:cs="Palatino Linotype"/>
          <w:i/>
          <w:sz w:val="22"/>
          <w:szCs w:val="22"/>
        </w:rPr>
        <w:t xml:space="preserve"> El órgano interno de control municipal, tendrá a su cargo las funciones siguientes:</w:t>
      </w:r>
    </w:p>
    <w:p w14:paraId="11721DB9"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1EAF708"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XIV.</w:t>
      </w:r>
      <w:r>
        <w:rPr>
          <w:rFonts w:ascii="Palatino Linotype" w:eastAsia="Palatino Linotype" w:hAnsi="Palatino Linotype" w:cs="Palatino Linotype"/>
          <w:i/>
          <w:sz w:val="22"/>
          <w:szCs w:val="22"/>
        </w:rPr>
        <w:t xml:space="preserve"> Vigilar que los ingresos municipales se enteren a la tesorería municipal conforme a los procedimientos contables y disposiciones legales aplicables;</w:t>
      </w:r>
    </w:p>
    <w:p w14:paraId="0E13C9EC" w14:textId="77777777" w:rsidR="00D3619C" w:rsidRDefault="00E12C32">
      <w:pPr>
        <w:tabs>
          <w:tab w:val="left" w:pos="851"/>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836184F" w14:textId="77777777" w:rsidR="00D3619C" w:rsidRDefault="00D3619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E4F63AB"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interpretación armónica y progresiva de los preceptos legales citados, se tiene que la hacienda municipal de los Ayuntamientos se integra, entre otros elementos, por las contribuciones e ingresos determinados en la Ley de Ingresos de los Municipios, asimismo, la atribución de administrar correctamente dicha hacienda municipal está a cargo de un Tesorero, además, le compete al Órgano de Control Interno vigilar que los ingresos municipales se integren a la Tesorería.</w:t>
      </w:r>
    </w:p>
    <w:p w14:paraId="06AF7037" w14:textId="77777777" w:rsidR="00D3619C" w:rsidRDefault="00D3619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370A056"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su parte, la Ley de Ingresos de los Municipios del Estado de México para el ejercicio fiscal 2024 en el artículo 1 contiene lo siguiente:</w:t>
      </w:r>
    </w:p>
    <w:p w14:paraId="62C3B91D" w14:textId="77777777" w:rsidR="00D3619C" w:rsidRDefault="00D3619C">
      <w:pPr>
        <w:pBdr>
          <w:top w:val="nil"/>
          <w:left w:val="nil"/>
          <w:bottom w:val="nil"/>
          <w:right w:val="nil"/>
          <w:between w:val="nil"/>
        </w:pBdr>
        <w:tabs>
          <w:tab w:val="left" w:pos="851"/>
        </w:tabs>
        <w:spacing w:line="360" w:lineRule="auto"/>
        <w:ind w:left="567" w:right="616"/>
        <w:jc w:val="both"/>
        <w:rPr>
          <w:rFonts w:ascii="Palatino Linotype" w:eastAsia="Palatino Linotype" w:hAnsi="Palatino Linotype" w:cs="Palatino Linotype"/>
          <w:color w:val="000000"/>
          <w:sz w:val="22"/>
          <w:szCs w:val="22"/>
        </w:rPr>
      </w:pPr>
    </w:p>
    <w:p w14:paraId="09A17E61" w14:textId="77777777" w:rsidR="00D3619C" w:rsidRDefault="00E12C32">
      <w:pPr>
        <w:pBdr>
          <w:top w:val="nil"/>
          <w:left w:val="nil"/>
          <w:bottom w:val="nil"/>
          <w:right w:val="nil"/>
          <w:between w:val="nil"/>
        </w:pBdr>
        <w:tabs>
          <w:tab w:val="left" w:pos="851"/>
        </w:tabs>
        <w:ind w:left="1134"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DE INGRESOS DE LOS MUNICIPIOS DEL ESTADO DE MÉXICO</w:t>
      </w:r>
    </w:p>
    <w:p w14:paraId="137A17D9" w14:textId="77777777" w:rsidR="00D3619C" w:rsidRDefault="00E12C32">
      <w:pPr>
        <w:pBdr>
          <w:top w:val="nil"/>
          <w:left w:val="nil"/>
          <w:bottom w:val="nil"/>
          <w:right w:val="nil"/>
          <w:between w:val="nil"/>
        </w:pBdr>
        <w:tabs>
          <w:tab w:val="left" w:pos="851"/>
        </w:tabs>
        <w:ind w:left="1134"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PARA EL EJERCICIO FISCAL 2024</w:t>
      </w:r>
    </w:p>
    <w:p w14:paraId="4DF193AF" w14:textId="77777777" w:rsidR="00D3619C" w:rsidRDefault="00E12C32">
      <w:pPr>
        <w:pBdr>
          <w:top w:val="nil"/>
          <w:left w:val="nil"/>
          <w:bottom w:val="nil"/>
          <w:right w:val="nil"/>
          <w:between w:val="nil"/>
        </w:pBdr>
        <w:tabs>
          <w:tab w:val="left" w:pos="851"/>
        </w:tabs>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1.- </w:t>
      </w:r>
      <w:r>
        <w:rPr>
          <w:rFonts w:ascii="Palatino Linotype" w:eastAsia="Palatino Linotype" w:hAnsi="Palatino Linotype" w:cs="Palatino Linotype"/>
          <w:i/>
          <w:color w:val="000000"/>
          <w:sz w:val="22"/>
          <w:szCs w:val="22"/>
        </w:rPr>
        <w:t>La hacienda pública de los municipios del Estado de México, percibirá durante el Ejercicio Fiscal 2024, los ingresos provenientes de los conceptos que a continuación</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se enumeran:</w:t>
      </w:r>
    </w:p>
    <w:p w14:paraId="47BB6EB9" w14:textId="77777777" w:rsidR="00D3619C" w:rsidRDefault="00D3619C">
      <w:pPr>
        <w:tabs>
          <w:tab w:val="left" w:pos="851"/>
        </w:tabs>
        <w:ind w:right="902"/>
        <w:jc w:val="both"/>
        <w:rPr>
          <w:rFonts w:ascii="Palatino Linotype" w:eastAsia="Palatino Linotype" w:hAnsi="Palatino Linotype" w:cs="Palatino Linotype"/>
        </w:rPr>
      </w:pPr>
    </w:p>
    <w:p w14:paraId="7C939A5A" w14:textId="77777777" w:rsidR="00D3619C" w:rsidRDefault="00E12C32">
      <w:pPr>
        <w:tabs>
          <w:tab w:val="left" w:pos="851"/>
        </w:tabs>
        <w:ind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09B01DD1" wp14:editId="447499A4">
            <wp:extent cx="5612130" cy="478726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4787265"/>
                    </a:xfrm>
                    <a:prstGeom prst="rect">
                      <a:avLst/>
                    </a:prstGeom>
                    <a:ln/>
                  </pic:spPr>
                </pic:pic>
              </a:graphicData>
            </a:graphic>
          </wp:inline>
        </w:drawing>
      </w:r>
    </w:p>
    <w:p w14:paraId="45956528"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483703B1" wp14:editId="01957259">
            <wp:extent cx="5612130" cy="628459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6284595"/>
                    </a:xfrm>
                    <a:prstGeom prst="rect">
                      <a:avLst/>
                    </a:prstGeom>
                    <a:ln/>
                  </pic:spPr>
                </pic:pic>
              </a:graphicData>
            </a:graphic>
          </wp:inline>
        </w:drawing>
      </w:r>
    </w:p>
    <w:p w14:paraId="0F56901E"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D507A06" wp14:editId="73663323">
            <wp:extent cx="5612130" cy="626999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6269990"/>
                    </a:xfrm>
                    <a:prstGeom prst="rect">
                      <a:avLst/>
                    </a:prstGeom>
                    <a:ln/>
                  </pic:spPr>
                </pic:pic>
              </a:graphicData>
            </a:graphic>
          </wp:inline>
        </w:drawing>
      </w:r>
    </w:p>
    <w:p w14:paraId="06E3878C"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2C4ADCB" wp14:editId="3E4C03C3">
            <wp:extent cx="5612130" cy="634746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6347460"/>
                    </a:xfrm>
                    <a:prstGeom prst="rect">
                      <a:avLst/>
                    </a:prstGeom>
                    <a:ln/>
                  </pic:spPr>
                </pic:pic>
              </a:graphicData>
            </a:graphic>
          </wp:inline>
        </w:drawing>
      </w:r>
    </w:p>
    <w:p w14:paraId="61D3C59F"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05392077" wp14:editId="7B9F39C9">
            <wp:extent cx="5612130" cy="67437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6743700"/>
                    </a:xfrm>
                    <a:prstGeom prst="rect">
                      <a:avLst/>
                    </a:prstGeom>
                    <a:ln/>
                  </pic:spPr>
                </pic:pic>
              </a:graphicData>
            </a:graphic>
          </wp:inline>
        </w:drawing>
      </w:r>
    </w:p>
    <w:p w14:paraId="145154B5"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2678DBF1" wp14:editId="059A7336">
            <wp:extent cx="5612130" cy="662305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6623050"/>
                    </a:xfrm>
                    <a:prstGeom prst="rect">
                      <a:avLst/>
                    </a:prstGeom>
                    <a:ln/>
                  </pic:spPr>
                </pic:pic>
              </a:graphicData>
            </a:graphic>
          </wp:inline>
        </w:drawing>
      </w:r>
    </w:p>
    <w:p w14:paraId="0F2B6578" w14:textId="77777777" w:rsidR="00D3619C" w:rsidRDefault="00D3619C">
      <w:pPr>
        <w:spacing w:line="360" w:lineRule="auto"/>
        <w:jc w:val="center"/>
        <w:rPr>
          <w:rFonts w:ascii="Palatino Linotype" w:eastAsia="Palatino Linotype" w:hAnsi="Palatino Linotype" w:cs="Palatino Linotype"/>
        </w:rPr>
      </w:pPr>
    </w:p>
    <w:p w14:paraId="0EE06B89"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11429D1C" wp14:editId="43920161">
            <wp:extent cx="5612130" cy="685419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612130" cy="6854190"/>
                    </a:xfrm>
                    <a:prstGeom prst="rect">
                      <a:avLst/>
                    </a:prstGeom>
                    <a:ln/>
                  </pic:spPr>
                </pic:pic>
              </a:graphicData>
            </a:graphic>
          </wp:inline>
        </w:drawing>
      </w:r>
    </w:p>
    <w:p w14:paraId="528A306C" w14:textId="77777777" w:rsidR="00D3619C" w:rsidRDefault="00D3619C">
      <w:pPr>
        <w:spacing w:line="360" w:lineRule="auto"/>
        <w:jc w:val="center"/>
        <w:rPr>
          <w:rFonts w:ascii="Palatino Linotype" w:eastAsia="Palatino Linotype" w:hAnsi="Palatino Linotype" w:cs="Palatino Linotype"/>
        </w:rPr>
      </w:pPr>
    </w:p>
    <w:p w14:paraId="1A708E48" w14:textId="77777777" w:rsidR="00D3619C" w:rsidRDefault="00E12C3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534BC7A5" wp14:editId="1D36E3E1">
            <wp:extent cx="5612130" cy="492633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4926330"/>
                    </a:xfrm>
                    <a:prstGeom prst="rect">
                      <a:avLst/>
                    </a:prstGeom>
                    <a:ln/>
                  </pic:spPr>
                </pic:pic>
              </a:graphicData>
            </a:graphic>
          </wp:inline>
        </w:drawing>
      </w:r>
    </w:p>
    <w:p w14:paraId="6B0F1AF9" w14:textId="77777777" w:rsidR="00D3619C" w:rsidRDefault="00D3619C">
      <w:pPr>
        <w:spacing w:line="360" w:lineRule="auto"/>
        <w:rPr>
          <w:rFonts w:ascii="Palatino Linotype" w:eastAsia="Palatino Linotype" w:hAnsi="Palatino Linotype" w:cs="Palatino Linotype"/>
        </w:rPr>
      </w:pPr>
    </w:p>
    <w:p w14:paraId="3D8AB2DA"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anteriores conceptos corresponden a todos los ingresos por los cuales los Ayuntamientos pueden obtener recursos públicos.</w:t>
      </w:r>
    </w:p>
    <w:p w14:paraId="0CFC1A5C" w14:textId="77777777" w:rsidR="00D3619C" w:rsidRDefault="00D3619C">
      <w:pPr>
        <w:spacing w:line="360" w:lineRule="auto"/>
        <w:rPr>
          <w:rFonts w:ascii="Palatino Linotype" w:eastAsia="Palatino Linotype" w:hAnsi="Palatino Linotype" w:cs="Palatino Linotype"/>
        </w:rPr>
      </w:pPr>
    </w:p>
    <w:p w14:paraId="3E8BE1A3" w14:textId="77777777" w:rsidR="00D3619C" w:rsidRDefault="00E12C3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 Ley de Transparencia y Acceso a la Información del Estado de México y Municipios, en los artículos 4 y 12 establecen los siguiente:</w:t>
      </w:r>
    </w:p>
    <w:p w14:paraId="175BF61F" w14:textId="77777777" w:rsidR="00D3619C" w:rsidRDefault="00D3619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3DFDB6D0" w14:textId="77777777" w:rsidR="00D3619C" w:rsidRDefault="00E12C32">
      <w:pPr>
        <w:tabs>
          <w:tab w:val="left" w:pos="7938"/>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95B2234" w14:textId="77777777" w:rsidR="00D3619C" w:rsidRDefault="00D3619C">
      <w:pPr>
        <w:tabs>
          <w:tab w:val="left" w:pos="7938"/>
        </w:tabs>
        <w:ind w:left="1134" w:right="900"/>
        <w:jc w:val="both"/>
        <w:rPr>
          <w:rFonts w:ascii="Palatino Linotype" w:eastAsia="Palatino Linotype" w:hAnsi="Palatino Linotype" w:cs="Palatino Linotype"/>
          <w:i/>
          <w:sz w:val="22"/>
          <w:szCs w:val="22"/>
        </w:rPr>
      </w:pPr>
    </w:p>
    <w:p w14:paraId="483BFA29" w14:textId="77777777" w:rsidR="00D3619C" w:rsidRDefault="00E12C32">
      <w:pPr>
        <w:tabs>
          <w:tab w:val="left" w:pos="7938"/>
        </w:tabs>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Pr>
          <w:rFonts w:ascii="Palatino Linotype" w:eastAsia="Palatino Linotype" w:hAnsi="Palatino Linotype" w:cs="Palatino Linotype"/>
          <w:b/>
          <w:i/>
          <w:color w:val="000000"/>
          <w:sz w:val="22"/>
          <w:szCs w:val="22"/>
        </w:rPr>
        <w:t>mexicano</w:t>
      </w:r>
      <w:r>
        <w:rPr>
          <w:rFonts w:ascii="Palatino Linotype" w:eastAsia="Palatino Linotype" w:hAnsi="Palatino Linotype" w:cs="Palatino Linotype"/>
          <w:b/>
          <w:i/>
          <w:sz w:val="22"/>
          <w:szCs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FF8C57F" w14:textId="77777777" w:rsidR="00D3619C" w:rsidRDefault="00D3619C">
      <w:pPr>
        <w:tabs>
          <w:tab w:val="left" w:pos="7938"/>
        </w:tabs>
        <w:ind w:left="1134" w:right="900"/>
        <w:jc w:val="both"/>
        <w:rPr>
          <w:rFonts w:ascii="Palatino Linotype" w:eastAsia="Palatino Linotype" w:hAnsi="Palatino Linotype" w:cs="Palatino Linotype"/>
          <w:b/>
          <w:i/>
          <w:sz w:val="22"/>
          <w:szCs w:val="22"/>
        </w:rPr>
      </w:pPr>
    </w:p>
    <w:p w14:paraId="45BD615E" w14:textId="77777777" w:rsidR="00D3619C" w:rsidRDefault="00E12C32">
      <w:pPr>
        <w:tabs>
          <w:tab w:val="left" w:pos="7938"/>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que se apeguen a criterios de publicidad, veracidad, oportunidad, precisión y suficiencia en beneficio de los solicitantes.”</w:t>
      </w:r>
    </w:p>
    <w:p w14:paraId="0D4D30E3" w14:textId="77777777" w:rsidR="00D3619C" w:rsidRDefault="00E12C32">
      <w:pPr>
        <w:tabs>
          <w:tab w:val="left" w:pos="7938"/>
        </w:tabs>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55930DB" w14:textId="77777777" w:rsidR="00D3619C" w:rsidRDefault="00D3619C">
      <w:pPr>
        <w:tabs>
          <w:tab w:val="left" w:pos="7938"/>
        </w:tabs>
        <w:ind w:left="1134" w:right="900"/>
        <w:jc w:val="both"/>
        <w:rPr>
          <w:rFonts w:ascii="Palatino Linotype" w:eastAsia="Palatino Linotype" w:hAnsi="Palatino Linotype" w:cs="Palatino Linotype"/>
          <w:i/>
          <w:sz w:val="22"/>
          <w:szCs w:val="22"/>
        </w:rPr>
      </w:pPr>
    </w:p>
    <w:p w14:paraId="29B42AD6" w14:textId="77777777" w:rsidR="00D3619C" w:rsidRDefault="00E12C32">
      <w:pPr>
        <w:tabs>
          <w:tab w:val="left" w:pos="7938"/>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serán responsables de la misma en los términos de las disposiciones jurídicas </w:t>
      </w:r>
      <w:r>
        <w:rPr>
          <w:rFonts w:ascii="Palatino Linotype" w:eastAsia="Palatino Linotype" w:hAnsi="Palatino Linotype" w:cs="Palatino Linotype"/>
          <w:i/>
          <w:color w:val="000000"/>
          <w:sz w:val="22"/>
          <w:szCs w:val="22"/>
        </w:rPr>
        <w:t>aplicables</w:t>
      </w:r>
      <w:r>
        <w:rPr>
          <w:rFonts w:ascii="Palatino Linotype" w:eastAsia="Palatino Linotype" w:hAnsi="Palatino Linotype" w:cs="Palatino Linotype"/>
          <w:i/>
          <w:sz w:val="22"/>
          <w:szCs w:val="22"/>
        </w:rPr>
        <w:t xml:space="preserve">. </w:t>
      </w:r>
    </w:p>
    <w:p w14:paraId="7FDC0F15" w14:textId="77777777" w:rsidR="00D3619C" w:rsidRDefault="00E12C32">
      <w:pPr>
        <w:tabs>
          <w:tab w:val="left" w:pos="7938"/>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sujetos obligados sólo proporcionarán la información pública que se les requiera y que obre en sus archivos</w:t>
      </w:r>
      <w:r>
        <w:rPr>
          <w:rFonts w:ascii="Palatino Linotype" w:eastAsia="Palatino Linotype" w:hAnsi="Palatino Linotype" w:cs="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3B9370" w14:textId="77777777" w:rsidR="00D3619C" w:rsidRDefault="00E12C32">
      <w:pPr>
        <w:tabs>
          <w:tab w:val="left" w:pos="7938"/>
        </w:tabs>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6093FE6F" w14:textId="77777777" w:rsidR="00D3619C" w:rsidRDefault="00D3619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2894E4DB" w14:textId="77777777" w:rsidR="00D3619C" w:rsidRDefault="00E12C3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731C7B0D" w14:textId="77777777" w:rsidR="00D3619C" w:rsidRDefault="00D3619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26A9853B" w14:textId="77777777" w:rsidR="00D3619C" w:rsidRDefault="00E12C3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que se señala en la solicitud de información pública; esto es, que no tienen el deber de generar un documento </w:t>
      </w:r>
      <w:r>
        <w:rPr>
          <w:rFonts w:ascii="Palatino Linotype" w:eastAsia="Palatino Linotype" w:hAnsi="Palatino Linotype" w:cs="Palatino Linotype"/>
          <w:b/>
          <w:i/>
          <w:color w:val="000000"/>
        </w:rPr>
        <w:t>ad hoc</w:t>
      </w:r>
      <w:r>
        <w:rPr>
          <w:rFonts w:ascii="Palatino Linotype" w:eastAsia="Palatino Linotype" w:hAnsi="Palatino Linotype" w:cs="Palatino Linotype"/>
          <w:color w:val="000000"/>
        </w:rPr>
        <w:t>, para satisfacer el derecho de acceso a la información pública.</w:t>
      </w:r>
    </w:p>
    <w:p w14:paraId="5068E44D" w14:textId="77777777" w:rsidR="00D3619C" w:rsidRDefault="00D3619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30B3CD4" w14:textId="77777777" w:rsidR="00D3619C" w:rsidRDefault="00E12C3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apoyo a lo anterior, es aplicable el Criterio 09-10, emitido por el Pleno del entonces Instituto Federal de Acceso a la Información y Protección de Datos (IFAI), ahora Instituto Nacional de Transparencia, Acceso a la Información y Protección de Datos Personales (INAI), que dice:</w:t>
      </w:r>
      <w:r>
        <w:rPr>
          <w:rFonts w:ascii="Palatino Linotype" w:eastAsia="Palatino Linotype" w:hAnsi="Palatino Linotype" w:cs="Palatino Linotype"/>
          <w:b/>
          <w:color w:val="000000"/>
        </w:rPr>
        <w:t xml:space="preserve"> </w:t>
      </w:r>
    </w:p>
    <w:p w14:paraId="41298F92" w14:textId="77777777" w:rsidR="00D3619C" w:rsidRDefault="00D3619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75A5DC"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668D040"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Expedientes:</w:t>
      </w:r>
    </w:p>
    <w:p w14:paraId="1E09ED4F"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0438/08 Pemex Exploración y Producción – Alonso Lujambio Irazábal</w:t>
      </w:r>
    </w:p>
    <w:p w14:paraId="7DE1C32A"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1751/09 Laboratorios de Biológicos y Reactivos de México S.A. de C.V. – María Marván Laborde</w:t>
      </w:r>
    </w:p>
    <w:p w14:paraId="59092FCC"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2868/09 Consejo Nacional de Ciencia y Tecnología – Jacqueline Peschard Mariscal</w:t>
      </w:r>
    </w:p>
    <w:p w14:paraId="507B8398"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5160/09 Secretaría de Hacienda y Crédito Público – Ángel Trinidad Zaldívar</w:t>
      </w:r>
    </w:p>
    <w:p w14:paraId="2D7439EF" w14:textId="77777777" w:rsidR="00D3619C" w:rsidRDefault="00E12C3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0304/10 Instituto Nacional de Cancerología – Jacqueline Peschard Mariscal”</w:t>
      </w:r>
    </w:p>
    <w:p w14:paraId="5EDF45E3" w14:textId="77777777" w:rsidR="00D3619C" w:rsidRDefault="00E12C32">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3688FAEB" w14:textId="77777777" w:rsidR="00D3619C" w:rsidRDefault="00D3619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0EE0F6" w14:textId="77777777" w:rsidR="00D3619C" w:rsidRDefault="00E12C3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ley no prevé la elaboración de documentos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la atención a las solicitudes de acceso a la información pública, por lo que los Sujetos Obligados deben proporcionar la información que obre en sus archivos en el estado en que se encuentre, sin la necesidad de realizar generarla, resumirla, efectuar cálculos o practicar investigaciones. </w:t>
      </w:r>
    </w:p>
    <w:p w14:paraId="15D9242C" w14:textId="77777777" w:rsidR="00D3619C" w:rsidRDefault="00D3619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464D678D" w14:textId="77777777" w:rsidR="00D3619C" w:rsidRDefault="00E12C3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a través de la Tesorera Municipal,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refirió que después de una búsqueda exhaustiva en los archivos físicos y digitales que obran en la Tesorería Municipal, no se encontró información relacionada con la solicitud de información interpuesta.</w:t>
      </w:r>
    </w:p>
    <w:p w14:paraId="228A7593" w14:textId="77777777" w:rsidR="00D3619C" w:rsidRDefault="00D3619C">
      <w:pPr>
        <w:spacing w:line="360" w:lineRule="auto"/>
        <w:ind w:left="360"/>
        <w:jc w:val="both"/>
        <w:rPr>
          <w:rFonts w:ascii="Palatino Linotype" w:eastAsia="Palatino Linotype" w:hAnsi="Palatino Linotype" w:cs="Palatino Linotype"/>
        </w:rPr>
      </w:pPr>
    </w:p>
    <w:p w14:paraId="34CD4AB7"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De lo anterior,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genera, administra y posee la información relacionada con los ingresos propios, por lo que se ORDENA entregar el documento donde conste dicha información.</w:t>
      </w:r>
    </w:p>
    <w:p w14:paraId="42B81ECE" w14:textId="77777777" w:rsidR="00D3619C" w:rsidRDefault="00D3619C">
      <w:pPr>
        <w:spacing w:line="360" w:lineRule="auto"/>
        <w:jc w:val="both"/>
        <w:rPr>
          <w:rFonts w:ascii="Palatino Linotype" w:eastAsia="Palatino Linotype" w:hAnsi="Palatino Linotype" w:cs="Palatino Linotype"/>
        </w:rPr>
      </w:pPr>
    </w:p>
    <w:p w14:paraId="2C8293E3" w14:textId="77777777" w:rsidR="00D3619C" w:rsidRDefault="00E12C3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rPr>
      </w:pPr>
      <w:bookmarkStart w:id="8" w:name="_heading=h.4d34og8" w:colFirst="0" w:colLast="0"/>
      <w:bookmarkEnd w:id="8"/>
      <w:r>
        <w:rPr>
          <w:rFonts w:ascii="Palatino Linotype" w:eastAsia="Palatino Linotype" w:hAnsi="Palatino Linotype" w:cs="Palatino Linotype"/>
          <w:b/>
          <w:color w:val="000000"/>
        </w:rPr>
        <w:t>QUINTA. De la versión pública.</w:t>
      </w:r>
    </w:p>
    <w:p w14:paraId="28703725" w14:textId="77777777" w:rsidR="00D3619C" w:rsidRDefault="00D3619C">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rPr>
      </w:pPr>
    </w:p>
    <w:p w14:paraId="74004B73" w14:textId="77777777" w:rsidR="00D3619C" w:rsidRDefault="00E12C32">
      <w:pPr>
        <w:numPr>
          <w:ilvl w:val="0"/>
          <w:numId w:val="6"/>
        </w:numPr>
        <w:pBdr>
          <w:top w:val="nil"/>
          <w:left w:val="nil"/>
          <w:bottom w:val="nil"/>
          <w:right w:val="nil"/>
          <w:between w:val="nil"/>
        </w:pBdr>
        <w:tabs>
          <w:tab w:val="left" w:pos="851"/>
        </w:tabs>
        <w:spacing w:line="360" w:lineRule="auto"/>
        <w:ind w:left="426" w:right="49"/>
        <w:jc w:val="both"/>
        <w:rPr>
          <w:rFonts w:ascii="Palatino Linotype" w:eastAsia="Palatino Linotype" w:hAnsi="Palatino Linotype" w:cs="Palatino Linotype"/>
          <w:b/>
          <w:color w:val="000000"/>
        </w:rPr>
      </w:pPr>
      <w:bookmarkStart w:id="9" w:name="_heading=h.2s8eyo1" w:colFirst="0" w:colLast="0"/>
      <w:bookmarkEnd w:id="9"/>
      <w:r>
        <w:rPr>
          <w:rFonts w:ascii="Palatino Linotype" w:eastAsia="Palatino Linotype" w:hAnsi="Palatino Linotype" w:cs="Palatino Linotype"/>
          <w:b/>
          <w:color w:val="000000"/>
        </w:rPr>
        <w:t xml:space="preserve">Nociones generales. </w:t>
      </w:r>
    </w:p>
    <w:p w14:paraId="4A5B5FC8"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lastRenderedPageBreak/>
        <w:t xml:space="preserve">deberá de hacer la adecuada versión pública, protegiendo los datos que no son susceptibles de ser proporcionados. </w:t>
      </w:r>
    </w:p>
    <w:p w14:paraId="2E764FCD" w14:textId="77777777" w:rsidR="00D3619C" w:rsidRDefault="00D3619C">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0BE044A4"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5B600E6" w14:textId="77777777" w:rsidR="00D3619C" w:rsidRDefault="00D3619C">
      <w:pPr>
        <w:tabs>
          <w:tab w:val="left" w:pos="284"/>
        </w:tabs>
        <w:spacing w:line="360" w:lineRule="auto"/>
        <w:ind w:right="49"/>
        <w:jc w:val="both"/>
        <w:rPr>
          <w:rFonts w:ascii="Palatino Linotype" w:eastAsia="Palatino Linotype" w:hAnsi="Palatino Linotype" w:cs="Palatino Linotype"/>
          <w:color w:val="000000"/>
        </w:rPr>
      </w:pPr>
    </w:p>
    <w:tbl>
      <w:tblPr>
        <w:tblStyle w:val="a2"/>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667"/>
      </w:tblGrid>
      <w:tr w:rsidR="00D3619C" w14:paraId="5D2C78A9" w14:textId="77777777" w:rsidTr="00D36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4D4FAC" w14:textId="77777777" w:rsidR="00D3619C" w:rsidRDefault="00E12C3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667" w:type="dxa"/>
          </w:tcPr>
          <w:p w14:paraId="0AF64457" w14:textId="77777777" w:rsidR="00D3619C" w:rsidRDefault="00E12C32">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4A882B1" w14:textId="77777777" w:rsidR="00D3619C" w:rsidRDefault="00E12C32">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14:paraId="6FAA85E8" w14:textId="77777777" w:rsidR="00D3619C" w:rsidRDefault="00E12C32">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14:paraId="7BE00BAA" w14:textId="77777777" w:rsidR="00D3619C" w:rsidRDefault="00E12C3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D3619C" w14:paraId="5A98647E" w14:textId="77777777" w:rsidTr="00D36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1DC7A2" w14:textId="77777777" w:rsidR="00D3619C" w:rsidRDefault="00E12C3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667" w:type="dxa"/>
          </w:tcPr>
          <w:p w14:paraId="27805C55"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0262F17D"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8D6FC43" w14:textId="77777777" w:rsidR="00D3619C" w:rsidRDefault="00E12C3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3619C" w14:paraId="70B5F856" w14:textId="77777777" w:rsidTr="00D3619C">
        <w:tc>
          <w:tcPr>
            <w:cnfStyle w:val="001000000000" w:firstRow="0" w:lastRow="0" w:firstColumn="1" w:lastColumn="0" w:oddVBand="0" w:evenVBand="0" w:oddHBand="0" w:evenHBand="0" w:firstRowFirstColumn="0" w:firstRowLastColumn="0" w:lastRowFirstColumn="0" w:lastRowLastColumn="0"/>
            <w:tcW w:w="1838" w:type="dxa"/>
          </w:tcPr>
          <w:p w14:paraId="23541190" w14:textId="77777777" w:rsidR="00D3619C" w:rsidRDefault="00E12C32">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Formalidades para emitir el acuerdo de clasificación.</w:t>
            </w:r>
          </w:p>
        </w:tc>
        <w:tc>
          <w:tcPr>
            <w:tcW w:w="6667" w:type="dxa"/>
          </w:tcPr>
          <w:p w14:paraId="6B328858" w14:textId="77777777" w:rsidR="00D3619C" w:rsidRDefault="00E12C3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0CA5794E" w14:textId="77777777" w:rsidR="00D3619C" w:rsidRDefault="00E12C3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432B5703" w14:textId="77777777" w:rsidR="00D3619C" w:rsidRDefault="00E12C3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w:t>
            </w:r>
            <w:r>
              <w:rPr>
                <w:rFonts w:ascii="Palatino Linotype" w:eastAsia="Palatino Linotype" w:hAnsi="Palatino Linotype" w:cs="Palatino Linotype"/>
                <w:color w:val="000000"/>
                <w:sz w:val="20"/>
                <w:szCs w:val="20"/>
              </w:rPr>
              <w:lastRenderedPageBreak/>
              <w:t>y que son sujetas a control, en primera instancia, por el Comité de Transparencia.</w:t>
            </w:r>
          </w:p>
        </w:tc>
      </w:tr>
      <w:tr w:rsidR="00D3619C" w14:paraId="126DC6FC" w14:textId="77777777" w:rsidTr="00D36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04EAD0" w14:textId="77777777" w:rsidR="00D3619C" w:rsidRDefault="00D3619C">
            <w:pPr>
              <w:tabs>
                <w:tab w:val="left" w:pos="284"/>
              </w:tabs>
              <w:spacing w:line="360" w:lineRule="auto"/>
              <w:rPr>
                <w:rFonts w:ascii="Palatino Linotype" w:eastAsia="Palatino Linotype" w:hAnsi="Palatino Linotype" w:cs="Palatino Linotype"/>
                <w:sz w:val="20"/>
                <w:szCs w:val="20"/>
              </w:rPr>
            </w:pPr>
          </w:p>
          <w:p w14:paraId="27B0F2DF" w14:textId="77777777" w:rsidR="00D3619C" w:rsidRDefault="00E12C32">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d) Requisitos de fondo del acuerdo de clasificación. </w:t>
            </w:r>
          </w:p>
        </w:tc>
        <w:tc>
          <w:tcPr>
            <w:tcW w:w="6667" w:type="dxa"/>
          </w:tcPr>
          <w:p w14:paraId="4A622F86"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14:paraId="33C611B4"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A2010E"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20F47AE"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4F3DD6FF" w14:textId="77777777" w:rsidR="00D3619C" w:rsidRDefault="00E12C32">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xml:space="preserve">, se debe identificar con claridad que datos contenidos en las documentales que son susceptibles de suprimirse, por ejemplo; Clave Única de Registro de Población (CURP), Registro Federal de Contribuyentes (R.F.C.), claves de </w:t>
            </w:r>
            <w:r>
              <w:rPr>
                <w:rFonts w:ascii="Palatino Linotype" w:eastAsia="Palatino Linotype" w:hAnsi="Palatino Linotype" w:cs="Palatino Linotype"/>
                <w:color w:val="000000"/>
                <w:sz w:val="20"/>
                <w:szCs w:val="20"/>
              </w:rPr>
              <w:lastRenderedPageBreak/>
              <w:t>seguros, préstamos o descuentos personales, secretos bancario, fiduciario, industrial, comercial, fiscal, bursátil y postal, cuya titularidad corresponda a particulares, entre otros.</w:t>
            </w:r>
          </w:p>
        </w:tc>
      </w:tr>
      <w:tr w:rsidR="00D3619C" w14:paraId="199F914F" w14:textId="77777777" w:rsidTr="00D3619C">
        <w:tc>
          <w:tcPr>
            <w:cnfStyle w:val="001000000000" w:firstRow="0" w:lastRow="0" w:firstColumn="1" w:lastColumn="0" w:oddVBand="0" w:evenVBand="0" w:oddHBand="0" w:evenHBand="0" w:firstRowFirstColumn="0" w:firstRowLastColumn="0" w:lastRowFirstColumn="0" w:lastRowLastColumn="0"/>
            <w:tcW w:w="1838" w:type="dxa"/>
          </w:tcPr>
          <w:p w14:paraId="18777CED" w14:textId="77777777" w:rsidR="00D3619C" w:rsidRDefault="00E12C32">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667" w:type="dxa"/>
          </w:tcPr>
          <w:p w14:paraId="3B005F99" w14:textId="77777777" w:rsidR="00D3619C" w:rsidRDefault="00E12C3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18603FB6" w14:textId="77777777" w:rsidR="00D3619C" w:rsidRDefault="00E12C32">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78D566" w14:textId="77777777" w:rsidR="00D3619C" w:rsidRDefault="00E12C3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99642B7" w14:textId="77777777" w:rsidR="00D3619C" w:rsidRDefault="00D3619C">
      <w:pPr>
        <w:pBdr>
          <w:top w:val="nil"/>
          <w:left w:val="nil"/>
          <w:bottom w:val="nil"/>
          <w:right w:val="nil"/>
          <w:between w:val="nil"/>
        </w:pBdr>
        <w:tabs>
          <w:tab w:val="left" w:pos="284"/>
        </w:tabs>
        <w:spacing w:line="360" w:lineRule="auto"/>
        <w:rPr>
          <w:rFonts w:ascii="Palatino Linotype" w:eastAsia="Palatino Linotype" w:hAnsi="Palatino Linotype" w:cs="Palatino Linotype"/>
          <w:color w:val="000000"/>
        </w:rPr>
      </w:pPr>
    </w:p>
    <w:p w14:paraId="348A371B"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3570CB5E" w14:textId="77777777" w:rsidR="00D3619C" w:rsidRDefault="00D3619C">
      <w:pPr>
        <w:spacing w:line="360" w:lineRule="auto"/>
        <w:jc w:val="both"/>
        <w:rPr>
          <w:rFonts w:ascii="Palatino Linotype" w:eastAsia="Palatino Linotype" w:hAnsi="Palatino Linotype" w:cs="Palatino Linotype"/>
          <w:sz w:val="12"/>
          <w:szCs w:val="12"/>
        </w:rPr>
      </w:pPr>
    </w:p>
    <w:p w14:paraId="4336B6B5" w14:textId="77777777" w:rsidR="00D3619C" w:rsidRDefault="00E12C3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u w:val="single"/>
        </w:rPr>
        <w:t xml:space="preserve">Conclusión </w:t>
      </w:r>
    </w:p>
    <w:p w14:paraId="250C0443" w14:textId="77777777" w:rsidR="00D3619C" w:rsidRDefault="00D3619C">
      <w:pPr>
        <w:pBdr>
          <w:top w:val="nil"/>
          <w:left w:val="nil"/>
          <w:bottom w:val="nil"/>
          <w:right w:val="nil"/>
          <w:between w:val="nil"/>
        </w:pBdr>
        <w:spacing w:line="360" w:lineRule="auto"/>
        <w:ind w:left="418"/>
        <w:jc w:val="both"/>
        <w:rPr>
          <w:rFonts w:ascii="Palatino Linotype" w:eastAsia="Palatino Linotype" w:hAnsi="Palatino Linotype" w:cs="Palatino Linotype"/>
          <w:b/>
          <w:color w:val="000000"/>
          <w:sz w:val="14"/>
          <w:szCs w:val="14"/>
        </w:rPr>
      </w:pPr>
    </w:p>
    <w:p w14:paraId="590C5541" w14:textId="77777777" w:rsidR="00D3619C" w:rsidRDefault="00E12C32">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b/>
          <w:i/>
          <w:color w:val="000000"/>
        </w:rPr>
      </w:pPr>
      <w:bookmarkStart w:id="10" w:name="_heading=h.17dp8vu" w:colFirst="0" w:colLast="0"/>
      <w:bookmarkEnd w:id="10"/>
      <w:r>
        <w:rPr>
          <w:rFonts w:ascii="Palatino Linotype" w:eastAsia="Palatino Linotype" w:hAnsi="Palatino Linotype" w:cs="Palatino Linotype"/>
          <w:color w:val="000000"/>
        </w:rPr>
        <w:t xml:space="preserve">Así, conforme a lo analizado a lo largo los presentes Considerandos, con fundamento en el artículo 186, fracciones III, de la Ley de Transparencia y Acceso a la Información Pública del Estado de México y Municipios, este Instituto considera procedente </w:t>
      </w:r>
      <w:r>
        <w:rPr>
          <w:rFonts w:ascii="Palatino Linotype" w:eastAsia="Palatino Linotype" w:hAnsi="Palatino Linotype" w:cs="Palatino Linotype"/>
          <w:b/>
          <w:color w:val="000000"/>
        </w:rPr>
        <w:t>REVOCAR</w:t>
      </w:r>
      <w:r>
        <w:rPr>
          <w:rFonts w:ascii="Palatino Linotype" w:eastAsia="Palatino Linotype" w:hAnsi="Palatino Linotype" w:cs="Palatino Linotype"/>
          <w:color w:val="000000"/>
        </w:rPr>
        <w:t xml:space="preserve"> la respuesta otorgada por el Sujeto Obligado, a la solicitud </w:t>
      </w:r>
      <w:r>
        <w:rPr>
          <w:rFonts w:ascii="Palatino Linotype" w:eastAsia="Palatino Linotype" w:hAnsi="Palatino Linotype" w:cs="Palatino Linotype"/>
          <w:color w:val="000000"/>
        </w:rPr>
        <w:lastRenderedPageBreak/>
        <w:t>de acceso a la información</w:t>
      </w:r>
      <w:r>
        <w:rPr>
          <w:rFonts w:ascii="Palatino Linotype" w:eastAsia="Palatino Linotype" w:hAnsi="Palatino Linotype" w:cs="Palatino Linotype"/>
          <w:b/>
          <w:color w:val="000000"/>
        </w:rPr>
        <w:t xml:space="preserve"> 00100/</w:t>
      </w:r>
      <w:r w:rsidRPr="00940CF5">
        <w:rPr>
          <w:rFonts w:ascii="Palatino Linotype" w:eastAsia="Palatino Linotype" w:hAnsi="Palatino Linotype" w:cs="Palatino Linotype"/>
          <w:b/>
          <w:color w:val="000000"/>
        </w:rPr>
        <w:t>METEPEC/IP/2024 y ordenar la entrega</w:t>
      </w:r>
      <w:r w:rsidRPr="00940CF5">
        <w:rPr>
          <w:rFonts w:ascii="Palatino Linotype" w:eastAsia="Palatino Linotype" w:hAnsi="Palatino Linotype" w:cs="Palatino Linotype"/>
          <w:color w:val="000000"/>
        </w:rPr>
        <w:t xml:space="preserve"> </w:t>
      </w:r>
      <w:r w:rsidR="00E04198" w:rsidRPr="00940CF5">
        <w:rPr>
          <w:rFonts w:ascii="Palatino Linotype" w:eastAsia="Palatino Linotype" w:hAnsi="Palatino Linotype" w:cs="Palatino Linotype"/>
          <w:color w:val="000000"/>
        </w:rPr>
        <w:t>del documento</w:t>
      </w:r>
      <w:r w:rsidRPr="00940CF5">
        <w:rPr>
          <w:rFonts w:ascii="Palatino Linotype" w:eastAsia="Palatino Linotype" w:hAnsi="Palatino Linotype" w:cs="Palatino Linotype"/>
          <w:color w:val="000000"/>
        </w:rPr>
        <w:t xml:space="preserve"> que contenga los conceptos de los ingresos propios de la Hacienda Pública Municipal de Metepec, monto de los ingresos y monto erogado, de los ejercicios fiscales 2021, 2022, 2023 y</w:t>
      </w:r>
      <w:r w:rsidRPr="00940CF5">
        <w:rPr>
          <w:rFonts w:ascii="Palatino Linotype" w:eastAsia="Palatino Linotype" w:hAnsi="Palatino Linotype" w:cs="Palatino Linotype"/>
        </w:rPr>
        <w:t xml:space="preserve"> del 01 de enero al veintiséis</w:t>
      </w:r>
      <w:r>
        <w:rPr>
          <w:rFonts w:ascii="Palatino Linotype" w:eastAsia="Palatino Linotype" w:hAnsi="Palatino Linotype" w:cs="Palatino Linotype"/>
        </w:rPr>
        <w:t xml:space="preserve"> de febrero de dos mil veinticuatro,</w:t>
      </w:r>
      <w:r>
        <w:rPr>
          <w:rFonts w:ascii="Palatino Linotype" w:eastAsia="Palatino Linotype" w:hAnsi="Palatino Linotype" w:cs="Palatino Linotype"/>
          <w:color w:val="000000"/>
        </w:rPr>
        <w:t xml:space="preserve"> de ser el caso en versión pública.</w:t>
      </w:r>
    </w:p>
    <w:p w14:paraId="492F936D" w14:textId="77777777" w:rsidR="00D3619C" w:rsidRDefault="00D3619C">
      <w:pPr>
        <w:spacing w:line="360" w:lineRule="auto"/>
        <w:jc w:val="both"/>
        <w:rPr>
          <w:rFonts w:ascii="Palatino Linotype" w:eastAsia="Palatino Linotype" w:hAnsi="Palatino Linotype" w:cs="Palatino Linotype"/>
        </w:rPr>
      </w:pPr>
    </w:p>
    <w:p w14:paraId="41379D41" w14:textId="77777777" w:rsidR="00D3619C" w:rsidRDefault="00E12C32">
      <w:pPr>
        <w:numPr>
          <w:ilvl w:val="0"/>
          <w:numId w:val="1"/>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14:paraId="0D98AC98" w14:textId="77777777" w:rsidR="00D3619C" w:rsidRDefault="00D3619C">
      <w:pPr>
        <w:pBdr>
          <w:top w:val="nil"/>
          <w:left w:val="nil"/>
          <w:bottom w:val="nil"/>
          <w:right w:val="nil"/>
          <w:between w:val="nil"/>
        </w:pBdr>
        <w:spacing w:line="360" w:lineRule="auto"/>
        <w:jc w:val="both"/>
        <w:rPr>
          <w:color w:val="000000"/>
        </w:rPr>
      </w:pPr>
    </w:p>
    <w:p w14:paraId="3521FEDD" w14:textId="77777777" w:rsidR="00D3619C" w:rsidRDefault="00E12C32">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743B2E3D" w14:textId="77777777" w:rsidR="00D3619C" w:rsidRDefault="00D3619C">
      <w:pPr>
        <w:spacing w:line="360" w:lineRule="auto"/>
        <w:jc w:val="center"/>
        <w:rPr>
          <w:rFonts w:ascii="Palatino Linotype" w:eastAsia="Palatino Linotype" w:hAnsi="Palatino Linotype" w:cs="Palatino Linotype"/>
          <w:b/>
          <w:sz w:val="16"/>
          <w:szCs w:val="16"/>
        </w:rPr>
      </w:pPr>
    </w:p>
    <w:p w14:paraId="1D69BEB7" w14:textId="77777777" w:rsidR="00D3619C" w:rsidRDefault="00E12C32">
      <w:pPr>
        <w:spacing w:line="360" w:lineRule="auto"/>
        <w:ind w:right="276"/>
        <w:jc w:val="both"/>
        <w:rPr>
          <w:rFonts w:ascii="Palatino Linotype" w:eastAsia="Palatino Linotype" w:hAnsi="Palatino Linotype" w:cs="Palatino Linotype"/>
        </w:rPr>
      </w:pPr>
      <w:bookmarkStart w:id="11" w:name="_heading=h.35nkun2" w:colFirst="0" w:colLast="0"/>
      <w:bookmarkEnd w:id="11"/>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01953/INFOEM/IP/RR/2024,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la presente Resolución.</w:t>
      </w:r>
    </w:p>
    <w:p w14:paraId="7CC64353" w14:textId="77777777" w:rsidR="00D3619C" w:rsidRDefault="00D3619C">
      <w:pPr>
        <w:spacing w:line="360" w:lineRule="auto"/>
        <w:ind w:right="276"/>
        <w:jc w:val="both"/>
        <w:rPr>
          <w:rFonts w:ascii="Palatino Linotype" w:eastAsia="Palatino Linotype" w:hAnsi="Palatino Linotype" w:cs="Palatino Linotype"/>
        </w:rPr>
      </w:pPr>
    </w:p>
    <w:p w14:paraId="5D11C6FB" w14:textId="77777777" w:rsidR="00D3619C" w:rsidRPr="00940CF5" w:rsidRDefault="00E12C32">
      <w:pPr>
        <w:spacing w:line="360" w:lineRule="auto"/>
        <w:ind w:right="276"/>
        <w:jc w:val="both"/>
        <w:rPr>
          <w:rFonts w:ascii="Palatino Linotype" w:eastAsia="Palatino Linotype" w:hAnsi="Palatino Linotype" w:cs="Palatino Linotype"/>
          <w:color w:val="000000"/>
        </w:rPr>
      </w:pPr>
      <w:bookmarkStart w:id="12" w:name="_heading=h.1ksv4uv" w:colFirst="0" w:colLast="0"/>
      <w:bookmarkEnd w:id="12"/>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Ayuntamiento de Metepec</w:t>
      </w:r>
      <w:r>
        <w:rPr>
          <w:rFonts w:ascii="Palatino Linotype" w:eastAsia="Palatino Linotype" w:hAnsi="Palatino Linotype" w:cs="Palatino Linotype"/>
          <w:color w:val="000000"/>
        </w:rPr>
        <w:t xml:space="preserve"> 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 y por correo electrónico</w:t>
      </w:r>
      <w:r>
        <w:rPr>
          <w:rFonts w:ascii="Palatino Linotype" w:eastAsia="Palatino Linotype" w:hAnsi="Palatino Linotype" w:cs="Palatino Linotype"/>
          <w:color w:val="000000"/>
        </w:rPr>
        <w:t xml:space="preserve">, de ser el caso </w:t>
      </w:r>
      <w:r>
        <w:rPr>
          <w:rFonts w:ascii="Palatino Linotype" w:eastAsia="Palatino Linotype" w:hAnsi="Palatino Linotype" w:cs="Palatino Linotype"/>
        </w:rPr>
        <w:t>en versión pública</w:t>
      </w:r>
      <w:r>
        <w:rPr>
          <w:rFonts w:ascii="Palatino Linotype" w:eastAsia="Palatino Linotype" w:hAnsi="Palatino Linotype" w:cs="Palatino Linotype"/>
          <w:color w:val="000000"/>
        </w:rPr>
        <w:t xml:space="preserve">, la siguiente </w:t>
      </w:r>
      <w:r w:rsidRPr="00940CF5">
        <w:rPr>
          <w:rFonts w:ascii="Palatino Linotype" w:eastAsia="Palatino Linotype" w:hAnsi="Palatino Linotype" w:cs="Palatino Linotype"/>
          <w:color w:val="000000"/>
        </w:rPr>
        <w:t>información:</w:t>
      </w:r>
    </w:p>
    <w:p w14:paraId="0E0B6088" w14:textId="77777777" w:rsidR="00D3619C" w:rsidRPr="00940CF5" w:rsidRDefault="00D3619C">
      <w:pPr>
        <w:spacing w:line="360" w:lineRule="auto"/>
        <w:ind w:right="276"/>
        <w:jc w:val="both"/>
        <w:rPr>
          <w:rFonts w:ascii="Palatino Linotype" w:eastAsia="Palatino Linotype" w:hAnsi="Palatino Linotype" w:cs="Palatino Linotype"/>
          <w:color w:val="000000"/>
        </w:rPr>
      </w:pPr>
    </w:p>
    <w:p w14:paraId="6582F09C" w14:textId="77777777" w:rsidR="00D3619C" w:rsidRDefault="00E04198">
      <w:pPr>
        <w:numPr>
          <w:ilvl w:val="0"/>
          <w:numId w:val="7"/>
        </w:num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r w:rsidRPr="00940CF5">
        <w:rPr>
          <w:rFonts w:ascii="Palatino Linotype" w:eastAsia="Palatino Linotype" w:hAnsi="Palatino Linotype" w:cs="Palatino Linotype"/>
          <w:color w:val="000000"/>
        </w:rPr>
        <w:t>Documento</w:t>
      </w:r>
      <w:r w:rsidR="00E12C32" w:rsidRPr="00940CF5">
        <w:rPr>
          <w:rFonts w:ascii="Palatino Linotype" w:eastAsia="Palatino Linotype" w:hAnsi="Palatino Linotype" w:cs="Palatino Linotype"/>
          <w:color w:val="000000"/>
        </w:rPr>
        <w:t xml:space="preserve"> que contenga los conceptos de los ingresos propios de la Hacienda Pública Municipal</w:t>
      </w:r>
      <w:r w:rsidR="00E12C32">
        <w:rPr>
          <w:rFonts w:ascii="Palatino Linotype" w:eastAsia="Palatino Linotype" w:hAnsi="Palatino Linotype" w:cs="Palatino Linotype"/>
          <w:color w:val="000000"/>
        </w:rPr>
        <w:t xml:space="preserve"> de Metepec, monto de los ingresos y monto </w:t>
      </w:r>
      <w:r w:rsidR="00E12C32">
        <w:rPr>
          <w:rFonts w:ascii="Palatino Linotype" w:eastAsia="Palatino Linotype" w:hAnsi="Palatino Linotype" w:cs="Palatino Linotype"/>
          <w:color w:val="000000"/>
        </w:rPr>
        <w:lastRenderedPageBreak/>
        <w:t xml:space="preserve">erogado, de los ejercicios fiscales 2021, 2022, 2023 y del 01 de </w:t>
      </w:r>
      <w:r w:rsidR="00E12C32">
        <w:rPr>
          <w:rFonts w:ascii="Palatino Linotype" w:eastAsia="Palatino Linotype" w:hAnsi="Palatino Linotype" w:cs="Palatino Linotype"/>
        </w:rPr>
        <w:t>enero al veintiséis de febrero de dos mil veinticuatro</w:t>
      </w:r>
      <w:r w:rsidR="00E12C32">
        <w:rPr>
          <w:rFonts w:ascii="Palatino Linotype" w:eastAsia="Palatino Linotype" w:hAnsi="Palatino Linotype" w:cs="Palatino Linotype"/>
          <w:color w:val="000000"/>
        </w:rPr>
        <w:t>.</w:t>
      </w:r>
    </w:p>
    <w:p w14:paraId="6B557B25" w14:textId="77777777" w:rsidR="00D3619C" w:rsidRDefault="00D3619C">
      <w:pPr>
        <w:spacing w:line="360" w:lineRule="auto"/>
        <w:ind w:right="276"/>
        <w:jc w:val="both"/>
        <w:rPr>
          <w:rFonts w:ascii="Palatino Linotype" w:eastAsia="Palatino Linotype" w:hAnsi="Palatino Linotype" w:cs="Palatino Linotype"/>
          <w:b/>
          <w:color w:val="000000"/>
        </w:rPr>
      </w:pPr>
    </w:p>
    <w:p w14:paraId="4962188D" w14:textId="77777777" w:rsidR="00D3619C" w:rsidRDefault="00E12C32">
      <w:pPr>
        <w:spacing w:line="360" w:lineRule="auto"/>
        <w:ind w:right="276"/>
        <w:jc w:val="both"/>
        <w:rPr>
          <w:rFonts w:ascii="Palatino Linotype" w:eastAsia="Palatino Linotype" w:hAnsi="Palatino Linotype" w:cs="Palatino Linotype"/>
          <w:b/>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rPr>
        <w:t>RECURRENTE.</w:t>
      </w:r>
    </w:p>
    <w:p w14:paraId="5354B875" w14:textId="77777777" w:rsidR="00D3619C" w:rsidRDefault="00D3619C">
      <w:pPr>
        <w:spacing w:line="360" w:lineRule="auto"/>
        <w:ind w:right="276"/>
        <w:jc w:val="both"/>
        <w:rPr>
          <w:rFonts w:ascii="Palatino Linotype" w:eastAsia="Palatino Linotype" w:hAnsi="Palatino Linotype" w:cs="Palatino Linotype"/>
          <w:b/>
        </w:rPr>
      </w:pPr>
    </w:p>
    <w:p w14:paraId="7435352C" w14:textId="77777777" w:rsidR="00D3619C" w:rsidRDefault="00E12C32">
      <w:pPr>
        <w:spacing w:line="360" w:lineRule="auto"/>
        <w:ind w:right="276"/>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rPr>
        <w:t>NOTIFÍQUESE</w:t>
      </w:r>
      <w:r>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 xml:space="preserve">dé cumplimiento a lo ordenado dentro del plazo de diez días hábiles, </w:t>
      </w:r>
      <w:r>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45BC91" w14:textId="77777777" w:rsidR="00D3619C" w:rsidRDefault="00D3619C">
      <w:pPr>
        <w:spacing w:line="360" w:lineRule="auto"/>
        <w:ind w:right="276"/>
        <w:jc w:val="both"/>
        <w:rPr>
          <w:rFonts w:ascii="Palatino Linotype" w:eastAsia="Palatino Linotype" w:hAnsi="Palatino Linotype" w:cs="Palatino Linotype"/>
          <w:color w:val="222222"/>
        </w:rPr>
      </w:pPr>
    </w:p>
    <w:p w14:paraId="665FC996" w14:textId="77777777" w:rsidR="00D3619C" w:rsidRDefault="00E12C32">
      <w:pPr>
        <w:spacing w:line="360" w:lineRule="auto"/>
        <w:ind w:right="276"/>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w:t>
      </w:r>
      <w:r>
        <w:rPr>
          <w:rFonts w:ascii="Palatino Linotype" w:eastAsia="Palatino Linotype" w:hAnsi="Palatino Linotype" w:cs="Palatino Linotype"/>
        </w:rPr>
        <w:lastRenderedPageBreak/>
        <w:t xml:space="preserve">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3C56134" w14:textId="77777777" w:rsidR="00D3619C" w:rsidRDefault="00D3619C">
      <w:pPr>
        <w:spacing w:line="360" w:lineRule="auto"/>
        <w:ind w:right="276"/>
        <w:jc w:val="both"/>
        <w:rPr>
          <w:rFonts w:ascii="Palatino Linotype" w:eastAsia="Palatino Linotype" w:hAnsi="Palatino Linotype" w:cs="Palatino Linotype"/>
        </w:rPr>
      </w:pPr>
    </w:p>
    <w:p w14:paraId="462EB5F9" w14:textId="77777777" w:rsidR="00D3619C" w:rsidRDefault="00E12C32">
      <w:pPr>
        <w:tabs>
          <w:tab w:val="left" w:pos="8080"/>
        </w:tabs>
        <w:spacing w:line="360" w:lineRule="auto"/>
        <w:ind w:right="276"/>
        <w:jc w:val="both"/>
        <w:rPr>
          <w:rFonts w:ascii="Palatino Linotype" w:eastAsia="Palatino Linotype" w:hAnsi="Palatino Linotype" w:cs="Palatino Linotype"/>
        </w:rPr>
      </w:pPr>
      <w:bookmarkStart w:id="13" w:name="_heading=h.3rdcrjn" w:colFirst="0" w:colLast="0"/>
      <w:bookmarkEnd w:id="13"/>
      <w:r>
        <w:rPr>
          <w:rFonts w:ascii="Palatino Linotype" w:eastAsia="Palatino Linotype" w:hAnsi="Palatino Linotype" w:cs="Palatino Linotype"/>
          <w:b/>
        </w:rPr>
        <w:t xml:space="preserve">QUINTO. </w:t>
      </w:r>
      <w:r>
        <w:rPr>
          <w:rFonts w:ascii="Palatino Linotype" w:eastAsia="Palatino Linotype" w:hAnsi="Palatino Linotype" w:cs="Palatino Linotype"/>
          <w:b/>
          <w:color w:val="222222"/>
        </w:rPr>
        <w:t xml:space="preserve">Notifíquese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b/>
          <w:color w:val="222222"/>
        </w:rPr>
        <w:t>EL RECURRENTE</w:t>
      </w:r>
      <w:r>
        <w:rPr>
          <w:rFonts w:ascii="Palatino Linotype" w:eastAsia="Palatino Linotype" w:hAnsi="Palatino Linotype" w:cs="Palatino Linotype"/>
          <w:color w:val="222222"/>
        </w:rPr>
        <w:t xml:space="preserve"> la presente Resolución vía SAIMEX y por correo electrónico</w:t>
      </w:r>
      <w:r>
        <w:rPr>
          <w:rFonts w:ascii="Palatino Linotype" w:eastAsia="Palatino Linotype" w:hAnsi="Palatino Linotype" w:cs="Palatino Linotype"/>
        </w:rPr>
        <w:t>.</w:t>
      </w:r>
    </w:p>
    <w:p w14:paraId="0907E023" w14:textId="77777777" w:rsidR="00D3619C" w:rsidRDefault="00D3619C">
      <w:pPr>
        <w:tabs>
          <w:tab w:val="left" w:pos="8080"/>
        </w:tabs>
        <w:spacing w:line="360" w:lineRule="auto"/>
        <w:ind w:right="276"/>
        <w:jc w:val="both"/>
        <w:rPr>
          <w:rFonts w:ascii="Palatino Linotype" w:eastAsia="Palatino Linotype" w:hAnsi="Palatino Linotype" w:cs="Palatino Linotype"/>
        </w:rPr>
      </w:pPr>
    </w:p>
    <w:p w14:paraId="0E2E478E" w14:textId="77777777" w:rsidR="00D3619C" w:rsidRDefault="00E12C32">
      <w:pPr>
        <w:shd w:val="clear" w:color="auto" w:fill="FFFFFF"/>
        <w:spacing w:line="360" w:lineRule="auto"/>
        <w:ind w:right="276"/>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SEXTO.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207BC5D7" w14:textId="77777777" w:rsidR="002D305B" w:rsidRDefault="002D305B">
      <w:pPr>
        <w:shd w:val="clear" w:color="auto" w:fill="FFFFFF"/>
        <w:spacing w:line="360" w:lineRule="auto"/>
        <w:ind w:right="276"/>
        <w:jc w:val="both"/>
        <w:rPr>
          <w:rFonts w:ascii="Palatino Linotype" w:eastAsia="Palatino Linotype" w:hAnsi="Palatino Linotype" w:cs="Palatino Linotype"/>
          <w:color w:val="000000"/>
        </w:rPr>
      </w:pPr>
    </w:p>
    <w:p w14:paraId="476185DF" w14:textId="77777777" w:rsidR="002D305B" w:rsidRPr="003C7186" w:rsidRDefault="002D305B" w:rsidP="002D305B">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 xml:space="preserve">CUADRAGÉSIMA </w:t>
      </w:r>
      <w:r w:rsidRPr="003C7186">
        <w:rPr>
          <w:rFonts w:ascii="Palatino Linotype" w:hAnsi="Palatino Linotype"/>
        </w:rPr>
        <w:t xml:space="preserve">SESIÓN ORDINARIA CELEBRADA EL </w:t>
      </w:r>
      <w:r>
        <w:rPr>
          <w:rFonts w:ascii="Palatino Linotype" w:hAnsi="Palatino Linotype"/>
        </w:rPr>
        <w:t>VEINTIUNO</w:t>
      </w:r>
      <w:r w:rsidRPr="003C7186">
        <w:rPr>
          <w:rFonts w:ascii="Palatino Linotype" w:hAnsi="Palatino Linotype"/>
        </w:rPr>
        <w:t xml:space="preserve"> </w:t>
      </w:r>
      <w:r>
        <w:rPr>
          <w:rFonts w:ascii="Palatino Linotype" w:hAnsi="Palatino Linotype"/>
        </w:rPr>
        <w:t>(21) DE NOVIEMBRE</w:t>
      </w:r>
      <w:r w:rsidRPr="003C7186">
        <w:rPr>
          <w:rFonts w:ascii="Palatino Linotype" w:hAnsi="Palatino Linotype"/>
        </w:rPr>
        <w:t xml:space="preserve"> DE DOS MIL VEINTICUATRO, ANTE EL SECRETARIO TÉCNICO DEL PLENO ALEXIS TAPIA RAMÍREZ. </w:t>
      </w:r>
    </w:p>
    <w:p w14:paraId="0359A1C5" w14:textId="77777777" w:rsidR="00D3619C" w:rsidRDefault="00D3619C">
      <w:pPr>
        <w:spacing w:line="360" w:lineRule="auto"/>
        <w:jc w:val="both"/>
        <w:rPr>
          <w:rFonts w:ascii="Palatino Linotype" w:eastAsia="Palatino Linotype" w:hAnsi="Palatino Linotype" w:cs="Palatino Linotype"/>
        </w:rPr>
      </w:pPr>
    </w:p>
    <w:p w14:paraId="209FA94E" w14:textId="77777777" w:rsidR="00D3619C" w:rsidRDefault="00D3619C">
      <w:pPr>
        <w:spacing w:line="360" w:lineRule="auto"/>
        <w:jc w:val="both"/>
        <w:rPr>
          <w:rFonts w:ascii="Palatino Linotype" w:eastAsia="Palatino Linotype" w:hAnsi="Palatino Linotype" w:cs="Palatino Linotype"/>
        </w:rPr>
      </w:pPr>
    </w:p>
    <w:p w14:paraId="282EEBA8" w14:textId="77777777" w:rsidR="00D3619C" w:rsidRDefault="00D3619C">
      <w:pPr>
        <w:spacing w:line="360" w:lineRule="auto"/>
        <w:jc w:val="both"/>
        <w:rPr>
          <w:rFonts w:ascii="Palatino Linotype" w:eastAsia="Palatino Linotype" w:hAnsi="Palatino Linotype" w:cs="Palatino Linotype"/>
        </w:rPr>
      </w:pPr>
    </w:p>
    <w:p w14:paraId="2B134919" w14:textId="77777777" w:rsidR="00D3619C" w:rsidRDefault="00D3619C">
      <w:pPr>
        <w:spacing w:line="360" w:lineRule="auto"/>
        <w:jc w:val="both"/>
        <w:rPr>
          <w:rFonts w:ascii="Palatino Linotype" w:eastAsia="Palatino Linotype" w:hAnsi="Palatino Linotype" w:cs="Palatino Linotype"/>
        </w:rPr>
      </w:pPr>
    </w:p>
    <w:p w14:paraId="1DE81F59" w14:textId="77777777" w:rsidR="00D3619C" w:rsidRDefault="00D3619C">
      <w:pPr>
        <w:spacing w:line="360" w:lineRule="auto"/>
        <w:jc w:val="both"/>
        <w:rPr>
          <w:rFonts w:ascii="Palatino Linotype" w:eastAsia="Palatino Linotype" w:hAnsi="Palatino Linotype" w:cs="Palatino Linotype"/>
        </w:rPr>
      </w:pPr>
    </w:p>
    <w:p w14:paraId="6D0755F2" w14:textId="77777777" w:rsidR="00D3619C" w:rsidRDefault="00D3619C">
      <w:pPr>
        <w:spacing w:line="360" w:lineRule="auto"/>
        <w:rPr>
          <w:rFonts w:ascii="Palatino Linotype" w:eastAsia="Palatino Linotype" w:hAnsi="Palatino Linotype" w:cs="Palatino Linotype"/>
        </w:rPr>
      </w:pPr>
    </w:p>
    <w:p w14:paraId="4D792318" w14:textId="77777777" w:rsidR="00D3619C" w:rsidRDefault="00D3619C">
      <w:pPr>
        <w:spacing w:line="360" w:lineRule="auto"/>
        <w:rPr>
          <w:rFonts w:ascii="Palatino Linotype" w:eastAsia="Palatino Linotype" w:hAnsi="Palatino Linotype" w:cs="Palatino Linotype"/>
        </w:rPr>
      </w:pPr>
    </w:p>
    <w:p w14:paraId="3B442510" w14:textId="77777777" w:rsidR="00D3619C" w:rsidRDefault="00D3619C">
      <w:pPr>
        <w:spacing w:line="360" w:lineRule="auto"/>
        <w:rPr>
          <w:rFonts w:ascii="Palatino Linotype" w:eastAsia="Palatino Linotype" w:hAnsi="Palatino Linotype" w:cs="Palatino Linotype"/>
        </w:rPr>
      </w:pPr>
    </w:p>
    <w:p w14:paraId="404EAC62" w14:textId="77777777" w:rsidR="00D3619C" w:rsidRDefault="00D3619C">
      <w:pPr>
        <w:spacing w:line="360" w:lineRule="auto"/>
        <w:rPr>
          <w:rFonts w:ascii="Palatino Linotype" w:eastAsia="Palatino Linotype" w:hAnsi="Palatino Linotype" w:cs="Palatino Linotype"/>
        </w:rPr>
      </w:pPr>
    </w:p>
    <w:p w14:paraId="2537EFB7" w14:textId="77777777" w:rsidR="00D3619C" w:rsidRDefault="00D3619C">
      <w:pPr>
        <w:spacing w:line="360" w:lineRule="auto"/>
        <w:rPr>
          <w:rFonts w:ascii="Palatino Linotype" w:eastAsia="Palatino Linotype" w:hAnsi="Palatino Linotype" w:cs="Palatino Linotype"/>
        </w:rPr>
      </w:pPr>
    </w:p>
    <w:p w14:paraId="6DF3F73A" w14:textId="77777777" w:rsidR="00D3619C" w:rsidRDefault="00D3619C">
      <w:pPr>
        <w:spacing w:line="360" w:lineRule="auto"/>
        <w:rPr>
          <w:rFonts w:ascii="Palatino Linotype" w:eastAsia="Palatino Linotype" w:hAnsi="Palatino Linotype" w:cs="Palatino Linotype"/>
        </w:rPr>
      </w:pPr>
    </w:p>
    <w:p w14:paraId="43604B4E" w14:textId="77777777" w:rsidR="00D3619C" w:rsidRDefault="00D3619C">
      <w:pPr>
        <w:spacing w:line="360" w:lineRule="auto"/>
        <w:rPr>
          <w:rFonts w:ascii="Palatino Linotype" w:eastAsia="Palatino Linotype" w:hAnsi="Palatino Linotype" w:cs="Palatino Linotype"/>
        </w:rPr>
      </w:pPr>
    </w:p>
    <w:p w14:paraId="6035C414" w14:textId="77777777" w:rsidR="00D3619C" w:rsidRDefault="00E12C32">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sectPr w:rsidR="00D3619C">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C8C94" w14:textId="77777777" w:rsidR="00D35E42" w:rsidRDefault="00D35E42">
      <w:r>
        <w:separator/>
      </w:r>
    </w:p>
  </w:endnote>
  <w:endnote w:type="continuationSeparator" w:id="0">
    <w:p w14:paraId="571FC743" w14:textId="77777777" w:rsidR="00D35E42" w:rsidRDefault="00D35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72C0" w14:textId="77777777" w:rsidR="00D3619C" w:rsidRDefault="00E12C3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74A82">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74A82">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14:paraId="1FEE1BCD" w14:textId="77777777" w:rsidR="00D3619C" w:rsidRDefault="00D3619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FFCF" w14:textId="77777777" w:rsidR="00D3619C" w:rsidRDefault="00E12C3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74A8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74A82">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14:paraId="490080D7" w14:textId="77777777" w:rsidR="00D3619C" w:rsidRDefault="00D3619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D502C" w14:textId="77777777" w:rsidR="00D35E42" w:rsidRDefault="00D35E42">
      <w:r>
        <w:separator/>
      </w:r>
    </w:p>
  </w:footnote>
  <w:footnote w:type="continuationSeparator" w:id="0">
    <w:p w14:paraId="2E5CAECE" w14:textId="77777777" w:rsidR="00D35E42" w:rsidRDefault="00D35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2CA9" w14:textId="77777777" w:rsidR="00D3619C" w:rsidRDefault="00D35E42">
    <w:pPr>
      <w:pBdr>
        <w:top w:val="nil"/>
        <w:left w:val="nil"/>
        <w:bottom w:val="nil"/>
        <w:right w:val="nil"/>
        <w:between w:val="nil"/>
      </w:pBdr>
      <w:tabs>
        <w:tab w:val="center" w:pos="4419"/>
        <w:tab w:val="right" w:pos="8838"/>
      </w:tabs>
      <w:rPr>
        <w:color w:val="000000"/>
      </w:rPr>
    </w:pPr>
    <w:r>
      <w:rPr>
        <w:color w:val="000000"/>
      </w:rPr>
      <w:pict w14:anchorId="1A409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F7D5" w14:textId="77777777" w:rsidR="00D3619C" w:rsidRDefault="00D3619C">
    <w:pPr>
      <w:widowControl w:val="0"/>
      <w:pBdr>
        <w:top w:val="nil"/>
        <w:left w:val="nil"/>
        <w:bottom w:val="nil"/>
        <w:right w:val="nil"/>
        <w:between w:val="nil"/>
      </w:pBdr>
      <w:spacing w:line="276" w:lineRule="auto"/>
      <w:rPr>
        <w:color w:val="000000"/>
      </w:rPr>
    </w:pPr>
  </w:p>
  <w:tbl>
    <w:tblPr>
      <w:tblStyle w:val="a3"/>
      <w:tblW w:w="7890" w:type="dxa"/>
      <w:tblInd w:w="2552" w:type="dxa"/>
      <w:tblLayout w:type="fixed"/>
      <w:tblLook w:val="0400" w:firstRow="0" w:lastRow="0" w:firstColumn="0" w:lastColumn="0" w:noHBand="0" w:noVBand="1"/>
    </w:tblPr>
    <w:tblGrid>
      <w:gridCol w:w="2970"/>
      <w:gridCol w:w="4920"/>
    </w:tblGrid>
    <w:tr w:rsidR="00D3619C" w14:paraId="60373D3D" w14:textId="77777777">
      <w:trPr>
        <w:trHeight w:val="227"/>
      </w:trPr>
      <w:tc>
        <w:tcPr>
          <w:tcW w:w="2970" w:type="dxa"/>
          <w:vAlign w:val="center"/>
        </w:tcPr>
        <w:p w14:paraId="770377D3"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920" w:type="dxa"/>
          <w:vAlign w:val="center"/>
        </w:tcPr>
        <w:p w14:paraId="5B18C480" w14:textId="77777777" w:rsidR="00D3619C" w:rsidRDefault="00E12C3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01953/INFOEM/IP/RR/2024</w:t>
          </w:r>
        </w:p>
      </w:tc>
    </w:tr>
    <w:tr w:rsidR="00D3619C" w14:paraId="55AE23BB" w14:textId="77777777">
      <w:trPr>
        <w:trHeight w:val="342"/>
      </w:trPr>
      <w:tc>
        <w:tcPr>
          <w:tcW w:w="2970" w:type="dxa"/>
        </w:tcPr>
        <w:p w14:paraId="423525BA"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920" w:type="dxa"/>
          <w:vAlign w:val="center"/>
        </w:tcPr>
        <w:p w14:paraId="0BF51EE0" w14:textId="77777777" w:rsidR="00D3619C" w:rsidRDefault="00E12C3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Metepec</w:t>
          </w:r>
        </w:p>
      </w:tc>
    </w:tr>
    <w:tr w:rsidR="00D3619C" w14:paraId="646A9E98" w14:textId="77777777">
      <w:trPr>
        <w:trHeight w:val="342"/>
      </w:trPr>
      <w:tc>
        <w:tcPr>
          <w:tcW w:w="2970" w:type="dxa"/>
          <w:vAlign w:val="center"/>
        </w:tcPr>
        <w:p w14:paraId="149DAB28"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0" w:type="dxa"/>
          <w:vAlign w:val="center"/>
        </w:tcPr>
        <w:p w14:paraId="7FBBD86C" w14:textId="77777777" w:rsidR="00D3619C" w:rsidRDefault="00E12C3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95314B1" w14:textId="77777777" w:rsidR="00D3619C" w:rsidRDefault="00D35E42">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3A430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12DC" w14:textId="77777777" w:rsidR="00D3619C" w:rsidRDefault="00D3619C">
    <w:pPr>
      <w:widowControl w:val="0"/>
      <w:pBdr>
        <w:top w:val="nil"/>
        <w:left w:val="nil"/>
        <w:bottom w:val="nil"/>
        <w:right w:val="nil"/>
        <w:between w:val="nil"/>
      </w:pBdr>
      <w:spacing w:line="276" w:lineRule="auto"/>
      <w:rPr>
        <w:color w:val="000000"/>
        <w:sz w:val="14"/>
        <w:szCs w:val="14"/>
      </w:rPr>
    </w:pPr>
  </w:p>
  <w:tbl>
    <w:tblPr>
      <w:tblStyle w:val="a4"/>
      <w:tblW w:w="7890" w:type="dxa"/>
      <w:tblInd w:w="2552" w:type="dxa"/>
      <w:tblLayout w:type="fixed"/>
      <w:tblLook w:val="0400" w:firstRow="0" w:lastRow="0" w:firstColumn="0" w:lastColumn="0" w:noHBand="0" w:noVBand="1"/>
    </w:tblPr>
    <w:tblGrid>
      <w:gridCol w:w="2970"/>
      <w:gridCol w:w="4920"/>
    </w:tblGrid>
    <w:tr w:rsidR="00D3619C" w14:paraId="507C1BEF" w14:textId="77777777">
      <w:trPr>
        <w:trHeight w:val="227"/>
      </w:trPr>
      <w:tc>
        <w:tcPr>
          <w:tcW w:w="2970" w:type="dxa"/>
          <w:vAlign w:val="center"/>
        </w:tcPr>
        <w:p w14:paraId="0A3684D3"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920" w:type="dxa"/>
          <w:vAlign w:val="center"/>
        </w:tcPr>
        <w:p w14:paraId="689252B7" w14:textId="77777777" w:rsidR="00D3619C" w:rsidRDefault="00E12C3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01953/INFOEM/IP/RR/2024</w:t>
          </w:r>
        </w:p>
      </w:tc>
    </w:tr>
    <w:tr w:rsidR="00D3619C" w14:paraId="20242CA2" w14:textId="77777777">
      <w:trPr>
        <w:trHeight w:val="242"/>
      </w:trPr>
      <w:tc>
        <w:tcPr>
          <w:tcW w:w="2970" w:type="dxa"/>
          <w:vAlign w:val="center"/>
        </w:tcPr>
        <w:p w14:paraId="4448776A"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920" w:type="dxa"/>
        </w:tcPr>
        <w:p w14:paraId="2B1A0450" w14:textId="08DFAF1A" w:rsidR="00D3619C" w:rsidRDefault="00996F3E">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 XXX</w:t>
          </w:r>
        </w:p>
      </w:tc>
    </w:tr>
    <w:tr w:rsidR="00D3619C" w14:paraId="2D5D9832" w14:textId="77777777">
      <w:trPr>
        <w:trHeight w:val="342"/>
      </w:trPr>
      <w:tc>
        <w:tcPr>
          <w:tcW w:w="2970" w:type="dxa"/>
        </w:tcPr>
        <w:p w14:paraId="26D105D7"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920" w:type="dxa"/>
          <w:vAlign w:val="center"/>
        </w:tcPr>
        <w:p w14:paraId="3BD9CB6B" w14:textId="77777777" w:rsidR="00D3619C" w:rsidRDefault="00E12C3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Metepec</w:t>
          </w:r>
        </w:p>
      </w:tc>
    </w:tr>
    <w:tr w:rsidR="00D3619C" w14:paraId="0D7DCA8F" w14:textId="77777777">
      <w:trPr>
        <w:trHeight w:val="342"/>
      </w:trPr>
      <w:tc>
        <w:tcPr>
          <w:tcW w:w="2970" w:type="dxa"/>
          <w:vAlign w:val="center"/>
        </w:tcPr>
        <w:p w14:paraId="7AA48536" w14:textId="77777777" w:rsidR="00D3619C" w:rsidRDefault="00E12C3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0" w:type="dxa"/>
          <w:vAlign w:val="center"/>
        </w:tcPr>
        <w:p w14:paraId="14975AA9" w14:textId="77777777" w:rsidR="00D3619C" w:rsidRDefault="00E12C32">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2DD0762A" w14:textId="77777777" w:rsidR="00D3619C" w:rsidRDefault="00D35E42">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38BB8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93026"/>
    <w:multiLevelType w:val="multilevel"/>
    <w:tmpl w:val="99FE55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7B276F9"/>
    <w:multiLevelType w:val="multilevel"/>
    <w:tmpl w:val="021C5BA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928675F"/>
    <w:multiLevelType w:val="multilevel"/>
    <w:tmpl w:val="FFAE64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B25373"/>
    <w:multiLevelType w:val="multilevel"/>
    <w:tmpl w:val="3E6ADB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45563736"/>
    <w:multiLevelType w:val="multilevel"/>
    <w:tmpl w:val="B0C0250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5DC64093"/>
    <w:multiLevelType w:val="multilevel"/>
    <w:tmpl w:val="11EC12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603740"/>
    <w:multiLevelType w:val="multilevel"/>
    <w:tmpl w:val="84227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A12C33"/>
    <w:multiLevelType w:val="multilevel"/>
    <w:tmpl w:val="C864432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16cid:durableId="308941973">
    <w:abstractNumId w:val="2"/>
  </w:num>
  <w:num w:numId="2" w16cid:durableId="1255699160">
    <w:abstractNumId w:val="7"/>
  </w:num>
  <w:num w:numId="3" w16cid:durableId="1786315375">
    <w:abstractNumId w:val="3"/>
  </w:num>
  <w:num w:numId="4" w16cid:durableId="103965406">
    <w:abstractNumId w:val="4"/>
  </w:num>
  <w:num w:numId="5" w16cid:durableId="2139449974">
    <w:abstractNumId w:val="6"/>
  </w:num>
  <w:num w:numId="6" w16cid:durableId="2126657511">
    <w:abstractNumId w:val="1"/>
  </w:num>
  <w:num w:numId="7" w16cid:durableId="1479031493">
    <w:abstractNumId w:val="5"/>
  </w:num>
  <w:num w:numId="8" w16cid:durableId="1525898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19C"/>
    <w:rsid w:val="002D305B"/>
    <w:rsid w:val="0075192A"/>
    <w:rsid w:val="007B59D2"/>
    <w:rsid w:val="00874A82"/>
    <w:rsid w:val="009278CC"/>
    <w:rsid w:val="00940CF5"/>
    <w:rsid w:val="00996F3E"/>
    <w:rsid w:val="00B22E94"/>
    <w:rsid w:val="00D35E42"/>
    <w:rsid w:val="00D3619C"/>
    <w:rsid w:val="00E04198"/>
    <w:rsid w:val="00E12C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11F74"/>
  <w15:docId w15:val="{07D9C17E-5F24-4AE4-8798-CE8413A76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FZ0I5Ax7w53aRdQlu6ub+frLw==">CgMxLjAyCGguZ2pkZ3hzMgloLjMwajB6bGwyCWguMWZvYjl0ZTIJaC4zem55c2g3MgloLjJldDkycDAyCGgudHlqY3d0MgloLjNkeTZ2a20yCWguMXQzaDVzZjIJaC40ZDM0b2c4MgloLjJzOGV5bzEyCWguMTdkcDh2dTIJaC4zNW5rdW4yMgloLjFrc3Y0dXYyCWguM3JkY3JqbjgAciExNzJSZVN3aHY1NV81SVBRS3VDZFNBMzR1Sm5Wbk52Wi0=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5839</Words>
  <Characters>32118</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inf03m612@outlook.com</cp:lastModifiedBy>
  <cp:revision>9</cp:revision>
  <cp:lastPrinted>2024-11-25T18:14:00Z</cp:lastPrinted>
  <dcterms:created xsi:type="dcterms:W3CDTF">2024-11-19T16:55:00Z</dcterms:created>
  <dcterms:modified xsi:type="dcterms:W3CDTF">2024-12-05T00:06:00Z</dcterms:modified>
</cp:coreProperties>
</file>