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5A921" w14:textId="77777777" w:rsidR="002A62BF" w:rsidRPr="00BF0955" w:rsidRDefault="00351F3E" w:rsidP="00BF0955">
      <w:pPr>
        <w:spacing w:line="360" w:lineRule="auto"/>
        <w:ind w:right="-28"/>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trece (13) de noviembre de dos mil veinticuatro.</w:t>
      </w:r>
    </w:p>
    <w:p w14:paraId="20164822"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11D9FE78" w14:textId="76EA8B62" w:rsidR="002A62BF" w:rsidRPr="00BF0955" w:rsidRDefault="00351F3E" w:rsidP="00BF0955">
      <w:pPr>
        <w:spacing w:line="360" w:lineRule="auto"/>
        <w:ind w:right="-28"/>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b/>
          <w:sz w:val="22"/>
          <w:szCs w:val="22"/>
        </w:rPr>
        <w:t>VISTO</w:t>
      </w:r>
      <w:r w:rsidRPr="00BF0955">
        <w:rPr>
          <w:rFonts w:ascii="Palatino Linotype" w:eastAsia="Palatino Linotype" w:hAnsi="Palatino Linotype" w:cs="Palatino Linotype"/>
          <w:sz w:val="22"/>
          <w:szCs w:val="22"/>
        </w:rPr>
        <w:t xml:space="preserve"> el expediente electrónico formado con motivo del recurso de revisión </w:t>
      </w:r>
      <w:r w:rsidRPr="00BF0955">
        <w:rPr>
          <w:rFonts w:ascii="Palatino Linotype" w:eastAsia="Palatino Linotype" w:hAnsi="Palatino Linotype" w:cs="Palatino Linotype"/>
          <w:b/>
          <w:sz w:val="22"/>
          <w:szCs w:val="22"/>
        </w:rPr>
        <w:t xml:space="preserve">00653/INFOEM/IP/RR/2024, </w:t>
      </w:r>
      <w:r w:rsidRPr="00BF0955">
        <w:rPr>
          <w:rFonts w:ascii="Palatino Linotype" w:eastAsia="Palatino Linotype" w:hAnsi="Palatino Linotype" w:cs="Palatino Linotype"/>
          <w:sz w:val="22"/>
          <w:szCs w:val="22"/>
        </w:rPr>
        <w:t xml:space="preserve">promovido por </w:t>
      </w:r>
      <w:r w:rsidR="00873767">
        <w:rPr>
          <w:rFonts w:ascii="Palatino Linotype" w:eastAsia="Palatino Linotype" w:hAnsi="Palatino Linotype" w:cs="Palatino Linotype"/>
          <w:b/>
          <w:sz w:val="22"/>
          <w:szCs w:val="22"/>
        </w:rPr>
        <w:t xml:space="preserve">XXX </w:t>
      </w:r>
      <w:proofErr w:type="spellStart"/>
      <w:r w:rsidR="00873767">
        <w:rPr>
          <w:rFonts w:ascii="Palatino Linotype" w:eastAsia="Palatino Linotype" w:hAnsi="Palatino Linotype" w:cs="Palatino Linotype"/>
          <w:b/>
          <w:sz w:val="22"/>
          <w:szCs w:val="22"/>
        </w:rPr>
        <w:t>XXX</w:t>
      </w:r>
      <w:proofErr w:type="spellEnd"/>
      <w:r w:rsidRPr="00BF0955">
        <w:rPr>
          <w:rFonts w:ascii="Palatino Linotype" w:eastAsia="Palatino Linotype" w:hAnsi="Palatino Linotype" w:cs="Palatino Linotype"/>
          <w:sz w:val="22"/>
          <w:szCs w:val="22"/>
        </w:rPr>
        <w:t xml:space="preserve">, en lo sucesivo se denominará como </w:t>
      </w:r>
      <w:r w:rsidRPr="00BF0955">
        <w:rPr>
          <w:rFonts w:ascii="Palatino Linotype" w:eastAsia="Palatino Linotype" w:hAnsi="Palatino Linotype" w:cs="Palatino Linotype"/>
          <w:b/>
          <w:sz w:val="22"/>
          <w:szCs w:val="22"/>
        </w:rPr>
        <w:t>RECURRENTE</w:t>
      </w:r>
      <w:r w:rsidRPr="00BF0955">
        <w:rPr>
          <w:rFonts w:ascii="Palatino Linotype" w:eastAsia="Palatino Linotype" w:hAnsi="Palatino Linotype" w:cs="Palatino Linotype"/>
          <w:sz w:val="22"/>
          <w:szCs w:val="22"/>
        </w:rPr>
        <w:t>, en contra de la respuesta de</w:t>
      </w:r>
      <w:r w:rsidRPr="00BF0955">
        <w:rPr>
          <w:rFonts w:ascii="Palatino Linotype" w:eastAsia="Palatino Linotype" w:hAnsi="Palatino Linotype" w:cs="Palatino Linotype"/>
          <w:b/>
          <w:color w:val="000000"/>
          <w:sz w:val="22"/>
          <w:szCs w:val="22"/>
        </w:rPr>
        <w:t xml:space="preserve"> </w:t>
      </w:r>
      <w:r w:rsidRPr="00BF0955">
        <w:rPr>
          <w:rFonts w:ascii="Palatino Linotype" w:eastAsia="Palatino Linotype" w:hAnsi="Palatino Linotype" w:cs="Palatino Linotype"/>
          <w:sz w:val="22"/>
          <w:szCs w:val="22"/>
        </w:rPr>
        <w:t>la</w:t>
      </w:r>
      <w:r w:rsidRPr="00BF0955">
        <w:rPr>
          <w:rFonts w:ascii="Palatino Linotype" w:eastAsia="Palatino Linotype" w:hAnsi="Palatino Linotype" w:cs="Palatino Linotype"/>
          <w:b/>
          <w:sz w:val="22"/>
          <w:szCs w:val="22"/>
        </w:rPr>
        <w:t xml:space="preserve"> </w:t>
      </w:r>
      <w:r w:rsidRPr="00BF0955">
        <w:rPr>
          <w:rFonts w:ascii="Palatino Linotype" w:eastAsia="Palatino Linotype" w:hAnsi="Palatino Linotype" w:cs="Palatino Linotype"/>
          <w:b/>
          <w:color w:val="000000"/>
          <w:sz w:val="22"/>
          <w:szCs w:val="22"/>
        </w:rPr>
        <w:t>Gubernatura</w:t>
      </w:r>
      <w:r w:rsidRPr="00BF0955">
        <w:rPr>
          <w:rFonts w:ascii="Palatino Linotype" w:eastAsia="Palatino Linotype" w:hAnsi="Palatino Linotype" w:cs="Palatino Linotype"/>
          <w:b/>
          <w:sz w:val="22"/>
          <w:szCs w:val="22"/>
        </w:rPr>
        <w:t xml:space="preserve">, </w:t>
      </w:r>
      <w:r w:rsidRPr="00BF0955">
        <w:rPr>
          <w:rFonts w:ascii="Palatino Linotype" w:eastAsia="Palatino Linotype" w:hAnsi="Palatino Linotype" w:cs="Palatino Linotype"/>
          <w:sz w:val="22"/>
          <w:szCs w:val="22"/>
        </w:rPr>
        <w:t>en adelante el</w:t>
      </w:r>
      <w:r w:rsidRPr="00BF0955">
        <w:rPr>
          <w:rFonts w:ascii="Palatino Linotype" w:eastAsia="Palatino Linotype" w:hAnsi="Palatino Linotype" w:cs="Palatino Linotype"/>
          <w:b/>
          <w:sz w:val="22"/>
          <w:szCs w:val="22"/>
        </w:rPr>
        <w:t xml:space="preserve"> SUJETO OBLIGADO</w:t>
      </w:r>
      <w:r w:rsidRPr="00BF0955">
        <w:rPr>
          <w:rFonts w:ascii="Palatino Linotype" w:eastAsia="Palatino Linotype" w:hAnsi="Palatino Linotype" w:cs="Palatino Linotype"/>
          <w:sz w:val="22"/>
          <w:szCs w:val="22"/>
        </w:rPr>
        <w:t>, por lo que se procede a dictar la presente resolución, con base en los siguientes:</w:t>
      </w:r>
    </w:p>
    <w:p w14:paraId="73040B52"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7D333ECC" w14:textId="77777777" w:rsidR="002A62BF" w:rsidRPr="00BF0955" w:rsidRDefault="00351F3E" w:rsidP="00BF0955">
      <w:pPr>
        <w:keepNext/>
        <w:keepLines/>
        <w:spacing w:line="360" w:lineRule="auto"/>
        <w:ind w:right="-28"/>
        <w:jc w:val="center"/>
        <w:rPr>
          <w:rFonts w:ascii="Palatino Linotype" w:eastAsia="Palatino Linotype" w:hAnsi="Palatino Linotype" w:cs="Palatino Linotype"/>
          <w:b/>
          <w:sz w:val="22"/>
          <w:szCs w:val="22"/>
        </w:rPr>
      </w:pPr>
      <w:bookmarkStart w:id="0" w:name="_heading=h.gjdgxs" w:colFirst="0" w:colLast="0"/>
      <w:bookmarkEnd w:id="0"/>
      <w:r w:rsidRPr="00BF0955">
        <w:rPr>
          <w:rFonts w:ascii="Palatino Linotype" w:eastAsia="Palatino Linotype" w:hAnsi="Palatino Linotype" w:cs="Palatino Linotype"/>
          <w:b/>
          <w:sz w:val="22"/>
          <w:szCs w:val="22"/>
        </w:rPr>
        <w:t>A N T E C E D E N T E S</w:t>
      </w:r>
    </w:p>
    <w:p w14:paraId="31FD1B9C" w14:textId="77777777" w:rsidR="002A62BF" w:rsidRPr="00BF0955" w:rsidRDefault="002A62BF" w:rsidP="00BF0955">
      <w:pPr>
        <w:spacing w:line="360" w:lineRule="auto"/>
        <w:ind w:right="-28"/>
        <w:rPr>
          <w:rFonts w:ascii="Palatino Linotype" w:eastAsia="Palatino Linotype" w:hAnsi="Palatino Linotype" w:cs="Palatino Linotype"/>
          <w:sz w:val="22"/>
          <w:szCs w:val="22"/>
        </w:rPr>
      </w:pPr>
    </w:p>
    <w:p w14:paraId="5619011E"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El uno </w:t>
      </w:r>
      <w:r w:rsidR="00BF0955" w:rsidRPr="00BF0955">
        <w:rPr>
          <w:rFonts w:ascii="Palatino Linotype" w:eastAsia="Palatino Linotype" w:hAnsi="Palatino Linotype" w:cs="Palatino Linotype"/>
          <w:sz w:val="22"/>
          <w:szCs w:val="22"/>
        </w:rPr>
        <w:t xml:space="preserve">de febrero de </w:t>
      </w:r>
      <w:r w:rsidR="00BF0955" w:rsidRPr="00E723F6">
        <w:rPr>
          <w:rFonts w:ascii="Palatino Linotype" w:eastAsia="Palatino Linotype" w:hAnsi="Palatino Linotype" w:cs="Palatino Linotype"/>
          <w:sz w:val="22"/>
          <w:szCs w:val="22"/>
        </w:rPr>
        <w:t>dos mil veinticuatro</w:t>
      </w:r>
      <w:r w:rsidRPr="00E723F6">
        <w:rPr>
          <w:rFonts w:ascii="Palatino Linotype" w:eastAsia="Palatino Linotype" w:hAnsi="Palatino Linotype" w:cs="Palatino Linotype"/>
          <w:sz w:val="22"/>
          <w:szCs w:val="22"/>
        </w:rPr>
        <w:t>, la</w:t>
      </w:r>
      <w:r w:rsidRPr="00E723F6">
        <w:rPr>
          <w:rFonts w:ascii="Palatino Linotype" w:eastAsia="Palatino Linotype" w:hAnsi="Palatino Linotype" w:cs="Palatino Linotype"/>
          <w:b/>
          <w:sz w:val="22"/>
          <w:szCs w:val="22"/>
        </w:rPr>
        <w:t xml:space="preserve"> RECURRENTE</w:t>
      </w:r>
      <w:r w:rsidRPr="00BF0955">
        <w:rPr>
          <w:rFonts w:ascii="Palatino Linotype" w:eastAsia="Palatino Linotype" w:hAnsi="Palatino Linotype" w:cs="Palatino Linotype"/>
          <w:b/>
          <w:sz w:val="22"/>
          <w:szCs w:val="22"/>
        </w:rPr>
        <w:t xml:space="preserve"> </w:t>
      </w:r>
      <w:r w:rsidRPr="00BF0955">
        <w:rPr>
          <w:rFonts w:ascii="Palatino Linotype" w:eastAsia="Palatino Linotype" w:hAnsi="Palatino Linotype" w:cs="Palatino Linotype"/>
          <w:sz w:val="22"/>
          <w:szCs w:val="22"/>
        </w:rPr>
        <w:t xml:space="preserve">presentó ante 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a través del el Sistema de Acceso a la Información Mexiquense </w:t>
      </w:r>
      <w:r w:rsidRPr="00BF0955">
        <w:rPr>
          <w:rFonts w:ascii="Palatino Linotype" w:eastAsia="Palatino Linotype" w:hAnsi="Palatino Linotype" w:cs="Palatino Linotype"/>
          <w:b/>
          <w:sz w:val="22"/>
          <w:szCs w:val="22"/>
        </w:rPr>
        <w:t>(SAIMEX),</w:t>
      </w:r>
      <w:r w:rsidRPr="00BF0955">
        <w:rPr>
          <w:rFonts w:ascii="Palatino Linotype" w:eastAsia="Palatino Linotype" w:hAnsi="Palatino Linotype" w:cs="Palatino Linotype"/>
          <w:sz w:val="22"/>
          <w:szCs w:val="22"/>
        </w:rPr>
        <w:t xml:space="preserve"> la solicitud de información pública </w:t>
      </w:r>
      <w:r w:rsidRPr="00BF0955">
        <w:rPr>
          <w:rFonts w:ascii="Palatino Linotype" w:eastAsia="Palatino Linotype" w:hAnsi="Palatino Linotype" w:cs="Palatino Linotype"/>
          <w:b/>
          <w:sz w:val="22"/>
          <w:szCs w:val="22"/>
        </w:rPr>
        <w:t>00029/GUBERNA/IP/2024</w:t>
      </w:r>
      <w:r w:rsidRPr="00BF0955">
        <w:rPr>
          <w:rFonts w:ascii="Palatino Linotype" w:eastAsia="Palatino Linotype" w:hAnsi="Palatino Linotype" w:cs="Palatino Linotype"/>
          <w:sz w:val="22"/>
          <w:szCs w:val="22"/>
        </w:rPr>
        <w:t>, en la que se solicitó:</w:t>
      </w:r>
    </w:p>
    <w:p w14:paraId="184CC6C0" w14:textId="77777777" w:rsidR="002A62BF" w:rsidRPr="00BF0955" w:rsidRDefault="002A62BF" w:rsidP="00BF0955">
      <w:pPr>
        <w:ind w:right="-28"/>
        <w:jc w:val="both"/>
        <w:rPr>
          <w:rFonts w:ascii="Palatino Linotype" w:eastAsia="Palatino Linotype" w:hAnsi="Palatino Linotype" w:cs="Palatino Linotype"/>
          <w:i/>
          <w:sz w:val="22"/>
          <w:szCs w:val="22"/>
        </w:rPr>
      </w:pPr>
    </w:p>
    <w:p w14:paraId="547167F9" w14:textId="77777777" w:rsidR="002A62BF" w:rsidRPr="00BF0955" w:rsidRDefault="00351F3E" w:rsidP="00BF0955">
      <w:pPr>
        <w:pBdr>
          <w:top w:val="nil"/>
          <w:left w:val="nil"/>
          <w:bottom w:val="nil"/>
          <w:right w:val="nil"/>
          <w:between w:val="nil"/>
        </w:pBdr>
        <w:ind w:left="567" w:right="539"/>
        <w:jc w:val="both"/>
        <w:rPr>
          <w:rFonts w:ascii="Palatino Linotype" w:eastAsia="Palatino Linotype" w:hAnsi="Palatino Linotype" w:cs="Palatino Linotype"/>
          <w:i/>
          <w:color w:val="000000"/>
          <w:sz w:val="22"/>
          <w:szCs w:val="22"/>
        </w:rPr>
      </w:pPr>
      <w:r w:rsidRPr="00BF0955">
        <w:rPr>
          <w:rFonts w:ascii="Palatino Linotype" w:eastAsia="Palatino Linotype" w:hAnsi="Palatino Linotype" w:cs="Palatino Linotype"/>
          <w:i/>
          <w:color w:val="000000"/>
          <w:sz w:val="22"/>
          <w:szCs w:val="22"/>
        </w:rPr>
        <w:t xml:space="preserve">“solicito carta finiquito y oficio de cancelación de clausula resarcitoria respecto del inmueble ubicado en FRACCIONAMIENTO CONJUNTO NUEVO PASEO DE SAN AGUSTIN, SEGUNDA SECCION, UBICADO EN LA MANZANA 97, LOTE 10, MUNICIPIO DE ECATEPEC DE MORELOS ESTADO DE MEXICO,” (Sic) </w:t>
      </w:r>
    </w:p>
    <w:p w14:paraId="1DAEAC74" w14:textId="77777777" w:rsidR="002A62BF" w:rsidRPr="00BF0955" w:rsidRDefault="002A62BF" w:rsidP="00BF095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511A8E52" w14:textId="77777777" w:rsidR="002A62BF" w:rsidRPr="00BF0955" w:rsidRDefault="00351F3E" w:rsidP="00BF095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 xml:space="preserve">Se </w:t>
      </w:r>
      <w:r w:rsidRPr="00BF0955">
        <w:rPr>
          <w:rFonts w:ascii="Palatino Linotype" w:eastAsia="Palatino Linotype" w:hAnsi="Palatino Linotype" w:cs="Palatino Linotype"/>
          <w:sz w:val="22"/>
          <w:szCs w:val="22"/>
        </w:rPr>
        <w:t xml:space="preserve">adjuntó el archivo electrónico denominado </w:t>
      </w:r>
      <w:hyperlink r:id="rId8">
        <w:r w:rsidRPr="00BF0955">
          <w:rPr>
            <w:rFonts w:ascii="Palatino Linotype" w:eastAsia="Palatino Linotype" w:hAnsi="Palatino Linotype" w:cs="Palatino Linotype"/>
            <w:b/>
            <w:color w:val="000000"/>
            <w:sz w:val="22"/>
            <w:szCs w:val="22"/>
          </w:rPr>
          <w:t>solicitud carta finiquito para gobierno estado de mexico gaytan.pdf</w:t>
        </w:r>
      </w:hyperlink>
      <w:r w:rsidRPr="00BF0955">
        <w:rPr>
          <w:rFonts w:ascii="Palatino Linotype" w:eastAsia="Palatino Linotype" w:hAnsi="Palatino Linotype" w:cs="Palatino Linotype"/>
          <w:sz w:val="22"/>
          <w:szCs w:val="22"/>
        </w:rPr>
        <w:t>, consistente en un documento suscrito por el solicitante por medio del cual, solicitó se expida carta finiquito y oficio de cancelación de cláusula resarcitoria del inmueble referido en la solicitud de información.</w:t>
      </w:r>
    </w:p>
    <w:p w14:paraId="02D2B1C4" w14:textId="77777777" w:rsidR="002A62BF" w:rsidRPr="00BF0955" w:rsidRDefault="002A62BF" w:rsidP="00BF095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67FA54BD"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lastRenderedPageBreak/>
        <w:t xml:space="preserve">Se hace constar que se señaló como modalidad de entrega de la información a través del </w:t>
      </w:r>
      <w:r w:rsidRPr="00BF0955">
        <w:rPr>
          <w:rFonts w:ascii="Palatino Linotype" w:eastAsia="Palatino Linotype" w:hAnsi="Palatino Linotype" w:cs="Palatino Linotype"/>
          <w:b/>
          <w:sz w:val="22"/>
          <w:szCs w:val="22"/>
        </w:rPr>
        <w:t>SAIMEX.</w:t>
      </w:r>
    </w:p>
    <w:p w14:paraId="0991BAC5"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36B6D575" w14:textId="77777777" w:rsid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El siete de febrero de dos mil veinticuatro, 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b/>
          <w:i/>
          <w:sz w:val="22"/>
          <w:szCs w:val="22"/>
        </w:rPr>
        <w:t xml:space="preserve"> </w:t>
      </w:r>
      <w:r w:rsidRPr="00BF0955">
        <w:rPr>
          <w:rFonts w:ascii="Palatino Linotype" w:eastAsia="Palatino Linotype" w:hAnsi="Palatino Linotype" w:cs="Palatino Linotype"/>
          <w:sz w:val="22"/>
          <w:szCs w:val="22"/>
        </w:rPr>
        <w:t>dio respuesta a la solicitud de información, en los siguientes términos:</w:t>
      </w:r>
    </w:p>
    <w:p w14:paraId="1F27C4B2"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53B19650" w14:textId="77777777" w:rsidR="002A62BF" w:rsidRPr="00BF0955" w:rsidRDefault="00351F3E" w:rsidP="00BF0955">
      <w:pPr>
        <w:ind w:left="567" w:right="539"/>
        <w:jc w:val="both"/>
        <w:rPr>
          <w:rFonts w:ascii="Palatino Linotype" w:eastAsia="Palatino Linotype" w:hAnsi="Palatino Linotype" w:cs="Palatino Linotype"/>
          <w:i/>
          <w:color w:val="000000"/>
          <w:sz w:val="22"/>
          <w:szCs w:val="22"/>
        </w:rPr>
      </w:pPr>
      <w:r w:rsidRPr="00BF0955">
        <w:rPr>
          <w:rFonts w:ascii="Palatino Linotype" w:eastAsia="Palatino Linotype" w:hAnsi="Palatino Linotype" w:cs="Palatino Linotype"/>
          <w:i/>
          <w:sz w:val="22"/>
          <w:szCs w:val="22"/>
        </w:rPr>
        <w:t>“…</w:t>
      </w:r>
      <w:r w:rsidRPr="00BF0955">
        <w:rPr>
          <w:rFonts w:ascii="Palatino Linotype" w:eastAsia="Palatino Linotype" w:hAnsi="Palatino Linotype" w:cs="Palatino Linotype"/>
          <w:i/>
          <w:color w:val="000000"/>
          <w:sz w:val="22"/>
          <w:szCs w:val="22"/>
        </w:rPr>
        <w:t>Se anexa documento…” (Sic)</w:t>
      </w:r>
    </w:p>
    <w:p w14:paraId="5EE056FF" w14:textId="77777777" w:rsidR="002A62BF" w:rsidRPr="00BF0955" w:rsidRDefault="002A62BF" w:rsidP="00BF0955">
      <w:pPr>
        <w:ind w:left="567" w:right="539"/>
        <w:jc w:val="both"/>
        <w:rPr>
          <w:rFonts w:ascii="Palatino Linotype" w:eastAsia="Palatino Linotype" w:hAnsi="Palatino Linotype" w:cs="Palatino Linotype"/>
          <w:i/>
          <w:sz w:val="22"/>
          <w:szCs w:val="22"/>
        </w:rPr>
      </w:pPr>
    </w:p>
    <w:p w14:paraId="5F766FF8"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sz w:val="22"/>
          <w:szCs w:val="22"/>
        </w:rPr>
        <w:t xml:space="preserve">Adjuntó el archivo electrónico denominado </w:t>
      </w:r>
      <w:hyperlink r:id="rId9">
        <w:r w:rsidRPr="00BF0955">
          <w:rPr>
            <w:rFonts w:ascii="Palatino Linotype" w:eastAsia="Palatino Linotype" w:hAnsi="Palatino Linotype" w:cs="Palatino Linotype"/>
            <w:b/>
            <w:color w:val="000000"/>
            <w:sz w:val="22"/>
            <w:szCs w:val="22"/>
          </w:rPr>
          <w:t>0029 respuesta 2024.PDF</w:t>
        </w:r>
      </w:hyperlink>
      <w:r w:rsidRPr="00BF0955">
        <w:rPr>
          <w:rFonts w:ascii="Palatino Linotype" w:eastAsia="Palatino Linotype" w:hAnsi="Palatino Linotype" w:cs="Palatino Linotype"/>
          <w:b/>
          <w:sz w:val="22"/>
          <w:szCs w:val="22"/>
        </w:rPr>
        <w:t xml:space="preserve">, </w:t>
      </w:r>
      <w:r w:rsidRPr="00BF0955">
        <w:rPr>
          <w:rFonts w:ascii="Palatino Linotype" w:eastAsia="Palatino Linotype" w:hAnsi="Palatino Linotype" w:cs="Palatino Linotype"/>
          <w:sz w:val="22"/>
          <w:szCs w:val="22"/>
        </w:rPr>
        <w:t xml:space="preserve">consistente en un oficio suscrito por el Titular de la Unidad de Transparencia, por medio del cual, informó la incompetencia del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para atender la solicitud de información, toda vez que, se realizó una búsqueda exhaustiva dentro de los archivos de la Gubernatura y no se encontró antecedente relativo a lo requerido. Aunado a lo anterior, sugirió emitir una nueva solicitud al Instituto Mexiquense de la Vivienda Social (IMEVIS), y en su caso a la Secretaría de Desarrollo Urbano e Infraestructura.</w:t>
      </w:r>
    </w:p>
    <w:p w14:paraId="5DB2562F" w14:textId="77777777" w:rsidR="002A62BF" w:rsidRPr="00BF0955" w:rsidRDefault="002A62BF" w:rsidP="00BF0955">
      <w:pPr>
        <w:ind w:right="-28"/>
        <w:jc w:val="both"/>
        <w:rPr>
          <w:rFonts w:ascii="Palatino Linotype" w:eastAsia="Palatino Linotype" w:hAnsi="Palatino Linotype" w:cs="Palatino Linotype"/>
          <w:b/>
          <w:i/>
          <w:sz w:val="22"/>
          <w:szCs w:val="22"/>
        </w:rPr>
      </w:pPr>
    </w:p>
    <w:p w14:paraId="1DA121CB"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El siete de febrero de dos mil veinticuatro,</w:t>
      </w:r>
      <w:r w:rsidRPr="00BF0955">
        <w:rPr>
          <w:rFonts w:ascii="Palatino Linotype" w:eastAsia="Palatino Linotype" w:hAnsi="Palatino Linotype" w:cs="Palatino Linotype"/>
          <w:b/>
          <w:sz w:val="22"/>
          <w:szCs w:val="22"/>
        </w:rPr>
        <w:t xml:space="preserve"> </w:t>
      </w:r>
      <w:r w:rsidRPr="00BF0955">
        <w:rPr>
          <w:rFonts w:ascii="Palatino Linotype" w:eastAsia="Palatino Linotype" w:hAnsi="Palatino Linotype" w:cs="Palatino Linotype"/>
          <w:sz w:val="22"/>
          <w:szCs w:val="22"/>
        </w:rPr>
        <w:t xml:space="preserve">la </w:t>
      </w:r>
      <w:r w:rsidRPr="00BF0955">
        <w:rPr>
          <w:rFonts w:ascii="Palatino Linotype" w:eastAsia="Palatino Linotype" w:hAnsi="Palatino Linotype" w:cs="Palatino Linotype"/>
          <w:b/>
          <w:sz w:val="22"/>
          <w:szCs w:val="22"/>
        </w:rPr>
        <w:t>RECURRENTE</w:t>
      </w:r>
      <w:r w:rsidRPr="00BF0955">
        <w:rPr>
          <w:rFonts w:ascii="Palatino Linotype" w:eastAsia="Palatino Linotype" w:hAnsi="Palatino Linotype" w:cs="Palatino Linotype"/>
          <w:sz w:val="22"/>
          <w:szCs w:val="22"/>
        </w:rPr>
        <w:t xml:space="preserve"> interpuso el recurso de revisión en contra de la respuesta, señalando como:</w:t>
      </w:r>
    </w:p>
    <w:p w14:paraId="499A1E9F"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3895843E" w14:textId="77777777" w:rsidR="002A62BF" w:rsidRPr="00BF0955" w:rsidRDefault="00351F3E" w:rsidP="00BF0955">
      <w:pPr>
        <w:ind w:left="567" w:right="539"/>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b/>
          <w:sz w:val="22"/>
          <w:szCs w:val="22"/>
        </w:rPr>
        <w:t>Acto impugnado</w:t>
      </w:r>
      <w:r w:rsidRPr="00BF0955">
        <w:rPr>
          <w:rFonts w:ascii="Palatino Linotype" w:eastAsia="Palatino Linotype" w:hAnsi="Palatino Linotype" w:cs="Palatino Linotype"/>
          <w:b/>
          <w:i/>
          <w:sz w:val="22"/>
          <w:szCs w:val="22"/>
        </w:rPr>
        <w:t>:</w:t>
      </w:r>
      <w:r w:rsidRPr="00BF0955">
        <w:rPr>
          <w:rFonts w:ascii="Palatino Linotype" w:eastAsia="Palatino Linotype" w:hAnsi="Palatino Linotype" w:cs="Palatino Linotype"/>
          <w:i/>
          <w:color w:val="000000"/>
          <w:sz w:val="22"/>
          <w:szCs w:val="22"/>
        </w:rPr>
        <w:t xml:space="preserve"> “la negativa de dar información solicitada sin estar fundada y motivada, así como al omisión de turnarla con la autoridad competente o en su caso otorgar poder para que se entreg</w:t>
      </w:r>
      <w:r w:rsidR="00BF0955" w:rsidRPr="00BF0955">
        <w:rPr>
          <w:rFonts w:ascii="Palatino Linotype" w:eastAsia="Palatino Linotype" w:hAnsi="Palatino Linotype" w:cs="Palatino Linotype"/>
          <w:i/>
          <w:color w:val="000000"/>
          <w:sz w:val="22"/>
          <w:szCs w:val="22"/>
        </w:rPr>
        <w:t xml:space="preserve">ue la colonia a IMEVIS,” (Sic) </w:t>
      </w:r>
    </w:p>
    <w:p w14:paraId="5AFF0721" w14:textId="77777777" w:rsidR="00BF0955" w:rsidRPr="00BF0955" w:rsidRDefault="00BF0955" w:rsidP="00BF0955">
      <w:pPr>
        <w:ind w:left="567" w:right="539"/>
        <w:jc w:val="both"/>
        <w:rPr>
          <w:rFonts w:ascii="Palatino Linotype" w:eastAsia="Palatino Linotype" w:hAnsi="Palatino Linotype" w:cs="Palatino Linotype"/>
          <w:sz w:val="22"/>
          <w:szCs w:val="22"/>
        </w:rPr>
      </w:pPr>
    </w:p>
    <w:p w14:paraId="04C15735" w14:textId="77777777" w:rsidR="002A62BF" w:rsidRPr="00BF0955" w:rsidRDefault="00351F3E" w:rsidP="00BF0955">
      <w:pPr>
        <w:ind w:left="567" w:right="539"/>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b/>
          <w:sz w:val="22"/>
          <w:szCs w:val="22"/>
        </w:rPr>
        <w:t xml:space="preserve">Razones o Motivos de inconformidad: </w:t>
      </w:r>
      <w:r w:rsidRPr="00BF0955">
        <w:rPr>
          <w:rFonts w:ascii="Palatino Linotype" w:eastAsia="Palatino Linotype" w:hAnsi="Palatino Linotype" w:cs="Palatino Linotype"/>
          <w:i/>
          <w:color w:val="000000"/>
          <w:sz w:val="22"/>
          <w:szCs w:val="22"/>
        </w:rPr>
        <w:t xml:space="preserve">“con el escrito de solicitud de información se </w:t>
      </w:r>
      <w:proofErr w:type="spellStart"/>
      <w:r w:rsidRPr="00BF0955">
        <w:rPr>
          <w:rFonts w:ascii="Palatino Linotype" w:eastAsia="Palatino Linotype" w:hAnsi="Palatino Linotype" w:cs="Palatino Linotype"/>
          <w:i/>
          <w:color w:val="000000"/>
          <w:sz w:val="22"/>
          <w:szCs w:val="22"/>
        </w:rPr>
        <w:t>adjunto</w:t>
      </w:r>
      <w:proofErr w:type="spellEnd"/>
      <w:r w:rsidRPr="00BF0955">
        <w:rPr>
          <w:rFonts w:ascii="Palatino Linotype" w:eastAsia="Palatino Linotype" w:hAnsi="Palatino Linotype" w:cs="Palatino Linotype"/>
          <w:i/>
          <w:color w:val="000000"/>
          <w:sz w:val="22"/>
          <w:szCs w:val="22"/>
        </w:rPr>
        <w:t xml:space="preserve"> respuesta de IMEVIS, en el que informan que la colonia donde </w:t>
      </w:r>
      <w:proofErr w:type="spellStart"/>
      <w:r w:rsidRPr="00BF0955">
        <w:rPr>
          <w:rFonts w:ascii="Palatino Linotype" w:eastAsia="Palatino Linotype" w:hAnsi="Palatino Linotype" w:cs="Palatino Linotype"/>
          <w:i/>
          <w:color w:val="000000"/>
          <w:sz w:val="22"/>
          <w:szCs w:val="22"/>
        </w:rPr>
        <w:t>esta</w:t>
      </w:r>
      <w:proofErr w:type="spellEnd"/>
      <w:r w:rsidRPr="00BF0955">
        <w:rPr>
          <w:rFonts w:ascii="Palatino Linotype" w:eastAsia="Palatino Linotype" w:hAnsi="Palatino Linotype" w:cs="Palatino Linotype"/>
          <w:i/>
          <w:color w:val="000000"/>
          <w:sz w:val="22"/>
          <w:szCs w:val="22"/>
        </w:rPr>
        <w:t xml:space="preserve"> mi inmueble y sobre la cual se solicita la información, no la tiene asignada y que la tiene el gobierno del estado, y el personal que contesta no se </w:t>
      </w:r>
      <w:proofErr w:type="spellStart"/>
      <w:r w:rsidRPr="00BF0955">
        <w:rPr>
          <w:rFonts w:ascii="Palatino Linotype" w:eastAsia="Palatino Linotype" w:hAnsi="Palatino Linotype" w:cs="Palatino Linotype"/>
          <w:i/>
          <w:color w:val="000000"/>
          <w:sz w:val="22"/>
          <w:szCs w:val="22"/>
        </w:rPr>
        <w:t>tomo</w:t>
      </w:r>
      <w:proofErr w:type="spellEnd"/>
      <w:r w:rsidRPr="00BF0955">
        <w:rPr>
          <w:rFonts w:ascii="Palatino Linotype" w:eastAsia="Palatino Linotype" w:hAnsi="Palatino Linotype" w:cs="Palatino Linotype"/>
          <w:i/>
          <w:color w:val="000000"/>
          <w:sz w:val="22"/>
          <w:szCs w:val="22"/>
        </w:rPr>
        <w:t xml:space="preserve"> la molestia ni de leer dicho documento con el cual se justifica que la gubernatura del estado lo tiene asignado a su cargo y no es procedente que se declare incompetente” (Sic)</w:t>
      </w:r>
    </w:p>
    <w:p w14:paraId="083B340B" w14:textId="77777777" w:rsidR="002A62BF" w:rsidRPr="00BF0955" w:rsidRDefault="002A62BF" w:rsidP="00BF0955">
      <w:pPr>
        <w:ind w:left="567" w:right="539"/>
        <w:jc w:val="both"/>
        <w:rPr>
          <w:rFonts w:ascii="Palatino Linotype" w:eastAsia="Palatino Linotype" w:hAnsi="Palatino Linotype" w:cs="Palatino Linotype"/>
          <w:sz w:val="22"/>
          <w:szCs w:val="22"/>
        </w:rPr>
      </w:pPr>
    </w:p>
    <w:p w14:paraId="62484EC7" w14:textId="77777777" w:rsidR="002A62BF" w:rsidRPr="00BF0955" w:rsidRDefault="00351F3E" w:rsidP="00BF0955">
      <w:pPr>
        <w:ind w:left="567" w:right="539"/>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lastRenderedPageBreak/>
        <w:t xml:space="preserve">Se adjuntó el archivo electrónico denominado </w:t>
      </w:r>
      <w:hyperlink r:id="rId10">
        <w:r w:rsidRPr="00BF0955">
          <w:rPr>
            <w:rFonts w:ascii="Palatino Linotype" w:eastAsia="Palatino Linotype" w:hAnsi="Palatino Linotype" w:cs="Palatino Linotype"/>
            <w:b/>
            <w:color w:val="000000"/>
            <w:sz w:val="22"/>
            <w:szCs w:val="22"/>
          </w:rPr>
          <w:t>0004_RESPUESTA_UT solicitud 059 imevis.pdf</w:t>
        </w:r>
      </w:hyperlink>
      <w:r w:rsidRPr="00BF0955">
        <w:rPr>
          <w:rFonts w:ascii="Palatino Linotype" w:eastAsia="Palatino Linotype" w:hAnsi="Palatino Linotype" w:cs="Palatino Linotype"/>
          <w:b/>
          <w:sz w:val="22"/>
          <w:szCs w:val="22"/>
        </w:rPr>
        <w:t xml:space="preserve">, </w:t>
      </w:r>
      <w:r w:rsidRPr="00BF0955">
        <w:rPr>
          <w:rFonts w:ascii="Palatino Linotype" w:eastAsia="Palatino Linotype" w:hAnsi="Palatino Linotype" w:cs="Palatino Linotype"/>
          <w:sz w:val="22"/>
          <w:szCs w:val="22"/>
        </w:rPr>
        <w:t>consistente en un oficio suscrito por la Titular de la Unidad de Transparencia del Instituto Mexiquense de la Vivienda Social (IMEVIS).</w:t>
      </w:r>
    </w:p>
    <w:p w14:paraId="0B031EC2" w14:textId="77777777" w:rsidR="002A62BF" w:rsidRPr="00BF0955" w:rsidRDefault="002A62BF" w:rsidP="00BF0955">
      <w:pPr>
        <w:ind w:right="539"/>
        <w:jc w:val="both"/>
        <w:rPr>
          <w:rFonts w:ascii="Palatino Linotype" w:eastAsia="Palatino Linotype" w:hAnsi="Palatino Linotype" w:cs="Palatino Linotype"/>
          <w:sz w:val="22"/>
          <w:szCs w:val="22"/>
        </w:rPr>
      </w:pPr>
    </w:p>
    <w:p w14:paraId="11BFB2A0"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BF0955">
        <w:rPr>
          <w:rFonts w:ascii="Palatino Linotype" w:eastAsia="Palatino Linotype" w:hAnsi="Palatino Linotype" w:cs="Palatino Linotype"/>
          <w:b/>
          <w:sz w:val="22"/>
          <w:szCs w:val="22"/>
        </w:rPr>
        <w:t xml:space="preserve">Ley de Transparencia y Acceso a la Información Pública del Estado de México y Municipios </w:t>
      </w:r>
      <w:r w:rsidRPr="00BF0955">
        <w:rPr>
          <w:rFonts w:ascii="Palatino Linotype" w:eastAsia="Palatino Linotype" w:hAnsi="Palatino Linotype" w:cs="Palatino Linotype"/>
          <w:sz w:val="22"/>
          <w:szCs w:val="22"/>
        </w:rPr>
        <w:t xml:space="preserve">se turna a la </w:t>
      </w:r>
      <w:r w:rsidRPr="00BF0955">
        <w:rPr>
          <w:rFonts w:ascii="Palatino Linotype" w:eastAsia="Palatino Linotype" w:hAnsi="Palatino Linotype" w:cs="Palatino Linotype"/>
          <w:b/>
          <w:sz w:val="22"/>
          <w:szCs w:val="22"/>
        </w:rPr>
        <w:t xml:space="preserve">Comisionada María del Rosario Mejía Ayala, </w:t>
      </w:r>
      <w:r w:rsidRPr="00BF0955">
        <w:rPr>
          <w:rFonts w:ascii="Palatino Linotype" w:eastAsia="Palatino Linotype" w:hAnsi="Palatino Linotype" w:cs="Palatino Linotype"/>
          <w:sz w:val="22"/>
          <w:szCs w:val="22"/>
        </w:rPr>
        <w:t xml:space="preserve">para su análisis. </w:t>
      </w:r>
    </w:p>
    <w:p w14:paraId="023455CE"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2CCC83B9"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trece de febrero de dos mil veinticuatro, puso a disposición de las partes el expediente electrónico vía </w:t>
      </w:r>
      <w:r w:rsidRPr="00BF0955">
        <w:rPr>
          <w:rFonts w:ascii="Palatino Linotype" w:eastAsia="Palatino Linotype" w:hAnsi="Palatino Linotype" w:cs="Palatino Linotype"/>
          <w:b/>
          <w:sz w:val="22"/>
          <w:szCs w:val="22"/>
        </w:rPr>
        <w:t xml:space="preserve">SAIMEX </w:t>
      </w:r>
      <w:r w:rsidRPr="00BF0955">
        <w:rPr>
          <w:rFonts w:ascii="Palatino Linotype" w:eastAsia="Palatino Linotype" w:hAnsi="Palatino Linotype" w:cs="Palatino Linotype"/>
          <w:sz w:val="22"/>
          <w:szCs w:val="22"/>
        </w:rPr>
        <w:t xml:space="preserve">a efecto de que en un plazo máximo de siete días manifestara lo que a derecho conviniera, ofreciera pruebas y alegatos según corresponda al caso concreto, de esta forma para que 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presentará el informe justificado procedente. </w:t>
      </w:r>
    </w:p>
    <w:p w14:paraId="3CE6196A" w14:textId="77777777" w:rsidR="002A62BF" w:rsidRPr="00BF0955" w:rsidRDefault="002A62BF" w:rsidP="00BF0955">
      <w:pPr>
        <w:ind w:right="-28"/>
        <w:rPr>
          <w:rFonts w:ascii="Palatino Linotype" w:eastAsia="Palatino Linotype" w:hAnsi="Palatino Linotype" w:cs="Palatino Linotype"/>
          <w:sz w:val="22"/>
          <w:szCs w:val="22"/>
        </w:rPr>
      </w:pPr>
    </w:p>
    <w:p w14:paraId="6269D3BE"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b/>
          <w:color w:val="000000"/>
          <w:sz w:val="22"/>
          <w:szCs w:val="22"/>
        </w:rPr>
      </w:pPr>
      <w:r w:rsidRPr="00BF0955">
        <w:rPr>
          <w:rFonts w:ascii="Palatino Linotype" w:eastAsia="Palatino Linotype" w:hAnsi="Palatino Linotype" w:cs="Palatino Linotype"/>
          <w:sz w:val="22"/>
          <w:szCs w:val="22"/>
        </w:rPr>
        <w:t xml:space="preserve">El veintidós de febrero de dos mil veinticuatro, 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emitió el informe justificado correspondiente; a través del archivo electrónico denominado </w:t>
      </w:r>
      <w:r w:rsidRPr="00BF0955">
        <w:rPr>
          <w:rFonts w:ascii="Palatino Linotype" w:eastAsia="Palatino Linotype" w:hAnsi="Palatino Linotype" w:cs="Palatino Linotype"/>
          <w:b/>
          <w:sz w:val="22"/>
          <w:szCs w:val="22"/>
        </w:rPr>
        <w:t xml:space="preserve">Informe de Justificación 0029 2024.PDF, </w:t>
      </w:r>
      <w:r w:rsidRPr="00BF0955">
        <w:rPr>
          <w:rFonts w:ascii="Palatino Linotype" w:eastAsia="Palatino Linotype" w:hAnsi="Palatino Linotype" w:cs="Palatino Linotype"/>
          <w:sz w:val="22"/>
          <w:szCs w:val="22"/>
        </w:rPr>
        <w:t xml:space="preserve">consistente en un oficio suscrito por el Titular de la Unidad de Transparencia, donde </w:t>
      </w:r>
      <w:r w:rsidRPr="00BF0955">
        <w:rPr>
          <w:rFonts w:ascii="Palatino Linotype" w:eastAsia="Palatino Linotype" w:hAnsi="Palatino Linotype" w:cs="Palatino Linotype"/>
          <w:b/>
          <w:sz w:val="22"/>
          <w:szCs w:val="22"/>
        </w:rPr>
        <w:t>ratificó la respuesta inicial.</w:t>
      </w:r>
    </w:p>
    <w:p w14:paraId="10ED10DE" w14:textId="77777777" w:rsidR="002A62BF" w:rsidRPr="00BF0955" w:rsidRDefault="002A62BF" w:rsidP="00BF0955">
      <w:pPr>
        <w:ind w:right="-28"/>
        <w:rPr>
          <w:rFonts w:ascii="Palatino Linotype" w:eastAsia="Palatino Linotype" w:hAnsi="Palatino Linotype" w:cs="Palatino Linotype"/>
          <w:sz w:val="22"/>
          <w:szCs w:val="22"/>
        </w:rPr>
      </w:pPr>
    </w:p>
    <w:p w14:paraId="71ACDD40"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sz w:val="22"/>
          <w:szCs w:val="22"/>
        </w:rPr>
        <w:t xml:space="preserve">Por su parte, la </w:t>
      </w:r>
      <w:r w:rsidRPr="00BF0955">
        <w:rPr>
          <w:rFonts w:ascii="Palatino Linotype" w:eastAsia="Palatino Linotype" w:hAnsi="Palatino Linotype" w:cs="Palatino Linotype"/>
          <w:b/>
          <w:sz w:val="22"/>
          <w:szCs w:val="22"/>
        </w:rPr>
        <w:t xml:space="preserve">RECURRENTE </w:t>
      </w:r>
      <w:r w:rsidRPr="00BF0955">
        <w:rPr>
          <w:rFonts w:ascii="Palatino Linotype" w:eastAsia="Palatino Linotype" w:hAnsi="Palatino Linotype" w:cs="Palatino Linotype"/>
          <w:sz w:val="22"/>
          <w:szCs w:val="22"/>
        </w:rPr>
        <w:t>no realizó manifestaciones, ni ofreció pruebas o alegatos que a su derecho conviniera.</w:t>
      </w:r>
    </w:p>
    <w:p w14:paraId="0FB0E0D5" w14:textId="77777777" w:rsidR="002A62BF" w:rsidRPr="00BF0955" w:rsidRDefault="002A62BF" w:rsidP="00BF0955">
      <w:pPr>
        <w:spacing w:line="360" w:lineRule="auto"/>
        <w:ind w:right="-28"/>
        <w:jc w:val="both"/>
        <w:rPr>
          <w:rFonts w:ascii="Palatino Linotype" w:eastAsia="Palatino Linotype" w:hAnsi="Palatino Linotype" w:cs="Palatino Linotype"/>
          <w:i/>
          <w:color w:val="000000"/>
          <w:sz w:val="22"/>
          <w:szCs w:val="22"/>
        </w:rPr>
      </w:pPr>
    </w:p>
    <w:p w14:paraId="0FADF32B" w14:textId="77777777" w:rsidR="002A62BF" w:rsidRPr="00BF0955" w:rsidRDefault="00351F3E" w:rsidP="00BF0955">
      <w:pPr>
        <w:numPr>
          <w:ilvl w:val="0"/>
          <w:numId w:val="4"/>
        </w:numPr>
        <w:pBdr>
          <w:top w:val="nil"/>
          <w:left w:val="nil"/>
          <w:bottom w:val="nil"/>
          <w:right w:val="nil"/>
          <w:between w:val="nil"/>
        </w:pBdr>
        <w:tabs>
          <w:tab w:val="left" w:pos="426"/>
        </w:tabs>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El once de junio de dos mil veinticuatro, se notificó el acuerdo mediante el cual se amplió el plazo para emitir resolución por un periodo de quince días hábiles.</w:t>
      </w:r>
    </w:p>
    <w:p w14:paraId="1F567D68" w14:textId="77777777" w:rsidR="002A62BF" w:rsidRPr="00BF0955" w:rsidRDefault="002A62BF" w:rsidP="00BF0955">
      <w:pPr>
        <w:pBdr>
          <w:top w:val="nil"/>
          <w:left w:val="nil"/>
          <w:bottom w:val="nil"/>
          <w:right w:val="nil"/>
          <w:between w:val="nil"/>
        </w:pBdr>
        <w:tabs>
          <w:tab w:val="left" w:pos="426"/>
        </w:tabs>
        <w:spacing w:line="360" w:lineRule="auto"/>
        <w:ind w:right="-28"/>
        <w:rPr>
          <w:rFonts w:ascii="Palatino Linotype" w:eastAsia="Palatino Linotype" w:hAnsi="Palatino Linotype" w:cs="Palatino Linotype"/>
          <w:color w:val="000000"/>
          <w:sz w:val="22"/>
          <w:szCs w:val="22"/>
        </w:rPr>
      </w:pPr>
    </w:p>
    <w:p w14:paraId="5415CEE1" w14:textId="77777777" w:rsidR="002A62BF" w:rsidRPr="00BF0955" w:rsidRDefault="00351F3E" w:rsidP="00BF0955">
      <w:pPr>
        <w:numPr>
          <w:ilvl w:val="0"/>
          <w:numId w:val="4"/>
        </w:numPr>
        <w:pBdr>
          <w:top w:val="nil"/>
          <w:left w:val="nil"/>
          <w:bottom w:val="nil"/>
          <w:right w:val="nil"/>
          <w:between w:val="nil"/>
        </w:pBdr>
        <w:tabs>
          <w:tab w:val="left" w:pos="426"/>
        </w:tabs>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3AE6E3E" w14:textId="77777777" w:rsidR="002A62BF" w:rsidRPr="00BF0955" w:rsidRDefault="002A62BF" w:rsidP="00BF0955">
      <w:pPr>
        <w:pBdr>
          <w:top w:val="nil"/>
          <w:left w:val="nil"/>
          <w:bottom w:val="nil"/>
          <w:right w:val="nil"/>
          <w:between w:val="nil"/>
        </w:pBdr>
        <w:spacing w:line="360" w:lineRule="auto"/>
        <w:ind w:right="-28"/>
        <w:rPr>
          <w:rFonts w:ascii="Palatino Linotype" w:eastAsia="Palatino Linotype" w:hAnsi="Palatino Linotype" w:cs="Palatino Linotype"/>
          <w:b/>
          <w:color w:val="000000"/>
          <w:sz w:val="22"/>
          <w:szCs w:val="22"/>
          <w:u w:val="single"/>
        </w:rPr>
      </w:pPr>
    </w:p>
    <w:p w14:paraId="35C83EEE" w14:textId="77777777" w:rsidR="002A62BF" w:rsidRPr="00BF0955" w:rsidRDefault="00351F3E" w:rsidP="00BF0955">
      <w:pPr>
        <w:numPr>
          <w:ilvl w:val="0"/>
          <w:numId w:val="4"/>
        </w:numPr>
        <w:pBdr>
          <w:top w:val="nil"/>
          <w:left w:val="nil"/>
          <w:bottom w:val="nil"/>
          <w:right w:val="nil"/>
          <w:between w:val="nil"/>
        </w:pBdr>
        <w:spacing w:line="360" w:lineRule="auto"/>
        <w:ind w:left="0" w:right="-28" w:hanging="11"/>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E22F458" w14:textId="77777777" w:rsidR="002A62BF" w:rsidRPr="00BF0955" w:rsidRDefault="002A62BF" w:rsidP="00BF0955">
      <w:pPr>
        <w:pBdr>
          <w:top w:val="nil"/>
          <w:left w:val="nil"/>
          <w:bottom w:val="nil"/>
          <w:right w:val="nil"/>
          <w:between w:val="nil"/>
        </w:pBdr>
        <w:spacing w:line="360" w:lineRule="auto"/>
        <w:ind w:right="-28"/>
        <w:rPr>
          <w:rFonts w:ascii="Palatino Linotype" w:eastAsia="Palatino Linotype" w:hAnsi="Palatino Linotype" w:cs="Palatino Linotype"/>
          <w:color w:val="000000"/>
          <w:sz w:val="22"/>
          <w:szCs w:val="22"/>
        </w:rPr>
      </w:pPr>
    </w:p>
    <w:p w14:paraId="7E04C389" w14:textId="77777777" w:rsidR="002A62BF" w:rsidRPr="00BF0955" w:rsidRDefault="00351F3E" w:rsidP="00BF0955">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CE4A5F" w14:textId="77777777" w:rsidR="002A62BF" w:rsidRPr="00BF0955" w:rsidRDefault="002A62BF" w:rsidP="00BF0955">
      <w:pPr>
        <w:pBdr>
          <w:top w:val="nil"/>
          <w:left w:val="nil"/>
          <w:bottom w:val="nil"/>
          <w:right w:val="nil"/>
          <w:between w:val="nil"/>
        </w:pBdr>
        <w:spacing w:line="360" w:lineRule="auto"/>
        <w:ind w:right="-28"/>
        <w:rPr>
          <w:rFonts w:ascii="Palatino Linotype" w:eastAsia="Palatino Linotype" w:hAnsi="Palatino Linotype" w:cs="Palatino Linotype"/>
          <w:color w:val="000000"/>
          <w:sz w:val="22"/>
          <w:szCs w:val="22"/>
        </w:rPr>
      </w:pPr>
    </w:p>
    <w:p w14:paraId="6007CBB1" w14:textId="77777777" w:rsidR="002A62BF" w:rsidRPr="00BF0955" w:rsidRDefault="00351F3E" w:rsidP="00BF0955">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61E3373" w14:textId="77777777" w:rsidR="002A62BF" w:rsidRPr="00BF0955" w:rsidRDefault="002A62BF" w:rsidP="00BF0955">
      <w:pPr>
        <w:pBdr>
          <w:top w:val="nil"/>
          <w:left w:val="nil"/>
          <w:bottom w:val="nil"/>
          <w:right w:val="nil"/>
          <w:between w:val="nil"/>
        </w:pBdr>
        <w:spacing w:line="360" w:lineRule="auto"/>
        <w:ind w:right="-28"/>
        <w:rPr>
          <w:rFonts w:ascii="Palatino Linotype" w:eastAsia="Palatino Linotype" w:hAnsi="Palatino Linotype" w:cs="Palatino Linotype"/>
          <w:color w:val="000000"/>
          <w:sz w:val="22"/>
          <w:szCs w:val="22"/>
        </w:rPr>
      </w:pPr>
    </w:p>
    <w:p w14:paraId="6FA876B3" w14:textId="77777777" w:rsidR="002A62BF" w:rsidRDefault="00351F3E" w:rsidP="00BF0955">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Por ello, excepcionalmente, si un asunto es resuelto con posterioridad a los plazos señalados por la norma debe analizarse la razonabilidad del tiempo necesario para su resolución, atentos a los siguientes criterios:</w:t>
      </w:r>
    </w:p>
    <w:p w14:paraId="2CDEAC83" w14:textId="77777777" w:rsidR="00BF0955" w:rsidRPr="00BF0955" w:rsidRDefault="00BF0955" w:rsidP="00BF095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758CDE40" w14:textId="77777777" w:rsidR="002A62BF" w:rsidRPr="00BF0955" w:rsidRDefault="00351F3E" w:rsidP="00BF0955">
      <w:pPr>
        <w:pBdr>
          <w:top w:val="nil"/>
          <w:left w:val="nil"/>
          <w:bottom w:val="nil"/>
          <w:right w:val="nil"/>
          <w:between w:val="nil"/>
        </w:pBdr>
        <w:ind w:left="567" w:right="539"/>
        <w:jc w:val="both"/>
        <w:rPr>
          <w:rFonts w:ascii="Palatino Linotype" w:eastAsia="Palatino Linotype" w:hAnsi="Palatino Linotype" w:cs="Palatino Linotype"/>
          <w:b/>
          <w:color w:val="000000"/>
          <w:sz w:val="22"/>
          <w:szCs w:val="22"/>
        </w:rPr>
      </w:pPr>
      <w:r w:rsidRPr="00BF0955">
        <w:rPr>
          <w:rFonts w:ascii="Palatino Linotype" w:eastAsia="Palatino Linotype" w:hAnsi="Palatino Linotype" w:cs="Palatino Linotype"/>
          <w:b/>
          <w:color w:val="000000"/>
          <w:sz w:val="22"/>
          <w:szCs w:val="22"/>
        </w:rPr>
        <w:t>a) Complejidad del asunto: La complejidad de la prueba, la pluralidad de sujetos procesales, el tiempo transcurrido, las características y contexto del recurso.</w:t>
      </w:r>
    </w:p>
    <w:p w14:paraId="38373416" w14:textId="77777777" w:rsidR="002A62BF" w:rsidRPr="00BF0955" w:rsidRDefault="00351F3E" w:rsidP="00BF0955">
      <w:pPr>
        <w:pBdr>
          <w:top w:val="nil"/>
          <w:left w:val="nil"/>
          <w:bottom w:val="nil"/>
          <w:right w:val="nil"/>
          <w:between w:val="nil"/>
        </w:pBdr>
        <w:ind w:left="567" w:right="539"/>
        <w:jc w:val="both"/>
        <w:rPr>
          <w:rFonts w:ascii="Palatino Linotype" w:eastAsia="Palatino Linotype" w:hAnsi="Palatino Linotype" w:cs="Palatino Linotype"/>
          <w:b/>
          <w:color w:val="000000"/>
          <w:sz w:val="22"/>
          <w:szCs w:val="22"/>
        </w:rPr>
      </w:pPr>
      <w:r w:rsidRPr="00BF0955">
        <w:rPr>
          <w:rFonts w:ascii="Palatino Linotype" w:eastAsia="Palatino Linotype" w:hAnsi="Palatino Linotype" w:cs="Palatino Linotype"/>
          <w:b/>
          <w:color w:val="000000"/>
          <w:sz w:val="22"/>
          <w:szCs w:val="22"/>
        </w:rPr>
        <w:t>b) Actividad Procesal del interesado: Acciones u omisiones del interesado.</w:t>
      </w:r>
    </w:p>
    <w:p w14:paraId="38D60D21" w14:textId="77777777" w:rsidR="002A62BF" w:rsidRPr="00BF0955" w:rsidRDefault="00351F3E" w:rsidP="00BF0955">
      <w:pPr>
        <w:pBdr>
          <w:top w:val="nil"/>
          <w:left w:val="nil"/>
          <w:bottom w:val="nil"/>
          <w:right w:val="nil"/>
          <w:between w:val="nil"/>
        </w:pBdr>
        <w:ind w:left="567" w:right="539"/>
        <w:jc w:val="both"/>
        <w:rPr>
          <w:rFonts w:ascii="Palatino Linotype" w:eastAsia="Palatino Linotype" w:hAnsi="Palatino Linotype" w:cs="Palatino Linotype"/>
          <w:b/>
          <w:color w:val="000000"/>
          <w:sz w:val="22"/>
          <w:szCs w:val="22"/>
        </w:rPr>
      </w:pPr>
      <w:r w:rsidRPr="00BF0955">
        <w:rPr>
          <w:rFonts w:ascii="Palatino Linotype" w:eastAsia="Palatino Linotype" w:hAnsi="Palatino Linotype" w:cs="Palatino Linotype"/>
          <w:b/>
          <w:color w:val="000000"/>
          <w:sz w:val="22"/>
          <w:szCs w:val="22"/>
        </w:rPr>
        <w:t>c) Conducta de la Autoridad: Las Acciones u omisiones realizadas en el procedimiento. Así como si la autoridad actuó con la debida diligencia.</w:t>
      </w:r>
    </w:p>
    <w:p w14:paraId="06C27C5D" w14:textId="77777777" w:rsidR="002A62BF" w:rsidRPr="00BF0955" w:rsidRDefault="00351F3E" w:rsidP="00BF0955">
      <w:pPr>
        <w:pBdr>
          <w:top w:val="nil"/>
          <w:left w:val="nil"/>
          <w:bottom w:val="nil"/>
          <w:right w:val="nil"/>
          <w:between w:val="nil"/>
        </w:pBdr>
        <w:ind w:left="567" w:right="539"/>
        <w:jc w:val="both"/>
        <w:rPr>
          <w:rFonts w:ascii="Palatino Linotype" w:eastAsia="Palatino Linotype" w:hAnsi="Palatino Linotype" w:cs="Palatino Linotype"/>
          <w:b/>
          <w:color w:val="000000"/>
          <w:sz w:val="22"/>
          <w:szCs w:val="22"/>
        </w:rPr>
      </w:pPr>
      <w:r w:rsidRPr="00BF0955">
        <w:rPr>
          <w:rFonts w:ascii="Palatino Linotype" w:eastAsia="Palatino Linotype" w:hAnsi="Palatino Linotype" w:cs="Palatino Linotype"/>
          <w:b/>
          <w:color w:val="000000"/>
          <w:sz w:val="22"/>
          <w:szCs w:val="22"/>
        </w:rPr>
        <w:t>d) La afectación generada en la situación jurídica de la persona involucrada en el proceso: Violación a sus derechos humanos.</w:t>
      </w:r>
    </w:p>
    <w:p w14:paraId="6E29B94C" w14:textId="77777777" w:rsidR="002A62BF" w:rsidRPr="00BF0955" w:rsidRDefault="002A62BF" w:rsidP="00BF0955">
      <w:pPr>
        <w:pBdr>
          <w:top w:val="nil"/>
          <w:left w:val="nil"/>
          <w:bottom w:val="nil"/>
          <w:right w:val="nil"/>
          <w:between w:val="nil"/>
        </w:pBdr>
        <w:spacing w:line="360" w:lineRule="auto"/>
        <w:ind w:right="-28"/>
        <w:rPr>
          <w:rFonts w:ascii="Palatino Linotype" w:eastAsia="Palatino Linotype" w:hAnsi="Palatino Linotype" w:cs="Palatino Linotype"/>
          <w:color w:val="000000"/>
          <w:sz w:val="22"/>
          <w:szCs w:val="22"/>
        </w:rPr>
      </w:pPr>
    </w:p>
    <w:p w14:paraId="51B69DAE" w14:textId="77777777" w:rsidR="002A62BF" w:rsidRPr="00BF0955" w:rsidRDefault="00351F3E" w:rsidP="00BF0955">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CC0CD4" w14:textId="77777777" w:rsidR="002A62BF" w:rsidRPr="00BF0955" w:rsidRDefault="002A62BF" w:rsidP="00BF095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6014FB14" w14:textId="77777777" w:rsidR="002A62BF" w:rsidRDefault="00351F3E" w:rsidP="00BF0955">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 xml:space="preserve">Argumento que encuentra sustento en la jurisprudencia P./J. 32/92 emitida por el Pleno de la Suprema Corte de Justicia de la Nación </w:t>
      </w:r>
      <w:r w:rsidRPr="00BF0955">
        <w:rPr>
          <w:rFonts w:ascii="Palatino Linotype" w:eastAsia="Palatino Linotype" w:hAnsi="Palatino Linotype" w:cs="Palatino Linotype"/>
          <w:sz w:val="22"/>
          <w:szCs w:val="22"/>
        </w:rPr>
        <w:t>del rubro</w:t>
      </w:r>
      <w:r w:rsidRPr="00BF0955">
        <w:rPr>
          <w:rFonts w:ascii="Palatino Linotype" w:eastAsia="Palatino Linotype" w:hAnsi="Palatino Linotype" w:cs="Palatino Linotype"/>
          <w:color w:val="000000"/>
          <w:sz w:val="22"/>
          <w:szCs w:val="22"/>
        </w:rPr>
        <w:t xml:space="preserve"> “TÉRMINOS PROCESALES. PARA DETERMINAR SI UN FUNCIONARIO JUDICIAL ACTUÓ INDEBIDAMENTE POR NO RESPETARLOS SE DEBE ATENDER AL PRESUPUESTO QUE CONSIDERÓ EL LEGISLADOR AL FIJARLOS Y LAS CARACTERÍSTICAS DEL CASO.”, visible en la Gaceta del </w:t>
      </w:r>
      <w:r w:rsidRPr="00BF0955">
        <w:rPr>
          <w:rFonts w:ascii="Palatino Linotype" w:eastAsia="Palatino Linotype" w:hAnsi="Palatino Linotype" w:cs="Palatino Linotype"/>
          <w:sz w:val="22"/>
          <w:szCs w:val="22"/>
        </w:rPr>
        <w:t>Semanario</w:t>
      </w:r>
      <w:r w:rsidRPr="00BF0955">
        <w:rPr>
          <w:rFonts w:ascii="Palatino Linotype" w:eastAsia="Palatino Linotype" w:hAnsi="Palatino Linotype" w:cs="Palatino Linotype"/>
          <w:color w:val="000000"/>
          <w:sz w:val="22"/>
          <w:szCs w:val="22"/>
        </w:rPr>
        <w:t xml:space="preserve"> Judicial de la Federación con el registro digital 205635.</w:t>
      </w:r>
    </w:p>
    <w:p w14:paraId="1FF114D8" w14:textId="77777777" w:rsidR="00BF0955" w:rsidRPr="00BF0955" w:rsidRDefault="00BF0955" w:rsidP="00BF095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7EB96F7E" w14:textId="77777777" w:rsidR="002A62BF" w:rsidRPr="00BF0955" w:rsidRDefault="00351F3E" w:rsidP="00BF0955">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w:t>
      </w:r>
      <w:r w:rsidRPr="00BF0955">
        <w:rPr>
          <w:rFonts w:ascii="Palatino Linotype" w:eastAsia="Palatino Linotype" w:hAnsi="Palatino Linotype" w:cs="Palatino Linotype"/>
          <w:color w:val="000000"/>
          <w:sz w:val="22"/>
          <w:szCs w:val="22"/>
        </w:rPr>
        <w:lastRenderedPageBreak/>
        <w:t>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F72A7D" w14:textId="77777777" w:rsidR="002A62BF" w:rsidRPr="00BF0955" w:rsidRDefault="002A62BF" w:rsidP="00BF095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6725BEAC" w14:textId="77777777" w:rsidR="002A62BF" w:rsidRDefault="00351F3E" w:rsidP="00BF0955">
      <w:pPr>
        <w:numPr>
          <w:ilvl w:val="0"/>
          <w:numId w:val="4"/>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14:paraId="2E10AE58" w14:textId="77777777" w:rsidR="00BF0955" w:rsidRPr="00BF0955" w:rsidRDefault="00BF0955" w:rsidP="00BF095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50FD21FC" w14:textId="77777777" w:rsidR="002A62BF" w:rsidRPr="00BF0955" w:rsidRDefault="00351F3E" w:rsidP="00BF0955">
      <w:pPr>
        <w:pBdr>
          <w:top w:val="nil"/>
          <w:left w:val="nil"/>
          <w:bottom w:val="nil"/>
          <w:right w:val="nil"/>
          <w:between w:val="nil"/>
        </w:pBdr>
        <w:ind w:left="567" w:right="539"/>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w:t>
      </w:r>
      <w:r w:rsidRPr="00BF0955">
        <w:rPr>
          <w:rFonts w:ascii="Palatino Linotype" w:eastAsia="Palatino Linotype" w:hAnsi="Palatino Linotype" w:cs="Palatino Linotype"/>
          <w:sz w:val="22"/>
          <w:szCs w:val="22"/>
        </w:rPr>
        <w:t>a</w:t>
      </w:r>
      <w:r w:rsidRPr="00BF0955">
        <w:rPr>
          <w:rFonts w:ascii="Palatino Linotype" w:eastAsia="Palatino Linotype" w:hAnsi="Palatino Linotype" w:cs="Palatino Linotype"/>
          <w:color w:val="000000"/>
          <w:sz w:val="22"/>
          <w:szCs w:val="22"/>
        </w:rPr>
        <w:t>nario Judicial de la Federación y su gaceta, con el registro digital 2002351.</w:t>
      </w:r>
    </w:p>
    <w:p w14:paraId="1A0DAD58" w14:textId="77777777" w:rsidR="002A62BF" w:rsidRPr="00BF0955" w:rsidRDefault="00351F3E" w:rsidP="00BF0955">
      <w:pPr>
        <w:pBdr>
          <w:top w:val="nil"/>
          <w:left w:val="nil"/>
          <w:bottom w:val="nil"/>
          <w:right w:val="nil"/>
          <w:between w:val="nil"/>
        </w:pBdr>
        <w:spacing w:after="240"/>
        <w:ind w:left="567" w:right="539"/>
        <w:jc w:val="both"/>
        <w:rPr>
          <w:rFonts w:ascii="Palatino Linotype" w:eastAsia="Palatino Linotype" w:hAnsi="Palatino Linotype" w:cs="Palatino Linotype"/>
          <w:color w:val="000000"/>
          <w:sz w:val="22"/>
          <w:szCs w:val="22"/>
        </w:rPr>
      </w:pPr>
      <w:r w:rsidRPr="00BF0955">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w:t>
      </w:r>
      <w:r w:rsidRPr="00BF0955">
        <w:rPr>
          <w:rFonts w:ascii="Palatino Linotype" w:eastAsia="Palatino Linotype" w:hAnsi="Palatino Linotype" w:cs="Palatino Linotype"/>
          <w:sz w:val="22"/>
          <w:szCs w:val="22"/>
        </w:rPr>
        <w:t>a</w:t>
      </w:r>
      <w:r w:rsidRPr="00BF0955">
        <w:rPr>
          <w:rFonts w:ascii="Palatino Linotype" w:eastAsia="Palatino Linotype" w:hAnsi="Palatino Linotype" w:cs="Palatino Linotype"/>
          <w:color w:val="000000"/>
          <w:sz w:val="22"/>
          <w:szCs w:val="22"/>
        </w:rPr>
        <w:t>nario Judicial de la Federación y su gaceta, con el registro digital 2002350.</w:t>
      </w:r>
    </w:p>
    <w:p w14:paraId="19BFD8EB" w14:textId="77777777" w:rsidR="002A62BF" w:rsidRPr="00BF0955" w:rsidRDefault="002A62BF" w:rsidP="00C43E6F">
      <w:pPr>
        <w:spacing w:before="240" w:after="240"/>
        <w:ind w:right="-28"/>
        <w:rPr>
          <w:rFonts w:ascii="Palatino Linotype" w:eastAsia="Palatino Linotype" w:hAnsi="Palatino Linotype" w:cs="Palatino Linotype"/>
          <w:sz w:val="22"/>
          <w:szCs w:val="22"/>
        </w:rPr>
      </w:pPr>
    </w:p>
    <w:p w14:paraId="6FF181F1" w14:textId="77777777" w:rsidR="002A62BF"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r w:rsidR="00BF0955">
        <w:rPr>
          <w:rFonts w:ascii="Palatino Linotype" w:eastAsia="Palatino Linotype" w:hAnsi="Palatino Linotype" w:cs="Palatino Linotype"/>
          <w:sz w:val="22"/>
          <w:szCs w:val="22"/>
        </w:rPr>
        <w:t>.</w:t>
      </w:r>
    </w:p>
    <w:p w14:paraId="1F12DAD6"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316206F4"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La Comisionada Ponente decretó el cierre de instrucción mediante el </w:t>
      </w:r>
      <w:r w:rsidRPr="00E723F6">
        <w:rPr>
          <w:rFonts w:ascii="Palatino Linotype" w:eastAsia="Palatino Linotype" w:hAnsi="Palatino Linotype" w:cs="Palatino Linotype"/>
          <w:sz w:val="22"/>
          <w:szCs w:val="22"/>
        </w:rPr>
        <w:t xml:space="preserve">acuerdo del </w:t>
      </w:r>
      <w:r w:rsidR="00BF0955" w:rsidRPr="00E723F6">
        <w:rPr>
          <w:rFonts w:ascii="Palatino Linotype" w:eastAsia="Palatino Linotype" w:hAnsi="Palatino Linotype" w:cs="Palatino Linotype"/>
          <w:sz w:val="22"/>
          <w:szCs w:val="22"/>
        </w:rPr>
        <w:t>ocho</w:t>
      </w:r>
      <w:r w:rsidRPr="00E723F6">
        <w:rPr>
          <w:rFonts w:ascii="Palatino Linotype" w:eastAsia="Palatino Linotype" w:hAnsi="Palatino Linotype" w:cs="Palatino Linotype"/>
          <w:sz w:val="22"/>
          <w:szCs w:val="22"/>
        </w:rPr>
        <w:t xml:space="preserve"> de </w:t>
      </w:r>
      <w:r w:rsidR="00C43E6F" w:rsidRPr="00E723F6">
        <w:rPr>
          <w:rFonts w:ascii="Palatino Linotype" w:eastAsia="Palatino Linotype" w:hAnsi="Palatino Linotype" w:cs="Palatino Linotype"/>
          <w:sz w:val="22"/>
          <w:szCs w:val="22"/>
        </w:rPr>
        <w:t>noviembre</w:t>
      </w:r>
      <w:r w:rsidRPr="00E723F6">
        <w:rPr>
          <w:rFonts w:ascii="Palatino Linotype" w:eastAsia="Palatino Linotype" w:hAnsi="Palatino Linotype" w:cs="Palatino Linotype"/>
          <w:sz w:val="22"/>
          <w:szCs w:val="22"/>
        </w:rPr>
        <w:t xml:space="preserve"> de dos mil veinticuatro.--------------------------------------------------------------------</w:t>
      </w:r>
      <w:r w:rsidR="00BF0955" w:rsidRPr="00E723F6">
        <w:rPr>
          <w:rFonts w:ascii="Palatino Linotype" w:eastAsia="Palatino Linotype" w:hAnsi="Palatino Linotype" w:cs="Palatino Linotype"/>
          <w:sz w:val="22"/>
          <w:szCs w:val="22"/>
        </w:rPr>
        <w:t>-----</w:t>
      </w:r>
    </w:p>
    <w:p w14:paraId="18B195DC"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6FCEDCE1" w14:textId="77777777" w:rsidR="002A62BF" w:rsidRPr="00BF0955" w:rsidRDefault="00351F3E" w:rsidP="00BF0955">
      <w:pPr>
        <w:keepNext/>
        <w:keepLines/>
        <w:spacing w:line="360" w:lineRule="auto"/>
        <w:ind w:right="-28"/>
        <w:jc w:val="center"/>
        <w:rPr>
          <w:rFonts w:ascii="Palatino Linotype" w:eastAsia="Palatino Linotype" w:hAnsi="Palatino Linotype" w:cs="Palatino Linotype"/>
          <w:sz w:val="22"/>
          <w:szCs w:val="22"/>
        </w:rPr>
      </w:pPr>
      <w:r w:rsidRPr="00BF0955">
        <w:rPr>
          <w:rFonts w:ascii="Palatino Linotype" w:eastAsia="Palatino Linotype" w:hAnsi="Palatino Linotype" w:cs="Palatino Linotype"/>
          <w:b/>
          <w:sz w:val="22"/>
          <w:szCs w:val="22"/>
        </w:rPr>
        <w:t xml:space="preserve">C O N S I D E R A N D O </w:t>
      </w:r>
    </w:p>
    <w:p w14:paraId="6DFC9A46" w14:textId="77777777" w:rsidR="002A62BF" w:rsidRPr="00BF0955" w:rsidRDefault="002A62BF" w:rsidP="00BF0955">
      <w:pPr>
        <w:spacing w:line="360" w:lineRule="auto"/>
        <w:ind w:right="-28"/>
        <w:rPr>
          <w:rFonts w:ascii="Palatino Linotype" w:eastAsia="Palatino Linotype" w:hAnsi="Palatino Linotype" w:cs="Palatino Linotype"/>
          <w:sz w:val="22"/>
          <w:szCs w:val="22"/>
        </w:rPr>
      </w:pPr>
    </w:p>
    <w:p w14:paraId="0EB7570F" w14:textId="77777777" w:rsidR="002A62BF" w:rsidRPr="00BF0955" w:rsidRDefault="00351F3E" w:rsidP="00BF0955">
      <w:pPr>
        <w:keepNext/>
        <w:keepLines/>
        <w:spacing w:line="360" w:lineRule="auto"/>
        <w:ind w:right="-28"/>
        <w:rPr>
          <w:rFonts w:ascii="Palatino Linotype" w:eastAsia="Palatino Linotype" w:hAnsi="Palatino Linotype" w:cs="Palatino Linotype"/>
          <w:b/>
          <w:sz w:val="22"/>
          <w:szCs w:val="22"/>
        </w:rPr>
      </w:pPr>
      <w:bookmarkStart w:id="1" w:name="_heading=h.3znysh7" w:colFirst="0" w:colLast="0"/>
      <w:bookmarkEnd w:id="1"/>
      <w:r w:rsidRPr="00BF0955">
        <w:rPr>
          <w:rFonts w:ascii="Palatino Linotype" w:eastAsia="Palatino Linotype" w:hAnsi="Palatino Linotype" w:cs="Palatino Linotype"/>
          <w:b/>
          <w:sz w:val="22"/>
          <w:szCs w:val="22"/>
        </w:rPr>
        <w:lastRenderedPageBreak/>
        <w:t>PRIMERO. De la competencia.</w:t>
      </w:r>
    </w:p>
    <w:p w14:paraId="2A939605"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7AEF00CD"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3DFEA126" w14:textId="77777777" w:rsidR="002A62BF" w:rsidRPr="00BF0955" w:rsidRDefault="00351F3E" w:rsidP="00BF0955">
      <w:pPr>
        <w:keepNext/>
        <w:keepLines/>
        <w:spacing w:line="360" w:lineRule="auto"/>
        <w:ind w:right="-28"/>
        <w:rPr>
          <w:rFonts w:ascii="Palatino Linotype" w:eastAsia="Palatino Linotype" w:hAnsi="Palatino Linotype" w:cs="Palatino Linotype"/>
          <w:b/>
          <w:sz w:val="22"/>
          <w:szCs w:val="22"/>
        </w:rPr>
      </w:pPr>
      <w:bookmarkStart w:id="2" w:name="_heading=h.2et92p0" w:colFirst="0" w:colLast="0"/>
      <w:bookmarkEnd w:id="2"/>
      <w:r w:rsidRPr="00BF0955">
        <w:rPr>
          <w:rFonts w:ascii="Palatino Linotype" w:eastAsia="Palatino Linotype" w:hAnsi="Palatino Linotype" w:cs="Palatino Linotype"/>
          <w:b/>
          <w:sz w:val="22"/>
          <w:szCs w:val="22"/>
        </w:rPr>
        <w:t>SEGUNDO. De la oportunidad y procedencia.</w:t>
      </w:r>
    </w:p>
    <w:p w14:paraId="6C78FF33"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El medio de impugnación fue presentado a través del </w:t>
      </w:r>
      <w:r w:rsidRPr="00BF0955">
        <w:rPr>
          <w:rFonts w:ascii="Palatino Linotype" w:eastAsia="Palatino Linotype" w:hAnsi="Palatino Linotype" w:cs="Palatino Linotype"/>
          <w:b/>
          <w:sz w:val="22"/>
          <w:szCs w:val="22"/>
        </w:rPr>
        <w:t>SAIMEX,</w:t>
      </w:r>
      <w:r w:rsidRPr="00BF0955">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entregó respuesta el siete de febrero de dos mil veinticuatro, de tal forma que el plazo para interponer el recurso de revisión transcurrió del ocho al veintiocho de febrero de dos mil veinticuatro; en consecuencia, presentó su inconformidad el siete de febrero de dos mil veinticuatro, por lo que se encuentra dentro de los márgenes temporales previstos en el artículo 178 de la </w:t>
      </w:r>
      <w:r w:rsidRPr="00BF0955">
        <w:rPr>
          <w:rFonts w:ascii="Palatino Linotype" w:eastAsia="Palatino Linotype" w:hAnsi="Palatino Linotype" w:cs="Palatino Linotype"/>
          <w:b/>
          <w:sz w:val="22"/>
          <w:szCs w:val="22"/>
        </w:rPr>
        <w:t xml:space="preserve">Ley de Transparencia y Acceso a la Información Pública del Estado de México y Municipios </w:t>
      </w:r>
      <w:r w:rsidRPr="00BF0955">
        <w:rPr>
          <w:rFonts w:ascii="Palatino Linotype" w:eastAsia="Palatino Linotype" w:hAnsi="Palatino Linotype" w:cs="Palatino Linotype"/>
          <w:sz w:val="22"/>
          <w:szCs w:val="22"/>
        </w:rPr>
        <w:t>vigente.</w:t>
      </w:r>
    </w:p>
    <w:p w14:paraId="78E343E8"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41B10934"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bookmarkStart w:id="3" w:name="_heading=h.3dy6vkm" w:colFirst="0" w:colLast="0"/>
      <w:bookmarkEnd w:id="3"/>
      <w:r w:rsidRPr="00BF0955">
        <w:rPr>
          <w:rFonts w:ascii="Palatino Linotype" w:eastAsia="Palatino Linotype" w:hAnsi="Palatino Linotype" w:cs="Palatino Linotype"/>
          <w:sz w:val="22"/>
          <w:szCs w:val="22"/>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FBAD559" w14:textId="77777777" w:rsidR="002A62BF" w:rsidRPr="00BF0955" w:rsidRDefault="00351F3E" w:rsidP="00BF0955">
      <w:pPr>
        <w:spacing w:line="360" w:lineRule="auto"/>
        <w:ind w:right="-28"/>
        <w:jc w:val="both"/>
        <w:rPr>
          <w:rFonts w:ascii="Palatino Linotype" w:eastAsia="Palatino Linotype" w:hAnsi="Palatino Linotype" w:cs="Palatino Linotype"/>
          <w:b/>
          <w:sz w:val="22"/>
          <w:szCs w:val="22"/>
        </w:rPr>
      </w:pPr>
      <w:r w:rsidRPr="00BF0955">
        <w:rPr>
          <w:rFonts w:ascii="Palatino Linotype" w:eastAsia="Palatino Linotype" w:hAnsi="Palatino Linotype" w:cs="Palatino Linotype"/>
          <w:b/>
          <w:sz w:val="22"/>
          <w:szCs w:val="22"/>
        </w:rPr>
        <w:lastRenderedPageBreak/>
        <w:t>TERCERO. Planteamiento de la Litis.</w:t>
      </w:r>
    </w:p>
    <w:p w14:paraId="7D979FC7"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El </w:t>
      </w:r>
      <w:r w:rsidRPr="00BF0955">
        <w:rPr>
          <w:rFonts w:ascii="Palatino Linotype" w:eastAsia="Palatino Linotype" w:hAnsi="Palatino Linotype" w:cs="Palatino Linotype"/>
          <w:b/>
          <w:sz w:val="22"/>
          <w:szCs w:val="22"/>
        </w:rPr>
        <w:t>RECURRENTE</w:t>
      </w:r>
      <w:r w:rsidRPr="00BF0955">
        <w:rPr>
          <w:rFonts w:ascii="Palatino Linotype" w:eastAsia="Palatino Linotype" w:hAnsi="Palatino Linotype" w:cs="Palatino Linotype"/>
          <w:sz w:val="22"/>
          <w:szCs w:val="22"/>
        </w:rPr>
        <w:t xml:space="preserve"> solicitó la </w:t>
      </w:r>
      <w:r w:rsidRPr="00BF0955">
        <w:rPr>
          <w:rFonts w:ascii="Palatino Linotype" w:eastAsia="Palatino Linotype" w:hAnsi="Palatino Linotype" w:cs="Palatino Linotype"/>
          <w:color w:val="000000"/>
          <w:sz w:val="22"/>
          <w:szCs w:val="22"/>
        </w:rPr>
        <w:t xml:space="preserve">carta finiquito y oficio de cancelación de </w:t>
      </w:r>
      <w:r w:rsidRPr="00BF0955">
        <w:rPr>
          <w:rFonts w:ascii="Palatino Linotype" w:eastAsia="Palatino Linotype" w:hAnsi="Palatino Linotype" w:cs="Palatino Linotype"/>
          <w:sz w:val="22"/>
          <w:szCs w:val="22"/>
        </w:rPr>
        <w:t>cláusula</w:t>
      </w:r>
      <w:r w:rsidRPr="00BF0955">
        <w:rPr>
          <w:rFonts w:ascii="Palatino Linotype" w:eastAsia="Palatino Linotype" w:hAnsi="Palatino Linotype" w:cs="Palatino Linotype"/>
          <w:color w:val="000000"/>
          <w:sz w:val="22"/>
          <w:szCs w:val="22"/>
        </w:rPr>
        <w:t xml:space="preserve"> resarcitoria respecto del inmueble descrito en la solicitud de información.</w:t>
      </w:r>
    </w:p>
    <w:p w14:paraId="3CD99D70"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0379AD2E"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En respuesta, el </w:t>
      </w:r>
      <w:r w:rsidRPr="00BF0955">
        <w:rPr>
          <w:rFonts w:ascii="Palatino Linotype" w:eastAsia="Palatino Linotype" w:hAnsi="Palatino Linotype" w:cs="Palatino Linotype"/>
          <w:b/>
          <w:sz w:val="22"/>
          <w:szCs w:val="22"/>
        </w:rPr>
        <w:t xml:space="preserve">SUJETO OBLIGADO </w:t>
      </w:r>
      <w:r w:rsidRPr="00BF0955">
        <w:rPr>
          <w:rFonts w:ascii="Palatino Linotype" w:eastAsia="Palatino Linotype" w:hAnsi="Palatino Linotype" w:cs="Palatino Linotype"/>
          <w:sz w:val="22"/>
          <w:szCs w:val="22"/>
        </w:rPr>
        <w:t xml:space="preserve">informó su incompetencia para atender la solicitud de información, asimismo, sugirió al Particular ingresar una nueva solicitud al Instituto Mexiquense de la Vivienda Social (IMEVIS) o a la Secretaría de Desarrollo Urbano e Infraestructura. Motivo de inconformidad del </w:t>
      </w:r>
      <w:r w:rsidRPr="00BF0955">
        <w:rPr>
          <w:rFonts w:ascii="Palatino Linotype" w:eastAsia="Palatino Linotype" w:hAnsi="Palatino Linotype" w:cs="Palatino Linotype"/>
          <w:b/>
          <w:sz w:val="22"/>
          <w:szCs w:val="22"/>
        </w:rPr>
        <w:t>RECURRENTE.</w:t>
      </w:r>
    </w:p>
    <w:p w14:paraId="6DF568DE"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7AC4FE76" w14:textId="77777777" w:rsidR="002A62BF"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En dichas condiciones, la </w:t>
      </w:r>
      <w:r w:rsidRPr="00BF0955">
        <w:rPr>
          <w:rFonts w:ascii="Palatino Linotype" w:eastAsia="Palatino Linotype" w:hAnsi="Palatino Linotype" w:cs="Palatino Linotype"/>
          <w:i/>
          <w:sz w:val="22"/>
          <w:szCs w:val="22"/>
        </w:rPr>
        <w:t>Litis</w:t>
      </w:r>
      <w:r w:rsidRPr="00BF0955">
        <w:rPr>
          <w:rFonts w:ascii="Palatino Linotype" w:eastAsia="Palatino Linotype" w:hAnsi="Palatino Linotype" w:cs="Palatino Linotype"/>
          <w:sz w:val="22"/>
          <w:szCs w:val="22"/>
        </w:rPr>
        <w:t xml:space="preserve"> a resolver en el presente recurso de revisión se circunscribe a determinar si se actualizan la causal de procedencia prevista en el artículo 179, fracción</w:t>
      </w:r>
      <w:r w:rsidRPr="00BF0955">
        <w:rPr>
          <w:rFonts w:ascii="Palatino Linotype" w:eastAsia="Palatino Linotype" w:hAnsi="Palatino Linotype" w:cs="Palatino Linotype"/>
          <w:b/>
          <w:sz w:val="22"/>
          <w:szCs w:val="22"/>
        </w:rPr>
        <w:t xml:space="preserve"> I y IV</w:t>
      </w:r>
      <w:r w:rsidRPr="00BF0955">
        <w:rPr>
          <w:rFonts w:ascii="Palatino Linotype" w:eastAsia="Palatino Linotype" w:hAnsi="Palatino Linotype" w:cs="Palatino Linotype"/>
          <w:sz w:val="22"/>
          <w:szCs w:val="22"/>
        </w:rPr>
        <w:t xml:space="preserve"> de la </w:t>
      </w:r>
      <w:r w:rsidRPr="00BF0955">
        <w:rPr>
          <w:rFonts w:ascii="Palatino Linotype" w:eastAsia="Palatino Linotype" w:hAnsi="Palatino Linotype" w:cs="Palatino Linotype"/>
          <w:b/>
          <w:sz w:val="22"/>
          <w:szCs w:val="22"/>
        </w:rPr>
        <w:t>Ley de Transparencia y Acceso a la Información Pública del Estado de México y Municipios</w:t>
      </w:r>
      <w:r w:rsidRPr="00BF0955">
        <w:rPr>
          <w:rFonts w:ascii="Palatino Linotype" w:eastAsia="Palatino Linotype" w:hAnsi="Palatino Linotype" w:cs="Palatino Linotype"/>
          <w:sz w:val="22"/>
          <w:szCs w:val="22"/>
        </w:rPr>
        <w:t>.</w:t>
      </w:r>
    </w:p>
    <w:p w14:paraId="7262F1C5"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58E20AFA" w14:textId="77777777" w:rsidR="002A62BF" w:rsidRPr="00BF0955" w:rsidRDefault="00351F3E" w:rsidP="00BF0955">
      <w:pPr>
        <w:pStyle w:val="Ttulo2"/>
        <w:spacing w:before="0" w:line="360" w:lineRule="auto"/>
        <w:ind w:right="-28"/>
        <w:rPr>
          <w:rFonts w:ascii="Palatino Linotype" w:eastAsia="Palatino Linotype" w:hAnsi="Palatino Linotype" w:cs="Palatino Linotype"/>
          <w:b/>
          <w:color w:val="000000"/>
          <w:sz w:val="22"/>
          <w:szCs w:val="22"/>
        </w:rPr>
      </w:pPr>
      <w:bookmarkStart w:id="4" w:name="_heading=h.tyjcwt" w:colFirst="0" w:colLast="0"/>
      <w:bookmarkEnd w:id="4"/>
      <w:r w:rsidRPr="00BF0955">
        <w:rPr>
          <w:rFonts w:ascii="Palatino Linotype" w:eastAsia="Palatino Linotype" w:hAnsi="Palatino Linotype" w:cs="Palatino Linotype"/>
          <w:b/>
          <w:color w:val="000000"/>
          <w:sz w:val="22"/>
          <w:szCs w:val="22"/>
        </w:rPr>
        <w:t>CUARTA. Estudio y resolución del asunto.</w:t>
      </w:r>
    </w:p>
    <w:p w14:paraId="72CBEEC3"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El </w:t>
      </w:r>
      <w:r w:rsidRPr="00BF0955">
        <w:rPr>
          <w:rFonts w:ascii="Palatino Linotype" w:eastAsia="Palatino Linotype" w:hAnsi="Palatino Linotype" w:cs="Palatino Linotype"/>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BF0955">
        <w:rPr>
          <w:rFonts w:ascii="Palatino Linotype" w:eastAsia="Palatino Linotype" w:hAnsi="Palatino Linotype" w:cs="Palatino Linotype"/>
          <w:sz w:val="22"/>
          <w:szCs w:val="22"/>
        </w:rPr>
        <w:t>Particular</w:t>
      </w:r>
      <w:r w:rsidRPr="00BF0955">
        <w:rPr>
          <w:rFonts w:ascii="Palatino Linotype" w:eastAsia="Palatino Linotype" w:hAnsi="Palatino Linotype" w:cs="Palatino Linotype"/>
          <w:color w:val="000000"/>
          <w:sz w:val="22"/>
          <w:szCs w:val="22"/>
        </w:rPr>
        <w:t xml:space="preserve"> del Estado de México.</w:t>
      </w:r>
    </w:p>
    <w:p w14:paraId="149395CB"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7CE65666"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color w:val="000000"/>
          <w:sz w:val="22"/>
          <w:szCs w:val="22"/>
        </w:rPr>
        <w:t xml:space="preserve">Definiendo </w:t>
      </w:r>
      <w:r w:rsidRPr="00BF0955">
        <w:rPr>
          <w:rFonts w:ascii="Palatino Linotype" w:eastAsia="Palatino Linotype" w:hAnsi="Palatino Linotype" w:cs="Palatino Linotype"/>
          <w:sz w:val="22"/>
          <w:szCs w:val="22"/>
        </w:rPr>
        <w:t xml:space="preserve">el Derecho de Acceso a la Información Pública como: </w:t>
      </w:r>
      <w:r w:rsidRPr="00BF0955">
        <w:rPr>
          <w:rFonts w:ascii="Palatino Linotype" w:eastAsia="Palatino Linotype" w:hAnsi="Palatino Linotype" w:cs="Palatino Linotype"/>
          <w:i/>
          <w:color w:val="000000"/>
          <w:sz w:val="22"/>
          <w:szCs w:val="22"/>
        </w:rPr>
        <w:t xml:space="preserve">La igualdad de </w:t>
      </w:r>
      <w:r w:rsidRPr="00BF0955">
        <w:rPr>
          <w:rFonts w:ascii="Palatino Linotype" w:eastAsia="Palatino Linotype" w:hAnsi="Palatino Linotype" w:cs="Palatino Linotype"/>
          <w:sz w:val="22"/>
          <w:szCs w:val="22"/>
        </w:rPr>
        <w:t>oportunidades</w:t>
      </w:r>
      <w:r w:rsidRPr="00BF0955">
        <w:rPr>
          <w:rFonts w:ascii="Palatino Linotype" w:eastAsia="Palatino Linotype" w:hAnsi="Palatino Linotype" w:cs="Palatino Linotype"/>
          <w:i/>
          <w:color w:val="000000"/>
          <w:sz w:val="22"/>
          <w:szCs w:val="22"/>
        </w:rPr>
        <w:t xml:space="preserve"> para recibir, buscar e impartir información</w:t>
      </w:r>
      <w:r w:rsidRPr="00BF0955">
        <w:rPr>
          <w:rFonts w:ascii="Palatino Linotype" w:eastAsia="Palatino Linotype" w:hAnsi="Palatino Linotype" w:cs="Palatino Linotype"/>
          <w:i/>
          <w:color w:val="000000"/>
          <w:sz w:val="22"/>
          <w:szCs w:val="22"/>
          <w:vertAlign w:val="superscript"/>
        </w:rPr>
        <w:footnoteReference w:id="1"/>
      </w:r>
      <w:r w:rsidRPr="00BF0955">
        <w:rPr>
          <w:rFonts w:ascii="Palatino Linotype" w:eastAsia="Palatino Linotype" w:hAnsi="Palatino Linotype" w:cs="Palatino Linotype"/>
          <w:i/>
          <w:color w:val="000000"/>
          <w:sz w:val="22"/>
          <w:szCs w:val="22"/>
        </w:rPr>
        <w:t xml:space="preserve">en posesión de cualquier autoridad, entidad, órgano y organismo de los poderes Ejecutivo, Legislativo y Judicial, órganos autónomos, partidos </w:t>
      </w:r>
      <w:r w:rsidRPr="00BF0955">
        <w:rPr>
          <w:rFonts w:ascii="Palatino Linotype" w:eastAsia="Palatino Linotype" w:hAnsi="Palatino Linotype" w:cs="Palatino Linotype"/>
          <w:i/>
          <w:color w:val="000000"/>
          <w:sz w:val="22"/>
          <w:szCs w:val="22"/>
        </w:rPr>
        <w:lastRenderedPageBreak/>
        <w:t>políticos, fideicomisos y fondos públicos, así como de cualquier persona física, moral o sindicato que reciba y ejerza recursos públicos o realice actos de autoridad en el ámbito federal, estatal y municipal,</w:t>
      </w:r>
      <w:r w:rsidRPr="00BF0955">
        <w:rPr>
          <w:rFonts w:ascii="Palatino Linotype" w:eastAsia="Palatino Linotype" w:hAnsi="Palatino Linotype" w:cs="Palatino Linotype"/>
          <w:i/>
          <w:color w:val="000000"/>
          <w:sz w:val="22"/>
          <w:szCs w:val="22"/>
          <w:vertAlign w:val="superscript"/>
        </w:rPr>
        <w:footnoteReference w:id="2"/>
      </w:r>
      <w:r w:rsidRPr="00BF0955">
        <w:rPr>
          <w:rFonts w:ascii="Palatino Linotype" w:eastAsia="Palatino Linotype" w:hAnsi="Palatino Linotype" w:cs="Palatino Linotype"/>
          <w:color w:val="000000"/>
          <w:sz w:val="22"/>
          <w:szCs w:val="22"/>
        </w:rPr>
        <w:t>que se constituye como una herramienta fundamental para ejercer</w:t>
      </w:r>
      <w:r w:rsidRPr="00BF0955">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BF0955">
        <w:rPr>
          <w:rFonts w:ascii="Palatino Linotype" w:eastAsia="Palatino Linotype" w:hAnsi="Palatino Linotype" w:cs="Palatino Linotype"/>
          <w:i/>
          <w:color w:val="000000"/>
          <w:sz w:val="22"/>
          <w:szCs w:val="22"/>
          <w:vertAlign w:val="superscript"/>
        </w:rPr>
        <w:footnoteReference w:id="3"/>
      </w:r>
      <w:r w:rsidRPr="00BF0955">
        <w:rPr>
          <w:rFonts w:ascii="Palatino Linotype" w:eastAsia="Palatino Linotype" w:hAnsi="Palatino Linotype" w:cs="Palatino Linotype"/>
          <w:color w:val="000000"/>
          <w:sz w:val="22"/>
          <w:szCs w:val="22"/>
        </w:rPr>
        <w:t>fomentando</w:t>
      </w:r>
      <w:r w:rsidRPr="00BF0955">
        <w:rPr>
          <w:rFonts w:ascii="Palatino Linotype" w:eastAsia="Palatino Linotype" w:hAnsi="Palatino Linotype" w:cs="Palatino Linotype"/>
          <w:i/>
          <w:color w:val="000000"/>
          <w:sz w:val="22"/>
          <w:szCs w:val="22"/>
        </w:rPr>
        <w:t xml:space="preserve"> la transparencia de las actividades estatales y </w:t>
      </w:r>
      <w:r w:rsidRPr="00BF0955">
        <w:rPr>
          <w:rFonts w:ascii="Palatino Linotype" w:eastAsia="Palatino Linotype" w:hAnsi="Palatino Linotype" w:cs="Palatino Linotype"/>
          <w:color w:val="000000"/>
          <w:sz w:val="22"/>
          <w:szCs w:val="22"/>
        </w:rPr>
        <w:t>promoviendo</w:t>
      </w:r>
      <w:r w:rsidRPr="00BF0955">
        <w:rPr>
          <w:rFonts w:ascii="Palatino Linotype" w:eastAsia="Palatino Linotype" w:hAnsi="Palatino Linotype" w:cs="Palatino Linotype"/>
          <w:i/>
          <w:color w:val="000000"/>
          <w:sz w:val="22"/>
          <w:szCs w:val="22"/>
        </w:rPr>
        <w:t xml:space="preserve"> la responsabilidad de los funcionarios sobre su gestión pública,</w:t>
      </w:r>
      <w:r w:rsidRPr="00BF0955">
        <w:rPr>
          <w:rFonts w:ascii="Palatino Linotype" w:eastAsia="Palatino Linotype" w:hAnsi="Palatino Linotype" w:cs="Palatino Linotype"/>
          <w:i/>
          <w:color w:val="000000"/>
          <w:sz w:val="22"/>
          <w:szCs w:val="22"/>
          <w:vertAlign w:val="superscript"/>
        </w:rPr>
        <w:footnoteReference w:id="4"/>
      </w:r>
      <w:r w:rsidRPr="00BF0955">
        <w:rPr>
          <w:rFonts w:ascii="Palatino Linotype" w:eastAsia="Palatino Linotype" w:hAnsi="Palatino Linotype" w:cs="Palatino Linotype"/>
          <w:color w:val="000000"/>
          <w:sz w:val="22"/>
          <w:szCs w:val="22"/>
        </w:rPr>
        <w:t>que permite</w:t>
      </w:r>
      <w:r w:rsidRPr="00BF0955">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14:paraId="2B8D761A"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6CF87E69" w14:textId="77777777" w:rsidR="002A62BF"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color w:val="000000"/>
          <w:sz w:val="22"/>
          <w:szCs w:val="22"/>
        </w:rPr>
        <w:t xml:space="preserve">En </w:t>
      </w:r>
      <w:r w:rsidRPr="00BF0955">
        <w:rPr>
          <w:rFonts w:ascii="Palatino Linotype" w:eastAsia="Palatino Linotype" w:hAnsi="Palatino Linotype" w:cs="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14:paraId="1416807A"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3E4B8563"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w:t>
      </w:r>
      <w:r w:rsidRPr="00BF0955">
        <w:rPr>
          <w:rFonts w:ascii="Palatino Linotype" w:eastAsia="Palatino Linotype" w:hAnsi="Palatino Linotype" w:cs="Palatino Linotype"/>
          <w:b/>
          <w:i/>
          <w:sz w:val="22"/>
          <w:szCs w:val="22"/>
        </w:rPr>
        <w:t>Artículo 1.-</w:t>
      </w:r>
      <w:r w:rsidRPr="00BF0955">
        <w:rPr>
          <w:rFonts w:ascii="Palatino Linotype" w:eastAsia="Palatino Linotype" w:hAnsi="Palatino Linotype" w:cs="Palatino Linotype"/>
          <w:i/>
          <w:sz w:val="22"/>
          <w:szCs w:val="22"/>
        </w:rPr>
        <w:t xml:space="preserve"> </w:t>
      </w:r>
    </w:p>
    <w:p w14:paraId="7249023A"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w:t>
      </w:r>
    </w:p>
    <w:p w14:paraId="75E74E0C"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Todas las</w:t>
      </w:r>
      <w:r w:rsidRPr="00BF0955">
        <w:rPr>
          <w:rFonts w:ascii="Palatino Linotype" w:eastAsia="Palatino Linotype" w:hAnsi="Palatino Linotype" w:cs="Palatino Linotype"/>
          <w:sz w:val="22"/>
          <w:szCs w:val="22"/>
        </w:rPr>
        <w:t xml:space="preserve"> </w:t>
      </w:r>
      <w:r w:rsidRPr="00BF0955">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5AA209D" w14:textId="77777777" w:rsidR="002A62BF" w:rsidRPr="00BF0955" w:rsidRDefault="00351F3E" w:rsidP="00BF0955">
      <w:pPr>
        <w:ind w:left="567" w:right="539"/>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i/>
          <w:sz w:val="22"/>
          <w:szCs w:val="22"/>
        </w:rPr>
        <w:t>(…)</w:t>
      </w:r>
      <w:r w:rsidRPr="00BF0955">
        <w:rPr>
          <w:rFonts w:ascii="Palatino Linotype" w:eastAsia="Palatino Linotype" w:hAnsi="Palatino Linotype" w:cs="Palatino Linotype"/>
          <w:sz w:val="22"/>
          <w:szCs w:val="22"/>
        </w:rPr>
        <w:t>”</w:t>
      </w:r>
    </w:p>
    <w:p w14:paraId="2AB2036C"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0A3A1EA7"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color w:val="000000"/>
          <w:sz w:val="22"/>
          <w:szCs w:val="22"/>
        </w:rPr>
        <w:t xml:space="preserve">Por </w:t>
      </w:r>
      <w:r w:rsidRPr="00BF0955">
        <w:rPr>
          <w:rFonts w:ascii="Palatino Linotype" w:eastAsia="Palatino Linotype" w:hAnsi="Palatino Linotype" w:cs="Palatino Linotype"/>
          <w:sz w:val="22"/>
          <w:szCs w:val="22"/>
        </w:rPr>
        <w:t xml:space="preserve">lo anterior, se deduce que el Derecho de Acceso a la Información Pública es un Derecho Humano de Fuente Internacional y Constitucionalmente reconocido. Además del </w:t>
      </w:r>
      <w:r w:rsidRPr="00BF0955">
        <w:rPr>
          <w:rFonts w:ascii="Palatino Linotype" w:eastAsia="Palatino Linotype" w:hAnsi="Palatino Linotype" w:cs="Palatino Linotype"/>
          <w:sz w:val="22"/>
          <w:szCs w:val="22"/>
        </w:rPr>
        <w:lastRenderedPageBreak/>
        <w:t>derecho, también se reconocen garantías para su protección, lo que vincula con el mandato del párrafo tercero del mismo artículo.</w:t>
      </w:r>
    </w:p>
    <w:p w14:paraId="72B6AD07"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6518E6DE" w14:textId="77777777" w:rsidR="002A62BF"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color w:val="000000"/>
          <w:sz w:val="22"/>
          <w:szCs w:val="22"/>
        </w:rPr>
        <w:t xml:space="preserve">Así </w:t>
      </w:r>
      <w:r w:rsidRPr="00BF0955">
        <w:rPr>
          <w:rFonts w:ascii="Palatino Linotype" w:eastAsia="Palatino Linotype" w:hAnsi="Palatino Linotype" w:cs="Palatino Linotype"/>
          <w:sz w:val="22"/>
          <w:szCs w:val="22"/>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75DC046"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32A5E6F1" w14:textId="77777777" w:rsidR="002A62BF" w:rsidRPr="00BF0955" w:rsidRDefault="00351F3E" w:rsidP="00BF0955">
      <w:pPr>
        <w:ind w:left="567" w:right="539"/>
        <w:jc w:val="center"/>
        <w:rPr>
          <w:rFonts w:ascii="Palatino Linotype" w:eastAsia="Palatino Linotype" w:hAnsi="Palatino Linotype" w:cs="Palatino Linotype"/>
          <w:b/>
          <w:i/>
          <w:sz w:val="22"/>
          <w:szCs w:val="22"/>
        </w:rPr>
      </w:pPr>
      <w:r w:rsidRPr="00BF0955">
        <w:rPr>
          <w:rFonts w:ascii="Palatino Linotype" w:eastAsia="Palatino Linotype" w:hAnsi="Palatino Linotype" w:cs="Palatino Linotype"/>
          <w:b/>
          <w:i/>
          <w:sz w:val="22"/>
          <w:szCs w:val="22"/>
        </w:rPr>
        <w:t>Constitución Política de los Estados Unidos Mexicanos</w:t>
      </w:r>
    </w:p>
    <w:p w14:paraId="21997728" w14:textId="77777777" w:rsidR="002A62BF" w:rsidRPr="00BF0955" w:rsidRDefault="002A62BF" w:rsidP="00BF0955">
      <w:pPr>
        <w:ind w:left="567" w:right="539"/>
        <w:jc w:val="center"/>
        <w:rPr>
          <w:rFonts w:ascii="Palatino Linotype" w:eastAsia="Palatino Linotype" w:hAnsi="Palatino Linotype" w:cs="Palatino Linotype"/>
          <w:b/>
          <w:i/>
          <w:sz w:val="22"/>
          <w:szCs w:val="22"/>
        </w:rPr>
      </w:pPr>
    </w:p>
    <w:p w14:paraId="177CF793" w14:textId="77777777" w:rsidR="002A62BF" w:rsidRPr="00BF0955" w:rsidRDefault="00351F3E" w:rsidP="00BF0955">
      <w:pPr>
        <w:ind w:left="567" w:right="539"/>
        <w:jc w:val="center"/>
        <w:rPr>
          <w:rFonts w:ascii="Palatino Linotype" w:eastAsia="Palatino Linotype" w:hAnsi="Palatino Linotype" w:cs="Palatino Linotype"/>
          <w:b/>
          <w:i/>
          <w:sz w:val="22"/>
          <w:szCs w:val="22"/>
        </w:rPr>
      </w:pPr>
      <w:r w:rsidRPr="00BF0955">
        <w:rPr>
          <w:rFonts w:ascii="Palatino Linotype" w:eastAsia="Palatino Linotype" w:hAnsi="Palatino Linotype" w:cs="Palatino Linotype"/>
          <w:b/>
          <w:i/>
          <w:sz w:val="22"/>
          <w:szCs w:val="22"/>
        </w:rPr>
        <w:t>“Artículo 6.</w:t>
      </w:r>
      <w:r w:rsidRPr="00BF0955">
        <w:rPr>
          <w:rFonts w:ascii="Palatino Linotype" w:eastAsia="Palatino Linotype" w:hAnsi="Palatino Linotype" w:cs="Palatino Linotype"/>
          <w:i/>
          <w:sz w:val="22"/>
          <w:szCs w:val="22"/>
        </w:rPr>
        <w:t xml:space="preserve"> …</w:t>
      </w:r>
    </w:p>
    <w:p w14:paraId="3032852A"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w:t>
      </w:r>
    </w:p>
    <w:p w14:paraId="1D2B7008"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Para efectos de lo dispuesto en el presente artículo se observará lo siguiente:</w:t>
      </w:r>
    </w:p>
    <w:p w14:paraId="2675993B" w14:textId="77777777" w:rsidR="002A62BF" w:rsidRPr="00BF0955" w:rsidRDefault="00351F3E" w:rsidP="00BF0955">
      <w:pPr>
        <w:ind w:left="567" w:right="539"/>
        <w:jc w:val="both"/>
        <w:rPr>
          <w:rFonts w:ascii="Palatino Linotype" w:eastAsia="Palatino Linotype" w:hAnsi="Palatino Linotype" w:cs="Palatino Linotype"/>
          <w:b/>
          <w:i/>
          <w:sz w:val="22"/>
          <w:szCs w:val="22"/>
        </w:rPr>
      </w:pPr>
      <w:r w:rsidRPr="00BF0955">
        <w:rPr>
          <w:rFonts w:ascii="Palatino Linotype" w:eastAsia="Palatino Linotype" w:hAnsi="Palatino Linotype" w:cs="Palatino Linotype"/>
          <w:b/>
          <w:i/>
          <w:sz w:val="22"/>
          <w:szCs w:val="22"/>
        </w:rPr>
        <w:t>A</w:t>
      </w:r>
      <w:r w:rsidRPr="00BF0955">
        <w:rPr>
          <w:rFonts w:ascii="Palatino Linotype" w:eastAsia="Palatino Linotype" w:hAnsi="Palatino Linotype" w:cs="Palatino Linotype"/>
          <w:i/>
          <w:sz w:val="22"/>
          <w:szCs w:val="22"/>
        </w:rPr>
        <w:t xml:space="preserve">. </w:t>
      </w:r>
      <w:r w:rsidRPr="00BF0955">
        <w:rPr>
          <w:rFonts w:ascii="Palatino Linotype" w:eastAsia="Palatino Linotype" w:hAnsi="Palatino Linotype" w:cs="Palatino Linotype"/>
          <w:b/>
          <w:i/>
          <w:sz w:val="22"/>
          <w:szCs w:val="22"/>
        </w:rPr>
        <w:t>Para el ejercicio del derecho de acceso a la información</w:t>
      </w:r>
      <w:r w:rsidRPr="00BF0955">
        <w:rPr>
          <w:rFonts w:ascii="Palatino Linotype" w:eastAsia="Palatino Linotype" w:hAnsi="Palatino Linotype" w:cs="Palatino Linotype"/>
          <w:i/>
          <w:sz w:val="22"/>
          <w:szCs w:val="22"/>
        </w:rPr>
        <w:t xml:space="preserve">, la Federación y </w:t>
      </w:r>
      <w:r w:rsidRPr="00BF0955">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08843A5D"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rPr>
        <w:t xml:space="preserve">I. </w:t>
      </w:r>
      <w:r w:rsidRPr="00BF0955">
        <w:rPr>
          <w:rFonts w:ascii="Palatino Linotype" w:eastAsia="Palatino Linotype" w:hAnsi="Palatino Linotype" w:cs="Palatino Linotype"/>
          <w:b/>
          <w:i/>
          <w:sz w:val="22"/>
          <w:szCs w:val="22"/>
        </w:rPr>
        <w:tab/>
        <w:t>Toda la información en posesión de cualquier</w:t>
      </w:r>
      <w:r w:rsidRPr="00BF0955">
        <w:rPr>
          <w:rFonts w:ascii="Palatino Linotype" w:eastAsia="Palatino Linotype" w:hAnsi="Palatino Linotype" w:cs="Palatino Linotype"/>
          <w:i/>
          <w:sz w:val="22"/>
          <w:szCs w:val="22"/>
        </w:rPr>
        <w:t xml:space="preserve"> </w:t>
      </w:r>
      <w:r w:rsidRPr="00BF0955">
        <w:rPr>
          <w:rFonts w:ascii="Palatino Linotype" w:eastAsia="Palatino Linotype" w:hAnsi="Palatino Linotype" w:cs="Palatino Linotype"/>
          <w:b/>
          <w:i/>
          <w:sz w:val="22"/>
          <w:szCs w:val="22"/>
        </w:rPr>
        <w:t>autoridad</w:t>
      </w:r>
      <w:r w:rsidRPr="00BF0955">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F0955">
        <w:rPr>
          <w:rFonts w:ascii="Palatino Linotype" w:eastAsia="Palatino Linotype" w:hAnsi="Palatino Linotype" w:cs="Palatino Linotype"/>
          <w:b/>
          <w:i/>
          <w:sz w:val="22"/>
          <w:szCs w:val="22"/>
        </w:rPr>
        <w:t>municipal</w:t>
      </w:r>
      <w:r w:rsidRPr="00BF0955">
        <w:rPr>
          <w:rFonts w:ascii="Palatino Linotype" w:eastAsia="Palatino Linotype" w:hAnsi="Palatino Linotype" w:cs="Palatino Linotype"/>
          <w:i/>
          <w:sz w:val="22"/>
          <w:szCs w:val="22"/>
        </w:rPr>
        <w:t xml:space="preserve">, </w:t>
      </w:r>
      <w:r w:rsidRPr="00BF0955">
        <w:rPr>
          <w:rFonts w:ascii="Palatino Linotype" w:eastAsia="Palatino Linotype" w:hAnsi="Palatino Linotype" w:cs="Palatino Linotype"/>
          <w:b/>
          <w:i/>
          <w:sz w:val="22"/>
          <w:szCs w:val="22"/>
        </w:rPr>
        <w:t>es pública</w:t>
      </w:r>
      <w:r w:rsidRPr="00BF0955">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BF0955">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BF0955">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3BFB1AA" w14:textId="77777777" w:rsidR="002A62BF" w:rsidRPr="00BF0955" w:rsidRDefault="002A62BF" w:rsidP="00BF0955">
      <w:pPr>
        <w:tabs>
          <w:tab w:val="left" w:pos="426"/>
          <w:tab w:val="left" w:pos="567"/>
        </w:tabs>
        <w:ind w:left="567" w:right="539"/>
        <w:jc w:val="both"/>
        <w:rPr>
          <w:rFonts w:ascii="Palatino Linotype" w:eastAsia="Palatino Linotype" w:hAnsi="Palatino Linotype" w:cs="Palatino Linotype"/>
          <w:color w:val="000000"/>
          <w:sz w:val="22"/>
          <w:szCs w:val="22"/>
        </w:rPr>
      </w:pPr>
    </w:p>
    <w:p w14:paraId="7C0FA337" w14:textId="77777777" w:rsidR="002A62BF" w:rsidRPr="00BF0955" w:rsidRDefault="00351F3E" w:rsidP="00BF0955">
      <w:pPr>
        <w:ind w:left="567" w:right="539"/>
        <w:jc w:val="center"/>
        <w:rPr>
          <w:rFonts w:ascii="Palatino Linotype" w:eastAsia="Palatino Linotype" w:hAnsi="Palatino Linotype" w:cs="Palatino Linotype"/>
          <w:b/>
          <w:i/>
          <w:sz w:val="22"/>
          <w:szCs w:val="22"/>
        </w:rPr>
      </w:pPr>
      <w:r w:rsidRPr="00BF0955">
        <w:rPr>
          <w:rFonts w:ascii="Palatino Linotype" w:eastAsia="Palatino Linotype" w:hAnsi="Palatino Linotype" w:cs="Palatino Linotype"/>
          <w:b/>
          <w:i/>
          <w:sz w:val="22"/>
          <w:szCs w:val="22"/>
        </w:rPr>
        <w:t>Constitución Política del Estado Libre y Soberano de México</w:t>
      </w:r>
    </w:p>
    <w:p w14:paraId="7EF57AB9" w14:textId="77777777" w:rsidR="002A62BF" w:rsidRPr="00BF0955" w:rsidRDefault="00351F3E" w:rsidP="00BF0955">
      <w:pPr>
        <w:ind w:left="567" w:right="539"/>
        <w:jc w:val="center"/>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rPr>
        <w:t>“Artículo 5</w:t>
      </w:r>
      <w:r w:rsidRPr="00BF0955">
        <w:rPr>
          <w:rFonts w:ascii="Palatino Linotype" w:eastAsia="Palatino Linotype" w:hAnsi="Palatino Linotype" w:cs="Palatino Linotype"/>
          <w:i/>
          <w:sz w:val="22"/>
          <w:szCs w:val="22"/>
        </w:rPr>
        <w:t>.-…</w:t>
      </w:r>
    </w:p>
    <w:p w14:paraId="2A721441" w14:textId="77777777" w:rsidR="002A62BF" w:rsidRPr="00BF0955" w:rsidRDefault="00351F3E" w:rsidP="00BF0955">
      <w:pPr>
        <w:ind w:left="567" w:right="539"/>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w:t>
      </w:r>
    </w:p>
    <w:p w14:paraId="757FBDA1"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rPr>
        <w:lastRenderedPageBreak/>
        <w:t>El derecho a la información será garantizado por el Estado. La ley establecerá las previsiones que permitan asegurar la protección, el respeto y la difusión de este derecho</w:t>
      </w:r>
      <w:r w:rsidRPr="00BF0955">
        <w:rPr>
          <w:rFonts w:ascii="Palatino Linotype" w:eastAsia="Palatino Linotype" w:hAnsi="Palatino Linotype" w:cs="Palatino Linotype"/>
          <w:i/>
          <w:sz w:val="22"/>
          <w:szCs w:val="22"/>
        </w:rPr>
        <w:t>.</w:t>
      </w:r>
    </w:p>
    <w:p w14:paraId="409AB649"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A4FDE79" w14:textId="77777777" w:rsidR="002A62BF" w:rsidRPr="00BF0955" w:rsidRDefault="002A62BF" w:rsidP="00BF0955">
      <w:pPr>
        <w:ind w:left="567" w:right="539"/>
        <w:jc w:val="both"/>
        <w:rPr>
          <w:rFonts w:ascii="Palatino Linotype" w:eastAsia="Palatino Linotype" w:hAnsi="Palatino Linotype" w:cs="Palatino Linotype"/>
          <w:i/>
          <w:sz w:val="22"/>
          <w:szCs w:val="22"/>
        </w:rPr>
      </w:pPr>
    </w:p>
    <w:p w14:paraId="3516742A"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rPr>
        <w:t>Este derecho se regirá por los principios y bases siguientes</w:t>
      </w:r>
      <w:r w:rsidRPr="00BF0955">
        <w:rPr>
          <w:rFonts w:ascii="Palatino Linotype" w:eastAsia="Palatino Linotype" w:hAnsi="Palatino Linotype" w:cs="Palatino Linotype"/>
          <w:i/>
          <w:sz w:val="22"/>
          <w:szCs w:val="22"/>
        </w:rPr>
        <w:t>:</w:t>
      </w:r>
    </w:p>
    <w:p w14:paraId="39734F8B" w14:textId="77777777" w:rsidR="002A62BF" w:rsidRPr="00BF0955" w:rsidRDefault="00351F3E" w:rsidP="00BF0955">
      <w:pPr>
        <w:ind w:left="567" w:right="539"/>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b/>
          <w:i/>
          <w:sz w:val="22"/>
          <w:szCs w:val="22"/>
        </w:rPr>
        <w:t>Toda la información en posesión de cualquier autoridad, entidad, órgano y organismos de los</w:t>
      </w:r>
      <w:r w:rsidRPr="00BF0955">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BF0955">
        <w:rPr>
          <w:rFonts w:ascii="Palatino Linotype" w:eastAsia="Palatino Linotype" w:hAnsi="Palatino Linotype" w:cs="Palatino Linotype"/>
          <w:b/>
          <w:i/>
          <w:sz w:val="22"/>
          <w:szCs w:val="22"/>
        </w:rPr>
        <w:t>municipales</w:t>
      </w:r>
      <w:r w:rsidRPr="00BF0955">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F0955">
        <w:rPr>
          <w:rFonts w:ascii="Palatino Linotype" w:eastAsia="Palatino Linotype" w:hAnsi="Palatino Linotype" w:cs="Palatino Linotype"/>
          <w:b/>
          <w:i/>
          <w:sz w:val="22"/>
          <w:szCs w:val="22"/>
        </w:rPr>
        <w:t>es pública</w:t>
      </w:r>
      <w:r w:rsidRPr="00BF0955">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BF0955">
        <w:rPr>
          <w:rFonts w:ascii="Palatino Linotype" w:eastAsia="Palatino Linotype" w:hAnsi="Palatino Linotype" w:cs="Palatino Linotype"/>
          <w:b/>
          <w:i/>
          <w:sz w:val="22"/>
          <w:szCs w:val="22"/>
        </w:rPr>
        <w:t>En la interpretación de este derecho deberá prevalecer el principio de máxima publicidad</w:t>
      </w:r>
      <w:r w:rsidRPr="00BF0955">
        <w:rPr>
          <w:rFonts w:ascii="Palatino Linotype" w:eastAsia="Palatino Linotype" w:hAnsi="Palatino Linotype" w:cs="Palatino Linotype"/>
          <w:i/>
          <w:sz w:val="22"/>
          <w:szCs w:val="22"/>
        </w:rPr>
        <w:t xml:space="preserve">. </w:t>
      </w:r>
      <w:r w:rsidRPr="00BF0955">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BF0955">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7BF4AA2"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209EF91A"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color w:val="000000"/>
          <w:sz w:val="22"/>
          <w:szCs w:val="22"/>
        </w:rPr>
        <w:t xml:space="preserve">Según </w:t>
      </w:r>
      <w:r w:rsidRPr="00BF0955">
        <w:rPr>
          <w:rFonts w:ascii="Palatino Linotype" w:eastAsia="Palatino Linotype" w:hAnsi="Palatino Linotype" w:cs="Palatino Linotype"/>
          <w:sz w:val="22"/>
          <w:szCs w:val="22"/>
        </w:rPr>
        <w:t xml:space="preserve">el artículo 150 de la Ley de Transparencia del Estado, la solicitud es la garantía primaria del Derecho de Acceso a la Información, además, establece que se regirá </w:t>
      </w:r>
      <w:r w:rsidRPr="00BF0955">
        <w:rPr>
          <w:rFonts w:ascii="Palatino Linotype" w:eastAsia="Palatino Linotype" w:hAnsi="Palatino Linotype" w:cs="Palatino Linotype"/>
          <w:i/>
          <w:sz w:val="22"/>
          <w:szCs w:val="22"/>
        </w:rPr>
        <w:t>por los principios de simplicidad, rapidez gratuidad del procedimiento, auxilio y orientación a los particulares</w:t>
      </w:r>
      <w:r w:rsidRPr="00BF0955">
        <w:rPr>
          <w:rFonts w:ascii="Palatino Linotype" w:eastAsia="Palatino Linotype" w:hAnsi="Palatino Linotype" w:cs="Palatino Linotype"/>
          <w:sz w:val="22"/>
          <w:szCs w:val="22"/>
        </w:rPr>
        <w:t>, contemplando el derecho de las personas con discapacidad y hablantes de lengua indígena.</w:t>
      </w:r>
    </w:p>
    <w:p w14:paraId="0DC72288"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2B8464D8"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color w:val="000000"/>
          <w:sz w:val="22"/>
          <w:szCs w:val="22"/>
        </w:rPr>
        <w:t xml:space="preserve">El </w:t>
      </w:r>
      <w:r w:rsidRPr="00BF0955">
        <w:rPr>
          <w:rFonts w:ascii="Palatino Linotype" w:eastAsia="Palatino Linotype" w:hAnsi="Palatino Linotype" w:cs="Palatino Linotype"/>
          <w:sz w:val="22"/>
          <w:szCs w:val="22"/>
        </w:rPr>
        <w:t xml:space="preserve">Derecho de Acceso a la Información se garantiza y respeta oportunamente, y según lo que dispone la Ley, las </w:t>
      </w:r>
      <w:r w:rsidRPr="00BF0955">
        <w:rPr>
          <w:rFonts w:ascii="Palatino Linotype" w:eastAsia="Palatino Linotype" w:hAnsi="Palatino Linotype" w:cs="Palatino Linotype"/>
          <w:i/>
          <w:sz w:val="22"/>
          <w:szCs w:val="22"/>
        </w:rPr>
        <w:t>solicitudes de acceso a la información</w:t>
      </w:r>
      <w:r w:rsidRPr="00BF0955">
        <w:rPr>
          <w:rFonts w:ascii="Palatino Linotype" w:eastAsia="Palatino Linotype" w:hAnsi="Palatino Linotype" w:cs="Palatino Linotype"/>
          <w:sz w:val="22"/>
          <w:szCs w:val="22"/>
        </w:rPr>
        <w:t>.</w:t>
      </w:r>
    </w:p>
    <w:p w14:paraId="111D771B"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326F08F9"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color w:val="000000"/>
          <w:sz w:val="22"/>
          <w:szCs w:val="22"/>
        </w:rPr>
        <w:t xml:space="preserve">Así </w:t>
      </w:r>
      <w:r w:rsidRPr="00BF0955">
        <w:rPr>
          <w:rFonts w:ascii="Palatino Linotype" w:eastAsia="Palatino Linotype" w:hAnsi="Palatino Linotype" w:cs="Palatino Linotype"/>
          <w:sz w:val="22"/>
          <w:szCs w:val="22"/>
        </w:rPr>
        <w:t xml:space="preserve">entonces, se procede analizar, en primer lugar, si 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al atender la solicitud de acceso a la información, satisfizo la garantía primaria del derecho según </w:t>
      </w:r>
      <w:r w:rsidRPr="00BF0955">
        <w:rPr>
          <w:rFonts w:ascii="Palatino Linotype" w:eastAsia="Palatino Linotype" w:hAnsi="Palatino Linotype" w:cs="Palatino Linotype"/>
          <w:sz w:val="22"/>
          <w:szCs w:val="22"/>
        </w:rPr>
        <w:lastRenderedPageBreak/>
        <w:t>lo dispuesto por el artículo 150 de la Ley de Transparencia y Acceso a la Información Pública del Estado de México y Municipios y en segundo término si cumplió con su deber de respetar y garantizar el derecho, entregando la información solicitada.</w:t>
      </w:r>
    </w:p>
    <w:p w14:paraId="68B7FAD7" w14:textId="77777777" w:rsidR="002A62BF" w:rsidRPr="00BF0955" w:rsidRDefault="002A62BF" w:rsidP="00BF0955">
      <w:pPr>
        <w:pBdr>
          <w:top w:val="nil"/>
          <w:left w:val="nil"/>
          <w:bottom w:val="nil"/>
          <w:right w:val="nil"/>
          <w:between w:val="nil"/>
        </w:pBdr>
        <w:tabs>
          <w:tab w:val="left" w:pos="426"/>
          <w:tab w:val="left" w:pos="567"/>
        </w:tabs>
        <w:spacing w:line="360" w:lineRule="auto"/>
        <w:ind w:right="-28"/>
        <w:jc w:val="both"/>
        <w:rPr>
          <w:rFonts w:ascii="Palatino Linotype" w:eastAsia="Palatino Linotype" w:hAnsi="Palatino Linotype" w:cs="Palatino Linotype"/>
          <w:color w:val="000000"/>
          <w:sz w:val="22"/>
          <w:szCs w:val="22"/>
        </w:rPr>
      </w:pPr>
    </w:p>
    <w:p w14:paraId="751F07C2" w14:textId="77777777" w:rsidR="002A62BF" w:rsidRDefault="00351F3E" w:rsidP="00BF0955">
      <w:pPr>
        <w:keepNext/>
        <w:keepLines/>
        <w:numPr>
          <w:ilvl w:val="1"/>
          <w:numId w:val="3"/>
        </w:numPr>
        <w:spacing w:line="360" w:lineRule="auto"/>
        <w:ind w:left="567" w:right="-28"/>
        <w:jc w:val="both"/>
        <w:rPr>
          <w:rFonts w:ascii="Palatino Linotype" w:eastAsia="Palatino Linotype" w:hAnsi="Palatino Linotype" w:cs="Palatino Linotype"/>
          <w:b/>
          <w:sz w:val="22"/>
          <w:szCs w:val="22"/>
        </w:rPr>
      </w:pPr>
      <w:bookmarkStart w:id="5" w:name="_heading=h.lnxbz9" w:colFirst="0" w:colLast="0"/>
      <w:bookmarkEnd w:id="5"/>
      <w:r w:rsidRPr="00BF0955">
        <w:rPr>
          <w:rFonts w:ascii="Palatino Linotype" w:eastAsia="Palatino Linotype" w:hAnsi="Palatino Linotype" w:cs="Palatino Linotype"/>
          <w:b/>
          <w:sz w:val="22"/>
          <w:szCs w:val="22"/>
        </w:rPr>
        <w:t>De la información solicitada y la respuesta del SUJETO OBLIGADO.</w:t>
      </w:r>
    </w:p>
    <w:p w14:paraId="42798EC5" w14:textId="77777777" w:rsidR="00BF0955" w:rsidRPr="00BF0955" w:rsidRDefault="00BF0955" w:rsidP="00BF0955">
      <w:pPr>
        <w:keepNext/>
        <w:keepLines/>
        <w:spacing w:line="360" w:lineRule="auto"/>
        <w:ind w:left="567" w:right="-28"/>
        <w:jc w:val="both"/>
        <w:rPr>
          <w:rFonts w:ascii="Palatino Linotype" w:eastAsia="Palatino Linotype" w:hAnsi="Palatino Linotype" w:cs="Palatino Linotype"/>
          <w:b/>
          <w:sz w:val="22"/>
          <w:szCs w:val="22"/>
        </w:rPr>
      </w:pPr>
    </w:p>
    <w:p w14:paraId="4C66E79E"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22D08040" w14:textId="77777777" w:rsidR="002A62BF" w:rsidRPr="00BF0955" w:rsidRDefault="002A62BF" w:rsidP="00BF0955">
      <w:pPr>
        <w:spacing w:line="360" w:lineRule="auto"/>
        <w:ind w:left="644" w:right="-28"/>
        <w:jc w:val="both"/>
        <w:rPr>
          <w:rFonts w:ascii="Palatino Linotype" w:eastAsia="Palatino Linotype" w:hAnsi="Palatino Linotype" w:cs="Palatino Linotype"/>
          <w:sz w:val="22"/>
          <w:szCs w:val="22"/>
        </w:rPr>
      </w:pPr>
    </w:p>
    <w:p w14:paraId="33D4E7A6"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Ahora bien, del análisis de la solicitud de información motivo del recurso de revisión, se advierte que el particular requirió la </w:t>
      </w:r>
      <w:r w:rsidRPr="00BF0955">
        <w:rPr>
          <w:rFonts w:ascii="Palatino Linotype" w:eastAsia="Palatino Linotype" w:hAnsi="Palatino Linotype" w:cs="Palatino Linotype"/>
          <w:color w:val="000000"/>
          <w:sz w:val="22"/>
          <w:szCs w:val="22"/>
        </w:rPr>
        <w:t>carta finiquito y oficio de cancelación de cláusula resarcitoria respecto del inmueble descrito en la solicitud de información.</w:t>
      </w:r>
    </w:p>
    <w:p w14:paraId="09C7A153"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4A84B4B5"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Por su parte, 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se declaró incompetente para conocer de la información solicitada, orientando al Particular para que solicite la información al Instituto Mexiquense de la Vivienda Social (IMEVIS) o a la Secretaria de Desarrollo Urbano e Infraestructura. Motivo de inconformidad del </w:t>
      </w:r>
      <w:r w:rsidRPr="00BF0955">
        <w:rPr>
          <w:rFonts w:ascii="Palatino Linotype" w:eastAsia="Palatino Linotype" w:hAnsi="Palatino Linotype" w:cs="Palatino Linotype"/>
          <w:b/>
          <w:sz w:val="22"/>
          <w:szCs w:val="22"/>
        </w:rPr>
        <w:t>RECURRENTE.</w:t>
      </w:r>
    </w:p>
    <w:p w14:paraId="60156F80" w14:textId="77777777" w:rsidR="002A62BF" w:rsidRPr="00BF0955" w:rsidRDefault="002A62BF" w:rsidP="00BF0955">
      <w:pPr>
        <w:pBdr>
          <w:top w:val="nil"/>
          <w:left w:val="nil"/>
          <w:bottom w:val="nil"/>
          <w:right w:val="nil"/>
          <w:between w:val="nil"/>
        </w:pBdr>
        <w:ind w:left="720" w:right="-28"/>
        <w:rPr>
          <w:rFonts w:ascii="Palatino Linotype" w:eastAsia="Palatino Linotype" w:hAnsi="Palatino Linotype" w:cs="Palatino Linotype"/>
          <w:color w:val="000000"/>
          <w:sz w:val="22"/>
          <w:szCs w:val="22"/>
        </w:rPr>
      </w:pPr>
    </w:p>
    <w:p w14:paraId="316362FC"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En consecuencia, el Particular interpuso el Recurso de Revisión, por medio del cual, se inconforma por la declaración de incompetencia del </w:t>
      </w:r>
      <w:r w:rsidRPr="00BF0955">
        <w:rPr>
          <w:rFonts w:ascii="Palatino Linotype" w:eastAsia="Palatino Linotype" w:hAnsi="Palatino Linotype" w:cs="Palatino Linotype"/>
          <w:b/>
          <w:sz w:val="22"/>
          <w:szCs w:val="22"/>
        </w:rPr>
        <w:t>SUJETO OBLIGADO.</w:t>
      </w:r>
    </w:p>
    <w:p w14:paraId="4CD91D16"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403DB008" w14:textId="77777777" w:rsidR="002A62BF"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lastRenderedPageBreak/>
        <w:t xml:space="preserve">Expuesto lo anterior, resulta que 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mediante el informe justificado ratificó la respuesta, al señalar que no tiene las atribuciones y funciones para contar con la información solicitada de conformidad con el Manual de Organización de la Gubernatura, citando textualmente las funciones que desempeña, así como la búsqueda exhaustiva generada por dicha dependencia. Como se observa:</w:t>
      </w:r>
    </w:p>
    <w:p w14:paraId="1996F0FC"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4EA7B15D" w14:textId="77777777" w:rsidR="002A62BF" w:rsidRPr="00BF0955" w:rsidRDefault="00351F3E" w:rsidP="00BF0955">
      <w:pPr>
        <w:spacing w:line="360" w:lineRule="auto"/>
        <w:ind w:right="-28"/>
        <w:jc w:val="center"/>
        <w:rPr>
          <w:rFonts w:ascii="Palatino Linotype" w:eastAsia="Palatino Linotype" w:hAnsi="Palatino Linotype" w:cs="Palatino Linotype"/>
          <w:sz w:val="22"/>
          <w:szCs w:val="22"/>
        </w:rPr>
      </w:pPr>
      <w:r w:rsidRPr="00BF0955">
        <w:rPr>
          <w:rFonts w:ascii="Palatino Linotype" w:eastAsia="Palatino Linotype" w:hAnsi="Palatino Linotype" w:cs="Palatino Linotype"/>
          <w:b/>
          <w:sz w:val="22"/>
          <w:szCs w:val="22"/>
        </w:rPr>
        <w:t>(…)</w:t>
      </w:r>
    </w:p>
    <w:p w14:paraId="124C1102" w14:textId="77777777" w:rsidR="002A62BF" w:rsidRPr="00BF0955" w:rsidRDefault="00351F3E" w:rsidP="00BF0955">
      <w:pPr>
        <w:ind w:right="-28"/>
        <w:jc w:val="center"/>
        <w:rPr>
          <w:rFonts w:ascii="Palatino Linotype" w:eastAsia="Palatino Linotype" w:hAnsi="Palatino Linotype" w:cs="Palatino Linotype"/>
          <w:b/>
          <w:sz w:val="22"/>
          <w:szCs w:val="22"/>
        </w:rPr>
      </w:pPr>
      <w:r w:rsidRPr="00BF0955">
        <w:rPr>
          <w:rFonts w:ascii="Palatino Linotype" w:eastAsia="Palatino Linotype" w:hAnsi="Palatino Linotype" w:cs="Palatino Linotype"/>
          <w:noProof/>
          <w:sz w:val="22"/>
          <w:szCs w:val="22"/>
        </w:rPr>
        <w:drawing>
          <wp:inline distT="0" distB="0" distL="0" distR="0" wp14:anchorId="655A64E8" wp14:editId="57DDF81D">
            <wp:extent cx="4890770" cy="4820194"/>
            <wp:effectExtent l="19050" t="19050" r="24130" b="1905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95154" cy="4824514"/>
                    </a:xfrm>
                    <a:prstGeom prst="rect">
                      <a:avLst/>
                    </a:prstGeom>
                    <a:ln>
                      <a:solidFill>
                        <a:schemeClr val="tx1"/>
                      </a:solidFill>
                    </a:ln>
                  </pic:spPr>
                </pic:pic>
              </a:graphicData>
            </a:graphic>
          </wp:inline>
        </w:drawing>
      </w:r>
    </w:p>
    <w:p w14:paraId="0B353380" w14:textId="77777777" w:rsidR="002A62BF" w:rsidRPr="00BF0955" w:rsidRDefault="00351F3E" w:rsidP="00BF0955">
      <w:pPr>
        <w:spacing w:line="360" w:lineRule="auto"/>
        <w:ind w:right="-28"/>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noProof/>
          <w:sz w:val="22"/>
          <w:szCs w:val="22"/>
        </w:rPr>
        <w:lastRenderedPageBreak/>
        <w:drawing>
          <wp:inline distT="0" distB="0" distL="0" distR="0" wp14:anchorId="79845696" wp14:editId="64FAA177">
            <wp:extent cx="5742305" cy="6381206"/>
            <wp:effectExtent l="19050" t="19050" r="10795" b="19685"/>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50849" cy="6390700"/>
                    </a:xfrm>
                    <a:prstGeom prst="rect">
                      <a:avLst/>
                    </a:prstGeom>
                    <a:ln>
                      <a:solidFill>
                        <a:schemeClr val="tx1"/>
                      </a:solidFill>
                    </a:ln>
                  </pic:spPr>
                </pic:pic>
              </a:graphicData>
            </a:graphic>
          </wp:inline>
        </w:drawing>
      </w:r>
    </w:p>
    <w:p w14:paraId="13056AB4" w14:textId="77777777" w:rsidR="002A62BF" w:rsidRPr="00BF0955" w:rsidRDefault="00351F3E" w:rsidP="00BF0955">
      <w:pPr>
        <w:spacing w:line="360" w:lineRule="auto"/>
        <w:ind w:right="-28"/>
        <w:jc w:val="center"/>
        <w:rPr>
          <w:rFonts w:ascii="Palatino Linotype" w:eastAsia="Palatino Linotype" w:hAnsi="Palatino Linotype" w:cs="Palatino Linotype"/>
          <w:sz w:val="22"/>
          <w:szCs w:val="22"/>
        </w:rPr>
      </w:pPr>
      <w:r w:rsidRPr="00BF0955">
        <w:rPr>
          <w:rFonts w:ascii="Palatino Linotype" w:eastAsia="Palatino Linotype" w:hAnsi="Palatino Linotype" w:cs="Palatino Linotype"/>
          <w:noProof/>
          <w:sz w:val="22"/>
          <w:szCs w:val="22"/>
        </w:rPr>
        <w:lastRenderedPageBreak/>
        <w:drawing>
          <wp:inline distT="0" distB="0" distL="0" distR="0" wp14:anchorId="7E113E80" wp14:editId="7697A065">
            <wp:extent cx="5013960" cy="6322423"/>
            <wp:effectExtent l="19050" t="19050" r="15240" b="2159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016649" cy="6325814"/>
                    </a:xfrm>
                    <a:prstGeom prst="rect">
                      <a:avLst/>
                    </a:prstGeom>
                    <a:ln>
                      <a:solidFill>
                        <a:schemeClr val="tx1"/>
                      </a:solidFill>
                    </a:ln>
                  </pic:spPr>
                </pic:pic>
              </a:graphicData>
            </a:graphic>
          </wp:inline>
        </w:drawing>
      </w:r>
    </w:p>
    <w:p w14:paraId="51DB2D84" w14:textId="77777777" w:rsidR="002A62BF" w:rsidRPr="00BF0955" w:rsidRDefault="00351F3E" w:rsidP="00BF0955">
      <w:pPr>
        <w:spacing w:line="360" w:lineRule="auto"/>
        <w:ind w:right="-28"/>
        <w:jc w:val="center"/>
        <w:rPr>
          <w:rFonts w:ascii="Palatino Linotype" w:eastAsia="Palatino Linotype" w:hAnsi="Palatino Linotype" w:cs="Palatino Linotype"/>
          <w:b/>
          <w:sz w:val="22"/>
          <w:szCs w:val="22"/>
        </w:rPr>
      </w:pPr>
      <w:r w:rsidRPr="00BF0955">
        <w:rPr>
          <w:rFonts w:ascii="Palatino Linotype" w:eastAsia="Palatino Linotype" w:hAnsi="Palatino Linotype" w:cs="Palatino Linotype"/>
          <w:b/>
          <w:sz w:val="22"/>
          <w:szCs w:val="22"/>
        </w:rPr>
        <w:t>(…)</w:t>
      </w:r>
    </w:p>
    <w:p w14:paraId="606E0EA6"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lastRenderedPageBreak/>
        <w:t>En atención a lo anterior, no se advierte la atribución de que tenga acceso, administre o posea los documentos solicitados por el Particular, toda vez que no cuenta con la atribución de conocer sobre lo relacionado con la enajenación de bienes inmuebles propiedad del Gobierno de</w:t>
      </w:r>
      <w:r w:rsidR="00BF0955">
        <w:rPr>
          <w:rFonts w:ascii="Palatino Linotype" w:eastAsia="Palatino Linotype" w:hAnsi="Palatino Linotype" w:cs="Palatino Linotype"/>
          <w:sz w:val="22"/>
          <w:szCs w:val="22"/>
        </w:rPr>
        <w:t xml:space="preserve">l Estado de México, con lo cual, </w:t>
      </w:r>
      <w:r w:rsidRPr="00BF0955">
        <w:rPr>
          <w:rFonts w:ascii="Palatino Linotype" w:eastAsia="Palatino Linotype" w:hAnsi="Palatino Linotype" w:cs="Palatino Linotype"/>
          <w:b/>
          <w:sz w:val="22"/>
          <w:szCs w:val="22"/>
        </w:rPr>
        <w:t>se acredita de igual forma su incompetencia.</w:t>
      </w:r>
    </w:p>
    <w:p w14:paraId="7934CD25" w14:textId="77777777" w:rsidR="002A62BF" w:rsidRPr="00BF0955" w:rsidRDefault="002A62BF" w:rsidP="00BF0955">
      <w:pPr>
        <w:ind w:right="-28"/>
        <w:rPr>
          <w:rFonts w:ascii="Palatino Linotype" w:eastAsia="Palatino Linotype" w:hAnsi="Palatino Linotype" w:cs="Palatino Linotype"/>
          <w:sz w:val="22"/>
          <w:szCs w:val="22"/>
        </w:rPr>
      </w:pPr>
    </w:p>
    <w:p w14:paraId="79AEF248" w14:textId="77777777" w:rsidR="002A62BF"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En este sentido, es preciso referir que quien conoce sobre la enajenación de bienes inmuebles propiedad del Gobierno del Estado de México, es la Oficialía Mayor de la entidad en términos del artículo 58 y 59 de la Ley Orgánica de la Administración Pública del Estado de México, tiene la siguiente atribución:</w:t>
      </w:r>
    </w:p>
    <w:p w14:paraId="4791BF73" w14:textId="77777777" w:rsidR="00BF0955" w:rsidRPr="00BF0955" w:rsidRDefault="00BF0955" w:rsidP="00BF0955">
      <w:pPr>
        <w:ind w:right="-28"/>
        <w:jc w:val="both"/>
        <w:rPr>
          <w:rFonts w:ascii="Palatino Linotype" w:eastAsia="Palatino Linotype" w:hAnsi="Palatino Linotype" w:cs="Palatino Linotype"/>
          <w:sz w:val="22"/>
          <w:szCs w:val="22"/>
        </w:rPr>
      </w:pPr>
    </w:p>
    <w:p w14:paraId="3D6A6C07" w14:textId="77777777" w:rsidR="002A62BF" w:rsidRPr="00BF0955" w:rsidRDefault="00351F3E" w:rsidP="00BF0955">
      <w:pPr>
        <w:spacing w:before="240"/>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 xml:space="preserve">“Artículo 58. </w:t>
      </w:r>
      <w:r w:rsidRPr="00BF0955">
        <w:rPr>
          <w:rFonts w:ascii="Palatino Linotype" w:eastAsia="Palatino Linotype" w:hAnsi="Palatino Linotype" w:cs="Palatino Linotype"/>
          <w:b/>
          <w:i/>
          <w:sz w:val="22"/>
          <w:szCs w:val="22"/>
        </w:rPr>
        <w:t>La Oficialía Mayor es la encargada de planear, organizar, normar y dirigir la administración y desarrollo de los</w:t>
      </w:r>
      <w:r w:rsidRPr="00BF0955">
        <w:rPr>
          <w:rFonts w:ascii="Palatino Linotype" w:eastAsia="Palatino Linotype" w:hAnsi="Palatino Linotype" w:cs="Palatino Linotype"/>
          <w:i/>
          <w:sz w:val="22"/>
          <w:szCs w:val="22"/>
        </w:rPr>
        <w:t xml:space="preserve"> recursos humanos, </w:t>
      </w:r>
      <w:r w:rsidRPr="00BF0955">
        <w:rPr>
          <w:rFonts w:ascii="Palatino Linotype" w:eastAsia="Palatino Linotype" w:hAnsi="Palatino Linotype" w:cs="Palatino Linotype"/>
          <w:b/>
          <w:i/>
          <w:sz w:val="22"/>
          <w:szCs w:val="22"/>
        </w:rPr>
        <w:t>materiales</w:t>
      </w:r>
      <w:r w:rsidRPr="00BF0955">
        <w:rPr>
          <w:rFonts w:ascii="Palatino Linotype" w:eastAsia="Palatino Linotype" w:hAnsi="Palatino Linotype" w:cs="Palatino Linotype"/>
          <w:i/>
          <w:sz w:val="22"/>
          <w:szCs w:val="22"/>
        </w:rPr>
        <w:t xml:space="preserve"> y servicios para el apoyo administrativo y tecnológico </w:t>
      </w:r>
      <w:r w:rsidRPr="00BF0955">
        <w:rPr>
          <w:rFonts w:ascii="Palatino Linotype" w:eastAsia="Palatino Linotype" w:hAnsi="Palatino Linotype" w:cs="Palatino Linotype"/>
          <w:b/>
          <w:i/>
          <w:sz w:val="22"/>
          <w:szCs w:val="22"/>
        </w:rPr>
        <w:t>que requieran las dependencias del Poder Ejecutivo del Estado</w:t>
      </w:r>
      <w:r w:rsidRPr="00BF0955">
        <w:rPr>
          <w:rFonts w:ascii="Palatino Linotype" w:eastAsia="Palatino Linotype" w:hAnsi="Palatino Linotype" w:cs="Palatino Linotype"/>
          <w:i/>
          <w:sz w:val="22"/>
          <w:szCs w:val="22"/>
        </w:rPr>
        <w:t>.</w:t>
      </w:r>
    </w:p>
    <w:p w14:paraId="36BF2CCC" w14:textId="77777777" w:rsidR="002A62BF" w:rsidRPr="00BF0955" w:rsidRDefault="002A62BF" w:rsidP="00BF0955">
      <w:pPr>
        <w:spacing w:before="240"/>
        <w:ind w:left="567" w:right="539"/>
        <w:jc w:val="both"/>
        <w:rPr>
          <w:rFonts w:ascii="Palatino Linotype" w:eastAsia="Palatino Linotype" w:hAnsi="Palatino Linotype" w:cs="Palatino Linotype"/>
          <w:i/>
          <w:sz w:val="22"/>
          <w:szCs w:val="22"/>
        </w:rPr>
      </w:pPr>
    </w:p>
    <w:p w14:paraId="5F26694C"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 xml:space="preserve">Artículo 59. La </w:t>
      </w:r>
      <w:r w:rsidRPr="00BF0955">
        <w:rPr>
          <w:rFonts w:ascii="Palatino Linotype" w:eastAsia="Palatino Linotype" w:hAnsi="Palatino Linotype" w:cs="Palatino Linotype"/>
          <w:b/>
          <w:i/>
          <w:sz w:val="22"/>
          <w:szCs w:val="22"/>
        </w:rPr>
        <w:t>Oficialía Mayor</w:t>
      </w:r>
      <w:r w:rsidRPr="00BF0955">
        <w:rPr>
          <w:rFonts w:ascii="Palatino Linotype" w:eastAsia="Palatino Linotype" w:hAnsi="Palatino Linotype" w:cs="Palatino Linotype"/>
          <w:i/>
          <w:sz w:val="22"/>
          <w:szCs w:val="22"/>
        </w:rPr>
        <w:t xml:space="preserve"> contará con las siguientes atribuciones: </w:t>
      </w:r>
    </w:p>
    <w:p w14:paraId="5FA2649F"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w:t>
      </w:r>
    </w:p>
    <w:p w14:paraId="73FB03B2" w14:textId="77777777" w:rsidR="002A62BF" w:rsidRPr="00BF0955" w:rsidRDefault="00351F3E" w:rsidP="00BF0955">
      <w:pPr>
        <w:ind w:left="567" w:right="539"/>
        <w:jc w:val="both"/>
        <w:rPr>
          <w:rFonts w:ascii="Palatino Linotype" w:eastAsia="Palatino Linotype" w:hAnsi="Palatino Linotype" w:cs="Palatino Linotype"/>
          <w:b/>
          <w:i/>
          <w:sz w:val="22"/>
          <w:szCs w:val="22"/>
        </w:rPr>
      </w:pPr>
      <w:r w:rsidRPr="00BF0955">
        <w:rPr>
          <w:rFonts w:ascii="Palatino Linotype" w:eastAsia="Palatino Linotype" w:hAnsi="Palatino Linotype" w:cs="Palatino Linotype"/>
          <w:b/>
          <w:i/>
          <w:sz w:val="22"/>
          <w:szCs w:val="22"/>
        </w:rPr>
        <w:t>XII. Celebrar, otorgar y suscribir contratos</w:t>
      </w:r>
      <w:r w:rsidRPr="00BF0955">
        <w:rPr>
          <w:rFonts w:ascii="Palatino Linotype" w:eastAsia="Palatino Linotype" w:hAnsi="Palatino Linotype" w:cs="Palatino Linotype"/>
          <w:i/>
          <w:sz w:val="22"/>
          <w:szCs w:val="22"/>
        </w:rPr>
        <w:t xml:space="preserve">, convenios, </w:t>
      </w:r>
      <w:r w:rsidRPr="00BF0955">
        <w:rPr>
          <w:rFonts w:ascii="Palatino Linotype" w:eastAsia="Palatino Linotype" w:hAnsi="Palatino Linotype" w:cs="Palatino Linotype"/>
          <w:b/>
          <w:i/>
          <w:sz w:val="22"/>
          <w:szCs w:val="22"/>
        </w:rPr>
        <w:t>escrituras públicas</w:t>
      </w:r>
      <w:r w:rsidRPr="00BF0955">
        <w:rPr>
          <w:rFonts w:ascii="Palatino Linotype" w:eastAsia="Palatino Linotype" w:hAnsi="Palatino Linotype" w:cs="Palatino Linotype"/>
          <w:i/>
          <w:sz w:val="22"/>
          <w:szCs w:val="22"/>
        </w:rPr>
        <w:t xml:space="preserve"> y </w:t>
      </w:r>
      <w:r w:rsidRPr="00BF0955">
        <w:rPr>
          <w:rFonts w:ascii="Palatino Linotype" w:eastAsia="Palatino Linotype" w:hAnsi="Palatino Linotype" w:cs="Palatino Linotype"/>
          <w:b/>
          <w:i/>
          <w:sz w:val="22"/>
          <w:szCs w:val="22"/>
        </w:rPr>
        <w:t>demás actos jurídicos de cualquier índole</w:t>
      </w:r>
      <w:r w:rsidRPr="00BF0955">
        <w:rPr>
          <w:rFonts w:ascii="Palatino Linotype" w:eastAsia="Palatino Linotype" w:hAnsi="Palatino Linotype" w:cs="Palatino Linotype"/>
          <w:i/>
          <w:sz w:val="22"/>
          <w:szCs w:val="22"/>
        </w:rPr>
        <w:t xml:space="preserve">, necesarios para el ejercicio de las atribuciones del órgano ejecutivo local, excepto los relativos a obra pública, los servicios relacionados con ésta, y otros que sean atribución de otra dependencia, unidad administrativa u órgano desconcentrado, o correspondan a una facultad indelegable de la persona titular del Poder Ejecutivo del Estado, </w:t>
      </w:r>
      <w:r w:rsidRPr="00BF0955">
        <w:rPr>
          <w:rFonts w:ascii="Palatino Linotype" w:eastAsia="Palatino Linotype" w:hAnsi="Palatino Linotype" w:cs="Palatino Linotype"/>
          <w:b/>
          <w:i/>
          <w:sz w:val="22"/>
          <w:szCs w:val="22"/>
        </w:rPr>
        <w:t>así como registrar y normar los actos y contratos relacionados con recursos</w:t>
      </w:r>
      <w:r w:rsidRPr="00BF0955">
        <w:rPr>
          <w:rFonts w:ascii="Palatino Linotype" w:eastAsia="Palatino Linotype" w:hAnsi="Palatino Linotype" w:cs="Palatino Linotype"/>
          <w:i/>
          <w:sz w:val="22"/>
          <w:szCs w:val="22"/>
        </w:rPr>
        <w:t xml:space="preserve"> humanos, </w:t>
      </w:r>
      <w:r w:rsidRPr="00BF0955">
        <w:rPr>
          <w:rFonts w:ascii="Palatino Linotype" w:eastAsia="Palatino Linotype" w:hAnsi="Palatino Linotype" w:cs="Palatino Linotype"/>
          <w:b/>
          <w:i/>
          <w:sz w:val="22"/>
          <w:szCs w:val="22"/>
        </w:rPr>
        <w:t>materiales</w:t>
      </w:r>
      <w:r w:rsidRPr="00BF0955">
        <w:rPr>
          <w:rFonts w:ascii="Palatino Linotype" w:eastAsia="Palatino Linotype" w:hAnsi="Palatino Linotype" w:cs="Palatino Linotype"/>
          <w:i/>
          <w:sz w:val="22"/>
          <w:szCs w:val="22"/>
        </w:rPr>
        <w:t xml:space="preserve">, de servicios y de tecnología </w:t>
      </w:r>
      <w:r w:rsidRPr="00BF0955">
        <w:rPr>
          <w:rFonts w:ascii="Palatino Linotype" w:eastAsia="Palatino Linotype" w:hAnsi="Palatino Linotype" w:cs="Palatino Linotype"/>
          <w:b/>
          <w:i/>
          <w:sz w:val="22"/>
          <w:szCs w:val="22"/>
        </w:rPr>
        <w:t>de los que resulten derechos y obligaciones para el Gobierno del Estado;</w:t>
      </w:r>
    </w:p>
    <w:p w14:paraId="7FC9BEFE" w14:textId="77777777" w:rsidR="002A62BF" w:rsidRPr="00BF0955" w:rsidRDefault="00351F3E" w:rsidP="00BF0955">
      <w:pPr>
        <w:ind w:left="567" w:right="539"/>
        <w:jc w:val="both"/>
        <w:rPr>
          <w:rFonts w:ascii="Palatino Linotype" w:eastAsia="Palatino Linotype" w:hAnsi="Palatino Linotype" w:cs="Palatino Linotype"/>
          <w:b/>
          <w:i/>
          <w:sz w:val="22"/>
          <w:szCs w:val="22"/>
        </w:rPr>
      </w:pPr>
      <w:r w:rsidRPr="00BF0955">
        <w:rPr>
          <w:rFonts w:ascii="Palatino Linotype" w:eastAsia="Palatino Linotype" w:hAnsi="Palatino Linotype" w:cs="Palatino Linotype"/>
          <w:b/>
          <w:i/>
          <w:sz w:val="22"/>
          <w:szCs w:val="22"/>
        </w:rPr>
        <w:t>…</w:t>
      </w:r>
    </w:p>
    <w:p w14:paraId="79B115E0"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rPr>
        <w:t>XIV. Representar legalmente al Gobierno del Estado y vigilar en el cumplimiento de las disposiciones legales en materia de</w:t>
      </w:r>
      <w:r w:rsidRPr="00BF0955">
        <w:rPr>
          <w:rFonts w:ascii="Palatino Linotype" w:eastAsia="Palatino Linotype" w:hAnsi="Palatino Linotype" w:cs="Palatino Linotype"/>
          <w:i/>
          <w:sz w:val="22"/>
          <w:szCs w:val="22"/>
        </w:rPr>
        <w:t xml:space="preserve"> recursos humanos, materiales, </w:t>
      </w:r>
      <w:r w:rsidRPr="00BF0955">
        <w:rPr>
          <w:rFonts w:ascii="Palatino Linotype" w:eastAsia="Palatino Linotype" w:hAnsi="Palatino Linotype" w:cs="Palatino Linotype"/>
          <w:b/>
          <w:i/>
          <w:sz w:val="22"/>
          <w:szCs w:val="22"/>
        </w:rPr>
        <w:t>bienes</w:t>
      </w:r>
      <w:r w:rsidRPr="00BF0955">
        <w:rPr>
          <w:rFonts w:ascii="Palatino Linotype" w:eastAsia="Palatino Linotype" w:hAnsi="Palatino Linotype" w:cs="Palatino Linotype"/>
          <w:i/>
          <w:sz w:val="22"/>
          <w:szCs w:val="22"/>
        </w:rPr>
        <w:t xml:space="preserve"> muebles e </w:t>
      </w:r>
      <w:r w:rsidRPr="00BF0955">
        <w:rPr>
          <w:rFonts w:ascii="Palatino Linotype" w:eastAsia="Palatino Linotype" w:hAnsi="Palatino Linotype" w:cs="Palatino Linotype"/>
          <w:b/>
          <w:i/>
          <w:sz w:val="22"/>
          <w:szCs w:val="22"/>
        </w:rPr>
        <w:t>inmuebles</w:t>
      </w:r>
      <w:r w:rsidRPr="00BF0955">
        <w:rPr>
          <w:rFonts w:ascii="Palatino Linotype" w:eastAsia="Palatino Linotype" w:hAnsi="Palatino Linotype" w:cs="Palatino Linotype"/>
          <w:i/>
          <w:sz w:val="22"/>
          <w:szCs w:val="22"/>
        </w:rPr>
        <w:t>, servicios generales y adjudicaciones, en el ámbito de su competencia;</w:t>
      </w:r>
    </w:p>
    <w:p w14:paraId="19A1191B" w14:textId="77777777" w:rsidR="002A62BF" w:rsidRPr="00BF0955" w:rsidRDefault="00351F3E" w:rsidP="00BF0955">
      <w:pPr>
        <w:ind w:left="567" w:right="539"/>
        <w:jc w:val="both"/>
        <w:rPr>
          <w:rFonts w:ascii="Palatino Linotype" w:eastAsia="Palatino Linotype" w:hAnsi="Palatino Linotype" w:cs="Palatino Linotype"/>
          <w:b/>
          <w:i/>
          <w:sz w:val="22"/>
          <w:szCs w:val="22"/>
        </w:rPr>
      </w:pPr>
      <w:r w:rsidRPr="00BF0955">
        <w:rPr>
          <w:rFonts w:ascii="Palatino Linotype" w:eastAsia="Palatino Linotype" w:hAnsi="Palatino Linotype" w:cs="Palatino Linotype"/>
          <w:b/>
          <w:i/>
          <w:sz w:val="22"/>
          <w:szCs w:val="22"/>
        </w:rPr>
        <w:t>…</w:t>
      </w:r>
    </w:p>
    <w:p w14:paraId="544CD57B"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lastRenderedPageBreak/>
        <w:t xml:space="preserve">XX. </w:t>
      </w:r>
      <w:r w:rsidRPr="00BF0955">
        <w:rPr>
          <w:rFonts w:ascii="Palatino Linotype" w:eastAsia="Palatino Linotype" w:hAnsi="Palatino Linotype" w:cs="Palatino Linotype"/>
          <w:b/>
          <w:i/>
          <w:sz w:val="22"/>
          <w:szCs w:val="22"/>
        </w:rPr>
        <w:t>Planear, coordinar, controlar y realizar los procesos de</w:t>
      </w:r>
      <w:r w:rsidRPr="00BF0955">
        <w:rPr>
          <w:rFonts w:ascii="Palatino Linotype" w:eastAsia="Palatino Linotype" w:hAnsi="Palatino Linotype" w:cs="Palatino Linotype"/>
          <w:i/>
          <w:sz w:val="22"/>
          <w:szCs w:val="22"/>
        </w:rPr>
        <w:t xml:space="preserve"> adquisición, </w:t>
      </w:r>
      <w:r w:rsidRPr="00BF0955">
        <w:rPr>
          <w:rFonts w:ascii="Palatino Linotype" w:eastAsia="Palatino Linotype" w:hAnsi="Palatino Linotype" w:cs="Palatino Linotype"/>
          <w:b/>
          <w:i/>
          <w:sz w:val="22"/>
          <w:szCs w:val="22"/>
        </w:rPr>
        <w:t>enajenación</w:t>
      </w:r>
      <w:r w:rsidRPr="00BF0955">
        <w:rPr>
          <w:rFonts w:ascii="Palatino Linotype" w:eastAsia="Palatino Linotype" w:hAnsi="Palatino Linotype" w:cs="Palatino Linotype"/>
          <w:i/>
          <w:sz w:val="22"/>
          <w:szCs w:val="22"/>
        </w:rPr>
        <w:t xml:space="preserve"> y arrendamiento </w:t>
      </w:r>
      <w:r w:rsidRPr="00BF0955">
        <w:rPr>
          <w:rFonts w:ascii="Palatino Linotype" w:eastAsia="Palatino Linotype" w:hAnsi="Palatino Linotype" w:cs="Palatino Linotype"/>
          <w:b/>
          <w:i/>
          <w:sz w:val="22"/>
          <w:szCs w:val="22"/>
        </w:rPr>
        <w:t>de bienes</w:t>
      </w:r>
      <w:r w:rsidRPr="00BF0955">
        <w:rPr>
          <w:rFonts w:ascii="Palatino Linotype" w:eastAsia="Palatino Linotype" w:hAnsi="Palatino Linotype" w:cs="Palatino Linotype"/>
          <w:i/>
          <w:sz w:val="22"/>
          <w:szCs w:val="22"/>
        </w:rPr>
        <w:t xml:space="preserve"> y contratación de servicios para proveer oportunamente a las dependencias del Ejecutivo y demás entes públicos que lo requieran, de los elementos humanos y materiales de trabajo necesarios pare el desarrollo de sus funciones, cualquiera que sea su fuente de financiamiento, bajo criterios de economía, eficiencia, eficacia, honradez, transparencia y combate a la corrupción y que aseguren las mejores condiciones de calidad, precio, financiamiento y entrega, conforme a la normatividad establecida;</w:t>
      </w:r>
    </w:p>
    <w:p w14:paraId="22A6C420" w14:textId="77777777" w:rsidR="002A62BF" w:rsidRPr="00BF0955" w:rsidRDefault="00351F3E" w:rsidP="00BF0955">
      <w:pPr>
        <w:ind w:left="567" w:right="539"/>
        <w:jc w:val="both"/>
        <w:rPr>
          <w:rFonts w:ascii="Palatino Linotype" w:eastAsia="Palatino Linotype" w:hAnsi="Palatino Linotype" w:cs="Palatino Linotype"/>
          <w:b/>
          <w:i/>
          <w:sz w:val="22"/>
          <w:szCs w:val="22"/>
        </w:rPr>
      </w:pPr>
      <w:r w:rsidRPr="00BF0955">
        <w:rPr>
          <w:rFonts w:ascii="Palatino Linotype" w:eastAsia="Palatino Linotype" w:hAnsi="Palatino Linotype" w:cs="Palatino Linotype"/>
          <w:b/>
          <w:i/>
          <w:sz w:val="22"/>
          <w:szCs w:val="22"/>
        </w:rPr>
        <w:t>…</w:t>
      </w:r>
    </w:p>
    <w:p w14:paraId="72BEBD70"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 xml:space="preserve">XXI. </w:t>
      </w:r>
      <w:r w:rsidRPr="00BF0955">
        <w:rPr>
          <w:rFonts w:ascii="Palatino Linotype" w:eastAsia="Palatino Linotype" w:hAnsi="Palatino Linotype" w:cs="Palatino Linotype"/>
          <w:b/>
          <w:i/>
          <w:sz w:val="22"/>
          <w:szCs w:val="22"/>
        </w:rPr>
        <w:t>Levantar y tener al corriente el inventario general de los bienes</w:t>
      </w:r>
      <w:r w:rsidRPr="00BF0955">
        <w:rPr>
          <w:rFonts w:ascii="Palatino Linotype" w:eastAsia="Palatino Linotype" w:hAnsi="Palatino Linotype" w:cs="Palatino Linotype"/>
          <w:i/>
          <w:sz w:val="22"/>
          <w:szCs w:val="22"/>
        </w:rPr>
        <w:t xml:space="preserve"> muebles e </w:t>
      </w:r>
      <w:r w:rsidRPr="00BF0955">
        <w:rPr>
          <w:rFonts w:ascii="Palatino Linotype" w:eastAsia="Palatino Linotype" w:hAnsi="Palatino Linotype" w:cs="Palatino Linotype"/>
          <w:b/>
          <w:i/>
          <w:sz w:val="22"/>
          <w:szCs w:val="22"/>
        </w:rPr>
        <w:t>inmuebles propiedad del Gobierno del Estado</w:t>
      </w:r>
      <w:r w:rsidRPr="00BF0955">
        <w:rPr>
          <w:rFonts w:ascii="Palatino Linotype" w:eastAsia="Palatino Linotype" w:hAnsi="Palatino Linotype" w:cs="Palatino Linotype"/>
          <w:i/>
          <w:sz w:val="22"/>
          <w:szCs w:val="22"/>
        </w:rPr>
        <w:t xml:space="preserve">; </w:t>
      </w:r>
      <w:r w:rsidRPr="00BF0955">
        <w:rPr>
          <w:rFonts w:ascii="Palatino Linotype" w:eastAsia="Palatino Linotype" w:hAnsi="Palatino Linotype" w:cs="Palatino Linotype"/>
          <w:b/>
          <w:i/>
          <w:sz w:val="22"/>
          <w:szCs w:val="22"/>
        </w:rPr>
        <w:t>así como administrar y asegurar la conservación y mantenimiento</w:t>
      </w:r>
      <w:r w:rsidRPr="00BF0955">
        <w:rPr>
          <w:rFonts w:ascii="Palatino Linotype" w:eastAsia="Palatino Linotype" w:hAnsi="Palatino Linotype" w:cs="Palatino Linotype"/>
          <w:i/>
          <w:sz w:val="22"/>
          <w:szCs w:val="22"/>
        </w:rPr>
        <w:t xml:space="preserve"> del patrimonio del Gobierno del Estado;</w:t>
      </w:r>
    </w:p>
    <w:p w14:paraId="1A766C46"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w:t>
      </w:r>
    </w:p>
    <w:p w14:paraId="4C247333" w14:textId="77777777" w:rsidR="002A62BF" w:rsidRPr="00BF0955" w:rsidRDefault="002A62BF" w:rsidP="00BF0955">
      <w:pPr>
        <w:ind w:right="-28"/>
        <w:rPr>
          <w:rFonts w:ascii="Palatino Linotype" w:eastAsia="Palatino Linotype" w:hAnsi="Palatino Linotype" w:cs="Palatino Linotype"/>
          <w:sz w:val="22"/>
          <w:szCs w:val="22"/>
        </w:rPr>
      </w:pPr>
    </w:p>
    <w:p w14:paraId="2D644717"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Lo que se robustece con lo señalado</w:t>
      </w:r>
      <w:r w:rsidR="00BF0955">
        <w:rPr>
          <w:rFonts w:ascii="Palatino Linotype" w:eastAsia="Palatino Linotype" w:hAnsi="Palatino Linotype" w:cs="Palatino Linotype"/>
          <w:sz w:val="22"/>
          <w:szCs w:val="22"/>
        </w:rPr>
        <w:t xml:space="preserve"> por los artículos 5 fracciones</w:t>
      </w:r>
      <w:r w:rsidRPr="00BF0955">
        <w:rPr>
          <w:rFonts w:ascii="Palatino Linotype" w:eastAsia="Palatino Linotype" w:hAnsi="Palatino Linotype" w:cs="Palatino Linotype"/>
          <w:sz w:val="22"/>
          <w:szCs w:val="22"/>
        </w:rPr>
        <w:t xml:space="preserve"> I, IV, VI y XII y 56, la Ley de Bienes del Estado de México y de sus Municipios, en donde se establece:</w:t>
      </w:r>
    </w:p>
    <w:p w14:paraId="7B0815D8" w14:textId="77777777" w:rsidR="002A62BF" w:rsidRPr="00BF0955" w:rsidRDefault="00351F3E" w:rsidP="00BF0955">
      <w:pPr>
        <w:spacing w:before="240"/>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rPr>
        <w:t>“Artículo 5.-</w:t>
      </w:r>
      <w:r w:rsidRPr="00BF0955">
        <w:rPr>
          <w:rFonts w:ascii="Palatino Linotype" w:eastAsia="Palatino Linotype" w:hAnsi="Palatino Linotype" w:cs="Palatino Linotype"/>
          <w:i/>
          <w:sz w:val="22"/>
          <w:szCs w:val="22"/>
        </w:rPr>
        <w:t xml:space="preserve"> </w:t>
      </w:r>
      <w:r w:rsidRPr="00BF0955">
        <w:rPr>
          <w:rFonts w:ascii="Palatino Linotype" w:eastAsia="Palatino Linotype" w:hAnsi="Palatino Linotype" w:cs="Palatino Linotype"/>
          <w:b/>
          <w:i/>
          <w:sz w:val="22"/>
          <w:szCs w:val="22"/>
        </w:rPr>
        <w:t xml:space="preserve">Corresponde al Ejecutivo del Estado por conducto de la </w:t>
      </w:r>
      <w:r w:rsidRPr="00BF0955">
        <w:rPr>
          <w:rFonts w:ascii="Palatino Linotype" w:eastAsia="Palatino Linotype" w:hAnsi="Palatino Linotype" w:cs="Palatino Linotype"/>
          <w:b/>
          <w:i/>
          <w:sz w:val="22"/>
          <w:szCs w:val="22"/>
          <w:u w:val="single"/>
        </w:rPr>
        <w:t>Oficialía Mayor</w:t>
      </w:r>
      <w:r w:rsidRPr="00BF0955">
        <w:rPr>
          <w:rFonts w:ascii="Palatino Linotype" w:eastAsia="Palatino Linotype" w:hAnsi="Palatino Linotype" w:cs="Palatino Linotype"/>
          <w:i/>
          <w:sz w:val="22"/>
          <w:szCs w:val="22"/>
        </w:rPr>
        <w:t xml:space="preserve"> y a los ayuntamientos: </w:t>
      </w:r>
    </w:p>
    <w:p w14:paraId="003AED2B"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I</w:t>
      </w:r>
      <w:r w:rsidRPr="00BF0955">
        <w:rPr>
          <w:rFonts w:ascii="Palatino Linotype" w:eastAsia="Palatino Linotype" w:hAnsi="Palatino Linotype" w:cs="Palatino Linotype"/>
          <w:b/>
          <w:i/>
          <w:sz w:val="22"/>
          <w:szCs w:val="22"/>
        </w:rPr>
        <w:t>. La elaboración del padrón de bienes del dominio público y privado del Estado</w:t>
      </w:r>
      <w:r w:rsidRPr="00BF0955">
        <w:rPr>
          <w:rFonts w:ascii="Palatino Linotype" w:eastAsia="Palatino Linotype" w:hAnsi="Palatino Linotype" w:cs="Palatino Linotype"/>
          <w:i/>
          <w:sz w:val="22"/>
          <w:szCs w:val="22"/>
        </w:rPr>
        <w:t xml:space="preserve"> y de los ayuntamientos; </w:t>
      </w:r>
    </w:p>
    <w:p w14:paraId="6FA93B19"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II. Declarar cuando un bien determinado forma parte del dominio público;</w:t>
      </w:r>
    </w:p>
    <w:p w14:paraId="4A4D1BEE"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 xml:space="preserve"> III. Determinar </w:t>
      </w:r>
      <w:proofErr w:type="spellStart"/>
      <w:r w:rsidRPr="00BF0955">
        <w:rPr>
          <w:rFonts w:ascii="Palatino Linotype" w:eastAsia="Palatino Linotype" w:hAnsi="Palatino Linotype" w:cs="Palatino Linotype"/>
          <w:i/>
          <w:sz w:val="22"/>
          <w:szCs w:val="22"/>
        </w:rPr>
        <w:t>cuando</w:t>
      </w:r>
      <w:proofErr w:type="spellEnd"/>
      <w:r w:rsidRPr="00BF0955">
        <w:rPr>
          <w:rFonts w:ascii="Palatino Linotype" w:eastAsia="Palatino Linotype" w:hAnsi="Palatino Linotype" w:cs="Palatino Linotype"/>
          <w:i/>
          <w:sz w:val="22"/>
          <w:szCs w:val="22"/>
        </w:rPr>
        <w:t xml:space="preserve"> un bien del domino privado se incorpora al dominio público; </w:t>
      </w:r>
    </w:p>
    <w:p w14:paraId="0B354644"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rPr>
        <w:t>IV. Afectar los bienes al dominio público del Estado</w:t>
      </w:r>
      <w:r w:rsidRPr="00BF0955">
        <w:rPr>
          <w:rFonts w:ascii="Palatino Linotype" w:eastAsia="Palatino Linotype" w:hAnsi="Palatino Linotype" w:cs="Palatino Linotype"/>
          <w:i/>
          <w:sz w:val="22"/>
          <w:szCs w:val="22"/>
        </w:rPr>
        <w:t xml:space="preserve"> o municipios; </w:t>
      </w:r>
    </w:p>
    <w:p w14:paraId="15D55926"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 xml:space="preserve">V. Desafectar del dominio público los bienes cuando éstos no sean necesarios, conforme a lo dispuesto por el artículo 61 fracción XXXVI de la Constitución Política Local; </w:t>
      </w:r>
    </w:p>
    <w:p w14:paraId="34C9D45B"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rPr>
        <w:t>VI. Desincorporar bienes del patrimonio estatal</w:t>
      </w:r>
      <w:r w:rsidRPr="00BF0955">
        <w:rPr>
          <w:rFonts w:ascii="Palatino Linotype" w:eastAsia="Palatino Linotype" w:hAnsi="Palatino Linotype" w:cs="Palatino Linotype"/>
          <w:i/>
          <w:sz w:val="22"/>
          <w:szCs w:val="22"/>
        </w:rPr>
        <w:t xml:space="preserve"> o municipal, </w:t>
      </w:r>
      <w:r w:rsidRPr="00BF0955">
        <w:rPr>
          <w:rFonts w:ascii="Palatino Linotype" w:eastAsia="Palatino Linotype" w:hAnsi="Palatino Linotype" w:cs="Palatino Linotype"/>
          <w:b/>
          <w:i/>
          <w:sz w:val="22"/>
          <w:szCs w:val="22"/>
        </w:rPr>
        <w:t>conforme a lo dispuesto por el artículo 61 fracción XXXVI de la Constitución Política del Estado Libre y Soberano de México</w:t>
      </w:r>
      <w:r w:rsidRPr="00BF0955">
        <w:rPr>
          <w:rFonts w:ascii="Palatino Linotype" w:eastAsia="Palatino Linotype" w:hAnsi="Palatino Linotype" w:cs="Palatino Linotype"/>
          <w:i/>
          <w:sz w:val="22"/>
          <w:szCs w:val="22"/>
        </w:rPr>
        <w:t xml:space="preserve">; </w:t>
      </w:r>
    </w:p>
    <w:p w14:paraId="3DE480D3"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 xml:space="preserve">VII. Incorporar al dominio público, los bienes de los organismos auxiliares cuando éstos se encuentren en liquidación, o no sean necesarios para el cumplimiento del objetivo social que aquéllos tengan asignado; </w:t>
      </w:r>
    </w:p>
    <w:p w14:paraId="022EE95C"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 xml:space="preserve">VIII. Autorizar el cambio de uso o destino de los bienes de dominio público, así como la sustitución de los usuarios cuando así convenga a las necesidades de la administración pública estatal o municipal; </w:t>
      </w:r>
    </w:p>
    <w:p w14:paraId="5CBB2591"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lastRenderedPageBreak/>
        <w:t xml:space="preserve">IX. Adquirir bienes inmuebles o celebrar los actos jurídicos que impliquen la transmisión a título oneroso o gratuito de los bienes del dominio privado, conforme a lo dispuesto por el artículo 61 fracción XXXVI de la Constitución Política del Estado; </w:t>
      </w:r>
    </w:p>
    <w:p w14:paraId="129D1FE5"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X. Otorgar concesiones, autorizaciones, permisos o licencias sobre bienes del dominio público o privado, con excepción de aquellos previstos en el artículo 9 Bis de esta Ley;</w:t>
      </w:r>
    </w:p>
    <w:p w14:paraId="30DD541B"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 xml:space="preserve">XI. Recuperar administrativamente los bienes del dominio público cuando se haya cambiado el uso o destino al que hubieren sido afectados o se haya sustituido al usuario sin autorización; </w:t>
      </w:r>
    </w:p>
    <w:p w14:paraId="35F06753"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u w:val="single"/>
        </w:rPr>
        <w:t>XII. Dar de baja los bienes del dominio público cuando hayan dejado de formar parte de éste, cancelando la inscripción en el Registro Administrativo de la Propiedad Pública correspondiente y solicitar al Registro Público de la Propiedad la cancelación del asiento respectivo</w:t>
      </w:r>
      <w:r w:rsidRPr="00BF0955">
        <w:rPr>
          <w:rFonts w:ascii="Palatino Linotype" w:eastAsia="Palatino Linotype" w:hAnsi="Palatino Linotype" w:cs="Palatino Linotype"/>
          <w:i/>
          <w:sz w:val="22"/>
          <w:szCs w:val="22"/>
        </w:rPr>
        <w:t xml:space="preserve">; XIII. Llevar el Registro Administrativo de la Propiedad Pública Estatal o Municipal, respectivamente; </w:t>
      </w:r>
    </w:p>
    <w:p w14:paraId="62B8BAFC"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 xml:space="preserve">XIV. Dictar las normas a las que deberá sujetarse la vigilancia, cuidado, administración y aprovechamiento de los bienes del dominio público y privado; XV. Elaborar un programa de aprovechamiento de los bienes que integran el patrimonio estatal o municipal; y </w:t>
      </w:r>
    </w:p>
    <w:p w14:paraId="63EA3B99"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XVI. Expedir las disposiciones administrativas para el cumplimiento de esta ley. Para el ejercicio de las facultades anteriores la persona titular de la Oficialía Mayor y los ayuntamientos expedirán el acuerdo respectivo, el que deberá estar debidamente fundado y motivado.</w:t>
      </w:r>
    </w:p>
    <w:p w14:paraId="2BFD458F"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w:t>
      </w:r>
    </w:p>
    <w:p w14:paraId="2E6244C9" w14:textId="77777777" w:rsidR="002A62BF" w:rsidRPr="00BF0955" w:rsidRDefault="00351F3E" w:rsidP="00BF0955">
      <w:pPr>
        <w:ind w:left="567" w:right="539"/>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b/>
          <w:i/>
          <w:sz w:val="22"/>
          <w:szCs w:val="22"/>
        </w:rPr>
        <w:t>Artículo 56.-</w:t>
      </w:r>
      <w:r w:rsidRPr="00BF0955">
        <w:rPr>
          <w:rFonts w:ascii="Palatino Linotype" w:eastAsia="Palatino Linotype" w:hAnsi="Palatino Linotype" w:cs="Palatino Linotype"/>
          <w:i/>
          <w:sz w:val="22"/>
          <w:szCs w:val="22"/>
        </w:rPr>
        <w:t xml:space="preserve"> La Oficialía Mayor y los ayuntamientos llevarán a cabo la adquisición y enajenación de bienes inmuebles y enajenación de bienes muebles, mediante licitación pública, a través de comités cuya integración, organización, funcionamiento y procedimientos, serán determinados por las disposiciones reglamentarias respectivas. La Oficialía Mayor y los ayuntamientos podrán arrendar bienes inmuebles para el servicio de los poderes públicos, organismos y entidades públicas, estatales y municipales que lo requieran, quienes deberán justificarlo.</w:t>
      </w:r>
    </w:p>
    <w:p w14:paraId="0AF59197"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09DEF4AC"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De lo anterior se advierte que a la Oficialía Mayor le corresponde el de dar de baja los bienes cuando hayan dejado de formar parte del dominio público y realizar el procedimiento administrativo de cancelación de la inscripción y cancelación del asiento respectivo ante el Registro Público de la Propiedad. </w:t>
      </w:r>
    </w:p>
    <w:p w14:paraId="495D2168"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14D77218"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lastRenderedPageBreak/>
        <w:t xml:space="preserve">Por lo que se determina que, la </w:t>
      </w:r>
      <w:r w:rsidRPr="00BF0955">
        <w:rPr>
          <w:rFonts w:ascii="Palatino Linotype" w:eastAsia="Palatino Linotype" w:hAnsi="Palatino Linotype" w:cs="Palatino Linotype"/>
          <w:b/>
          <w:sz w:val="22"/>
          <w:szCs w:val="22"/>
        </w:rPr>
        <w:t>Oficialía Mayor del Estado de México</w:t>
      </w:r>
      <w:r w:rsidRPr="00BF0955">
        <w:rPr>
          <w:rFonts w:ascii="Palatino Linotype" w:eastAsia="Palatino Linotype" w:hAnsi="Palatino Linotype" w:cs="Palatino Linotype"/>
          <w:sz w:val="22"/>
          <w:szCs w:val="22"/>
        </w:rPr>
        <w:t xml:space="preserve"> es el Sujeto Obligado competente que pudiera conocer de la información solicitada por la parte </w:t>
      </w:r>
      <w:r w:rsidRPr="00BF0955">
        <w:rPr>
          <w:rFonts w:ascii="Palatino Linotype" w:eastAsia="Palatino Linotype" w:hAnsi="Palatino Linotype" w:cs="Palatino Linotype"/>
          <w:b/>
          <w:sz w:val="22"/>
          <w:szCs w:val="22"/>
        </w:rPr>
        <w:t>RECURRENTE.</w:t>
      </w:r>
    </w:p>
    <w:p w14:paraId="2840B7FF" w14:textId="77777777" w:rsidR="002A62BF" w:rsidRPr="00BF0955" w:rsidRDefault="002A62BF" w:rsidP="00BF0955">
      <w:pPr>
        <w:ind w:right="-28"/>
        <w:rPr>
          <w:rFonts w:ascii="Palatino Linotype" w:eastAsia="Palatino Linotype" w:hAnsi="Palatino Linotype" w:cs="Palatino Linotype"/>
          <w:sz w:val="22"/>
          <w:szCs w:val="22"/>
        </w:rPr>
      </w:pPr>
    </w:p>
    <w:p w14:paraId="55DF6ABB"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Conforme a lo anterior, es conveniente traer en contexto lo señalado por el Decreto número 182 publicado el once de septiembre de dos mil veintitrés, en el Periódico Oficial “Gaceta del Gobierno” del Estado de México por el que se expide la Ley Orgánica de la Administración Pública del Estado de México, se establece como dependencia del Poder Ejecutivo a la Oficialía Mayor. </w:t>
      </w:r>
    </w:p>
    <w:p w14:paraId="770E7181" w14:textId="77777777" w:rsidR="002A62BF" w:rsidRPr="00BF0955" w:rsidRDefault="002A62BF" w:rsidP="00BF0955">
      <w:pPr>
        <w:ind w:right="-28"/>
        <w:rPr>
          <w:rFonts w:ascii="Palatino Linotype" w:eastAsia="Palatino Linotype" w:hAnsi="Palatino Linotype" w:cs="Palatino Linotype"/>
          <w:sz w:val="22"/>
          <w:szCs w:val="22"/>
        </w:rPr>
      </w:pPr>
    </w:p>
    <w:p w14:paraId="00255F73"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Toda vez que, en su artículo noveno transitorio, precisa que la Secretaría de Finanzas dotará de los recursos humanos, materiales y financieros necesarios para la creación de la Oficialía Mayor, en el cual se considera la modificación de su propio marco competencias, por lo que, en fecha veintisiete de septiembre de dos mil veintitrés, mediante en un acuerdo publicado en el Periódico Oficial, se determinó la transferencia de los recursos de la Subsecretaría de Administración de la Secretaría de Finanzas a la Oficialía Mayor. </w:t>
      </w:r>
    </w:p>
    <w:p w14:paraId="34CB5C60" w14:textId="77777777" w:rsidR="002A62BF" w:rsidRPr="00BF0955" w:rsidRDefault="002A62BF" w:rsidP="00BF0955">
      <w:pPr>
        <w:ind w:right="-28"/>
        <w:rPr>
          <w:rFonts w:ascii="Palatino Linotype" w:eastAsia="Palatino Linotype" w:hAnsi="Palatino Linotype" w:cs="Palatino Linotype"/>
          <w:sz w:val="22"/>
          <w:szCs w:val="22"/>
        </w:rPr>
      </w:pPr>
    </w:p>
    <w:p w14:paraId="78A39F0C" w14:textId="77777777" w:rsidR="002A62BF" w:rsidRPr="00A4353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En ese sentido, lo anterior impactó en lo que corresponde a la materia de acceso a la información pública, debido a que, en fecha nueve de enero de dos mil veinticuatro, este Organismo Garante determinó contemplar dentro del rubro “Administración Pública Centralizada” a la Oficialía Mayor, situación que impactó en diversos recursos de revisión,  en ese contexto, debido a que, como se mencionó derivado de la transferencia de los recursos de la Subsecretaría de Administración de la Secretaría de Finanzas a la Oficialía Mayor, se determina que para el presente caso, la información requerida puede estar en posesión de la Secretaría de Finanzas como la Oficialía Mayor como sujetos obligados con competencia concurrente.</w:t>
      </w:r>
    </w:p>
    <w:p w14:paraId="38198539"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lastRenderedPageBreak/>
        <w:t xml:space="preserve">Precisado lo anterior, se advierte que, tanto el acto impugnado como los motivos de inconformidad hechos valer por el </w:t>
      </w:r>
      <w:r w:rsidRPr="00BF0955">
        <w:rPr>
          <w:rFonts w:ascii="Palatino Linotype" w:eastAsia="Palatino Linotype" w:hAnsi="Palatino Linotype" w:cs="Palatino Linotype"/>
          <w:b/>
          <w:sz w:val="22"/>
          <w:szCs w:val="22"/>
        </w:rPr>
        <w:t>RECURRENTE</w:t>
      </w:r>
      <w:r w:rsidRPr="00BF0955">
        <w:rPr>
          <w:rFonts w:ascii="Palatino Linotype" w:eastAsia="Palatino Linotype" w:hAnsi="Palatino Linotype" w:cs="Palatino Linotype"/>
          <w:sz w:val="22"/>
          <w:szCs w:val="22"/>
        </w:rPr>
        <w:t xml:space="preserve"> son improcedentes, </w:t>
      </w:r>
      <w:r w:rsidRPr="00BF0955">
        <w:rPr>
          <w:rFonts w:ascii="Palatino Linotype" w:eastAsia="Palatino Linotype" w:hAnsi="Palatino Linotype" w:cs="Palatino Linotype"/>
          <w:b/>
          <w:sz w:val="22"/>
          <w:szCs w:val="22"/>
        </w:rPr>
        <w:t xml:space="preserve">puesto que la información que solicitó es competencia de un Sujeto Obligado distinto al que se le formuló la solicitud. </w:t>
      </w:r>
    </w:p>
    <w:p w14:paraId="4618AAE8" w14:textId="77777777" w:rsidR="002A62BF" w:rsidRPr="00BF0955" w:rsidRDefault="002A62BF" w:rsidP="00BF0955">
      <w:pPr>
        <w:ind w:right="-28"/>
        <w:rPr>
          <w:rFonts w:ascii="Palatino Linotype" w:eastAsia="Palatino Linotype" w:hAnsi="Palatino Linotype" w:cs="Palatino Linotype"/>
          <w:sz w:val="22"/>
          <w:szCs w:val="22"/>
        </w:rPr>
      </w:pPr>
    </w:p>
    <w:p w14:paraId="3B615FE5"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Entonces, al ser dos entes distintos en materia de transparencia, resulta en obviedad que uno no puede atender las solicitudes de información de otro, puesto que es información que cada Sujeto Obligado posee, genera y administra.</w:t>
      </w:r>
    </w:p>
    <w:p w14:paraId="21A8B753" w14:textId="77777777" w:rsidR="002A62BF" w:rsidRPr="00BF0955" w:rsidRDefault="002A62BF" w:rsidP="00BF0955">
      <w:pPr>
        <w:ind w:right="-28"/>
        <w:rPr>
          <w:rFonts w:ascii="Palatino Linotype" w:eastAsia="Palatino Linotype" w:hAnsi="Palatino Linotype" w:cs="Palatino Linotype"/>
          <w:sz w:val="22"/>
          <w:szCs w:val="22"/>
        </w:rPr>
      </w:pPr>
    </w:p>
    <w:p w14:paraId="608DAA8A" w14:textId="77777777" w:rsidR="002A62BF"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Ahora bien, este Órgano Garante estima que el actuar del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encuadra en lo preceptuado por la Ley de la materia, por lo que es necesario señalar los siguientes preceptos legales:</w:t>
      </w:r>
    </w:p>
    <w:p w14:paraId="35D46399"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2FFDBAE7"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b/>
          <w:i/>
          <w:sz w:val="22"/>
          <w:szCs w:val="22"/>
        </w:rPr>
        <w:t>“Artículo 53</w:t>
      </w:r>
      <w:r w:rsidRPr="00BF0955">
        <w:rPr>
          <w:rFonts w:ascii="Palatino Linotype" w:eastAsia="Palatino Linotype" w:hAnsi="Palatino Linotype" w:cs="Palatino Linotype"/>
          <w:i/>
          <w:sz w:val="22"/>
          <w:szCs w:val="22"/>
        </w:rPr>
        <w:t xml:space="preserve">. Las Unidades de Transparencia tendrán las siguientes funciones: </w:t>
      </w:r>
    </w:p>
    <w:p w14:paraId="33F7ECFC"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w:t>
      </w:r>
    </w:p>
    <w:p w14:paraId="494B5ACF" w14:textId="77777777" w:rsidR="002A62BF" w:rsidRPr="00BF0955" w:rsidRDefault="00351F3E" w:rsidP="00BF0955">
      <w:pPr>
        <w:ind w:left="567" w:right="539"/>
        <w:jc w:val="both"/>
        <w:rPr>
          <w:rFonts w:ascii="Palatino Linotype" w:eastAsia="Palatino Linotype" w:hAnsi="Palatino Linotype" w:cs="Palatino Linotype"/>
          <w:b/>
          <w:i/>
          <w:sz w:val="22"/>
          <w:szCs w:val="22"/>
        </w:rPr>
      </w:pPr>
      <w:r w:rsidRPr="00BF0955">
        <w:rPr>
          <w:rFonts w:ascii="Palatino Linotype" w:eastAsia="Palatino Linotype" w:hAnsi="Palatino Linotype" w:cs="Palatino Linotype"/>
          <w:b/>
          <w:i/>
          <w:sz w:val="22"/>
          <w:szCs w:val="22"/>
        </w:rPr>
        <w:t>III. Auxiliar a los particulares en la elaboración de solicitudes de acceso a la información y, en su caso, orientarlos sobre los sujetos obligados competentes conforme a la normatividad aplicable;</w:t>
      </w:r>
    </w:p>
    <w:p w14:paraId="6AE79A2D" w14:textId="77777777" w:rsidR="002A62BF" w:rsidRPr="00BF0955" w:rsidRDefault="00351F3E" w:rsidP="00BF0955">
      <w:pPr>
        <w:ind w:left="567" w:right="539"/>
        <w:jc w:val="both"/>
        <w:rPr>
          <w:rFonts w:ascii="Palatino Linotype" w:eastAsia="Palatino Linotype" w:hAnsi="Palatino Linotype" w:cs="Palatino Linotype"/>
          <w:i/>
          <w:sz w:val="22"/>
          <w:szCs w:val="22"/>
        </w:rPr>
      </w:pPr>
      <w:r w:rsidRPr="00BF0955">
        <w:rPr>
          <w:rFonts w:ascii="Palatino Linotype" w:eastAsia="Palatino Linotype" w:hAnsi="Palatino Linotype" w:cs="Palatino Linotype"/>
          <w:i/>
          <w:sz w:val="22"/>
          <w:szCs w:val="22"/>
        </w:rPr>
        <w:t>(…)”</w:t>
      </w:r>
    </w:p>
    <w:p w14:paraId="5212AE87" w14:textId="77777777" w:rsidR="002A62BF" w:rsidRPr="00BF0955" w:rsidRDefault="00351F3E" w:rsidP="00BF0955">
      <w:pPr>
        <w:pBdr>
          <w:top w:val="nil"/>
          <w:left w:val="nil"/>
          <w:bottom w:val="nil"/>
          <w:right w:val="nil"/>
          <w:between w:val="nil"/>
        </w:pBdr>
        <w:spacing w:before="240"/>
        <w:ind w:left="567" w:right="539"/>
        <w:jc w:val="center"/>
        <w:rPr>
          <w:rFonts w:ascii="Palatino Linotype" w:eastAsia="Palatino Linotype" w:hAnsi="Palatino Linotype" w:cs="Palatino Linotype"/>
          <w:b/>
          <w:i/>
          <w:color w:val="000000"/>
          <w:sz w:val="22"/>
          <w:szCs w:val="22"/>
        </w:rPr>
      </w:pPr>
      <w:r w:rsidRPr="00BF0955">
        <w:rPr>
          <w:rFonts w:ascii="Palatino Linotype" w:eastAsia="Palatino Linotype" w:hAnsi="Palatino Linotype" w:cs="Palatino Linotype"/>
          <w:b/>
          <w:i/>
          <w:color w:val="000000"/>
          <w:sz w:val="22"/>
          <w:szCs w:val="22"/>
        </w:rPr>
        <w:t>Capítulo I</w:t>
      </w:r>
    </w:p>
    <w:p w14:paraId="31BE4663" w14:textId="77777777" w:rsidR="002A62BF" w:rsidRPr="00BF0955" w:rsidRDefault="00351F3E" w:rsidP="00BF0955">
      <w:pPr>
        <w:pBdr>
          <w:top w:val="nil"/>
          <w:left w:val="nil"/>
          <w:bottom w:val="nil"/>
          <w:right w:val="nil"/>
          <w:between w:val="nil"/>
        </w:pBdr>
        <w:ind w:left="567" w:right="539"/>
        <w:jc w:val="center"/>
        <w:rPr>
          <w:rFonts w:ascii="Palatino Linotype" w:eastAsia="Palatino Linotype" w:hAnsi="Palatino Linotype" w:cs="Palatino Linotype"/>
          <w:b/>
          <w:i/>
          <w:color w:val="000000"/>
          <w:sz w:val="22"/>
          <w:szCs w:val="22"/>
        </w:rPr>
      </w:pPr>
      <w:r w:rsidRPr="00BF0955">
        <w:rPr>
          <w:rFonts w:ascii="Palatino Linotype" w:eastAsia="Palatino Linotype" w:hAnsi="Palatino Linotype" w:cs="Palatino Linotype"/>
          <w:b/>
          <w:i/>
          <w:color w:val="000000"/>
          <w:sz w:val="22"/>
          <w:szCs w:val="22"/>
        </w:rPr>
        <w:t>Del Procedimiento de Acceso a la Información Pública</w:t>
      </w:r>
    </w:p>
    <w:p w14:paraId="6B9F1988" w14:textId="77777777" w:rsidR="002A62BF" w:rsidRPr="00BF0955" w:rsidRDefault="002A62BF" w:rsidP="00BF0955">
      <w:pPr>
        <w:pBdr>
          <w:top w:val="nil"/>
          <w:left w:val="nil"/>
          <w:bottom w:val="nil"/>
          <w:right w:val="nil"/>
          <w:between w:val="nil"/>
        </w:pBdr>
        <w:ind w:left="567" w:right="539"/>
        <w:jc w:val="center"/>
        <w:rPr>
          <w:rFonts w:ascii="Palatino Linotype" w:eastAsia="Palatino Linotype" w:hAnsi="Palatino Linotype" w:cs="Palatino Linotype"/>
          <w:b/>
          <w:i/>
          <w:color w:val="000000"/>
          <w:sz w:val="22"/>
          <w:szCs w:val="22"/>
        </w:rPr>
      </w:pPr>
    </w:p>
    <w:p w14:paraId="51A360E1" w14:textId="77777777" w:rsidR="002A62BF" w:rsidRPr="00BF0955" w:rsidRDefault="00351F3E" w:rsidP="00BF0955">
      <w:pPr>
        <w:pBdr>
          <w:top w:val="nil"/>
          <w:left w:val="nil"/>
          <w:bottom w:val="nil"/>
          <w:right w:val="nil"/>
          <w:between w:val="nil"/>
        </w:pBdr>
        <w:spacing w:after="240"/>
        <w:ind w:left="567" w:right="539"/>
        <w:jc w:val="both"/>
        <w:rPr>
          <w:rFonts w:ascii="Palatino Linotype" w:eastAsia="Palatino Linotype" w:hAnsi="Palatino Linotype" w:cs="Palatino Linotype"/>
          <w:i/>
          <w:color w:val="000000"/>
          <w:sz w:val="22"/>
          <w:szCs w:val="22"/>
        </w:rPr>
      </w:pPr>
      <w:r w:rsidRPr="00BF0955">
        <w:rPr>
          <w:rFonts w:ascii="Palatino Linotype" w:eastAsia="Palatino Linotype" w:hAnsi="Palatino Linotype" w:cs="Palatino Linotype"/>
          <w:b/>
          <w:i/>
          <w:color w:val="000000"/>
          <w:sz w:val="22"/>
          <w:szCs w:val="22"/>
        </w:rPr>
        <w:t>“Artículo 150.</w:t>
      </w:r>
      <w:r w:rsidRPr="00BF0955">
        <w:rPr>
          <w:rFonts w:ascii="Palatino Linotype" w:eastAsia="Palatino Linotype" w:hAnsi="Palatino Linotype" w:cs="Palatino Linotype"/>
          <w:i/>
          <w:color w:val="000000"/>
          <w:sz w:val="22"/>
          <w:szCs w:val="22"/>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03C875ED"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3C60C4F0"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lastRenderedPageBreak/>
        <w:t xml:space="preserve">De los artículos transcritos se deriva que prevalece en el procedimiento de acceso a la información pública el principio de auxilio y orientación en favor de los particulares, y, que en los casos en que un Sujeto Obligado determine que no es competente para atender una solicitud de información, por no corresponderle generar o administrar lo solicitado, debe orientar sobre el Sujeto Obligado competente, debiendo hacerlo en el plazo de </w:t>
      </w:r>
      <w:r w:rsidRPr="00BF0955">
        <w:rPr>
          <w:rFonts w:ascii="Palatino Linotype" w:eastAsia="Palatino Linotype" w:hAnsi="Palatino Linotype" w:cs="Palatino Linotype"/>
          <w:b/>
          <w:sz w:val="22"/>
          <w:szCs w:val="22"/>
        </w:rPr>
        <w:t>tres días hábiles</w:t>
      </w:r>
      <w:r w:rsidRPr="00BF0955">
        <w:rPr>
          <w:rFonts w:ascii="Palatino Linotype" w:eastAsia="Palatino Linotype" w:hAnsi="Palatino Linotype" w:cs="Palatino Linotype"/>
          <w:sz w:val="22"/>
          <w:szCs w:val="22"/>
        </w:rPr>
        <w:t xml:space="preserve"> posteriores a la recepción de la solicitud; en caso de no hacerlo en dicho plazo, podrá canalizar la solicitud al Sujeto Obligado competente.</w:t>
      </w:r>
    </w:p>
    <w:p w14:paraId="676FFBBC"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4E193F40" w14:textId="77777777" w:rsidR="002A62BF"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En el caso particular, se aprecia que 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xml:space="preserve"> determinó su incompetencia para atender la solicitud al tercer día hábil de presentada la solicitud, por no corresponderle la información materia del requerimiento, y respondió en la medida de sus posibilidades al declararse incompetente al </w:t>
      </w:r>
      <w:r w:rsidRPr="00BF0955">
        <w:rPr>
          <w:rFonts w:ascii="Palatino Linotype" w:eastAsia="Palatino Linotype" w:hAnsi="Palatino Linotype" w:cs="Palatino Linotype"/>
          <w:b/>
          <w:sz w:val="22"/>
          <w:szCs w:val="22"/>
        </w:rPr>
        <w:t>RECURRENTE</w:t>
      </w:r>
      <w:r w:rsidRPr="00BF0955">
        <w:rPr>
          <w:rFonts w:ascii="Palatino Linotype" w:eastAsia="Palatino Linotype" w:hAnsi="Palatino Linotype" w:cs="Palatino Linotype"/>
          <w:sz w:val="22"/>
          <w:szCs w:val="22"/>
        </w:rPr>
        <w:t>, en el plazo señalado en el artículo 167 de la Ley de Transparencia Local y oriento sobre el Sujeto Obligado al que se debe dirigir la solicitud de información.</w:t>
      </w:r>
    </w:p>
    <w:p w14:paraId="399C5FEE"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3F18F398"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En estas condiciones, este Órgano Garante confirma la respuesta, pues considera que es la </w:t>
      </w:r>
      <w:r w:rsidRPr="00BF0955">
        <w:rPr>
          <w:rFonts w:ascii="Palatino Linotype" w:eastAsia="Palatino Linotype" w:hAnsi="Palatino Linotype" w:cs="Palatino Linotype"/>
          <w:b/>
          <w:sz w:val="22"/>
          <w:szCs w:val="22"/>
        </w:rPr>
        <w:t>Oficialía Mayor</w:t>
      </w:r>
      <w:r w:rsidRPr="00BF0955">
        <w:rPr>
          <w:rFonts w:ascii="Palatino Linotype" w:eastAsia="Palatino Linotype" w:hAnsi="Palatino Linotype" w:cs="Palatino Linotype"/>
          <w:sz w:val="22"/>
          <w:szCs w:val="22"/>
        </w:rPr>
        <w:t xml:space="preserve"> quien cuenta con la información requerida; ello de acuerdo con las facultades que le competen. Sirve de apoyo a lo anterior, el Criterio 15/13 emitido por el Instituto Nacional de Transparencia, Acceso a la Información y Protección de Datos Personales.</w:t>
      </w:r>
    </w:p>
    <w:p w14:paraId="3B45E8A8" w14:textId="77777777" w:rsidR="002A62BF" w:rsidRPr="00BF0955" w:rsidRDefault="00351F3E" w:rsidP="00BF0955">
      <w:pPr>
        <w:pBdr>
          <w:top w:val="nil"/>
          <w:left w:val="nil"/>
          <w:bottom w:val="nil"/>
          <w:right w:val="nil"/>
          <w:between w:val="nil"/>
        </w:pBdr>
        <w:spacing w:before="240"/>
        <w:ind w:left="567" w:right="539"/>
        <w:jc w:val="both"/>
        <w:rPr>
          <w:rFonts w:ascii="Palatino Linotype" w:eastAsia="Palatino Linotype" w:hAnsi="Palatino Linotype" w:cs="Palatino Linotype"/>
          <w:i/>
          <w:color w:val="000000"/>
          <w:sz w:val="22"/>
          <w:szCs w:val="22"/>
        </w:rPr>
      </w:pPr>
      <w:r w:rsidRPr="00BF0955">
        <w:rPr>
          <w:rFonts w:ascii="Palatino Linotype" w:eastAsia="Palatino Linotype" w:hAnsi="Palatino Linotype" w:cs="Palatino Linotype"/>
          <w:i/>
          <w:color w:val="000000"/>
          <w:sz w:val="22"/>
          <w:szCs w:val="22"/>
        </w:rPr>
        <w:t xml:space="preserve">Competencia concurrente. Los sujetos obligados deberán proporcionar la información con la que cuenten y orientar al particular a las otras autoridades competentes. De conformidad con lo dispuesto en el artículo 28, fracción III de la Ley Federal de Transparencia y Acceso a la Información Pública Gubernamental, cuando las dependencias y entidades de la Administración Pública Federal reciban una solicitud de acceso a información gubernamental que no sea de su competencia, deberán orientar al particular para que </w:t>
      </w:r>
      <w:r w:rsidRPr="00BF0955">
        <w:rPr>
          <w:rFonts w:ascii="Palatino Linotype" w:eastAsia="Palatino Linotype" w:hAnsi="Palatino Linotype" w:cs="Palatino Linotype"/>
          <w:i/>
          <w:color w:val="000000"/>
          <w:sz w:val="22"/>
          <w:szCs w:val="22"/>
        </w:rPr>
        <w:lastRenderedPageBreak/>
        <w:t>presente una nueva solicitud de acceso ante la Unidad de Enlace de la autoridad competente para conocer de la información. Ahora bien, cuando sobre una materia, el sujeto obligado tenga una competencia concurrente con otra u otras autoridades, deberá agotar el procedimiento de búsqueda de la información y proporcionar aquélla con la que cuente o, de no contar con ésta, deberá declarar formalmente la inexistencia y, en su caso, orientar al particular para que, de así considerarlo, presente su solicitud ante la dependencia o entidad que también tengan competencia para conocer de la información.</w:t>
      </w:r>
    </w:p>
    <w:p w14:paraId="03FB5817"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5C6F22C6"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Así, de conformidad con lo establecido en el artículo 12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 por ende, las razones o motivos de inconformidad al respecto devienen infundados.</w:t>
      </w:r>
    </w:p>
    <w:p w14:paraId="2E95FD84"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4B2B86E5" w14:textId="77777777" w:rsidR="002A62BF" w:rsidRPr="00E723F6"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w:t>
      </w:r>
      <w:r w:rsidR="00001BCC">
        <w:rPr>
          <w:rFonts w:ascii="Palatino Linotype" w:eastAsia="Palatino Linotype" w:hAnsi="Palatino Linotype" w:cs="Palatino Linotype"/>
          <w:sz w:val="22"/>
          <w:szCs w:val="22"/>
        </w:rPr>
        <w:t>le fue presentada la solicitud</w:t>
      </w:r>
      <w:r w:rsidRPr="00BF0955">
        <w:rPr>
          <w:rFonts w:ascii="Palatino Linotype" w:eastAsia="Palatino Linotype" w:hAnsi="Palatino Linotype" w:cs="Palatino Linotype"/>
          <w:sz w:val="22"/>
          <w:szCs w:val="22"/>
        </w:rPr>
        <w:t xml:space="preserve">, como ya fue establecido, se dejan a salvo los derechos del </w:t>
      </w:r>
      <w:r w:rsidRPr="00BF0955">
        <w:rPr>
          <w:rFonts w:ascii="Palatino Linotype" w:eastAsia="Palatino Linotype" w:hAnsi="Palatino Linotype" w:cs="Palatino Linotype"/>
          <w:b/>
          <w:sz w:val="22"/>
          <w:szCs w:val="22"/>
        </w:rPr>
        <w:t>RECURRENTE</w:t>
      </w:r>
      <w:r w:rsidRPr="00BF0955">
        <w:rPr>
          <w:rFonts w:ascii="Palatino Linotype" w:eastAsia="Palatino Linotype" w:hAnsi="Palatino Linotype" w:cs="Palatino Linotype"/>
          <w:sz w:val="22"/>
          <w:szCs w:val="22"/>
        </w:rPr>
        <w:t xml:space="preserve"> para que pueda realizar la solicitud de información ante el Sujeto Obligado </w:t>
      </w:r>
      <w:r w:rsidRPr="00E723F6">
        <w:rPr>
          <w:rFonts w:ascii="Palatino Linotype" w:eastAsia="Palatino Linotype" w:hAnsi="Palatino Linotype" w:cs="Palatino Linotype"/>
          <w:sz w:val="22"/>
          <w:szCs w:val="22"/>
        </w:rPr>
        <w:t>correspondiente.</w:t>
      </w:r>
    </w:p>
    <w:p w14:paraId="5FE2E624" w14:textId="77777777" w:rsidR="005829D4" w:rsidRPr="00E723F6" w:rsidRDefault="005829D4" w:rsidP="005829D4">
      <w:pPr>
        <w:spacing w:line="360" w:lineRule="auto"/>
        <w:ind w:right="-28"/>
        <w:jc w:val="both"/>
        <w:rPr>
          <w:rFonts w:ascii="Palatino Linotype" w:eastAsia="Palatino Linotype" w:hAnsi="Palatino Linotype" w:cs="Palatino Linotype"/>
          <w:sz w:val="22"/>
          <w:szCs w:val="22"/>
        </w:rPr>
      </w:pPr>
    </w:p>
    <w:p w14:paraId="1EA3E2F3" w14:textId="77777777" w:rsidR="00FC0A66" w:rsidRPr="00E723F6" w:rsidRDefault="00A43535" w:rsidP="00FC0A66">
      <w:pPr>
        <w:numPr>
          <w:ilvl w:val="0"/>
          <w:numId w:val="4"/>
        </w:numPr>
        <w:spacing w:line="360" w:lineRule="auto"/>
        <w:ind w:left="0" w:right="-28" w:firstLine="0"/>
        <w:jc w:val="both"/>
        <w:rPr>
          <w:rFonts w:ascii="Palatino Linotype" w:eastAsia="Palatino Linotype" w:hAnsi="Palatino Linotype" w:cs="Palatino Linotype"/>
          <w:sz w:val="22"/>
          <w:szCs w:val="22"/>
        </w:rPr>
      </w:pPr>
      <w:r w:rsidRPr="00E723F6">
        <w:rPr>
          <w:rFonts w:ascii="Palatino Linotype" w:eastAsia="Palatino Linotype" w:hAnsi="Palatino Linotype" w:cs="Palatino Linotype"/>
          <w:sz w:val="22"/>
          <w:szCs w:val="22"/>
        </w:rPr>
        <w:t>Aunado a lo anterior,</w:t>
      </w:r>
      <w:r w:rsidR="00001BCC" w:rsidRPr="00E723F6">
        <w:rPr>
          <w:rFonts w:ascii="Palatino Linotype" w:eastAsia="Palatino Linotype" w:hAnsi="Palatino Linotype" w:cs="Palatino Linotype"/>
          <w:sz w:val="22"/>
          <w:szCs w:val="22"/>
        </w:rPr>
        <w:t xml:space="preserve"> </w:t>
      </w:r>
      <w:r w:rsidR="00001BCC" w:rsidRPr="00E723F6">
        <w:rPr>
          <w:rFonts w:ascii="Palatino Linotype" w:eastAsia="Calibri" w:hAnsi="Palatino Linotype" w:cs="Arial"/>
          <w:color w:val="000000" w:themeColor="text1"/>
          <w:sz w:val="22"/>
          <w:szCs w:val="22"/>
        </w:rPr>
        <w:t xml:space="preserve">este Organismo Garante, advierte que derivado de las constancias y, del pronunciamiento expreso del Particular en la solicitud de información, no se pretende ejercer un derecho de </w:t>
      </w:r>
      <w:r w:rsidR="00FC0A66" w:rsidRPr="00E723F6">
        <w:rPr>
          <w:rFonts w:ascii="Palatino Linotype" w:eastAsia="Calibri" w:hAnsi="Palatino Linotype" w:cs="Arial"/>
          <w:color w:val="000000" w:themeColor="text1"/>
          <w:sz w:val="22"/>
          <w:szCs w:val="22"/>
        </w:rPr>
        <w:t>acceso a la información, sino</w:t>
      </w:r>
      <w:r w:rsidR="00001BCC" w:rsidRPr="00E723F6">
        <w:rPr>
          <w:rFonts w:ascii="Palatino Linotype" w:eastAsia="Calibri" w:hAnsi="Palatino Linotype" w:cs="Arial"/>
          <w:color w:val="000000" w:themeColor="text1"/>
          <w:sz w:val="22"/>
          <w:szCs w:val="22"/>
        </w:rPr>
        <w:t xml:space="preserve"> derechos ARCO; motivo por el cual, deberá ingresar la solicitud de información mediante el Sistema de Acceso, Ratificación, Cancelación y Oposición de Datos Personales del Estado de México </w:t>
      </w:r>
      <w:r w:rsidR="00001BCC" w:rsidRPr="00E723F6">
        <w:rPr>
          <w:rFonts w:ascii="Palatino Linotype" w:eastAsia="Calibri" w:hAnsi="Palatino Linotype" w:cs="Arial"/>
          <w:b/>
          <w:color w:val="000000" w:themeColor="text1"/>
          <w:sz w:val="22"/>
          <w:szCs w:val="22"/>
        </w:rPr>
        <w:t>(SARCOEM)</w:t>
      </w:r>
      <w:r w:rsidR="00FC0A66" w:rsidRPr="00E723F6">
        <w:rPr>
          <w:rFonts w:ascii="Palatino Linotype" w:eastAsia="Calibri" w:hAnsi="Palatino Linotype" w:cs="Arial"/>
          <w:b/>
          <w:color w:val="000000" w:themeColor="text1"/>
          <w:sz w:val="22"/>
          <w:szCs w:val="22"/>
        </w:rPr>
        <w:t xml:space="preserve">, </w:t>
      </w:r>
      <w:r w:rsidR="00FC0A66" w:rsidRPr="00E723F6">
        <w:rPr>
          <w:rFonts w:ascii="Palatino Linotype" w:eastAsia="Calibri" w:hAnsi="Palatino Linotype" w:cs="Arial"/>
          <w:color w:val="000000" w:themeColor="text1"/>
          <w:sz w:val="22"/>
          <w:szCs w:val="22"/>
        </w:rPr>
        <w:t xml:space="preserve">atendiendo </w:t>
      </w:r>
      <w:r w:rsidR="00FC0A66" w:rsidRPr="00E723F6">
        <w:rPr>
          <w:rFonts w:ascii="Palatino Linotype" w:eastAsia="Calibri" w:hAnsi="Palatino Linotype" w:cs="Arial"/>
          <w:color w:val="000000" w:themeColor="text1"/>
          <w:sz w:val="22"/>
          <w:szCs w:val="22"/>
        </w:rPr>
        <w:lastRenderedPageBreak/>
        <w:t>los requisitos establecidos en el artículo 110 de la Ley de Protección de Datos Personales en Posesión de Sujetos Obligados del Estado de México y Municipios, que a la letra dice:</w:t>
      </w:r>
    </w:p>
    <w:p w14:paraId="10463F06" w14:textId="77777777" w:rsidR="00FC0A66" w:rsidRPr="00E723F6" w:rsidRDefault="00FC0A66" w:rsidP="00FC0A66">
      <w:pPr>
        <w:spacing w:line="360" w:lineRule="auto"/>
        <w:ind w:right="-28"/>
        <w:jc w:val="both"/>
        <w:rPr>
          <w:rFonts w:ascii="Palatino Linotype" w:eastAsia="Palatino Linotype" w:hAnsi="Palatino Linotype" w:cs="Palatino Linotype"/>
          <w:sz w:val="22"/>
          <w:szCs w:val="22"/>
        </w:rPr>
      </w:pPr>
    </w:p>
    <w:p w14:paraId="71EC8C3D" w14:textId="77777777" w:rsidR="00FC0A66" w:rsidRPr="00E723F6" w:rsidRDefault="00FC0A66" w:rsidP="00FC0A66">
      <w:pPr>
        <w:ind w:left="567" w:right="539"/>
        <w:jc w:val="center"/>
        <w:rPr>
          <w:rFonts w:ascii="Palatino Linotype" w:hAnsi="Palatino Linotype"/>
          <w:b/>
          <w:i/>
          <w:sz w:val="22"/>
        </w:rPr>
      </w:pPr>
      <w:r w:rsidRPr="00E723F6">
        <w:rPr>
          <w:rFonts w:ascii="Palatino Linotype" w:hAnsi="Palatino Linotype"/>
          <w:b/>
          <w:i/>
          <w:sz w:val="22"/>
        </w:rPr>
        <w:t>Requisitos de Solicitudes para el Ejercicio de los Derechos ARCO</w:t>
      </w:r>
    </w:p>
    <w:p w14:paraId="1ACCEFCE" w14:textId="77777777" w:rsidR="00FC0A66" w:rsidRPr="00E723F6" w:rsidRDefault="00FC0A66" w:rsidP="00FC0A66">
      <w:pPr>
        <w:ind w:left="567" w:right="539"/>
        <w:jc w:val="center"/>
        <w:rPr>
          <w:rFonts w:ascii="Palatino Linotype" w:hAnsi="Palatino Linotype"/>
          <w:b/>
          <w:i/>
          <w:sz w:val="22"/>
        </w:rPr>
      </w:pPr>
    </w:p>
    <w:p w14:paraId="43187E30" w14:textId="77777777" w:rsidR="00FC0A66" w:rsidRPr="00E723F6" w:rsidRDefault="00FC0A66" w:rsidP="00FC0A66">
      <w:pPr>
        <w:ind w:left="567" w:right="539"/>
        <w:jc w:val="both"/>
        <w:rPr>
          <w:rFonts w:ascii="Palatino Linotype" w:hAnsi="Palatino Linotype"/>
          <w:i/>
          <w:sz w:val="22"/>
        </w:rPr>
      </w:pPr>
      <w:r w:rsidRPr="00E723F6">
        <w:rPr>
          <w:rFonts w:ascii="Palatino Linotype" w:hAnsi="Palatino Linotype"/>
          <w:b/>
          <w:i/>
          <w:sz w:val="22"/>
        </w:rPr>
        <w:t>Artículo 110.</w:t>
      </w:r>
      <w:r w:rsidRPr="00E723F6">
        <w:rPr>
          <w:rFonts w:ascii="Palatino Linotype" w:hAnsi="Palatino Linotype"/>
          <w:i/>
          <w:sz w:val="22"/>
        </w:rPr>
        <w:t xml:space="preserve"> La solicitud para el ejercicio de derechos ARCO, deberá contener:</w:t>
      </w:r>
    </w:p>
    <w:p w14:paraId="1DADD4CD" w14:textId="77777777" w:rsidR="00FC0A66" w:rsidRPr="00E723F6" w:rsidRDefault="00FC0A66" w:rsidP="00FC0A66">
      <w:pPr>
        <w:ind w:left="567" w:right="539"/>
        <w:jc w:val="both"/>
        <w:rPr>
          <w:rFonts w:ascii="Palatino Linotype" w:hAnsi="Palatino Linotype"/>
          <w:i/>
          <w:sz w:val="22"/>
        </w:rPr>
      </w:pPr>
    </w:p>
    <w:p w14:paraId="30C97C63" w14:textId="77777777" w:rsidR="00FC0A66" w:rsidRPr="00E723F6" w:rsidRDefault="00FC0A66" w:rsidP="00FC0A66">
      <w:pPr>
        <w:ind w:left="567" w:right="539"/>
        <w:jc w:val="both"/>
        <w:rPr>
          <w:rFonts w:ascii="Palatino Linotype" w:hAnsi="Palatino Linotype"/>
          <w:i/>
          <w:sz w:val="22"/>
        </w:rPr>
      </w:pPr>
      <w:r w:rsidRPr="00E723F6">
        <w:rPr>
          <w:rFonts w:ascii="Palatino Linotype" w:hAnsi="Palatino Linotype"/>
          <w:i/>
          <w:sz w:val="22"/>
        </w:rPr>
        <w:t xml:space="preserve">I. El nombre del titular y su domicilio, o cualquier otro medio para recibir notificaciones. </w:t>
      </w:r>
    </w:p>
    <w:p w14:paraId="3CB5B97B" w14:textId="77777777" w:rsidR="00FC0A66" w:rsidRPr="00E723F6" w:rsidRDefault="00FC0A66" w:rsidP="00FC0A66">
      <w:pPr>
        <w:ind w:left="567" w:right="539"/>
        <w:jc w:val="both"/>
        <w:rPr>
          <w:rFonts w:ascii="Palatino Linotype" w:hAnsi="Palatino Linotype"/>
          <w:i/>
          <w:sz w:val="22"/>
        </w:rPr>
      </w:pPr>
      <w:r w:rsidRPr="00E723F6">
        <w:rPr>
          <w:rFonts w:ascii="Palatino Linotype" w:hAnsi="Palatino Linotype"/>
          <w:i/>
          <w:sz w:val="22"/>
        </w:rPr>
        <w:t xml:space="preserve">II. Los documentos que acrediten la identidad del titular y en su caso, la personalidad e identidad de su representante. </w:t>
      </w:r>
    </w:p>
    <w:p w14:paraId="22998385" w14:textId="77777777" w:rsidR="00FC0A66" w:rsidRPr="00E723F6" w:rsidRDefault="00FC0A66" w:rsidP="00FC0A66">
      <w:pPr>
        <w:ind w:left="567" w:right="539"/>
        <w:jc w:val="both"/>
        <w:rPr>
          <w:rFonts w:ascii="Palatino Linotype" w:hAnsi="Palatino Linotype"/>
          <w:i/>
          <w:sz w:val="22"/>
        </w:rPr>
      </w:pPr>
      <w:r w:rsidRPr="00E723F6">
        <w:rPr>
          <w:rFonts w:ascii="Palatino Linotype" w:hAnsi="Palatino Linotype"/>
          <w:i/>
          <w:sz w:val="22"/>
        </w:rPr>
        <w:t xml:space="preserve">III. De ser posible, el área responsable que trata los datos personales y ante el cual se presenta la solicitud. </w:t>
      </w:r>
    </w:p>
    <w:p w14:paraId="76574501" w14:textId="77777777" w:rsidR="00FC0A66" w:rsidRPr="00E723F6" w:rsidRDefault="00FC0A66" w:rsidP="00FC0A66">
      <w:pPr>
        <w:ind w:left="567" w:right="539"/>
        <w:jc w:val="both"/>
        <w:rPr>
          <w:rFonts w:ascii="Palatino Linotype" w:hAnsi="Palatino Linotype"/>
          <w:i/>
          <w:sz w:val="22"/>
        </w:rPr>
      </w:pPr>
      <w:r w:rsidRPr="00E723F6">
        <w:rPr>
          <w:rFonts w:ascii="Palatino Linotype" w:hAnsi="Palatino Linotype"/>
          <w:i/>
          <w:sz w:val="22"/>
        </w:rPr>
        <w:t xml:space="preserve">IV. La descripción clara y precisa de los datos personales respecto de los que se busca ejercer alguno de los derechos ARCO, salvo que se trate del derecho de acceso. </w:t>
      </w:r>
    </w:p>
    <w:p w14:paraId="0CFF2057" w14:textId="77777777" w:rsidR="00FC0A66" w:rsidRPr="00E723F6" w:rsidRDefault="00FC0A66" w:rsidP="00FC0A66">
      <w:pPr>
        <w:ind w:left="567" w:right="539"/>
        <w:jc w:val="both"/>
        <w:rPr>
          <w:rFonts w:ascii="Palatino Linotype" w:hAnsi="Palatino Linotype"/>
          <w:i/>
          <w:sz w:val="22"/>
        </w:rPr>
      </w:pPr>
      <w:r w:rsidRPr="00E723F6">
        <w:rPr>
          <w:rFonts w:ascii="Palatino Linotype" w:hAnsi="Palatino Linotype"/>
          <w:i/>
          <w:sz w:val="22"/>
        </w:rPr>
        <w:t>V. La descripción del derecho ARCO que se pretende ejercer, o bien, lo que solicita el titular. VI. Cualquier otro elemento o documento que facilite la localización de los datos personales, en su caso.</w:t>
      </w:r>
    </w:p>
    <w:p w14:paraId="32886F84" w14:textId="77777777" w:rsidR="00FC0A66" w:rsidRPr="00E723F6" w:rsidRDefault="00FC0A66" w:rsidP="00FC0A66">
      <w:pPr>
        <w:ind w:left="567" w:right="539"/>
        <w:jc w:val="both"/>
        <w:rPr>
          <w:rFonts w:ascii="Palatino Linotype" w:hAnsi="Palatino Linotype"/>
          <w:i/>
          <w:sz w:val="22"/>
        </w:rPr>
      </w:pPr>
      <w:r w:rsidRPr="00E723F6">
        <w:rPr>
          <w:rFonts w:ascii="Palatino Linotype" w:hAnsi="Palatino Linotype"/>
          <w:i/>
          <w:sz w:val="22"/>
        </w:rPr>
        <w:t xml:space="preserve">Tratándose del requisito de la fracción I, si es el caso del domicilio no se localiza dentro del Estado de México, las notificaciones se efectuarán por estrados. </w:t>
      </w:r>
    </w:p>
    <w:p w14:paraId="372AE07D" w14:textId="77777777" w:rsidR="00FC0A66" w:rsidRPr="00E723F6" w:rsidRDefault="00FC0A66" w:rsidP="00FC0A66">
      <w:pPr>
        <w:ind w:left="567" w:right="539"/>
        <w:jc w:val="both"/>
        <w:rPr>
          <w:rFonts w:ascii="Palatino Linotype" w:hAnsi="Palatino Linotype"/>
          <w:i/>
          <w:sz w:val="22"/>
        </w:rPr>
      </w:pPr>
    </w:p>
    <w:p w14:paraId="02F2E478" w14:textId="77777777" w:rsidR="00FC0A66" w:rsidRPr="00E723F6" w:rsidRDefault="00FC0A66" w:rsidP="00FC0A66">
      <w:pPr>
        <w:ind w:left="567" w:right="539"/>
        <w:jc w:val="both"/>
        <w:rPr>
          <w:rFonts w:ascii="Palatino Linotype" w:hAnsi="Palatino Linotype"/>
          <w:i/>
          <w:sz w:val="22"/>
        </w:rPr>
      </w:pPr>
      <w:r w:rsidRPr="00E723F6">
        <w:rPr>
          <w:rFonts w:ascii="Palatino Linotype" w:hAnsi="Palatino Linotype"/>
          <w:i/>
          <w:sz w:val="22"/>
        </w:rPr>
        <w:t xml:space="preserve">De manera adicional, el titular podrá aportar pruebas para acreditar la procedencia de su solicitud. </w:t>
      </w:r>
    </w:p>
    <w:p w14:paraId="3B3386E4" w14:textId="77777777" w:rsidR="00FC0A66" w:rsidRPr="00E723F6" w:rsidRDefault="00FC0A66" w:rsidP="00FC0A66">
      <w:pPr>
        <w:ind w:left="567" w:right="539"/>
        <w:jc w:val="both"/>
        <w:rPr>
          <w:rFonts w:ascii="Palatino Linotype" w:hAnsi="Palatino Linotype"/>
          <w:i/>
          <w:sz w:val="22"/>
        </w:rPr>
      </w:pPr>
      <w:r w:rsidRPr="00E723F6">
        <w:rPr>
          <w:rFonts w:ascii="Palatino Linotype" w:hAnsi="Palatino Linotype"/>
          <w:i/>
          <w:sz w:val="22"/>
        </w:rPr>
        <w:t xml:space="preserve">Tratándose de una solicitud de acceso a datos personales se señalará la modalidad en la que el titular prefiere se otorgue éste, la cual podrá ser por consulta directa, copias simples, certificadas, digitalizadas u otro tipo de medio electrónico. </w:t>
      </w:r>
    </w:p>
    <w:p w14:paraId="42CAB49E" w14:textId="77777777" w:rsidR="00FC0A66" w:rsidRPr="00E723F6" w:rsidRDefault="00FC0A66" w:rsidP="00FC0A66">
      <w:pPr>
        <w:ind w:left="567" w:right="539"/>
        <w:jc w:val="both"/>
        <w:rPr>
          <w:rFonts w:ascii="Palatino Linotype" w:hAnsi="Palatino Linotype"/>
          <w:i/>
          <w:sz w:val="22"/>
        </w:rPr>
      </w:pPr>
    </w:p>
    <w:p w14:paraId="757FEF6E" w14:textId="77777777" w:rsidR="00FC0A66" w:rsidRPr="00E723F6" w:rsidRDefault="00FC0A66" w:rsidP="00FC0A66">
      <w:pPr>
        <w:ind w:left="567" w:right="539"/>
        <w:jc w:val="both"/>
        <w:rPr>
          <w:rFonts w:ascii="Palatino Linotype" w:eastAsia="Palatino Linotype" w:hAnsi="Palatino Linotype" w:cs="Palatino Linotype"/>
          <w:i/>
          <w:sz w:val="20"/>
          <w:szCs w:val="22"/>
        </w:rPr>
      </w:pPr>
      <w:r w:rsidRPr="00E723F6">
        <w:rPr>
          <w:rFonts w:ascii="Palatino Linotype" w:hAnsi="Palatino Linotype"/>
          <w:i/>
          <w:sz w:val="22"/>
        </w:rPr>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p>
    <w:p w14:paraId="48114D97" w14:textId="77777777" w:rsidR="00001BCC" w:rsidRPr="00E723F6" w:rsidRDefault="00001BCC" w:rsidP="00001BCC">
      <w:pPr>
        <w:spacing w:line="360" w:lineRule="auto"/>
        <w:ind w:right="-28"/>
        <w:jc w:val="both"/>
        <w:rPr>
          <w:rFonts w:ascii="Palatino Linotype" w:eastAsia="Palatino Linotype" w:hAnsi="Palatino Linotype" w:cs="Palatino Linotype"/>
          <w:sz w:val="22"/>
          <w:szCs w:val="22"/>
        </w:rPr>
      </w:pPr>
    </w:p>
    <w:p w14:paraId="5ADA72CB" w14:textId="77777777" w:rsidR="002F75D5" w:rsidRPr="00E723F6" w:rsidRDefault="00FC0A66" w:rsidP="002F75D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E723F6">
        <w:rPr>
          <w:rFonts w:ascii="Palatino Linotype" w:eastAsia="Calibri" w:hAnsi="Palatino Linotype" w:cs="Arial"/>
          <w:color w:val="000000" w:themeColor="text1"/>
          <w:sz w:val="22"/>
          <w:szCs w:val="22"/>
        </w:rPr>
        <w:t>En atención a lo expuesto</w:t>
      </w:r>
      <w:r w:rsidR="002F75D5" w:rsidRPr="00E723F6">
        <w:rPr>
          <w:rFonts w:ascii="Palatino Linotype" w:eastAsia="Calibri" w:hAnsi="Palatino Linotype" w:cs="Arial"/>
          <w:color w:val="000000" w:themeColor="text1"/>
          <w:sz w:val="22"/>
          <w:szCs w:val="22"/>
        </w:rPr>
        <w:t>, debemos puntualizar que los particulares no son expertos en la materia y, en ocasiones, pueden desconocer la vía para poder tener acceso a documentos en los que constan sus datos personales</w:t>
      </w:r>
      <w:r w:rsidR="00001BCC" w:rsidRPr="00E723F6">
        <w:rPr>
          <w:rFonts w:ascii="Palatino Linotype" w:eastAsia="Calibri" w:hAnsi="Palatino Linotype" w:cs="Arial"/>
          <w:color w:val="000000" w:themeColor="text1"/>
          <w:sz w:val="22"/>
          <w:szCs w:val="22"/>
        </w:rPr>
        <w:t>.</w:t>
      </w:r>
    </w:p>
    <w:p w14:paraId="0972C6E4"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lastRenderedPageBreak/>
        <w:t xml:space="preserve">Finalmente, es importante </w:t>
      </w:r>
      <w:r w:rsidR="005829D4">
        <w:rPr>
          <w:rFonts w:ascii="Palatino Linotype" w:eastAsia="Palatino Linotype" w:hAnsi="Palatino Linotype" w:cs="Palatino Linotype"/>
          <w:sz w:val="22"/>
          <w:szCs w:val="22"/>
        </w:rPr>
        <w:t xml:space="preserve">referir </w:t>
      </w:r>
      <w:r w:rsidRPr="00BF0955">
        <w:rPr>
          <w:rFonts w:ascii="Palatino Linotype" w:eastAsia="Palatino Linotype" w:hAnsi="Palatino Linotype" w:cs="Palatino Linotype"/>
          <w:sz w:val="22"/>
          <w:szCs w:val="22"/>
        </w:rPr>
        <w:t xml:space="preserve">que este Instituto considera que al haber existido un pronunciamiento por parte del </w:t>
      </w:r>
      <w:r w:rsidRPr="00BF0955">
        <w:rPr>
          <w:rFonts w:ascii="Palatino Linotype" w:eastAsia="Palatino Linotype" w:hAnsi="Palatino Linotype" w:cs="Palatino Linotype"/>
          <w:b/>
          <w:sz w:val="22"/>
          <w:szCs w:val="22"/>
        </w:rPr>
        <w:t>SUJETO OBLIGADO</w:t>
      </w:r>
      <w:r w:rsidRPr="00BF0955">
        <w:rPr>
          <w:rFonts w:ascii="Palatino Linotype" w:eastAsia="Palatino Linotype" w:hAnsi="Palatino Linotype" w:cs="Palatino Linotype"/>
          <w:sz w:val="22"/>
          <w:szCs w:val="22"/>
        </w:rPr>
        <w:t>, a fin de dar respuesta a la solicitud planteada, no está facultado para manifestarse sobre la veracidad de la misma, pues no existe precepto legal alguno en la Ley de la materia que lo faculte para que vía Recurso de Revisión pueda pronunciarse al respecto.</w:t>
      </w:r>
    </w:p>
    <w:p w14:paraId="1344D6F2"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52F6CBA5"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sz w:val="22"/>
          <w:szCs w:val="22"/>
        </w:rPr>
        <w:t xml:space="preserve">En este sentido, resultan </w:t>
      </w:r>
      <w:r w:rsidRPr="00BF0955">
        <w:rPr>
          <w:rFonts w:ascii="Palatino Linotype" w:eastAsia="Palatino Linotype" w:hAnsi="Palatino Linotype" w:cs="Palatino Linotype"/>
          <w:b/>
          <w:sz w:val="22"/>
          <w:szCs w:val="22"/>
        </w:rPr>
        <w:t>INFUNDADAS</w:t>
      </w:r>
      <w:r w:rsidRPr="00BF0955">
        <w:rPr>
          <w:rFonts w:ascii="Palatino Linotype" w:eastAsia="Palatino Linotype" w:hAnsi="Palatino Linotype" w:cs="Palatino Linotype"/>
          <w:sz w:val="22"/>
          <w:szCs w:val="22"/>
        </w:rPr>
        <w:t xml:space="preserve"> las razones o motivos de inconformidad hechos valer por el </w:t>
      </w:r>
      <w:r w:rsidRPr="00BF0955">
        <w:rPr>
          <w:rFonts w:ascii="Palatino Linotype" w:eastAsia="Palatino Linotype" w:hAnsi="Palatino Linotype" w:cs="Palatino Linotype"/>
          <w:b/>
          <w:sz w:val="22"/>
          <w:szCs w:val="22"/>
        </w:rPr>
        <w:t>RECURRENTE,</w:t>
      </w:r>
      <w:r w:rsidRPr="00BF0955">
        <w:rPr>
          <w:rFonts w:ascii="Palatino Linotype" w:eastAsia="Palatino Linotype" w:hAnsi="Palatino Linotype" w:cs="Palatino Linotype"/>
          <w:sz w:val="22"/>
          <w:szCs w:val="22"/>
        </w:rPr>
        <w:t xml:space="preserve"> toda vez que no se actualizan las hipótesis de procedencia contenidas en el artículo 179 de la Ley de Transparencia y Acceso a la Información Pública del Estado de México y Municipios, de tal manera que se </w:t>
      </w:r>
      <w:r w:rsidRPr="00BF0955">
        <w:rPr>
          <w:rFonts w:ascii="Palatino Linotype" w:eastAsia="Palatino Linotype" w:hAnsi="Palatino Linotype" w:cs="Palatino Linotype"/>
          <w:b/>
          <w:sz w:val="22"/>
          <w:szCs w:val="22"/>
        </w:rPr>
        <w:t>CONFIRMA</w:t>
      </w:r>
      <w:r w:rsidRPr="00BF0955">
        <w:rPr>
          <w:rFonts w:ascii="Palatino Linotype" w:eastAsia="Palatino Linotype" w:hAnsi="Palatino Linotype" w:cs="Palatino Linotype"/>
          <w:sz w:val="22"/>
          <w:szCs w:val="22"/>
        </w:rPr>
        <w:t xml:space="preserve"> la respuesta del </w:t>
      </w:r>
      <w:r w:rsidRPr="00BF0955">
        <w:rPr>
          <w:rFonts w:ascii="Palatino Linotype" w:eastAsia="Palatino Linotype" w:hAnsi="Palatino Linotype" w:cs="Palatino Linotype"/>
          <w:b/>
          <w:sz w:val="22"/>
          <w:szCs w:val="22"/>
        </w:rPr>
        <w:t>SUJETO OBLIGADO.</w:t>
      </w:r>
    </w:p>
    <w:p w14:paraId="60EF4897" w14:textId="77777777" w:rsidR="00BF0955" w:rsidRPr="00BF0955" w:rsidRDefault="00BF0955" w:rsidP="00BF0955">
      <w:pPr>
        <w:spacing w:line="360" w:lineRule="auto"/>
        <w:ind w:right="-28"/>
        <w:jc w:val="both"/>
        <w:rPr>
          <w:rFonts w:ascii="Palatino Linotype" w:eastAsia="Palatino Linotype" w:hAnsi="Palatino Linotype" w:cs="Palatino Linotype"/>
          <w:sz w:val="22"/>
          <w:szCs w:val="22"/>
        </w:rPr>
      </w:pPr>
    </w:p>
    <w:p w14:paraId="56C0A5EA" w14:textId="77777777" w:rsidR="002A62BF" w:rsidRPr="00BF0955" w:rsidRDefault="00351F3E" w:rsidP="00BF0955">
      <w:pPr>
        <w:numPr>
          <w:ilvl w:val="0"/>
          <w:numId w:val="4"/>
        </w:numPr>
        <w:spacing w:line="360" w:lineRule="auto"/>
        <w:ind w:left="0" w:right="-28" w:firstLine="0"/>
        <w:jc w:val="both"/>
        <w:rPr>
          <w:rFonts w:ascii="Palatino Linotype" w:eastAsia="Palatino Linotype" w:hAnsi="Palatino Linotype" w:cs="Palatino Linotype"/>
          <w:sz w:val="22"/>
          <w:szCs w:val="22"/>
        </w:rPr>
      </w:pPr>
      <w:bookmarkStart w:id="6" w:name="_heading=h.3rdcrjn" w:colFirst="0" w:colLast="0"/>
      <w:bookmarkEnd w:id="6"/>
      <w:r w:rsidRPr="00BF0955">
        <w:rPr>
          <w:rFonts w:ascii="Palatino Linotype" w:eastAsia="Palatino Linotype" w:hAnsi="Palatino Linotype" w:cs="Palatino Linotype"/>
          <w:color w:val="222222"/>
          <w:sz w:val="22"/>
          <w:szCs w:val="22"/>
        </w:rPr>
        <w:t xml:space="preserve">Por lo anteriormente expuesto y fundado, este </w:t>
      </w:r>
      <w:r w:rsidRPr="00BF0955">
        <w:rPr>
          <w:rFonts w:ascii="Palatino Linotype" w:eastAsia="Palatino Linotype" w:hAnsi="Palatino Linotype" w:cs="Palatino Linotype"/>
          <w:b/>
          <w:color w:val="222222"/>
          <w:sz w:val="22"/>
          <w:szCs w:val="22"/>
        </w:rPr>
        <w:t>ÓRGANO GARANTE</w:t>
      </w:r>
      <w:r w:rsidRPr="00BF0955">
        <w:rPr>
          <w:rFonts w:ascii="Palatino Linotype" w:eastAsia="Palatino Linotype" w:hAnsi="Palatino Linotype" w:cs="Palatino Linotype"/>
          <w:color w:val="222222"/>
          <w:sz w:val="22"/>
          <w:szCs w:val="22"/>
        </w:rPr>
        <w:t xml:space="preserve"> emite los siguientes:</w:t>
      </w:r>
    </w:p>
    <w:p w14:paraId="37A9F2C7"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0DD37DEF" w14:textId="77777777" w:rsidR="002A62BF" w:rsidRPr="00BF0955" w:rsidRDefault="00351F3E" w:rsidP="00BF0955">
      <w:pPr>
        <w:keepNext/>
        <w:keepLines/>
        <w:spacing w:line="360" w:lineRule="auto"/>
        <w:ind w:right="-28"/>
        <w:jc w:val="center"/>
        <w:rPr>
          <w:rFonts w:ascii="Palatino Linotype" w:eastAsia="Palatino Linotype" w:hAnsi="Palatino Linotype" w:cs="Palatino Linotype"/>
          <w:b/>
          <w:color w:val="000000"/>
          <w:sz w:val="22"/>
          <w:szCs w:val="22"/>
        </w:rPr>
      </w:pPr>
      <w:r w:rsidRPr="00BF0955">
        <w:rPr>
          <w:rFonts w:ascii="Palatino Linotype" w:eastAsia="Palatino Linotype" w:hAnsi="Palatino Linotype" w:cs="Palatino Linotype"/>
          <w:b/>
          <w:color w:val="000000"/>
          <w:sz w:val="22"/>
          <w:szCs w:val="22"/>
        </w:rPr>
        <w:t>R E S O L U T I V O S</w:t>
      </w:r>
    </w:p>
    <w:p w14:paraId="0592F1CD" w14:textId="77777777" w:rsidR="002A62BF" w:rsidRPr="00BF0955" w:rsidRDefault="002A62BF" w:rsidP="00BF0955">
      <w:pPr>
        <w:keepNext/>
        <w:keepLines/>
        <w:spacing w:line="360" w:lineRule="auto"/>
        <w:ind w:right="-28"/>
        <w:jc w:val="center"/>
        <w:rPr>
          <w:rFonts w:ascii="Palatino Linotype" w:eastAsia="Palatino Linotype" w:hAnsi="Palatino Linotype" w:cs="Palatino Linotype"/>
          <w:b/>
          <w:sz w:val="22"/>
          <w:szCs w:val="22"/>
        </w:rPr>
      </w:pPr>
    </w:p>
    <w:p w14:paraId="7152ECE2" w14:textId="77777777" w:rsidR="002A62BF" w:rsidRPr="00BF0955" w:rsidRDefault="00351F3E" w:rsidP="00BF0955">
      <w:pPr>
        <w:spacing w:line="360" w:lineRule="auto"/>
        <w:ind w:right="-28"/>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b/>
          <w:sz w:val="22"/>
          <w:szCs w:val="22"/>
        </w:rPr>
        <w:t xml:space="preserve">PRIMERO. </w:t>
      </w:r>
      <w:r w:rsidRPr="00BF0955">
        <w:rPr>
          <w:rFonts w:ascii="Palatino Linotype" w:eastAsia="Palatino Linotype" w:hAnsi="Palatino Linotype" w:cs="Palatino Linotype"/>
          <w:sz w:val="22"/>
          <w:szCs w:val="22"/>
        </w:rPr>
        <w:t>Resultan infundadas las</w:t>
      </w:r>
      <w:r w:rsidRPr="00BF0955">
        <w:rPr>
          <w:rFonts w:ascii="Palatino Linotype" w:eastAsia="Palatino Linotype" w:hAnsi="Palatino Linotype" w:cs="Palatino Linotype"/>
          <w:b/>
          <w:sz w:val="22"/>
          <w:szCs w:val="22"/>
        </w:rPr>
        <w:t xml:space="preserve"> </w:t>
      </w:r>
      <w:r w:rsidRPr="00BF0955">
        <w:rPr>
          <w:rFonts w:ascii="Palatino Linotype" w:eastAsia="Palatino Linotype" w:hAnsi="Palatino Linotype" w:cs="Palatino Linotype"/>
          <w:sz w:val="22"/>
          <w:szCs w:val="22"/>
        </w:rPr>
        <w:t>razones o motivos de inconformidad hechos valer en el recurso de revisión</w:t>
      </w:r>
      <w:r w:rsidRPr="00BF0955">
        <w:rPr>
          <w:rFonts w:ascii="Palatino Linotype" w:eastAsia="Palatino Linotype" w:hAnsi="Palatino Linotype" w:cs="Palatino Linotype"/>
          <w:b/>
          <w:sz w:val="22"/>
          <w:szCs w:val="22"/>
        </w:rPr>
        <w:t xml:space="preserve"> 00653/INFOEM/IP/RR/2024, </w:t>
      </w:r>
      <w:r w:rsidRPr="00BF0955">
        <w:rPr>
          <w:rFonts w:ascii="Palatino Linotype" w:eastAsia="Palatino Linotype" w:hAnsi="Palatino Linotype" w:cs="Palatino Linotype"/>
          <w:sz w:val="22"/>
          <w:szCs w:val="22"/>
        </w:rPr>
        <w:t xml:space="preserve">en términos del </w:t>
      </w:r>
      <w:r w:rsidRPr="00BF0955">
        <w:rPr>
          <w:rFonts w:ascii="Palatino Linotype" w:eastAsia="Palatino Linotype" w:hAnsi="Palatino Linotype" w:cs="Palatino Linotype"/>
          <w:b/>
          <w:sz w:val="22"/>
          <w:szCs w:val="22"/>
        </w:rPr>
        <w:t>Considerando</w:t>
      </w:r>
      <w:r w:rsidRPr="00BF0955">
        <w:rPr>
          <w:rFonts w:ascii="Palatino Linotype" w:eastAsia="Palatino Linotype" w:hAnsi="Palatino Linotype" w:cs="Palatino Linotype"/>
          <w:sz w:val="22"/>
          <w:szCs w:val="22"/>
        </w:rPr>
        <w:t xml:space="preserve"> </w:t>
      </w:r>
      <w:r w:rsidRPr="00BF0955">
        <w:rPr>
          <w:rFonts w:ascii="Palatino Linotype" w:eastAsia="Palatino Linotype" w:hAnsi="Palatino Linotype" w:cs="Palatino Linotype"/>
          <w:b/>
          <w:sz w:val="22"/>
          <w:szCs w:val="22"/>
        </w:rPr>
        <w:t>CUARTO</w:t>
      </w:r>
      <w:r w:rsidRPr="00BF0955">
        <w:rPr>
          <w:rFonts w:ascii="Palatino Linotype" w:eastAsia="Palatino Linotype" w:hAnsi="Palatino Linotype" w:cs="Palatino Linotype"/>
          <w:sz w:val="22"/>
          <w:szCs w:val="22"/>
        </w:rPr>
        <w:t xml:space="preserve"> de la presente resolución.</w:t>
      </w:r>
    </w:p>
    <w:p w14:paraId="155688C6"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33C9D259" w14:textId="77777777" w:rsidR="002A62BF" w:rsidRPr="00BF0955" w:rsidRDefault="00351F3E" w:rsidP="00BF0955">
      <w:pPr>
        <w:spacing w:line="360" w:lineRule="auto"/>
        <w:ind w:right="-28"/>
        <w:jc w:val="both"/>
        <w:rPr>
          <w:rFonts w:ascii="Palatino Linotype" w:eastAsia="Palatino Linotype" w:hAnsi="Palatino Linotype" w:cs="Palatino Linotype"/>
          <w:b/>
          <w:sz w:val="22"/>
          <w:szCs w:val="22"/>
        </w:rPr>
      </w:pPr>
      <w:r w:rsidRPr="00BF0955">
        <w:rPr>
          <w:rFonts w:ascii="Palatino Linotype" w:eastAsia="Palatino Linotype" w:hAnsi="Palatino Linotype" w:cs="Palatino Linotype"/>
          <w:b/>
          <w:sz w:val="22"/>
          <w:szCs w:val="22"/>
        </w:rPr>
        <w:t>SEGUNDO.</w:t>
      </w:r>
      <w:r w:rsidRPr="00BF0955">
        <w:rPr>
          <w:rFonts w:ascii="Palatino Linotype" w:eastAsia="Palatino Linotype" w:hAnsi="Palatino Linotype" w:cs="Palatino Linotype"/>
          <w:b/>
          <w:color w:val="2E75B5"/>
          <w:sz w:val="22"/>
          <w:szCs w:val="22"/>
        </w:rPr>
        <w:t xml:space="preserve"> </w:t>
      </w:r>
      <w:r w:rsidRPr="00BF0955">
        <w:rPr>
          <w:rFonts w:ascii="Palatino Linotype" w:eastAsia="Palatino Linotype" w:hAnsi="Palatino Linotype" w:cs="Palatino Linotype"/>
          <w:sz w:val="22"/>
          <w:szCs w:val="22"/>
        </w:rPr>
        <w:t>Se</w:t>
      </w:r>
      <w:r w:rsidRPr="00BF0955">
        <w:rPr>
          <w:rFonts w:ascii="Palatino Linotype" w:eastAsia="Palatino Linotype" w:hAnsi="Palatino Linotype" w:cs="Palatino Linotype"/>
          <w:b/>
          <w:sz w:val="22"/>
          <w:szCs w:val="22"/>
        </w:rPr>
        <w:t xml:space="preserve"> CONFIRMA </w:t>
      </w:r>
      <w:r w:rsidRPr="00BF0955">
        <w:rPr>
          <w:rFonts w:ascii="Palatino Linotype" w:eastAsia="Palatino Linotype" w:hAnsi="Palatino Linotype" w:cs="Palatino Linotype"/>
          <w:sz w:val="22"/>
          <w:szCs w:val="22"/>
        </w:rPr>
        <w:t xml:space="preserve">la respuesta emitida por la </w:t>
      </w:r>
      <w:r w:rsidRPr="00BF0955">
        <w:rPr>
          <w:rFonts w:ascii="Palatino Linotype" w:eastAsia="Palatino Linotype" w:hAnsi="Palatino Linotype" w:cs="Palatino Linotype"/>
          <w:b/>
          <w:sz w:val="22"/>
          <w:szCs w:val="22"/>
        </w:rPr>
        <w:t>Gubernatura</w:t>
      </w:r>
      <w:r w:rsidRPr="00BF0955">
        <w:rPr>
          <w:rFonts w:ascii="Palatino Linotype" w:eastAsia="Palatino Linotype" w:hAnsi="Palatino Linotype" w:cs="Palatino Linotype"/>
          <w:sz w:val="22"/>
          <w:szCs w:val="22"/>
        </w:rPr>
        <w:t xml:space="preserve"> a la solicitud </w:t>
      </w:r>
      <w:r w:rsidRPr="00BF0955">
        <w:rPr>
          <w:rFonts w:ascii="Palatino Linotype" w:eastAsia="Palatino Linotype" w:hAnsi="Palatino Linotype" w:cs="Palatino Linotype"/>
          <w:b/>
          <w:sz w:val="22"/>
          <w:szCs w:val="22"/>
        </w:rPr>
        <w:t>00029/GUBERNA/IP/2024.</w:t>
      </w:r>
    </w:p>
    <w:p w14:paraId="60975F92" w14:textId="77777777" w:rsidR="002A62BF" w:rsidRPr="00BF0955" w:rsidRDefault="002A62BF" w:rsidP="00BF0955">
      <w:pPr>
        <w:spacing w:line="360" w:lineRule="auto"/>
        <w:ind w:right="-28"/>
        <w:jc w:val="both"/>
        <w:rPr>
          <w:rFonts w:ascii="Palatino Linotype" w:eastAsia="Palatino Linotype" w:hAnsi="Palatino Linotype" w:cs="Palatino Linotype"/>
          <w:b/>
          <w:sz w:val="22"/>
          <w:szCs w:val="22"/>
        </w:rPr>
      </w:pPr>
    </w:p>
    <w:p w14:paraId="2A3A4992" w14:textId="77777777" w:rsidR="002A62BF" w:rsidRPr="00BF0955" w:rsidRDefault="00351F3E" w:rsidP="00BF0955">
      <w:pPr>
        <w:tabs>
          <w:tab w:val="left" w:pos="8080"/>
        </w:tabs>
        <w:spacing w:line="360" w:lineRule="auto"/>
        <w:ind w:right="-28"/>
        <w:jc w:val="both"/>
        <w:rPr>
          <w:rFonts w:ascii="Palatino Linotype" w:eastAsia="Palatino Linotype" w:hAnsi="Palatino Linotype" w:cs="Palatino Linotype"/>
          <w:b/>
          <w:sz w:val="22"/>
          <w:szCs w:val="22"/>
        </w:rPr>
      </w:pPr>
      <w:r w:rsidRPr="00BF0955">
        <w:rPr>
          <w:rFonts w:ascii="Palatino Linotype" w:eastAsia="Palatino Linotype" w:hAnsi="Palatino Linotype" w:cs="Palatino Linotype"/>
          <w:b/>
          <w:sz w:val="22"/>
          <w:szCs w:val="22"/>
        </w:rPr>
        <w:lastRenderedPageBreak/>
        <w:t xml:space="preserve">TERCERO. REMÍTASE, </w:t>
      </w:r>
      <w:r w:rsidRPr="00BF0955">
        <w:rPr>
          <w:rFonts w:ascii="Palatino Linotype" w:eastAsia="Palatino Linotype" w:hAnsi="Palatino Linotype" w:cs="Palatino Linotype"/>
          <w:sz w:val="22"/>
          <w:szCs w:val="22"/>
        </w:rPr>
        <w:t xml:space="preserve">vía Sistema de Acceso a la Información Mexiquense (SAIMEX), la presente resolución al Titular de la Unidad de Transparencia del </w:t>
      </w:r>
      <w:r w:rsidRPr="00BF0955">
        <w:rPr>
          <w:rFonts w:ascii="Palatino Linotype" w:eastAsia="Palatino Linotype" w:hAnsi="Palatino Linotype" w:cs="Palatino Linotype"/>
          <w:b/>
          <w:sz w:val="22"/>
          <w:szCs w:val="22"/>
        </w:rPr>
        <w:t>SUJETO OBLIGADO.</w:t>
      </w:r>
    </w:p>
    <w:p w14:paraId="19251E3D" w14:textId="77777777" w:rsidR="002A62BF" w:rsidRPr="00BF0955" w:rsidRDefault="002A62BF" w:rsidP="00BF0955">
      <w:pPr>
        <w:tabs>
          <w:tab w:val="left" w:pos="8080"/>
        </w:tabs>
        <w:spacing w:line="360" w:lineRule="auto"/>
        <w:ind w:right="-28"/>
        <w:jc w:val="both"/>
        <w:rPr>
          <w:rFonts w:ascii="Palatino Linotype" w:eastAsia="Palatino Linotype" w:hAnsi="Palatino Linotype" w:cs="Palatino Linotype"/>
          <w:b/>
          <w:sz w:val="22"/>
          <w:szCs w:val="22"/>
        </w:rPr>
      </w:pPr>
    </w:p>
    <w:p w14:paraId="4005C67A" w14:textId="77777777" w:rsidR="002A62BF" w:rsidRPr="00BF0955" w:rsidRDefault="00351F3E" w:rsidP="00BF0955">
      <w:pPr>
        <w:shd w:val="clear" w:color="auto" w:fill="FFFFFF"/>
        <w:spacing w:line="360" w:lineRule="auto"/>
        <w:ind w:right="-28"/>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b/>
          <w:sz w:val="22"/>
          <w:szCs w:val="22"/>
        </w:rPr>
        <w:t xml:space="preserve">CUARTO. </w:t>
      </w:r>
      <w:r w:rsidRPr="00BF0955">
        <w:rPr>
          <w:rFonts w:ascii="Palatino Linotype" w:eastAsia="Palatino Linotype" w:hAnsi="Palatino Linotype" w:cs="Palatino Linotype"/>
          <w:b/>
          <w:color w:val="222222"/>
          <w:sz w:val="22"/>
          <w:szCs w:val="22"/>
        </w:rPr>
        <w:t>Notifíquese al RECURRENTE</w:t>
      </w:r>
      <w:r w:rsidRPr="00BF0955">
        <w:rPr>
          <w:rFonts w:ascii="Palatino Linotype" w:eastAsia="Palatino Linotype" w:hAnsi="Palatino Linotype" w:cs="Palatino Linotype"/>
          <w:b/>
          <w:sz w:val="22"/>
          <w:szCs w:val="22"/>
        </w:rPr>
        <w:t xml:space="preserve"> </w:t>
      </w:r>
      <w:r w:rsidRPr="00BF0955">
        <w:rPr>
          <w:rFonts w:ascii="Palatino Linotype" w:eastAsia="Palatino Linotype" w:hAnsi="Palatino Linotype" w:cs="Palatino Linotype"/>
          <w:sz w:val="22"/>
          <w:szCs w:val="22"/>
        </w:rPr>
        <w:t xml:space="preserve">la presente resolución a través del </w:t>
      </w:r>
      <w:r w:rsidRPr="00BF0955">
        <w:rPr>
          <w:rFonts w:ascii="Palatino Linotype" w:eastAsia="Palatino Linotype" w:hAnsi="Palatino Linotype" w:cs="Palatino Linotype"/>
          <w:b/>
          <w:sz w:val="22"/>
          <w:szCs w:val="22"/>
        </w:rPr>
        <w:t>SAIMEX.</w:t>
      </w:r>
    </w:p>
    <w:p w14:paraId="389C18A1" w14:textId="77777777" w:rsidR="002A62BF" w:rsidRDefault="00351F3E" w:rsidP="00BF0955">
      <w:pPr>
        <w:spacing w:before="240" w:after="240" w:line="360" w:lineRule="auto"/>
        <w:ind w:right="-28"/>
        <w:jc w:val="both"/>
        <w:rPr>
          <w:rFonts w:ascii="Palatino Linotype" w:eastAsia="Palatino Linotype" w:hAnsi="Palatino Linotype" w:cs="Palatino Linotype"/>
          <w:sz w:val="22"/>
          <w:szCs w:val="22"/>
        </w:rPr>
      </w:pPr>
      <w:r w:rsidRPr="00BF0955">
        <w:rPr>
          <w:rFonts w:ascii="Palatino Linotype" w:eastAsia="Palatino Linotype" w:hAnsi="Palatino Linotype" w:cs="Palatino Linotype"/>
          <w:b/>
          <w:sz w:val="22"/>
          <w:szCs w:val="22"/>
        </w:rPr>
        <w:t>QUINTO.</w:t>
      </w:r>
      <w:r w:rsidRPr="00BF0955">
        <w:rPr>
          <w:rFonts w:ascii="Palatino Linotype" w:eastAsia="Palatino Linotype" w:hAnsi="Palatino Linotype" w:cs="Palatino Linotype"/>
          <w:sz w:val="22"/>
          <w:szCs w:val="22"/>
        </w:rPr>
        <w:t xml:space="preserve"> Se hace del conocimiento del </w:t>
      </w:r>
      <w:r w:rsidRPr="00BF0955">
        <w:rPr>
          <w:rFonts w:ascii="Palatino Linotype" w:eastAsia="Palatino Linotype" w:hAnsi="Palatino Linotype" w:cs="Palatino Linotype"/>
          <w:b/>
          <w:color w:val="222222"/>
          <w:sz w:val="22"/>
          <w:szCs w:val="22"/>
        </w:rPr>
        <w:t>RECURRENTE</w:t>
      </w:r>
      <w:r w:rsidRPr="00BF0955">
        <w:rPr>
          <w:rFonts w:ascii="Palatino Linotype" w:eastAsia="Palatino Linotype" w:hAnsi="Palatino Linotype" w:cs="Palatino Linotype"/>
          <w:b/>
          <w:sz w:val="22"/>
          <w:szCs w:val="22"/>
        </w:rPr>
        <w:t xml:space="preserve"> </w:t>
      </w:r>
      <w:r w:rsidRPr="00BF0955">
        <w:rPr>
          <w:rFonts w:ascii="Palatino Linotype" w:eastAsia="Palatino Linotype" w:hAnsi="Palatino Linotype" w:cs="Palatino Linotype"/>
          <w:sz w:val="22"/>
          <w:szCs w:val="22"/>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576997F4" w14:textId="77777777" w:rsidR="00E723F6" w:rsidRPr="00BF0955" w:rsidRDefault="00E723F6" w:rsidP="00BF0955">
      <w:pPr>
        <w:spacing w:before="240" w:after="240" w:line="360" w:lineRule="auto"/>
        <w:ind w:right="-28"/>
        <w:jc w:val="both"/>
        <w:rPr>
          <w:rFonts w:ascii="Palatino Linotype" w:eastAsia="Palatino Linotype" w:hAnsi="Palatino Linotype" w:cs="Palatino Linotype"/>
          <w:sz w:val="22"/>
          <w:szCs w:val="22"/>
        </w:rPr>
      </w:pPr>
    </w:p>
    <w:p w14:paraId="08F73FB7" w14:textId="77777777" w:rsidR="003D321E" w:rsidRPr="003C7186" w:rsidRDefault="003D321E" w:rsidP="003D321E">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NOVENA </w:t>
      </w:r>
      <w:r w:rsidRPr="003C7186">
        <w:rPr>
          <w:rFonts w:ascii="Palatino Linotype" w:hAnsi="Palatino Linotype"/>
        </w:rPr>
        <w:t xml:space="preserve">SESIÓN ORDINARIA CELEBRADA EL </w:t>
      </w:r>
      <w:r>
        <w:rPr>
          <w:rFonts w:ascii="Palatino Linotype" w:hAnsi="Palatino Linotype"/>
        </w:rPr>
        <w:t>TRECE</w:t>
      </w:r>
      <w:r w:rsidRPr="003C7186">
        <w:rPr>
          <w:rFonts w:ascii="Palatino Linotype" w:hAnsi="Palatino Linotype"/>
        </w:rPr>
        <w:t xml:space="preserve"> </w:t>
      </w:r>
      <w:r>
        <w:rPr>
          <w:rFonts w:ascii="Palatino Linotype" w:hAnsi="Palatino Linotype"/>
        </w:rPr>
        <w:t>(13) DE NOVIEMBRE</w:t>
      </w:r>
      <w:r w:rsidRPr="003C7186">
        <w:rPr>
          <w:rFonts w:ascii="Palatino Linotype" w:hAnsi="Palatino Linotype"/>
        </w:rPr>
        <w:t xml:space="preserve"> DE DOS MIL VEINTICUATRO, ANTE EL SECRETARIO TÉCNICO DEL PLENO ALEXIS TAPIA RAMÍREZ. </w:t>
      </w:r>
    </w:p>
    <w:p w14:paraId="1053FB51" w14:textId="77777777" w:rsidR="003D321E" w:rsidRPr="00902BA4" w:rsidRDefault="003D321E" w:rsidP="003D321E">
      <w:pPr>
        <w:widowControl w:val="0"/>
        <w:autoSpaceDE w:val="0"/>
        <w:autoSpaceDN w:val="0"/>
        <w:adjustRightInd w:val="0"/>
        <w:spacing w:after="200" w:line="276" w:lineRule="auto"/>
        <w:ind w:left="-142" w:right="-234"/>
        <w:rPr>
          <w:rFonts w:ascii="Calibri" w:hAnsi="Calibri" w:cs="Calibri"/>
        </w:rPr>
      </w:pPr>
    </w:p>
    <w:p w14:paraId="00DD0FDF"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3BB68F64"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65A7BDB4"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6F25878B"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0DCDC195"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29881BC4"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659DEF3D" w14:textId="77777777" w:rsidR="002A62BF" w:rsidRPr="00BF0955" w:rsidRDefault="002A62BF" w:rsidP="00BF0955">
      <w:pPr>
        <w:spacing w:line="360" w:lineRule="auto"/>
        <w:ind w:right="-28"/>
        <w:jc w:val="both"/>
        <w:rPr>
          <w:rFonts w:ascii="Palatino Linotype" w:eastAsia="Palatino Linotype" w:hAnsi="Palatino Linotype" w:cs="Palatino Linotype"/>
          <w:sz w:val="22"/>
          <w:szCs w:val="22"/>
        </w:rPr>
      </w:pPr>
    </w:p>
    <w:p w14:paraId="76EFEA79" w14:textId="77777777" w:rsidR="002A62BF" w:rsidRPr="00BF0955" w:rsidRDefault="002A62BF" w:rsidP="00BF0955">
      <w:pPr>
        <w:spacing w:line="360" w:lineRule="auto"/>
        <w:ind w:right="-28"/>
        <w:rPr>
          <w:rFonts w:ascii="Palatino Linotype" w:eastAsia="Palatino Linotype" w:hAnsi="Palatino Linotype" w:cs="Palatino Linotype"/>
          <w:sz w:val="22"/>
          <w:szCs w:val="22"/>
        </w:rPr>
      </w:pPr>
    </w:p>
    <w:p w14:paraId="6D0312B3" w14:textId="77777777" w:rsidR="002A62BF" w:rsidRPr="00BF0955" w:rsidRDefault="002A62BF" w:rsidP="00BF0955">
      <w:pPr>
        <w:spacing w:line="360" w:lineRule="auto"/>
        <w:ind w:right="-28"/>
        <w:rPr>
          <w:rFonts w:ascii="Palatino Linotype" w:eastAsia="Palatino Linotype" w:hAnsi="Palatino Linotype" w:cs="Palatino Linotype"/>
          <w:sz w:val="22"/>
          <w:szCs w:val="22"/>
        </w:rPr>
      </w:pPr>
    </w:p>
    <w:p w14:paraId="29F148DA" w14:textId="77777777" w:rsidR="002A62BF" w:rsidRPr="00BF0955" w:rsidRDefault="002A62BF" w:rsidP="00BF0955">
      <w:pPr>
        <w:spacing w:line="360" w:lineRule="auto"/>
        <w:ind w:right="-28"/>
        <w:rPr>
          <w:rFonts w:ascii="Palatino Linotype" w:eastAsia="Palatino Linotype" w:hAnsi="Palatino Linotype" w:cs="Palatino Linotype"/>
          <w:sz w:val="22"/>
          <w:szCs w:val="22"/>
        </w:rPr>
      </w:pPr>
    </w:p>
    <w:p w14:paraId="2884955C" w14:textId="77777777" w:rsidR="002A62BF" w:rsidRPr="00BF0955" w:rsidRDefault="002A62BF" w:rsidP="00BF0955">
      <w:pPr>
        <w:spacing w:line="360" w:lineRule="auto"/>
        <w:ind w:right="-28"/>
        <w:rPr>
          <w:rFonts w:ascii="Palatino Linotype" w:eastAsia="Palatino Linotype" w:hAnsi="Palatino Linotype" w:cs="Palatino Linotype"/>
          <w:sz w:val="22"/>
          <w:szCs w:val="22"/>
        </w:rPr>
      </w:pPr>
    </w:p>
    <w:p w14:paraId="0162ACD0" w14:textId="77777777" w:rsidR="002A62BF" w:rsidRPr="00BF0955" w:rsidRDefault="002A62BF" w:rsidP="00BF0955">
      <w:pPr>
        <w:spacing w:line="360" w:lineRule="auto"/>
        <w:ind w:right="-28"/>
        <w:rPr>
          <w:rFonts w:ascii="Palatino Linotype" w:eastAsia="Palatino Linotype" w:hAnsi="Palatino Linotype" w:cs="Palatino Linotype"/>
          <w:sz w:val="22"/>
          <w:szCs w:val="22"/>
        </w:rPr>
      </w:pPr>
    </w:p>
    <w:p w14:paraId="418C587E" w14:textId="77777777" w:rsidR="002A62BF" w:rsidRPr="00BF0955" w:rsidRDefault="002A62BF" w:rsidP="00BF0955">
      <w:pPr>
        <w:spacing w:line="360" w:lineRule="auto"/>
        <w:ind w:right="-28"/>
        <w:rPr>
          <w:rFonts w:ascii="Palatino Linotype" w:eastAsia="Palatino Linotype" w:hAnsi="Palatino Linotype" w:cs="Palatino Linotype"/>
          <w:sz w:val="22"/>
          <w:szCs w:val="22"/>
        </w:rPr>
      </w:pPr>
    </w:p>
    <w:p w14:paraId="402BA4B4" w14:textId="77777777" w:rsidR="002A62BF" w:rsidRPr="00BF0955" w:rsidRDefault="002A62BF" w:rsidP="00BF0955">
      <w:pPr>
        <w:spacing w:line="360" w:lineRule="auto"/>
        <w:ind w:right="-28"/>
        <w:rPr>
          <w:rFonts w:ascii="Palatino Linotype" w:eastAsia="Palatino Linotype" w:hAnsi="Palatino Linotype" w:cs="Palatino Linotype"/>
          <w:sz w:val="22"/>
          <w:szCs w:val="22"/>
        </w:rPr>
      </w:pPr>
    </w:p>
    <w:sectPr w:rsidR="002A62BF" w:rsidRPr="00BF0955">
      <w:headerReference w:type="even" r:id="rId14"/>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84710" w14:textId="77777777" w:rsidR="00891324" w:rsidRDefault="00891324">
      <w:r>
        <w:separator/>
      </w:r>
    </w:p>
  </w:endnote>
  <w:endnote w:type="continuationSeparator" w:id="0">
    <w:p w14:paraId="7657901F" w14:textId="77777777" w:rsidR="00891324" w:rsidRDefault="0089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78A3" w14:textId="77777777" w:rsidR="002A62BF" w:rsidRDefault="00351F3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45A52">
      <w:rPr>
        <w:b/>
        <w:noProof/>
        <w:color w:val="000000"/>
      </w:rPr>
      <w:t>25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45A52">
      <w:rPr>
        <w:b/>
        <w:noProof/>
        <w:color w:val="000000"/>
      </w:rPr>
      <w:t>26</w:t>
    </w:r>
    <w:r>
      <w:rPr>
        <w:b/>
        <w:color w:val="000000"/>
      </w:rPr>
      <w:fldChar w:fldCharType="end"/>
    </w:r>
  </w:p>
  <w:p w14:paraId="55E5D503" w14:textId="77777777" w:rsidR="002A62BF" w:rsidRDefault="002A62B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C62A" w14:textId="77777777" w:rsidR="002A62BF" w:rsidRDefault="00351F3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45A52">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45A52">
      <w:rPr>
        <w:b/>
        <w:noProof/>
        <w:color w:val="000000"/>
      </w:rPr>
      <w:t>26</w:t>
    </w:r>
    <w:r>
      <w:rPr>
        <w:b/>
        <w:color w:val="000000"/>
      </w:rPr>
      <w:fldChar w:fldCharType="end"/>
    </w:r>
  </w:p>
  <w:p w14:paraId="036D0B88" w14:textId="77777777" w:rsidR="002A62BF" w:rsidRDefault="002A62B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ABBBA" w14:textId="77777777" w:rsidR="00891324" w:rsidRDefault="00891324">
      <w:r>
        <w:separator/>
      </w:r>
    </w:p>
  </w:footnote>
  <w:footnote w:type="continuationSeparator" w:id="0">
    <w:p w14:paraId="04768EC4" w14:textId="77777777" w:rsidR="00891324" w:rsidRDefault="00891324">
      <w:r>
        <w:continuationSeparator/>
      </w:r>
    </w:p>
  </w:footnote>
  <w:footnote w:id="1">
    <w:p w14:paraId="69CB6629" w14:textId="77777777" w:rsidR="002A62BF" w:rsidRDefault="00351F3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B1B1C18" w14:textId="77777777" w:rsidR="002A62BF" w:rsidRDefault="00351F3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1A119F76" w14:textId="77777777" w:rsidR="002A62BF" w:rsidRDefault="00351F3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311F2412" w14:textId="77777777" w:rsidR="002A62BF" w:rsidRDefault="00351F3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w:t>
      </w:r>
      <w:r>
        <w:rPr>
          <w:rFonts w:ascii="Calibri" w:eastAsia="Calibri" w:hAnsi="Calibri" w:cs="Calibri"/>
          <w:color w:val="000000"/>
          <w:sz w:val="20"/>
          <w:szCs w:val="20"/>
        </w:rPr>
        <w:t>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128B" w14:textId="77777777" w:rsidR="002A62BF" w:rsidRDefault="00891324">
    <w:pPr>
      <w:pBdr>
        <w:top w:val="nil"/>
        <w:left w:val="nil"/>
        <w:bottom w:val="nil"/>
        <w:right w:val="nil"/>
        <w:between w:val="nil"/>
      </w:pBdr>
      <w:tabs>
        <w:tab w:val="center" w:pos="4419"/>
        <w:tab w:val="right" w:pos="8838"/>
      </w:tabs>
      <w:rPr>
        <w:color w:val="000000"/>
      </w:rPr>
    </w:pPr>
    <w:r>
      <w:rPr>
        <w:color w:val="000000"/>
      </w:rPr>
      <w:pict w14:anchorId="3AB97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DC3C" w14:textId="77777777" w:rsidR="002A62BF" w:rsidRDefault="002A62BF">
    <w:pPr>
      <w:widowControl w:val="0"/>
      <w:pBdr>
        <w:top w:val="nil"/>
        <w:left w:val="nil"/>
        <w:bottom w:val="nil"/>
        <w:right w:val="nil"/>
        <w:between w:val="nil"/>
      </w:pBdr>
      <w:spacing w:line="276" w:lineRule="auto"/>
      <w:rPr>
        <w:color w:val="000000"/>
      </w:rPr>
    </w:pPr>
  </w:p>
  <w:tbl>
    <w:tblPr>
      <w:tblStyle w:val="af"/>
      <w:tblW w:w="9214" w:type="dxa"/>
      <w:tblInd w:w="0" w:type="dxa"/>
      <w:tblLayout w:type="fixed"/>
      <w:tblLook w:val="0400" w:firstRow="0" w:lastRow="0" w:firstColumn="0" w:lastColumn="0" w:noHBand="0" w:noVBand="1"/>
    </w:tblPr>
    <w:tblGrid>
      <w:gridCol w:w="2268"/>
      <w:gridCol w:w="6946"/>
    </w:tblGrid>
    <w:tr w:rsidR="002A62BF" w14:paraId="292D9314" w14:textId="77777777">
      <w:trPr>
        <w:trHeight w:val="1997"/>
      </w:trPr>
      <w:tc>
        <w:tcPr>
          <w:tcW w:w="2268" w:type="dxa"/>
          <w:shd w:val="clear" w:color="auto" w:fill="auto"/>
        </w:tcPr>
        <w:p w14:paraId="7A16A24A" w14:textId="77777777" w:rsidR="002A62BF" w:rsidRDefault="002A62BF">
          <w:pPr>
            <w:tabs>
              <w:tab w:val="right" w:pos="4273"/>
            </w:tabs>
            <w:rPr>
              <w:rFonts w:ascii="Garamond" w:eastAsia="Garamond" w:hAnsi="Garamond" w:cs="Garamond"/>
              <w:sz w:val="16"/>
              <w:szCs w:val="16"/>
            </w:rPr>
          </w:pPr>
        </w:p>
      </w:tc>
      <w:tc>
        <w:tcPr>
          <w:tcW w:w="6946" w:type="dxa"/>
          <w:shd w:val="clear" w:color="auto" w:fill="auto"/>
        </w:tcPr>
        <w:p w14:paraId="515CEF70" w14:textId="77777777" w:rsidR="002A62BF" w:rsidRDefault="002A62BF"/>
        <w:tbl>
          <w:tblPr>
            <w:tblStyle w:val="af0"/>
            <w:tblW w:w="6570" w:type="dxa"/>
            <w:tblInd w:w="40" w:type="dxa"/>
            <w:tblLayout w:type="fixed"/>
            <w:tblLook w:val="0400" w:firstRow="0" w:lastRow="0" w:firstColumn="0" w:lastColumn="0" w:noHBand="0" w:noVBand="1"/>
          </w:tblPr>
          <w:tblGrid>
            <w:gridCol w:w="3225"/>
            <w:gridCol w:w="3345"/>
          </w:tblGrid>
          <w:tr w:rsidR="002A62BF" w14:paraId="6C30A675" w14:textId="77777777">
            <w:trPr>
              <w:trHeight w:val="150"/>
            </w:trPr>
            <w:tc>
              <w:tcPr>
                <w:tcW w:w="3225" w:type="dxa"/>
                <w:shd w:val="clear" w:color="auto" w:fill="auto"/>
              </w:tcPr>
              <w:p w14:paraId="755A6D95" w14:textId="77777777" w:rsidR="002A62BF" w:rsidRDefault="00351F3E">
                <w:pPr>
                  <w:tabs>
                    <w:tab w:val="right" w:pos="8838"/>
                  </w:tabs>
                  <w:ind w:left="850" w:right="-2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345" w:type="dxa"/>
                <w:shd w:val="clear" w:color="auto" w:fill="auto"/>
              </w:tcPr>
              <w:p w14:paraId="292ADB6D" w14:textId="77777777" w:rsidR="002A62BF" w:rsidRDefault="00351F3E">
                <w:pPr>
                  <w:ind w:right="-98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00653/INFOEM/IP/RR/2024</w:t>
                </w:r>
              </w:p>
            </w:tc>
          </w:tr>
          <w:tr w:rsidR="002A62BF" w14:paraId="1ED9F2A5" w14:textId="77777777">
            <w:trPr>
              <w:trHeight w:val="295"/>
            </w:trPr>
            <w:tc>
              <w:tcPr>
                <w:tcW w:w="3225" w:type="dxa"/>
                <w:shd w:val="clear" w:color="auto" w:fill="auto"/>
              </w:tcPr>
              <w:p w14:paraId="216EC9BF" w14:textId="77777777" w:rsidR="002A62BF" w:rsidRDefault="00351F3E">
                <w:pPr>
                  <w:tabs>
                    <w:tab w:val="right" w:pos="8838"/>
                  </w:tabs>
                  <w:ind w:left="850" w:right="-2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345" w:type="dxa"/>
                <w:shd w:val="clear" w:color="auto" w:fill="auto"/>
              </w:tcPr>
              <w:p w14:paraId="323E65F3" w14:textId="77777777" w:rsidR="002A62BF" w:rsidRDefault="00351F3E">
                <w:pPr>
                  <w:tabs>
                    <w:tab w:val="left" w:pos="2834"/>
                  </w:tabs>
                  <w:ind w:right="-98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Gubernatura</w:t>
                </w:r>
              </w:p>
            </w:tc>
          </w:tr>
          <w:tr w:rsidR="002A62BF" w14:paraId="29E8BB04" w14:textId="77777777">
            <w:trPr>
              <w:trHeight w:val="295"/>
            </w:trPr>
            <w:tc>
              <w:tcPr>
                <w:tcW w:w="3225" w:type="dxa"/>
                <w:shd w:val="clear" w:color="auto" w:fill="auto"/>
              </w:tcPr>
              <w:p w14:paraId="2A3E75D7" w14:textId="77777777" w:rsidR="002A62BF" w:rsidRDefault="00351F3E">
                <w:pPr>
                  <w:tabs>
                    <w:tab w:val="right" w:pos="8838"/>
                  </w:tabs>
                  <w:ind w:left="850" w:right="-2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345" w:type="dxa"/>
                <w:shd w:val="clear" w:color="auto" w:fill="auto"/>
              </w:tcPr>
              <w:p w14:paraId="393B810A" w14:textId="77777777" w:rsidR="002A62BF" w:rsidRDefault="00351F3E">
                <w:pPr>
                  <w:ind w:right="-98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3AD21E7F" w14:textId="77777777" w:rsidR="002A62BF" w:rsidRDefault="002A62BF">
                <w:pPr>
                  <w:ind w:right="-986"/>
                  <w:rPr>
                    <w:rFonts w:ascii="Palatino Linotype" w:eastAsia="Palatino Linotype" w:hAnsi="Palatino Linotype" w:cs="Palatino Linotype"/>
                    <w:sz w:val="22"/>
                    <w:szCs w:val="22"/>
                  </w:rPr>
                </w:pPr>
              </w:p>
            </w:tc>
          </w:tr>
        </w:tbl>
        <w:p w14:paraId="605B49DD" w14:textId="77777777" w:rsidR="002A62BF" w:rsidRDefault="002A62BF">
          <w:pPr>
            <w:tabs>
              <w:tab w:val="right" w:pos="8838"/>
            </w:tabs>
            <w:ind w:left="-28"/>
            <w:jc w:val="both"/>
            <w:rPr>
              <w:rFonts w:ascii="Arial" w:eastAsia="Arial" w:hAnsi="Arial" w:cs="Arial"/>
              <w:b/>
              <w:sz w:val="22"/>
              <w:szCs w:val="22"/>
            </w:rPr>
          </w:pPr>
        </w:p>
      </w:tc>
    </w:tr>
  </w:tbl>
  <w:p w14:paraId="54704067" w14:textId="77777777" w:rsidR="002A62BF" w:rsidRDefault="00891324">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793AF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9784" w14:textId="77777777" w:rsidR="002A62BF" w:rsidRDefault="002A62BF">
    <w:pPr>
      <w:widowControl w:val="0"/>
      <w:pBdr>
        <w:top w:val="nil"/>
        <w:left w:val="nil"/>
        <w:bottom w:val="nil"/>
        <w:right w:val="nil"/>
        <w:between w:val="nil"/>
      </w:pBdr>
      <w:spacing w:line="276" w:lineRule="auto"/>
      <w:rPr>
        <w:color w:val="000000"/>
        <w:sz w:val="14"/>
        <w:szCs w:val="14"/>
      </w:rPr>
    </w:pPr>
  </w:p>
  <w:tbl>
    <w:tblPr>
      <w:tblStyle w:val="af1"/>
      <w:tblW w:w="10350" w:type="dxa"/>
      <w:tblInd w:w="0" w:type="dxa"/>
      <w:tblLayout w:type="fixed"/>
      <w:tblLook w:val="0400" w:firstRow="0" w:lastRow="0" w:firstColumn="0" w:lastColumn="0" w:noHBand="0" w:noVBand="1"/>
    </w:tblPr>
    <w:tblGrid>
      <w:gridCol w:w="3092"/>
      <w:gridCol w:w="7258"/>
    </w:tblGrid>
    <w:tr w:rsidR="002A62BF" w14:paraId="08476242" w14:textId="77777777">
      <w:trPr>
        <w:trHeight w:val="2303"/>
      </w:trPr>
      <w:tc>
        <w:tcPr>
          <w:tcW w:w="3092" w:type="dxa"/>
          <w:shd w:val="clear" w:color="auto" w:fill="auto"/>
        </w:tcPr>
        <w:p w14:paraId="60858BC7" w14:textId="77777777" w:rsidR="002A62BF" w:rsidRDefault="002A62BF">
          <w:pPr>
            <w:tabs>
              <w:tab w:val="right" w:pos="4273"/>
            </w:tabs>
            <w:rPr>
              <w:rFonts w:ascii="Garamond" w:eastAsia="Garamond" w:hAnsi="Garamond" w:cs="Garamond"/>
              <w:sz w:val="22"/>
              <w:szCs w:val="22"/>
            </w:rPr>
          </w:pPr>
        </w:p>
      </w:tc>
      <w:tc>
        <w:tcPr>
          <w:tcW w:w="7258" w:type="dxa"/>
          <w:shd w:val="clear" w:color="auto" w:fill="auto"/>
        </w:tcPr>
        <w:p w14:paraId="7E502FA0" w14:textId="77777777" w:rsidR="002A62BF" w:rsidRDefault="002A62BF">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f2"/>
            <w:tblW w:w="6060" w:type="dxa"/>
            <w:tblInd w:w="40" w:type="dxa"/>
            <w:tblLayout w:type="fixed"/>
            <w:tblLook w:val="0400" w:firstRow="0" w:lastRow="0" w:firstColumn="0" w:lastColumn="0" w:noHBand="0" w:noVBand="1"/>
          </w:tblPr>
          <w:tblGrid>
            <w:gridCol w:w="2522"/>
            <w:gridCol w:w="3538"/>
          </w:tblGrid>
          <w:tr w:rsidR="002A62BF" w14:paraId="5A5F2F2C" w14:textId="77777777">
            <w:trPr>
              <w:trHeight w:val="144"/>
            </w:trPr>
            <w:tc>
              <w:tcPr>
                <w:tcW w:w="2522" w:type="dxa"/>
                <w:shd w:val="clear" w:color="auto" w:fill="auto"/>
              </w:tcPr>
              <w:p w14:paraId="65400143" w14:textId="77777777" w:rsidR="002A62BF" w:rsidRDefault="00351F3E">
                <w:pPr>
                  <w:tabs>
                    <w:tab w:val="right" w:pos="8838"/>
                  </w:tabs>
                  <w:ind w:left="-264" w:right="-105" w:firstLine="2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38" w:type="dxa"/>
                <w:shd w:val="clear" w:color="auto" w:fill="auto"/>
              </w:tcPr>
              <w:p w14:paraId="637D5628" w14:textId="77777777" w:rsidR="002A62BF" w:rsidRDefault="00351F3E">
                <w:pPr>
                  <w:ind w:right="7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00653/INFOEM/IP/RR/2024</w:t>
                </w:r>
              </w:p>
            </w:tc>
          </w:tr>
          <w:tr w:rsidR="002A62BF" w14:paraId="0B7B9693" w14:textId="77777777">
            <w:trPr>
              <w:trHeight w:val="144"/>
            </w:trPr>
            <w:tc>
              <w:tcPr>
                <w:tcW w:w="2522" w:type="dxa"/>
                <w:shd w:val="clear" w:color="auto" w:fill="auto"/>
              </w:tcPr>
              <w:p w14:paraId="10A18161" w14:textId="77777777" w:rsidR="002A62BF" w:rsidRDefault="00351F3E">
                <w:pPr>
                  <w:tabs>
                    <w:tab w:val="right" w:pos="8838"/>
                  </w:tabs>
                  <w:ind w:left="-74" w:right="-105" w:firstLine="7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38" w:type="dxa"/>
                <w:shd w:val="clear" w:color="auto" w:fill="auto"/>
              </w:tcPr>
              <w:p w14:paraId="1EED2A47" w14:textId="227D459E" w:rsidR="002A62BF" w:rsidRDefault="00873767">
                <w:pPr>
                  <w:tabs>
                    <w:tab w:val="left" w:pos="3122"/>
                  </w:tabs>
                  <w:ind w:right="7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2A62BF" w14:paraId="3878DAA6" w14:textId="77777777">
            <w:trPr>
              <w:trHeight w:val="283"/>
            </w:trPr>
            <w:tc>
              <w:tcPr>
                <w:tcW w:w="2522" w:type="dxa"/>
                <w:shd w:val="clear" w:color="auto" w:fill="auto"/>
              </w:tcPr>
              <w:p w14:paraId="1F4C4265" w14:textId="77777777" w:rsidR="002A62BF" w:rsidRDefault="00351F3E">
                <w:pPr>
                  <w:tabs>
                    <w:tab w:val="right" w:pos="8838"/>
                  </w:tabs>
                  <w:ind w:left="-74" w:right="-105" w:firstLine="7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38" w:type="dxa"/>
                <w:shd w:val="clear" w:color="auto" w:fill="auto"/>
              </w:tcPr>
              <w:p w14:paraId="4B9BF0FC" w14:textId="77777777" w:rsidR="002A62BF" w:rsidRDefault="00351F3E">
                <w:pPr>
                  <w:tabs>
                    <w:tab w:val="left" w:pos="2834"/>
                  </w:tabs>
                  <w:ind w:right="7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Gubernatura</w:t>
                </w:r>
              </w:p>
            </w:tc>
          </w:tr>
          <w:tr w:rsidR="002A62BF" w14:paraId="10ABB9D6" w14:textId="77777777">
            <w:trPr>
              <w:trHeight w:val="283"/>
            </w:trPr>
            <w:tc>
              <w:tcPr>
                <w:tcW w:w="2522" w:type="dxa"/>
                <w:shd w:val="clear" w:color="auto" w:fill="auto"/>
              </w:tcPr>
              <w:p w14:paraId="0F68E9C0" w14:textId="77777777" w:rsidR="002A62BF" w:rsidRDefault="00351F3E">
                <w:pPr>
                  <w:tabs>
                    <w:tab w:val="right" w:pos="8838"/>
                  </w:tabs>
                  <w:ind w:left="-74" w:right="-105" w:firstLine="7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38" w:type="dxa"/>
                <w:shd w:val="clear" w:color="auto" w:fill="auto"/>
              </w:tcPr>
              <w:p w14:paraId="46DC1D40" w14:textId="77777777" w:rsidR="002A62BF" w:rsidRDefault="00351F3E">
                <w:pPr>
                  <w:ind w:right="7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055B0A6D" w14:textId="77777777" w:rsidR="002A62BF" w:rsidRDefault="002A62BF">
                <w:pPr>
                  <w:ind w:right="77"/>
                  <w:rPr>
                    <w:rFonts w:ascii="Palatino Linotype" w:eastAsia="Palatino Linotype" w:hAnsi="Palatino Linotype" w:cs="Palatino Linotype"/>
                    <w:sz w:val="22"/>
                    <w:szCs w:val="22"/>
                  </w:rPr>
                </w:pPr>
              </w:p>
            </w:tc>
          </w:tr>
        </w:tbl>
        <w:p w14:paraId="27051019" w14:textId="77777777" w:rsidR="002A62BF" w:rsidRDefault="002A62BF">
          <w:pPr>
            <w:tabs>
              <w:tab w:val="right" w:pos="8838"/>
            </w:tabs>
            <w:ind w:left="-28"/>
            <w:jc w:val="both"/>
            <w:rPr>
              <w:rFonts w:ascii="Arial" w:eastAsia="Arial" w:hAnsi="Arial" w:cs="Arial"/>
              <w:b/>
              <w:sz w:val="22"/>
              <w:szCs w:val="22"/>
            </w:rPr>
          </w:pPr>
        </w:p>
      </w:tc>
    </w:tr>
  </w:tbl>
  <w:p w14:paraId="359122EB" w14:textId="77777777" w:rsidR="002A62BF" w:rsidRDefault="00891324">
    <w:pPr>
      <w:pBdr>
        <w:top w:val="nil"/>
        <w:left w:val="nil"/>
        <w:bottom w:val="nil"/>
        <w:right w:val="nil"/>
        <w:between w:val="nil"/>
      </w:pBdr>
      <w:tabs>
        <w:tab w:val="center" w:pos="4419"/>
        <w:tab w:val="right" w:pos="8838"/>
      </w:tabs>
      <w:rPr>
        <w:color w:val="000000"/>
        <w:sz w:val="2"/>
        <w:szCs w:val="2"/>
      </w:rPr>
    </w:pPr>
    <w:r>
      <w:rPr>
        <w:color w:val="000000"/>
        <w:sz w:val="2"/>
        <w:szCs w:val="2"/>
      </w:rPr>
      <w:pict w14:anchorId="67029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E1674"/>
    <w:multiLevelType w:val="multilevel"/>
    <w:tmpl w:val="3C783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1E3636"/>
    <w:multiLevelType w:val="multilevel"/>
    <w:tmpl w:val="0C8CD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E8302F"/>
    <w:multiLevelType w:val="multilevel"/>
    <w:tmpl w:val="79CCE82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6D2190"/>
    <w:multiLevelType w:val="multilevel"/>
    <w:tmpl w:val="6D5820A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2988224">
    <w:abstractNumId w:val="1"/>
  </w:num>
  <w:num w:numId="2" w16cid:durableId="421873043">
    <w:abstractNumId w:val="0"/>
  </w:num>
  <w:num w:numId="3" w16cid:durableId="21057364">
    <w:abstractNumId w:val="2"/>
  </w:num>
  <w:num w:numId="4" w16cid:durableId="15856101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2BF"/>
    <w:rsid w:val="00001BCC"/>
    <w:rsid w:val="002A62BF"/>
    <w:rsid w:val="002F75D5"/>
    <w:rsid w:val="00351F3E"/>
    <w:rsid w:val="003D321E"/>
    <w:rsid w:val="005829D4"/>
    <w:rsid w:val="00636C14"/>
    <w:rsid w:val="00745A52"/>
    <w:rsid w:val="00873767"/>
    <w:rsid w:val="00891324"/>
    <w:rsid w:val="009D3B1B"/>
    <w:rsid w:val="00A43535"/>
    <w:rsid w:val="00BF0955"/>
    <w:rsid w:val="00C43E6F"/>
    <w:rsid w:val="00E723F6"/>
    <w:rsid w:val="00FC0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C62DF"/>
  <w15:docId w15:val="{408F10E8-3870-4E7B-9866-9075E413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EF5"/>
  </w:style>
  <w:style w:type="paragraph" w:styleId="Ttulo1">
    <w:name w:val="heading 1"/>
    <w:basedOn w:val="Normal"/>
    <w:next w:val="Normal"/>
    <w:link w:val="Ttulo1Car"/>
    <w:uiPriority w:val="9"/>
    <w:qFormat/>
    <w:rsid w:val="00CE3E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E3EF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CE3EF5"/>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CE3EF5"/>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E3EF5"/>
    <w:pPr>
      <w:tabs>
        <w:tab w:val="center" w:pos="4419"/>
        <w:tab w:val="right" w:pos="8838"/>
      </w:tabs>
    </w:pPr>
  </w:style>
  <w:style w:type="character" w:customStyle="1" w:styleId="EncabezadoCar">
    <w:name w:val="Encabezado Car"/>
    <w:basedOn w:val="Fuentedeprrafopredeter"/>
    <w:link w:val="Encabezado"/>
    <w:uiPriority w:val="99"/>
    <w:rsid w:val="00CE3EF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E3EF5"/>
    <w:pPr>
      <w:tabs>
        <w:tab w:val="center" w:pos="4419"/>
        <w:tab w:val="right" w:pos="8838"/>
      </w:tabs>
    </w:pPr>
  </w:style>
  <w:style w:type="character" w:customStyle="1" w:styleId="PiedepginaCar">
    <w:name w:val="Pie de página Car"/>
    <w:basedOn w:val="Fuentedeprrafopredeter"/>
    <w:link w:val="Piedepgina"/>
    <w:uiPriority w:val="99"/>
    <w:rsid w:val="00CE3EF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3EF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E3EF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CE3EF5"/>
    <w:rPr>
      <w:color w:val="0563C1"/>
      <w:u w:val="single"/>
    </w:rPr>
  </w:style>
  <w:style w:type="paragraph" w:styleId="Sinespaciado">
    <w:name w:val="No Spacing"/>
    <w:aliases w:val="Francesa,INAI,Fundamentos"/>
    <w:link w:val="SinespaciadoCar"/>
    <w:uiPriority w:val="1"/>
    <w:qFormat/>
    <w:rsid w:val="00CE3EF5"/>
  </w:style>
  <w:style w:type="character" w:customStyle="1" w:styleId="SinespaciadoCar">
    <w:name w:val="Sin espaciado Car"/>
    <w:aliases w:val="Francesa Car,INAI Car,Fundamentos Car"/>
    <w:link w:val="Sinespaciado"/>
    <w:uiPriority w:val="1"/>
    <w:qFormat/>
    <w:locked/>
    <w:rsid w:val="00CE3EF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E3EF5"/>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E3E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E3EF5"/>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CE3EF5"/>
    <w:rPr>
      <w:rFonts w:ascii="Times New Roman" w:eastAsia="Times New Roman" w:hAnsi="Times New Roman" w:cs="Times New Roman"/>
      <w:sz w:val="20"/>
      <w:szCs w:val="20"/>
      <w:lang w:eastAsia="es-MX"/>
    </w:rPr>
  </w:style>
  <w:style w:type="character" w:styleId="Hipervnculovisitado">
    <w:name w:val="FollowedHyperlink"/>
    <w:basedOn w:val="Fuentedeprrafopredeter"/>
    <w:uiPriority w:val="99"/>
    <w:semiHidden/>
    <w:unhideWhenUsed/>
    <w:rsid w:val="00243D8E"/>
    <w:rPr>
      <w:color w:val="954F72" w:themeColor="followedHyperlink"/>
      <w:u w:val="single"/>
    </w:rPr>
  </w:style>
  <w:style w:type="table" w:styleId="Tablaconcuadrcula6concolores">
    <w:name w:val="Grid Table 6 Colorful"/>
    <w:basedOn w:val="Tablanormal"/>
    <w:uiPriority w:val="51"/>
    <w:rsid w:val="00DC69E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5227B"/>
    <w:pPr>
      <w:autoSpaceDE w:val="0"/>
      <w:autoSpaceDN w:val="0"/>
      <w:adjustRightInd w:val="0"/>
    </w:pPr>
    <w:rPr>
      <w:rFonts w:ascii="Arial" w:hAnsi="Arial" w:cs="Arial"/>
      <w:color w:val="000000"/>
    </w:rPr>
  </w:style>
  <w:style w:type="character" w:customStyle="1" w:styleId="markedcontent">
    <w:name w:val="markedcontent"/>
    <w:basedOn w:val="Fuentedeprrafopredeter"/>
    <w:rsid w:val="00AD0C84"/>
  </w:style>
  <w:style w:type="numbering" w:customStyle="1" w:styleId="Estiloimportado1">
    <w:name w:val="Estilo importado 1"/>
    <w:rsid w:val="008B5F61"/>
  </w:style>
  <w:style w:type="table" w:customStyle="1" w:styleId="Tablanormal13">
    <w:name w:val="Tabla normal 13"/>
    <w:basedOn w:val="Tablanormal"/>
    <w:next w:val="Tablanormal1"/>
    <w:uiPriority w:val="41"/>
    <w:rsid w:val="002023A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2023A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rPr>
      <w:color w:val="000000"/>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rPr>
      <w:color w:val="000000"/>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rPr>
      <w:color w:val="000000"/>
    </w:rPr>
    <w:tblPr>
      <w:tblStyleRowBandSize w:val="1"/>
      <w:tblStyleColBandSize w:val="1"/>
      <w:tblCellMar>
        <w:left w:w="115" w:type="dxa"/>
        <w:right w:w="115" w:type="dxa"/>
      </w:tblCellMar>
    </w:tblPr>
  </w:style>
  <w:style w:type="table" w:customStyle="1" w:styleId="a6">
    <w:basedOn w:val="TableNormal2"/>
    <w:rPr>
      <w:color w:val="000000"/>
    </w:rPr>
    <w:tblPr>
      <w:tblStyleRowBandSize w:val="1"/>
      <w:tblStyleColBandSize w:val="1"/>
      <w:tblCellMar>
        <w:left w:w="115" w:type="dxa"/>
        <w:right w:w="115" w:type="dxa"/>
      </w:tblCellMar>
    </w:tblPr>
  </w:style>
  <w:style w:type="table" w:customStyle="1" w:styleId="a7">
    <w:basedOn w:val="TableNormal2"/>
    <w:rPr>
      <w:color w:val="000000"/>
    </w:rPr>
    <w:tblPr>
      <w:tblStyleRowBandSize w:val="1"/>
      <w:tblStyleColBandSize w:val="1"/>
      <w:tblCellMar>
        <w:left w:w="115" w:type="dxa"/>
        <w:right w:w="115" w:type="dxa"/>
      </w:tblCellMar>
    </w:tblPr>
  </w:style>
  <w:style w:type="table" w:customStyle="1" w:styleId="a8">
    <w:basedOn w:val="TableNormal2"/>
    <w:rPr>
      <w:color w:val="00000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F7312"/>
    <w:rPr>
      <w:color w:val="605E5C"/>
      <w:shd w:val="clear" w:color="auto" w:fill="E1DFDD"/>
    </w:rPr>
  </w:style>
  <w:style w:type="character" w:styleId="Refdecomentario">
    <w:name w:val="annotation reference"/>
    <w:basedOn w:val="Fuentedeprrafopredeter"/>
    <w:uiPriority w:val="99"/>
    <w:semiHidden/>
    <w:unhideWhenUsed/>
    <w:rsid w:val="00E60A26"/>
    <w:rPr>
      <w:sz w:val="16"/>
      <w:szCs w:val="16"/>
    </w:rPr>
  </w:style>
  <w:style w:type="paragraph" w:styleId="Textocomentario">
    <w:name w:val="annotation text"/>
    <w:basedOn w:val="Normal"/>
    <w:link w:val="TextocomentarioCar"/>
    <w:uiPriority w:val="99"/>
    <w:semiHidden/>
    <w:unhideWhenUsed/>
    <w:rsid w:val="00E60A26"/>
    <w:rPr>
      <w:sz w:val="20"/>
      <w:szCs w:val="20"/>
    </w:rPr>
  </w:style>
  <w:style w:type="character" w:customStyle="1" w:styleId="TextocomentarioCar">
    <w:name w:val="Texto comentario Car"/>
    <w:basedOn w:val="Fuentedeprrafopredeter"/>
    <w:link w:val="Textocomentario"/>
    <w:uiPriority w:val="99"/>
    <w:semiHidden/>
    <w:rsid w:val="00E60A26"/>
    <w:rPr>
      <w:sz w:val="20"/>
      <w:szCs w:val="20"/>
    </w:rPr>
  </w:style>
  <w:style w:type="paragraph" w:styleId="Asuntodelcomentario">
    <w:name w:val="annotation subject"/>
    <w:basedOn w:val="Textocomentario"/>
    <w:next w:val="Textocomentario"/>
    <w:link w:val="AsuntodelcomentarioCar"/>
    <w:uiPriority w:val="99"/>
    <w:semiHidden/>
    <w:unhideWhenUsed/>
    <w:rsid w:val="00E60A26"/>
    <w:rPr>
      <w:b/>
      <w:bCs/>
    </w:rPr>
  </w:style>
  <w:style w:type="character" w:customStyle="1" w:styleId="AsuntodelcomentarioCar">
    <w:name w:val="Asunto del comentario Car"/>
    <w:basedOn w:val="TextocomentarioCar"/>
    <w:link w:val="Asuntodelcomentario"/>
    <w:uiPriority w:val="99"/>
    <w:semiHidden/>
    <w:rsid w:val="00E60A26"/>
    <w:rPr>
      <w:b/>
      <w:bCs/>
      <w:sz w:val="20"/>
      <w:szCs w:val="20"/>
    </w:rPr>
  </w:style>
  <w:style w:type="paragraph" w:styleId="Textodeglobo">
    <w:name w:val="Balloon Text"/>
    <w:basedOn w:val="Normal"/>
    <w:link w:val="TextodegloboCar"/>
    <w:uiPriority w:val="99"/>
    <w:semiHidden/>
    <w:unhideWhenUsed/>
    <w:rsid w:val="00E60A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0A26"/>
    <w:rPr>
      <w:rFonts w:ascii="Segoe UI" w:hAnsi="Segoe UI" w:cs="Segoe UI"/>
      <w:sz w:val="18"/>
      <w:szCs w:val="18"/>
    </w:rPr>
  </w:style>
  <w:style w:type="table" w:styleId="Tablaconcuadrcula">
    <w:name w:val="Table Grid"/>
    <w:basedOn w:val="Tablanormal"/>
    <w:uiPriority w:val="39"/>
    <w:rsid w:val="00D46DD8"/>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1"/>
    <w:rPr>
      <w:rFonts w:ascii="Calibri" w:eastAsia="Calibri" w:hAnsi="Calibri" w:cs="Calibri"/>
      <w:color w:val="000000"/>
    </w:r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rPr>
      <w:color w:val="000000"/>
    </w:rPr>
    <w:tblPr>
      <w:tblStyleRowBandSize w:val="1"/>
      <w:tblStyleColBandSize w:val="1"/>
      <w:tblCellMar>
        <w:left w:w="115" w:type="dxa"/>
        <w:right w:w="115" w:type="dxa"/>
      </w:tblCellMar>
    </w:tblPr>
  </w:style>
  <w:style w:type="table" w:customStyle="1" w:styleId="ac">
    <w:basedOn w:val="TableNormal1"/>
    <w:rPr>
      <w:color w:val="000000"/>
    </w:rPr>
    <w:tblPr>
      <w:tblStyleRowBandSize w:val="1"/>
      <w:tblStyleColBandSize w:val="1"/>
      <w:tblCellMar>
        <w:left w:w="115" w:type="dxa"/>
        <w:right w:w="115" w:type="dxa"/>
      </w:tblCellMar>
    </w:tblPr>
  </w:style>
  <w:style w:type="table" w:customStyle="1" w:styleId="ad">
    <w:basedOn w:val="TableNormal1"/>
    <w:rPr>
      <w:color w:val="000000"/>
    </w:rPr>
    <w:tblPr>
      <w:tblStyleRowBandSize w:val="1"/>
      <w:tblStyleColBandSize w:val="1"/>
      <w:tblCellMar>
        <w:left w:w="115" w:type="dxa"/>
        <w:right w:w="115" w:type="dxa"/>
      </w:tblCellMar>
    </w:tblPr>
  </w:style>
  <w:style w:type="table" w:customStyle="1" w:styleId="ae">
    <w:basedOn w:val="TableNormal1"/>
    <w:rPr>
      <w:color w:val="000000"/>
    </w:rPr>
    <w:tblPr>
      <w:tblStyleRowBandSize w:val="1"/>
      <w:tblStyleColBandSize w:val="1"/>
      <w:tblCellMar>
        <w:left w:w="115" w:type="dxa"/>
        <w:right w:w="115" w:type="dxa"/>
      </w:tblCellMar>
    </w:tblPr>
  </w:style>
  <w:style w:type="table" w:customStyle="1" w:styleId="af">
    <w:basedOn w:val="TableNormal0"/>
    <w:rPr>
      <w:rFonts w:ascii="Calibri" w:eastAsia="Calibri" w:hAnsi="Calibri" w:cs="Calibri"/>
      <w:color w:val="000000"/>
    </w:rPr>
    <w:tblPr>
      <w:tblStyleRowBandSize w:val="1"/>
      <w:tblStyleColBandSize w:val="1"/>
      <w:tblCellMar>
        <w:left w:w="115" w:type="dxa"/>
        <w:right w:w="115" w:type="dxa"/>
      </w:tblCellMar>
    </w:tblPr>
  </w:style>
  <w:style w:type="table" w:customStyle="1" w:styleId="af0">
    <w:basedOn w:val="TableNormal0"/>
    <w:rPr>
      <w:rFonts w:ascii="Calibri" w:eastAsia="Calibri" w:hAnsi="Calibri" w:cs="Calibri"/>
      <w:color w:val="000000"/>
    </w:rPr>
    <w:tblPr>
      <w:tblStyleRowBandSize w:val="1"/>
      <w:tblStyleColBandSize w:val="1"/>
      <w:tblCellMar>
        <w:left w:w="115" w:type="dxa"/>
        <w:right w:w="115" w:type="dxa"/>
      </w:tblCellMar>
    </w:tblPr>
  </w:style>
  <w:style w:type="table" w:customStyle="1" w:styleId="af1">
    <w:basedOn w:val="TableNormal0"/>
    <w:rPr>
      <w:rFonts w:ascii="Calibri" w:eastAsia="Calibri" w:hAnsi="Calibri" w:cs="Calibri"/>
      <w:color w:val="000000"/>
    </w:rPr>
    <w:tblPr>
      <w:tblStyleRowBandSize w:val="1"/>
      <w:tblStyleColBandSize w:val="1"/>
      <w:tblCellMar>
        <w:left w:w="115" w:type="dxa"/>
        <w:right w:w="115" w:type="dxa"/>
      </w:tblCellMar>
    </w:tblPr>
  </w:style>
  <w:style w:type="table" w:customStyle="1" w:styleId="af2">
    <w:basedOn w:val="TableNormal0"/>
    <w:rPr>
      <w:rFonts w:ascii="Calibri" w:eastAsia="Calibri" w:hAnsi="Calibri" w:cs="Calibri"/>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06535.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imex.org.mx/saimex/solicitud/downloadAttach/2010213.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2009741.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43sVYyUXw4ypqMhk3BWF3A4MfA==">CgMxLjAyCGguZ2pkZ3hzMgloLjN6bnlzaDcyCWguMmV0OTJwMDIJaC4zZHk2dmttMghoLnR5amN3dDIIaC5sbnhiejkyCWguM3JkY3JqbjIJaC4zMGowemxsOAByITExbjBVSXF6NHhUel9nWGxGNEJEdzVWdzR2NmVQV1lKcQ==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5988</Words>
  <Characters>32936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inf03m612@outlook.com</cp:lastModifiedBy>
  <cp:revision>6</cp:revision>
  <cp:lastPrinted>2024-11-14T20:00:00Z</cp:lastPrinted>
  <dcterms:created xsi:type="dcterms:W3CDTF">2024-11-11T21:38:00Z</dcterms:created>
  <dcterms:modified xsi:type="dcterms:W3CDTF">2024-11-27T18:48:00Z</dcterms:modified>
</cp:coreProperties>
</file>