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8493" w14:textId="77777777" w:rsidR="001C1ECC" w:rsidRDefault="001C1ECC">
      <w:pPr>
        <w:widowControl w:val="0"/>
        <w:pBdr>
          <w:top w:val="nil"/>
          <w:left w:val="nil"/>
          <w:bottom w:val="nil"/>
          <w:right w:val="nil"/>
          <w:between w:val="nil"/>
        </w:pBdr>
        <w:spacing w:line="276" w:lineRule="auto"/>
      </w:pPr>
    </w:p>
    <w:p w14:paraId="712EB758" w14:textId="77777777" w:rsidR="001C1ECC" w:rsidRDefault="00A92FC8">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veintiocho (28) de agosto de dos mil veinticuatro.</w:t>
      </w:r>
    </w:p>
    <w:p w14:paraId="283C90CC" w14:textId="77777777" w:rsidR="001C1ECC" w:rsidRDefault="001C1ECC">
      <w:pPr>
        <w:tabs>
          <w:tab w:val="left" w:pos="3465"/>
        </w:tabs>
        <w:spacing w:line="360" w:lineRule="auto"/>
        <w:jc w:val="both"/>
        <w:rPr>
          <w:rFonts w:ascii="Palatino Linotype" w:eastAsia="Palatino Linotype" w:hAnsi="Palatino Linotype" w:cs="Palatino Linotype"/>
        </w:rPr>
      </w:pPr>
    </w:p>
    <w:p w14:paraId="368BB641" w14:textId="23049819" w:rsidR="001C1ECC" w:rsidRDefault="00A92FC8" w:rsidP="001E2795">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rPr>
      </w:pPr>
      <w:r w:rsidRPr="001E2795">
        <w:rPr>
          <w:rFonts w:ascii="Palatino Linotype" w:eastAsia="Palatino Linotype" w:hAnsi="Palatino Linotype" w:cs="Palatino Linotype"/>
          <w:b/>
        </w:rPr>
        <w:t xml:space="preserve">VISTAS </w:t>
      </w:r>
      <w:r w:rsidRPr="001E2795">
        <w:rPr>
          <w:rFonts w:ascii="Palatino Linotype" w:eastAsia="Palatino Linotype" w:hAnsi="Palatino Linotype" w:cs="Palatino Linotype"/>
        </w:rPr>
        <w:t>las constancias para resolver el recurso de revisión</w:t>
      </w:r>
      <w:r w:rsidR="001E2795" w:rsidRPr="001E2795">
        <w:rPr>
          <w:rFonts w:ascii="Palatino Linotype" w:eastAsia="Palatino Linotype" w:hAnsi="Palatino Linotype" w:cs="Palatino Linotype"/>
        </w:rPr>
        <w:t xml:space="preserve"> </w:t>
      </w:r>
      <w:r w:rsidR="001E2795" w:rsidRPr="001E2795">
        <w:rPr>
          <w:rFonts w:ascii="Palatino Linotype" w:eastAsia="Palatino Linotype" w:hAnsi="Palatino Linotype" w:cs="Palatino Linotype"/>
          <w:b/>
          <w:color w:val="000000"/>
        </w:rPr>
        <w:t>04563/INFOEM/IP/RR/2023</w:t>
      </w:r>
      <w:r w:rsidR="001E2795" w:rsidRPr="001E2795">
        <w:rPr>
          <w:rFonts w:ascii="Palatino Linotype" w:eastAsia="Palatino Linotype" w:hAnsi="Palatino Linotype" w:cs="Palatino Linotype"/>
          <w:color w:val="000000"/>
        </w:rPr>
        <w:t>,</w:t>
      </w:r>
      <w:r w:rsidRPr="001E2795">
        <w:rPr>
          <w:rFonts w:ascii="Palatino Linotype" w:eastAsia="Palatino Linotype" w:hAnsi="Palatino Linotype" w:cs="Palatino Linotype"/>
        </w:rPr>
        <w:t xml:space="preserve"> presentado por </w:t>
      </w:r>
      <w:r w:rsidR="00D74F30">
        <w:rPr>
          <w:rFonts w:ascii="Palatino Linotype" w:eastAsia="Palatino Linotype" w:hAnsi="Palatino Linotype" w:cs="Palatino Linotype"/>
          <w:b/>
        </w:rPr>
        <w:t xml:space="preserve">XXX </w:t>
      </w:r>
      <w:proofErr w:type="spellStart"/>
      <w:proofErr w:type="gramStart"/>
      <w:r w:rsidR="00D74F30">
        <w:rPr>
          <w:rFonts w:ascii="Palatino Linotype" w:eastAsia="Palatino Linotype" w:hAnsi="Palatino Linotype" w:cs="Palatino Linotype"/>
          <w:b/>
        </w:rPr>
        <w:t>XXX</w:t>
      </w:r>
      <w:proofErr w:type="spellEnd"/>
      <w:r w:rsidRPr="001E2795">
        <w:rPr>
          <w:rFonts w:ascii="Palatino Linotype" w:eastAsia="Palatino Linotype" w:hAnsi="Palatino Linotype" w:cs="Palatino Linotype"/>
          <w:b/>
        </w:rPr>
        <w:t>,</w:t>
      </w:r>
      <w:r w:rsidRPr="001E2795">
        <w:rPr>
          <w:rFonts w:ascii="Palatino Linotype" w:eastAsia="Palatino Linotype" w:hAnsi="Palatino Linotype" w:cs="Palatino Linotype"/>
        </w:rPr>
        <w:t xml:space="preserve">  en</w:t>
      </w:r>
      <w:proofErr w:type="gramEnd"/>
      <w:r w:rsidRPr="001E2795">
        <w:rPr>
          <w:rFonts w:ascii="Palatino Linotype" w:eastAsia="Palatino Linotype" w:hAnsi="Palatino Linotype" w:cs="Palatino Linotype"/>
        </w:rPr>
        <w:t xml:space="preserve"> lo sucesivo se denominará como </w:t>
      </w:r>
      <w:r w:rsidRPr="001E2795">
        <w:rPr>
          <w:rFonts w:ascii="Palatino Linotype" w:eastAsia="Palatino Linotype" w:hAnsi="Palatino Linotype" w:cs="Palatino Linotype"/>
          <w:b/>
        </w:rPr>
        <w:t>EL RECURRENTE,</w:t>
      </w:r>
      <w:r w:rsidRPr="001E2795">
        <w:rPr>
          <w:rFonts w:ascii="Palatino Linotype" w:eastAsia="Palatino Linotype" w:hAnsi="Palatino Linotype" w:cs="Palatino Linotype"/>
        </w:rPr>
        <w:t xml:space="preserve"> en contra de la respuesta otorgada a la solicitud de información </w:t>
      </w:r>
      <w:r w:rsidRPr="001E2795">
        <w:rPr>
          <w:rFonts w:ascii="Palatino Linotype" w:eastAsia="Palatino Linotype" w:hAnsi="Palatino Linotype" w:cs="Palatino Linotype"/>
          <w:b/>
        </w:rPr>
        <w:t>00523/ZINACANT/IP/2023</w:t>
      </w:r>
      <w:r w:rsidRPr="001E2795">
        <w:rPr>
          <w:rFonts w:ascii="Palatino Linotype" w:eastAsia="Palatino Linotype" w:hAnsi="Palatino Linotype" w:cs="Palatino Linotype"/>
        </w:rPr>
        <w:t xml:space="preserve">, por parte de la </w:t>
      </w:r>
      <w:r w:rsidRPr="001E2795">
        <w:rPr>
          <w:rFonts w:ascii="Palatino Linotype" w:eastAsia="Palatino Linotype" w:hAnsi="Palatino Linotype" w:cs="Palatino Linotype"/>
          <w:b/>
        </w:rPr>
        <w:t xml:space="preserve">Ayuntamiento de Zinacantepec, </w:t>
      </w:r>
      <w:r w:rsidRPr="001E2795">
        <w:rPr>
          <w:rFonts w:ascii="Palatino Linotype" w:eastAsia="Palatino Linotype" w:hAnsi="Palatino Linotype" w:cs="Palatino Linotype"/>
        </w:rPr>
        <w:t xml:space="preserve">en adelante </w:t>
      </w:r>
      <w:r w:rsidRPr="001E2795">
        <w:rPr>
          <w:rFonts w:ascii="Palatino Linotype" w:eastAsia="Palatino Linotype" w:hAnsi="Palatino Linotype" w:cs="Palatino Linotype"/>
          <w:b/>
        </w:rPr>
        <w:t xml:space="preserve">EL SUJETO OBLIGADO, </w:t>
      </w:r>
      <w:r w:rsidRPr="001E2795">
        <w:rPr>
          <w:rFonts w:ascii="Palatino Linotype" w:eastAsia="Palatino Linotype" w:hAnsi="Palatino Linotype" w:cs="Palatino Linotype"/>
        </w:rPr>
        <w:t>se emite la presente resolución con base en los siguientes:</w:t>
      </w:r>
    </w:p>
    <w:p w14:paraId="28DBB4C8" w14:textId="77777777" w:rsidR="001E2795" w:rsidRPr="001E2795" w:rsidRDefault="001E2795" w:rsidP="001E2795">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highlight w:val="green"/>
        </w:rPr>
      </w:pPr>
    </w:p>
    <w:p w14:paraId="0FB315FB" w14:textId="77777777" w:rsidR="001C1ECC" w:rsidRDefault="00A92FC8">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14:paraId="645EEFEF"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rPr>
      </w:pPr>
    </w:p>
    <w:p w14:paraId="2927950B" w14:textId="77777777" w:rsidR="001C1ECC" w:rsidRDefault="00A92FC8">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diez de julio de dos mil veintitrés</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14:paraId="6E8D8C14"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743C73D" w14:textId="77777777" w:rsidR="001C1ECC" w:rsidRDefault="00A92FC8">
      <w:pPr>
        <w:pBdr>
          <w:top w:val="nil"/>
          <w:left w:val="nil"/>
          <w:bottom w:val="nil"/>
          <w:right w:val="nil"/>
          <w:between w:val="nil"/>
        </w:pBdr>
        <w:ind w:left="567" w:right="616"/>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“SOLICITO EL ACTA DEL CABILDO MEDIANTE EL CUAL SE AUTORIZO LA CONTRATACIÓN DEL CREDITO CON LA INSTITUCION BANCO AZTECA, S.A., INSTITUCIÓN DE BANCA MÚLTIPLE, CONTRATADO EL 29 DE JUNIO DEL 2022 Y REGISTRADO EN EL REGISTRO PUBLICO UNICO EL PASADO 04 DE NOVIEMBRE DEL 2022, ASÍ COMO TODOS Y CADA UNO DE LOS COMPROBANTES DE PAGO REALIZADOS A DICHA INSTITUCIÓN, DESDE LA FECHA DE CONTRATACIÓN HASTA EL 30 DE JUNIO 2023, ASÍ MISMO </w:t>
      </w:r>
      <w:r>
        <w:rPr>
          <w:rFonts w:ascii="Palatino Linotype" w:eastAsia="Palatino Linotype" w:hAnsi="Palatino Linotype" w:cs="Palatino Linotype"/>
          <w:i/>
          <w:color w:val="000000"/>
        </w:rPr>
        <w:lastRenderedPageBreak/>
        <w:t>REQUIERO SE ME INDIQUE EN QUE DESTINARON ESOS $42,000,000.00 (CUARENTA Y DOS MILLONES DE PESOS 00/100 M.N.). ASÍ COMO EL ESTADO DE CUENTA EMITIDO POR DICHA INSTITUCION DE CREDITO EN EL QUE SE APRECIE EL SALDO A PAGAR AL 30 DE JUNIO DEL 2023.”</w:t>
      </w:r>
    </w:p>
    <w:p w14:paraId="0E3F3F43" w14:textId="77777777" w:rsidR="001C1ECC" w:rsidRDefault="001C1ECC">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14:paraId="2B6AA77C" w14:textId="77777777" w:rsidR="001C1ECC" w:rsidRDefault="00A92FC8">
      <w:pPr>
        <w:numPr>
          <w:ilvl w:val="0"/>
          <w:numId w:val="7"/>
        </w:numPr>
        <w:pBdr>
          <w:top w:val="nil"/>
          <w:left w:val="nil"/>
          <w:bottom w:val="nil"/>
          <w:right w:val="nil"/>
          <w:between w:val="nil"/>
        </w:pBdr>
        <w:tabs>
          <w:tab w:val="left" w:pos="0"/>
        </w:tabs>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35A81817" w14:textId="77777777" w:rsidR="001C1ECC" w:rsidRDefault="001C1ECC">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u w:val="single"/>
        </w:rPr>
      </w:pPr>
    </w:p>
    <w:p w14:paraId="0CB0EE3E" w14:textId="77777777" w:rsidR="001C1ECC" w:rsidRDefault="00A92FC8">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sidRPr="001418B6">
        <w:rPr>
          <w:rFonts w:ascii="Palatino Linotype" w:eastAsia="Palatino Linotype" w:hAnsi="Palatino Linotype" w:cs="Palatino Linotype"/>
          <w:color w:val="000000"/>
        </w:rPr>
        <w:t>El</w:t>
      </w:r>
      <w:r w:rsidRPr="001418B6">
        <w:rPr>
          <w:rFonts w:ascii="Palatino Linotype" w:eastAsia="Palatino Linotype" w:hAnsi="Palatino Linotype" w:cs="Palatino Linotype"/>
          <w:b/>
          <w:color w:val="000000"/>
        </w:rPr>
        <w:t xml:space="preserve"> </w:t>
      </w:r>
      <w:r w:rsidR="00444A5C" w:rsidRPr="001418B6">
        <w:rPr>
          <w:rFonts w:ascii="Palatino Linotype" w:eastAsia="Palatino Linotype" w:hAnsi="Palatino Linotype" w:cs="Palatino Linotype"/>
          <w:b/>
          <w:color w:val="000000"/>
        </w:rPr>
        <w:t xml:space="preserve">catorce de agosto </w:t>
      </w:r>
      <w:r w:rsidRPr="001418B6">
        <w:rPr>
          <w:rFonts w:ascii="Palatino Linotype" w:eastAsia="Palatino Linotype" w:hAnsi="Palatino Linotype" w:cs="Palatino Linotype"/>
          <w:b/>
          <w:color w:val="000000"/>
        </w:rPr>
        <w:t>dos mil veintitrés</w:t>
      </w:r>
      <w:r w:rsidRPr="001418B6">
        <w:rPr>
          <w:rFonts w:ascii="Palatino Linotype" w:eastAsia="Palatino Linotype" w:hAnsi="Palatino Linotype" w:cs="Palatino Linotype"/>
          <w:color w:val="000000"/>
        </w:rPr>
        <w:t>, el</w:t>
      </w:r>
      <w:r>
        <w:rPr>
          <w:rFonts w:ascii="Palatino Linotype" w:eastAsia="Palatino Linotype" w:hAnsi="Palatino Linotype" w:cs="Palatino Linotype"/>
          <w:color w:val="000000"/>
        </w:rPr>
        <w:t xml:space="preserve"> Sujeto Obligado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dio respuesta a través de tres archivos electrónicos, a saber:</w:t>
      </w:r>
    </w:p>
    <w:p w14:paraId="7AB089BA" w14:textId="77777777" w:rsidR="001C1ECC" w:rsidRDefault="00A92FC8">
      <w:pPr>
        <w:numPr>
          <w:ilvl w:val="0"/>
          <w:numId w:val="7"/>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solicitud folio 00523zinacant-ip2023.pdf: </w:t>
      </w:r>
      <w:r>
        <w:rPr>
          <w:rFonts w:ascii="Palatino Linotype" w:eastAsia="Palatino Linotype" w:hAnsi="Palatino Linotype" w:cs="Palatino Linotype"/>
          <w:color w:val="000000"/>
          <w:sz w:val="22"/>
          <w:szCs w:val="22"/>
        </w:rPr>
        <w:t xml:space="preserve"> que contiene un oficio signado por el Secretario del Ayuntamiento, dirigido al Titular de la Unidad de Transparencia a través del cual informa que se autorizó en el Acuerdo Número 0095 y Acta de Cabildo número 054/2023 y acuerdo de cabildo numero 0329 respectivamente, de fecha 13 de enero de 2023.</w:t>
      </w:r>
    </w:p>
    <w:p w14:paraId="61A0902A" w14:textId="77777777" w:rsidR="001C1ECC" w:rsidRDefault="001C1ECC">
      <w:pPr>
        <w:pBdr>
          <w:top w:val="nil"/>
          <w:left w:val="nil"/>
          <w:bottom w:val="nil"/>
          <w:right w:val="nil"/>
          <w:between w:val="nil"/>
        </w:pBdr>
        <w:tabs>
          <w:tab w:val="left" w:pos="0"/>
        </w:tabs>
        <w:spacing w:line="360" w:lineRule="auto"/>
        <w:ind w:left="1069" w:right="51"/>
        <w:jc w:val="both"/>
        <w:rPr>
          <w:rFonts w:ascii="Palatino Linotype" w:eastAsia="Palatino Linotype" w:hAnsi="Palatino Linotype" w:cs="Palatino Linotype"/>
          <w:b/>
          <w:i/>
          <w:color w:val="000000"/>
          <w:sz w:val="22"/>
          <w:szCs w:val="22"/>
        </w:rPr>
      </w:pPr>
    </w:p>
    <w:p w14:paraId="67C7952A" w14:textId="77777777" w:rsidR="001C1ECC" w:rsidRDefault="00A92FC8">
      <w:pPr>
        <w:numPr>
          <w:ilvl w:val="0"/>
          <w:numId w:val="7"/>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00523.pdf,</w:t>
      </w:r>
      <w:r>
        <w:rPr>
          <w:rFonts w:ascii="Palatino Linotype" w:eastAsia="Palatino Linotype" w:hAnsi="Palatino Linotype" w:cs="Palatino Linotype"/>
          <w:color w:val="000000"/>
          <w:sz w:val="22"/>
          <w:szCs w:val="22"/>
        </w:rPr>
        <w:t xml:space="preserve"> que contiene un oficio signado por la Tesorera Municipal y, dirigido a la Encargada del Despacho de la Unidad de Transparencia a través del cual informa, que se remiten los pagos y constancias de no adeudo; al tiempo que informa que el destino de los recursos, es para cubrir necesidades originadas por insuficiencia de liquidez de carácter temporal tal como lo establece el Acta de Cabildo.</w:t>
      </w:r>
    </w:p>
    <w:p w14:paraId="6EB25A66" w14:textId="77777777" w:rsidR="001C1ECC" w:rsidRDefault="001C1ECC">
      <w:pPr>
        <w:pBdr>
          <w:top w:val="nil"/>
          <w:left w:val="nil"/>
          <w:bottom w:val="nil"/>
          <w:right w:val="nil"/>
          <w:between w:val="nil"/>
        </w:pBdr>
        <w:ind w:left="720"/>
        <w:rPr>
          <w:rFonts w:ascii="Palatino Linotype" w:eastAsia="Palatino Linotype" w:hAnsi="Palatino Linotype" w:cs="Palatino Linotype"/>
          <w:b/>
          <w:i/>
          <w:color w:val="000000"/>
          <w:sz w:val="22"/>
          <w:szCs w:val="22"/>
        </w:rPr>
      </w:pPr>
    </w:p>
    <w:p w14:paraId="4B42FBB5" w14:textId="77777777" w:rsidR="001C1ECC" w:rsidRDefault="00A92FC8">
      <w:pPr>
        <w:numPr>
          <w:ilvl w:val="0"/>
          <w:numId w:val="7"/>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i/>
          <w:color w:val="000000"/>
          <w:sz w:val="22"/>
          <w:szCs w:val="22"/>
        </w:rPr>
      </w:pPr>
      <w:proofErr w:type="spellStart"/>
      <w:r>
        <w:rPr>
          <w:rFonts w:ascii="Palatino Linotype" w:eastAsia="Palatino Linotype" w:hAnsi="Palatino Linotype" w:cs="Palatino Linotype"/>
          <w:b/>
          <w:i/>
          <w:color w:val="000000"/>
          <w:sz w:val="22"/>
          <w:szCs w:val="22"/>
        </w:rPr>
        <w:t>Resp</w:t>
      </w:r>
      <w:proofErr w:type="spellEnd"/>
      <w:r>
        <w:rPr>
          <w:rFonts w:ascii="Palatino Linotype" w:eastAsia="Palatino Linotype" w:hAnsi="Palatino Linotype" w:cs="Palatino Linotype"/>
          <w:b/>
          <w:i/>
          <w:color w:val="000000"/>
          <w:sz w:val="22"/>
          <w:szCs w:val="22"/>
        </w:rPr>
        <w:t xml:space="preserve">. sol. 00523-2023.pdf: </w:t>
      </w:r>
      <w:r>
        <w:rPr>
          <w:rFonts w:ascii="Palatino Linotype" w:eastAsia="Palatino Linotype" w:hAnsi="Palatino Linotype" w:cs="Palatino Linotype"/>
          <w:color w:val="000000"/>
          <w:sz w:val="22"/>
          <w:szCs w:val="22"/>
        </w:rPr>
        <w:t>que contiene un oficio signado por la Titular de la Unidad de Transparencia del Municipio de Zinacantepec, a través del cual informa al solicitante de la respuesta emitida.</w:t>
      </w:r>
    </w:p>
    <w:p w14:paraId="63BF23F2" w14:textId="77777777" w:rsidR="001C1ECC" w:rsidRDefault="001C1EC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14:paraId="36D2E8E9" w14:textId="77777777" w:rsidR="001C1ECC" w:rsidRDefault="00A92FC8">
      <w:pPr>
        <w:numPr>
          <w:ilvl w:val="0"/>
          <w:numId w:val="8"/>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lastRenderedPageBreak/>
        <w:t>El</w:t>
      </w:r>
      <w:r>
        <w:rPr>
          <w:rFonts w:ascii="Palatino Linotype" w:eastAsia="Palatino Linotype" w:hAnsi="Palatino Linotype" w:cs="Palatino Linotype"/>
          <w:b/>
          <w:color w:val="000000"/>
        </w:rPr>
        <w:t xml:space="preserve"> quince de agosto de dos mil veintitrés</w:t>
      </w:r>
      <w:r>
        <w:rPr>
          <w:rFonts w:ascii="Palatino Linotype" w:eastAsia="Palatino Linotype" w:hAnsi="Palatino Linotype" w:cs="Palatino Linotype"/>
          <w:color w:val="000000"/>
        </w:rPr>
        <w:t>, el particular interpuso el recurso de revisión en contra de la respuesta, realizando las siguientes manifestaciones:</w:t>
      </w:r>
    </w:p>
    <w:p w14:paraId="543DFEFF" w14:textId="77777777" w:rsidR="001C1ECC" w:rsidRDefault="00A92FC8">
      <w:pPr>
        <w:numPr>
          <w:ilvl w:val="0"/>
          <w:numId w:val="3"/>
        </w:numPr>
        <w:pBdr>
          <w:top w:val="nil"/>
          <w:left w:val="nil"/>
          <w:bottom w:val="nil"/>
          <w:right w:val="nil"/>
          <w:between w:val="nil"/>
        </w:pBdr>
        <w:ind w:right="616"/>
        <w:jc w:val="both"/>
        <w:rPr>
          <w:rFonts w:ascii="Palatino Linotype" w:eastAsia="Palatino Linotype" w:hAnsi="Palatino Linotype" w:cs="Palatino Linotype"/>
          <w:i/>
          <w:color w:val="000000"/>
          <w:sz w:val="22"/>
          <w:szCs w:val="22"/>
        </w:rPr>
      </w:pPr>
      <w:bookmarkStart w:id="1" w:name="_heading=h.1fob9te"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SE PROPORCIONA LA INFORMACION SOLICITADA, SOLO LOS OFICIOS QUE MANDAN LAS AREAS DE TESORERIA Y SECRETARIA DEL AYUNTAMIENTO Y NO DICEN NADA EN CONCRETO ACERCA DE LO QUE SE SOLICITO, SOLO ES PAJA LO QUE CONTESTAN AMBOS TITULARES.”</w:t>
      </w:r>
    </w:p>
    <w:p w14:paraId="696C59FF" w14:textId="77777777" w:rsidR="001C1ECC" w:rsidRDefault="00A92FC8">
      <w:pPr>
        <w:numPr>
          <w:ilvl w:val="0"/>
          <w:numId w:val="3"/>
        </w:numPr>
        <w:pBdr>
          <w:top w:val="nil"/>
          <w:left w:val="nil"/>
          <w:bottom w:val="nil"/>
          <w:right w:val="nil"/>
          <w:between w:val="nil"/>
        </w:pBdr>
        <w:ind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LA INCONFORMIDAD: </w:t>
      </w:r>
      <w:r>
        <w:rPr>
          <w:rFonts w:ascii="Palatino Linotype" w:eastAsia="Palatino Linotype" w:hAnsi="Palatino Linotype" w:cs="Palatino Linotype"/>
          <w:i/>
          <w:color w:val="000000"/>
          <w:sz w:val="22"/>
          <w:szCs w:val="22"/>
        </w:rPr>
        <w:t xml:space="preserve">“NO SE PROPORCIONA LA INFORMACION SOLICITADA, SOLO LOS OFICIOS QUE MANDAN LAS AREAS DE TESORERIA Y SECRETARIA DEL AYUNTAMIENTO Y NO DICEN NADA EN CONCRETO ACERCA DE LO QUE SE SOLICITO, SOLO ES PAJA LO QUE CONTESTAN AMBOS TITULARES. Y RESPECTO AL SALDO DEL CREDITO SOLICITO SE DE ATENCION YA QUE NO ES POSIBLE QUE NO SEPAN CUANTO DEBEN Y PARA TENER ESE DATO DEBEN DE TENER UN DOCUMENTO OFICIAL.” </w:t>
      </w:r>
      <w:r>
        <w:rPr>
          <w:rFonts w:ascii="Palatino Linotype" w:eastAsia="Palatino Linotype" w:hAnsi="Palatino Linotype" w:cs="Palatino Linotype"/>
          <w:color w:val="000000"/>
          <w:sz w:val="22"/>
          <w:szCs w:val="22"/>
        </w:rPr>
        <w:t>(Sic)</w:t>
      </w:r>
    </w:p>
    <w:p w14:paraId="7CC571E9" w14:textId="77777777" w:rsidR="001C1ECC" w:rsidRDefault="001C1ECC">
      <w:pPr>
        <w:ind w:right="616"/>
        <w:jc w:val="both"/>
        <w:rPr>
          <w:rFonts w:ascii="Palatino Linotype" w:eastAsia="Palatino Linotype" w:hAnsi="Palatino Linotype" w:cs="Palatino Linotype"/>
          <w:i/>
          <w:color w:val="000000"/>
        </w:rPr>
      </w:pPr>
    </w:p>
    <w:p w14:paraId="3DAFF586" w14:textId="77777777" w:rsidR="001C1ECC" w:rsidRDefault="00A92FC8">
      <w:pPr>
        <w:pBdr>
          <w:top w:val="nil"/>
          <w:left w:val="nil"/>
          <w:bottom w:val="nil"/>
          <w:right w:val="nil"/>
          <w:between w:val="nil"/>
        </w:pBdr>
        <w:tabs>
          <w:tab w:val="left" w:pos="7020"/>
        </w:tabs>
        <w:ind w:left="851" w:right="61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14:paraId="226AF584" w14:textId="77777777" w:rsidR="001C1ECC" w:rsidRDefault="001C1ECC">
      <w:pPr>
        <w:pBdr>
          <w:top w:val="nil"/>
          <w:left w:val="nil"/>
          <w:bottom w:val="nil"/>
          <w:right w:val="nil"/>
          <w:between w:val="nil"/>
        </w:pBdr>
        <w:tabs>
          <w:tab w:val="left" w:pos="0"/>
        </w:tabs>
        <w:spacing w:line="360" w:lineRule="auto"/>
        <w:ind w:left="1080" w:right="49"/>
        <w:jc w:val="both"/>
        <w:rPr>
          <w:rFonts w:ascii="Palatino Linotype" w:eastAsia="Palatino Linotype" w:hAnsi="Palatino Linotype" w:cs="Palatino Linotype"/>
          <w:i/>
          <w:color w:val="000000"/>
          <w:u w:val="single"/>
        </w:rPr>
      </w:pPr>
    </w:p>
    <w:p w14:paraId="7C5988A4"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Pr>
          <w:rFonts w:ascii="Palatino Linotype" w:eastAsia="Palatino Linotype" w:hAnsi="Palatino Linotype" w:cs="Palatino Linotype"/>
        </w:rPr>
        <w:t>manifiesta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y el Sujeto Obligado presentará el Informe Justificado.</w:t>
      </w:r>
    </w:p>
    <w:p w14:paraId="11DBE48E"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14:paraId="3BDBE17F"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Recurrente</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dejó de realizar manifestaciones que a su derecho conviniera y asistiera. Por su parte, el Sujeto Obligado,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fue omiso en rendir el informe justificado correspondiente.</w:t>
      </w:r>
    </w:p>
    <w:p w14:paraId="7D668AAB" w14:textId="77777777" w:rsidR="001C1ECC" w:rsidRDefault="001C1ECC">
      <w:pPr>
        <w:pBdr>
          <w:top w:val="nil"/>
          <w:left w:val="nil"/>
          <w:bottom w:val="nil"/>
          <w:right w:val="nil"/>
          <w:between w:val="nil"/>
        </w:pBdr>
        <w:tabs>
          <w:tab w:val="left" w:pos="0"/>
        </w:tabs>
        <w:spacing w:line="360" w:lineRule="auto"/>
        <w:ind w:left="1080" w:right="49"/>
        <w:jc w:val="both"/>
        <w:rPr>
          <w:rFonts w:ascii="Palatino Linotype" w:eastAsia="Palatino Linotype" w:hAnsi="Palatino Linotype" w:cs="Palatino Linotype"/>
          <w:i/>
          <w:color w:val="000000"/>
          <w:u w:val="single"/>
        </w:rPr>
      </w:pPr>
    </w:p>
    <w:p w14:paraId="61E2B18A"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Este Órgano Garante no pasa por alto justificar, que la dilación en la resolución del presente asunto, encuentra justificación en el incremento de recursos </w:t>
      </w:r>
      <w:r>
        <w:rPr>
          <w:rFonts w:ascii="Palatino Linotype" w:eastAsia="Palatino Linotype" w:hAnsi="Palatino Linotype" w:cs="Palatino Linotype"/>
          <w:color w:val="000000"/>
        </w:rPr>
        <w:lastRenderedPageBreak/>
        <w:t>de revisión a resolverse por este Instituto, circunstancia atípica que ha rebasado las capacidades técnicas y humanas para la emisión de las resoluciones a dichos medios de impugnación, motivo por el que se acordó ampliar el término para resolver el presente asunto.</w:t>
      </w:r>
    </w:p>
    <w:p w14:paraId="50C1D8DE"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7A99F68"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1551BB2" w14:textId="77777777" w:rsidR="001C1ECC" w:rsidRDefault="001C1EC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9143702"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78F1C2C" w14:textId="77777777" w:rsidR="001C1ECC" w:rsidRDefault="001C1ECC">
      <w:pPr>
        <w:pBdr>
          <w:top w:val="nil"/>
          <w:left w:val="nil"/>
          <w:bottom w:val="nil"/>
          <w:right w:val="nil"/>
          <w:between w:val="nil"/>
        </w:pBdr>
        <w:ind w:left="720"/>
        <w:rPr>
          <w:rFonts w:ascii="Palatino Linotype" w:eastAsia="Palatino Linotype" w:hAnsi="Palatino Linotype" w:cs="Palatino Linotype"/>
          <w:color w:val="000000"/>
        </w:rPr>
      </w:pPr>
    </w:p>
    <w:p w14:paraId="28389E20"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F16F8CF" w14:textId="77777777" w:rsidR="001C1ECC" w:rsidRDefault="001C1EC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4F53E61B"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60AF6988" w14:textId="77777777" w:rsidR="001C1ECC" w:rsidRDefault="00A92FC8">
      <w:pPr>
        <w:numPr>
          <w:ilvl w:val="0"/>
          <w:numId w:val="9"/>
        </w:numPr>
        <w:pBdr>
          <w:top w:val="nil"/>
          <w:left w:val="nil"/>
          <w:bottom w:val="nil"/>
          <w:right w:val="nil"/>
          <w:between w:val="nil"/>
        </w:pBdr>
        <w:ind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44706A70" w14:textId="77777777" w:rsidR="001C1ECC" w:rsidRDefault="00A92FC8">
      <w:pPr>
        <w:numPr>
          <w:ilvl w:val="0"/>
          <w:numId w:val="9"/>
        </w:numPr>
        <w:pBdr>
          <w:top w:val="nil"/>
          <w:left w:val="nil"/>
          <w:bottom w:val="nil"/>
          <w:right w:val="nil"/>
          <w:between w:val="nil"/>
        </w:pBdr>
        <w:ind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27B010F9" w14:textId="77777777" w:rsidR="001C1ECC" w:rsidRDefault="00A92FC8">
      <w:pPr>
        <w:numPr>
          <w:ilvl w:val="0"/>
          <w:numId w:val="9"/>
        </w:numPr>
        <w:pBdr>
          <w:top w:val="nil"/>
          <w:left w:val="nil"/>
          <w:bottom w:val="nil"/>
          <w:right w:val="nil"/>
          <w:between w:val="nil"/>
        </w:pBdr>
        <w:ind w:right="48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2887E278" w14:textId="77777777" w:rsidR="001C1ECC" w:rsidRDefault="00A92FC8">
      <w:pPr>
        <w:ind w:left="851" w:right="48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007F069" w14:textId="77777777" w:rsidR="001C1ECC" w:rsidRDefault="001C1ECC">
      <w:pPr>
        <w:spacing w:line="360" w:lineRule="auto"/>
        <w:ind w:left="851" w:hanging="284"/>
        <w:jc w:val="both"/>
        <w:rPr>
          <w:rFonts w:ascii="Palatino Linotype" w:eastAsia="Palatino Linotype" w:hAnsi="Palatino Linotype" w:cs="Palatino Linotype"/>
        </w:rPr>
      </w:pPr>
    </w:p>
    <w:p w14:paraId="4B9EA550"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38DE9C"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0C0C10B" w14:textId="77777777" w:rsidR="001C1ECC" w:rsidRDefault="00A92FC8">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3DBA8994" w14:textId="77777777" w:rsidR="001C1ECC" w:rsidRDefault="001C1EC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383CD0A7" w14:textId="77777777" w:rsidR="001C1ECC" w:rsidRDefault="00A92FC8">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3znysh7" w:colFirst="0" w:colLast="0"/>
      <w:bookmarkEnd w:id="2"/>
      <w:r>
        <w:rPr>
          <w:rFonts w:ascii="Palatino Linotype" w:eastAsia="Palatino Linotype" w:hAnsi="Palatino Linotype" w:cs="Palatino Linotype"/>
          <w:color w:val="000000"/>
        </w:rPr>
        <w:t xml:space="preserve">Seguidamente, en fecha </w:t>
      </w:r>
      <w:r>
        <w:rPr>
          <w:rFonts w:ascii="Palatino Linotype" w:eastAsia="Palatino Linotype" w:hAnsi="Palatino Linotype" w:cs="Palatino Linotype"/>
          <w:b/>
          <w:color w:val="000000"/>
        </w:rPr>
        <w:t>veintiuno de agosto de dos mil veinticuatro</w:t>
      </w:r>
      <w:r>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14:paraId="101D6100" w14:textId="77777777" w:rsidR="001C1ECC" w:rsidRDefault="001C1ECC">
      <w:pPr>
        <w:pBdr>
          <w:top w:val="nil"/>
          <w:left w:val="nil"/>
          <w:bottom w:val="nil"/>
          <w:right w:val="nil"/>
          <w:between w:val="nil"/>
        </w:pBdr>
        <w:ind w:left="720"/>
        <w:rPr>
          <w:rFonts w:ascii="Palatino Linotype" w:eastAsia="Palatino Linotype" w:hAnsi="Palatino Linotype" w:cs="Palatino Linotype"/>
          <w:b/>
          <w:color w:val="000000"/>
        </w:rPr>
      </w:pPr>
    </w:p>
    <w:p w14:paraId="521EF7AB" w14:textId="77777777" w:rsidR="001C1ECC" w:rsidRDefault="00A92FC8">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C I O N E S</w:t>
      </w:r>
    </w:p>
    <w:p w14:paraId="09103D95" w14:textId="77777777" w:rsidR="001C1ECC" w:rsidRDefault="001C1EC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14:paraId="4F17242A" w14:textId="77777777" w:rsidR="001C1ECC" w:rsidRDefault="00A92FC8">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Pr>
          <w:rFonts w:ascii="Palatino Linotype" w:eastAsia="Palatino Linotype" w:hAnsi="Palatino Linotype" w:cs="Palatino Linotype"/>
          <w:b/>
          <w:color w:val="000000"/>
          <w:sz w:val="24"/>
          <w:szCs w:val="24"/>
        </w:rPr>
        <w:t>PRIMERA. Competencia</w:t>
      </w:r>
    </w:p>
    <w:p w14:paraId="45D35173"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6E87BB9"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FDF44F8" w14:textId="77777777" w:rsidR="001C1ECC" w:rsidRDefault="00A92FC8">
      <w:pPr>
        <w:pStyle w:val="Ttulo2"/>
        <w:spacing w:before="0" w:line="360" w:lineRule="auto"/>
        <w:rPr>
          <w:rFonts w:ascii="Palatino Linotype" w:eastAsia="Palatino Linotype" w:hAnsi="Palatino Linotype" w:cs="Palatino Linotype"/>
          <w:b/>
          <w:color w:val="000000"/>
          <w:sz w:val="24"/>
          <w:szCs w:val="24"/>
        </w:rPr>
      </w:pPr>
      <w:bookmarkStart w:id="4" w:name="_heading=h.tyjcwt" w:colFirst="0" w:colLast="0"/>
      <w:bookmarkEnd w:id="4"/>
      <w:r>
        <w:rPr>
          <w:rFonts w:ascii="Palatino Linotype" w:eastAsia="Palatino Linotype" w:hAnsi="Palatino Linotype" w:cs="Palatino Linotype"/>
          <w:b/>
          <w:color w:val="000000"/>
          <w:sz w:val="24"/>
          <w:szCs w:val="24"/>
        </w:rPr>
        <w:t>SEGUNDA. Procedencia.</w:t>
      </w:r>
    </w:p>
    <w:p w14:paraId="2365B2FD"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Este Órgano Garante considera que el medio de impugnación reúne los requisitos de procedencia </w:t>
      </w:r>
      <w:r>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0F906609" w14:textId="77777777" w:rsidR="001C1ECC" w:rsidRDefault="001C1ECC">
      <w:pPr>
        <w:spacing w:line="360" w:lineRule="auto"/>
        <w:jc w:val="both"/>
        <w:rPr>
          <w:rFonts w:ascii="Palatino Linotype" w:eastAsia="Palatino Linotype" w:hAnsi="Palatino Linotype" w:cs="Palatino Linotype"/>
        </w:rPr>
      </w:pPr>
    </w:p>
    <w:p w14:paraId="31A71DBE"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732CDDE2" w14:textId="77777777" w:rsidR="001C1ECC" w:rsidRDefault="001C1ECC">
      <w:pPr>
        <w:pBdr>
          <w:top w:val="nil"/>
          <w:left w:val="nil"/>
          <w:bottom w:val="nil"/>
          <w:right w:val="nil"/>
          <w:between w:val="nil"/>
        </w:pBdr>
        <w:spacing w:line="360" w:lineRule="auto"/>
        <w:rPr>
          <w:rFonts w:ascii="Palatino Linotype" w:eastAsia="Palatino Linotype" w:hAnsi="Palatino Linotype" w:cs="Palatino Linotype"/>
          <w:color w:val="000000"/>
        </w:rPr>
      </w:pPr>
    </w:p>
    <w:p w14:paraId="1B491B78" w14:textId="77777777" w:rsidR="001C1ECC" w:rsidRDefault="00A92FC8">
      <w:pPr>
        <w:pStyle w:val="Ttulo1"/>
        <w:spacing w:before="0" w:line="360" w:lineRule="auto"/>
        <w:rPr>
          <w:rFonts w:ascii="Palatino Linotype" w:eastAsia="Palatino Linotype" w:hAnsi="Palatino Linotype" w:cs="Palatino Linotype"/>
          <w:b/>
          <w:color w:val="000000"/>
          <w:sz w:val="24"/>
          <w:szCs w:val="24"/>
        </w:rPr>
      </w:pPr>
      <w:bookmarkStart w:id="5" w:name="_heading=h.3dy6vkm" w:colFirst="0" w:colLast="0"/>
      <w:bookmarkEnd w:id="5"/>
      <w:r>
        <w:rPr>
          <w:rFonts w:ascii="Palatino Linotype" w:eastAsia="Palatino Linotype" w:hAnsi="Palatino Linotype" w:cs="Palatino Linotype"/>
          <w:b/>
          <w:color w:val="000000"/>
          <w:sz w:val="24"/>
          <w:szCs w:val="24"/>
        </w:rPr>
        <w:t>TERCERA. Descripción de hechos y planteamiento de la controversia.</w:t>
      </w:r>
    </w:p>
    <w:p w14:paraId="5EAF8184" w14:textId="77777777" w:rsidR="001C1ECC" w:rsidRDefault="00A92FC8">
      <w:pPr>
        <w:numPr>
          <w:ilvl w:val="0"/>
          <w:numId w:val="8"/>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simplifica:</w:t>
      </w:r>
    </w:p>
    <w:p w14:paraId="0E088444" w14:textId="77777777" w:rsidR="001C1ECC" w:rsidRDefault="00A92FC8">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Acta del cabildo mediante el cual se autorizó la contratación del crédito de fecha 29 de junio del 2022, registrado en el registro público único el día 4 de noviembre del 2022;</w:t>
      </w:r>
    </w:p>
    <w:p w14:paraId="77C6D9F9" w14:textId="77777777" w:rsidR="001C1ECC" w:rsidRDefault="00A92FC8">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Comprobantes de pago realizados a la institución bancara otorgante del crédito, desde la fecha de contratación al 30 de junio 2023; </w:t>
      </w:r>
    </w:p>
    <w:p w14:paraId="22A52B48" w14:textId="77777777" w:rsidR="001C1ECC" w:rsidRDefault="00A92FC8">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Destino de los $42,000,000.00 (cuarenta y dos millones de pesos 00/100 m.n.); y</w:t>
      </w:r>
    </w:p>
    <w:p w14:paraId="357A2C85" w14:textId="77777777" w:rsidR="001C1ECC" w:rsidRDefault="00A92FC8">
      <w:pPr>
        <w:numPr>
          <w:ilvl w:val="0"/>
          <w:numId w:val="4"/>
        </w:numPr>
        <w:pBdr>
          <w:top w:val="nil"/>
          <w:left w:val="nil"/>
          <w:bottom w:val="nil"/>
          <w:right w:val="nil"/>
          <w:between w:val="nil"/>
        </w:pBdr>
        <w:ind w:right="47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Estado de cuenta en que conste el saldo a pagar al 30 de junio del 2023.</w:t>
      </w:r>
    </w:p>
    <w:p w14:paraId="2B0AA91C" w14:textId="77777777" w:rsidR="001C1ECC" w:rsidRDefault="001C1ECC">
      <w:pPr>
        <w:spacing w:line="360" w:lineRule="auto"/>
        <w:jc w:val="both"/>
        <w:rPr>
          <w:rFonts w:ascii="Palatino Linotype" w:eastAsia="Palatino Linotype" w:hAnsi="Palatino Linotype" w:cs="Palatino Linotype"/>
          <w:b/>
        </w:rPr>
      </w:pPr>
    </w:p>
    <w:p w14:paraId="530652E4"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En respuesta, el Sujeto Obligado</w:t>
      </w:r>
      <w:r>
        <w:rPr>
          <w:rFonts w:ascii="Palatino Linotype" w:eastAsia="Palatino Linotype" w:hAnsi="Palatino Linotype" w:cs="Palatino Linotype"/>
          <w:b/>
        </w:rPr>
        <w:t xml:space="preserve"> </w:t>
      </w:r>
      <w:r>
        <w:rPr>
          <w:rFonts w:ascii="Palatino Linotype" w:eastAsia="Palatino Linotype" w:hAnsi="Palatino Linotype" w:cs="Palatino Linotype"/>
        </w:rPr>
        <w:t>remitió los archivos ya descritos en el anterior Párrafo 2. Inconforme con la respuesta, se interpuso recurso de revisión argumentando sustancialmente la entrega de información incompleta.</w:t>
      </w:r>
    </w:p>
    <w:p w14:paraId="34A6C5C0" w14:textId="77777777" w:rsidR="001C1ECC" w:rsidRDefault="001C1ECC">
      <w:pPr>
        <w:spacing w:line="360" w:lineRule="auto"/>
        <w:jc w:val="both"/>
        <w:rPr>
          <w:rFonts w:ascii="Palatino Linotype" w:eastAsia="Palatino Linotype" w:hAnsi="Palatino Linotype" w:cs="Palatino Linotype"/>
          <w:i/>
          <w:color w:val="000000"/>
        </w:rPr>
      </w:pPr>
    </w:p>
    <w:p w14:paraId="7CFD372E"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Pr>
          <w:rFonts w:ascii="Palatino Linotype" w:eastAsia="Palatino Linotype" w:hAnsi="Palatino Linotype" w:cs="Palatino Linotype"/>
          <w:b/>
        </w:rPr>
        <w:t xml:space="preserve"> </w:t>
      </w:r>
      <w:r>
        <w:rPr>
          <w:rFonts w:ascii="Palatino Linotype" w:eastAsia="Palatino Linotype" w:hAnsi="Palatino Linotype" w:cs="Palatino Linotype"/>
        </w:rPr>
        <w:t>de la Ley de Transparencia y Acceso a la Información Pública del Estado de</w:t>
      </w:r>
      <w:r>
        <w:rPr>
          <w:rFonts w:ascii="Palatino Linotype" w:eastAsia="Palatino Linotype" w:hAnsi="Palatino Linotype" w:cs="Palatino Linotype"/>
          <w:b/>
        </w:rPr>
        <w:t xml:space="preserv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rPr>
        <w:t>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relativa a la entrega de información incompleta; </w:t>
      </w:r>
      <w:r>
        <w:rPr>
          <w:rFonts w:ascii="Palatino Linotype" w:eastAsia="Palatino Linotype" w:hAnsi="Palatino Linotype" w:cs="Palatino Linotype"/>
        </w:rPr>
        <w:t>contexto del cual se dolió el Recurrente al momento de interponer su inconformidad.</w:t>
      </w:r>
      <w:r>
        <w:rPr>
          <w:rFonts w:ascii="Palatino Linotype" w:eastAsia="Palatino Linotype" w:hAnsi="Palatino Linotype" w:cs="Palatino Linotype"/>
          <w:color w:val="000000"/>
        </w:rPr>
        <w:t xml:space="preserve"> De modo tal que el presente recurso de </w:t>
      </w:r>
      <w:r>
        <w:rPr>
          <w:rFonts w:ascii="Palatino Linotype" w:eastAsia="Palatino Linotype" w:hAnsi="Palatino Linotype" w:cs="Palatino Linotype"/>
          <w:color w:val="000000"/>
        </w:rPr>
        <w:lastRenderedPageBreak/>
        <w:t xml:space="preserve">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Sujeto Obligado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señalada. </w:t>
      </w:r>
    </w:p>
    <w:p w14:paraId="193AD726" w14:textId="77777777" w:rsidR="001C1ECC" w:rsidRDefault="001C1ECC">
      <w:pPr>
        <w:spacing w:line="360" w:lineRule="auto"/>
        <w:rPr>
          <w:rFonts w:ascii="Palatino Linotype" w:eastAsia="Palatino Linotype" w:hAnsi="Palatino Linotype" w:cs="Palatino Linotype"/>
        </w:rPr>
      </w:pPr>
    </w:p>
    <w:p w14:paraId="015C94F7" w14:textId="77777777" w:rsidR="001C1ECC" w:rsidRDefault="00A92FC8">
      <w:pPr>
        <w:pStyle w:val="Ttulo2"/>
        <w:spacing w:before="0" w:line="360" w:lineRule="auto"/>
        <w:rPr>
          <w:rFonts w:ascii="Palatino Linotype" w:eastAsia="Palatino Linotype" w:hAnsi="Palatino Linotype" w:cs="Palatino Linotype"/>
          <w:b/>
          <w:color w:val="000000"/>
          <w:sz w:val="24"/>
          <w:szCs w:val="24"/>
        </w:rPr>
      </w:pPr>
      <w:bookmarkStart w:id="6" w:name="_heading=h.1t3h5sf" w:colFirst="0" w:colLast="0"/>
      <w:bookmarkEnd w:id="6"/>
      <w:r>
        <w:rPr>
          <w:rFonts w:ascii="Palatino Linotype" w:eastAsia="Palatino Linotype" w:hAnsi="Palatino Linotype" w:cs="Palatino Linotype"/>
          <w:b/>
          <w:color w:val="000000"/>
          <w:sz w:val="24"/>
          <w:szCs w:val="24"/>
        </w:rPr>
        <w:t>CUARTA. Estudio de la controversia.</w:t>
      </w:r>
    </w:p>
    <w:p w14:paraId="57CB7822"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33CC973B" w14:textId="77777777" w:rsidR="001C1ECC" w:rsidRDefault="001C1ECC">
      <w:pPr>
        <w:spacing w:line="360" w:lineRule="auto"/>
        <w:jc w:val="both"/>
        <w:rPr>
          <w:rFonts w:ascii="Palatino Linotype" w:eastAsia="Palatino Linotype" w:hAnsi="Palatino Linotype" w:cs="Palatino Linotype"/>
        </w:rPr>
      </w:pPr>
    </w:p>
    <w:p w14:paraId="4AD2806F"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895FF8A" w14:textId="77777777" w:rsidR="001C1ECC" w:rsidRDefault="001C1ECC">
      <w:pPr>
        <w:spacing w:line="360" w:lineRule="auto"/>
        <w:ind w:left="360"/>
        <w:jc w:val="both"/>
        <w:rPr>
          <w:rFonts w:ascii="Palatino Linotype" w:eastAsia="Palatino Linotype" w:hAnsi="Palatino Linotype" w:cs="Palatino Linotype"/>
        </w:rPr>
      </w:pPr>
    </w:p>
    <w:p w14:paraId="7D79031B"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w:t>
      </w:r>
      <w:r>
        <w:rPr>
          <w:rFonts w:ascii="Palatino Linotype" w:eastAsia="Palatino Linotype" w:hAnsi="Palatino Linotype" w:cs="Palatino Linotype"/>
        </w:rPr>
        <w:lastRenderedPageBreak/>
        <w:t>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267928EF" w14:textId="77777777" w:rsidR="001C1ECC" w:rsidRDefault="001C1ECC">
      <w:pPr>
        <w:pBdr>
          <w:top w:val="nil"/>
          <w:left w:val="nil"/>
          <w:bottom w:val="nil"/>
          <w:right w:val="nil"/>
          <w:between w:val="nil"/>
        </w:pBdr>
        <w:ind w:left="720"/>
        <w:rPr>
          <w:rFonts w:ascii="Palatino Linotype" w:eastAsia="Palatino Linotype" w:hAnsi="Palatino Linotype" w:cs="Palatino Linotype"/>
          <w:color w:val="000000"/>
        </w:rPr>
      </w:pPr>
    </w:p>
    <w:p w14:paraId="112411B3" w14:textId="77777777" w:rsidR="001C1ECC" w:rsidRDefault="00A92FC8">
      <w:pPr>
        <w:numPr>
          <w:ilvl w:val="0"/>
          <w:numId w:val="5"/>
        </w:numPr>
        <w:pBdr>
          <w:top w:val="nil"/>
          <w:left w:val="nil"/>
          <w:bottom w:val="nil"/>
          <w:right w:val="nil"/>
          <w:between w:val="nil"/>
        </w:pBdr>
        <w:ind w:left="709"/>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respuesta</w:t>
      </w:r>
    </w:p>
    <w:p w14:paraId="2FC7AE56"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Acotado lo anterior es dable analizar la respuesta emitida a efecto de corroborar si ciertamente no se atiende lo solicitado como aduce el solicitante, a través del siguiente cuadro comparativo:</w:t>
      </w:r>
    </w:p>
    <w:p w14:paraId="1A77D676" w14:textId="77777777" w:rsidR="001C1ECC" w:rsidRDefault="001C1ECC">
      <w:pPr>
        <w:spacing w:line="360" w:lineRule="auto"/>
        <w:jc w:val="both"/>
        <w:rPr>
          <w:rFonts w:ascii="Palatino Linotype" w:eastAsia="Palatino Linotype" w:hAnsi="Palatino Linotype" w:cs="Palatino Linotype"/>
        </w:rPr>
      </w:pPr>
    </w:p>
    <w:tbl>
      <w:tblPr>
        <w:tblStyle w:val="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4168"/>
        <w:gridCol w:w="1830"/>
      </w:tblGrid>
      <w:tr w:rsidR="001C1ECC" w14:paraId="002DEDE5" w14:textId="77777777">
        <w:tc>
          <w:tcPr>
            <w:tcW w:w="2830" w:type="dxa"/>
          </w:tcPr>
          <w:p w14:paraId="026B2FB5" w14:textId="77777777" w:rsidR="001C1ECC" w:rsidRDefault="00A92FC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w:t>
            </w:r>
          </w:p>
        </w:tc>
        <w:tc>
          <w:tcPr>
            <w:tcW w:w="4168" w:type="dxa"/>
          </w:tcPr>
          <w:p w14:paraId="6511E720" w14:textId="77777777" w:rsidR="001C1ECC" w:rsidRDefault="00A92FC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Respuesta</w:t>
            </w:r>
          </w:p>
        </w:tc>
        <w:tc>
          <w:tcPr>
            <w:tcW w:w="1830" w:type="dxa"/>
          </w:tcPr>
          <w:p w14:paraId="7ADCB58D" w14:textId="77777777" w:rsidR="001C1ECC" w:rsidRDefault="00A92FC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Cumplimiento</w:t>
            </w:r>
          </w:p>
        </w:tc>
      </w:tr>
      <w:tr w:rsidR="001C1ECC" w14:paraId="7F8AB386" w14:textId="77777777">
        <w:tc>
          <w:tcPr>
            <w:tcW w:w="2830" w:type="dxa"/>
          </w:tcPr>
          <w:p w14:paraId="7D0C0D7B"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Acta de cabildo en que se autorizó la contratación del crédito de fecha 29 de junio del 2022 y, registrado en el Registro Público Único el 4 de noviembre del 2022.</w:t>
            </w:r>
          </w:p>
          <w:p w14:paraId="526E16BA" w14:textId="77777777" w:rsidR="001C1ECC" w:rsidRDefault="001C1ECC">
            <w:pPr>
              <w:jc w:val="both"/>
              <w:rPr>
                <w:rFonts w:ascii="Palatino Linotype" w:eastAsia="Palatino Linotype" w:hAnsi="Palatino Linotype" w:cs="Palatino Linotype"/>
                <w:sz w:val="22"/>
                <w:szCs w:val="22"/>
              </w:rPr>
            </w:pPr>
          </w:p>
        </w:tc>
        <w:tc>
          <w:tcPr>
            <w:tcW w:w="4168" w:type="dxa"/>
          </w:tcPr>
          <w:p w14:paraId="646ACD23"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 informa que se anexa copia simple del Acta de Cabildo número 012/2022 de fecha diez de marzo de 2022, en la cual se autorizó al Presidente Municipal la contratación del crédito referido en la solicitud, pudiéndose verificar el Acuerdo Numero 0095 y Acta de Cabildo número 054/2023, de fecha 13 de enero de 2023; en la cual se encuentra el Acuerdo de Cabildo número 054/2023 de fecha 13 de enero de 2023 donde se localiza el acuerdo de cabildo número 0329, en relación a la solicitud de crédito.</w:t>
            </w:r>
          </w:p>
          <w:p w14:paraId="704CA34F" w14:textId="77777777" w:rsidR="001C1ECC" w:rsidRDefault="001C1ECC">
            <w:pPr>
              <w:jc w:val="both"/>
              <w:rPr>
                <w:rFonts w:ascii="Palatino Linotype" w:eastAsia="Palatino Linotype" w:hAnsi="Palatino Linotype" w:cs="Palatino Linotype"/>
                <w:sz w:val="22"/>
                <w:szCs w:val="22"/>
              </w:rPr>
            </w:pPr>
          </w:p>
        </w:tc>
        <w:tc>
          <w:tcPr>
            <w:tcW w:w="1830" w:type="dxa"/>
          </w:tcPr>
          <w:p w14:paraId="4722079C" w14:textId="77777777" w:rsidR="001C1ECC" w:rsidRDefault="00A92FC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Parcial</w:t>
            </w:r>
          </w:p>
        </w:tc>
      </w:tr>
      <w:tr w:rsidR="001C1ECC" w14:paraId="02AAA9E3" w14:textId="77777777">
        <w:tc>
          <w:tcPr>
            <w:tcW w:w="2830" w:type="dxa"/>
          </w:tcPr>
          <w:p w14:paraId="0716234E"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Comprobantes de pago realizados a la institución financiera, desde la fecha </w:t>
            </w:r>
            <w:r>
              <w:rPr>
                <w:rFonts w:ascii="Palatino Linotype" w:eastAsia="Palatino Linotype" w:hAnsi="Palatino Linotype" w:cs="Palatino Linotype"/>
                <w:sz w:val="22"/>
                <w:szCs w:val="22"/>
              </w:rPr>
              <w:lastRenderedPageBreak/>
              <w:t>de contratación al 30 de junio 2023.</w:t>
            </w:r>
          </w:p>
          <w:p w14:paraId="7755121E" w14:textId="77777777" w:rsidR="001C1ECC" w:rsidRDefault="001C1ECC">
            <w:pPr>
              <w:spacing w:line="360" w:lineRule="auto"/>
              <w:jc w:val="both"/>
              <w:rPr>
                <w:rFonts w:ascii="Palatino Linotype" w:eastAsia="Palatino Linotype" w:hAnsi="Palatino Linotype" w:cs="Palatino Linotype"/>
                <w:sz w:val="22"/>
                <w:szCs w:val="22"/>
              </w:rPr>
            </w:pPr>
          </w:p>
        </w:tc>
        <w:tc>
          <w:tcPr>
            <w:tcW w:w="4168" w:type="dxa"/>
          </w:tcPr>
          <w:p w14:paraId="15A4FE3D"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La Tesorera Municipal informa que se remiten los pagos y constancias de no adeudo.</w:t>
            </w:r>
          </w:p>
        </w:tc>
        <w:tc>
          <w:tcPr>
            <w:tcW w:w="1830" w:type="dxa"/>
          </w:tcPr>
          <w:p w14:paraId="75BA2F04" w14:textId="77777777" w:rsidR="001C1ECC" w:rsidRDefault="00A92FC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Parcial</w:t>
            </w:r>
          </w:p>
        </w:tc>
      </w:tr>
      <w:tr w:rsidR="001C1ECC" w14:paraId="695F52FF" w14:textId="77777777">
        <w:tc>
          <w:tcPr>
            <w:tcW w:w="2830" w:type="dxa"/>
          </w:tcPr>
          <w:p w14:paraId="68441FA3"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Destino de los $42,000,000.00 (cuarenta y dos millones de pesos 00/100 m.n.). </w:t>
            </w:r>
          </w:p>
          <w:p w14:paraId="187E9692" w14:textId="77777777" w:rsidR="001C1ECC" w:rsidRDefault="001C1ECC">
            <w:pPr>
              <w:spacing w:line="360" w:lineRule="auto"/>
              <w:jc w:val="both"/>
              <w:rPr>
                <w:rFonts w:ascii="Palatino Linotype" w:eastAsia="Palatino Linotype" w:hAnsi="Palatino Linotype" w:cs="Palatino Linotype"/>
                <w:sz w:val="22"/>
                <w:szCs w:val="22"/>
              </w:rPr>
            </w:pPr>
          </w:p>
        </w:tc>
        <w:tc>
          <w:tcPr>
            <w:tcW w:w="4168" w:type="dxa"/>
          </w:tcPr>
          <w:p w14:paraId="4B632E2A"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Tesorera Municipal informa que el destino de los recursos es cubrir necesidades originadas por insuficiencia de liquidez de carácter temporal tal como se establece en el Acta de Cabildo.</w:t>
            </w:r>
          </w:p>
          <w:p w14:paraId="36EED3E8" w14:textId="77777777" w:rsidR="001C1ECC" w:rsidRDefault="001C1ECC">
            <w:pPr>
              <w:jc w:val="both"/>
              <w:rPr>
                <w:rFonts w:ascii="Palatino Linotype" w:eastAsia="Palatino Linotype" w:hAnsi="Palatino Linotype" w:cs="Palatino Linotype"/>
                <w:sz w:val="22"/>
                <w:szCs w:val="22"/>
              </w:rPr>
            </w:pPr>
          </w:p>
        </w:tc>
        <w:tc>
          <w:tcPr>
            <w:tcW w:w="1830" w:type="dxa"/>
          </w:tcPr>
          <w:p w14:paraId="03442C2C" w14:textId="77777777" w:rsidR="001C1ECC" w:rsidRDefault="00A92FC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Parcial</w:t>
            </w:r>
          </w:p>
        </w:tc>
      </w:tr>
      <w:tr w:rsidR="001C1ECC" w14:paraId="6D483316" w14:textId="77777777">
        <w:tc>
          <w:tcPr>
            <w:tcW w:w="2830" w:type="dxa"/>
          </w:tcPr>
          <w:p w14:paraId="08FFF7A1" w14:textId="77777777" w:rsidR="001C1ECC" w:rsidRDefault="00A92FC8">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Estado de cuenta emitido por la institución de crédito en el que se aprecie el saldo a pagar al 30 de junio del 2023.</w:t>
            </w:r>
          </w:p>
          <w:p w14:paraId="5ECB90B0" w14:textId="77777777" w:rsidR="001C1ECC" w:rsidRDefault="001C1ECC">
            <w:pPr>
              <w:jc w:val="both"/>
              <w:rPr>
                <w:rFonts w:ascii="Palatino Linotype" w:eastAsia="Palatino Linotype" w:hAnsi="Palatino Linotype" w:cs="Palatino Linotype"/>
                <w:sz w:val="22"/>
                <w:szCs w:val="22"/>
              </w:rPr>
            </w:pPr>
          </w:p>
        </w:tc>
        <w:tc>
          <w:tcPr>
            <w:tcW w:w="4168" w:type="dxa"/>
          </w:tcPr>
          <w:p w14:paraId="427A886E" w14:textId="77777777" w:rsidR="001C1ECC" w:rsidRDefault="00A92FC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pronunciamiento</w:t>
            </w:r>
          </w:p>
        </w:tc>
        <w:tc>
          <w:tcPr>
            <w:tcW w:w="1830" w:type="dxa"/>
          </w:tcPr>
          <w:p w14:paraId="71D0AB4A" w14:textId="77777777" w:rsidR="001C1ECC" w:rsidRDefault="00A92FC8">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w:t>
            </w:r>
          </w:p>
        </w:tc>
      </w:tr>
    </w:tbl>
    <w:p w14:paraId="05DCC0EA" w14:textId="77777777" w:rsidR="001C1ECC" w:rsidRDefault="001C1ECC">
      <w:pPr>
        <w:spacing w:line="360" w:lineRule="auto"/>
        <w:jc w:val="both"/>
        <w:rPr>
          <w:rFonts w:ascii="Palatino Linotype" w:eastAsia="Palatino Linotype" w:hAnsi="Palatino Linotype" w:cs="Palatino Linotype"/>
        </w:rPr>
      </w:pPr>
    </w:p>
    <w:p w14:paraId="00E19678"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Respecto de la primera solicitud relativa al Acta de cabildo en que se autorizó la contratación del crédito de fecha 29 de junio del 2022 y, registrado en el Registro Público Único el 4 de noviembre del 2022; el Sujeto Obligado con su respuesta asumió de manera expresa que cuenta con lo solicitado, tan es así que puntualmente señala que se remite copia fotostática del Acta de Cabildo solicitada. No obstante de una búsqueda en las constancias que obran en la respuesta, no se advierte que así haya ocurrido.</w:t>
      </w:r>
    </w:p>
    <w:p w14:paraId="69563BAE" w14:textId="77777777" w:rsidR="001C1ECC" w:rsidRDefault="001C1ECC">
      <w:pPr>
        <w:spacing w:line="360" w:lineRule="auto"/>
        <w:ind w:left="360"/>
        <w:jc w:val="both"/>
        <w:rPr>
          <w:rFonts w:ascii="Palatino Linotype" w:eastAsia="Palatino Linotype" w:hAnsi="Palatino Linotype" w:cs="Palatino Linotype"/>
        </w:rPr>
      </w:pPr>
    </w:p>
    <w:p w14:paraId="2C3C63FF"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Por otro lado informa de manera específica que la información se puede verificar en el Acuerdo Número 0095 y Acta de Cabildo número 054/2023, de fecha 13 de enero de 2023; en la cual se encuentra el Acuerdo de Cabildo número 054/2023 de fecha 13 de enero de 2023 donde se localiza el acuerdo de cabildo número 0329, en relación a la solicitud de crédito. Sin embargo, corresponde a un contexto que no </w:t>
      </w:r>
      <w:r>
        <w:rPr>
          <w:rFonts w:ascii="Palatino Linotype" w:eastAsia="Palatino Linotype" w:hAnsi="Palatino Linotype" w:cs="Palatino Linotype"/>
        </w:rPr>
        <w:lastRenderedPageBreak/>
        <w:t>se puede comprobar en razón de que se reitera, se omitió adjuntar el acta de cabildo a que se hace alusión.</w:t>
      </w:r>
    </w:p>
    <w:p w14:paraId="23D4EE27" w14:textId="77777777" w:rsidR="001C1ECC" w:rsidRDefault="001C1ECC">
      <w:pPr>
        <w:spacing w:line="360" w:lineRule="auto"/>
        <w:ind w:left="360"/>
        <w:jc w:val="both"/>
        <w:rPr>
          <w:rFonts w:ascii="Palatino Linotype" w:eastAsia="Palatino Linotype" w:hAnsi="Palatino Linotype" w:cs="Palatino Linotype"/>
        </w:rPr>
      </w:pPr>
    </w:p>
    <w:p w14:paraId="3AC110B4"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En esa tesitura es que resulta dable omitir un análisis pormenorizado de la fuente obligacional del Sujeto Obligado para determinar si genera, posee o administra lo solicitado; toda vez que de manera expresa reconoce que la generó, posee y administra. Sin embargo no es óbice para realizar las siguientes precisiones.</w:t>
      </w:r>
    </w:p>
    <w:p w14:paraId="1BAAAE9F" w14:textId="77777777" w:rsidR="001C1ECC" w:rsidRDefault="001C1ECC">
      <w:pPr>
        <w:spacing w:line="360" w:lineRule="auto"/>
        <w:jc w:val="both"/>
        <w:rPr>
          <w:rFonts w:ascii="Palatino Linotype" w:eastAsia="Palatino Linotype" w:hAnsi="Palatino Linotype" w:cs="Palatino Linotype"/>
        </w:rPr>
      </w:pPr>
    </w:p>
    <w:p w14:paraId="7DF9CC72"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Es preciso traer a colación lo establecido en </w:t>
      </w:r>
      <w:r>
        <w:rPr>
          <w:rFonts w:ascii="Palatino Linotype" w:eastAsia="Palatino Linotype" w:hAnsi="Palatino Linotype" w:cs="Palatino Linotype"/>
          <w:i/>
        </w:rPr>
        <w:t xml:space="preserve">la Constitución Política de los Estados Unidos Mexicanos </w:t>
      </w:r>
      <w:r>
        <w:rPr>
          <w:rFonts w:ascii="Palatino Linotype" w:eastAsia="Palatino Linotype" w:hAnsi="Palatino Linotype" w:cs="Palatino Linotype"/>
        </w:rPr>
        <w:t>en el artículo 115 fracciones I y II, a saber:</w:t>
      </w:r>
    </w:p>
    <w:p w14:paraId="73252493" w14:textId="77777777" w:rsidR="001C1ECC" w:rsidRDefault="00A92FC8">
      <w:pPr>
        <w:spacing w:before="240" w:after="240"/>
        <w:ind w:left="567"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115.</w:t>
      </w:r>
      <w:r>
        <w:rPr>
          <w:rFonts w:ascii="Palatino Linotype" w:eastAsia="Palatino Linotype" w:hAnsi="Palatino Linotype" w:cs="Palatino Linotype"/>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2F922A5" w14:textId="77777777" w:rsidR="001C1ECC" w:rsidRDefault="00A92FC8">
      <w:pPr>
        <w:spacing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5AB30EE6" w14:textId="77777777" w:rsidR="001C1ECC" w:rsidRDefault="00A92FC8">
      <w:pPr>
        <w:spacing w:after="120"/>
        <w:ind w:left="567"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24F6A3E" w14:textId="77777777" w:rsidR="001C1ECC" w:rsidRDefault="00A92FC8">
      <w:pPr>
        <w:pBdr>
          <w:top w:val="nil"/>
          <w:left w:val="nil"/>
          <w:bottom w:val="nil"/>
          <w:right w:val="nil"/>
          <w:between w:val="nil"/>
        </w:pBdr>
        <w:spacing w:after="120"/>
        <w:ind w:left="567" w:right="90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II. </w:t>
      </w:r>
      <w:r>
        <w:rPr>
          <w:rFonts w:ascii="Palatino Linotype" w:eastAsia="Palatino Linotype" w:hAnsi="Palatino Linotype" w:cs="Palatino Linotype"/>
          <w:i/>
          <w:color w:val="000000"/>
          <w:sz w:val="22"/>
          <w:szCs w:val="22"/>
        </w:rPr>
        <w:t xml:space="preserve">Los municipios estarán investidos de personalidad jurídica y manejarán su patrimonio conforme a la ley. </w:t>
      </w:r>
    </w:p>
    <w:p w14:paraId="5BAB9A73" w14:textId="77777777" w:rsidR="001C1ECC" w:rsidRDefault="001C1ECC">
      <w:pPr>
        <w:pBdr>
          <w:top w:val="nil"/>
          <w:left w:val="nil"/>
          <w:bottom w:val="nil"/>
          <w:right w:val="nil"/>
          <w:between w:val="nil"/>
        </w:pBdr>
        <w:spacing w:after="120"/>
        <w:ind w:left="567" w:right="902"/>
        <w:jc w:val="both"/>
        <w:rPr>
          <w:rFonts w:ascii="Palatino Linotype" w:eastAsia="Palatino Linotype" w:hAnsi="Palatino Linotype" w:cs="Palatino Linotype"/>
          <w:i/>
          <w:color w:val="000000"/>
        </w:rPr>
      </w:pPr>
    </w:p>
    <w:p w14:paraId="61510405"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Del texto transcrito se advierte que los municipios son la base de la división territorial de los Estados, mismos que serán gobernados por un Ayuntamiento de elección popular, compuesto por un Presidente Municipal y el número de regidores </w:t>
      </w:r>
      <w:r>
        <w:rPr>
          <w:rFonts w:ascii="Palatino Linotype" w:eastAsia="Palatino Linotype" w:hAnsi="Palatino Linotype" w:cs="Palatino Linotype"/>
        </w:rPr>
        <w:lastRenderedPageBreak/>
        <w:t>y síndicos que la ley determine, los cuales estarán investidos de personalidad jurídica y patrimonio propio.</w:t>
      </w:r>
    </w:p>
    <w:p w14:paraId="7C141046" w14:textId="77777777" w:rsidR="001C1ECC" w:rsidRDefault="001C1ECC">
      <w:pPr>
        <w:spacing w:line="360" w:lineRule="auto"/>
        <w:jc w:val="both"/>
        <w:rPr>
          <w:rFonts w:ascii="Palatino Linotype" w:eastAsia="Palatino Linotype" w:hAnsi="Palatino Linotype" w:cs="Palatino Linotype"/>
        </w:rPr>
      </w:pPr>
    </w:p>
    <w:p w14:paraId="28C1532E"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Por su parte, la Constitución Política del Estado Libre y Soberano de México</w:t>
      </w:r>
      <w:r>
        <w:rPr>
          <w:rFonts w:ascii="Palatino Linotype" w:eastAsia="Palatino Linotype" w:hAnsi="Palatino Linotype" w:cs="Palatino Linotype"/>
          <w:i/>
        </w:rPr>
        <w:t>,</w:t>
      </w:r>
      <w:r>
        <w:rPr>
          <w:rFonts w:ascii="Palatino Linotype" w:eastAsia="Palatino Linotype" w:hAnsi="Palatino Linotype" w:cs="Palatino Linotype"/>
        </w:rPr>
        <w:t xml:space="preserve"> reconoce en su artículo 112, a los Municipios como la base de la división territorial y organización política y administrativa del Estado, además de establecer las funciones y atribuciones contenidas en la Constitución Federal, cuestiones que no se pasaron por alto al emitir la Ley Orgánica Municipal del Estado de México, en virtud de que la misma, acoge lo establecido por las Constituciones en comento, al incluir al municipio libre como la base de la división territorial y de la organización política del Estado, el cual es gobernado en su régimen interior y en la administración de su hacienda pública por un Ayuntamiento de elección popular directa, integrado por un Presidente Municipal, y el número de regidores y síndicos que la ley determine, quienes tomarán sus decisiones mediante asamblea deliberante, de conformidad con el párrafo primero del artículo 116 de la Constitución Política del Estado Libre y Soberano de México</w:t>
      </w:r>
      <w:r>
        <w:rPr>
          <w:rFonts w:ascii="Palatino Linotype" w:eastAsia="Palatino Linotype" w:hAnsi="Palatino Linotype" w:cs="Palatino Linotype"/>
          <w:i/>
        </w:rPr>
        <w:t xml:space="preserve">, </w:t>
      </w:r>
      <w:r>
        <w:rPr>
          <w:rFonts w:ascii="Palatino Linotype" w:eastAsia="Palatino Linotype" w:hAnsi="Palatino Linotype" w:cs="Palatino Linotype"/>
        </w:rPr>
        <w:t>a saber:</w:t>
      </w:r>
    </w:p>
    <w:p w14:paraId="1BA0C808"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116</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ayuntamientos serán asamblea deliberante</w:t>
      </w:r>
      <w:r>
        <w:rPr>
          <w:rFonts w:ascii="Palatino Linotype" w:eastAsia="Palatino Linotype" w:hAnsi="Palatino Linotype" w:cs="Palatino Linotype"/>
          <w:i/>
          <w:sz w:val="22"/>
          <w:szCs w:val="22"/>
        </w:rPr>
        <w:t xml:space="preserve"> y </w:t>
      </w:r>
      <w:r>
        <w:rPr>
          <w:rFonts w:ascii="Palatino Linotype" w:eastAsia="Palatino Linotype" w:hAnsi="Palatino Linotype" w:cs="Palatino Linotype"/>
          <w:b/>
          <w:i/>
          <w:sz w:val="22"/>
          <w:szCs w:val="22"/>
        </w:rPr>
        <w:t>tendrán autoridad y competencia propias en los asuntos que se sometan a su decisión</w:t>
      </w:r>
      <w:r>
        <w:rPr>
          <w:rFonts w:ascii="Palatino Linotype" w:eastAsia="Palatino Linotype" w:hAnsi="Palatino Linotype" w:cs="Palatino Linotype"/>
          <w:i/>
          <w:sz w:val="22"/>
          <w:szCs w:val="22"/>
        </w:rPr>
        <w:t>, pero la ejecución de esta corresponderá exclusivamente a los presidentes municipales, quienes durarán en sus funciones tres años.”</w:t>
      </w:r>
    </w:p>
    <w:p w14:paraId="022696DA" w14:textId="77777777" w:rsidR="001C1ECC" w:rsidRDefault="001C1ECC">
      <w:pPr>
        <w:spacing w:before="120" w:after="120"/>
        <w:ind w:left="851" w:right="900"/>
        <w:jc w:val="both"/>
        <w:rPr>
          <w:rFonts w:ascii="Palatino Linotype" w:eastAsia="Palatino Linotype" w:hAnsi="Palatino Linotype" w:cs="Palatino Linotype"/>
          <w:i/>
        </w:rPr>
      </w:pPr>
    </w:p>
    <w:p w14:paraId="1D75E8A9"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Por su parte, la Ley Orgánica Municipal del Estado de México, establece en sus artículos 28, 29, 30, 48 y 91, en su parte conducente, lo siguiente:</w:t>
      </w:r>
    </w:p>
    <w:p w14:paraId="4F6B6F77"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28</w:t>
      </w:r>
      <w:r>
        <w:rPr>
          <w:rFonts w:ascii="Palatino Linotype" w:eastAsia="Palatino Linotype" w:hAnsi="Palatino Linotype" w:cs="Palatino Linotype"/>
          <w:i/>
          <w:sz w:val="22"/>
          <w:szCs w:val="22"/>
        </w:rPr>
        <w:t xml:space="preserve">.- Los ayuntamientos sesionarán cuando menos una vez cada ocho días o cuantas veces sea necesario en asuntos de urgente resolución, a petición de </w:t>
      </w:r>
      <w:r>
        <w:rPr>
          <w:rFonts w:ascii="Palatino Linotype" w:eastAsia="Palatino Linotype" w:hAnsi="Palatino Linotype" w:cs="Palatino Linotype"/>
          <w:i/>
          <w:sz w:val="22"/>
          <w:szCs w:val="22"/>
        </w:rPr>
        <w:lastRenderedPageBreak/>
        <w:t xml:space="preserve">la mayoría de sus miembros y podrán declararse en sesión permanente cuando la importancia del asunto lo requiera. </w:t>
      </w:r>
    </w:p>
    <w:p w14:paraId="67A0116D"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2C983B4"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29.</w:t>
      </w:r>
      <w:r>
        <w:rPr>
          <w:rFonts w:ascii="Palatino Linotype" w:eastAsia="Palatino Linotype" w:hAnsi="Palatino Linotype" w:cs="Palatino Linotype"/>
          <w:i/>
          <w:sz w:val="22"/>
          <w:szCs w:val="22"/>
        </w:rPr>
        <w:t xml:space="preserve">- Los ayuntamientos podrán sesionar con la asistencia de la mayoría de sus integrantes y sus acuerdos se tomarán por mayoría de votos de sus miembros presentes. </w:t>
      </w:r>
    </w:p>
    <w:p w14:paraId="07CE4299"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Quien presida la sesión, tendrá voto de calidad.</w:t>
      </w:r>
    </w:p>
    <w:p w14:paraId="0EDD8F86"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4D7CB07"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30.</w:t>
      </w:r>
      <w:r>
        <w:rPr>
          <w:rFonts w:ascii="Palatino Linotype" w:eastAsia="Palatino Linotype" w:hAnsi="Palatino Linotype" w:cs="Palatino Linotype"/>
          <w:i/>
          <w:sz w:val="22"/>
          <w:szCs w:val="22"/>
        </w:rPr>
        <w:t xml:space="preserve"> 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w:t>
      </w:r>
    </w:p>
    <w:p w14:paraId="4594C7D0"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7C246E2"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48.-</w:t>
      </w:r>
      <w:r>
        <w:rPr>
          <w:rFonts w:ascii="Palatino Linotype" w:eastAsia="Palatino Linotype" w:hAnsi="Palatino Linotype" w:cs="Palatino Linotype"/>
          <w:i/>
          <w:sz w:val="22"/>
          <w:szCs w:val="22"/>
        </w:rPr>
        <w:t xml:space="preserve"> El presidente municipal tiene las siguientes atribuciones:</w:t>
      </w:r>
    </w:p>
    <w:p w14:paraId="73264183"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DAC30B5" w14:textId="77777777" w:rsidR="001C1ECC" w:rsidRDefault="00A92FC8">
      <w:pPr>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Convocar a sesiones ordinarias y extraordinarias a los integrantes del ayuntamiento;</w:t>
      </w:r>
    </w:p>
    <w:p w14:paraId="71D55BCE"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w:t>
      </w:r>
    </w:p>
    <w:p w14:paraId="212FD5B0" w14:textId="77777777" w:rsidR="001C1ECC" w:rsidRDefault="00A92FC8">
      <w:pPr>
        <w:spacing w:before="120" w:after="120"/>
        <w:ind w:left="851"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La </w:t>
      </w:r>
      <w:r>
        <w:rPr>
          <w:rFonts w:ascii="Palatino Linotype" w:eastAsia="Palatino Linotype" w:hAnsi="Palatino Linotype" w:cs="Palatino Linotype"/>
          <w:b/>
          <w:i/>
          <w:sz w:val="22"/>
          <w:szCs w:val="22"/>
        </w:rPr>
        <w:t>Secretaría del Ayuntamiento</w:t>
      </w:r>
      <w:r>
        <w:rPr>
          <w:rFonts w:ascii="Palatino Linotype" w:eastAsia="Palatino Linotype" w:hAnsi="Palatino Linotype" w:cs="Palatino Linotype"/>
          <w:i/>
          <w:sz w:val="22"/>
          <w:szCs w:val="22"/>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4325917C" w14:textId="77777777" w:rsidR="001C1ECC" w:rsidRDefault="00A92FC8">
      <w:pPr>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Asistir a las sesiones del ayuntamiento y levantar las actas correspondientes; </w:t>
      </w:r>
    </w:p>
    <w:p w14:paraId="134B2601" w14:textId="77777777" w:rsidR="001C1ECC" w:rsidRDefault="00A92FC8">
      <w:pPr>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4FDB3AD" w14:textId="77777777" w:rsidR="001C1ECC" w:rsidRDefault="00A92FC8">
      <w:pPr>
        <w:spacing w:before="120" w:after="120"/>
        <w:ind w:left="993"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IV.</w:t>
      </w:r>
      <w:r>
        <w:rPr>
          <w:rFonts w:ascii="Palatino Linotype" w:eastAsia="Palatino Linotype" w:hAnsi="Palatino Linotype" w:cs="Palatino Linotype"/>
          <w:i/>
          <w:sz w:val="22"/>
          <w:szCs w:val="22"/>
        </w:rPr>
        <w:t xml:space="preserve"> Llevar y conservar los libros de actas de cabildo, obteniendo las firmas de los asistentes a las sesiones;”</w:t>
      </w:r>
    </w:p>
    <w:p w14:paraId="53E2E058" w14:textId="77777777" w:rsidR="001C1ECC" w:rsidRDefault="001C1ECC">
      <w:pPr>
        <w:spacing w:before="120" w:after="120"/>
        <w:ind w:left="993" w:right="900"/>
        <w:jc w:val="both"/>
        <w:rPr>
          <w:rFonts w:ascii="Palatino Linotype" w:eastAsia="Palatino Linotype" w:hAnsi="Palatino Linotype" w:cs="Palatino Linotype"/>
          <w:i/>
        </w:rPr>
      </w:pPr>
    </w:p>
    <w:p w14:paraId="41C56A68"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De lo anterior se desprende que cada sesión del ayuntamiento, ya sea ordinaria o extraordinaria, </w:t>
      </w:r>
      <w:r>
        <w:rPr>
          <w:rFonts w:ascii="Palatino Linotype" w:eastAsia="Palatino Linotype" w:hAnsi="Palatino Linotype" w:cs="Palatino Linotype"/>
          <w:b/>
        </w:rPr>
        <w:t>debe elaborarse el acta correspondiente, misma que debe contener los acuerdos, asuntos tratados y el resultado de la votación</w:t>
      </w:r>
      <w:r>
        <w:rPr>
          <w:rFonts w:ascii="Palatino Linotype" w:eastAsia="Palatino Linotype" w:hAnsi="Palatino Linotype" w:cs="Palatino Linotype"/>
        </w:rPr>
        <w:t>, función que le corresponde al Secretario del Ayuntamiento, quien además deberá llevar y conservar el libro de las actas de cabildo con un extracto de las mismas</w:t>
      </w:r>
    </w:p>
    <w:p w14:paraId="4D8FFAD6" w14:textId="77777777" w:rsidR="001C1ECC" w:rsidRDefault="001C1ECC">
      <w:pPr>
        <w:spacing w:line="360" w:lineRule="auto"/>
        <w:jc w:val="both"/>
        <w:rPr>
          <w:rFonts w:ascii="Palatino Linotype" w:eastAsia="Palatino Linotype" w:hAnsi="Palatino Linotype" w:cs="Palatino Linotype"/>
        </w:rPr>
      </w:pPr>
    </w:p>
    <w:p w14:paraId="2796C287"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Por otro lado, no debe perderse de vista el contenido de los artículos 92 fracción L y 94 fracción II inciso b) de la Ley de Transparencia y Acceso a la Información Pública del Estado de México y Municipios</w:t>
      </w:r>
      <w:r>
        <w:rPr>
          <w:rFonts w:ascii="Palatino Linotype" w:eastAsia="Palatino Linotype" w:hAnsi="Palatino Linotype" w:cs="Palatino Linotype"/>
          <w:i/>
        </w:rPr>
        <w:t>,</w:t>
      </w:r>
      <w:r>
        <w:rPr>
          <w:rFonts w:ascii="Palatino Linotype" w:eastAsia="Palatino Linotype" w:hAnsi="Palatino Linotype" w:cs="Palatino Linotype"/>
        </w:rPr>
        <w:t xml:space="preserve"> a saber:</w:t>
      </w:r>
    </w:p>
    <w:p w14:paraId="5DB18644"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sujetos obligados</w:t>
      </w:r>
      <w:r>
        <w:rPr>
          <w:rFonts w:ascii="Palatino Linotype" w:eastAsia="Palatino Linotype" w:hAnsi="Palatino Linotype" w:cs="Palatino Linotype"/>
          <w:i/>
          <w:sz w:val="22"/>
          <w:szCs w:val="22"/>
        </w:rPr>
        <w:t xml:space="preserve">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E78B4A4"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7B704E4"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actas de sesiones ordinarias y extraordinarias</w:t>
      </w:r>
      <w:r>
        <w:rPr>
          <w:rFonts w:ascii="Palatino Linotype" w:eastAsia="Palatino Linotype" w:hAnsi="Palatino Linotype" w:cs="Palatino Linotype"/>
          <w:i/>
          <w:sz w:val="22"/>
          <w:szCs w:val="22"/>
        </w:rPr>
        <w:t>, así como las opiniones y recomendaciones de los consejos consultivos;</w:t>
      </w:r>
    </w:p>
    <w:p w14:paraId="43438ED9"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11CBE397"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94.</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Además de las obligaciones de transparencia común</w:t>
      </w:r>
      <w:r>
        <w:rPr>
          <w:rFonts w:ascii="Palatino Linotype" w:eastAsia="Palatino Linotype" w:hAnsi="Palatino Linotype" w:cs="Palatino Linotype"/>
          <w:i/>
          <w:sz w:val="22"/>
          <w:szCs w:val="22"/>
        </w:rPr>
        <w:t xml:space="preserve"> a que se refiere el Capítulo II de este Título, </w:t>
      </w:r>
      <w:r>
        <w:rPr>
          <w:rFonts w:ascii="Palatino Linotype" w:eastAsia="Palatino Linotype" w:hAnsi="Palatino Linotype" w:cs="Palatino Linotype"/>
          <w:b/>
          <w:i/>
          <w:sz w:val="22"/>
          <w:szCs w:val="22"/>
        </w:rPr>
        <w:t>los sujetos obligados</w:t>
      </w:r>
      <w:r>
        <w:rPr>
          <w:rFonts w:ascii="Palatino Linotype" w:eastAsia="Palatino Linotype" w:hAnsi="Palatino Linotype" w:cs="Palatino Linotype"/>
          <w:i/>
          <w:sz w:val="22"/>
          <w:szCs w:val="22"/>
        </w:rPr>
        <w:t xml:space="preserve"> del Poder Ejecutivo Local y </w:t>
      </w:r>
      <w:r>
        <w:rPr>
          <w:rFonts w:ascii="Palatino Linotype" w:eastAsia="Palatino Linotype" w:hAnsi="Palatino Linotype" w:cs="Palatino Linotype"/>
          <w:b/>
          <w:i/>
          <w:sz w:val="22"/>
          <w:szCs w:val="22"/>
        </w:rPr>
        <w:t>municipale</w:t>
      </w:r>
      <w:r>
        <w:rPr>
          <w:rFonts w:ascii="Palatino Linotype" w:eastAsia="Palatino Linotype" w:hAnsi="Palatino Linotype" w:cs="Palatino Linotype"/>
          <w:i/>
          <w:sz w:val="22"/>
          <w:szCs w:val="22"/>
        </w:rPr>
        <w:t>s, deberán poner a disposición del público y actualizar la siguiente información:</w:t>
      </w:r>
    </w:p>
    <w:p w14:paraId="55E6D9A4"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43854DA"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Adicionalmente en el caso de los municipios</w:t>
      </w:r>
      <w:r>
        <w:rPr>
          <w:rFonts w:ascii="Palatino Linotype" w:eastAsia="Palatino Linotype" w:hAnsi="Palatino Linotype" w:cs="Palatino Linotype"/>
          <w:i/>
          <w:sz w:val="22"/>
          <w:szCs w:val="22"/>
        </w:rPr>
        <w:t xml:space="preserve">: </w:t>
      </w:r>
    </w:p>
    <w:p w14:paraId="501BF4BA"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5B8872FD" w14:textId="77777777" w:rsidR="001C1ECC" w:rsidRDefault="00A92FC8">
      <w:pPr>
        <w:ind w:left="709"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actas de sesiones de cabildo</w:t>
      </w:r>
      <w:r>
        <w:rPr>
          <w:rFonts w:ascii="Palatino Linotype" w:eastAsia="Palatino Linotype" w:hAnsi="Palatino Linotype" w:cs="Palatino Linotype"/>
          <w:i/>
          <w:sz w:val="22"/>
          <w:szCs w:val="22"/>
        </w:rPr>
        <w:t>, los controles de asistencia de los integrantes del Ayuntamiento a las sesiones de cabildo y el sentido de votación de los miembros del cabildo sobre las iniciativas o acuerdos;”</w:t>
      </w:r>
    </w:p>
    <w:p w14:paraId="1CB03193" w14:textId="77777777" w:rsidR="001C1ECC" w:rsidRDefault="001C1ECC">
      <w:pPr>
        <w:ind w:left="709" w:right="902"/>
        <w:jc w:val="both"/>
        <w:rPr>
          <w:rFonts w:ascii="Palatino Linotype" w:eastAsia="Palatino Linotype" w:hAnsi="Palatino Linotype" w:cs="Palatino Linotype"/>
          <w:i/>
        </w:rPr>
      </w:pPr>
    </w:p>
    <w:p w14:paraId="2E6A89D4"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lastRenderedPageBreak/>
        <w:t xml:space="preserve">De lo anterior se advierte que los municipios deben hacer pública como parte de sus obligaciones de transparencia comunes y específicas, de manera actualizada, además de los controles de asistencia y el sentido de la votación de los miembros del cabildo sobre las iniciativas o acuerdos, las actas de las sesiones de cabildo ordinarias y extraordinarias, información que se traduce en lo requerido por la parte </w:t>
      </w:r>
      <w:r>
        <w:rPr>
          <w:rFonts w:ascii="Palatino Linotype" w:eastAsia="Palatino Linotype" w:hAnsi="Palatino Linotype" w:cs="Palatino Linotype"/>
          <w:b/>
        </w:rPr>
        <w:t>Recurrente</w:t>
      </w:r>
      <w:r>
        <w:rPr>
          <w:rFonts w:ascii="Palatino Linotype" w:eastAsia="Palatino Linotype" w:hAnsi="Palatino Linotype" w:cs="Palatino Linotype"/>
        </w:rPr>
        <w:t>, por lo que en relatadas circunstancia resulta procedente ordenar la multicitada Acta de  Cabildo.</w:t>
      </w:r>
    </w:p>
    <w:p w14:paraId="4836510C" w14:textId="77777777" w:rsidR="001C1ECC" w:rsidRDefault="001C1ECC">
      <w:pPr>
        <w:spacing w:line="360" w:lineRule="auto"/>
        <w:jc w:val="both"/>
        <w:rPr>
          <w:rFonts w:ascii="Palatino Linotype" w:eastAsia="Palatino Linotype" w:hAnsi="Palatino Linotype" w:cs="Palatino Linotype"/>
        </w:rPr>
      </w:pPr>
    </w:p>
    <w:p w14:paraId="66D01AB0"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Continuamente, deviene la solicitud de información relativa a los comprobantes de pago realizados a la institución financiera, desde la fecha de contratación al 30 de junio 2023, a la que recayó similar respuesta, al aceptar de manera expresa que se genera, posee y administra lo solicitado; toda vez que puntualmente se manifiesta que se remiten los pagos y constancias de no adeudo por parte de la Tesorera de pago. No obstante de las constancias que obran en la respuesta emitida, se advierte que el Sujeto Obligado fue omiso en adjuntar el soporte documental de referencia, por lo que concatenado con la solicitud anterior, es evidente que resulta dable ordenar la información de mérito.</w:t>
      </w:r>
    </w:p>
    <w:p w14:paraId="589CD044" w14:textId="77777777" w:rsidR="001C1ECC" w:rsidRDefault="001C1ECC">
      <w:pPr>
        <w:pBdr>
          <w:top w:val="nil"/>
          <w:left w:val="nil"/>
          <w:bottom w:val="nil"/>
          <w:right w:val="nil"/>
          <w:between w:val="nil"/>
        </w:pBdr>
        <w:ind w:left="720"/>
        <w:rPr>
          <w:rFonts w:ascii="Palatino Linotype" w:eastAsia="Palatino Linotype" w:hAnsi="Palatino Linotype" w:cs="Palatino Linotype"/>
          <w:color w:val="000000"/>
        </w:rPr>
      </w:pPr>
    </w:p>
    <w:p w14:paraId="12EEA3FC"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En virtud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w:t>
      </w:r>
      <w:r>
        <w:rPr>
          <w:rFonts w:ascii="Palatino Linotype" w:eastAsia="Palatino Linotype" w:hAnsi="Palatino Linotype" w:cs="Palatino Linotype"/>
        </w:rPr>
        <w:lastRenderedPageBreak/>
        <w:t xml:space="preserve">visual, electrónico, informático u holográfico, de conformidad con el artículo 3, fracción XI de la Ley de la materia, el cual dispone lo siguiente: </w:t>
      </w:r>
    </w:p>
    <w:p w14:paraId="6815C7DF" w14:textId="77777777" w:rsidR="001C1ECC" w:rsidRDefault="00A92FC8">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entenderá por:</w:t>
      </w:r>
    </w:p>
    <w:p w14:paraId="26A1A13C" w14:textId="77777777" w:rsidR="001C1ECC" w:rsidRDefault="00A92FC8">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1B351DE" w14:textId="77777777" w:rsidR="001C1ECC" w:rsidRDefault="001C1ECC">
      <w:pPr>
        <w:ind w:left="851" w:right="901"/>
        <w:jc w:val="both"/>
        <w:rPr>
          <w:rFonts w:ascii="Palatino Linotype" w:eastAsia="Palatino Linotype" w:hAnsi="Palatino Linotype" w:cs="Palatino Linotype"/>
          <w:i/>
        </w:rPr>
      </w:pPr>
    </w:p>
    <w:p w14:paraId="775867AB"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En el caso que nos ocupa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58E09E7" w14:textId="77777777" w:rsidR="001C1ECC" w:rsidRDefault="00A92FC8">
      <w:pPr>
        <w:ind w:left="851" w:right="901"/>
        <w:jc w:val="center"/>
        <w:rPr>
          <w:rFonts w:ascii="Palatino Linotype" w:eastAsia="Palatino Linotype" w:hAnsi="Palatino Linotype" w:cs="Palatino Linotype"/>
          <w:b/>
          <w:i/>
          <w:sz w:val="22"/>
          <w:szCs w:val="22"/>
        </w:rPr>
      </w:pPr>
      <w:r>
        <w:rPr>
          <w:rFonts w:ascii="Palatino Linotype" w:eastAsia="Palatino Linotype" w:hAnsi="Palatino Linotype" w:cs="Palatino Linotype"/>
          <w:sz w:val="22"/>
          <w:szCs w:val="22"/>
        </w:rPr>
        <w:t>“</w:t>
      </w:r>
      <w:r>
        <w:rPr>
          <w:rFonts w:ascii="Palatino Linotype" w:eastAsia="Palatino Linotype" w:hAnsi="Palatino Linotype" w:cs="Palatino Linotype"/>
          <w:b/>
          <w:i/>
          <w:sz w:val="22"/>
          <w:szCs w:val="22"/>
        </w:rPr>
        <w:t>CRITERIO 0002-11</w:t>
      </w:r>
    </w:p>
    <w:p w14:paraId="051EA349" w14:textId="77777777" w:rsidR="001C1ECC" w:rsidRDefault="00A92FC8">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36ADC20" w14:textId="77777777" w:rsidR="001C1ECC" w:rsidRDefault="00A92FC8">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58B585F" w14:textId="77777777" w:rsidR="001C1ECC" w:rsidRDefault="00A92FC8">
      <w:pPr>
        <w:ind w:left="851" w:right="901"/>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1) Que se trate de información registrada en cualquier soporte documental, que en ejercicio de las atribuciones conferidas, sea generada por los Sujetos Obligados;</w:t>
      </w:r>
    </w:p>
    <w:p w14:paraId="3DC9F673" w14:textId="77777777" w:rsidR="001C1ECC" w:rsidRDefault="00A92FC8">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Que se trate de </w:t>
      </w:r>
      <w:r>
        <w:rPr>
          <w:rFonts w:ascii="Palatino Linotype" w:eastAsia="Palatino Linotype" w:hAnsi="Palatino Linotype" w:cs="Palatino Linotype"/>
          <w:b/>
          <w:i/>
          <w:sz w:val="22"/>
          <w:szCs w:val="22"/>
          <w:u w:val="single"/>
        </w:rPr>
        <w:t>información</w:t>
      </w:r>
      <w:r>
        <w:rPr>
          <w:rFonts w:ascii="Palatino Linotype" w:eastAsia="Palatino Linotype" w:hAnsi="Palatino Linotype" w:cs="Palatino Linotype"/>
          <w:i/>
          <w:sz w:val="22"/>
          <w:szCs w:val="22"/>
        </w:rPr>
        <w:t xml:space="preserve"> registrada en cualquier soporte documental, que en ejercicio de las atribuciones conferidas, sea administrada por los Sujetos Obligados, y</w:t>
      </w:r>
    </w:p>
    <w:p w14:paraId="08006DA0" w14:textId="77777777" w:rsidR="001C1ECC" w:rsidRDefault="00A92FC8">
      <w:pPr>
        <w:ind w:left="851" w:right="90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3) Que se trate de información registrada en cualquier soporte documental, que en ejercicio de las atribuciones conferidas, se encuentre en posesión de los Sujetos Obligados.”</w:t>
      </w:r>
    </w:p>
    <w:p w14:paraId="137A506B" w14:textId="77777777" w:rsidR="001C1ECC" w:rsidRDefault="00A92FC8">
      <w:pPr>
        <w:ind w:left="851" w:right="9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566BE2AD" w14:textId="77777777" w:rsidR="001C1ECC" w:rsidRDefault="001C1ECC">
      <w:pPr>
        <w:spacing w:line="360" w:lineRule="auto"/>
        <w:jc w:val="both"/>
        <w:rPr>
          <w:rFonts w:ascii="Palatino Linotype" w:eastAsia="Palatino Linotype" w:hAnsi="Palatino Linotype" w:cs="Palatino Linotype"/>
        </w:rPr>
      </w:pPr>
    </w:p>
    <w:p w14:paraId="03E3DD78"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Seguidamente, aparece la solicitud de información relativa al destino de los $42,000,000.00 (cuarenta y dos millones de pesos) objeto del crédito otorgado, a la cual recayó una respuesta emitida por la Tesorera Municipal señalado que el destino de los recursos es cubrir necesidades originadas por insuficiencia de liquidez de carácter temporal tal como se establece en el Acta de Cabildo.</w:t>
      </w:r>
    </w:p>
    <w:p w14:paraId="57B3F72B" w14:textId="77777777" w:rsidR="001C1ECC" w:rsidRDefault="001C1ECC">
      <w:pPr>
        <w:spacing w:line="360" w:lineRule="auto"/>
        <w:jc w:val="both"/>
        <w:rPr>
          <w:rFonts w:ascii="Palatino Linotype" w:eastAsia="Palatino Linotype" w:hAnsi="Palatino Linotype" w:cs="Palatino Linotype"/>
        </w:rPr>
      </w:pPr>
    </w:p>
    <w:p w14:paraId="2E1E1DC4"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 xml:space="preserve">Respuesta que se advierte, corresponde a una contestación </w:t>
      </w:r>
      <w:r>
        <w:rPr>
          <w:rFonts w:ascii="Palatino Linotype" w:eastAsia="Palatino Linotype" w:hAnsi="Palatino Linotype" w:cs="Palatino Linotype"/>
          <w:i/>
        </w:rPr>
        <w:t xml:space="preserve">ad hoc. </w:t>
      </w:r>
      <w:r>
        <w:rPr>
          <w:rFonts w:ascii="Palatino Linotype" w:eastAsia="Palatino Linotype" w:hAnsi="Palatino Linotype" w:cs="Palatino Linotype"/>
        </w:rPr>
        <w:t xml:space="preserve">En ese contexto, si bien es cierto los sujetos obligados no se encuentran forzados a generar documentos </w:t>
      </w:r>
      <w:r>
        <w:rPr>
          <w:rFonts w:ascii="Palatino Linotype" w:eastAsia="Palatino Linotype" w:hAnsi="Palatino Linotype" w:cs="Palatino Linotype"/>
          <w:i/>
        </w:rPr>
        <w:t>ad hoc</w:t>
      </w:r>
      <w:r>
        <w:rPr>
          <w:rFonts w:ascii="Palatino Linotype" w:eastAsia="Palatino Linotype" w:hAnsi="Palatino Linotype" w:cs="Palatino Linotype"/>
        </w:rPr>
        <w:t xml:space="preserve"> para atender las solicitudes de información de los </w:t>
      </w:r>
      <w:r>
        <w:rPr>
          <w:rFonts w:ascii="Palatino Linotype" w:eastAsia="Palatino Linotype" w:hAnsi="Palatino Linotype" w:cs="Palatino Linotype"/>
          <w:color w:val="000000"/>
        </w:rPr>
        <w:t>particulares</w:t>
      </w:r>
      <w:r>
        <w:rPr>
          <w:rFonts w:ascii="Palatino Linotype" w:eastAsia="Palatino Linotype" w:hAnsi="Palatino Linotype" w:cs="Palatino Linotype"/>
        </w:rPr>
        <w:t xml:space="preserve"> conforme a sus intereses particulares (como se advierte del caso concreto con el oficio remitido en respuesta), como apoyo a lo anterior, es aplicable por analogía el </w:t>
      </w:r>
      <w:r>
        <w:rPr>
          <w:rFonts w:ascii="Palatino Linotype" w:eastAsia="Palatino Linotype" w:hAnsi="Palatino Linotype" w:cs="Palatino Linotype"/>
          <w:b/>
        </w:rPr>
        <w:t>Criterio 03/17</w:t>
      </w:r>
      <w:r>
        <w:rPr>
          <w:rFonts w:ascii="Palatino Linotype" w:eastAsia="Palatino Linotype" w:hAnsi="Palatino Linotype" w:cs="Palatino Linotype"/>
        </w:rPr>
        <w:t>, emitido por el Pleno del Instituto Nacional de Transparencia, Acceso a la Información y Protección de Datos Personales (INAI), que a la letra dice:</w:t>
      </w:r>
    </w:p>
    <w:p w14:paraId="5468A651" w14:textId="77777777" w:rsidR="001C1ECC" w:rsidRDefault="00A92FC8">
      <w:pPr>
        <w:pBdr>
          <w:top w:val="nil"/>
          <w:left w:val="nil"/>
          <w:bottom w:val="nil"/>
          <w:right w:val="nil"/>
          <w:between w:val="nil"/>
        </w:pBdr>
        <w:ind w:left="567" w:right="61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DC16185" w14:textId="77777777" w:rsidR="001C1ECC" w:rsidRDefault="001C1ECC">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rPr>
      </w:pPr>
    </w:p>
    <w:p w14:paraId="0EC6FAF8"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color w:val="000000"/>
        </w:rPr>
        <w:lastRenderedPageBreak/>
        <w:t>También lo es que</w:t>
      </w:r>
      <w:r>
        <w:rPr>
          <w:rFonts w:ascii="Palatino Linotype" w:eastAsia="Palatino Linotype" w:hAnsi="Palatino Linotype" w:cs="Palatino Linotype"/>
        </w:rPr>
        <w:t xml:space="preserve"> no existe normatividad o precepto legal que lo impida, de modo tal que un pronunciamiento que de atención a lo requerido eventualmente puede colmar el cumplimiento de la presente resolución, lo cual no implica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procese la información.</w:t>
      </w:r>
    </w:p>
    <w:p w14:paraId="0296B2CC" w14:textId="77777777" w:rsidR="001C1ECC" w:rsidRDefault="001C1EC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55E026"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Así </w:t>
      </w:r>
      <w:r>
        <w:rPr>
          <w:rFonts w:ascii="Palatino Linotype" w:eastAsia="Palatino Linotype" w:hAnsi="Palatino Linotype" w:cs="Palatino Linotype"/>
          <w:color w:val="000000"/>
        </w:rPr>
        <w:t>las</w:t>
      </w:r>
      <w:r>
        <w:rPr>
          <w:rFonts w:ascii="Palatino Linotype" w:eastAsia="Palatino Linotype" w:hAnsi="Palatino Linotype" w:cs="Palatino Linotype"/>
        </w:rPr>
        <w:t xml:space="preserve">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7B84F9CE" w14:textId="77777777" w:rsidR="001C1ECC" w:rsidRDefault="001C1ECC">
      <w:pPr>
        <w:pBdr>
          <w:top w:val="nil"/>
          <w:left w:val="nil"/>
          <w:bottom w:val="nil"/>
          <w:right w:val="nil"/>
          <w:between w:val="nil"/>
        </w:pBdr>
        <w:spacing w:line="360" w:lineRule="auto"/>
        <w:ind w:left="502"/>
        <w:jc w:val="both"/>
        <w:rPr>
          <w:rFonts w:ascii="Palatino Linotype" w:eastAsia="Palatino Linotype" w:hAnsi="Palatino Linotype" w:cs="Palatino Linotype"/>
          <w:i/>
          <w:color w:val="000000"/>
        </w:rPr>
      </w:pPr>
    </w:p>
    <w:p w14:paraId="3770492D"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69B40834" w14:textId="77777777" w:rsidR="001C1ECC" w:rsidRDefault="00A92FC8">
      <w:pPr>
        <w:pBdr>
          <w:top w:val="nil"/>
          <w:left w:val="nil"/>
          <w:bottom w:val="nil"/>
          <w:right w:val="nil"/>
          <w:between w:val="nil"/>
        </w:pBdr>
        <w:ind w:left="505"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12.</w:t>
      </w:r>
      <w:r>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3AABB052" w14:textId="77777777" w:rsidR="001C1ECC" w:rsidRDefault="001C1ECC">
      <w:pPr>
        <w:pBdr>
          <w:top w:val="nil"/>
          <w:left w:val="nil"/>
          <w:bottom w:val="nil"/>
          <w:right w:val="nil"/>
          <w:between w:val="nil"/>
        </w:pBdr>
        <w:ind w:left="505" w:right="567"/>
        <w:jc w:val="both"/>
        <w:rPr>
          <w:rFonts w:ascii="Palatino Linotype" w:eastAsia="Palatino Linotype" w:hAnsi="Palatino Linotype" w:cs="Palatino Linotype"/>
          <w:i/>
          <w:color w:val="000000"/>
          <w:sz w:val="22"/>
          <w:szCs w:val="22"/>
        </w:rPr>
      </w:pPr>
    </w:p>
    <w:p w14:paraId="6798162C" w14:textId="77777777" w:rsidR="001C1ECC" w:rsidRDefault="00A92FC8">
      <w:pPr>
        <w:pBdr>
          <w:top w:val="nil"/>
          <w:left w:val="nil"/>
          <w:bottom w:val="nil"/>
          <w:right w:val="nil"/>
          <w:between w:val="nil"/>
        </w:pBdr>
        <w:ind w:left="505"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szCs w:val="22"/>
        </w:rPr>
        <w:t>”</w:t>
      </w:r>
    </w:p>
    <w:p w14:paraId="509794C3" w14:textId="77777777" w:rsidR="001C1ECC" w:rsidRDefault="00A92FC8">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6232E391" w14:textId="77777777" w:rsidR="001C1ECC" w:rsidRDefault="001C1ECC">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rPr>
      </w:pPr>
    </w:p>
    <w:p w14:paraId="55510CA3"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lastRenderedPageBreak/>
        <w:t xml:space="preserve">En síntesis, el derecho de acceso a la información pública se satisface en aquellos casos en </w:t>
      </w:r>
      <w:r>
        <w:rPr>
          <w:rFonts w:ascii="Palatino Linotype" w:eastAsia="Palatino Linotype" w:hAnsi="Palatino Linotype" w:cs="Palatino Linotype"/>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se</w:t>
      </w:r>
      <w:r>
        <w:rPr>
          <w:rFonts w:ascii="Palatino Linotype" w:eastAsia="Palatino Linotype" w:hAnsi="Palatino Linotype" w:cs="Palatino Linotype"/>
          <w:color w:val="000000"/>
        </w:rPr>
        <w:t xml:space="preserve"> entregue el soporte documental en que conste la información pública. En esa tesitura </w:t>
      </w:r>
      <w:r>
        <w:rPr>
          <w:rFonts w:ascii="Palatino Linotype" w:eastAsia="Palatino Linotype" w:hAnsi="Palatino Linotype" w:cs="Palatino Linotype"/>
          <w:b/>
          <w:color w:val="000000"/>
        </w:rPr>
        <w:t>de acuerdo a lo informado es la propia acta de cabildo, ya que hace puntual mención la Tesorera Municipal, que allí obra el destino de los recursos</w:t>
      </w:r>
      <w:r>
        <w:rPr>
          <w:rFonts w:ascii="Palatino Linotype" w:eastAsia="Palatino Linotype" w:hAnsi="Palatino Linotype" w:cs="Palatino Linotype"/>
          <w:color w:val="000000"/>
        </w:rPr>
        <w:t xml:space="preserve">; soporte documental que ya se ha concluido dable ordenar, por lo que resulta ocioso también ordenar el documento en que conste </w:t>
      </w:r>
      <w:r>
        <w:rPr>
          <w:rFonts w:ascii="Palatino Linotype" w:eastAsia="Palatino Linotype" w:hAnsi="Palatino Linotype" w:cs="Palatino Linotype"/>
        </w:rPr>
        <w:t>y obre</w:t>
      </w:r>
      <w:r>
        <w:rPr>
          <w:rFonts w:ascii="Palatino Linotype" w:eastAsia="Palatino Linotype" w:hAnsi="Palatino Linotype" w:cs="Palatino Linotype"/>
          <w:color w:val="000000"/>
        </w:rPr>
        <w:t xml:space="preserve"> la información en análisis.</w:t>
      </w:r>
    </w:p>
    <w:p w14:paraId="215EB6B0" w14:textId="77777777" w:rsidR="001C1ECC" w:rsidRDefault="001C1ECC">
      <w:pPr>
        <w:spacing w:line="360" w:lineRule="auto"/>
        <w:jc w:val="both"/>
        <w:rPr>
          <w:rFonts w:ascii="Palatino Linotype" w:eastAsia="Palatino Linotype" w:hAnsi="Palatino Linotype" w:cs="Palatino Linotype"/>
          <w:color w:val="000000"/>
        </w:rPr>
      </w:pPr>
    </w:p>
    <w:p w14:paraId="49933FE0" w14:textId="77777777" w:rsidR="001C1ECC" w:rsidRPr="00952942" w:rsidRDefault="00A92FC8">
      <w:pPr>
        <w:numPr>
          <w:ilvl w:val="0"/>
          <w:numId w:val="8"/>
        </w:numPr>
        <w:spacing w:line="360" w:lineRule="auto"/>
        <w:ind w:left="0" w:firstLine="0"/>
        <w:jc w:val="both"/>
        <w:rPr>
          <w:rFonts w:ascii="Palatino Linotype" w:eastAsia="Palatino Linotype" w:hAnsi="Palatino Linotype" w:cs="Palatino Linotype"/>
          <w:b/>
          <w:color w:val="000000"/>
        </w:rPr>
      </w:pPr>
      <w:r w:rsidRPr="00952942">
        <w:rPr>
          <w:rFonts w:ascii="Palatino Linotype" w:eastAsia="Palatino Linotype" w:hAnsi="Palatino Linotype" w:cs="Palatino Linotype"/>
          <w:color w:val="000000"/>
        </w:rPr>
        <w:t>Finalmente no pasa desapercibido que con respecto al pronunciamiento emitido al rubro de referencia. E</w:t>
      </w:r>
      <w:r w:rsidRPr="00952942">
        <w:rPr>
          <w:rFonts w:ascii="Palatino Linotype" w:eastAsia="Palatino Linotype" w:hAnsi="Palatino Linotype" w:cs="Palatino Linotype"/>
        </w:rPr>
        <w:t xml:space="preserve">ste Órgano Garante carece de facultades para dudar de la veracidad de la </w:t>
      </w:r>
      <w:r w:rsidRPr="00952942">
        <w:rPr>
          <w:rFonts w:ascii="Palatino Linotype" w:eastAsia="Palatino Linotype" w:hAnsi="Palatino Linotype" w:cs="Palatino Linotype"/>
          <w:color w:val="000000"/>
        </w:rPr>
        <w:t>respuesta</w:t>
      </w:r>
      <w:r w:rsidRPr="00952942">
        <w:rPr>
          <w:rFonts w:ascii="Palatino Linotype" w:eastAsia="Palatino Linotype" w:hAnsi="Palatino Linotype" w:cs="Palatino Linotype"/>
        </w:rPr>
        <w:t xml:space="preserve"> emitida. Por lo </w:t>
      </w:r>
      <w:r w:rsidR="00444A5C" w:rsidRPr="00952942">
        <w:rPr>
          <w:rFonts w:ascii="Palatino Linotype" w:eastAsia="Palatino Linotype" w:hAnsi="Palatino Linotype" w:cs="Palatino Linotype"/>
        </w:rPr>
        <w:t>anterior resulta</w:t>
      </w:r>
      <w:r w:rsidRPr="00952942">
        <w:rPr>
          <w:rFonts w:ascii="Palatino Linotype" w:eastAsia="Palatino Linotype" w:hAnsi="Palatino Linotype" w:cs="Palatino Linotype"/>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952942">
        <w:rPr>
          <w:rFonts w:ascii="Palatino Linotype" w:eastAsia="Palatino Linotype" w:hAnsi="Palatino Linotype" w:cs="Palatino Linotype"/>
          <w:i/>
          <w:color w:val="000000"/>
        </w:rPr>
        <w:t>máxime</w:t>
      </w:r>
      <w:r w:rsidRPr="00952942">
        <w:rPr>
          <w:rFonts w:ascii="Palatino Linotype" w:eastAsia="Palatino Linotype" w:hAnsi="Palatino Linotype" w:cs="Palatino Linotype"/>
          <w:color w:val="000000"/>
        </w:rPr>
        <w:t xml:space="preserve"> que </w:t>
      </w:r>
      <w:r w:rsidRPr="00952942">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31064839" w14:textId="77777777" w:rsidR="001C1ECC" w:rsidRPr="00952942" w:rsidRDefault="001C1EC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590D6FFF" w14:textId="77777777" w:rsidR="001C1ECC" w:rsidRDefault="00A92FC8">
      <w:pPr>
        <w:numPr>
          <w:ilvl w:val="0"/>
          <w:numId w:val="8"/>
        </w:numPr>
        <w:pBdr>
          <w:top w:val="nil"/>
          <w:left w:val="nil"/>
          <w:bottom w:val="nil"/>
          <w:right w:val="nil"/>
          <w:between w:val="nil"/>
        </w:pBdr>
        <w:tabs>
          <w:tab w:val="left" w:pos="284"/>
        </w:tabs>
        <w:spacing w:line="360" w:lineRule="auto"/>
        <w:ind w:left="0" w:firstLine="0"/>
        <w:jc w:val="both"/>
        <w:rPr>
          <w:color w:val="000000"/>
        </w:rPr>
      </w:pPr>
      <w:r w:rsidRPr="00952942">
        <w:rPr>
          <w:rFonts w:ascii="Palatino Linotype" w:eastAsia="Palatino Linotype" w:hAnsi="Palatino Linotype" w:cs="Palatino Linotype"/>
          <w:color w:val="000000"/>
        </w:rPr>
        <w:t xml:space="preserve">Así mismo, la </w:t>
      </w:r>
      <w:r w:rsidRPr="00952942">
        <w:rPr>
          <w:rFonts w:ascii="Palatino Linotype" w:eastAsia="Palatino Linotype" w:hAnsi="Palatino Linotype" w:cs="Palatino Linotype"/>
          <w:b/>
          <w:color w:val="000000"/>
        </w:rPr>
        <w:t xml:space="preserve">Ley de Transparencia y Acceso a la Información Pública del Estado </w:t>
      </w:r>
      <w:r w:rsidRPr="00952942">
        <w:rPr>
          <w:rFonts w:ascii="Palatino Linotype" w:eastAsia="Palatino Linotype" w:hAnsi="Palatino Linotype" w:cs="Palatino Linotype"/>
          <w:color w:val="000000"/>
        </w:rPr>
        <w:t>de</w:t>
      </w:r>
      <w:r w:rsidRPr="00952942">
        <w:rPr>
          <w:rFonts w:ascii="Palatino Linotype" w:eastAsia="Palatino Linotype" w:hAnsi="Palatino Linotype" w:cs="Palatino Linotype"/>
          <w:b/>
          <w:color w:val="000000"/>
        </w:rPr>
        <w:t xml:space="preserve"> México y Municipios</w:t>
      </w:r>
      <w:r w:rsidRPr="00952942">
        <w:rPr>
          <w:rFonts w:ascii="Palatino Linotype" w:eastAsia="Palatino Linotype" w:hAnsi="Palatino Linotype" w:cs="Palatino Linotype"/>
          <w:color w:val="000000"/>
        </w:rPr>
        <w:t xml:space="preserve"> establece que la información pública generada, administrada o en posesión de los Sujetos Obligados</w:t>
      </w:r>
      <w:r>
        <w:rPr>
          <w:rFonts w:ascii="Palatino Linotype" w:eastAsia="Palatino Linotype" w:hAnsi="Palatino Linotype" w:cs="Palatino Linotype"/>
          <w:color w:val="000000"/>
        </w:rPr>
        <w:t xml:space="preserve"> en ejercicio de sus atribuciones, será accesible de manera permanente a cualquier persona, privilegiando el principio de máxima publicidad de la información, por lo que deberán apegarse en todo </w:t>
      </w:r>
      <w:r>
        <w:rPr>
          <w:rFonts w:ascii="Palatino Linotype" w:eastAsia="Palatino Linotype" w:hAnsi="Palatino Linotype" w:cs="Palatino Linotype"/>
          <w:color w:val="000000"/>
        </w:rPr>
        <w:lastRenderedPageBreak/>
        <w:t>momento a los criterios de publicidad, veracidad, oportunidad entre otros, numeral en comento que a la letra señala;</w:t>
      </w:r>
    </w:p>
    <w:p w14:paraId="738E79CD" w14:textId="77777777" w:rsidR="001C1ECC" w:rsidRDefault="00A92FC8">
      <w:pPr>
        <w:pBdr>
          <w:top w:val="nil"/>
          <w:left w:val="nil"/>
          <w:bottom w:val="nil"/>
          <w:right w:val="nil"/>
          <w:between w:val="nil"/>
        </w:pBdr>
        <w:ind w:left="851" w:right="851"/>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3BE3AA74" w14:textId="77777777" w:rsidR="001418B6" w:rsidRPr="001418B6" w:rsidRDefault="001418B6" w:rsidP="001418B6">
      <w:pPr>
        <w:spacing w:line="360" w:lineRule="auto"/>
        <w:jc w:val="both"/>
        <w:rPr>
          <w:color w:val="000000"/>
        </w:rPr>
      </w:pPr>
    </w:p>
    <w:p w14:paraId="280EFD15"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 xml:space="preserve">Numerales que compelen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apegarse en todo momento a los criterios ya expuestos, impidiendo a este Órgano Colegiado cuestionar la veracidad de la información.</w:t>
      </w:r>
    </w:p>
    <w:p w14:paraId="620FD968" w14:textId="77777777" w:rsidR="001C1ECC" w:rsidRDefault="001C1ECC">
      <w:pPr>
        <w:spacing w:line="360" w:lineRule="auto"/>
        <w:jc w:val="both"/>
        <w:rPr>
          <w:rFonts w:ascii="Palatino Linotype" w:eastAsia="Palatino Linotype" w:hAnsi="Palatino Linotype" w:cs="Palatino Linotype"/>
          <w:color w:val="000000"/>
        </w:rPr>
      </w:pPr>
    </w:p>
    <w:p w14:paraId="15144F43"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Finalmente, aparece la solicitud de información relativa al estado de cuenta emitido por la institución de crédito en el que se aprecie el saldo a pagar al 30 de junio del 2023. Al respecto como ya se hizo el señalamiento, no existió pronunciamiento al respecto; no obstante aun con dicha situación, se colige que el documento de referencia debe existir, pues es natural que luego del otorgamiento deba existir un estado de cuenta en relación al saldo a pagar y del ya abonado; sumado a que la propia Tesorera Municipal, adujo que se remitía soporte documental relativo a constancias de no adeudo.</w:t>
      </w:r>
    </w:p>
    <w:p w14:paraId="47318712" w14:textId="77777777" w:rsidR="001C1ECC" w:rsidRDefault="001C1ECC">
      <w:pPr>
        <w:pBdr>
          <w:top w:val="nil"/>
          <w:left w:val="nil"/>
          <w:bottom w:val="nil"/>
          <w:right w:val="nil"/>
          <w:between w:val="nil"/>
        </w:pBdr>
        <w:ind w:left="720"/>
        <w:rPr>
          <w:rFonts w:ascii="Palatino Linotype" w:eastAsia="Palatino Linotype" w:hAnsi="Palatino Linotype" w:cs="Palatino Linotype"/>
          <w:color w:val="000000"/>
        </w:rPr>
      </w:pPr>
    </w:p>
    <w:p w14:paraId="52178D30"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 xml:space="preserve">Luego entonces, </w:t>
      </w:r>
      <w:r>
        <w:rPr>
          <w:rFonts w:ascii="Palatino Linotype" w:eastAsia="Palatino Linotype" w:hAnsi="Palatino Linotype" w:cs="Palatino Linotype"/>
          <w:color w:val="000000"/>
        </w:rPr>
        <w:t xml:space="preserve">considera que para atender el requerimiento de información,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proporcionar la información solicitada; ya que en </w:t>
      </w:r>
      <w:r>
        <w:rPr>
          <w:rFonts w:ascii="Palatino Linotype" w:eastAsia="Palatino Linotype" w:hAnsi="Palatino Linotype" w:cs="Palatino Linotype"/>
        </w:rPr>
        <w:t xml:space="preserve">donde se transfieren recursos públicos, </w:t>
      </w:r>
      <w:r>
        <w:rPr>
          <w:rFonts w:ascii="Palatino Linotype" w:eastAsia="Palatino Linotype" w:hAnsi="Palatino Linotype" w:cs="Palatino Linotype"/>
          <w:b/>
          <w:u w:val="single"/>
        </w:rPr>
        <w:t>son considerados como información pública</w:t>
      </w:r>
      <w:r>
        <w:rPr>
          <w:rFonts w:ascii="Palatino Linotype" w:eastAsia="Palatino Linotype" w:hAnsi="Palatino Linotype" w:cs="Palatino Linotype"/>
        </w:rPr>
        <w:t xml:space="preserve">, pues su difusión favorece la rendición de cuentas al transparentar la forma en que se </w:t>
      </w:r>
      <w:r>
        <w:rPr>
          <w:rFonts w:ascii="Palatino Linotype" w:eastAsia="Palatino Linotype" w:hAnsi="Palatino Linotype" w:cs="Palatino Linotype"/>
        </w:rPr>
        <w:lastRenderedPageBreak/>
        <w:t>administrar los recursos públicos; situación que se robustece con el Criterio 11/17, del Instituto Nacional de Transparencia, Acceso a la Información y Protección de Datos Personales, que a la letra precisa:</w:t>
      </w:r>
    </w:p>
    <w:p w14:paraId="6C90477F" w14:textId="77777777" w:rsidR="001C1ECC" w:rsidRDefault="00A92FC8">
      <w:pPr>
        <w:tabs>
          <w:tab w:val="left" w:pos="7938"/>
        </w:tabs>
        <w:ind w:left="567" w:right="709"/>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7613C3E7" w14:textId="77777777" w:rsidR="001C1ECC" w:rsidRDefault="001C1ECC">
      <w:pPr>
        <w:tabs>
          <w:tab w:val="left" w:pos="7938"/>
        </w:tabs>
        <w:spacing w:line="360" w:lineRule="auto"/>
        <w:ind w:left="851" w:right="708"/>
        <w:jc w:val="both"/>
        <w:rPr>
          <w:rFonts w:ascii="Palatino Linotype" w:eastAsia="Palatino Linotype" w:hAnsi="Palatino Linotype" w:cs="Palatino Linotype"/>
          <w:i/>
        </w:rPr>
      </w:pPr>
    </w:p>
    <w:p w14:paraId="6F4F5CFE"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 xml:space="preserve">Asimismo, </w:t>
      </w:r>
      <w:r>
        <w:rPr>
          <w:rFonts w:ascii="Palatino Linotype" w:eastAsia="Palatino Linotype" w:hAnsi="Palatino Linotype" w:cs="Palatino Linotype"/>
        </w:rPr>
        <w:t>el</w:t>
      </w:r>
      <w:r>
        <w:rPr>
          <w:rFonts w:ascii="Palatino Linotype" w:eastAsia="Palatino Linotype" w:hAnsi="Palatino Linotype" w:cs="Palatino Linotype"/>
          <w:color w:val="000000"/>
        </w:rPr>
        <w:t xml:space="preserve"> artículo 2°, fracción III, de la Ley General de Títulos y Operaciones de Crédito establece que los actos y las operaciones que regula esta Ley General, se regirán por los </w:t>
      </w:r>
      <w:r>
        <w:rPr>
          <w:rFonts w:ascii="Palatino Linotype" w:eastAsia="Palatino Linotype" w:hAnsi="Palatino Linotype" w:cs="Palatino Linotype"/>
          <w:b/>
          <w:color w:val="000000"/>
        </w:rPr>
        <w:t>usos bancarios y mercantiles</w:t>
      </w:r>
      <w:r>
        <w:rPr>
          <w:rFonts w:ascii="Palatino Linotype" w:eastAsia="Palatino Linotype" w:hAnsi="Palatino Linotype" w:cs="Palatino Linotype"/>
          <w:color w:val="000000"/>
        </w:rPr>
        <w:t xml:space="preserve">, es así que, a manera de contextualización el estado de cuenta se definen como: </w:t>
      </w:r>
    </w:p>
    <w:p w14:paraId="52AF61A7" w14:textId="77777777" w:rsidR="001C1ECC" w:rsidRDefault="00A92FC8">
      <w:pPr>
        <w:numPr>
          <w:ilvl w:val="0"/>
          <w:numId w:val="6"/>
        </w:numPr>
        <w:ind w:left="714" w:hanging="3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Estado de cuenta:</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u w:val="single"/>
        </w:rPr>
        <w:t>Un estado de cuenta bancario es un documento oficial, generalmente mensual, emitido por la institución bancaria con la que tiene la cuenta. Este documento contiene todos los movimientos de la cuenta realizados en el mes, además de contener datos como número de cuenta, de tarjeta, saldo al corte, fecha de pago, monto mínimo a pagar, tasa de interés, en caso de ser tarjeta de crédito, entre otros datos relevantes y confidenciales para el usuario.</w:t>
      </w:r>
    </w:p>
    <w:p w14:paraId="2D42145E" w14:textId="77777777" w:rsidR="001C1ECC" w:rsidRDefault="001C1ECC">
      <w:pPr>
        <w:tabs>
          <w:tab w:val="left" w:pos="7938"/>
        </w:tabs>
        <w:spacing w:line="360" w:lineRule="auto"/>
        <w:jc w:val="both"/>
        <w:rPr>
          <w:rFonts w:ascii="Palatino Linotype" w:eastAsia="Palatino Linotype" w:hAnsi="Palatino Linotype" w:cs="Palatino Linotype"/>
        </w:rPr>
      </w:pPr>
    </w:p>
    <w:p w14:paraId="5B1425AD"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Por tanto, se trata de información de dominio público, además de que el Municipio de Zinacantepec cuenta con personalidad jurídica y patrimonio propios, autonomía de decisión técnica, operativa y administrativa en términos de la Ley Orgánica Municipal.</w:t>
      </w:r>
    </w:p>
    <w:p w14:paraId="2EF63B49" w14:textId="77777777" w:rsidR="001C1ECC" w:rsidRDefault="001C1ECC">
      <w:pPr>
        <w:tabs>
          <w:tab w:val="left" w:pos="7938"/>
        </w:tabs>
        <w:spacing w:line="360" w:lineRule="auto"/>
        <w:jc w:val="both"/>
        <w:rPr>
          <w:rFonts w:ascii="Palatino Linotype" w:eastAsia="Palatino Linotype" w:hAnsi="Palatino Linotype" w:cs="Palatino Linotype"/>
        </w:rPr>
      </w:pPr>
    </w:p>
    <w:p w14:paraId="374D2667"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Ahora bien, del Informe Trimestral Municipal 2023 que se entrega al Órgano Superior de Fiscalización del Estado de México (OSFEM), en su instructivo de llenado del Módulo 1 se establece:</w:t>
      </w:r>
    </w:p>
    <w:p w14:paraId="25C710D1" w14:textId="77777777" w:rsidR="001C1ECC" w:rsidRDefault="00A92FC8">
      <w:pPr>
        <w:tabs>
          <w:tab w:val="left" w:pos="7938"/>
        </w:tabs>
        <w:ind w:left="851" w:right="851"/>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“Contenido</w:t>
      </w:r>
    </w:p>
    <w:p w14:paraId="60DCDBC5" w14:textId="77777777" w:rsidR="001C1ECC" w:rsidRDefault="00A92FC8">
      <w:pPr>
        <w:tabs>
          <w:tab w:val="left" w:pos="7938"/>
        </w:tabs>
        <w:ind w:left="851" w:right="851"/>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 xml:space="preserve">Estructura de la Integración del Módulo 1 </w:t>
      </w:r>
    </w:p>
    <w:p w14:paraId="13E7F71A" w14:textId="77777777" w:rsidR="001C1ECC" w:rsidRDefault="00A92FC8">
      <w:pPr>
        <w:tabs>
          <w:tab w:val="left" w:pos="7938"/>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Submódulo-Estados Financieros</w:t>
      </w:r>
    </w:p>
    <w:p w14:paraId="44FF4E74" w14:textId="77777777" w:rsidR="001C1ECC" w:rsidRDefault="00A92FC8">
      <w:pPr>
        <w:tabs>
          <w:tab w:val="left" w:pos="7938"/>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1717FDA" w14:textId="77777777" w:rsidR="001C1ECC" w:rsidRDefault="00A92FC8">
      <w:pPr>
        <w:tabs>
          <w:tab w:val="left" w:pos="7938"/>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14. Conciliaciones Bancarias </w:t>
      </w:r>
    </w:p>
    <w:p w14:paraId="4A427B27" w14:textId="77777777" w:rsidR="001C1ECC" w:rsidRDefault="00A92FC8">
      <w:pPr>
        <w:tabs>
          <w:tab w:val="left" w:pos="7938"/>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14.1 Conciliaciones Bancarias: Carátula con el detalle de la relación de partidas en conciliación </w:t>
      </w:r>
    </w:p>
    <w:p w14:paraId="737B6068" w14:textId="77777777" w:rsidR="001C1ECC" w:rsidRDefault="00A92FC8">
      <w:pPr>
        <w:tabs>
          <w:tab w:val="left" w:pos="7938"/>
        </w:tabs>
        <w:ind w:left="1418"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Instructivo de llenado de la Conciliación Bancaria: Carátula con el detalle de la relación de partidas en conciliación </w:t>
      </w:r>
    </w:p>
    <w:p w14:paraId="5F2E5C6E" w14:textId="77777777" w:rsidR="001C1ECC" w:rsidRDefault="00A92FC8">
      <w:pPr>
        <w:tabs>
          <w:tab w:val="left" w:pos="7938"/>
        </w:tabs>
        <w:ind w:left="851" w:right="851"/>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14.2 Conciliaciones Bancarias: Estado de cuenta bancario</w:t>
      </w:r>
      <w:r>
        <w:rPr>
          <w:rFonts w:ascii="Palatino Linotype" w:eastAsia="Palatino Linotype" w:hAnsi="Palatino Linotype" w:cs="Palatino Linotype"/>
          <w:i/>
          <w:sz w:val="22"/>
          <w:szCs w:val="22"/>
        </w:rPr>
        <w:t>”</w:t>
      </w:r>
    </w:p>
    <w:p w14:paraId="109CE279" w14:textId="77777777" w:rsidR="001C1ECC" w:rsidRDefault="001C1ECC">
      <w:pPr>
        <w:tabs>
          <w:tab w:val="left" w:pos="7938"/>
        </w:tabs>
        <w:ind w:left="851" w:right="851"/>
        <w:jc w:val="both"/>
        <w:rPr>
          <w:rFonts w:ascii="Palatino Linotype" w:eastAsia="Palatino Linotype" w:hAnsi="Palatino Linotype" w:cs="Palatino Linotype"/>
          <w:i/>
          <w:sz w:val="22"/>
          <w:szCs w:val="22"/>
        </w:rPr>
      </w:pPr>
    </w:p>
    <w:p w14:paraId="6DA8EEC2" w14:textId="77777777" w:rsidR="001C1ECC" w:rsidRDefault="00A92FC8">
      <w:pPr>
        <w:tabs>
          <w:tab w:val="left" w:pos="7938"/>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14:anchorId="02504068" wp14:editId="5BC37B05">
            <wp:extent cx="5686425" cy="51720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3399" t="18231" r="32043" b="12664"/>
                    <a:stretch>
                      <a:fillRect/>
                    </a:stretch>
                  </pic:blipFill>
                  <pic:spPr>
                    <a:xfrm>
                      <a:off x="0" y="0"/>
                      <a:ext cx="5686425" cy="5172075"/>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8240" behindDoc="0" locked="0" layoutInCell="1" hidden="0" allowOverlap="1" wp14:anchorId="75535338" wp14:editId="18AC8B79">
                <wp:simplePos x="0" y="0"/>
                <wp:positionH relativeFrom="column">
                  <wp:posOffset>5194300</wp:posOffset>
                </wp:positionH>
                <wp:positionV relativeFrom="paragraph">
                  <wp:posOffset>4648200</wp:posOffset>
                </wp:positionV>
                <wp:extent cx="0" cy="76200"/>
                <wp:effectExtent l="0" t="0" r="0" b="0"/>
                <wp:wrapNone/>
                <wp:docPr id="11" name="Conector recto de flecha 11"/>
                <wp:cNvGraphicFramePr/>
                <a:graphic xmlns:a="http://schemas.openxmlformats.org/drawingml/2006/main">
                  <a:graphicData uri="http://schemas.microsoft.com/office/word/2010/wordprocessingShape">
                    <wps:wsp>
                      <wps:cNvCnPr/>
                      <wps:spPr>
                        <a:xfrm rot="10800000">
                          <a:off x="4817363" y="3780000"/>
                          <a:ext cx="1057275" cy="0"/>
                        </a:xfrm>
                        <a:prstGeom prst="straightConnector1">
                          <a:avLst/>
                        </a:prstGeom>
                        <a:noFill/>
                        <a:ln w="76200" cap="flat" cmpd="sng">
                          <a:solidFill>
                            <a:srgbClr val="FF0000"/>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5194300</wp:posOffset>
                </wp:positionH>
                <wp:positionV relativeFrom="paragraph">
                  <wp:posOffset>4648200</wp:posOffset>
                </wp:positionV>
                <wp:extent cx="0" cy="76200"/>
                <wp:effectExtent b="0" l="0" r="0" t="0"/>
                <wp:wrapNone/>
                <wp:docPr id="1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76200"/>
                        </a:xfrm>
                        <a:prstGeom prst="rect"/>
                        <a:ln/>
                      </pic:spPr>
                    </pic:pic>
                  </a:graphicData>
                </a:graphic>
              </wp:anchor>
            </w:drawing>
          </mc:Fallback>
        </mc:AlternateContent>
      </w:r>
    </w:p>
    <w:p w14:paraId="04DC682A" w14:textId="77777777" w:rsidR="001C1ECC" w:rsidRDefault="001C1ECC">
      <w:pPr>
        <w:tabs>
          <w:tab w:val="left" w:pos="7938"/>
        </w:tabs>
        <w:spacing w:line="360" w:lineRule="auto"/>
        <w:jc w:val="both"/>
        <w:rPr>
          <w:rFonts w:ascii="Palatino Linotype" w:eastAsia="Palatino Linotype" w:hAnsi="Palatino Linotype" w:cs="Palatino Linotype"/>
          <w:sz w:val="22"/>
          <w:szCs w:val="22"/>
        </w:rPr>
      </w:pPr>
    </w:p>
    <w:p w14:paraId="1694C517" w14:textId="77777777" w:rsidR="001C1ECC" w:rsidRDefault="001C1ECC">
      <w:pPr>
        <w:tabs>
          <w:tab w:val="left" w:pos="7938"/>
        </w:tabs>
        <w:spacing w:line="360" w:lineRule="auto"/>
        <w:jc w:val="both"/>
        <w:rPr>
          <w:rFonts w:ascii="Palatino Linotype" w:eastAsia="Palatino Linotype" w:hAnsi="Palatino Linotype" w:cs="Palatino Linotype"/>
          <w:sz w:val="22"/>
          <w:szCs w:val="22"/>
        </w:rPr>
      </w:pPr>
    </w:p>
    <w:p w14:paraId="6459AED0" w14:textId="77777777" w:rsidR="001C1ECC" w:rsidRDefault="00A92FC8">
      <w:pPr>
        <w:tabs>
          <w:tab w:val="left" w:pos="7938"/>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noProof/>
          <w:lang w:val="es-MX" w:eastAsia="es-MX"/>
        </w:rPr>
        <w:drawing>
          <wp:inline distT="0" distB="0" distL="0" distR="0" wp14:anchorId="2E6F6BD0" wp14:editId="0387CFA7">
            <wp:extent cx="5619750" cy="402907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7447" t="17351" r="28902" b="11193"/>
                    <a:stretch>
                      <a:fillRect/>
                    </a:stretch>
                  </pic:blipFill>
                  <pic:spPr>
                    <a:xfrm>
                      <a:off x="0" y="0"/>
                      <a:ext cx="5619750" cy="4029075"/>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59264" behindDoc="0" locked="0" layoutInCell="1" hidden="0" allowOverlap="1" wp14:anchorId="0C35D8EB" wp14:editId="08CF5909">
                <wp:simplePos x="0" y="0"/>
                <wp:positionH relativeFrom="column">
                  <wp:posOffset>-584199</wp:posOffset>
                </wp:positionH>
                <wp:positionV relativeFrom="paragraph">
                  <wp:posOffset>1460500</wp:posOffset>
                </wp:positionV>
                <wp:extent cx="714375" cy="121919"/>
                <wp:effectExtent l="0" t="0" r="0" b="0"/>
                <wp:wrapNone/>
                <wp:docPr id="12" name="Conector recto de flecha 12"/>
                <wp:cNvGraphicFramePr/>
                <a:graphic xmlns:a="http://schemas.openxmlformats.org/drawingml/2006/main">
                  <a:graphicData uri="http://schemas.microsoft.com/office/word/2010/wordprocessingShape">
                    <wps:wsp>
                      <wps:cNvCnPr/>
                      <wps:spPr>
                        <a:xfrm rot="10800000" flipH="1">
                          <a:off x="5026913" y="3757141"/>
                          <a:ext cx="638175" cy="45719"/>
                        </a:xfrm>
                        <a:prstGeom prst="straightConnector1">
                          <a:avLst/>
                        </a:prstGeom>
                        <a:noFill/>
                        <a:ln w="76200" cap="flat" cmpd="sng">
                          <a:solidFill>
                            <a:srgbClr val="FF0000"/>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1460500</wp:posOffset>
                </wp:positionV>
                <wp:extent cx="714375" cy="121919"/>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14375" cy="121919"/>
                        </a:xfrm>
                        <a:prstGeom prst="rect"/>
                        <a:ln/>
                      </pic:spPr>
                    </pic:pic>
                  </a:graphicData>
                </a:graphic>
              </wp:anchor>
            </w:drawing>
          </mc:Fallback>
        </mc:AlternateContent>
      </w:r>
      <w:r>
        <w:rPr>
          <w:noProof/>
          <w:lang w:val="es-MX" w:eastAsia="es-MX"/>
        </w:rPr>
        <mc:AlternateContent>
          <mc:Choice Requires="wps">
            <w:drawing>
              <wp:anchor distT="0" distB="0" distL="114300" distR="114300" simplePos="0" relativeHeight="251660288" behindDoc="0" locked="0" layoutInCell="1" hidden="0" allowOverlap="1" wp14:anchorId="15976173" wp14:editId="6B822E93">
                <wp:simplePos x="0" y="0"/>
                <wp:positionH relativeFrom="column">
                  <wp:posOffset>203200</wp:posOffset>
                </wp:positionH>
                <wp:positionV relativeFrom="paragraph">
                  <wp:posOffset>1549400</wp:posOffset>
                </wp:positionV>
                <wp:extent cx="9525" cy="28575"/>
                <wp:effectExtent l="0" t="0" r="0" b="0"/>
                <wp:wrapNone/>
                <wp:docPr id="13" name="Conector recto de flecha 13"/>
                <wp:cNvGraphicFramePr/>
                <a:graphic xmlns:a="http://schemas.openxmlformats.org/drawingml/2006/main">
                  <a:graphicData uri="http://schemas.microsoft.com/office/word/2010/wordprocessingShape">
                    <wps:wsp>
                      <wps:cNvCnPr/>
                      <wps:spPr>
                        <a:xfrm rot="10800000" flipH="1">
                          <a:off x="3831525" y="3775238"/>
                          <a:ext cx="3028950" cy="9525"/>
                        </a:xfrm>
                        <a:prstGeom prst="straightConnector1">
                          <a:avLst/>
                        </a:prstGeom>
                        <a:noFill/>
                        <a:ln w="28575" cap="flat" cmpd="sng">
                          <a:solidFill>
                            <a:srgbClr val="FF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1549400</wp:posOffset>
                </wp:positionV>
                <wp:extent cx="9525" cy="28575"/>
                <wp:effectExtent b="0" l="0" r="0" t="0"/>
                <wp:wrapNone/>
                <wp:docPr id="1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9525" cy="28575"/>
                        </a:xfrm>
                        <a:prstGeom prst="rect"/>
                        <a:ln/>
                      </pic:spPr>
                    </pic:pic>
                  </a:graphicData>
                </a:graphic>
              </wp:anchor>
            </w:drawing>
          </mc:Fallback>
        </mc:AlternateContent>
      </w:r>
    </w:p>
    <w:p w14:paraId="5F9448E3" w14:textId="77777777" w:rsidR="001C1ECC" w:rsidRDefault="001C1ECC">
      <w:pPr>
        <w:tabs>
          <w:tab w:val="left" w:pos="7938"/>
        </w:tabs>
        <w:spacing w:line="360" w:lineRule="auto"/>
        <w:jc w:val="both"/>
        <w:rPr>
          <w:rFonts w:ascii="Palatino Linotype" w:eastAsia="Palatino Linotype" w:hAnsi="Palatino Linotype" w:cs="Palatino Linotype"/>
        </w:rPr>
      </w:pPr>
    </w:p>
    <w:p w14:paraId="56BD18CF"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 xml:space="preserve">Consecuentemente, este Instituto concluye que la información correspondiente a los Estados de Cuenta Bancaria es información eminentemente pública, en los términos que han quedado expuestos. </w:t>
      </w:r>
      <w:r>
        <w:rPr>
          <w:rFonts w:ascii="Palatino Linotype" w:eastAsia="Palatino Linotype" w:hAnsi="Palatino Linotype" w:cs="Palatino Linotype"/>
          <w:color w:val="000000"/>
        </w:rPr>
        <w:t xml:space="preserve">Con la determinación anterior quedará por colmado el derecho de acceso a la información del ahora </w:t>
      </w:r>
      <w:r>
        <w:rPr>
          <w:rFonts w:ascii="Palatino Linotype" w:eastAsia="Palatino Linotype" w:hAnsi="Palatino Linotype" w:cs="Palatino Linotype"/>
        </w:rPr>
        <w:t>Recurrente</w:t>
      </w:r>
      <w:r>
        <w:rPr>
          <w:rFonts w:ascii="Palatino Linotype" w:eastAsia="Palatino Linotype" w:hAnsi="Palatino Linotype" w:cs="Palatino Linotype"/>
          <w:color w:val="000000"/>
        </w:rPr>
        <w:t xml:space="preserve">; toda vez que el Derecho que tutela este Órgano Garante corresponde a la  </w:t>
      </w:r>
      <w:r>
        <w:rPr>
          <w:rFonts w:ascii="Palatino Linotype" w:eastAsia="Palatino Linotype" w:hAnsi="Palatino Linotype" w:cs="Palatino Linotype"/>
          <w:i/>
          <w:color w:val="000000"/>
        </w:rPr>
        <w:t>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w:t>
      </w:r>
      <w:r>
        <w:rPr>
          <w:rFonts w:ascii="Palatino Linotype" w:eastAsia="Palatino Linotype" w:hAnsi="Palatino Linotype" w:cs="Palatino Linotype"/>
        </w:rPr>
        <w:t>posesión</w:t>
      </w:r>
      <w:r>
        <w:rPr>
          <w:rFonts w:ascii="Palatino Linotype" w:eastAsia="Palatino Linotype" w:hAnsi="Palatino Linotype" w:cs="Palatino Linotype"/>
          <w:i/>
          <w:color w:val="000000"/>
        </w:rPr>
        <w:t xml:space="preserve"> de cualquier autoridad, entidad, órgano y organismo de los </w:t>
      </w:r>
      <w:r>
        <w:rPr>
          <w:rFonts w:ascii="Palatino Linotype" w:eastAsia="Palatino Linotype" w:hAnsi="Palatino Linotype" w:cs="Palatino Linotype"/>
        </w:rPr>
        <w:t>poderes</w:t>
      </w:r>
      <w:r>
        <w:rPr>
          <w:rFonts w:ascii="Palatino Linotype" w:eastAsia="Palatino Linotype" w:hAnsi="Palatino Linotype" w:cs="Palatino Linotype"/>
          <w:i/>
          <w:color w:val="000000"/>
        </w:rPr>
        <w:t xml:space="preserve"> Ejecutivo, Legislativo y Judicial, </w:t>
      </w:r>
      <w:r>
        <w:rPr>
          <w:rFonts w:ascii="Palatino Linotype" w:eastAsia="Palatino Linotype" w:hAnsi="Palatino Linotype" w:cs="Palatino Linotype"/>
          <w:i/>
          <w:color w:val="000000"/>
        </w:rPr>
        <w:lastRenderedPageBreak/>
        <w:t>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 xml:space="preserve">que se constituye como una herramienta fundamental para </w:t>
      </w:r>
      <w:r>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w:t>
      </w:r>
      <w:r>
        <w:rPr>
          <w:rFonts w:ascii="Palatino Linotype" w:eastAsia="Palatino Linotype" w:hAnsi="Palatino Linotype" w:cs="Palatino Linotype"/>
          <w:color w:val="000000"/>
        </w:rPr>
        <w:t xml:space="preserve"> 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Pr>
          <w:rFonts w:ascii="Palatino Linotype" w:eastAsia="Palatino Linotype" w:hAnsi="Palatino Linotype" w:cs="Palatino Linotype"/>
          <w:i/>
          <w:color w:val="000000"/>
          <w:vertAlign w:val="superscript"/>
        </w:rPr>
        <w:footnoteReference w:id="5"/>
      </w:r>
      <w:r>
        <w:rPr>
          <w:rFonts w:ascii="Palatino Linotype" w:eastAsia="Palatino Linotype" w:hAnsi="Palatino Linotype" w:cs="Palatino Linotype"/>
          <w:color w:val="000000"/>
        </w:rPr>
        <w:t xml:space="preserve"> ” </w:t>
      </w:r>
    </w:p>
    <w:p w14:paraId="2F6DB011" w14:textId="77777777" w:rsidR="001C1ECC" w:rsidRDefault="001C1ECC">
      <w:pPr>
        <w:spacing w:line="360" w:lineRule="auto"/>
        <w:jc w:val="both"/>
        <w:rPr>
          <w:rFonts w:ascii="Palatino Linotype" w:eastAsia="Palatino Linotype" w:hAnsi="Palatino Linotype" w:cs="Palatino Linotype"/>
          <w:color w:val="000000"/>
        </w:rPr>
      </w:pPr>
    </w:p>
    <w:p w14:paraId="1E08411D"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 xml:space="preserve">Para entender los alcances de la información pública se considera importante citar el criterio de interpretación </w:t>
      </w:r>
      <w:r>
        <w:rPr>
          <w:rFonts w:ascii="Palatino Linotype" w:eastAsia="Palatino Linotype" w:hAnsi="Palatino Linotype" w:cs="Palatino Linotype"/>
        </w:rPr>
        <w:t>en</w:t>
      </w:r>
      <w:r>
        <w:rPr>
          <w:rFonts w:ascii="Palatino Linotype" w:eastAsia="Palatino Linotype" w:hAnsi="Palatino Linotype" w:cs="Palatino Linotype"/>
          <w:color w:val="000000"/>
        </w:rPr>
        <w:t xml:space="preserve">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DB6AD35" w14:textId="77777777" w:rsidR="001C1ECC" w:rsidRDefault="00A92FC8">
      <w:pPr>
        <w:ind w:left="425" w:right="47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“CRITERIO 0002-11</w:t>
      </w:r>
    </w:p>
    <w:p w14:paraId="241FA285" w14:textId="77777777" w:rsidR="001C1ECC" w:rsidRDefault="00A92FC8">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Pr>
          <w:rFonts w:ascii="Palatino Linotype" w:eastAsia="Palatino Linotype" w:hAnsi="Palatino Linotype" w:cs="Palatino Linotype"/>
          <w:i/>
          <w:color w:val="000000"/>
          <w:sz w:val="22"/>
          <w:szCs w:val="22"/>
        </w:rPr>
        <w:t xml:space="preserve"> De conformidad con los artículos antes referidos, </w:t>
      </w:r>
      <w:r>
        <w:rPr>
          <w:rFonts w:ascii="Palatino Linotype" w:eastAsia="Palatino Linotype" w:hAnsi="Palatino Linotype" w:cs="Palatino Linotype"/>
          <w:i/>
          <w:color w:val="000000"/>
          <w:sz w:val="22"/>
          <w:szCs w:val="22"/>
        </w:rPr>
        <w:lastRenderedPageBreak/>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CAAA11B" w14:textId="77777777" w:rsidR="001C1ECC" w:rsidRDefault="00A92FC8">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68F36C03" w14:textId="77777777" w:rsidR="001C1ECC" w:rsidRDefault="00A92FC8">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5D839BCF" w14:textId="77777777" w:rsidR="001C1ECC" w:rsidRDefault="00A92FC8">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1CFD438C" w14:textId="77777777" w:rsidR="001C1ECC" w:rsidRDefault="00A92FC8">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 encuentre en posesión de los Sujetos Obligados.”</w:t>
      </w:r>
    </w:p>
    <w:p w14:paraId="3B150230" w14:textId="77777777" w:rsidR="001C1ECC" w:rsidRDefault="001C1ECC">
      <w:pPr>
        <w:ind w:left="425" w:right="476"/>
        <w:jc w:val="both"/>
        <w:rPr>
          <w:rFonts w:ascii="Palatino Linotype" w:eastAsia="Palatino Linotype" w:hAnsi="Palatino Linotype" w:cs="Palatino Linotype"/>
          <w:i/>
          <w:color w:val="000000"/>
        </w:rPr>
      </w:pPr>
    </w:p>
    <w:p w14:paraId="3001CB59"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4FE2DBFD" w14:textId="77777777" w:rsidR="001C1ECC" w:rsidRDefault="00A92FC8">
      <w:pPr>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XI. Documento: </w:t>
      </w:r>
      <w:r>
        <w:rPr>
          <w:rFonts w:ascii="Palatino Linotype" w:eastAsia="Palatino Linotype" w:hAnsi="Palatino Linotype" w:cs="Palatino Linotype"/>
          <w:i/>
          <w:color w:val="000000"/>
          <w:sz w:val="22"/>
          <w:szCs w:val="22"/>
        </w:rPr>
        <w:t xml:space="preserve">Los expedientes, reportes, estudios, actas, resoluciones, oficios, correspondencia, acuerdos, directivas, directrices, circulares, contratos, convenios, instructivos, notas, memorandos, estadísticas o bien, </w:t>
      </w:r>
      <w:r>
        <w:rPr>
          <w:rFonts w:ascii="Palatino Linotype" w:eastAsia="Palatino Linotype" w:hAnsi="Palatino Linotype" w:cs="Palatino Linotype"/>
          <w:b/>
          <w:i/>
          <w:color w:val="000000"/>
          <w:sz w:val="22"/>
          <w:szCs w:val="22"/>
        </w:rPr>
        <w:t>cualquier otro registro</w:t>
      </w:r>
      <w:r>
        <w:rPr>
          <w:rFonts w:ascii="Palatino Linotype" w:eastAsia="Palatino Linotype" w:hAnsi="Palatino Linotype" w:cs="Palatino Linotype"/>
          <w:i/>
          <w:color w:val="000000"/>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D1E5DC3" w14:textId="77777777" w:rsidR="001C1ECC" w:rsidRDefault="001C1ECC">
      <w:pPr>
        <w:ind w:left="425" w:right="476"/>
        <w:jc w:val="both"/>
        <w:rPr>
          <w:rFonts w:ascii="Palatino Linotype" w:eastAsia="Palatino Linotype" w:hAnsi="Palatino Linotype" w:cs="Palatino Linotype"/>
          <w:i/>
          <w:color w:val="000000"/>
        </w:rPr>
      </w:pPr>
    </w:p>
    <w:p w14:paraId="20FFEE6A"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 xml:space="preserve">Es así que, todos los actos de autoridad que realicen los Sujetos Obligados </w:t>
      </w:r>
      <w:r>
        <w:rPr>
          <w:rFonts w:ascii="Palatino Linotype" w:eastAsia="Palatino Linotype" w:hAnsi="Palatino Linotype" w:cs="Palatino Linotype"/>
          <w:b/>
          <w:color w:val="000000"/>
        </w:rPr>
        <w:t xml:space="preserve">deben estar </w:t>
      </w:r>
      <w:r>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156A138E" w14:textId="77777777" w:rsidR="001C1ECC" w:rsidRDefault="001C1ECC">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14:paraId="217CE729"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4FBCC8B1" w14:textId="77777777" w:rsidR="001C1ECC" w:rsidRDefault="00A92FC8">
      <w:pPr>
        <w:ind w:left="425"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“Artículo 4. </w:t>
      </w:r>
      <w:r>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86BFC01" w14:textId="77777777" w:rsidR="001C1ECC" w:rsidRDefault="00A92FC8">
      <w:pPr>
        <w:ind w:left="425"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w:t>
      </w:r>
      <w:r>
        <w:rPr>
          <w:rFonts w:ascii="Palatino Linotype" w:eastAsia="Palatino Linotype" w:hAnsi="Palatino Linotype" w:cs="Palatino Linotype"/>
          <w:i/>
          <w:color w:val="000000"/>
          <w:sz w:val="22"/>
          <w:szCs w:val="22"/>
        </w:rPr>
        <w:t xml:space="preserve"> generada, obtenida, adquirida, transformada, administrada o </w:t>
      </w:r>
      <w:r>
        <w:rPr>
          <w:rFonts w:ascii="Palatino Linotype" w:eastAsia="Palatino Linotype" w:hAnsi="Palatino Linotype" w:cs="Palatino Linotype"/>
          <w:b/>
          <w:i/>
          <w:color w:val="000000"/>
          <w:sz w:val="22"/>
          <w:szCs w:val="22"/>
        </w:rPr>
        <w:t>en posesión de los sujetos obligados es pública</w:t>
      </w:r>
      <w:r>
        <w:rPr>
          <w:rFonts w:ascii="Palatino Linotype" w:eastAsia="Palatino Linotype" w:hAnsi="Palatino Linotype" w:cs="Palatino Linotype"/>
          <w:i/>
          <w:color w:val="000000"/>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1AF73B4" w14:textId="77777777" w:rsidR="001C1ECC" w:rsidRDefault="00A92FC8">
      <w:pPr>
        <w:ind w:left="425"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42F682DA" w14:textId="77777777" w:rsidR="001C1ECC" w:rsidRDefault="001C1ECC">
      <w:pPr>
        <w:ind w:left="425" w:right="567"/>
        <w:jc w:val="both"/>
        <w:rPr>
          <w:rFonts w:ascii="Palatino Linotype" w:eastAsia="Palatino Linotype" w:hAnsi="Palatino Linotype" w:cs="Palatino Linotype"/>
          <w:i/>
          <w:color w:val="000000"/>
        </w:rPr>
      </w:pPr>
    </w:p>
    <w:p w14:paraId="0606C376"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4C853D50" w14:textId="77777777" w:rsidR="001C1ECC" w:rsidRDefault="001C1ECC">
      <w:pPr>
        <w:spacing w:line="360" w:lineRule="auto"/>
        <w:jc w:val="both"/>
        <w:rPr>
          <w:rFonts w:ascii="Palatino Linotype" w:eastAsia="Palatino Linotype" w:hAnsi="Palatino Linotype" w:cs="Palatino Linotype"/>
          <w:color w:val="000000"/>
        </w:rPr>
      </w:pPr>
    </w:p>
    <w:p w14:paraId="2E8E0FCA"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Pr>
          <w:rFonts w:ascii="Palatino Linotype" w:eastAsia="Palatino Linotype" w:hAnsi="Palatino Linotype" w:cs="Palatino Linotype"/>
        </w:rPr>
        <w:t>a</w:t>
      </w:r>
      <w:r>
        <w:rPr>
          <w:rFonts w:ascii="Palatino Linotype" w:eastAsia="Palatino Linotype" w:hAnsi="Palatino Linotype" w:cs="Palatino Linotype"/>
          <w:color w:val="000000"/>
        </w:rPr>
        <w:t>nario Judicial de la Federación y su Gaceta en el libro XVIII, Marzo 2013, Página 1899.</w:t>
      </w:r>
    </w:p>
    <w:p w14:paraId="1B00772D" w14:textId="77777777" w:rsidR="001C1ECC" w:rsidRDefault="00A92FC8">
      <w:pPr>
        <w:pBdr>
          <w:top w:val="nil"/>
          <w:left w:val="nil"/>
          <w:bottom w:val="nil"/>
          <w:right w:val="nil"/>
          <w:between w:val="nil"/>
        </w:pBdr>
        <w:tabs>
          <w:tab w:val="left" w:pos="851"/>
        </w:tabs>
        <w:ind w:left="425" w:right="47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ACCESO A LA INFORMACIÓN. IMPLICACIÓN DEL PRINCIPIO DE MÁXIMA PUBLICIDAD EN EL DERECHO FUNDAMENTAL RELATIVO.</w:t>
      </w:r>
      <w:r>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BE8B510" w14:textId="77777777" w:rsidR="001C1ECC" w:rsidRDefault="001C1ECC">
      <w:pPr>
        <w:spacing w:line="360" w:lineRule="auto"/>
        <w:jc w:val="both"/>
        <w:rPr>
          <w:rFonts w:ascii="Palatino Linotype" w:eastAsia="Palatino Linotype" w:hAnsi="Palatino Linotype" w:cs="Palatino Linotype"/>
          <w:color w:val="000000"/>
        </w:rPr>
      </w:pPr>
    </w:p>
    <w:p w14:paraId="29771E1A"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 xml:space="preserve">Así, conforme a lo analizado a lo largo del presente Considerando, con fundamento </w:t>
      </w:r>
      <w:r>
        <w:rPr>
          <w:rFonts w:ascii="Palatino Linotype" w:eastAsia="Palatino Linotype" w:hAnsi="Palatino Linotype" w:cs="Palatino Linotype"/>
          <w:color w:val="000000"/>
        </w:rPr>
        <w:t xml:space="preserve">en el artículo 186, fracciones III, de la 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color w:val="000000"/>
        </w:rPr>
        <w:t xml:space="preserve"> y Municipios, este Instituto considera procedente </w:t>
      </w:r>
      <w:r>
        <w:rPr>
          <w:rFonts w:ascii="Palatino Linotype" w:eastAsia="Palatino Linotype" w:hAnsi="Palatino Linotype" w:cs="Palatino Linotype"/>
          <w:b/>
          <w:color w:val="000000"/>
        </w:rPr>
        <w:t>MODIFICAR</w:t>
      </w:r>
      <w:r>
        <w:rPr>
          <w:rFonts w:ascii="Palatino Linotype" w:eastAsia="Palatino Linotype" w:hAnsi="Palatino Linotype" w:cs="Palatino Linotype"/>
          <w:color w:val="000000"/>
        </w:rPr>
        <w:t xml:space="preserve"> la respuesta otorgada por el Sujeto Obligado, a la solicitud de acceso a la información objeto del presente análisis.</w:t>
      </w:r>
    </w:p>
    <w:p w14:paraId="59CA8583" w14:textId="77777777" w:rsidR="001C1ECC" w:rsidRDefault="001C1ECC">
      <w:pPr>
        <w:spacing w:line="360" w:lineRule="auto"/>
        <w:jc w:val="both"/>
        <w:rPr>
          <w:rFonts w:ascii="Palatino Linotype" w:eastAsia="Palatino Linotype" w:hAnsi="Palatino Linotype" w:cs="Palatino Linotype"/>
          <w:color w:val="000000"/>
        </w:rPr>
      </w:pPr>
    </w:p>
    <w:p w14:paraId="4970EA06" w14:textId="77777777" w:rsidR="001C1ECC" w:rsidRDefault="00A92FC8">
      <w:pPr>
        <w:keepNext/>
        <w:keepLine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QUINTO. De la versión pública.</w:t>
      </w:r>
    </w:p>
    <w:p w14:paraId="0BCED68D" w14:textId="77777777" w:rsidR="001C1ECC" w:rsidRDefault="00A92FC8">
      <w:pPr>
        <w:keepNext/>
        <w:keepLines/>
        <w:numPr>
          <w:ilvl w:val="0"/>
          <w:numId w:val="1"/>
        </w:numPr>
        <w:tabs>
          <w:tab w:val="left" w:pos="284"/>
        </w:tabs>
        <w:spacing w:line="36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Nociones generales. </w:t>
      </w:r>
    </w:p>
    <w:p w14:paraId="1909A80E"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 xml:space="preserve">Debe destacarse que, debido naturaleza de la información solicitada </w:t>
      </w:r>
      <w:r>
        <w:rPr>
          <w:rFonts w:ascii="Palatino Linotype" w:eastAsia="Palatino Linotype" w:hAnsi="Palatino Linotype" w:cs="Palatino Linotype"/>
        </w:rPr>
        <w:t>eventualmente</w:t>
      </w:r>
      <w:r>
        <w:rPr>
          <w:rFonts w:ascii="Palatino Linotype" w:eastAsia="Palatino Linotype" w:hAnsi="Palatino Linotype" w:cs="Palatino Linotype"/>
          <w:color w:val="000000"/>
        </w:rPr>
        <w:t xml:space="preserve"> pudieran obran datos personales susceptibles de protegerse, como información de particulares </w:t>
      </w:r>
      <w:r>
        <w:rPr>
          <w:rFonts w:ascii="Palatino Linotype" w:eastAsia="Palatino Linotype" w:hAnsi="Palatino Linotype" w:cs="Palatino Linotype"/>
        </w:rPr>
        <w:t>susceptible</w:t>
      </w:r>
      <w:r>
        <w:rPr>
          <w:rFonts w:ascii="Palatino Linotype" w:eastAsia="Palatino Linotype" w:hAnsi="Palatino Linotype" w:cs="Palatino Linotype"/>
          <w:color w:val="000000"/>
        </w:rPr>
        <w:t xml:space="preserv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2280E9D8" w14:textId="77777777" w:rsidR="001C1ECC" w:rsidRDefault="001C1ECC">
      <w:pPr>
        <w:spacing w:line="360" w:lineRule="auto"/>
        <w:jc w:val="both"/>
        <w:rPr>
          <w:rFonts w:ascii="Palatino Linotype" w:eastAsia="Palatino Linotype" w:hAnsi="Palatino Linotype" w:cs="Palatino Linotype"/>
          <w:color w:val="000000"/>
        </w:rPr>
      </w:pPr>
    </w:p>
    <w:p w14:paraId="4697C541"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De este modo, en armonía entre los principios constitucionales de máxima publicidad y de protección de datos personales, la Ley permite la elaboración de versiones </w:t>
      </w:r>
      <w:r>
        <w:rPr>
          <w:rFonts w:ascii="Palatino Linotype" w:eastAsia="Palatino Linotype" w:hAnsi="Palatino Linotype" w:cs="Palatino Linotype"/>
          <w:color w:val="000000"/>
        </w:rPr>
        <w:t>públicas</w:t>
      </w:r>
      <w:r>
        <w:rPr>
          <w:rFonts w:ascii="Palatino Linotype" w:eastAsia="Palatino Linotype" w:hAnsi="Palatino Linotype" w:cs="Palatino Linotype"/>
        </w:rPr>
        <w:t xml:space="preserve"> en las que se suprima aquella información relacionada con la vida privada de los particulares y de los servidores públicos.</w:t>
      </w:r>
    </w:p>
    <w:p w14:paraId="47773AE2" w14:textId="77777777" w:rsidR="001C1ECC" w:rsidRDefault="001C1ECC">
      <w:pPr>
        <w:tabs>
          <w:tab w:val="left" w:pos="8647"/>
        </w:tabs>
        <w:spacing w:line="360" w:lineRule="auto"/>
        <w:ind w:right="51"/>
        <w:jc w:val="both"/>
        <w:rPr>
          <w:rFonts w:ascii="Palatino Linotype" w:eastAsia="Palatino Linotype" w:hAnsi="Palatino Linotype" w:cs="Palatino Linotype"/>
        </w:rPr>
      </w:pPr>
    </w:p>
    <w:p w14:paraId="441ADC00"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 xml:space="preserve">Entonces,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5576B50E" w14:textId="77777777" w:rsidR="001C1ECC" w:rsidRDefault="001C1ECC">
      <w:pPr>
        <w:spacing w:line="360" w:lineRule="auto"/>
        <w:jc w:val="both"/>
        <w:rPr>
          <w:rFonts w:ascii="Palatino Linotype" w:eastAsia="Palatino Linotype" w:hAnsi="Palatino Linotype" w:cs="Palatino Linotype"/>
          <w:color w:val="000000"/>
        </w:rPr>
      </w:pPr>
    </w:p>
    <w:p w14:paraId="460CB7BF"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color w:val="000000"/>
        </w:rPr>
        <w:t>Cabe destacar que, para la realización de la clasificación de la información, se deben seguir una serie de pasos y procedimientos, por lo que es menester reiterar los mismos:</w:t>
      </w:r>
    </w:p>
    <w:tbl>
      <w:tblPr>
        <w:tblStyle w:val="a0"/>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237"/>
      </w:tblGrid>
      <w:tr w:rsidR="001C1ECC" w14:paraId="642365DF" w14:textId="77777777" w:rsidTr="001C1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F1F62C" w14:textId="77777777" w:rsidR="001C1ECC" w:rsidRDefault="00A92FC8">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237" w:type="dxa"/>
          </w:tcPr>
          <w:p w14:paraId="0D7DE362" w14:textId="77777777" w:rsidR="001C1ECC" w:rsidRDefault="00A92FC8">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Los artículos 100 y 122 de la Ley Estatal y de la Ley General, respectivamente, señalan que si los Sujetos Obligados determinan que la información actualiza alguno de los supuestos de </w:t>
            </w:r>
            <w:r>
              <w:rPr>
                <w:rFonts w:ascii="Palatino Linotype" w:eastAsia="Palatino Linotype" w:hAnsi="Palatino Linotype" w:cs="Palatino Linotype"/>
                <w:b w:val="0"/>
                <w:color w:val="000000"/>
                <w:sz w:val="20"/>
                <w:szCs w:val="20"/>
              </w:rPr>
              <w:lastRenderedPageBreak/>
              <w:t xml:space="preserve">clasificación, es deber de los titulares de las áreas proponer su clasificación y no del Comité de Transparencia. </w:t>
            </w:r>
          </w:p>
          <w:p w14:paraId="3188E192" w14:textId="77777777" w:rsidR="001C1ECC" w:rsidRDefault="00A92FC8">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Al hacerlo tienen que precisar de qué información se trata, señalando el supuesto de clasificación (confidencialidad o reserva).</w:t>
            </w:r>
          </w:p>
          <w:p w14:paraId="6B427601" w14:textId="77777777" w:rsidR="001C1ECC" w:rsidRDefault="00A92FC8">
            <w:pPr>
              <w:tabs>
                <w:tab w:val="left" w:pos="284"/>
              </w:tabs>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Además, se debe señalar el procedimiento, de los tres que establecen los artículos 132 y 106 de la Ley Estatal y General, respectivamente.</w:t>
            </w:r>
          </w:p>
          <w:p w14:paraId="6FB5E7A4" w14:textId="77777777" w:rsidR="001C1ECC" w:rsidRDefault="00A92FC8">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b w:val="0"/>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color w:val="000000"/>
                <w:sz w:val="20"/>
                <w:szCs w:val="20"/>
                <w:u w:val="single"/>
              </w:rPr>
              <w:t>no se puede hacer un acuerdo para clasificar de manera general todos los documentos de un expediente o área, sin</w:t>
            </w:r>
            <w:r>
              <w:rPr>
                <w:rFonts w:ascii="Palatino Linotype" w:eastAsia="Palatino Linotype" w:hAnsi="Palatino Linotype" w:cs="Palatino Linotype"/>
                <w:b w:val="0"/>
                <w:color w:val="000000"/>
                <w:sz w:val="20"/>
                <w:szCs w:val="20"/>
              </w:rPr>
              <w:t xml:space="preserve"> individualizar su análisis y tampoco se puede hacer un acuerdo por cada dato que se vaya a clasificar dentro de un documento con diez datos, por ejemplo, susceptibles de ser clasificados.</w:t>
            </w:r>
          </w:p>
          <w:p w14:paraId="30847258" w14:textId="77777777" w:rsidR="001C1ECC" w:rsidRDefault="001C1ECC">
            <w:pPr>
              <w:tabs>
                <w:tab w:val="left" w:pos="284"/>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1C1ECC" w14:paraId="4F65BE83" w14:textId="77777777" w:rsidTr="001C1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07F5ED" w14:textId="77777777" w:rsidR="001C1ECC" w:rsidRDefault="00A92FC8">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237" w:type="dxa"/>
          </w:tcPr>
          <w:p w14:paraId="75725DBC"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3F82F0EE"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D61A937" w14:textId="77777777" w:rsidR="001C1ECC" w:rsidRDefault="00A92FC8">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6A552C9" w14:textId="77777777" w:rsidR="001C1ECC" w:rsidRDefault="001C1ECC">
            <w:pPr>
              <w:tabs>
                <w:tab w:val="left" w:pos="284"/>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1C1ECC" w14:paraId="213B1A8E" w14:textId="77777777" w:rsidTr="001C1ECC">
        <w:tc>
          <w:tcPr>
            <w:cnfStyle w:val="001000000000" w:firstRow="0" w:lastRow="0" w:firstColumn="1" w:lastColumn="0" w:oddVBand="0" w:evenVBand="0" w:oddHBand="0" w:evenHBand="0" w:firstRowFirstColumn="0" w:firstRowLastColumn="0" w:lastRowFirstColumn="0" w:lastRowLastColumn="0"/>
            <w:tcW w:w="2689" w:type="dxa"/>
          </w:tcPr>
          <w:p w14:paraId="0D4A8B19" w14:textId="77777777" w:rsidR="001C1ECC" w:rsidRDefault="00A92FC8">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237" w:type="dxa"/>
          </w:tcPr>
          <w:p w14:paraId="7FC6F9F2" w14:textId="77777777" w:rsidR="001C1ECC" w:rsidRDefault="00A92FC8">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0F6FBE24" w14:textId="77777777" w:rsidR="001C1ECC" w:rsidRDefault="00A92FC8">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4CDE1D0E" w14:textId="77777777" w:rsidR="001C1ECC" w:rsidRDefault="00A92FC8">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w:t>
            </w:r>
            <w:r>
              <w:rPr>
                <w:rFonts w:ascii="Palatino Linotype" w:eastAsia="Palatino Linotype" w:hAnsi="Palatino Linotype" w:cs="Palatino Linotype"/>
                <w:color w:val="000000"/>
                <w:sz w:val="20"/>
                <w:szCs w:val="20"/>
              </w:rPr>
              <w:lastRenderedPageBreak/>
              <w:t>titulares de áreas y que son sujetas a control, en primera instancia, por el Comité de Transparencia.</w:t>
            </w:r>
          </w:p>
          <w:p w14:paraId="000D81D9" w14:textId="77777777" w:rsidR="001C1ECC" w:rsidRDefault="001C1ECC">
            <w:pPr>
              <w:tabs>
                <w:tab w:val="left" w:pos="284"/>
              </w:tabs>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p>
        </w:tc>
      </w:tr>
      <w:tr w:rsidR="001C1ECC" w14:paraId="22E38DE5" w14:textId="77777777" w:rsidTr="001C1E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768051" w14:textId="77777777" w:rsidR="001C1ECC" w:rsidRDefault="001C1ECC">
            <w:pPr>
              <w:tabs>
                <w:tab w:val="left" w:pos="284"/>
              </w:tabs>
              <w:spacing w:line="360" w:lineRule="auto"/>
              <w:rPr>
                <w:rFonts w:ascii="Palatino Linotype" w:eastAsia="Palatino Linotype" w:hAnsi="Palatino Linotype" w:cs="Palatino Linotype"/>
                <w:sz w:val="20"/>
                <w:szCs w:val="20"/>
              </w:rPr>
            </w:pPr>
          </w:p>
          <w:p w14:paraId="24259CE3" w14:textId="77777777" w:rsidR="001C1ECC" w:rsidRDefault="00A92FC8">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237" w:type="dxa"/>
          </w:tcPr>
          <w:p w14:paraId="520074E0"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14:paraId="769088FE"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1E46D63"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3454535"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237CDEB8" w14:textId="77777777" w:rsidR="001C1ECC" w:rsidRDefault="00A92FC8">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0878F1DE" w14:textId="77777777" w:rsidR="001C1ECC" w:rsidRDefault="001C1ECC">
            <w:pPr>
              <w:tabs>
                <w:tab w:val="left" w:pos="284"/>
              </w:tabs>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p>
        </w:tc>
      </w:tr>
      <w:tr w:rsidR="001C1ECC" w14:paraId="723E47AE" w14:textId="77777777" w:rsidTr="001C1ECC">
        <w:tc>
          <w:tcPr>
            <w:cnfStyle w:val="001000000000" w:firstRow="0" w:lastRow="0" w:firstColumn="1" w:lastColumn="0" w:oddVBand="0" w:evenVBand="0" w:oddHBand="0" w:evenHBand="0" w:firstRowFirstColumn="0" w:firstRowLastColumn="0" w:lastRowFirstColumn="0" w:lastRowLastColumn="0"/>
            <w:tcW w:w="2689" w:type="dxa"/>
          </w:tcPr>
          <w:p w14:paraId="0EC73F2B" w14:textId="77777777" w:rsidR="001C1ECC" w:rsidRDefault="00A92FC8">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 Condiciones especiales de la clasificación de la información como confidencial. </w:t>
            </w:r>
          </w:p>
        </w:tc>
        <w:tc>
          <w:tcPr>
            <w:tcW w:w="6237" w:type="dxa"/>
          </w:tcPr>
          <w:p w14:paraId="0CCF1836" w14:textId="77777777" w:rsidR="001C1ECC" w:rsidRDefault="00A92FC8">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7FE07CF2" w14:textId="77777777" w:rsidR="001C1ECC" w:rsidRDefault="00A92FC8">
            <w:pPr>
              <w:tabs>
                <w:tab w:val="left" w:pos="284"/>
              </w:tabs>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w:t>
            </w:r>
            <w:r>
              <w:rPr>
                <w:rFonts w:ascii="Palatino Linotype" w:eastAsia="Palatino Linotype" w:hAnsi="Palatino Linotype" w:cs="Palatino Linotype"/>
                <w:color w:val="000000"/>
                <w:sz w:val="20"/>
                <w:szCs w:val="20"/>
              </w:rPr>
              <w:lastRenderedPageBreak/>
              <w:t xml:space="preserve">Nación, los servidores públicos nos encontramos sujetos a un régimen menor de protección. </w:t>
            </w:r>
          </w:p>
          <w:p w14:paraId="62264BFE" w14:textId="77777777" w:rsidR="001C1ECC" w:rsidRDefault="00A92FC8">
            <w:pPr>
              <w:tabs>
                <w:tab w:val="left" w:pos="284"/>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A50DA71" w14:textId="77777777" w:rsidR="001C1ECC" w:rsidRDefault="001C1ECC">
      <w:pPr>
        <w:tabs>
          <w:tab w:val="left" w:pos="284"/>
        </w:tabs>
        <w:spacing w:line="360" w:lineRule="auto"/>
        <w:rPr>
          <w:rFonts w:ascii="Palatino Linotype" w:eastAsia="Palatino Linotype" w:hAnsi="Palatino Linotype" w:cs="Palatino Linotype"/>
          <w:color w:val="000000"/>
        </w:rPr>
      </w:pPr>
    </w:p>
    <w:p w14:paraId="6AD9012E" w14:textId="77777777" w:rsidR="001C1ECC" w:rsidRDefault="00A92FC8">
      <w:pPr>
        <w:numPr>
          <w:ilvl w:val="0"/>
          <w:numId w:val="8"/>
        </w:numPr>
        <w:spacing w:line="360" w:lineRule="auto"/>
        <w:ind w:left="0" w:firstLine="0"/>
        <w:jc w:val="both"/>
        <w:rPr>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220F43A4" w14:textId="77777777" w:rsidR="001C1ECC" w:rsidRDefault="001C1ECC">
      <w:pPr>
        <w:pBdr>
          <w:top w:val="nil"/>
          <w:left w:val="nil"/>
          <w:bottom w:val="nil"/>
          <w:right w:val="nil"/>
          <w:between w:val="nil"/>
        </w:pBdr>
        <w:ind w:left="720"/>
        <w:rPr>
          <w:rFonts w:ascii="Palatino Linotype" w:eastAsia="Palatino Linotype" w:hAnsi="Palatino Linotype" w:cs="Palatino Linotype"/>
          <w:color w:val="000000"/>
        </w:rPr>
      </w:pPr>
    </w:p>
    <w:p w14:paraId="3EA29CDB" w14:textId="77777777" w:rsidR="001C1ECC" w:rsidRDefault="00A92FC8">
      <w:pPr>
        <w:numPr>
          <w:ilvl w:val="0"/>
          <w:numId w:val="8"/>
        </w:numPr>
        <w:spacing w:line="360" w:lineRule="auto"/>
        <w:ind w:left="0" w:firstLine="0"/>
        <w:jc w:val="both"/>
      </w:pPr>
      <w:r>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14:paraId="7F6852D3" w14:textId="77777777" w:rsidR="001C1ECC" w:rsidRDefault="001C1EC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603E5D9D" w14:textId="77777777" w:rsidR="001C1ECC" w:rsidRDefault="00A92FC8">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 E S U E L V E</w:t>
      </w:r>
    </w:p>
    <w:p w14:paraId="539A3EB4" w14:textId="77777777" w:rsidR="001C1ECC" w:rsidRDefault="001C1ECC">
      <w:pPr>
        <w:spacing w:line="360" w:lineRule="auto"/>
        <w:jc w:val="center"/>
        <w:rPr>
          <w:rFonts w:ascii="Palatino Linotype" w:eastAsia="Palatino Linotype" w:hAnsi="Palatino Linotype" w:cs="Palatino Linotype"/>
          <w:b/>
        </w:rPr>
      </w:pPr>
    </w:p>
    <w:p w14:paraId="5F646418" w14:textId="77777777" w:rsidR="001C1ECC" w:rsidRDefault="00A92FC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Resultan parcialmente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04563/INFOEM/IP/RR/2023,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Quinto </w:t>
      </w:r>
      <w:r>
        <w:rPr>
          <w:rFonts w:ascii="Palatino Linotype" w:eastAsia="Palatino Linotype" w:hAnsi="Palatino Linotype" w:cs="Palatino Linotype"/>
        </w:rPr>
        <w:t>de la presente resolución.</w:t>
      </w:r>
    </w:p>
    <w:p w14:paraId="2960CB5B" w14:textId="77777777" w:rsidR="001C1ECC" w:rsidRDefault="001C1ECC">
      <w:pPr>
        <w:spacing w:line="360" w:lineRule="auto"/>
        <w:jc w:val="both"/>
        <w:rPr>
          <w:rFonts w:ascii="Palatino Linotype" w:eastAsia="Palatino Linotype" w:hAnsi="Palatino Linotype" w:cs="Palatino Linotype"/>
        </w:rPr>
      </w:pPr>
    </w:p>
    <w:p w14:paraId="01662559" w14:textId="77777777" w:rsidR="001C1ECC" w:rsidRDefault="00A92FC8">
      <w:pPr>
        <w:spacing w:line="360" w:lineRule="auto"/>
        <w:jc w:val="both"/>
        <w:rPr>
          <w:rFonts w:ascii="Palatino Linotype" w:eastAsia="Palatino Linotype" w:hAnsi="Palatino Linotype" w:cs="Palatino Linotype"/>
        </w:rPr>
      </w:pPr>
      <w:bookmarkStart w:id="7" w:name="_heading=h.35nkun2" w:colFirst="0" w:colLast="0"/>
      <w:bookmarkEnd w:id="7"/>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Ayuntamiento de Zinacantepec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(SAIMEX), de ser el caso en versión pública, la siguiente información concerniente al otorgamiento del crédito referido en la solicitud de información</w:t>
      </w:r>
      <w:r>
        <w:rPr>
          <w:rFonts w:ascii="Palatino Linotype" w:eastAsia="Palatino Linotype" w:hAnsi="Palatino Linotype" w:cs="Palatino Linotype"/>
        </w:rPr>
        <w:t>:</w:t>
      </w:r>
    </w:p>
    <w:p w14:paraId="46B37F27" w14:textId="77777777" w:rsidR="001C1ECC" w:rsidRDefault="001C1ECC">
      <w:pPr>
        <w:spacing w:line="360" w:lineRule="auto"/>
        <w:jc w:val="both"/>
        <w:rPr>
          <w:rFonts w:ascii="Palatino Linotype" w:eastAsia="Palatino Linotype" w:hAnsi="Palatino Linotype" w:cs="Palatino Linotype"/>
          <w:b/>
        </w:rPr>
      </w:pPr>
    </w:p>
    <w:p w14:paraId="6F21E15E" w14:textId="77777777" w:rsidR="001C1ECC" w:rsidRDefault="00A92FC8">
      <w:pPr>
        <w:numPr>
          <w:ilvl w:val="0"/>
          <w:numId w:val="2"/>
        </w:numPr>
        <w:pBdr>
          <w:top w:val="nil"/>
          <w:left w:val="nil"/>
          <w:bottom w:val="nil"/>
          <w:right w:val="nil"/>
          <w:between w:val="nil"/>
        </w:pBdr>
        <w:tabs>
          <w:tab w:val="left" w:pos="8080"/>
        </w:tabs>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Acta de Cabildo número 012/2022 de fecha diez de marzo de 2022;</w:t>
      </w:r>
    </w:p>
    <w:p w14:paraId="01CFD587" w14:textId="77777777" w:rsidR="001C1ECC" w:rsidRDefault="001C1ECC">
      <w:pPr>
        <w:pBdr>
          <w:top w:val="nil"/>
          <w:left w:val="nil"/>
          <w:bottom w:val="nil"/>
          <w:right w:val="nil"/>
          <w:between w:val="nil"/>
        </w:pBdr>
        <w:tabs>
          <w:tab w:val="left" w:pos="8080"/>
        </w:tabs>
        <w:ind w:left="720" w:right="51"/>
        <w:jc w:val="both"/>
        <w:rPr>
          <w:rFonts w:ascii="Palatino Linotype" w:eastAsia="Palatino Linotype" w:hAnsi="Palatino Linotype" w:cs="Palatino Linotype"/>
          <w:b/>
          <w:color w:val="000000"/>
        </w:rPr>
      </w:pPr>
    </w:p>
    <w:p w14:paraId="1D3F519F" w14:textId="77777777" w:rsidR="001C1ECC" w:rsidRDefault="00A92FC8">
      <w:pPr>
        <w:numPr>
          <w:ilvl w:val="0"/>
          <w:numId w:val="2"/>
        </w:numPr>
        <w:pBdr>
          <w:top w:val="nil"/>
          <w:left w:val="nil"/>
          <w:bottom w:val="nil"/>
          <w:right w:val="nil"/>
          <w:between w:val="nil"/>
        </w:pBdr>
        <w:tabs>
          <w:tab w:val="left" w:pos="8080"/>
        </w:tabs>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Comprobantes de pago realizados a la institución financiera, desde la fecha de otorgamiento del crédito, al 30 de junio 2023;</w:t>
      </w:r>
    </w:p>
    <w:p w14:paraId="212AEF5F" w14:textId="77777777" w:rsidR="001C1ECC" w:rsidRDefault="001C1ECC">
      <w:pPr>
        <w:pBdr>
          <w:top w:val="nil"/>
          <w:left w:val="nil"/>
          <w:bottom w:val="nil"/>
          <w:right w:val="nil"/>
          <w:between w:val="nil"/>
        </w:pBdr>
        <w:tabs>
          <w:tab w:val="left" w:pos="8080"/>
        </w:tabs>
        <w:ind w:left="720" w:right="51"/>
        <w:jc w:val="both"/>
        <w:rPr>
          <w:rFonts w:ascii="Palatino Linotype" w:eastAsia="Palatino Linotype" w:hAnsi="Palatino Linotype" w:cs="Palatino Linotype"/>
          <w:b/>
          <w:color w:val="000000"/>
        </w:rPr>
      </w:pPr>
    </w:p>
    <w:p w14:paraId="072DD93F" w14:textId="77777777" w:rsidR="001C1ECC" w:rsidRDefault="00A92FC8">
      <w:pPr>
        <w:numPr>
          <w:ilvl w:val="0"/>
          <w:numId w:val="2"/>
        </w:numPr>
        <w:pBdr>
          <w:top w:val="nil"/>
          <w:left w:val="nil"/>
          <w:bottom w:val="nil"/>
          <w:right w:val="nil"/>
          <w:between w:val="nil"/>
        </w:pBdr>
        <w:tabs>
          <w:tab w:val="left" w:pos="8080"/>
        </w:tabs>
        <w:ind w:right="51"/>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Estados de cuenta emitidos por la institución financiera, donde se advierta el saldo a pagar, al 30 de junio del 2023.</w:t>
      </w:r>
    </w:p>
    <w:p w14:paraId="04F3EF2D" w14:textId="77777777" w:rsidR="001C1ECC" w:rsidRDefault="001C1ECC">
      <w:pPr>
        <w:tabs>
          <w:tab w:val="left" w:pos="8080"/>
        </w:tabs>
        <w:spacing w:line="360" w:lineRule="auto"/>
        <w:ind w:right="49"/>
        <w:jc w:val="both"/>
        <w:rPr>
          <w:rFonts w:ascii="Palatino Linotype" w:eastAsia="Palatino Linotype" w:hAnsi="Palatino Linotype" w:cs="Palatino Linotype"/>
        </w:rPr>
      </w:pPr>
    </w:p>
    <w:p w14:paraId="1D2B480C" w14:textId="77777777" w:rsidR="001C1ECC" w:rsidRDefault="00A92FC8">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Pr>
          <w:rFonts w:ascii="Palatino Linotype" w:eastAsia="Palatino Linotype" w:hAnsi="Palatino Linotype" w:cs="Palatino Linotype"/>
          <w:b/>
        </w:rPr>
        <w:t>Recurrente.</w:t>
      </w:r>
    </w:p>
    <w:p w14:paraId="2077BEC4" w14:textId="77777777" w:rsidR="001C1ECC" w:rsidRDefault="001C1ECC">
      <w:pPr>
        <w:tabs>
          <w:tab w:val="left" w:pos="8080"/>
        </w:tabs>
        <w:spacing w:line="360" w:lineRule="auto"/>
        <w:ind w:right="49"/>
        <w:jc w:val="both"/>
        <w:rPr>
          <w:rFonts w:ascii="Palatino Linotype" w:eastAsia="Palatino Linotype" w:hAnsi="Palatino Linotype" w:cs="Palatino Linotype"/>
          <w:b/>
        </w:rPr>
      </w:pPr>
    </w:p>
    <w:p w14:paraId="2CDE26D8" w14:textId="77777777" w:rsidR="001C1ECC" w:rsidRDefault="00A92FC8">
      <w:pPr>
        <w:spacing w:line="360" w:lineRule="auto"/>
        <w:jc w:val="both"/>
        <w:rPr>
          <w:rFonts w:ascii="Palatino Linotype" w:eastAsia="Palatino Linotype" w:hAnsi="Palatino Linotype" w:cs="Palatino Linotype"/>
        </w:rPr>
      </w:pPr>
      <w:bookmarkStart w:id="8" w:name="_heading=h.4d34og8" w:colFirst="0" w:colLast="0"/>
      <w:bookmarkEnd w:id="8"/>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dé cumplimiento a lo ordenado dentro del plazo de diez días hábiles,</w:t>
      </w:r>
      <w:r>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84E470" w14:textId="77777777" w:rsidR="001C1ECC" w:rsidRDefault="001C1ECC">
      <w:pPr>
        <w:spacing w:line="360" w:lineRule="auto"/>
        <w:jc w:val="both"/>
        <w:rPr>
          <w:rFonts w:ascii="Palatino Linotype" w:eastAsia="Palatino Linotype" w:hAnsi="Palatino Linotype" w:cs="Palatino Linotype"/>
        </w:rPr>
      </w:pPr>
    </w:p>
    <w:p w14:paraId="423C90D4" w14:textId="77777777" w:rsidR="001C1ECC" w:rsidRDefault="00A92FC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88CDD53" w14:textId="77777777" w:rsidR="001C1ECC" w:rsidRDefault="001C1ECC">
      <w:pPr>
        <w:spacing w:line="360" w:lineRule="auto"/>
        <w:jc w:val="both"/>
        <w:rPr>
          <w:rFonts w:ascii="Palatino Linotype" w:eastAsia="Palatino Linotype" w:hAnsi="Palatino Linotype" w:cs="Palatino Linotype"/>
        </w:rPr>
      </w:pPr>
    </w:p>
    <w:p w14:paraId="3F13777E" w14:textId="77777777" w:rsidR="001C1ECC" w:rsidRDefault="00A92FC8">
      <w:pPr>
        <w:tabs>
          <w:tab w:val="left" w:pos="8080"/>
        </w:tabs>
        <w:spacing w:line="360" w:lineRule="auto"/>
        <w:ind w:right="49"/>
        <w:jc w:val="both"/>
        <w:rPr>
          <w:rFonts w:ascii="Palatino Linotype" w:eastAsia="Palatino Linotype" w:hAnsi="Palatino Linotype" w:cs="Palatino Linotype"/>
        </w:rPr>
      </w:pPr>
      <w:bookmarkStart w:id="9" w:name="_heading=h.1ksv4uv" w:colFirst="0" w:colLast="0"/>
      <w:bookmarkEnd w:id="9"/>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vía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68DBFB68" w14:textId="77777777" w:rsidR="001C1ECC" w:rsidRDefault="001C1ECC">
      <w:pPr>
        <w:tabs>
          <w:tab w:val="left" w:pos="8080"/>
        </w:tabs>
        <w:spacing w:line="360" w:lineRule="auto"/>
        <w:ind w:right="49"/>
        <w:jc w:val="both"/>
        <w:rPr>
          <w:rFonts w:ascii="Palatino Linotype" w:eastAsia="Palatino Linotype" w:hAnsi="Palatino Linotype" w:cs="Palatino Linotype"/>
        </w:rPr>
      </w:pPr>
    </w:p>
    <w:p w14:paraId="5A48AE6E" w14:textId="77777777" w:rsidR="001C1ECC" w:rsidRDefault="00A92FC8">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Se hace del conocimiento del</w:t>
      </w:r>
      <w:r>
        <w:rPr>
          <w:rFonts w:ascii="Palatino Linotype" w:eastAsia="Palatino Linotype" w:hAnsi="Palatino Linotype" w:cs="Palatino Linotype"/>
          <w:b/>
        </w:rPr>
        <w:t xml:space="preserve">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1589026" w14:textId="77777777" w:rsidR="001C1ECC" w:rsidRDefault="001C1ECC">
      <w:pPr>
        <w:shd w:val="clear" w:color="auto" w:fill="FFFFFF"/>
        <w:spacing w:line="360" w:lineRule="auto"/>
        <w:jc w:val="both"/>
        <w:rPr>
          <w:rFonts w:ascii="Palatino Linotype" w:eastAsia="Palatino Linotype" w:hAnsi="Palatino Linotype" w:cs="Palatino Linotype"/>
          <w:color w:val="000000"/>
        </w:rPr>
      </w:pPr>
    </w:p>
    <w:p w14:paraId="2D9EC1A5" w14:textId="77777777" w:rsidR="001E2795" w:rsidRPr="003C7186" w:rsidRDefault="001E2795" w:rsidP="001E2795">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SESIÓN ORDINARIA CELEBRADA EL </w:t>
      </w:r>
      <w:r>
        <w:rPr>
          <w:rFonts w:ascii="Palatino Linotype" w:hAnsi="Palatino Linotype"/>
        </w:rPr>
        <w:t>VEINTIOCHO</w:t>
      </w:r>
      <w:r w:rsidRPr="003C7186">
        <w:rPr>
          <w:rFonts w:ascii="Palatino Linotype" w:hAnsi="Palatino Linotype"/>
        </w:rPr>
        <w:t xml:space="preserve"> </w:t>
      </w:r>
      <w:r>
        <w:rPr>
          <w:rFonts w:ascii="Palatino Linotype" w:hAnsi="Palatino Linotype"/>
        </w:rPr>
        <w:t>(28) DE AGOSTO</w:t>
      </w:r>
      <w:r w:rsidRPr="003C7186">
        <w:rPr>
          <w:rFonts w:ascii="Palatino Linotype" w:hAnsi="Palatino Linotype"/>
        </w:rPr>
        <w:t xml:space="preserve"> DE DOS MIL VEINTICUATRO, ANTE EL SECRETARIO TÉCNICO DEL PLENO ALEXIS TAPIA RAMÍREZ. </w:t>
      </w:r>
    </w:p>
    <w:p w14:paraId="3E77A77D" w14:textId="77777777" w:rsidR="001C1ECC" w:rsidRDefault="001C1ECC">
      <w:pPr>
        <w:spacing w:line="360" w:lineRule="auto"/>
        <w:ind w:firstLine="1"/>
        <w:jc w:val="both"/>
        <w:rPr>
          <w:rFonts w:ascii="Palatino Linotype" w:eastAsia="Palatino Linotype" w:hAnsi="Palatino Linotype" w:cs="Palatino Linotype"/>
        </w:rPr>
      </w:pPr>
    </w:p>
    <w:p w14:paraId="0F614A5E" w14:textId="77777777" w:rsidR="001C1ECC" w:rsidRDefault="001C1ECC">
      <w:pPr>
        <w:spacing w:line="360" w:lineRule="auto"/>
        <w:ind w:firstLine="1"/>
        <w:jc w:val="both"/>
        <w:rPr>
          <w:rFonts w:ascii="Palatino Linotype" w:eastAsia="Palatino Linotype" w:hAnsi="Palatino Linotype" w:cs="Palatino Linotype"/>
        </w:rPr>
      </w:pPr>
    </w:p>
    <w:p w14:paraId="226EB777" w14:textId="77777777" w:rsidR="001C1ECC" w:rsidRDefault="001C1ECC">
      <w:pPr>
        <w:spacing w:line="360" w:lineRule="auto"/>
        <w:ind w:firstLine="1"/>
        <w:jc w:val="both"/>
        <w:rPr>
          <w:rFonts w:ascii="Palatino Linotype" w:eastAsia="Palatino Linotype" w:hAnsi="Palatino Linotype" w:cs="Palatino Linotype"/>
        </w:rPr>
      </w:pPr>
    </w:p>
    <w:p w14:paraId="0C81165E" w14:textId="77777777" w:rsidR="001C1ECC" w:rsidRDefault="001C1ECC">
      <w:pPr>
        <w:spacing w:line="360" w:lineRule="auto"/>
        <w:ind w:firstLine="1"/>
        <w:jc w:val="both"/>
        <w:rPr>
          <w:rFonts w:ascii="Palatino Linotype" w:eastAsia="Palatino Linotype" w:hAnsi="Palatino Linotype" w:cs="Palatino Linotype"/>
        </w:rPr>
      </w:pPr>
    </w:p>
    <w:p w14:paraId="4F43C839" w14:textId="77777777" w:rsidR="001C1ECC" w:rsidRDefault="001C1ECC">
      <w:pPr>
        <w:spacing w:line="360" w:lineRule="auto"/>
        <w:ind w:firstLine="1"/>
        <w:jc w:val="both"/>
        <w:rPr>
          <w:rFonts w:ascii="Palatino Linotype" w:eastAsia="Palatino Linotype" w:hAnsi="Palatino Linotype" w:cs="Palatino Linotype"/>
        </w:rPr>
      </w:pPr>
    </w:p>
    <w:p w14:paraId="766515C2" w14:textId="77777777" w:rsidR="001C1ECC" w:rsidRDefault="001C1ECC">
      <w:pPr>
        <w:spacing w:line="360" w:lineRule="auto"/>
        <w:ind w:firstLine="1"/>
        <w:jc w:val="both"/>
        <w:rPr>
          <w:rFonts w:ascii="Palatino Linotype" w:eastAsia="Palatino Linotype" w:hAnsi="Palatino Linotype" w:cs="Palatino Linotype"/>
        </w:rPr>
      </w:pPr>
    </w:p>
    <w:p w14:paraId="1F00B8A0" w14:textId="77777777" w:rsidR="001C1ECC" w:rsidRDefault="001C1ECC">
      <w:pPr>
        <w:spacing w:line="360" w:lineRule="auto"/>
        <w:ind w:firstLine="1"/>
        <w:jc w:val="both"/>
        <w:rPr>
          <w:rFonts w:ascii="Palatino Linotype" w:eastAsia="Palatino Linotype" w:hAnsi="Palatino Linotype" w:cs="Palatino Linotype"/>
        </w:rPr>
      </w:pPr>
    </w:p>
    <w:p w14:paraId="79B7A36B" w14:textId="77777777" w:rsidR="001C1ECC" w:rsidRDefault="001C1ECC">
      <w:pPr>
        <w:spacing w:line="360" w:lineRule="auto"/>
        <w:ind w:firstLine="1"/>
        <w:jc w:val="both"/>
        <w:rPr>
          <w:rFonts w:ascii="Palatino Linotype" w:eastAsia="Palatino Linotype" w:hAnsi="Palatino Linotype" w:cs="Palatino Linotype"/>
        </w:rPr>
      </w:pPr>
    </w:p>
    <w:p w14:paraId="15054326" w14:textId="77777777" w:rsidR="001C1ECC" w:rsidRDefault="001C1ECC">
      <w:pPr>
        <w:spacing w:line="360" w:lineRule="auto"/>
        <w:ind w:firstLine="1"/>
        <w:jc w:val="both"/>
        <w:rPr>
          <w:rFonts w:ascii="Palatino Linotype" w:eastAsia="Palatino Linotype" w:hAnsi="Palatino Linotype" w:cs="Palatino Linotype"/>
        </w:rPr>
      </w:pPr>
    </w:p>
    <w:p w14:paraId="05EDC547" w14:textId="77777777" w:rsidR="001C1ECC" w:rsidRDefault="001C1ECC">
      <w:pPr>
        <w:spacing w:line="360" w:lineRule="auto"/>
        <w:ind w:firstLine="1"/>
        <w:jc w:val="both"/>
        <w:rPr>
          <w:rFonts w:ascii="Palatino Linotype" w:eastAsia="Palatino Linotype" w:hAnsi="Palatino Linotype" w:cs="Palatino Linotype"/>
        </w:rPr>
      </w:pPr>
    </w:p>
    <w:p w14:paraId="0DB5D850" w14:textId="77777777" w:rsidR="001C1ECC" w:rsidRDefault="001C1ECC">
      <w:pPr>
        <w:spacing w:line="360" w:lineRule="auto"/>
        <w:ind w:firstLine="1"/>
        <w:jc w:val="both"/>
        <w:rPr>
          <w:rFonts w:ascii="Palatino Linotype" w:eastAsia="Palatino Linotype" w:hAnsi="Palatino Linotype" w:cs="Palatino Linotype"/>
        </w:rPr>
      </w:pPr>
    </w:p>
    <w:p w14:paraId="14382C4A" w14:textId="77777777" w:rsidR="001C1ECC" w:rsidRDefault="001C1ECC">
      <w:pPr>
        <w:spacing w:line="360" w:lineRule="auto"/>
        <w:ind w:firstLine="1"/>
        <w:jc w:val="both"/>
        <w:rPr>
          <w:rFonts w:ascii="Palatino Linotype" w:eastAsia="Palatino Linotype" w:hAnsi="Palatino Linotype" w:cs="Palatino Linotype"/>
        </w:rPr>
      </w:pPr>
    </w:p>
    <w:p w14:paraId="4A07C157" w14:textId="77777777" w:rsidR="001C1ECC" w:rsidRDefault="001C1ECC">
      <w:pPr>
        <w:spacing w:line="360" w:lineRule="auto"/>
        <w:ind w:firstLine="1"/>
        <w:jc w:val="both"/>
        <w:rPr>
          <w:rFonts w:ascii="Palatino Linotype" w:eastAsia="Palatino Linotype" w:hAnsi="Palatino Linotype" w:cs="Palatino Linotype"/>
        </w:rPr>
      </w:pPr>
    </w:p>
    <w:p w14:paraId="2690F1C3" w14:textId="77777777" w:rsidR="001C1ECC" w:rsidRDefault="001C1ECC">
      <w:pPr>
        <w:spacing w:line="360" w:lineRule="auto"/>
        <w:ind w:firstLine="1"/>
        <w:jc w:val="both"/>
        <w:rPr>
          <w:rFonts w:ascii="Palatino Linotype" w:eastAsia="Palatino Linotype" w:hAnsi="Palatino Linotype" w:cs="Palatino Linotype"/>
        </w:rPr>
      </w:pPr>
    </w:p>
    <w:p w14:paraId="21978070" w14:textId="77777777" w:rsidR="001C1ECC" w:rsidRDefault="001C1ECC">
      <w:pPr>
        <w:spacing w:line="360" w:lineRule="auto"/>
        <w:ind w:firstLine="1"/>
        <w:jc w:val="both"/>
        <w:rPr>
          <w:rFonts w:ascii="Palatino Linotype" w:eastAsia="Palatino Linotype" w:hAnsi="Palatino Linotype" w:cs="Palatino Linotype"/>
        </w:rPr>
      </w:pPr>
    </w:p>
    <w:p w14:paraId="4C26FDD0" w14:textId="77777777" w:rsidR="001C1ECC" w:rsidRDefault="001C1ECC">
      <w:pPr>
        <w:spacing w:line="360" w:lineRule="auto"/>
        <w:ind w:firstLine="1"/>
        <w:jc w:val="both"/>
        <w:rPr>
          <w:rFonts w:ascii="Palatino Linotype" w:eastAsia="Palatino Linotype" w:hAnsi="Palatino Linotype" w:cs="Palatino Linotype"/>
        </w:rPr>
      </w:pPr>
    </w:p>
    <w:p w14:paraId="0EE3E616" w14:textId="77777777" w:rsidR="001C1ECC" w:rsidRDefault="001C1ECC">
      <w:pPr>
        <w:spacing w:line="360" w:lineRule="auto"/>
        <w:ind w:firstLine="1"/>
        <w:jc w:val="both"/>
        <w:rPr>
          <w:rFonts w:ascii="Palatino Linotype" w:eastAsia="Palatino Linotype" w:hAnsi="Palatino Linotype" w:cs="Palatino Linotype"/>
        </w:rPr>
      </w:pPr>
    </w:p>
    <w:p w14:paraId="57FEA572" w14:textId="77777777" w:rsidR="001C1ECC" w:rsidRDefault="001C1ECC">
      <w:pPr>
        <w:spacing w:line="360" w:lineRule="auto"/>
        <w:jc w:val="both"/>
        <w:rPr>
          <w:rFonts w:ascii="Palatino Linotype" w:eastAsia="Palatino Linotype" w:hAnsi="Palatino Linotype" w:cs="Palatino Linotype"/>
        </w:rPr>
      </w:pPr>
    </w:p>
    <w:p w14:paraId="5F1DDCE1" w14:textId="77777777" w:rsidR="001C1ECC" w:rsidRDefault="001C1ECC">
      <w:pPr>
        <w:spacing w:line="360" w:lineRule="auto"/>
        <w:jc w:val="both"/>
        <w:rPr>
          <w:rFonts w:ascii="Palatino Linotype" w:eastAsia="Palatino Linotype" w:hAnsi="Palatino Linotype" w:cs="Palatino Linotype"/>
        </w:rPr>
      </w:pPr>
    </w:p>
    <w:p w14:paraId="17AF951C" w14:textId="77777777" w:rsidR="001C1ECC" w:rsidRDefault="001C1ECC">
      <w:pPr>
        <w:spacing w:line="360" w:lineRule="auto"/>
        <w:jc w:val="both"/>
        <w:rPr>
          <w:rFonts w:ascii="Palatino Linotype" w:eastAsia="Palatino Linotype" w:hAnsi="Palatino Linotype" w:cs="Palatino Linotype"/>
        </w:rPr>
      </w:pPr>
    </w:p>
    <w:p w14:paraId="45F7FFD4" w14:textId="77777777" w:rsidR="001C1ECC" w:rsidRDefault="001C1ECC">
      <w:pPr>
        <w:spacing w:line="360" w:lineRule="auto"/>
        <w:jc w:val="both"/>
        <w:rPr>
          <w:rFonts w:ascii="Palatino Linotype" w:eastAsia="Palatino Linotype" w:hAnsi="Palatino Linotype" w:cs="Palatino Linotype"/>
        </w:rPr>
      </w:pPr>
    </w:p>
    <w:p w14:paraId="561E4BBF" w14:textId="77777777" w:rsidR="001C1ECC" w:rsidRDefault="001C1ECC">
      <w:pPr>
        <w:spacing w:line="360" w:lineRule="auto"/>
        <w:jc w:val="both"/>
        <w:rPr>
          <w:rFonts w:ascii="Palatino Linotype" w:eastAsia="Palatino Linotype" w:hAnsi="Palatino Linotype" w:cs="Palatino Linotype"/>
        </w:rPr>
      </w:pPr>
    </w:p>
    <w:p w14:paraId="634CAF28" w14:textId="77777777" w:rsidR="001C1ECC" w:rsidRDefault="001C1ECC">
      <w:pPr>
        <w:spacing w:line="360" w:lineRule="auto"/>
        <w:jc w:val="both"/>
        <w:rPr>
          <w:rFonts w:ascii="Palatino Linotype" w:eastAsia="Palatino Linotype" w:hAnsi="Palatino Linotype" w:cs="Palatino Linotype"/>
        </w:rPr>
      </w:pPr>
    </w:p>
    <w:p w14:paraId="0FE88A65" w14:textId="77777777" w:rsidR="001C1ECC" w:rsidRDefault="001C1ECC">
      <w:pPr>
        <w:spacing w:line="360" w:lineRule="auto"/>
        <w:rPr>
          <w:rFonts w:ascii="Palatino Linotype" w:eastAsia="Palatino Linotype" w:hAnsi="Palatino Linotype" w:cs="Palatino Linotype"/>
        </w:rPr>
      </w:pPr>
    </w:p>
    <w:p w14:paraId="6711F7A4" w14:textId="77777777" w:rsidR="001C1ECC" w:rsidRDefault="001C1ECC">
      <w:pPr>
        <w:spacing w:line="360" w:lineRule="auto"/>
        <w:rPr>
          <w:rFonts w:ascii="Palatino Linotype" w:eastAsia="Palatino Linotype" w:hAnsi="Palatino Linotype" w:cs="Palatino Linotype"/>
        </w:rPr>
      </w:pPr>
    </w:p>
    <w:p w14:paraId="37563C33" w14:textId="77777777" w:rsidR="001C1ECC" w:rsidRDefault="001C1ECC">
      <w:pPr>
        <w:tabs>
          <w:tab w:val="left" w:pos="3374"/>
        </w:tabs>
        <w:spacing w:line="360" w:lineRule="auto"/>
        <w:rPr>
          <w:rFonts w:ascii="Palatino Linotype" w:eastAsia="Palatino Linotype" w:hAnsi="Palatino Linotype" w:cs="Palatino Linotype"/>
        </w:rPr>
      </w:pPr>
    </w:p>
    <w:sectPr w:rsidR="001C1ECC">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9729" w14:textId="77777777" w:rsidR="009505D1" w:rsidRDefault="009505D1">
      <w:r>
        <w:separator/>
      </w:r>
    </w:p>
  </w:endnote>
  <w:endnote w:type="continuationSeparator" w:id="0">
    <w:p w14:paraId="63ACC392" w14:textId="77777777" w:rsidR="009505D1" w:rsidRDefault="0095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3CD" w14:textId="77777777" w:rsidR="001C1ECC" w:rsidRDefault="00A92FC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418B6">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418B6">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14:paraId="57D59F7D" w14:textId="77777777" w:rsidR="001C1ECC" w:rsidRDefault="001C1ECC">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6AE1" w14:textId="77777777" w:rsidR="001C1ECC" w:rsidRDefault="00A92FC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418B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418B6">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14:paraId="13DFE1FB" w14:textId="77777777" w:rsidR="001C1ECC" w:rsidRDefault="001C1ECC">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965D" w14:textId="77777777" w:rsidR="009505D1" w:rsidRDefault="009505D1">
      <w:r>
        <w:separator/>
      </w:r>
    </w:p>
  </w:footnote>
  <w:footnote w:type="continuationSeparator" w:id="0">
    <w:p w14:paraId="00A007BE" w14:textId="77777777" w:rsidR="009505D1" w:rsidRDefault="009505D1">
      <w:r>
        <w:continuationSeparator/>
      </w:r>
    </w:p>
  </w:footnote>
  <w:footnote w:id="1">
    <w:p w14:paraId="2E701811" w14:textId="77777777" w:rsidR="001C1ECC" w:rsidRDefault="00A92F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D5820A4" w14:textId="77777777" w:rsidR="001C1ECC" w:rsidRDefault="00A92F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58E8F819" w14:textId="77777777" w:rsidR="001C1ECC" w:rsidRDefault="00A92FC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7C82C855" w14:textId="77777777" w:rsidR="001C1ECC" w:rsidRDefault="00A92FC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404C66F4" w14:textId="77777777" w:rsidR="001C1ECC" w:rsidRDefault="00A92FC8">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4E168511" w14:textId="77777777" w:rsidR="001C1ECC" w:rsidRDefault="00A92FC8">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50FBC2A1" w14:textId="77777777" w:rsidR="001C1ECC" w:rsidRDefault="00A92FC8">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5667214" w14:textId="77777777" w:rsidR="001C1ECC" w:rsidRDefault="00A92FC8">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FB22" w14:textId="77777777" w:rsidR="001C1ECC" w:rsidRDefault="009505D1">
    <w:pPr>
      <w:pBdr>
        <w:top w:val="nil"/>
        <w:left w:val="nil"/>
        <w:bottom w:val="nil"/>
        <w:right w:val="nil"/>
        <w:between w:val="nil"/>
      </w:pBdr>
      <w:tabs>
        <w:tab w:val="center" w:pos="4419"/>
        <w:tab w:val="right" w:pos="8838"/>
      </w:tabs>
      <w:rPr>
        <w:rFonts w:eastAsia="Calibri"/>
        <w:color w:val="000000"/>
      </w:rPr>
    </w:pPr>
    <w:r>
      <w:rPr>
        <w:rFonts w:eastAsia="Calibri"/>
        <w:color w:val="000000"/>
      </w:rPr>
      <w:pict w14:anchorId="7043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F3DB" w14:textId="77777777" w:rsidR="001C1ECC" w:rsidRDefault="001C1ECC">
    <w:pPr>
      <w:widowControl w:val="0"/>
      <w:pBdr>
        <w:top w:val="nil"/>
        <w:left w:val="nil"/>
        <w:bottom w:val="nil"/>
        <w:right w:val="nil"/>
        <w:between w:val="nil"/>
      </w:pBdr>
      <w:spacing w:line="276" w:lineRule="auto"/>
      <w:rPr>
        <w:rFonts w:eastAsia="Calibri"/>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1C1ECC" w14:paraId="0D7A430E" w14:textId="77777777">
      <w:trPr>
        <w:trHeight w:val="227"/>
      </w:trPr>
      <w:tc>
        <w:tcPr>
          <w:tcW w:w="2976" w:type="dxa"/>
          <w:vAlign w:val="center"/>
        </w:tcPr>
        <w:p w14:paraId="1B7DCE5C" w14:textId="77777777" w:rsidR="001C1ECC" w:rsidRDefault="00A92FC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46262EF" w14:textId="77777777" w:rsidR="001C1ECC" w:rsidRDefault="00A92F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04563/INFOEM/IP/RR/2023</w:t>
          </w:r>
        </w:p>
      </w:tc>
    </w:tr>
    <w:tr w:rsidR="001C1ECC" w14:paraId="7147719D" w14:textId="77777777">
      <w:trPr>
        <w:trHeight w:val="242"/>
      </w:trPr>
      <w:tc>
        <w:tcPr>
          <w:tcW w:w="2976" w:type="dxa"/>
          <w:vAlign w:val="center"/>
        </w:tcPr>
        <w:p w14:paraId="266B322D" w14:textId="77777777" w:rsidR="001C1ECC" w:rsidRDefault="00A92FC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970A3C3" w14:textId="77777777" w:rsidR="001C1ECC" w:rsidRDefault="00A92FC8">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Zinacantepec</w:t>
          </w:r>
        </w:p>
      </w:tc>
    </w:tr>
    <w:tr w:rsidR="001C1ECC" w14:paraId="7E7177F1" w14:textId="77777777">
      <w:trPr>
        <w:trHeight w:val="342"/>
      </w:trPr>
      <w:tc>
        <w:tcPr>
          <w:tcW w:w="2976" w:type="dxa"/>
          <w:vAlign w:val="center"/>
        </w:tcPr>
        <w:p w14:paraId="5CDE84F3" w14:textId="77777777" w:rsidR="001C1ECC" w:rsidRDefault="00A92FC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5F9F544A" w14:textId="77777777" w:rsidR="001C1ECC" w:rsidRDefault="00A92F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2134951" w14:textId="77777777" w:rsidR="001C1ECC" w:rsidRDefault="009505D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w14:anchorId="76890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DC52" w14:textId="77777777" w:rsidR="001C1ECC" w:rsidRDefault="001C1ECC">
    <w:pPr>
      <w:widowControl w:val="0"/>
      <w:pBdr>
        <w:top w:val="nil"/>
        <w:left w:val="nil"/>
        <w:bottom w:val="nil"/>
        <w:right w:val="nil"/>
        <w:between w:val="nil"/>
      </w:pBdr>
      <w:spacing w:line="276" w:lineRule="auto"/>
      <w:rPr>
        <w:rFonts w:eastAsia="Calibri"/>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1C1ECC" w14:paraId="5980305F" w14:textId="77777777">
      <w:trPr>
        <w:trHeight w:val="227"/>
      </w:trPr>
      <w:tc>
        <w:tcPr>
          <w:tcW w:w="2977" w:type="dxa"/>
          <w:vAlign w:val="center"/>
        </w:tcPr>
        <w:p w14:paraId="1DCC262F" w14:textId="77777777" w:rsidR="001C1ECC" w:rsidRDefault="00A92F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14:paraId="3BE19E3C" w14:textId="77777777" w:rsidR="001C1ECC" w:rsidRDefault="00A92F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04563/INFOEM/IP/RR/2023</w:t>
          </w:r>
        </w:p>
      </w:tc>
    </w:tr>
    <w:tr w:rsidR="001C1ECC" w14:paraId="6F6B53E4" w14:textId="77777777">
      <w:trPr>
        <w:trHeight w:val="242"/>
      </w:trPr>
      <w:tc>
        <w:tcPr>
          <w:tcW w:w="2977" w:type="dxa"/>
          <w:vAlign w:val="center"/>
        </w:tcPr>
        <w:p w14:paraId="25CC9EC7" w14:textId="77777777" w:rsidR="001C1ECC" w:rsidRDefault="00A92F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14:paraId="35F41235" w14:textId="311B25E7" w:rsidR="001C1ECC" w:rsidRDefault="00D74F30">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1C1ECC" w14:paraId="6BC96190" w14:textId="77777777">
      <w:trPr>
        <w:trHeight w:val="342"/>
      </w:trPr>
      <w:tc>
        <w:tcPr>
          <w:tcW w:w="2977" w:type="dxa"/>
          <w:vAlign w:val="center"/>
        </w:tcPr>
        <w:p w14:paraId="037E4D77" w14:textId="77777777" w:rsidR="001C1ECC" w:rsidRDefault="00A92F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14:paraId="1F6E769E" w14:textId="77777777" w:rsidR="001C1ECC" w:rsidRDefault="00A92FC8">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Zinacantepec</w:t>
          </w:r>
        </w:p>
      </w:tc>
    </w:tr>
    <w:tr w:rsidR="001C1ECC" w14:paraId="73E263B9" w14:textId="77777777">
      <w:trPr>
        <w:trHeight w:val="342"/>
      </w:trPr>
      <w:tc>
        <w:tcPr>
          <w:tcW w:w="2977" w:type="dxa"/>
          <w:vAlign w:val="center"/>
        </w:tcPr>
        <w:p w14:paraId="27B0CD2C" w14:textId="77777777" w:rsidR="001C1ECC" w:rsidRDefault="00A92FC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14:paraId="44BBCE33" w14:textId="77777777" w:rsidR="001C1ECC" w:rsidRDefault="00A92FC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4F18B14F" w14:textId="77777777" w:rsidR="001C1ECC" w:rsidRDefault="009505D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w14:anchorId="01442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7A72"/>
    <w:multiLevelType w:val="multilevel"/>
    <w:tmpl w:val="794254B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1ED747A9"/>
    <w:multiLevelType w:val="multilevel"/>
    <w:tmpl w:val="E9781F8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15:restartNumberingAfterBreak="0">
    <w:nsid w:val="2F366B24"/>
    <w:multiLevelType w:val="multilevel"/>
    <w:tmpl w:val="1AFECFA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43059E"/>
    <w:multiLevelType w:val="multilevel"/>
    <w:tmpl w:val="433CA01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9DE0C4A"/>
    <w:multiLevelType w:val="multilevel"/>
    <w:tmpl w:val="4BDA7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99355C"/>
    <w:multiLevelType w:val="multilevel"/>
    <w:tmpl w:val="8D70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38217E"/>
    <w:multiLevelType w:val="multilevel"/>
    <w:tmpl w:val="0AC0AB9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E95969"/>
    <w:multiLevelType w:val="multilevel"/>
    <w:tmpl w:val="BE9031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8" w15:restartNumberingAfterBreak="0">
    <w:nsid w:val="72724324"/>
    <w:multiLevelType w:val="multilevel"/>
    <w:tmpl w:val="FFAE68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679DE"/>
    <w:multiLevelType w:val="multilevel"/>
    <w:tmpl w:val="3708AA6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237251272">
    <w:abstractNumId w:val="8"/>
  </w:num>
  <w:num w:numId="2" w16cid:durableId="1019618639">
    <w:abstractNumId w:val="4"/>
  </w:num>
  <w:num w:numId="3" w16cid:durableId="1888839179">
    <w:abstractNumId w:val="7"/>
  </w:num>
  <w:num w:numId="4" w16cid:durableId="1792699920">
    <w:abstractNumId w:val="1"/>
  </w:num>
  <w:num w:numId="5" w16cid:durableId="158274945">
    <w:abstractNumId w:val="9"/>
  </w:num>
  <w:num w:numId="6" w16cid:durableId="430734920">
    <w:abstractNumId w:val="5"/>
  </w:num>
  <w:num w:numId="7" w16cid:durableId="1627930087">
    <w:abstractNumId w:val="0"/>
  </w:num>
  <w:num w:numId="8" w16cid:durableId="216170083">
    <w:abstractNumId w:val="6"/>
  </w:num>
  <w:num w:numId="9" w16cid:durableId="399136146">
    <w:abstractNumId w:val="3"/>
  </w:num>
  <w:num w:numId="10" w16cid:durableId="40345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CC"/>
    <w:rsid w:val="001418B6"/>
    <w:rsid w:val="001C1ECC"/>
    <w:rsid w:val="001E2795"/>
    <w:rsid w:val="00355040"/>
    <w:rsid w:val="00444A5C"/>
    <w:rsid w:val="007210CF"/>
    <w:rsid w:val="00730C42"/>
    <w:rsid w:val="009505D1"/>
    <w:rsid w:val="00952942"/>
    <w:rsid w:val="009762FB"/>
    <w:rsid w:val="00A92FC8"/>
    <w:rsid w:val="00D74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BB28"/>
  <w15:docId w15:val="{9796F2AE-ABBD-4B15-A7FB-58BD0693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rsid w:val="00E54602"/>
    <w:pPr>
      <w:numPr>
        <w:numId w:val="10"/>
      </w:numPr>
      <w:contextualSpacing/>
    </w:pPr>
    <w:rPr>
      <w:rFonts w:ascii="Times New Roman" w:eastAsia="Times New Roman" w:hAnsi="Times New Roman" w:cs="Times New Roman"/>
      <w:sz w:val="20"/>
      <w:szCs w:val="20"/>
      <w:lang w:val="es-MX"/>
    </w:rPr>
  </w:style>
  <w:style w:type="table" w:customStyle="1" w:styleId="Tablanormal12">
    <w:name w:val="Tabla normal 12"/>
    <w:basedOn w:val="Tablanormal"/>
    <w:next w:val="Tablanormal1"/>
    <w:uiPriority w:val="41"/>
    <w:rsid w:val="00A42F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rsid w:val="003D5565"/>
    <w:pPr>
      <w:spacing w:before="100" w:beforeAutospacing="1"/>
      <w:ind w:left="720"/>
      <w:contextualSpacing/>
    </w:pPr>
    <w:rPr>
      <w:rFonts w:ascii="Century Gothic" w:eastAsia="Times New Roman" w:hAnsi="Century Gothic" w:cs="Times New Roman"/>
      <w:sz w:val="22"/>
      <w:szCs w:val="22"/>
      <w:lang w:val="es-MX" w:eastAsia="es-MX"/>
    </w:rPr>
  </w:style>
  <w:style w:type="character" w:customStyle="1" w:styleId="15">
    <w:name w:val="15"/>
    <w:basedOn w:val="Fuentedeprrafopredeter"/>
    <w:rsid w:val="008C6D2B"/>
    <w:rPr>
      <w:rFonts w:ascii="Calibri" w:hAnsi="Calibri" w:cs="Calibri" w:hint="default"/>
      <w:color w:val="0563C1"/>
      <w:u w:val="single"/>
    </w:rPr>
  </w:style>
  <w:style w:type="paragraph" w:customStyle="1" w:styleId="Default">
    <w:name w:val="Default"/>
    <w:rsid w:val="009D7098"/>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eFE3qz2rejpZQX0rQwwBL42g==">CgMxLjAyCGguZ2pkZ3hzMgloLjFmb2I5dGUyCWguM3pueXNoNzIJaC4yZXQ5MnAwMghoLnR5amN3dDIJaC4zZHk2dmttMgloLjF0M2g1c2YyCWguMzVua3VuMjIJaC40ZDM0b2c4MgloLjFrc3Y0dXY4AHIhMXctWmFMVUNZQktBMkhNcFM0SThSTGxmeUh4U3hFYTIw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8391</Words>
  <Characters>46152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inf03m612@outlook.com</cp:lastModifiedBy>
  <cp:revision>7</cp:revision>
  <cp:lastPrinted>2024-08-29T22:20:00Z</cp:lastPrinted>
  <dcterms:created xsi:type="dcterms:W3CDTF">2024-08-26T22:56:00Z</dcterms:created>
  <dcterms:modified xsi:type="dcterms:W3CDTF">2024-09-04T18:14:00Z</dcterms:modified>
</cp:coreProperties>
</file>