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F3517" w14:textId="77777777" w:rsidR="00ED76AF" w:rsidRDefault="00ED76AF" w:rsidP="005F07F5">
      <w:pPr>
        <w:spacing w:line="360" w:lineRule="auto"/>
        <w:ind w:left="708" w:hanging="708"/>
        <w:contextualSpacing/>
        <w:jc w:val="both"/>
        <w:rPr>
          <w:rFonts w:ascii="Palatino Linotype" w:hAnsi="Palatino Linotype" w:cs="Tahoma"/>
          <w:bCs/>
          <w:sz w:val="22"/>
          <w:szCs w:val="22"/>
        </w:rPr>
      </w:pPr>
      <w:bookmarkStart w:id="0" w:name="_Hlk76457302"/>
    </w:p>
    <w:p w14:paraId="1DF4B535" w14:textId="05CC9F1F" w:rsidR="00E35DF9" w:rsidRPr="006B0A9B" w:rsidRDefault="00E35DF9" w:rsidP="00FF426B">
      <w:pPr>
        <w:spacing w:line="360" w:lineRule="auto"/>
        <w:contextualSpacing/>
        <w:jc w:val="both"/>
        <w:rPr>
          <w:rFonts w:ascii="Palatino Linotype" w:hAnsi="Palatino Linotype" w:cs="Tahoma"/>
          <w:bCs/>
          <w:sz w:val="22"/>
          <w:szCs w:val="22"/>
        </w:rPr>
      </w:pPr>
      <w:r w:rsidRPr="006B0A9B">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F93A36" w:rsidRPr="006B0A9B">
        <w:rPr>
          <w:rFonts w:ascii="Palatino Linotype" w:hAnsi="Palatino Linotype" w:cs="Tahoma"/>
          <w:bCs/>
          <w:sz w:val="22"/>
          <w:szCs w:val="22"/>
        </w:rPr>
        <w:t xml:space="preserve"> </w:t>
      </w:r>
      <w:r w:rsidR="001B3616" w:rsidRPr="006B0A9B">
        <w:rPr>
          <w:rFonts w:ascii="Palatino Linotype" w:hAnsi="Palatino Linotype" w:cs="Tahoma"/>
          <w:bCs/>
          <w:sz w:val="22"/>
          <w:szCs w:val="22"/>
        </w:rPr>
        <w:t>veintiuno</w:t>
      </w:r>
      <w:r w:rsidR="00AA1974" w:rsidRPr="006B0A9B">
        <w:rPr>
          <w:rFonts w:ascii="Palatino Linotype" w:hAnsi="Palatino Linotype" w:cs="Tahoma"/>
          <w:bCs/>
          <w:sz w:val="22"/>
          <w:szCs w:val="22"/>
        </w:rPr>
        <w:t xml:space="preserve"> de noviembre</w:t>
      </w:r>
      <w:r w:rsidR="00552F49" w:rsidRPr="006B0A9B">
        <w:rPr>
          <w:rFonts w:ascii="Palatino Linotype" w:hAnsi="Palatino Linotype" w:cs="Tahoma"/>
          <w:bCs/>
          <w:sz w:val="22"/>
          <w:szCs w:val="22"/>
        </w:rPr>
        <w:t xml:space="preserve"> </w:t>
      </w:r>
      <w:r w:rsidR="008453FA" w:rsidRPr="006B0A9B">
        <w:rPr>
          <w:rFonts w:ascii="Palatino Linotype" w:hAnsi="Palatino Linotype" w:cs="Tahoma"/>
          <w:bCs/>
          <w:sz w:val="22"/>
          <w:szCs w:val="22"/>
        </w:rPr>
        <w:t>de dos mil veinti</w:t>
      </w:r>
      <w:r w:rsidR="00F93A36" w:rsidRPr="006B0A9B">
        <w:rPr>
          <w:rFonts w:ascii="Palatino Linotype" w:hAnsi="Palatino Linotype" w:cs="Tahoma"/>
          <w:bCs/>
          <w:sz w:val="22"/>
          <w:szCs w:val="22"/>
        </w:rPr>
        <w:t>cuatro</w:t>
      </w:r>
      <w:r w:rsidRPr="006B0A9B">
        <w:rPr>
          <w:rFonts w:ascii="Palatino Linotype" w:hAnsi="Palatino Linotype" w:cs="Tahoma"/>
          <w:bCs/>
          <w:sz w:val="22"/>
          <w:szCs w:val="22"/>
        </w:rPr>
        <w:t>.</w:t>
      </w:r>
    </w:p>
    <w:p w14:paraId="4FD883DA" w14:textId="77777777" w:rsidR="00E35DF9" w:rsidRPr="006B0A9B" w:rsidRDefault="00E35DF9" w:rsidP="00FF426B">
      <w:pPr>
        <w:spacing w:line="360" w:lineRule="auto"/>
        <w:contextualSpacing/>
        <w:jc w:val="both"/>
        <w:rPr>
          <w:rFonts w:ascii="Palatino Linotype" w:hAnsi="Palatino Linotype" w:cs="Tahoma"/>
          <w:bCs/>
          <w:sz w:val="22"/>
          <w:szCs w:val="22"/>
        </w:rPr>
      </w:pPr>
    </w:p>
    <w:p w14:paraId="4047149E" w14:textId="77777777" w:rsidR="00E35DF9" w:rsidRPr="006B0A9B" w:rsidRDefault="00E35DF9" w:rsidP="00FF426B">
      <w:pPr>
        <w:spacing w:line="360" w:lineRule="auto"/>
        <w:contextualSpacing/>
        <w:jc w:val="both"/>
        <w:rPr>
          <w:rFonts w:ascii="Palatino Linotype" w:hAnsi="Palatino Linotype" w:cs="Tahoma"/>
          <w:bCs/>
          <w:sz w:val="22"/>
          <w:szCs w:val="22"/>
        </w:rPr>
      </w:pPr>
      <w:r w:rsidRPr="006B0A9B">
        <w:rPr>
          <w:rFonts w:ascii="Palatino Linotype" w:hAnsi="Palatino Linotype" w:cs="Tahoma"/>
          <w:b/>
          <w:bCs/>
          <w:color w:val="0D0D0D" w:themeColor="text1" w:themeTint="F2"/>
          <w:sz w:val="22"/>
          <w:szCs w:val="22"/>
        </w:rPr>
        <w:t xml:space="preserve">VISTO </w:t>
      </w:r>
      <w:r w:rsidR="00D0542E" w:rsidRPr="006B0A9B">
        <w:rPr>
          <w:rFonts w:ascii="Palatino Linotype" w:hAnsi="Palatino Linotype" w:cs="Tahoma"/>
          <w:bCs/>
          <w:color w:val="0D0D0D" w:themeColor="text1" w:themeTint="F2"/>
          <w:sz w:val="22"/>
          <w:szCs w:val="22"/>
        </w:rPr>
        <w:t>el expediente</w:t>
      </w:r>
      <w:r w:rsidRPr="006B0A9B">
        <w:rPr>
          <w:rFonts w:ascii="Palatino Linotype" w:hAnsi="Palatino Linotype" w:cs="Tahoma"/>
          <w:bCs/>
          <w:color w:val="0D0D0D" w:themeColor="text1" w:themeTint="F2"/>
          <w:sz w:val="22"/>
          <w:szCs w:val="22"/>
        </w:rPr>
        <w:t xml:space="preserve"> conformado con motivo de</w:t>
      </w:r>
      <w:r w:rsidR="00E30210" w:rsidRPr="006B0A9B">
        <w:rPr>
          <w:rFonts w:ascii="Palatino Linotype" w:hAnsi="Palatino Linotype" w:cs="Tahoma"/>
          <w:bCs/>
          <w:color w:val="0D0D0D" w:themeColor="text1" w:themeTint="F2"/>
          <w:sz w:val="22"/>
          <w:szCs w:val="22"/>
        </w:rPr>
        <w:t>l</w:t>
      </w:r>
      <w:r w:rsidRPr="006B0A9B">
        <w:rPr>
          <w:rFonts w:ascii="Palatino Linotype" w:hAnsi="Palatino Linotype" w:cs="Tahoma"/>
          <w:bCs/>
          <w:color w:val="0D0D0D" w:themeColor="text1" w:themeTint="F2"/>
          <w:sz w:val="22"/>
          <w:szCs w:val="22"/>
        </w:rPr>
        <w:t xml:space="preserve"> Recurso de Revisión</w:t>
      </w:r>
      <w:r w:rsidR="0089175F" w:rsidRPr="006B0A9B">
        <w:rPr>
          <w:rFonts w:ascii="Palatino Linotype" w:hAnsi="Palatino Linotype" w:cs="Tahoma"/>
          <w:bCs/>
          <w:color w:val="0D0D0D" w:themeColor="text1" w:themeTint="F2"/>
          <w:sz w:val="22"/>
          <w:szCs w:val="22"/>
        </w:rPr>
        <w:t xml:space="preserve"> </w:t>
      </w:r>
      <w:r w:rsidR="00E45528" w:rsidRPr="006B0A9B">
        <w:rPr>
          <w:rFonts w:ascii="Palatino Linotype" w:hAnsi="Palatino Linotype" w:cs="Tahoma"/>
          <w:b/>
          <w:bCs/>
          <w:color w:val="0D0D0D" w:themeColor="text1" w:themeTint="F2"/>
          <w:sz w:val="22"/>
          <w:szCs w:val="22"/>
        </w:rPr>
        <w:t>06476</w:t>
      </w:r>
      <w:r w:rsidR="0089175F" w:rsidRPr="006B0A9B">
        <w:rPr>
          <w:rFonts w:ascii="Palatino Linotype" w:hAnsi="Palatino Linotype" w:cs="Tahoma"/>
          <w:b/>
          <w:bCs/>
          <w:color w:val="0D0D0D" w:themeColor="text1" w:themeTint="F2"/>
          <w:sz w:val="22"/>
          <w:szCs w:val="22"/>
        </w:rPr>
        <w:t>/INFOEM/IP/RR/202</w:t>
      </w:r>
      <w:r w:rsidR="00F93A36" w:rsidRPr="006B0A9B">
        <w:rPr>
          <w:rFonts w:ascii="Palatino Linotype" w:hAnsi="Palatino Linotype" w:cs="Tahoma"/>
          <w:b/>
          <w:bCs/>
          <w:color w:val="0D0D0D" w:themeColor="text1" w:themeTint="F2"/>
          <w:sz w:val="22"/>
          <w:szCs w:val="22"/>
        </w:rPr>
        <w:t>4</w:t>
      </w:r>
      <w:r w:rsidR="0089175F" w:rsidRPr="006B0A9B">
        <w:rPr>
          <w:rFonts w:ascii="Palatino Linotype" w:hAnsi="Palatino Linotype" w:cs="Tahoma"/>
          <w:b/>
          <w:bCs/>
          <w:color w:val="0D0D0D" w:themeColor="text1" w:themeTint="F2"/>
          <w:sz w:val="22"/>
          <w:szCs w:val="22"/>
        </w:rPr>
        <w:t>,</w:t>
      </w:r>
      <w:r w:rsidRPr="006B0A9B">
        <w:rPr>
          <w:rFonts w:ascii="Palatino Linotype" w:hAnsi="Palatino Linotype" w:cs="Tahoma"/>
          <w:bCs/>
          <w:color w:val="0D0D0D" w:themeColor="text1" w:themeTint="F2"/>
          <w:sz w:val="22"/>
          <w:szCs w:val="22"/>
        </w:rPr>
        <w:t xml:space="preserve"> interpuesto</w:t>
      </w:r>
      <w:r w:rsidR="00C74F5F" w:rsidRPr="006B0A9B">
        <w:rPr>
          <w:rFonts w:ascii="Palatino Linotype" w:hAnsi="Palatino Linotype" w:cs="Tahoma"/>
          <w:color w:val="0D0D0D" w:themeColor="text1" w:themeTint="F2"/>
          <w:sz w:val="22"/>
          <w:szCs w:val="22"/>
        </w:rPr>
        <w:t xml:space="preserve"> </w:t>
      </w:r>
      <w:r w:rsidR="007E4927" w:rsidRPr="006B0A9B">
        <w:rPr>
          <w:rFonts w:ascii="Palatino Linotype" w:hAnsi="Palatino Linotype" w:cs="Tahoma"/>
          <w:bCs/>
          <w:color w:val="0D0D0D" w:themeColor="text1" w:themeTint="F2"/>
          <w:sz w:val="22"/>
          <w:szCs w:val="22"/>
        </w:rPr>
        <w:t>por</w:t>
      </w:r>
      <w:r w:rsidR="00383BDB" w:rsidRPr="006B0A9B">
        <w:rPr>
          <w:rFonts w:ascii="Palatino Linotype" w:hAnsi="Palatino Linotype" w:cs="Tahoma"/>
          <w:bCs/>
          <w:color w:val="0D0D0D" w:themeColor="text1" w:themeTint="F2"/>
          <w:sz w:val="22"/>
          <w:szCs w:val="22"/>
        </w:rPr>
        <w:t xml:space="preserve"> </w:t>
      </w:r>
      <w:r w:rsidR="00A77E94" w:rsidRPr="006B0A9B">
        <w:rPr>
          <w:rFonts w:ascii="Palatino Linotype" w:hAnsi="Palatino Linotype" w:cs="Tahoma"/>
          <w:color w:val="0D0D0D" w:themeColor="text1" w:themeTint="F2"/>
          <w:sz w:val="22"/>
          <w:szCs w:val="22"/>
        </w:rPr>
        <w:t>un</w:t>
      </w:r>
      <w:r w:rsidR="00212285" w:rsidRPr="006B0A9B">
        <w:rPr>
          <w:rFonts w:ascii="Palatino Linotype" w:hAnsi="Palatino Linotype" w:cs="Tahoma"/>
          <w:color w:val="0D0D0D" w:themeColor="text1" w:themeTint="F2"/>
          <w:sz w:val="22"/>
          <w:szCs w:val="22"/>
        </w:rPr>
        <w:t xml:space="preserve"> </w:t>
      </w:r>
      <w:r w:rsidRPr="006B0A9B">
        <w:rPr>
          <w:rFonts w:ascii="Palatino Linotype" w:hAnsi="Palatino Linotype" w:cs="Tahoma"/>
          <w:bCs/>
          <w:color w:val="0D0D0D" w:themeColor="text1" w:themeTint="F2"/>
          <w:sz w:val="22"/>
          <w:szCs w:val="22"/>
        </w:rPr>
        <w:t>Recurrente o Particular, en contra de la respuesta del Sujeto Obligado</w:t>
      </w:r>
      <w:r w:rsidRPr="006B0A9B">
        <w:rPr>
          <w:rFonts w:ascii="Palatino Linotype" w:hAnsi="Palatino Linotype"/>
          <w:sz w:val="22"/>
          <w:szCs w:val="22"/>
        </w:rPr>
        <w:t xml:space="preserve"> </w:t>
      </w:r>
      <w:r w:rsidR="00E45528" w:rsidRPr="006B0A9B">
        <w:rPr>
          <w:rFonts w:ascii="Palatino Linotype" w:eastAsia="Calibri" w:hAnsi="Palatino Linotype" w:cs="Tahoma"/>
          <w:b/>
          <w:bCs/>
          <w:sz w:val="22"/>
          <w:szCs w:val="22"/>
          <w:lang w:eastAsia="en-US"/>
        </w:rPr>
        <w:t>Comisión del Agua del Estado de México</w:t>
      </w:r>
      <w:r w:rsidRPr="006B0A9B">
        <w:rPr>
          <w:rFonts w:ascii="Palatino Linotype" w:hAnsi="Palatino Linotype" w:cs="Tahoma"/>
          <w:b/>
          <w:color w:val="0D0D0D" w:themeColor="text1" w:themeTint="F2"/>
          <w:sz w:val="22"/>
          <w:szCs w:val="22"/>
        </w:rPr>
        <w:t xml:space="preserve">, </w:t>
      </w:r>
      <w:r w:rsidRPr="006B0A9B">
        <w:rPr>
          <w:rFonts w:ascii="Palatino Linotype" w:hAnsi="Palatino Linotype" w:cs="Tahoma"/>
          <w:bCs/>
          <w:color w:val="0D0D0D" w:themeColor="text1" w:themeTint="F2"/>
          <w:sz w:val="22"/>
          <w:szCs w:val="22"/>
        </w:rPr>
        <w:t>se emite la presente Resolución, con base en los Antecedentes y C</w:t>
      </w:r>
      <w:r w:rsidRPr="006B0A9B">
        <w:rPr>
          <w:rFonts w:ascii="Palatino Linotype" w:hAnsi="Palatino Linotype" w:cs="Tahoma"/>
          <w:bCs/>
          <w:sz w:val="22"/>
          <w:szCs w:val="22"/>
        </w:rPr>
        <w:t>onsiderandos que a continuación se exponen:</w:t>
      </w:r>
    </w:p>
    <w:p w14:paraId="01EEC3C0" w14:textId="77777777" w:rsidR="00E35DF9" w:rsidRPr="006B0A9B" w:rsidRDefault="00E35DF9" w:rsidP="00FF426B">
      <w:pPr>
        <w:spacing w:line="360" w:lineRule="auto"/>
        <w:contextualSpacing/>
        <w:jc w:val="both"/>
        <w:rPr>
          <w:rFonts w:ascii="Palatino Linotype" w:hAnsi="Palatino Linotype" w:cs="Tahoma"/>
          <w:b/>
          <w:color w:val="0D0D0D" w:themeColor="text1" w:themeTint="F2"/>
          <w:sz w:val="18"/>
          <w:szCs w:val="22"/>
        </w:rPr>
      </w:pPr>
    </w:p>
    <w:p w14:paraId="3FD841C4" w14:textId="77777777" w:rsidR="00BB1F81" w:rsidRPr="006B0A9B" w:rsidRDefault="00BB1F81" w:rsidP="00FF426B">
      <w:pPr>
        <w:spacing w:line="360" w:lineRule="auto"/>
        <w:contextualSpacing/>
        <w:jc w:val="both"/>
        <w:rPr>
          <w:rFonts w:ascii="Palatino Linotype" w:hAnsi="Palatino Linotype" w:cs="Tahoma"/>
          <w:b/>
          <w:color w:val="0D0D0D" w:themeColor="text1" w:themeTint="F2"/>
          <w:sz w:val="18"/>
          <w:szCs w:val="22"/>
        </w:rPr>
      </w:pPr>
    </w:p>
    <w:p w14:paraId="665FCBB4" w14:textId="77777777" w:rsidR="00E35DF9" w:rsidRPr="006B0A9B" w:rsidRDefault="00E35DF9" w:rsidP="00C66180">
      <w:pPr>
        <w:tabs>
          <w:tab w:val="center" w:pos="4522"/>
          <w:tab w:val="left" w:pos="7245"/>
        </w:tabs>
        <w:spacing w:line="360" w:lineRule="auto"/>
        <w:contextualSpacing/>
        <w:jc w:val="center"/>
        <w:rPr>
          <w:rFonts w:ascii="Palatino Linotype" w:hAnsi="Palatino Linotype" w:cs="Tahoma"/>
          <w:b/>
          <w:sz w:val="22"/>
          <w:szCs w:val="22"/>
        </w:rPr>
      </w:pPr>
      <w:r w:rsidRPr="006B0A9B">
        <w:rPr>
          <w:rFonts w:ascii="Palatino Linotype" w:hAnsi="Palatino Linotype" w:cs="Tahoma"/>
          <w:b/>
          <w:sz w:val="22"/>
          <w:szCs w:val="22"/>
        </w:rPr>
        <w:t>A N T E C E D E N T E S</w:t>
      </w:r>
    </w:p>
    <w:p w14:paraId="04169E86" w14:textId="77777777" w:rsidR="001E7B8B" w:rsidRPr="006B0A9B" w:rsidRDefault="001E7B8B" w:rsidP="00FF426B">
      <w:pPr>
        <w:pStyle w:val="Prrafodelista"/>
        <w:tabs>
          <w:tab w:val="left" w:pos="567"/>
        </w:tabs>
        <w:spacing w:line="360" w:lineRule="auto"/>
        <w:ind w:left="0"/>
        <w:jc w:val="both"/>
        <w:rPr>
          <w:rFonts w:ascii="Palatino Linotype" w:hAnsi="Palatino Linotype" w:cs="Tahoma"/>
          <w:b/>
          <w:szCs w:val="22"/>
        </w:rPr>
      </w:pPr>
    </w:p>
    <w:p w14:paraId="72CC1DE5" w14:textId="77777777" w:rsidR="00E35DF9" w:rsidRPr="006B0A9B" w:rsidRDefault="00E35DF9" w:rsidP="00FF426B">
      <w:pPr>
        <w:pStyle w:val="Prrafodelista"/>
        <w:tabs>
          <w:tab w:val="left" w:pos="567"/>
        </w:tabs>
        <w:spacing w:line="360" w:lineRule="auto"/>
        <w:ind w:left="0"/>
        <w:jc w:val="both"/>
        <w:rPr>
          <w:rFonts w:ascii="Palatino Linotype" w:hAnsi="Palatino Linotype" w:cs="Tahoma"/>
          <w:b/>
          <w:szCs w:val="22"/>
        </w:rPr>
      </w:pPr>
      <w:r w:rsidRPr="006B0A9B">
        <w:rPr>
          <w:rFonts w:ascii="Palatino Linotype" w:hAnsi="Palatino Linotype" w:cs="Tahoma"/>
          <w:b/>
          <w:szCs w:val="22"/>
        </w:rPr>
        <w:t>I. Presentación de la solicitud de información</w:t>
      </w:r>
    </w:p>
    <w:p w14:paraId="1BA3C245" w14:textId="77777777" w:rsidR="00E35DF9" w:rsidRPr="006B0A9B" w:rsidRDefault="00E35DF9" w:rsidP="00FF426B">
      <w:pPr>
        <w:pStyle w:val="Prrafodelista"/>
        <w:tabs>
          <w:tab w:val="left" w:pos="567"/>
        </w:tabs>
        <w:spacing w:line="360" w:lineRule="auto"/>
        <w:ind w:left="0"/>
        <w:jc w:val="both"/>
        <w:rPr>
          <w:rFonts w:ascii="Palatino Linotype" w:hAnsi="Palatino Linotype" w:cs="Tahoma"/>
          <w:b/>
          <w:sz w:val="18"/>
          <w:szCs w:val="22"/>
        </w:rPr>
      </w:pPr>
    </w:p>
    <w:p w14:paraId="74609014" w14:textId="77777777" w:rsidR="00E35DF9" w:rsidRPr="006B0A9B" w:rsidRDefault="00BB1F81" w:rsidP="00FF426B">
      <w:pPr>
        <w:tabs>
          <w:tab w:val="left" w:pos="567"/>
        </w:tabs>
        <w:spacing w:line="360" w:lineRule="auto"/>
        <w:contextualSpacing/>
        <w:jc w:val="both"/>
        <w:rPr>
          <w:rFonts w:ascii="Palatino Linotype" w:hAnsi="Palatino Linotype" w:cs="Tahoma"/>
          <w:sz w:val="22"/>
          <w:szCs w:val="22"/>
        </w:rPr>
      </w:pPr>
      <w:r w:rsidRPr="006B0A9B">
        <w:rPr>
          <w:rFonts w:ascii="Palatino Linotype" w:hAnsi="Palatino Linotype" w:cs="Tahoma"/>
          <w:sz w:val="22"/>
          <w:szCs w:val="22"/>
        </w:rPr>
        <w:t>El</w:t>
      </w:r>
      <w:r w:rsidR="00E35DF9" w:rsidRPr="006B0A9B">
        <w:rPr>
          <w:rFonts w:ascii="Palatino Linotype" w:hAnsi="Palatino Linotype" w:cs="Tahoma"/>
          <w:sz w:val="22"/>
          <w:szCs w:val="22"/>
        </w:rPr>
        <w:t xml:space="preserve"> </w:t>
      </w:r>
      <w:r w:rsidR="00E45528" w:rsidRPr="006B0A9B">
        <w:rPr>
          <w:rFonts w:ascii="Palatino Linotype" w:hAnsi="Palatino Linotype" w:cs="Tahoma"/>
          <w:sz w:val="22"/>
          <w:szCs w:val="22"/>
        </w:rPr>
        <w:t xml:space="preserve">dos de octubre </w:t>
      </w:r>
      <w:r w:rsidR="008436E1" w:rsidRPr="006B0A9B">
        <w:rPr>
          <w:rFonts w:ascii="Palatino Linotype" w:hAnsi="Palatino Linotype" w:cs="Tahoma"/>
          <w:sz w:val="22"/>
          <w:szCs w:val="22"/>
        </w:rPr>
        <w:t>de dos mil veinti</w:t>
      </w:r>
      <w:r w:rsidR="00C166FA" w:rsidRPr="006B0A9B">
        <w:rPr>
          <w:rFonts w:ascii="Palatino Linotype" w:hAnsi="Palatino Linotype" w:cs="Tahoma"/>
          <w:sz w:val="22"/>
          <w:szCs w:val="22"/>
        </w:rPr>
        <w:t>cuatro</w:t>
      </w:r>
      <w:r w:rsidR="00E35DF9" w:rsidRPr="006B0A9B">
        <w:rPr>
          <w:rFonts w:ascii="Palatino Linotype" w:hAnsi="Palatino Linotype" w:cs="Tahoma"/>
          <w:sz w:val="22"/>
          <w:szCs w:val="22"/>
        </w:rPr>
        <w:t>, el Particular presentó solicitud de acceso a la i</w:t>
      </w:r>
      <w:r w:rsidR="009D6672" w:rsidRPr="006B0A9B">
        <w:rPr>
          <w:rFonts w:ascii="Palatino Linotype" w:hAnsi="Palatino Linotype" w:cs="Tahoma"/>
          <w:sz w:val="22"/>
          <w:szCs w:val="22"/>
        </w:rPr>
        <w:t>nformación pública, a través de</w:t>
      </w:r>
      <w:r w:rsidR="00EA2594" w:rsidRPr="006B0A9B">
        <w:rPr>
          <w:rFonts w:ascii="Palatino Linotype" w:hAnsi="Palatino Linotype" w:cs="Tahoma"/>
          <w:sz w:val="22"/>
          <w:szCs w:val="22"/>
        </w:rPr>
        <w:t xml:space="preserve">l </w:t>
      </w:r>
      <w:r w:rsidR="00062387" w:rsidRPr="006B0A9B">
        <w:rPr>
          <w:rFonts w:ascii="Palatino Linotype" w:hAnsi="Palatino Linotype" w:cs="Tahoma"/>
          <w:sz w:val="22"/>
          <w:szCs w:val="22"/>
        </w:rPr>
        <w:t>Sistema de Acceso a la</w:t>
      </w:r>
      <w:r w:rsidR="000973B8" w:rsidRPr="006B0A9B">
        <w:rPr>
          <w:rFonts w:ascii="Palatino Linotype" w:hAnsi="Palatino Linotype" w:cs="Tahoma"/>
          <w:sz w:val="22"/>
          <w:szCs w:val="22"/>
        </w:rPr>
        <w:t xml:space="preserve"> Información Mexiquense</w:t>
      </w:r>
      <w:r w:rsidRPr="006B0A9B">
        <w:rPr>
          <w:rFonts w:ascii="Palatino Linotype" w:hAnsi="Palatino Linotype" w:cs="Tahoma"/>
          <w:sz w:val="22"/>
          <w:szCs w:val="22"/>
        </w:rPr>
        <w:t>, en lo sucesivo</w:t>
      </w:r>
      <w:r w:rsidR="000973B8" w:rsidRPr="006B0A9B">
        <w:rPr>
          <w:rFonts w:ascii="Palatino Linotype" w:hAnsi="Palatino Linotype" w:cs="Tahoma"/>
          <w:sz w:val="22"/>
          <w:szCs w:val="22"/>
        </w:rPr>
        <w:t xml:space="preserve"> </w:t>
      </w:r>
      <w:r w:rsidRPr="006B0A9B">
        <w:rPr>
          <w:rFonts w:ascii="Palatino Linotype" w:hAnsi="Palatino Linotype" w:cs="Tahoma"/>
          <w:sz w:val="22"/>
          <w:szCs w:val="22"/>
        </w:rPr>
        <w:t xml:space="preserve">el </w:t>
      </w:r>
      <w:r w:rsidR="000973B8" w:rsidRPr="006B0A9B">
        <w:rPr>
          <w:rFonts w:ascii="Palatino Linotype" w:hAnsi="Palatino Linotype" w:cs="Tahoma"/>
          <w:sz w:val="22"/>
          <w:szCs w:val="22"/>
        </w:rPr>
        <w:t>SAIMEX</w:t>
      </w:r>
      <w:r w:rsidR="00E35DF9" w:rsidRPr="006B0A9B">
        <w:rPr>
          <w:rFonts w:ascii="Palatino Linotype" w:hAnsi="Palatino Linotype" w:cs="Tahoma"/>
          <w:sz w:val="22"/>
          <w:szCs w:val="22"/>
        </w:rPr>
        <w:t xml:space="preserve">, ante </w:t>
      </w:r>
      <w:r w:rsidR="00212285" w:rsidRPr="006B0A9B">
        <w:rPr>
          <w:rFonts w:ascii="Palatino Linotype" w:hAnsi="Palatino Linotype" w:cs="Tahoma"/>
          <w:sz w:val="22"/>
          <w:szCs w:val="22"/>
        </w:rPr>
        <w:t>el</w:t>
      </w:r>
      <w:r w:rsidR="00E35DF9" w:rsidRPr="006B0A9B">
        <w:rPr>
          <w:rFonts w:ascii="Palatino Linotype" w:hAnsi="Palatino Linotype" w:cs="Tahoma"/>
          <w:sz w:val="22"/>
          <w:szCs w:val="22"/>
        </w:rPr>
        <w:t xml:space="preserve"> </w:t>
      </w:r>
      <w:r w:rsidR="00E45528" w:rsidRPr="006B0A9B">
        <w:rPr>
          <w:rFonts w:ascii="Palatino Linotype" w:hAnsi="Palatino Linotype" w:cs="Tahoma"/>
          <w:b/>
          <w:bCs/>
          <w:sz w:val="22"/>
          <w:szCs w:val="22"/>
        </w:rPr>
        <w:t>Comisión del Agua del Estado de México</w:t>
      </w:r>
      <w:r w:rsidR="00E35DF9" w:rsidRPr="006B0A9B">
        <w:rPr>
          <w:rFonts w:ascii="Palatino Linotype" w:hAnsi="Palatino Linotype" w:cs="Tahoma"/>
          <w:sz w:val="22"/>
          <w:szCs w:val="22"/>
        </w:rPr>
        <w:t xml:space="preserve">, </w:t>
      </w:r>
      <w:r w:rsidR="003A12F1" w:rsidRPr="006B0A9B">
        <w:rPr>
          <w:rFonts w:ascii="Palatino Linotype" w:hAnsi="Palatino Linotype" w:cs="Tahoma"/>
          <w:sz w:val="22"/>
          <w:szCs w:val="22"/>
        </w:rPr>
        <w:t xml:space="preserve">misma que fue registrada con el número de folio </w:t>
      </w:r>
      <w:r w:rsidR="00E45528" w:rsidRPr="006B0A9B">
        <w:rPr>
          <w:rFonts w:ascii="Palatino Linotype" w:hAnsi="Palatino Linotype" w:cs="Tahoma"/>
          <w:b/>
          <w:bCs/>
          <w:sz w:val="22"/>
          <w:szCs w:val="22"/>
        </w:rPr>
        <w:t>00497/CAEM/IP/2024</w:t>
      </w:r>
      <w:r w:rsidR="003A12F1" w:rsidRPr="006B0A9B">
        <w:rPr>
          <w:rFonts w:ascii="Palatino Linotype" w:hAnsi="Palatino Linotype" w:cs="Tahoma"/>
          <w:b/>
          <w:bCs/>
          <w:sz w:val="22"/>
          <w:szCs w:val="22"/>
        </w:rPr>
        <w:t xml:space="preserve">, </w:t>
      </w:r>
      <w:r w:rsidR="00E35DF9" w:rsidRPr="006B0A9B">
        <w:rPr>
          <w:rFonts w:ascii="Palatino Linotype" w:hAnsi="Palatino Linotype" w:cs="Tahoma"/>
          <w:sz w:val="22"/>
          <w:szCs w:val="22"/>
        </w:rPr>
        <w:t xml:space="preserve">mediante </w:t>
      </w:r>
      <w:r w:rsidR="0074594A" w:rsidRPr="006B0A9B">
        <w:rPr>
          <w:rFonts w:ascii="Palatino Linotype" w:hAnsi="Palatino Linotype" w:cs="Tahoma"/>
          <w:sz w:val="22"/>
          <w:szCs w:val="22"/>
        </w:rPr>
        <w:t>l</w:t>
      </w:r>
      <w:r w:rsidR="00B50512" w:rsidRPr="006B0A9B">
        <w:rPr>
          <w:rFonts w:ascii="Palatino Linotype" w:hAnsi="Palatino Linotype" w:cs="Tahoma"/>
          <w:sz w:val="22"/>
          <w:szCs w:val="22"/>
        </w:rPr>
        <w:t>a</w:t>
      </w:r>
      <w:r w:rsidR="00E35DF9" w:rsidRPr="006B0A9B">
        <w:rPr>
          <w:rFonts w:ascii="Palatino Linotype" w:hAnsi="Palatino Linotype" w:cs="Tahoma"/>
          <w:sz w:val="22"/>
          <w:szCs w:val="22"/>
        </w:rPr>
        <w:t xml:space="preserve"> cual requirió lo siguiente: </w:t>
      </w:r>
    </w:p>
    <w:p w14:paraId="37844641" w14:textId="77777777" w:rsidR="00D807FB" w:rsidRPr="006B0A9B" w:rsidRDefault="00D807FB" w:rsidP="00FF426B">
      <w:pPr>
        <w:tabs>
          <w:tab w:val="left" w:pos="567"/>
        </w:tabs>
        <w:spacing w:line="360" w:lineRule="auto"/>
        <w:contextualSpacing/>
        <w:jc w:val="both"/>
        <w:rPr>
          <w:rFonts w:ascii="Palatino Linotype" w:hAnsi="Palatino Linotype" w:cs="Tahoma"/>
          <w:sz w:val="22"/>
        </w:rPr>
      </w:pPr>
    </w:p>
    <w:p w14:paraId="6887F02C" w14:textId="77777777" w:rsidR="00D807FB" w:rsidRPr="006B0A9B" w:rsidRDefault="00D807FB" w:rsidP="00FF426B">
      <w:pPr>
        <w:tabs>
          <w:tab w:val="left" w:pos="567"/>
        </w:tabs>
        <w:spacing w:line="360" w:lineRule="auto"/>
        <w:ind w:left="567" w:right="539"/>
        <w:contextualSpacing/>
        <w:jc w:val="both"/>
        <w:rPr>
          <w:rFonts w:ascii="Palatino Linotype" w:hAnsi="Palatino Linotype" w:cs="Tahoma"/>
          <w:b/>
          <w:bCs/>
          <w:sz w:val="22"/>
          <w:szCs w:val="22"/>
        </w:rPr>
      </w:pPr>
      <w:r w:rsidRPr="006B0A9B">
        <w:rPr>
          <w:rFonts w:ascii="Palatino Linotype" w:hAnsi="Palatino Linotype" w:cs="Tahoma"/>
          <w:b/>
          <w:bCs/>
        </w:rPr>
        <w:t>DESCRIPCIÓN CLARA Y PRECISA DE LA INFORMACIÓN SOLICITADA</w:t>
      </w:r>
    </w:p>
    <w:p w14:paraId="4215A98B" w14:textId="77777777" w:rsidR="000F2B83" w:rsidRPr="006B0A9B" w:rsidRDefault="009D6672" w:rsidP="00062387">
      <w:pPr>
        <w:pStyle w:val="Prrafodelista"/>
        <w:tabs>
          <w:tab w:val="left" w:pos="567"/>
        </w:tabs>
        <w:spacing w:line="360" w:lineRule="auto"/>
        <w:ind w:left="567" w:right="539"/>
        <w:jc w:val="both"/>
        <w:rPr>
          <w:rFonts w:ascii="Palatino Linotype" w:hAnsi="Palatino Linotype"/>
          <w:i/>
          <w:iCs/>
          <w:color w:val="000000"/>
          <w:sz w:val="20"/>
          <w:szCs w:val="20"/>
        </w:rPr>
      </w:pPr>
      <w:r w:rsidRPr="006B0A9B">
        <w:rPr>
          <w:rFonts w:ascii="Palatino Linotype" w:hAnsi="Palatino Linotype"/>
          <w:i/>
          <w:iCs/>
          <w:color w:val="000000"/>
          <w:sz w:val="20"/>
          <w:szCs w:val="20"/>
        </w:rPr>
        <w:t>“</w:t>
      </w:r>
      <w:r w:rsidR="00E45528" w:rsidRPr="006B0A9B">
        <w:rPr>
          <w:rFonts w:ascii="Palatino Linotype" w:hAnsi="Palatino Linotype"/>
          <w:i/>
          <w:iCs/>
          <w:color w:val="000000"/>
          <w:sz w:val="20"/>
          <w:szCs w:val="20"/>
        </w:rPr>
        <w:t xml:space="preserve">Comisión del agua del estado de México: Secretaria del Agua Oficialía Mayor Secretaria de la Contraloría del Estado de México Sistema de Agua de la Ciudad de México Banco Nacional de Obras y Servicios Públicos (Banobras) Secretaria de Finanzas del Estado de México P R E S E N T E Por medio de la presente, y en ejercicio de mi derecho de acceso a la información pública, le solicito que me proporcione la siguiente información: • 1.-El número total de plazas de base, 1.-de estructura, 2.-sindicalizados 3.-operativas, 4.-de Grupo Tlaloc, 5.-así como eventuales de esta comisión. • 2.-El número de plazas que se encuentran congeladas y el motivo del por qué en la Comisión del Agua del </w:t>
      </w:r>
      <w:r w:rsidR="00E45528" w:rsidRPr="006B0A9B">
        <w:rPr>
          <w:rFonts w:ascii="Palatino Linotype" w:hAnsi="Palatino Linotype"/>
          <w:i/>
          <w:iCs/>
          <w:color w:val="000000"/>
          <w:sz w:val="20"/>
          <w:szCs w:val="20"/>
        </w:rPr>
        <w:lastRenderedPageBreak/>
        <w:t xml:space="preserve">estado de México. • 3.-Los contratos de prestación de servicios del FID 1928 en el 2024, así como el nombre de los trabajadores contratados bajo este fondo y las actividades que realizan., los curricular CVs, los comprobantes fiscales de cada uno de los contratantes, el primer y el segundo entregable de cada uno de los trabajadores, ,a todos los Sujetos Obligados que intervienen en el FID 1928 los cuales son la Comisión del Agua del Estado de México en a la Dirección General de Inversión y Gestión y a la Dirección General de Administración así Finanzas así como , al Sistema de Agua de la Ciudad de México, al Banco Nacional de Obras y Servicios Públicos (Banobras), a la Secretaria de Finanzas del Estado de México o 3.1 Se me informe si el órgano de fiscalización y auditoria competente se encuentra vigilante y en evaluación de que los perfiles profesionales y los objetivos que amparan la contratación de prestación del servicio cumplen con la finalidad de la autorización del servicio o Así como el comité de autorización y documentos que se generaron la autorización de dichos contratos de servicio en la Comisión del Agua del estado de México, la sesiones o comisiones y documentos para los tramites de esa autorización, así como los recibos de pagos a los mismo prestadores de Servicio o La información que solicito no es información ad hoc por ninguna dependencia es información que debe de obrar en sus archivos y expedientes por lo cual pido se me sea proporcionada por este sistema en cuanto a la informacion de los contratos del fideicomiso es importante destacar que se realizo tambien una respuesta por BANOBRAS y menciona que ustedes son los que deben de tener la informacion anexo la respuesta por parte de la unidad de BANOBRAS y no estoy solicitando infomacion ad hoc </w:t>
      </w:r>
      <w:r w:rsidR="00B50512" w:rsidRPr="006B0A9B">
        <w:rPr>
          <w:rFonts w:ascii="Palatino Linotype" w:hAnsi="Palatino Linotype"/>
          <w:i/>
          <w:iCs/>
          <w:color w:val="000000"/>
          <w:sz w:val="20"/>
          <w:szCs w:val="20"/>
        </w:rPr>
        <w:t>"</w:t>
      </w:r>
      <w:r w:rsidR="00A650C6" w:rsidRPr="006B0A9B">
        <w:rPr>
          <w:rFonts w:ascii="Palatino Linotype" w:hAnsi="Palatino Linotype"/>
          <w:i/>
          <w:iCs/>
          <w:color w:val="000000"/>
          <w:sz w:val="20"/>
          <w:szCs w:val="20"/>
        </w:rPr>
        <w:t xml:space="preserve"> </w:t>
      </w:r>
      <w:r w:rsidR="00D74B06" w:rsidRPr="006B0A9B">
        <w:rPr>
          <w:rFonts w:ascii="Palatino Linotype" w:hAnsi="Palatino Linotype"/>
          <w:i/>
          <w:iCs/>
          <w:color w:val="000000"/>
          <w:sz w:val="20"/>
          <w:szCs w:val="20"/>
        </w:rPr>
        <w:t>(Sic)</w:t>
      </w:r>
      <w:r w:rsidR="007A0F69" w:rsidRPr="006B0A9B">
        <w:rPr>
          <w:rFonts w:ascii="Palatino Linotype" w:hAnsi="Palatino Linotype"/>
          <w:i/>
          <w:iCs/>
          <w:color w:val="000000"/>
          <w:sz w:val="20"/>
          <w:szCs w:val="20"/>
        </w:rPr>
        <w:t>.</w:t>
      </w:r>
    </w:p>
    <w:p w14:paraId="54160001" w14:textId="77777777" w:rsidR="007E4927" w:rsidRPr="006B0A9B" w:rsidRDefault="007E4927" w:rsidP="00FF426B">
      <w:pPr>
        <w:pStyle w:val="Prrafodelista"/>
        <w:tabs>
          <w:tab w:val="left" w:pos="567"/>
        </w:tabs>
        <w:spacing w:line="360" w:lineRule="auto"/>
        <w:ind w:left="567" w:right="539"/>
        <w:jc w:val="both"/>
        <w:rPr>
          <w:rFonts w:ascii="Palatino Linotype" w:hAnsi="Palatino Linotype"/>
          <w:i/>
          <w:iCs/>
          <w:color w:val="000000"/>
          <w:sz w:val="20"/>
          <w:szCs w:val="20"/>
        </w:rPr>
      </w:pPr>
    </w:p>
    <w:p w14:paraId="6B0AFD47" w14:textId="77777777" w:rsidR="00E35DF9" w:rsidRPr="006B0A9B" w:rsidRDefault="00E35DF9" w:rsidP="00062387">
      <w:pPr>
        <w:pStyle w:val="Prrafodelista"/>
        <w:tabs>
          <w:tab w:val="left" w:pos="567"/>
        </w:tabs>
        <w:spacing w:line="360" w:lineRule="auto"/>
        <w:ind w:left="567" w:right="539"/>
        <w:jc w:val="both"/>
        <w:rPr>
          <w:rFonts w:ascii="Palatino Linotype" w:hAnsi="Palatino Linotype" w:cs="Tahoma"/>
          <w:i/>
          <w:sz w:val="20"/>
          <w:szCs w:val="22"/>
        </w:rPr>
      </w:pPr>
      <w:r w:rsidRPr="006B0A9B">
        <w:rPr>
          <w:rFonts w:ascii="Palatino Linotype" w:hAnsi="Palatino Linotype" w:cs="Tahoma"/>
          <w:b/>
          <w:sz w:val="20"/>
          <w:szCs w:val="22"/>
        </w:rPr>
        <w:t>MODALIDAD DE ENTREGA</w:t>
      </w:r>
      <w:r w:rsidR="00BB1F81" w:rsidRPr="006B0A9B">
        <w:rPr>
          <w:rFonts w:ascii="Palatino Linotype" w:hAnsi="Palatino Linotype" w:cs="Tahoma"/>
          <w:b/>
          <w:sz w:val="20"/>
          <w:szCs w:val="22"/>
        </w:rPr>
        <w:t xml:space="preserve"> </w:t>
      </w:r>
      <w:r w:rsidR="007E4927" w:rsidRPr="006B0A9B">
        <w:rPr>
          <w:rFonts w:ascii="Palatino Linotype" w:hAnsi="Palatino Linotype" w:cs="Tahoma"/>
          <w:i/>
          <w:sz w:val="20"/>
          <w:szCs w:val="22"/>
        </w:rPr>
        <w:t>“</w:t>
      </w:r>
      <w:r w:rsidR="00062387" w:rsidRPr="006B0A9B">
        <w:rPr>
          <w:rFonts w:ascii="Palatino Linotype" w:hAnsi="Palatino Linotype" w:cs="Tahoma"/>
          <w:i/>
          <w:sz w:val="20"/>
          <w:szCs w:val="22"/>
        </w:rPr>
        <w:t>A través del SAIMEX</w:t>
      </w:r>
      <w:r w:rsidR="007E4927" w:rsidRPr="006B0A9B">
        <w:rPr>
          <w:rFonts w:ascii="Palatino Linotype" w:hAnsi="Palatino Linotype" w:cs="Tahoma"/>
          <w:i/>
          <w:sz w:val="20"/>
          <w:szCs w:val="22"/>
        </w:rPr>
        <w:t>”</w:t>
      </w:r>
    </w:p>
    <w:p w14:paraId="1FA3819C" w14:textId="77777777" w:rsidR="00996302" w:rsidRPr="006B0A9B" w:rsidRDefault="00996302" w:rsidP="00EA2594">
      <w:pPr>
        <w:autoSpaceDE w:val="0"/>
        <w:autoSpaceDN w:val="0"/>
        <w:adjustRightInd w:val="0"/>
        <w:spacing w:line="360" w:lineRule="auto"/>
        <w:jc w:val="both"/>
        <w:rPr>
          <w:rFonts w:ascii="Palatino Linotype" w:hAnsi="Palatino Linotype"/>
          <w:bCs/>
          <w:color w:val="000000" w:themeColor="text1"/>
          <w:sz w:val="24"/>
          <w:szCs w:val="22"/>
          <w:lang w:eastAsia="en-US"/>
        </w:rPr>
      </w:pPr>
    </w:p>
    <w:p w14:paraId="5EAFF80A" w14:textId="0FF356BB" w:rsidR="00E45528" w:rsidRPr="006B0A9B" w:rsidRDefault="00E45528" w:rsidP="00EA2594">
      <w:pPr>
        <w:autoSpaceDE w:val="0"/>
        <w:autoSpaceDN w:val="0"/>
        <w:adjustRightInd w:val="0"/>
        <w:spacing w:line="360" w:lineRule="auto"/>
        <w:jc w:val="both"/>
        <w:rPr>
          <w:rFonts w:ascii="Palatino Linotype" w:hAnsi="Palatino Linotype"/>
          <w:bCs/>
          <w:color w:val="000000" w:themeColor="text1"/>
          <w:sz w:val="24"/>
          <w:szCs w:val="22"/>
          <w:lang w:eastAsia="en-US"/>
        </w:rPr>
      </w:pPr>
      <w:r w:rsidRPr="006B0A9B">
        <w:rPr>
          <w:rFonts w:ascii="Palatino Linotype" w:hAnsi="Palatino Linotype"/>
          <w:bCs/>
          <w:color w:val="000000" w:themeColor="text1"/>
          <w:sz w:val="24"/>
          <w:szCs w:val="22"/>
          <w:lang w:eastAsia="en-US"/>
        </w:rPr>
        <w:t>El Particular adjuntó un oficio por medio del cual el Banco Nacional de Obras y Servicios Públicos</w:t>
      </w:r>
      <w:r w:rsidR="00A5236D" w:rsidRPr="006B0A9B">
        <w:rPr>
          <w:rFonts w:ascii="Palatino Linotype" w:hAnsi="Palatino Linotype"/>
          <w:bCs/>
          <w:color w:val="000000" w:themeColor="text1"/>
          <w:sz w:val="24"/>
          <w:szCs w:val="22"/>
          <w:lang w:eastAsia="en-US"/>
        </w:rPr>
        <w:t>,</w:t>
      </w:r>
      <w:r w:rsidRPr="006B0A9B">
        <w:rPr>
          <w:rFonts w:ascii="Palatino Linotype" w:hAnsi="Palatino Linotype"/>
          <w:bCs/>
          <w:color w:val="000000" w:themeColor="text1"/>
          <w:sz w:val="24"/>
          <w:szCs w:val="22"/>
          <w:lang w:eastAsia="en-US"/>
        </w:rPr>
        <w:t xml:space="preserve"> manifestó ser incompetente para conocer sobre la solicitud del Particular.</w:t>
      </w:r>
    </w:p>
    <w:p w14:paraId="1FCB8495" w14:textId="77777777" w:rsidR="00E45528" w:rsidRPr="006B0A9B" w:rsidRDefault="00E45528" w:rsidP="00EA2594">
      <w:pPr>
        <w:autoSpaceDE w:val="0"/>
        <w:autoSpaceDN w:val="0"/>
        <w:adjustRightInd w:val="0"/>
        <w:spacing w:line="360" w:lineRule="auto"/>
        <w:jc w:val="both"/>
        <w:rPr>
          <w:rFonts w:ascii="Palatino Linotype" w:hAnsi="Palatino Linotype"/>
          <w:bCs/>
          <w:color w:val="000000" w:themeColor="text1"/>
          <w:sz w:val="24"/>
          <w:szCs w:val="22"/>
          <w:lang w:eastAsia="en-US"/>
        </w:rPr>
      </w:pPr>
    </w:p>
    <w:p w14:paraId="5DA9FFA6" w14:textId="77777777" w:rsidR="00681D84" w:rsidRPr="006B0A9B" w:rsidRDefault="00996302" w:rsidP="00AA1974">
      <w:pPr>
        <w:pStyle w:val="Prrafodelista"/>
        <w:tabs>
          <w:tab w:val="left" w:pos="567"/>
        </w:tabs>
        <w:spacing w:line="360" w:lineRule="auto"/>
        <w:ind w:left="0"/>
        <w:contextualSpacing w:val="0"/>
        <w:jc w:val="both"/>
        <w:rPr>
          <w:rFonts w:ascii="Palatino Linotype" w:hAnsi="Palatino Linotype" w:cs="Tahoma"/>
          <w:b/>
          <w:szCs w:val="22"/>
        </w:rPr>
      </w:pPr>
      <w:r w:rsidRPr="006B0A9B">
        <w:rPr>
          <w:rFonts w:ascii="Palatino Linotype" w:hAnsi="Palatino Linotype" w:cs="Tahoma"/>
          <w:b/>
          <w:szCs w:val="20"/>
        </w:rPr>
        <w:t>II</w:t>
      </w:r>
      <w:r w:rsidRPr="006B0A9B">
        <w:rPr>
          <w:rFonts w:ascii="Palatino Linotype" w:hAnsi="Palatino Linotype" w:cs="Tahoma"/>
          <w:b/>
          <w:szCs w:val="22"/>
        </w:rPr>
        <w:t>.</w:t>
      </w:r>
      <w:r w:rsidRPr="006B0A9B">
        <w:rPr>
          <w:rFonts w:ascii="Palatino Linotype" w:hAnsi="Palatino Linotype" w:cs="Tahoma"/>
          <w:b/>
        </w:rPr>
        <w:t xml:space="preserve"> </w:t>
      </w:r>
      <w:r w:rsidR="00681D84" w:rsidRPr="006B0A9B">
        <w:rPr>
          <w:rFonts w:ascii="Palatino Linotype" w:hAnsi="Palatino Linotype" w:cs="Tahoma"/>
          <w:b/>
          <w:szCs w:val="22"/>
        </w:rPr>
        <w:t>Respuesta del Sujeto Obligado</w:t>
      </w:r>
    </w:p>
    <w:p w14:paraId="5DC173FF" w14:textId="77777777" w:rsidR="00E0128F" w:rsidRPr="006B0A9B" w:rsidRDefault="00E0128F" w:rsidP="00FF426B">
      <w:pPr>
        <w:pStyle w:val="Prrafodelista"/>
        <w:tabs>
          <w:tab w:val="left" w:pos="567"/>
        </w:tabs>
        <w:spacing w:line="360" w:lineRule="auto"/>
        <w:ind w:left="0"/>
        <w:jc w:val="both"/>
        <w:rPr>
          <w:rFonts w:ascii="Palatino Linotype" w:hAnsi="Palatino Linotype" w:cs="Tahoma"/>
          <w:b/>
          <w:sz w:val="20"/>
          <w:szCs w:val="22"/>
        </w:rPr>
      </w:pPr>
    </w:p>
    <w:p w14:paraId="37685F71" w14:textId="77777777" w:rsidR="00B55D00" w:rsidRPr="006B0A9B" w:rsidRDefault="00BB1F81" w:rsidP="00FF426B">
      <w:pPr>
        <w:autoSpaceDE w:val="0"/>
        <w:autoSpaceDN w:val="0"/>
        <w:adjustRightInd w:val="0"/>
        <w:spacing w:line="360" w:lineRule="auto"/>
        <w:contextualSpacing/>
        <w:jc w:val="both"/>
        <w:rPr>
          <w:rFonts w:ascii="Palatino Linotype" w:hAnsi="Palatino Linotype" w:cs="Tahoma"/>
          <w:sz w:val="22"/>
          <w:szCs w:val="22"/>
        </w:rPr>
      </w:pPr>
      <w:r w:rsidRPr="006B0A9B">
        <w:rPr>
          <w:rFonts w:ascii="Palatino Linotype" w:hAnsi="Palatino Linotype" w:cs="Tahoma"/>
          <w:sz w:val="22"/>
          <w:szCs w:val="22"/>
        </w:rPr>
        <w:lastRenderedPageBreak/>
        <w:t>El</w:t>
      </w:r>
      <w:r w:rsidR="00681D84" w:rsidRPr="006B0A9B">
        <w:rPr>
          <w:rFonts w:ascii="Palatino Linotype" w:hAnsi="Palatino Linotype" w:cs="Tahoma"/>
          <w:sz w:val="22"/>
          <w:szCs w:val="22"/>
        </w:rPr>
        <w:t xml:space="preserve"> </w:t>
      </w:r>
      <w:r w:rsidR="00E45528" w:rsidRPr="006B0A9B">
        <w:rPr>
          <w:rFonts w:ascii="Palatino Linotype" w:hAnsi="Palatino Linotype" w:cs="Tahoma"/>
          <w:sz w:val="22"/>
          <w:szCs w:val="22"/>
        </w:rPr>
        <w:t>dieci</w:t>
      </w:r>
      <w:r w:rsidR="00AA1974" w:rsidRPr="006B0A9B">
        <w:rPr>
          <w:rFonts w:ascii="Palatino Linotype" w:hAnsi="Palatino Linotype" w:cs="Tahoma"/>
          <w:sz w:val="22"/>
          <w:szCs w:val="22"/>
        </w:rPr>
        <w:t>siete de octubre</w:t>
      </w:r>
      <w:r w:rsidR="00996302" w:rsidRPr="006B0A9B">
        <w:rPr>
          <w:rFonts w:ascii="Palatino Linotype" w:hAnsi="Palatino Linotype" w:cs="Tahoma"/>
          <w:sz w:val="22"/>
          <w:szCs w:val="22"/>
        </w:rPr>
        <w:t xml:space="preserve"> </w:t>
      </w:r>
      <w:r w:rsidR="00B71F2C" w:rsidRPr="006B0A9B">
        <w:rPr>
          <w:rFonts w:ascii="Palatino Linotype" w:hAnsi="Palatino Linotype" w:cs="Tahoma"/>
          <w:sz w:val="22"/>
          <w:szCs w:val="22"/>
        </w:rPr>
        <w:t>de dos mil veinti</w:t>
      </w:r>
      <w:r w:rsidR="00F93A36" w:rsidRPr="006B0A9B">
        <w:rPr>
          <w:rFonts w:ascii="Palatino Linotype" w:hAnsi="Palatino Linotype" w:cs="Tahoma"/>
          <w:sz w:val="22"/>
          <w:szCs w:val="22"/>
        </w:rPr>
        <w:t>cuatro</w:t>
      </w:r>
      <w:r w:rsidR="00681D84" w:rsidRPr="006B0A9B">
        <w:rPr>
          <w:rFonts w:ascii="Palatino Linotype" w:hAnsi="Palatino Linotype" w:cs="Tahoma"/>
          <w:sz w:val="22"/>
          <w:szCs w:val="22"/>
        </w:rPr>
        <w:t xml:space="preserve">, </w:t>
      </w:r>
      <w:r w:rsidR="00D74B06" w:rsidRPr="006B0A9B">
        <w:rPr>
          <w:rFonts w:ascii="Palatino Linotype" w:hAnsi="Palatino Linotype" w:cs="Tahoma"/>
          <w:sz w:val="22"/>
          <w:szCs w:val="22"/>
        </w:rPr>
        <w:t xml:space="preserve">el Sujeto Obligado </w:t>
      </w:r>
      <w:r w:rsidR="008453FA" w:rsidRPr="006B0A9B">
        <w:rPr>
          <w:rFonts w:ascii="Palatino Linotype" w:hAnsi="Palatino Linotype" w:cs="Tahoma"/>
          <w:sz w:val="22"/>
          <w:szCs w:val="22"/>
        </w:rPr>
        <w:t xml:space="preserve">otorgó respuesta a través del </w:t>
      </w:r>
      <w:r w:rsidRPr="006B0A9B">
        <w:rPr>
          <w:rFonts w:ascii="Palatino Linotype" w:hAnsi="Palatino Linotype" w:cs="Tahoma"/>
          <w:sz w:val="22"/>
          <w:szCs w:val="22"/>
        </w:rPr>
        <w:t>SAIMEX</w:t>
      </w:r>
      <w:r w:rsidR="00A5236D" w:rsidRPr="006B0A9B">
        <w:rPr>
          <w:rFonts w:ascii="Palatino Linotype" w:hAnsi="Palatino Linotype" w:cs="Tahoma"/>
          <w:sz w:val="22"/>
          <w:szCs w:val="22"/>
        </w:rPr>
        <w:t>,</w:t>
      </w:r>
      <w:r w:rsidR="008453FA" w:rsidRPr="006B0A9B">
        <w:rPr>
          <w:rFonts w:ascii="Palatino Linotype" w:hAnsi="Palatino Linotype" w:cs="Tahoma"/>
          <w:sz w:val="22"/>
          <w:szCs w:val="22"/>
        </w:rPr>
        <w:t xml:space="preserve"> en </w:t>
      </w:r>
      <w:r w:rsidR="006E14D7" w:rsidRPr="006B0A9B">
        <w:rPr>
          <w:rFonts w:ascii="Palatino Linotype" w:hAnsi="Palatino Linotype" w:cs="Tahoma"/>
          <w:sz w:val="22"/>
          <w:szCs w:val="22"/>
        </w:rPr>
        <w:t>la que</w:t>
      </w:r>
      <w:r w:rsidR="00BE3D7C" w:rsidRPr="006B0A9B">
        <w:rPr>
          <w:rFonts w:ascii="Palatino Linotype" w:hAnsi="Palatino Linotype" w:cs="Tahoma"/>
          <w:sz w:val="22"/>
          <w:szCs w:val="22"/>
        </w:rPr>
        <w:t xml:space="preserve"> </w:t>
      </w:r>
      <w:r w:rsidR="00B55D00" w:rsidRPr="006B0A9B">
        <w:rPr>
          <w:rFonts w:ascii="Palatino Linotype" w:hAnsi="Palatino Linotype" w:cs="Tahoma"/>
          <w:sz w:val="22"/>
          <w:szCs w:val="22"/>
        </w:rPr>
        <w:t>manifestó lo siguiente.</w:t>
      </w:r>
    </w:p>
    <w:p w14:paraId="4E31193F" w14:textId="77777777" w:rsidR="00B55D00" w:rsidRPr="006B0A9B" w:rsidRDefault="00B55D00" w:rsidP="00FF426B">
      <w:pPr>
        <w:autoSpaceDE w:val="0"/>
        <w:autoSpaceDN w:val="0"/>
        <w:adjustRightInd w:val="0"/>
        <w:spacing w:line="360" w:lineRule="auto"/>
        <w:contextualSpacing/>
        <w:jc w:val="both"/>
        <w:rPr>
          <w:rFonts w:ascii="Palatino Linotype" w:hAnsi="Palatino Linotype" w:cs="Tahoma"/>
          <w:sz w:val="22"/>
          <w:szCs w:val="22"/>
        </w:rPr>
      </w:pPr>
    </w:p>
    <w:p w14:paraId="06BAA96C" w14:textId="77777777" w:rsidR="00CF731E" w:rsidRPr="006B0A9B" w:rsidRDefault="00CF731E" w:rsidP="00B55D00">
      <w:pPr>
        <w:autoSpaceDE w:val="0"/>
        <w:autoSpaceDN w:val="0"/>
        <w:adjustRightInd w:val="0"/>
        <w:spacing w:line="360" w:lineRule="auto"/>
        <w:ind w:left="567" w:right="539"/>
        <w:contextualSpacing/>
        <w:jc w:val="both"/>
        <w:rPr>
          <w:rFonts w:ascii="Palatino Linotype" w:hAnsi="Palatino Linotype" w:cs="Tahoma"/>
          <w:i/>
          <w:szCs w:val="22"/>
        </w:rPr>
      </w:pPr>
      <w:r w:rsidRPr="006B0A9B">
        <w:rPr>
          <w:rFonts w:ascii="Palatino Linotype" w:hAnsi="Palatino Linotype" w:cs="Tahoma"/>
          <w:i/>
          <w:szCs w:val="22"/>
        </w:rPr>
        <w:t>“…</w:t>
      </w:r>
    </w:p>
    <w:p w14:paraId="4CA25409" w14:textId="237FB734" w:rsidR="00B55D00" w:rsidRPr="006B0A9B" w:rsidRDefault="00B55D00" w:rsidP="00B55D00">
      <w:pPr>
        <w:autoSpaceDE w:val="0"/>
        <w:autoSpaceDN w:val="0"/>
        <w:adjustRightInd w:val="0"/>
        <w:spacing w:line="360" w:lineRule="auto"/>
        <w:ind w:left="567" w:right="539"/>
        <w:contextualSpacing/>
        <w:jc w:val="both"/>
        <w:rPr>
          <w:rFonts w:ascii="Palatino Linotype" w:hAnsi="Palatino Linotype" w:cs="Tahoma"/>
          <w:i/>
          <w:szCs w:val="22"/>
        </w:rPr>
      </w:pPr>
      <w:r w:rsidRPr="006B0A9B">
        <w:rPr>
          <w:rFonts w:ascii="Palatino Linotype" w:hAnsi="Palatino Linotype" w:cs="Tahoma"/>
          <w:i/>
          <w:szCs w:val="22"/>
        </w:rPr>
        <w:t>Oficio No. 219C0110010000S/ 2159 /2024 Naucalpan de Juárez, Estado de México 14 de octubre de 2024 ESTIMADO PETICIONARIO FOLIO DE LA SOLICITUD: 00497/CAEM/IP/2024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 la Comisión del Agua del Estado de México vía electrónica se ha registrado con el número de folio 00497/CAEM/IP/2024, misma que a la letra dice: “Comisión del agua del estado de México: Secretaria del Agua Oficialía Mayor Secretaria de la Contraloría del Estado de México Sistema de Agua de la</w:t>
      </w:r>
      <w:r w:rsidR="00831982">
        <w:rPr>
          <w:rFonts w:ascii="Palatino Linotype" w:hAnsi="Palatino Linotype" w:cs="Tahoma"/>
          <w:i/>
          <w:szCs w:val="22"/>
        </w:rPr>
        <w:t xml:space="preserve"> </w:t>
      </w:r>
      <w:r w:rsidRPr="006B0A9B">
        <w:rPr>
          <w:rFonts w:ascii="Palatino Linotype" w:hAnsi="Palatino Linotype" w:cs="Tahoma"/>
          <w:i/>
          <w:szCs w:val="22"/>
        </w:rPr>
        <w:t xml:space="preserve">Ciudad de México Banco Nacional de Obras y Servicios Públicos (Banobras) Secretaria de Finanzas del Estado de México P R E S E N T E Por medio de </w:t>
      </w:r>
      <w:r w:rsidR="00831982" w:rsidRPr="006B0A9B">
        <w:rPr>
          <w:rFonts w:ascii="Palatino Linotype" w:hAnsi="Palatino Linotype" w:cs="Tahoma"/>
          <w:i/>
          <w:szCs w:val="22"/>
        </w:rPr>
        <w:t>la presente</w:t>
      </w:r>
      <w:r w:rsidRPr="006B0A9B">
        <w:rPr>
          <w:rFonts w:ascii="Palatino Linotype" w:hAnsi="Palatino Linotype" w:cs="Tahoma"/>
          <w:i/>
          <w:szCs w:val="22"/>
        </w:rPr>
        <w:t xml:space="preserve">, y en ejercicio de mi derecho de acceso a la información pública, le solicito que me proporcione la siguiente información: • 1.-El número total </w:t>
      </w:r>
      <w:r w:rsidR="00831982" w:rsidRPr="006B0A9B">
        <w:rPr>
          <w:rFonts w:ascii="Palatino Linotype" w:hAnsi="Palatino Linotype" w:cs="Tahoma"/>
          <w:i/>
          <w:szCs w:val="22"/>
        </w:rPr>
        <w:t>de plazas</w:t>
      </w:r>
      <w:r w:rsidRPr="006B0A9B">
        <w:rPr>
          <w:rFonts w:ascii="Palatino Linotype" w:hAnsi="Palatino Linotype" w:cs="Tahoma"/>
          <w:i/>
          <w:szCs w:val="22"/>
        </w:rPr>
        <w:t xml:space="preserve"> de base, 1.-de estructura, 2.-sindicalizados 3.-operativas, 4.-de Grupo Tlaloc, 5.-así como eventuales de esta comisión. • 2.-El número de </w:t>
      </w:r>
      <w:r w:rsidR="00831982" w:rsidRPr="006B0A9B">
        <w:rPr>
          <w:rFonts w:ascii="Palatino Linotype" w:hAnsi="Palatino Linotype" w:cs="Tahoma"/>
          <w:i/>
          <w:szCs w:val="22"/>
        </w:rPr>
        <w:t>plazas que</w:t>
      </w:r>
      <w:r w:rsidRPr="006B0A9B">
        <w:rPr>
          <w:rFonts w:ascii="Palatino Linotype" w:hAnsi="Palatino Linotype" w:cs="Tahoma"/>
          <w:i/>
          <w:szCs w:val="22"/>
        </w:rPr>
        <w:t xml:space="preserve"> se encuentran congeladas y el motivo del por qué en la Comisión del Agua del estado de México. • 3.-Los contratos de prestación de servicios del</w:t>
      </w:r>
      <w:r w:rsidR="00831982">
        <w:rPr>
          <w:rFonts w:ascii="Palatino Linotype" w:hAnsi="Palatino Linotype" w:cs="Tahoma"/>
          <w:i/>
          <w:szCs w:val="22"/>
        </w:rPr>
        <w:t xml:space="preserve"> </w:t>
      </w:r>
      <w:r w:rsidRPr="006B0A9B">
        <w:rPr>
          <w:rFonts w:ascii="Palatino Linotype" w:hAnsi="Palatino Linotype" w:cs="Tahoma"/>
          <w:i/>
          <w:szCs w:val="22"/>
        </w:rPr>
        <w:t xml:space="preserve">FID 1928 en el 2024, así como el nombre de los trabajadores contratados bajo este fondo y las actividades que realizan., los curricular </w:t>
      </w:r>
      <w:proofErr w:type="spellStart"/>
      <w:r w:rsidRPr="006B0A9B">
        <w:rPr>
          <w:rFonts w:ascii="Palatino Linotype" w:hAnsi="Palatino Linotype" w:cs="Tahoma"/>
          <w:i/>
          <w:szCs w:val="22"/>
        </w:rPr>
        <w:t>CVs</w:t>
      </w:r>
      <w:proofErr w:type="spellEnd"/>
      <w:r w:rsidRPr="006B0A9B">
        <w:rPr>
          <w:rFonts w:ascii="Palatino Linotype" w:hAnsi="Palatino Linotype" w:cs="Tahoma"/>
          <w:i/>
          <w:szCs w:val="22"/>
        </w:rPr>
        <w:t xml:space="preserve">, </w:t>
      </w:r>
      <w:r w:rsidR="00831982" w:rsidRPr="006B0A9B">
        <w:rPr>
          <w:rFonts w:ascii="Palatino Linotype" w:hAnsi="Palatino Linotype" w:cs="Tahoma"/>
          <w:i/>
          <w:szCs w:val="22"/>
        </w:rPr>
        <w:t>los comprobantes</w:t>
      </w:r>
      <w:r w:rsidRPr="006B0A9B">
        <w:rPr>
          <w:rFonts w:ascii="Palatino Linotype" w:hAnsi="Palatino Linotype" w:cs="Tahoma"/>
          <w:i/>
          <w:szCs w:val="22"/>
        </w:rPr>
        <w:t xml:space="preserve"> fiscales de cada uno de los contratantes, el primer y el segundo entregable de cada uno de los trabajadores, ,a todos los </w:t>
      </w:r>
      <w:r w:rsidR="00831982" w:rsidRPr="006B0A9B">
        <w:rPr>
          <w:rFonts w:ascii="Palatino Linotype" w:hAnsi="Palatino Linotype" w:cs="Tahoma"/>
          <w:i/>
          <w:szCs w:val="22"/>
        </w:rPr>
        <w:t>Sujetos Obligados</w:t>
      </w:r>
      <w:r w:rsidRPr="006B0A9B">
        <w:rPr>
          <w:rFonts w:ascii="Palatino Linotype" w:hAnsi="Palatino Linotype" w:cs="Tahoma"/>
          <w:i/>
          <w:szCs w:val="22"/>
        </w:rPr>
        <w:t xml:space="preserve"> que intervienen en el FID 1928 los cuales son la Comisión del Agua del Estado de México en a la Dirección General de Inversión y Gestión y </w:t>
      </w:r>
      <w:proofErr w:type="spellStart"/>
      <w:r w:rsidRPr="006B0A9B">
        <w:rPr>
          <w:rFonts w:ascii="Palatino Linotype" w:hAnsi="Palatino Linotype" w:cs="Tahoma"/>
          <w:i/>
          <w:szCs w:val="22"/>
        </w:rPr>
        <w:t>ala</w:t>
      </w:r>
      <w:proofErr w:type="spellEnd"/>
      <w:r w:rsidRPr="006B0A9B">
        <w:rPr>
          <w:rFonts w:ascii="Palatino Linotype" w:hAnsi="Palatino Linotype" w:cs="Tahoma"/>
          <w:i/>
          <w:szCs w:val="22"/>
        </w:rPr>
        <w:t xml:space="preserve"> Dirección General de Administración así Finanzas así como , al Sistema de Agua de la Ciudad de México, al Banco Nacional de Obras y </w:t>
      </w:r>
      <w:r w:rsidR="00831982" w:rsidRPr="006B0A9B">
        <w:rPr>
          <w:rFonts w:ascii="Palatino Linotype" w:hAnsi="Palatino Linotype" w:cs="Tahoma"/>
          <w:i/>
          <w:szCs w:val="22"/>
        </w:rPr>
        <w:t>Servicios Públicos</w:t>
      </w:r>
      <w:r w:rsidRPr="006B0A9B">
        <w:rPr>
          <w:rFonts w:ascii="Palatino Linotype" w:hAnsi="Palatino Linotype" w:cs="Tahoma"/>
          <w:i/>
          <w:szCs w:val="22"/>
        </w:rPr>
        <w:t xml:space="preserve"> (</w:t>
      </w:r>
      <w:proofErr w:type="spellStart"/>
      <w:r w:rsidRPr="006B0A9B">
        <w:rPr>
          <w:rFonts w:ascii="Palatino Linotype" w:hAnsi="Palatino Linotype" w:cs="Tahoma"/>
          <w:i/>
          <w:szCs w:val="22"/>
        </w:rPr>
        <w:t>Banobras</w:t>
      </w:r>
      <w:proofErr w:type="spellEnd"/>
      <w:r w:rsidRPr="006B0A9B">
        <w:rPr>
          <w:rFonts w:ascii="Palatino Linotype" w:hAnsi="Palatino Linotype" w:cs="Tahoma"/>
          <w:i/>
          <w:szCs w:val="22"/>
        </w:rPr>
        <w:t xml:space="preserve">), a la Secretaria de Finanzas del Estado de México o 3.1 Se me informe si el órgano de fiscalización y auditoria competente </w:t>
      </w:r>
      <w:r w:rsidR="00831982" w:rsidRPr="006B0A9B">
        <w:rPr>
          <w:rFonts w:ascii="Palatino Linotype" w:hAnsi="Palatino Linotype" w:cs="Tahoma"/>
          <w:i/>
          <w:szCs w:val="22"/>
        </w:rPr>
        <w:t>se encuentra</w:t>
      </w:r>
      <w:r w:rsidRPr="006B0A9B">
        <w:rPr>
          <w:rFonts w:ascii="Palatino Linotype" w:hAnsi="Palatino Linotype" w:cs="Tahoma"/>
          <w:i/>
          <w:szCs w:val="22"/>
        </w:rPr>
        <w:t xml:space="preserve"> vigilante y en evaluación de que los perfiles profesionales y los objetivos que amparan la contratación de prestación del servicio cumplen </w:t>
      </w:r>
      <w:r w:rsidR="00831982" w:rsidRPr="006B0A9B">
        <w:rPr>
          <w:rFonts w:ascii="Palatino Linotype" w:hAnsi="Palatino Linotype" w:cs="Tahoma"/>
          <w:i/>
          <w:szCs w:val="22"/>
        </w:rPr>
        <w:t>con la</w:t>
      </w:r>
      <w:r w:rsidRPr="006B0A9B">
        <w:rPr>
          <w:rFonts w:ascii="Palatino Linotype" w:hAnsi="Palatino Linotype" w:cs="Tahoma"/>
          <w:i/>
          <w:szCs w:val="22"/>
        </w:rPr>
        <w:t xml:space="preserve"> finalidad de la autorización del servicio o Así </w:t>
      </w:r>
      <w:r w:rsidRPr="006B0A9B">
        <w:rPr>
          <w:rFonts w:ascii="Palatino Linotype" w:hAnsi="Palatino Linotype" w:cs="Tahoma"/>
          <w:i/>
          <w:szCs w:val="22"/>
        </w:rPr>
        <w:lastRenderedPageBreak/>
        <w:t xml:space="preserve">como el comité de autorización y documentos que se generaron la autorización de dichos contratos deservicio en la Comisión del Agua del estado de México, la sesiones o comisiones y documentos para los tramites de esa autorización, así como los </w:t>
      </w:r>
      <w:r w:rsidR="00831982" w:rsidRPr="006B0A9B">
        <w:rPr>
          <w:rFonts w:ascii="Palatino Linotype" w:hAnsi="Palatino Linotype" w:cs="Tahoma"/>
          <w:i/>
          <w:szCs w:val="22"/>
        </w:rPr>
        <w:t>recibos de</w:t>
      </w:r>
      <w:r w:rsidRPr="006B0A9B">
        <w:rPr>
          <w:rFonts w:ascii="Palatino Linotype" w:hAnsi="Palatino Linotype" w:cs="Tahoma"/>
          <w:i/>
          <w:szCs w:val="22"/>
        </w:rPr>
        <w:t xml:space="preserve"> pagos a los mismo prestadores de Servicio o La información que solicito no es información ad hoc por ninguna dependencia es información que </w:t>
      </w:r>
      <w:r w:rsidR="00831982" w:rsidRPr="006B0A9B">
        <w:rPr>
          <w:rFonts w:ascii="Palatino Linotype" w:hAnsi="Palatino Linotype" w:cs="Tahoma"/>
          <w:i/>
          <w:szCs w:val="22"/>
        </w:rPr>
        <w:t>debe de</w:t>
      </w:r>
      <w:r w:rsidRPr="006B0A9B">
        <w:rPr>
          <w:rFonts w:ascii="Palatino Linotype" w:hAnsi="Palatino Linotype" w:cs="Tahoma"/>
          <w:i/>
          <w:szCs w:val="22"/>
        </w:rPr>
        <w:t xml:space="preserve"> obrar en sus archivos y expedientes por lo cual pido se me sea proporcionada por este sistema en cuanto a la </w:t>
      </w:r>
      <w:r w:rsidR="00831982" w:rsidRPr="006B0A9B">
        <w:rPr>
          <w:rFonts w:ascii="Palatino Linotype" w:hAnsi="Palatino Linotype" w:cs="Tahoma"/>
          <w:i/>
          <w:szCs w:val="22"/>
        </w:rPr>
        <w:t>información</w:t>
      </w:r>
      <w:r w:rsidRPr="006B0A9B">
        <w:rPr>
          <w:rFonts w:ascii="Palatino Linotype" w:hAnsi="Palatino Linotype" w:cs="Tahoma"/>
          <w:i/>
          <w:szCs w:val="22"/>
        </w:rPr>
        <w:t xml:space="preserve"> de los contratos </w:t>
      </w:r>
      <w:r w:rsidR="00831982" w:rsidRPr="006B0A9B">
        <w:rPr>
          <w:rFonts w:ascii="Palatino Linotype" w:hAnsi="Palatino Linotype" w:cs="Tahoma"/>
          <w:i/>
          <w:szCs w:val="22"/>
        </w:rPr>
        <w:t>del fideicomiso</w:t>
      </w:r>
      <w:r w:rsidRPr="006B0A9B">
        <w:rPr>
          <w:rFonts w:ascii="Palatino Linotype" w:hAnsi="Palatino Linotype" w:cs="Tahoma"/>
          <w:i/>
          <w:szCs w:val="22"/>
        </w:rPr>
        <w:t xml:space="preserve"> es importante destacar que se </w:t>
      </w:r>
      <w:r w:rsidR="00831982" w:rsidRPr="006B0A9B">
        <w:rPr>
          <w:rFonts w:ascii="Palatino Linotype" w:hAnsi="Palatino Linotype" w:cs="Tahoma"/>
          <w:i/>
          <w:szCs w:val="22"/>
        </w:rPr>
        <w:t>realizó</w:t>
      </w:r>
      <w:r w:rsidRPr="006B0A9B">
        <w:rPr>
          <w:rFonts w:ascii="Palatino Linotype" w:hAnsi="Palatino Linotype" w:cs="Tahoma"/>
          <w:i/>
          <w:szCs w:val="22"/>
        </w:rPr>
        <w:t xml:space="preserve"> </w:t>
      </w:r>
      <w:r w:rsidR="00831982" w:rsidRPr="006B0A9B">
        <w:rPr>
          <w:rFonts w:ascii="Palatino Linotype" w:hAnsi="Palatino Linotype" w:cs="Tahoma"/>
          <w:i/>
          <w:szCs w:val="22"/>
        </w:rPr>
        <w:t>también</w:t>
      </w:r>
      <w:r w:rsidRPr="006B0A9B">
        <w:rPr>
          <w:rFonts w:ascii="Palatino Linotype" w:hAnsi="Palatino Linotype" w:cs="Tahoma"/>
          <w:i/>
          <w:szCs w:val="22"/>
        </w:rPr>
        <w:t xml:space="preserve"> una respuesta por BANOBRAS y menciona que ustedes son los que deben de tener </w:t>
      </w:r>
      <w:r w:rsidR="00831982" w:rsidRPr="006B0A9B">
        <w:rPr>
          <w:rFonts w:ascii="Palatino Linotype" w:hAnsi="Palatino Linotype" w:cs="Tahoma"/>
          <w:i/>
          <w:szCs w:val="22"/>
        </w:rPr>
        <w:t>la información</w:t>
      </w:r>
      <w:r w:rsidRPr="006B0A9B">
        <w:rPr>
          <w:rFonts w:ascii="Palatino Linotype" w:hAnsi="Palatino Linotype" w:cs="Tahoma"/>
          <w:i/>
          <w:szCs w:val="22"/>
        </w:rPr>
        <w:t xml:space="preserve"> anexo la respuesta por parte de la unidad de BANOBRAS y no estoy solicitando </w:t>
      </w:r>
      <w:r w:rsidR="00831982" w:rsidRPr="006B0A9B">
        <w:rPr>
          <w:rFonts w:ascii="Palatino Linotype" w:hAnsi="Palatino Linotype" w:cs="Tahoma"/>
          <w:i/>
          <w:szCs w:val="22"/>
        </w:rPr>
        <w:t>información</w:t>
      </w:r>
      <w:r w:rsidRPr="006B0A9B">
        <w:rPr>
          <w:rFonts w:ascii="Palatino Linotype" w:hAnsi="Palatino Linotype" w:cs="Tahoma"/>
          <w:i/>
          <w:szCs w:val="22"/>
        </w:rPr>
        <w:t xml:space="preserve"> ad hoc”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adjunta copia del oficio de respuesta con número 219C0117L/2122/2024, suscrito por la Dirección General de Administración y Finanzas, con la información solicitada. Sin otro particular por el momento, aprovecho la ocasión para enviarle un cordial saludo. A T E N T A M E N T E STEPHANIE VALERO SÁNCHEZ TITULAR DE LA UNIDAD DE TRANSPARENCIA</w:t>
      </w:r>
    </w:p>
    <w:p w14:paraId="0A7EC86C" w14:textId="77777777" w:rsidR="00B55D00" w:rsidRPr="006B0A9B" w:rsidRDefault="00B55D00" w:rsidP="00FF426B">
      <w:pPr>
        <w:autoSpaceDE w:val="0"/>
        <w:autoSpaceDN w:val="0"/>
        <w:adjustRightInd w:val="0"/>
        <w:spacing w:line="360" w:lineRule="auto"/>
        <w:contextualSpacing/>
        <w:jc w:val="both"/>
        <w:rPr>
          <w:rFonts w:ascii="Palatino Linotype" w:hAnsi="Palatino Linotype" w:cs="Tahoma"/>
          <w:sz w:val="22"/>
          <w:szCs w:val="22"/>
        </w:rPr>
      </w:pPr>
    </w:p>
    <w:p w14:paraId="618BDEAB" w14:textId="6C100817" w:rsidR="0029110A" w:rsidRPr="006B0A9B" w:rsidRDefault="00B55D00" w:rsidP="00FF426B">
      <w:pPr>
        <w:autoSpaceDE w:val="0"/>
        <w:autoSpaceDN w:val="0"/>
        <w:adjustRightInd w:val="0"/>
        <w:spacing w:line="360" w:lineRule="auto"/>
        <w:contextualSpacing/>
        <w:jc w:val="both"/>
        <w:rPr>
          <w:rFonts w:ascii="Palatino Linotype" w:hAnsi="Palatino Linotype" w:cs="Tahoma"/>
          <w:sz w:val="22"/>
          <w:szCs w:val="22"/>
        </w:rPr>
      </w:pPr>
      <w:r w:rsidRPr="006B0A9B">
        <w:rPr>
          <w:rFonts w:ascii="Palatino Linotype" w:hAnsi="Palatino Linotype" w:cs="Tahoma"/>
          <w:sz w:val="22"/>
          <w:szCs w:val="22"/>
        </w:rPr>
        <w:t xml:space="preserve">De igual forma adjuntó el archivo </w:t>
      </w:r>
      <w:r w:rsidRPr="006B0A9B">
        <w:rPr>
          <w:rFonts w:ascii="Palatino Linotype" w:hAnsi="Palatino Linotype" w:cs="Tahoma"/>
          <w:b/>
          <w:i/>
          <w:sz w:val="22"/>
          <w:szCs w:val="22"/>
        </w:rPr>
        <w:t xml:space="preserve">Respuesta </w:t>
      </w:r>
      <w:proofErr w:type="spellStart"/>
      <w:r w:rsidRPr="006B0A9B">
        <w:rPr>
          <w:rFonts w:ascii="Palatino Linotype" w:hAnsi="Palatino Linotype" w:cs="Tahoma"/>
          <w:b/>
          <w:i/>
          <w:sz w:val="22"/>
          <w:szCs w:val="22"/>
        </w:rPr>
        <w:t>saimex</w:t>
      </w:r>
      <w:proofErr w:type="spellEnd"/>
      <w:r w:rsidRPr="006B0A9B">
        <w:rPr>
          <w:rFonts w:ascii="Palatino Linotype" w:hAnsi="Palatino Linotype" w:cs="Tahoma"/>
          <w:b/>
          <w:i/>
          <w:sz w:val="22"/>
          <w:szCs w:val="22"/>
        </w:rPr>
        <w:t xml:space="preserve"> 497.pdf</w:t>
      </w:r>
      <w:r w:rsidRPr="006B0A9B">
        <w:rPr>
          <w:rFonts w:ascii="Palatino Linotype" w:hAnsi="Palatino Linotype" w:cs="Tahoma"/>
          <w:sz w:val="22"/>
          <w:szCs w:val="22"/>
        </w:rPr>
        <w:t xml:space="preserve"> que contiene tres oficios, el primero suscrito por el Titular de la unidad de Transparencia por medio del cual hace llegar al Particular la respuesta proporcionada por los servidores públicos habilitados, el tercero suscrito por el Director General de Infraestructura Hidráulica en el que en su parte medular manifestó no ser competente para conocer sobre lo solicitado y el segundo suscrito por la </w:t>
      </w:r>
      <w:r w:rsidR="00472CEA" w:rsidRPr="006B0A9B">
        <w:rPr>
          <w:rFonts w:ascii="Palatino Linotype" w:hAnsi="Palatino Linotype" w:cs="Tahoma"/>
          <w:sz w:val="22"/>
          <w:szCs w:val="22"/>
        </w:rPr>
        <w:t>Director</w:t>
      </w:r>
      <w:r w:rsidRPr="006B0A9B">
        <w:rPr>
          <w:rFonts w:ascii="Palatino Linotype" w:hAnsi="Palatino Linotype" w:cs="Tahoma"/>
          <w:sz w:val="22"/>
          <w:szCs w:val="22"/>
        </w:rPr>
        <w:t>a</w:t>
      </w:r>
      <w:r w:rsidR="00472CEA" w:rsidRPr="006B0A9B">
        <w:rPr>
          <w:rFonts w:ascii="Palatino Linotype" w:hAnsi="Palatino Linotype" w:cs="Tahoma"/>
          <w:sz w:val="22"/>
          <w:szCs w:val="22"/>
        </w:rPr>
        <w:t xml:space="preserve"> General de Administración y Finanzas </w:t>
      </w:r>
      <w:r w:rsidRPr="006B0A9B">
        <w:rPr>
          <w:rFonts w:ascii="Palatino Linotype" w:hAnsi="Palatino Linotype" w:cs="Tahoma"/>
          <w:sz w:val="22"/>
          <w:szCs w:val="22"/>
        </w:rPr>
        <w:t xml:space="preserve">en el que </w:t>
      </w:r>
      <w:r w:rsidR="0029110A" w:rsidRPr="006B0A9B">
        <w:rPr>
          <w:rFonts w:ascii="Palatino Linotype" w:hAnsi="Palatino Linotype" w:cs="Tahoma"/>
          <w:sz w:val="22"/>
          <w:szCs w:val="22"/>
        </w:rPr>
        <w:t>manifestó lo siguiente:</w:t>
      </w:r>
    </w:p>
    <w:p w14:paraId="4DEA2894" w14:textId="77777777" w:rsidR="0029110A" w:rsidRPr="006B0A9B" w:rsidRDefault="0029110A" w:rsidP="00552F49">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2B23832B" w14:textId="77777777" w:rsidR="00996302" w:rsidRPr="006B0A9B" w:rsidRDefault="00552F49" w:rsidP="00F25E2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0A9B">
        <w:rPr>
          <w:rFonts w:ascii="Palatino Linotype" w:hAnsi="Palatino Linotype" w:cs="Tahoma"/>
          <w:i/>
          <w:szCs w:val="22"/>
        </w:rPr>
        <w:t>“…</w:t>
      </w:r>
      <w:r w:rsidR="00F25E23" w:rsidRPr="006B0A9B">
        <w:rPr>
          <w:rFonts w:ascii="Palatino Linotype" w:hAnsi="Palatino Linotype" w:cs="Tahoma"/>
          <w:i/>
          <w:szCs w:val="22"/>
        </w:rPr>
        <w:t xml:space="preserve"> </w:t>
      </w:r>
    </w:p>
    <w:p w14:paraId="0C6BD474" w14:textId="77777777" w:rsidR="00AA1974" w:rsidRPr="006B0A9B" w:rsidRDefault="00472CEA" w:rsidP="00F25E2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0A9B">
        <w:rPr>
          <w:rFonts w:ascii="Palatino Linotype" w:hAnsi="Palatino Linotype" w:cs="Tahoma"/>
          <w:i/>
          <w:szCs w:val="22"/>
        </w:rPr>
        <w:lastRenderedPageBreak/>
        <w:t>Por lo tanto para conocer el total de plazas vacantes y ocupadas, información que forma parte de las obligaciones de transparencia comunes, puesta a disposición en la página IPOMEX (Información Pública de Oficio Mexiquense), deberá seleccionar a este Sujeto Obligado (Comisión del Agua del Estado de México) y dar clic en la fracción X B o bien, ingresar a:</w:t>
      </w:r>
    </w:p>
    <w:p w14:paraId="1FC212BA" w14:textId="77777777" w:rsidR="009D4E9E" w:rsidRPr="006B0A9B" w:rsidRDefault="0029110A" w:rsidP="00F25E2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0A9B">
        <w:rPr>
          <w:rFonts w:ascii="Palatino Linotype" w:hAnsi="Palatino Linotype" w:cs="Tahoma"/>
          <w:i/>
          <w:szCs w:val="22"/>
        </w:rPr>
        <w:t>…”</w:t>
      </w:r>
    </w:p>
    <w:p w14:paraId="73551FF7" w14:textId="77777777" w:rsidR="00552F49" w:rsidRPr="006B0A9B" w:rsidRDefault="00552F49" w:rsidP="00552F49">
      <w:pPr>
        <w:tabs>
          <w:tab w:val="left" w:pos="2282"/>
        </w:tabs>
        <w:autoSpaceDE w:val="0"/>
        <w:autoSpaceDN w:val="0"/>
        <w:adjustRightInd w:val="0"/>
        <w:spacing w:line="360" w:lineRule="auto"/>
        <w:contextualSpacing/>
        <w:jc w:val="both"/>
        <w:rPr>
          <w:rFonts w:ascii="Palatino Linotype" w:hAnsi="Palatino Linotype" w:cs="Tahoma"/>
          <w:sz w:val="22"/>
          <w:szCs w:val="22"/>
        </w:rPr>
      </w:pPr>
    </w:p>
    <w:bookmarkEnd w:id="0"/>
    <w:p w14:paraId="23B841FD" w14:textId="77777777" w:rsidR="001A412B" w:rsidRPr="006B0A9B" w:rsidRDefault="007812D1" w:rsidP="00FF426B">
      <w:pPr>
        <w:autoSpaceDE w:val="0"/>
        <w:autoSpaceDN w:val="0"/>
        <w:adjustRightInd w:val="0"/>
        <w:spacing w:line="360" w:lineRule="auto"/>
        <w:contextualSpacing/>
        <w:jc w:val="both"/>
        <w:rPr>
          <w:rFonts w:ascii="Palatino Linotype" w:hAnsi="Palatino Linotype" w:cs="Tahoma"/>
          <w:b/>
          <w:sz w:val="22"/>
          <w:szCs w:val="22"/>
        </w:rPr>
      </w:pPr>
      <w:r w:rsidRPr="006B0A9B">
        <w:rPr>
          <w:rFonts w:ascii="Palatino Linotype" w:hAnsi="Palatino Linotype" w:cs="Tahoma"/>
          <w:b/>
          <w:sz w:val="22"/>
          <w:szCs w:val="22"/>
        </w:rPr>
        <w:t>I</w:t>
      </w:r>
      <w:r w:rsidR="00AA1974" w:rsidRPr="006B0A9B">
        <w:rPr>
          <w:rFonts w:ascii="Palatino Linotype" w:hAnsi="Palatino Linotype" w:cs="Tahoma"/>
          <w:b/>
          <w:sz w:val="22"/>
          <w:szCs w:val="22"/>
        </w:rPr>
        <w:t>II</w:t>
      </w:r>
      <w:r w:rsidR="009A7587" w:rsidRPr="006B0A9B">
        <w:rPr>
          <w:rFonts w:ascii="Palatino Linotype" w:hAnsi="Palatino Linotype" w:cs="Tahoma"/>
          <w:b/>
          <w:sz w:val="22"/>
          <w:szCs w:val="22"/>
        </w:rPr>
        <w:t>. Interposición del Recurso de Revisión</w:t>
      </w:r>
    </w:p>
    <w:p w14:paraId="6EC8591B" w14:textId="77777777" w:rsidR="00F87649" w:rsidRPr="006B0A9B" w:rsidRDefault="00F87649" w:rsidP="00FF426B">
      <w:pPr>
        <w:autoSpaceDE w:val="0"/>
        <w:autoSpaceDN w:val="0"/>
        <w:adjustRightInd w:val="0"/>
        <w:spacing w:line="360" w:lineRule="auto"/>
        <w:contextualSpacing/>
        <w:jc w:val="both"/>
        <w:rPr>
          <w:rFonts w:ascii="Palatino Linotype" w:hAnsi="Palatino Linotype" w:cs="Tahoma"/>
          <w:b/>
          <w:sz w:val="18"/>
          <w:szCs w:val="22"/>
        </w:rPr>
      </w:pPr>
    </w:p>
    <w:p w14:paraId="170F449E" w14:textId="77777777" w:rsidR="009A7587" w:rsidRPr="006B0A9B" w:rsidRDefault="009A7587" w:rsidP="00FF426B">
      <w:pPr>
        <w:tabs>
          <w:tab w:val="left" w:pos="3122"/>
        </w:tabs>
        <w:spacing w:line="360" w:lineRule="auto"/>
        <w:contextualSpacing/>
        <w:jc w:val="both"/>
        <w:rPr>
          <w:rFonts w:ascii="Palatino Linotype" w:hAnsi="Palatino Linotype" w:cs="Tahoma"/>
          <w:sz w:val="22"/>
          <w:szCs w:val="22"/>
        </w:rPr>
      </w:pPr>
      <w:r w:rsidRPr="006B0A9B">
        <w:rPr>
          <w:rFonts w:ascii="Palatino Linotype" w:hAnsi="Palatino Linotype" w:cs="Tahoma"/>
          <w:sz w:val="22"/>
          <w:szCs w:val="22"/>
        </w:rPr>
        <w:t>Con fecha</w:t>
      </w:r>
      <w:r w:rsidR="00E13C8C" w:rsidRPr="006B0A9B">
        <w:rPr>
          <w:rFonts w:ascii="Palatino Linotype" w:hAnsi="Palatino Linotype" w:cs="Tahoma"/>
          <w:sz w:val="22"/>
          <w:szCs w:val="22"/>
        </w:rPr>
        <w:t xml:space="preserve"> </w:t>
      </w:r>
      <w:r w:rsidR="00472CEA" w:rsidRPr="006B0A9B">
        <w:rPr>
          <w:rFonts w:ascii="Palatino Linotype" w:hAnsi="Palatino Linotype" w:cs="Tahoma"/>
          <w:sz w:val="22"/>
          <w:szCs w:val="22"/>
        </w:rPr>
        <w:t>veintiuno</w:t>
      </w:r>
      <w:r w:rsidR="00AA1974" w:rsidRPr="006B0A9B">
        <w:rPr>
          <w:rFonts w:ascii="Palatino Linotype" w:hAnsi="Palatino Linotype" w:cs="Tahoma"/>
          <w:sz w:val="22"/>
          <w:szCs w:val="22"/>
        </w:rPr>
        <w:t xml:space="preserve"> de octubre</w:t>
      </w:r>
      <w:r w:rsidR="00F93A36" w:rsidRPr="006B0A9B">
        <w:rPr>
          <w:rFonts w:ascii="Palatino Linotype" w:hAnsi="Palatino Linotype" w:cs="Tahoma"/>
          <w:sz w:val="22"/>
          <w:szCs w:val="22"/>
        </w:rPr>
        <w:t xml:space="preserve"> </w:t>
      </w:r>
      <w:r w:rsidR="00B267E1" w:rsidRPr="006B0A9B">
        <w:rPr>
          <w:rFonts w:ascii="Palatino Linotype" w:hAnsi="Palatino Linotype" w:cs="Tahoma"/>
          <w:sz w:val="22"/>
          <w:szCs w:val="22"/>
        </w:rPr>
        <w:t>de dos mil veinti</w:t>
      </w:r>
      <w:r w:rsidR="00F93A36" w:rsidRPr="006B0A9B">
        <w:rPr>
          <w:rFonts w:ascii="Palatino Linotype" w:hAnsi="Palatino Linotype" w:cs="Tahoma"/>
          <w:sz w:val="22"/>
          <w:szCs w:val="22"/>
        </w:rPr>
        <w:t>cuatro</w:t>
      </w:r>
      <w:r w:rsidRPr="006B0A9B">
        <w:rPr>
          <w:rFonts w:ascii="Palatino Linotype" w:hAnsi="Palatino Linotype" w:cs="Tahoma"/>
          <w:sz w:val="22"/>
          <w:szCs w:val="22"/>
        </w:rPr>
        <w:t xml:space="preserve">, a través del </w:t>
      </w:r>
      <w:r w:rsidR="00BB1F81" w:rsidRPr="006B0A9B">
        <w:rPr>
          <w:rFonts w:ascii="Palatino Linotype" w:hAnsi="Palatino Linotype" w:cs="Tahoma"/>
          <w:sz w:val="22"/>
          <w:szCs w:val="22"/>
          <w:lang w:val="es-ES"/>
        </w:rPr>
        <w:t>SAIMEX</w:t>
      </w:r>
      <w:r w:rsidR="00A048C7" w:rsidRPr="006B0A9B">
        <w:rPr>
          <w:rFonts w:ascii="Palatino Linotype" w:hAnsi="Palatino Linotype" w:cs="Tahoma"/>
          <w:sz w:val="22"/>
          <w:szCs w:val="22"/>
        </w:rPr>
        <w:t>, se interpus</w:t>
      </w:r>
      <w:r w:rsidR="003C3E71" w:rsidRPr="006B0A9B">
        <w:rPr>
          <w:rFonts w:ascii="Palatino Linotype" w:hAnsi="Palatino Linotype" w:cs="Tahoma"/>
          <w:sz w:val="22"/>
          <w:szCs w:val="22"/>
        </w:rPr>
        <w:t>o</w:t>
      </w:r>
      <w:r w:rsidR="00A048C7" w:rsidRPr="006B0A9B">
        <w:rPr>
          <w:rFonts w:ascii="Palatino Linotype" w:hAnsi="Palatino Linotype" w:cs="Tahoma"/>
          <w:sz w:val="22"/>
          <w:szCs w:val="22"/>
        </w:rPr>
        <w:t xml:space="preserve"> </w:t>
      </w:r>
      <w:r w:rsidR="003C3E71" w:rsidRPr="006B0A9B">
        <w:rPr>
          <w:rFonts w:ascii="Palatino Linotype" w:hAnsi="Palatino Linotype" w:cs="Tahoma"/>
          <w:sz w:val="22"/>
          <w:szCs w:val="22"/>
        </w:rPr>
        <w:t>el</w:t>
      </w:r>
      <w:r w:rsidRPr="006B0A9B">
        <w:rPr>
          <w:rFonts w:ascii="Palatino Linotype" w:hAnsi="Palatino Linotype" w:cs="Tahoma"/>
          <w:sz w:val="22"/>
          <w:szCs w:val="22"/>
        </w:rPr>
        <w:t xml:space="preserve"> presente Recurso de Revisión por</w:t>
      </w:r>
      <w:r w:rsidR="008E6658" w:rsidRPr="006B0A9B">
        <w:rPr>
          <w:rFonts w:ascii="Palatino Linotype" w:hAnsi="Palatino Linotype" w:cs="Tahoma"/>
          <w:sz w:val="22"/>
          <w:szCs w:val="22"/>
        </w:rPr>
        <w:t xml:space="preserve"> </w:t>
      </w:r>
      <w:r w:rsidR="0035716C" w:rsidRPr="006B0A9B">
        <w:rPr>
          <w:rFonts w:ascii="Palatino Linotype" w:hAnsi="Palatino Linotype" w:cs="Tahoma"/>
          <w:sz w:val="22"/>
          <w:szCs w:val="22"/>
        </w:rPr>
        <w:t xml:space="preserve">el </w:t>
      </w:r>
      <w:r w:rsidRPr="006B0A9B">
        <w:rPr>
          <w:rFonts w:ascii="Palatino Linotype" w:hAnsi="Palatino Linotype" w:cs="Tahoma"/>
          <w:sz w:val="22"/>
          <w:szCs w:val="22"/>
        </w:rPr>
        <w:t xml:space="preserve">Recurrente, en contra de </w:t>
      </w:r>
      <w:r w:rsidR="00655265" w:rsidRPr="006B0A9B">
        <w:rPr>
          <w:rFonts w:ascii="Palatino Linotype" w:hAnsi="Palatino Linotype" w:cs="Tahoma"/>
          <w:sz w:val="22"/>
          <w:szCs w:val="22"/>
        </w:rPr>
        <w:t>la respuesta emitida</w:t>
      </w:r>
      <w:r w:rsidRPr="006B0A9B">
        <w:rPr>
          <w:rFonts w:ascii="Palatino Linotype" w:hAnsi="Palatino Linotype" w:cs="Tahoma"/>
          <w:sz w:val="22"/>
          <w:szCs w:val="22"/>
        </w:rPr>
        <w:t xml:space="preserve"> por el Sujeto Obligado a </w:t>
      </w:r>
      <w:r w:rsidR="00655265" w:rsidRPr="006B0A9B">
        <w:rPr>
          <w:rFonts w:ascii="Palatino Linotype" w:hAnsi="Palatino Linotype" w:cs="Tahoma"/>
          <w:sz w:val="22"/>
          <w:szCs w:val="22"/>
        </w:rPr>
        <w:t>la solicitud</w:t>
      </w:r>
      <w:r w:rsidRPr="006B0A9B">
        <w:rPr>
          <w:rFonts w:ascii="Palatino Linotype" w:hAnsi="Palatino Linotype" w:cs="Tahoma"/>
          <w:sz w:val="22"/>
          <w:szCs w:val="22"/>
        </w:rPr>
        <w:t xml:space="preserve"> de información, en los siguientes términos:</w:t>
      </w:r>
    </w:p>
    <w:p w14:paraId="3FC812C7" w14:textId="77777777" w:rsidR="00AB6595" w:rsidRPr="006B0A9B" w:rsidRDefault="00AB6595" w:rsidP="00FF57AD">
      <w:pPr>
        <w:tabs>
          <w:tab w:val="left" w:pos="4995"/>
        </w:tabs>
        <w:spacing w:line="360" w:lineRule="auto"/>
        <w:contextualSpacing/>
        <w:jc w:val="both"/>
        <w:rPr>
          <w:rFonts w:ascii="Palatino Linotype" w:hAnsi="Palatino Linotype" w:cs="Tahoma"/>
          <w:sz w:val="22"/>
          <w:szCs w:val="22"/>
        </w:rPr>
      </w:pPr>
    </w:p>
    <w:p w14:paraId="79852AAA" w14:textId="77777777" w:rsidR="00D5699B" w:rsidRPr="006B0A9B" w:rsidRDefault="00D5699B" w:rsidP="00FF426B">
      <w:pPr>
        <w:spacing w:line="360" w:lineRule="auto"/>
        <w:ind w:left="567" w:right="539"/>
        <w:contextualSpacing/>
        <w:jc w:val="both"/>
        <w:rPr>
          <w:rFonts w:ascii="Palatino Linotype" w:hAnsi="Palatino Linotype" w:cs="Tahoma"/>
          <w:b/>
          <w:bCs/>
          <w:szCs w:val="22"/>
        </w:rPr>
      </w:pPr>
      <w:r w:rsidRPr="006B0A9B">
        <w:rPr>
          <w:rFonts w:ascii="Palatino Linotype" w:hAnsi="Palatino Linotype" w:cs="Tahoma"/>
          <w:b/>
          <w:bCs/>
          <w:szCs w:val="22"/>
        </w:rPr>
        <w:t>ACTO IMPUGNADO</w:t>
      </w:r>
    </w:p>
    <w:p w14:paraId="04C2BBD0" w14:textId="77777777" w:rsidR="003D1770" w:rsidRPr="006B0A9B" w:rsidRDefault="007E4927" w:rsidP="00FF426B">
      <w:pPr>
        <w:spacing w:line="360" w:lineRule="auto"/>
        <w:ind w:left="567" w:right="539"/>
        <w:contextualSpacing/>
        <w:jc w:val="both"/>
        <w:rPr>
          <w:rFonts w:ascii="Palatino Linotype" w:hAnsi="Palatino Linotype" w:cs="Tahoma"/>
          <w:bCs/>
          <w:i/>
          <w:szCs w:val="22"/>
        </w:rPr>
      </w:pPr>
      <w:r w:rsidRPr="006B0A9B">
        <w:rPr>
          <w:rFonts w:ascii="Palatino Linotype" w:hAnsi="Palatino Linotype" w:cs="Tahoma"/>
          <w:bCs/>
          <w:i/>
          <w:szCs w:val="22"/>
        </w:rPr>
        <w:t>“</w:t>
      </w:r>
      <w:r w:rsidR="00472CEA" w:rsidRPr="006B0A9B">
        <w:rPr>
          <w:rFonts w:ascii="Palatino Linotype" w:hAnsi="Palatino Linotype" w:cs="Tahoma"/>
          <w:bCs/>
          <w:i/>
          <w:szCs w:val="22"/>
        </w:rPr>
        <w:t>se niegan a entregar la informacion que se requiere y me dan criterios sobre que no generan informacion ad hoc cuando es su obligacion tenerla</w:t>
      </w:r>
      <w:r w:rsidR="00AA1974" w:rsidRPr="006B0A9B">
        <w:rPr>
          <w:rFonts w:ascii="Palatino Linotype" w:hAnsi="Palatino Linotype" w:cs="Tahoma"/>
          <w:bCs/>
          <w:i/>
          <w:szCs w:val="22"/>
        </w:rPr>
        <w:t xml:space="preserve"> </w:t>
      </w:r>
      <w:r w:rsidR="00E55401" w:rsidRPr="006B0A9B">
        <w:rPr>
          <w:rFonts w:ascii="Palatino Linotype" w:hAnsi="Palatino Linotype" w:cs="Tahoma"/>
          <w:bCs/>
          <w:i/>
          <w:szCs w:val="22"/>
        </w:rPr>
        <w:t>"</w:t>
      </w:r>
      <w:r w:rsidR="00472CEA" w:rsidRPr="006B0A9B">
        <w:rPr>
          <w:rFonts w:ascii="Palatino Linotype" w:hAnsi="Palatino Linotype" w:cs="Tahoma"/>
          <w:bCs/>
          <w:i/>
          <w:szCs w:val="22"/>
        </w:rPr>
        <w:t xml:space="preserve"> (Sic)</w:t>
      </w:r>
    </w:p>
    <w:p w14:paraId="3DABDE60" w14:textId="77777777" w:rsidR="00CE2F19" w:rsidRPr="006B0A9B" w:rsidRDefault="00CE2F19" w:rsidP="00CE2F19">
      <w:pPr>
        <w:spacing w:line="360" w:lineRule="auto"/>
        <w:ind w:left="567" w:right="539"/>
        <w:contextualSpacing/>
        <w:jc w:val="both"/>
        <w:rPr>
          <w:rFonts w:ascii="Palatino Linotype" w:hAnsi="Palatino Linotype" w:cs="Tahoma"/>
          <w:bCs/>
          <w:szCs w:val="22"/>
        </w:rPr>
      </w:pPr>
    </w:p>
    <w:p w14:paraId="057ECB1E" w14:textId="77777777" w:rsidR="00CE2F19" w:rsidRPr="006B0A9B" w:rsidRDefault="00CE2F19" w:rsidP="00CE2F19">
      <w:pPr>
        <w:spacing w:line="360" w:lineRule="auto"/>
        <w:ind w:left="567" w:right="539"/>
        <w:contextualSpacing/>
        <w:jc w:val="both"/>
        <w:rPr>
          <w:rFonts w:ascii="Palatino Linotype" w:hAnsi="Palatino Linotype" w:cs="Tahoma"/>
          <w:b/>
          <w:bCs/>
          <w:szCs w:val="22"/>
        </w:rPr>
      </w:pPr>
      <w:r w:rsidRPr="006B0A9B">
        <w:rPr>
          <w:rFonts w:ascii="Palatino Linotype" w:hAnsi="Palatino Linotype" w:cs="Tahoma"/>
          <w:b/>
          <w:bCs/>
          <w:szCs w:val="22"/>
        </w:rPr>
        <w:t>RAZONES O MOTIVOS DE LA INCONFORMIDAD</w:t>
      </w:r>
    </w:p>
    <w:p w14:paraId="6C42E0E3" w14:textId="77777777" w:rsidR="00CE2F19" w:rsidRPr="006B0A9B" w:rsidRDefault="00CE2F19" w:rsidP="00CE2F19">
      <w:pPr>
        <w:spacing w:line="360" w:lineRule="auto"/>
        <w:ind w:left="567" w:right="539"/>
        <w:contextualSpacing/>
        <w:jc w:val="both"/>
        <w:rPr>
          <w:rFonts w:ascii="Palatino Linotype" w:hAnsi="Palatino Linotype" w:cs="Tahoma"/>
          <w:bCs/>
          <w:i/>
          <w:szCs w:val="24"/>
        </w:rPr>
      </w:pPr>
      <w:r w:rsidRPr="006B0A9B">
        <w:rPr>
          <w:rFonts w:ascii="Palatino Linotype" w:hAnsi="Palatino Linotype" w:cs="Tahoma"/>
          <w:bCs/>
          <w:i/>
          <w:szCs w:val="24"/>
        </w:rPr>
        <w:t>“</w:t>
      </w:r>
      <w:r w:rsidR="00472CEA" w:rsidRPr="006B0A9B">
        <w:rPr>
          <w:rFonts w:ascii="Palatino Linotype" w:hAnsi="Palatino Linotype" w:cs="Tahoma"/>
          <w:bCs/>
          <w:i/>
          <w:szCs w:val="24"/>
        </w:rPr>
        <w:t>se niegan a entregar la informacion que se requiere y me dan criterios sobre que no generan informacion ad hoc cuando es su obligacion tenerla</w:t>
      </w:r>
      <w:r w:rsidRPr="006B0A9B">
        <w:rPr>
          <w:rFonts w:ascii="Palatino Linotype" w:hAnsi="Palatino Linotype" w:cs="Tahoma"/>
          <w:bCs/>
          <w:i/>
          <w:szCs w:val="24"/>
        </w:rPr>
        <w:t>”</w:t>
      </w:r>
      <w:r w:rsidR="00472CEA" w:rsidRPr="006B0A9B">
        <w:rPr>
          <w:rFonts w:ascii="Palatino Linotype" w:hAnsi="Palatino Linotype" w:cs="Tahoma"/>
          <w:bCs/>
          <w:i/>
          <w:szCs w:val="24"/>
        </w:rPr>
        <w:t xml:space="preserve"> (Sic)</w:t>
      </w:r>
    </w:p>
    <w:p w14:paraId="5CBA5DFF" w14:textId="77777777" w:rsidR="007E4927" w:rsidRPr="006B0A9B" w:rsidRDefault="007E4927" w:rsidP="00FF426B">
      <w:pPr>
        <w:spacing w:line="360" w:lineRule="auto"/>
        <w:ind w:left="567" w:right="539"/>
        <w:contextualSpacing/>
        <w:jc w:val="both"/>
        <w:rPr>
          <w:rFonts w:ascii="Palatino Linotype" w:hAnsi="Palatino Linotype" w:cs="Tahoma"/>
          <w:bCs/>
          <w:i/>
          <w:szCs w:val="22"/>
        </w:rPr>
      </w:pPr>
    </w:p>
    <w:p w14:paraId="74B4F173" w14:textId="77777777" w:rsidR="009A7587" w:rsidRPr="006B0A9B" w:rsidRDefault="00AA1974" w:rsidP="00FF426B">
      <w:pPr>
        <w:spacing w:line="360" w:lineRule="auto"/>
        <w:contextualSpacing/>
        <w:jc w:val="both"/>
        <w:rPr>
          <w:rFonts w:ascii="Palatino Linotype" w:eastAsia="Batang" w:hAnsi="Palatino Linotype" w:cs="Tahoma"/>
          <w:b/>
          <w:bCs/>
          <w:sz w:val="22"/>
          <w:szCs w:val="22"/>
        </w:rPr>
      </w:pPr>
      <w:r w:rsidRPr="006B0A9B">
        <w:rPr>
          <w:rFonts w:ascii="Palatino Linotype" w:hAnsi="Palatino Linotype" w:cs="Tahoma"/>
          <w:b/>
          <w:sz w:val="22"/>
          <w:szCs w:val="22"/>
        </w:rPr>
        <w:t>I</w:t>
      </w:r>
      <w:r w:rsidR="00FF1049" w:rsidRPr="006B0A9B">
        <w:rPr>
          <w:rFonts w:ascii="Palatino Linotype" w:hAnsi="Palatino Linotype" w:cs="Tahoma"/>
          <w:b/>
          <w:sz w:val="22"/>
          <w:szCs w:val="22"/>
        </w:rPr>
        <w:t>V</w:t>
      </w:r>
      <w:r w:rsidR="009A7587" w:rsidRPr="006B0A9B">
        <w:rPr>
          <w:rFonts w:ascii="Palatino Linotype" w:hAnsi="Palatino Linotype" w:cs="Tahoma"/>
          <w:b/>
          <w:sz w:val="22"/>
          <w:szCs w:val="22"/>
        </w:rPr>
        <w:t xml:space="preserve">. </w:t>
      </w:r>
      <w:r w:rsidR="009A7587" w:rsidRPr="006B0A9B">
        <w:rPr>
          <w:rFonts w:ascii="Palatino Linotype" w:eastAsia="Batang" w:hAnsi="Palatino Linotype" w:cs="Tahoma"/>
          <w:b/>
          <w:bCs/>
          <w:sz w:val="22"/>
          <w:szCs w:val="22"/>
        </w:rPr>
        <w:t xml:space="preserve">Trámite del </w:t>
      </w:r>
      <w:r w:rsidR="009A7587" w:rsidRPr="006B0A9B">
        <w:rPr>
          <w:rFonts w:ascii="Palatino Linotype" w:hAnsi="Palatino Linotype" w:cs="Tahoma"/>
          <w:b/>
          <w:sz w:val="22"/>
          <w:szCs w:val="22"/>
        </w:rPr>
        <w:t xml:space="preserve">Recurso de Revisión </w:t>
      </w:r>
      <w:r w:rsidR="009A7587" w:rsidRPr="006B0A9B">
        <w:rPr>
          <w:rFonts w:ascii="Palatino Linotype" w:eastAsia="Batang" w:hAnsi="Palatino Linotype" w:cs="Tahoma"/>
          <w:b/>
          <w:bCs/>
          <w:sz w:val="22"/>
          <w:szCs w:val="22"/>
        </w:rPr>
        <w:t>ante el Instituto</w:t>
      </w:r>
    </w:p>
    <w:p w14:paraId="5C9FC59B" w14:textId="77777777" w:rsidR="007E4927" w:rsidRPr="006B0A9B" w:rsidRDefault="007E4927" w:rsidP="00FF426B">
      <w:pPr>
        <w:spacing w:line="360" w:lineRule="auto"/>
        <w:contextualSpacing/>
        <w:jc w:val="both"/>
        <w:rPr>
          <w:rFonts w:ascii="Palatino Linotype" w:eastAsia="Batang" w:hAnsi="Palatino Linotype" w:cs="Tahoma"/>
          <w:b/>
          <w:bCs/>
          <w:sz w:val="22"/>
          <w:szCs w:val="22"/>
        </w:rPr>
      </w:pPr>
    </w:p>
    <w:p w14:paraId="786CBCD2" w14:textId="77777777" w:rsidR="00C950E3" w:rsidRPr="006B0A9B" w:rsidRDefault="009A7587" w:rsidP="00FF426B">
      <w:pPr>
        <w:spacing w:line="360" w:lineRule="auto"/>
        <w:contextualSpacing/>
        <w:jc w:val="both"/>
        <w:rPr>
          <w:rFonts w:ascii="Palatino Linotype" w:eastAsia="Batang" w:hAnsi="Palatino Linotype" w:cs="Tahoma"/>
          <w:bCs/>
          <w:sz w:val="22"/>
          <w:szCs w:val="22"/>
        </w:rPr>
      </w:pPr>
      <w:r w:rsidRPr="006B0A9B">
        <w:rPr>
          <w:rFonts w:ascii="Palatino Linotype" w:eastAsia="Batang" w:hAnsi="Palatino Linotype" w:cs="Tahoma"/>
          <w:b/>
          <w:bCs/>
          <w:sz w:val="22"/>
          <w:szCs w:val="22"/>
        </w:rPr>
        <w:t xml:space="preserve">a) Turno del </w:t>
      </w:r>
      <w:r w:rsidRPr="006B0A9B">
        <w:rPr>
          <w:rFonts w:ascii="Palatino Linotype" w:hAnsi="Palatino Linotype" w:cs="Tahoma"/>
          <w:b/>
          <w:sz w:val="22"/>
          <w:szCs w:val="22"/>
        </w:rPr>
        <w:t>Recurso de Revisión</w:t>
      </w:r>
      <w:r w:rsidRPr="006B0A9B">
        <w:rPr>
          <w:rFonts w:ascii="Palatino Linotype" w:eastAsia="Batang" w:hAnsi="Palatino Linotype" w:cs="Tahoma"/>
          <w:b/>
          <w:bCs/>
          <w:sz w:val="22"/>
          <w:szCs w:val="22"/>
        </w:rPr>
        <w:t xml:space="preserve">. </w:t>
      </w:r>
      <w:r w:rsidR="00A06844" w:rsidRPr="006B0A9B">
        <w:rPr>
          <w:rFonts w:ascii="Palatino Linotype" w:eastAsia="Batang" w:hAnsi="Palatino Linotype" w:cs="Tahoma"/>
          <w:bCs/>
          <w:sz w:val="22"/>
          <w:szCs w:val="22"/>
        </w:rPr>
        <w:t xml:space="preserve">El </w:t>
      </w:r>
      <w:r w:rsidR="00EA0918" w:rsidRPr="006B0A9B">
        <w:rPr>
          <w:rFonts w:ascii="Palatino Linotype" w:hAnsi="Palatino Linotype" w:cs="Tahoma"/>
          <w:sz w:val="22"/>
          <w:szCs w:val="22"/>
        </w:rPr>
        <w:t>veintiuno</w:t>
      </w:r>
      <w:r w:rsidR="00AA1974" w:rsidRPr="006B0A9B">
        <w:rPr>
          <w:rFonts w:ascii="Palatino Linotype" w:hAnsi="Palatino Linotype" w:cs="Tahoma"/>
          <w:sz w:val="22"/>
          <w:szCs w:val="22"/>
        </w:rPr>
        <w:t xml:space="preserve"> de octubre</w:t>
      </w:r>
      <w:r w:rsidR="00F93A36" w:rsidRPr="006B0A9B">
        <w:rPr>
          <w:rFonts w:ascii="Palatino Linotype" w:hAnsi="Palatino Linotype" w:cs="Tahoma"/>
          <w:sz w:val="22"/>
          <w:szCs w:val="22"/>
        </w:rPr>
        <w:t xml:space="preserve"> </w:t>
      </w:r>
      <w:r w:rsidR="00B51AEA" w:rsidRPr="006B0A9B">
        <w:rPr>
          <w:rFonts w:ascii="Palatino Linotype" w:hAnsi="Palatino Linotype" w:cs="Tahoma"/>
          <w:sz w:val="22"/>
          <w:szCs w:val="22"/>
        </w:rPr>
        <w:t>de dos mil veinti</w:t>
      </w:r>
      <w:r w:rsidR="00F93A36" w:rsidRPr="006B0A9B">
        <w:rPr>
          <w:rFonts w:ascii="Palatino Linotype" w:hAnsi="Palatino Linotype" w:cs="Tahoma"/>
          <w:sz w:val="22"/>
          <w:szCs w:val="22"/>
        </w:rPr>
        <w:t>cuatro</w:t>
      </w:r>
      <w:r w:rsidR="00A06844" w:rsidRPr="006B0A9B">
        <w:rPr>
          <w:rFonts w:ascii="Palatino Linotype" w:eastAsia="Batang" w:hAnsi="Palatino Linotype" w:cs="Tahoma"/>
          <w:bCs/>
          <w:sz w:val="22"/>
          <w:szCs w:val="22"/>
        </w:rPr>
        <w:t xml:space="preserve">, </w:t>
      </w:r>
      <w:r w:rsidR="00D5699B" w:rsidRPr="006B0A9B">
        <w:rPr>
          <w:rFonts w:ascii="Palatino Linotype" w:eastAsia="Batang" w:hAnsi="Palatino Linotype" w:cs="Tahoma"/>
          <w:bCs/>
          <w:sz w:val="22"/>
          <w:szCs w:val="22"/>
        </w:rPr>
        <w:t xml:space="preserve">el </w:t>
      </w:r>
      <w:r w:rsidR="00BB1F81" w:rsidRPr="006B0A9B">
        <w:rPr>
          <w:rFonts w:ascii="Palatino Linotype" w:eastAsia="Batang" w:hAnsi="Palatino Linotype" w:cs="Tahoma"/>
          <w:bCs/>
          <w:sz w:val="22"/>
          <w:szCs w:val="22"/>
        </w:rPr>
        <w:t>SAIMEX</w:t>
      </w:r>
      <w:r w:rsidR="00D5699B" w:rsidRPr="006B0A9B">
        <w:rPr>
          <w:rFonts w:ascii="Palatino Linotype" w:eastAsia="Batang" w:hAnsi="Palatino Linotype" w:cs="Tahoma"/>
          <w:bCs/>
          <w:sz w:val="22"/>
          <w:szCs w:val="22"/>
        </w:rPr>
        <w:t xml:space="preserve">, asignó el número de expediente </w:t>
      </w:r>
      <w:r w:rsidR="00AA1974" w:rsidRPr="006B0A9B">
        <w:rPr>
          <w:rFonts w:ascii="Palatino Linotype" w:eastAsia="Batang" w:hAnsi="Palatino Linotype" w:cs="Tahoma"/>
          <w:b/>
          <w:bCs/>
          <w:sz w:val="22"/>
          <w:szCs w:val="22"/>
        </w:rPr>
        <w:t>06</w:t>
      </w:r>
      <w:r w:rsidR="00EA0918" w:rsidRPr="006B0A9B">
        <w:rPr>
          <w:rFonts w:ascii="Palatino Linotype" w:eastAsia="Batang" w:hAnsi="Palatino Linotype" w:cs="Tahoma"/>
          <w:b/>
          <w:bCs/>
          <w:sz w:val="22"/>
          <w:szCs w:val="22"/>
        </w:rPr>
        <w:t>47</w:t>
      </w:r>
      <w:r w:rsidR="00AA1974" w:rsidRPr="006B0A9B">
        <w:rPr>
          <w:rFonts w:ascii="Palatino Linotype" w:eastAsia="Batang" w:hAnsi="Palatino Linotype" w:cs="Tahoma"/>
          <w:b/>
          <w:bCs/>
          <w:sz w:val="22"/>
          <w:szCs w:val="22"/>
        </w:rPr>
        <w:t>6</w:t>
      </w:r>
      <w:r w:rsidR="00D5699B" w:rsidRPr="006B0A9B">
        <w:rPr>
          <w:rFonts w:ascii="Palatino Linotype" w:eastAsia="Batang" w:hAnsi="Palatino Linotype" w:cs="Tahoma"/>
          <w:b/>
          <w:bCs/>
          <w:sz w:val="22"/>
          <w:szCs w:val="22"/>
        </w:rPr>
        <w:t>/INFOEM/IP/RR/202</w:t>
      </w:r>
      <w:r w:rsidR="00F93A36" w:rsidRPr="006B0A9B">
        <w:rPr>
          <w:rFonts w:ascii="Palatino Linotype" w:eastAsia="Batang" w:hAnsi="Palatino Linotype" w:cs="Tahoma"/>
          <w:b/>
          <w:bCs/>
          <w:sz w:val="22"/>
          <w:szCs w:val="22"/>
        </w:rPr>
        <w:t>4</w:t>
      </w:r>
      <w:r w:rsidR="00D5699B" w:rsidRPr="006B0A9B">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6B0A9B">
        <w:rPr>
          <w:rFonts w:ascii="Palatino Linotype" w:eastAsia="Batang" w:hAnsi="Palatino Linotype" w:cs="Tahoma"/>
          <w:b/>
          <w:bCs/>
          <w:sz w:val="22"/>
          <w:szCs w:val="22"/>
        </w:rPr>
        <w:t>Comisionado Ponente Luis Gustavo Parra Noriega</w:t>
      </w:r>
      <w:r w:rsidR="00D5699B" w:rsidRPr="006B0A9B">
        <w:rPr>
          <w:rFonts w:ascii="Palatino Linotype" w:eastAsia="Batang" w:hAnsi="Palatino Linotype" w:cs="Tahoma"/>
          <w:bCs/>
          <w:sz w:val="22"/>
          <w:szCs w:val="22"/>
        </w:rPr>
        <w:t>, para los efectos del artículo 185, fracción I</w:t>
      </w:r>
      <w:r w:rsidR="00BB1F81" w:rsidRPr="006B0A9B">
        <w:rPr>
          <w:rFonts w:ascii="Palatino Linotype" w:eastAsia="Batang" w:hAnsi="Palatino Linotype" w:cs="Tahoma"/>
          <w:bCs/>
          <w:sz w:val="22"/>
          <w:szCs w:val="22"/>
        </w:rPr>
        <w:t>,</w:t>
      </w:r>
      <w:r w:rsidR="00D5699B" w:rsidRPr="006B0A9B">
        <w:rPr>
          <w:rFonts w:ascii="Palatino Linotype" w:eastAsia="Batang" w:hAnsi="Palatino Linotype" w:cs="Tahoma"/>
          <w:bCs/>
          <w:sz w:val="22"/>
          <w:szCs w:val="22"/>
        </w:rPr>
        <w:t xml:space="preserve"> de la Ley de Transparencia y Acceso a la Información Pública del Estado de México y Municipios.</w:t>
      </w:r>
    </w:p>
    <w:p w14:paraId="2D53FB50" w14:textId="77777777" w:rsidR="00253937" w:rsidRPr="006B0A9B" w:rsidRDefault="009A7587" w:rsidP="00FF426B">
      <w:pPr>
        <w:spacing w:line="360" w:lineRule="auto"/>
        <w:contextualSpacing/>
        <w:jc w:val="both"/>
        <w:rPr>
          <w:rFonts w:ascii="Palatino Linotype" w:hAnsi="Palatino Linotype" w:cs="Tahoma"/>
          <w:bCs/>
          <w:sz w:val="22"/>
          <w:szCs w:val="22"/>
          <w:lang w:val="es-ES_tradnl"/>
        </w:rPr>
      </w:pPr>
      <w:r w:rsidRPr="006B0A9B">
        <w:rPr>
          <w:rFonts w:ascii="Palatino Linotype" w:eastAsia="Batang" w:hAnsi="Palatino Linotype" w:cs="Tahoma"/>
          <w:b/>
          <w:bCs/>
          <w:sz w:val="22"/>
          <w:szCs w:val="22"/>
        </w:rPr>
        <w:lastRenderedPageBreak/>
        <w:t xml:space="preserve">b) Admisión del </w:t>
      </w:r>
      <w:r w:rsidRPr="006B0A9B">
        <w:rPr>
          <w:rFonts w:ascii="Palatino Linotype" w:hAnsi="Palatino Linotype" w:cs="Tahoma"/>
          <w:b/>
          <w:sz w:val="22"/>
          <w:szCs w:val="22"/>
        </w:rPr>
        <w:t>Recurso de Revisión</w:t>
      </w:r>
      <w:r w:rsidRPr="006B0A9B">
        <w:rPr>
          <w:rFonts w:ascii="Palatino Linotype" w:eastAsia="Batang" w:hAnsi="Palatino Linotype" w:cs="Tahoma"/>
          <w:b/>
          <w:bCs/>
          <w:sz w:val="22"/>
          <w:szCs w:val="22"/>
          <w:lang w:val="es-ES_tradnl"/>
        </w:rPr>
        <w:t xml:space="preserve">. </w:t>
      </w:r>
      <w:r w:rsidRPr="006B0A9B">
        <w:rPr>
          <w:rFonts w:ascii="Palatino Linotype" w:hAnsi="Palatino Linotype" w:cs="Tahoma"/>
          <w:bCs/>
          <w:sz w:val="22"/>
          <w:szCs w:val="22"/>
        </w:rPr>
        <w:t>El</w:t>
      </w:r>
      <w:r w:rsidR="00EB3A2C" w:rsidRPr="006B0A9B">
        <w:rPr>
          <w:rFonts w:ascii="Palatino Linotype" w:hAnsi="Palatino Linotype" w:cs="Tahoma"/>
          <w:bCs/>
          <w:sz w:val="22"/>
          <w:szCs w:val="22"/>
        </w:rPr>
        <w:t xml:space="preserve"> </w:t>
      </w:r>
      <w:r w:rsidR="00AA1974" w:rsidRPr="006B0A9B">
        <w:rPr>
          <w:rFonts w:ascii="Palatino Linotype" w:hAnsi="Palatino Linotype" w:cs="Tahoma"/>
          <w:bCs/>
          <w:sz w:val="22"/>
          <w:szCs w:val="22"/>
        </w:rPr>
        <w:t>veinti</w:t>
      </w:r>
      <w:r w:rsidR="00EA0918" w:rsidRPr="006B0A9B">
        <w:rPr>
          <w:rFonts w:ascii="Palatino Linotype" w:hAnsi="Palatino Linotype" w:cs="Tahoma"/>
          <w:bCs/>
          <w:sz w:val="22"/>
          <w:szCs w:val="22"/>
        </w:rPr>
        <w:t>cinco</w:t>
      </w:r>
      <w:r w:rsidR="00AA1974" w:rsidRPr="006B0A9B">
        <w:rPr>
          <w:rFonts w:ascii="Palatino Linotype" w:hAnsi="Palatino Linotype" w:cs="Tahoma"/>
          <w:bCs/>
          <w:sz w:val="22"/>
          <w:szCs w:val="22"/>
        </w:rPr>
        <w:t xml:space="preserve"> de octubre</w:t>
      </w:r>
      <w:r w:rsidR="0029110A" w:rsidRPr="006B0A9B">
        <w:rPr>
          <w:rFonts w:ascii="Palatino Linotype" w:hAnsi="Palatino Linotype" w:cs="Tahoma"/>
          <w:bCs/>
          <w:sz w:val="22"/>
          <w:szCs w:val="22"/>
        </w:rPr>
        <w:t xml:space="preserve"> </w:t>
      </w:r>
      <w:r w:rsidR="00C01EA2" w:rsidRPr="006B0A9B">
        <w:rPr>
          <w:rFonts w:ascii="Palatino Linotype" w:hAnsi="Palatino Linotype" w:cs="Tahoma"/>
          <w:bCs/>
          <w:sz w:val="22"/>
          <w:szCs w:val="22"/>
        </w:rPr>
        <w:t>de</w:t>
      </w:r>
      <w:r w:rsidR="00F93A36" w:rsidRPr="006B0A9B">
        <w:rPr>
          <w:rFonts w:ascii="Palatino Linotype" w:hAnsi="Palatino Linotype" w:cs="Tahoma"/>
          <w:bCs/>
          <w:sz w:val="22"/>
          <w:szCs w:val="22"/>
        </w:rPr>
        <w:t xml:space="preserve"> </w:t>
      </w:r>
      <w:r w:rsidR="00697AD7" w:rsidRPr="006B0A9B">
        <w:rPr>
          <w:rFonts w:ascii="Palatino Linotype" w:hAnsi="Palatino Linotype" w:cs="Tahoma"/>
          <w:bCs/>
          <w:sz w:val="22"/>
          <w:szCs w:val="22"/>
        </w:rPr>
        <w:t>dos mil veinti</w:t>
      </w:r>
      <w:r w:rsidR="00F93A36" w:rsidRPr="006B0A9B">
        <w:rPr>
          <w:rFonts w:ascii="Palatino Linotype" w:hAnsi="Palatino Linotype" w:cs="Tahoma"/>
          <w:bCs/>
          <w:sz w:val="22"/>
          <w:szCs w:val="22"/>
        </w:rPr>
        <w:t>cuatro</w:t>
      </w:r>
      <w:r w:rsidRPr="006B0A9B">
        <w:rPr>
          <w:rFonts w:ascii="Palatino Linotype" w:hAnsi="Palatino Linotype" w:cs="Tahoma"/>
          <w:bCs/>
          <w:sz w:val="22"/>
          <w:szCs w:val="22"/>
        </w:rPr>
        <w:t xml:space="preserve">, </w:t>
      </w:r>
      <w:r w:rsidR="001F787A" w:rsidRPr="006B0A9B">
        <w:rPr>
          <w:rFonts w:ascii="Palatino Linotype" w:hAnsi="Palatino Linotype" w:cs="Tahoma"/>
          <w:bCs/>
          <w:sz w:val="22"/>
          <w:szCs w:val="22"/>
        </w:rPr>
        <w:t xml:space="preserve">se acordó la admisión del </w:t>
      </w:r>
      <w:r w:rsidR="001F787A" w:rsidRPr="006B0A9B">
        <w:rPr>
          <w:rFonts w:ascii="Palatino Linotype" w:hAnsi="Palatino Linotype" w:cs="Tahoma"/>
          <w:bCs/>
          <w:sz w:val="22"/>
          <w:szCs w:val="22"/>
          <w:lang w:val="es-ES_tradnl"/>
        </w:rPr>
        <w:t xml:space="preserve">Recurso de Revisión interpuesto por el Recurrente en contra del </w:t>
      </w:r>
      <w:r w:rsidR="001F787A" w:rsidRPr="006B0A9B">
        <w:rPr>
          <w:rFonts w:ascii="Palatino Linotype" w:hAnsi="Palatino Linotype" w:cs="Tahoma"/>
          <w:b/>
          <w:bCs/>
          <w:sz w:val="22"/>
          <w:szCs w:val="22"/>
          <w:lang w:val="es-ES_tradnl"/>
        </w:rPr>
        <w:t>Sujeto Obligado</w:t>
      </w:r>
      <w:r w:rsidR="001F787A" w:rsidRPr="006B0A9B">
        <w:rPr>
          <w:rFonts w:ascii="Palatino Linotype" w:hAnsi="Palatino Linotype" w:cs="Tahoma"/>
          <w:bCs/>
          <w:sz w:val="22"/>
          <w:szCs w:val="22"/>
          <w:lang w:val="es-ES_tradnl"/>
        </w:rPr>
        <w:t>, en términos del artículo 185, fracciones I, II y IV</w:t>
      </w:r>
      <w:r w:rsidR="00BB1F81" w:rsidRPr="006B0A9B">
        <w:rPr>
          <w:rFonts w:ascii="Palatino Linotype" w:hAnsi="Palatino Linotype" w:cs="Tahoma"/>
          <w:bCs/>
          <w:sz w:val="22"/>
          <w:szCs w:val="22"/>
          <w:lang w:val="es-ES_tradnl"/>
        </w:rPr>
        <w:t>,</w:t>
      </w:r>
      <w:r w:rsidR="001F787A" w:rsidRPr="006B0A9B">
        <w:rPr>
          <w:rFonts w:ascii="Palatino Linotype" w:hAnsi="Palatino Linotype" w:cs="Tahoma"/>
          <w:bCs/>
          <w:sz w:val="22"/>
          <w:szCs w:val="22"/>
          <w:lang w:val="es-ES_tradnl"/>
        </w:rPr>
        <w:t xml:space="preserve"> de la Ley de Transparencia y Acceso a la Información Pública del Estado de México y Municipios, el cual fue notificad</w:t>
      </w:r>
      <w:r w:rsidR="000C6179" w:rsidRPr="006B0A9B">
        <w:rPr>
          <w:rFonts w:ascii="Palatino Linotype" w:hAnsi="Palatino Linotype" w:cs="Tahoma"/>
          <w:bCs/>
          <w:sz w:val="22"/>
          <w:szCs w:val="22"/>
          <w:lang w:val="es-ES_tradnl"/>
        </w:rPr>
        <w:t>o a las partes el mismo día</w:t>
      </w:r>
      <w:r w:rsidR="001F787A" w:rsidRPr="006B0A9B">
        <w:rPr>
          <w:rFonts w:ascii="Palatino Linotype" w:hAnsi="Palatino Linotype" w:cs="Tahoma"/>
          <w:bCs/>
          <w:sz w:val="22"/>
          <w:szCs w:val="22"/>
          <w:lang w:val="es-ES_tradnl"/>
        </w:rPr>
        <w:t xml:space="preserve"> a través del </w:t>
      </w:r>
      <w:r w:rsidR="00BB1F81" w:rsidRPr="006B0A9B">
        <w:rPr>
          <w:rFonts w:ascii="Palatino Linotype" w:hAnsi="Palatino Linotype" w:cs="Tahoma"/>
          <w:bCs/>
          <w:sz w:val="22"/>
          <w:szCs w:val="22"/>
          <w:lang w:val="es-ES_tradnl"/>
        </w:rPr>
        <w:t>SAIMEX</w:t>
      </w:r>
      <w:r w:rsidR="001F787A" w:rsidRPr="006B0A9B">
        <w:rPr>
          <w:rFonts w:ascii="Palatino Linotype" w:hAnsi="Palatino Linotype" w:cs="Tahoma"/>
          <w:bCs/>
          <w:sz w:val="22"/>
          <w:szCs w:val="22"/>
          <w:lang w:val="es-ES_tradnl"/>
        </w:rPr>
        <w:t>, en el que se les otorgó un plazo de siete días hábiles posteriores a la misma, para que manifestaran lo que a su derecho conviniera y formularan alegatos.</w:t>
      </w:r>
    </w:p>
    <w:p w14:paraId="09DCE53D" w14:textId="77777777" w:rsidR="00253937" w:rsidRPr="006B0A9B" w:rsidRDefault="00253937" w:rsidP="00FF426B">
      <w:pPr>
        <w:spacing w:line="360" w:lineRule="auto"/>
        <w:contextualSpacing/>
        <w:jc w:val="both"/>
        <w:rPr>
          <w:rFonts w:ascii="Palatino Linotype" w:hAnsi="Palatino Linotype" w:cs="Tahoma"/>
          <w:bCs/>
          <w:sz w:val="22"/>
          <w:szCs w:val="22"/>
          <w:lang w:val="es-ES_tradnl"/>
        </w:rPr>
      </w:pPr>
    </w:p>
    <w:p w14:paraId="058E5CB5" w14:textId="1A9C86C0" w:rsidR="001B3616" w:rsidRPr="006B0A9B" w:rsidRDefault="001B3616" w:rsidP="001B3616">
      <w:pPr>
        <w:spacing w:line="360" w:lineRule="auto"/>
        <w:jc w:val="both"/>
        <w:rPr>
          <w:rFonts w:ascii="Palatino Linotype" w:eastAsia="Batang" w:hAnsi="Palatino Linotype" w:cs="Tahoma"/>
          <w:bCs/>
          <w:sz w:val="22"/>
          <w:szCs w:val="22"/>
          <w:lang w:val="es-ES_tradnl"/>
        </w:rPr>
      </w:pPr>
      <w:r w:rsidRPr="006B0A9B">
        <w:rPr>
          <w:rFonts w:ascii="Palatino Linotype" w:eastAsia="Batang" w:hAnsi="Palatino Linotype" w:cs="Tahoma"/>
          <w:b/>
          <w:bCs/>
          <w:sz w:val="22"/>
          <w:szCs w:val="22"/>
          <w:lang w:val="es-ES_tradnl"/>
        </w:rPr>
        <w:t xml:space="preserve">c) Informe Justificado. </w:t>
      </w:r>
      <w:r w:rsidRPr="006B0A9B">
        <w:rPr>
          <w:rFonts w:ascii="Palatino Linotype" w:eastAsia="Batang" w:hAnsi="Palatino Linotype" w:cs="Tahoma"/>
          <w:bCs/>
          <w:sz w:val="22"/>
          <w:szCs w:val="22"/>
          <w:lang w:val="es-ES_tradnl"/>
        </w:rPr>
        <w:t>El seis y once de noviembre de dos mil veinticuatro, a través del SAIMEX, se recibieron en este Instituto los informes justificados por parte del Sujeto Obligado en el que manifestó lo siguiente:</w:t>
      </w:r>
    </w:p>
    <w:p w14:paraId="41873E55" w14:textId="77777777" w:rsidR="001B3616" w:rsidRPr="006B0A9B" w:rsidRDefault="001B3616" w:rsidP="001B3616">
      <w:pPr>
        <w:spacing w:line="360" w:lineRule="auto"/>
        <w:jc w:val="both"/>
        <w:rPr>
          <w:rFonts w:ascii="Palatino Linotype" w:eastAsia="Batang" w:hAnsi="Palatino Linotype" w:cs="Tahoma"/>
          <w:bCs/>
          <w:sz w:val="22"/>
          <w:szCs w:val="22"/>
          <w:lang w:val="es-ES_tradnl"/>
        </w:rPr>
      </w:pPr>
    </w:p>
    <w:p w14:paraId="7C6F0DA7" w14:textId="77777777" w:rsidR="001B3616" w:rsidRPr="006B0A9B" w:rsidRDefault="001B3616" w:rsidP="001B3616">
      <w:pPr>
        <w:spacing w:line="360" w:lineRule="auto"/>
        <w:ind w:left="567"/>
        <w:jc w:val="both"/>
        <w:rPr>
          <w:rFonts w:ascii="Palatino Linotype" w:hAnsi="Palatino Linotype"/>
          <w:sz w:val="22"/>
          <w:szCs w:val="22"/>
        </w:rPr>
      </w:pPr>
      <w:r w:rsidRPr="006B0A9B">
        <w:rPr>
          <w:rFonts w:ascii="Palatino Linotype" w:hAnsi="Palatino Linotype"/>
          <w:sz w:val="22"/>
          <w:szCs w:val="22"/>
        </w:rPr>
        <w:t xml:space="preserve"> “…</w:t>
      </w:r>
    </w:p>
    <w:p w14:paraId="4B6BCA82" w14:textId="2F67C919" w:rsidR="001B3616" w:rsidRPr="006B0A9B" w:rsidRDefault="001B3616" w:rsidP="001B3616">
      <w:pPr>
        <w:spacing w:line="360" w:lineRule="auto"/>
        <w:ind w:left="567" w:right="539"/>
        <w:jc w:val="both"/>
        <w:rPr>
          <w:rFonts w:ascii="Palatino Linotype" w:hAnsi="Palatino Linotype"/>
          <w:i/>
          <w:szCs w:val="22"/>
        </w:rPr>
      </w:pPr>
      <w:r w:rsidRPr="006B0A9B">
        <w:rPr>
          <w:rFonts w:ascii="Palatino Linotype" w:hAnsi="Palatino Linotype"/>
          <w:i/>
          <w:szCs w:val="22"/>
        </w:rPr>
        <w:t xml:space="preserve">Al respecto se informa que la Directora General de Administración y Finanzas y Servidora Pública Habilitada emitió el oficio </w:t>
      </w:r>
      <w:r w:rsidRPr="006B0A9B">
        <w:rPr>
          <w:rFonts w:ascii="Palatino Linotype" w:hAnsi="Palatino Linotype"/>
          <w:b/>
          <w:i/>
          <w:szCs w:val="22"/>
        </w:rPr>
        <w:t xml:space="preserve">219C0117L/2268/2024 (ANEXO1) </w:t>
      </w:r>
      <w:r w:rsidRPr="006B0A9B">
        <w:rPr>
          <w:rFonts w:ascii="Palatino Linotype" w:hAnsi="Palatino Linotype"/>
          <w:i/>
          <w:szCs w:val="22"/>
        </w:rPr>
        <w:t>a través del cual manifiesta lo siguiente:</w:t>
      </w:r>
    </w:p>
    <w:p w14:paraId="3B9A8BA4" w14:textId="609544E3" w:rsidR="001B3616" w:rsidRPr="006B0A9B" w:rsidRDefault="00C86059" w:rsidP="001B3616">
      <w:pPr>
        <w:spacing w:line="360" w:lineRule="auto"/>
        <w:ind w:left="567" w:right="539"/>
        <w:jc w:val="both"/>
        <w:rPr>
          <w:rFonts w:ascii="Palatino Linotype" w:hAnsi="Palatino Linotype"/>
          <w:i/>
          <w:szCs w:val="22"/>
        </w:rPr>
      </w:pPr>
      <w:r w:rsidRPr="006B0A9B">
        <w:rPr>
          <w:rFonts w:ascii="Palatino Linotype" w:hAnsi="Palatino Linotype"/>
          <w:i/>
          <w:szCs w:val="22"/>
        </w:rPr>
        <w:t>(…)</w:t>
      </w:r>
    </w:p>
    <w:p w14:paraId="59809201" w14:textId="7923EF2C" w:rsidR="00C86059" w:rsidRPr="006B0A9B" w:rsidRDefault="00C86059" w:rsidP="00C86059">
      <w:pPr>
        <w:spacing w:line="360" w:lineRule="auto"/>
        <w:ind w:left="851" w:right="822"/>
        <w:jc w:val="both"/>
        <w:rPr>
          <w:rFonts w:ascii="Palatino Linotype" w:hAnsi="Palatino Linotype"/>
          <w:i/>
          <w:szCs w:val="22"/>
        </w:rPr>
      </w:pPr>
      <w:r w:rsidRPr="006B0A9B">
        <w:rPr>
          <w:rFonts w:ascii="Palatino Linotype" w:hAnsi="Palatino Linotype"/>
          <w:i/>
          <w:szCs w:val="22"/>
        </w:rPr>
        <w:t>Una vez analizada dicha solicitud, la Servidora Pública Habilitada qe suscribe, remitió la respuesta conducente mediante oficio 219C0117L/2148/2024 de fecha 09 de octubre de 2024, mediante el cual se externó el contenido y aplicabilidad del artículo 12 en concomitancia con el criterio 09-10 emitido por el Pleno del entonces Instituto Federal de Acceso a la Información y Protección de Datos Personales concluyendo que, en términos del artículo 161 la información concerniente a las plazas vacantes y ocupadas se encuentra disponible para su consulta en la página denominada IPOMEX, específicamente dentro de la fracción X B, haciendo saber al solicitante la fuente y la forma de cómo consultarla, dicha fuente se precisa insertando el link concreto así como los pasos para ingresar desde la página principal.</w:t>
      </w:r>
    </w:p>
    <w:p w14:paraId="7F955120" w14:textId="489B3A54" w:rsidR="00C86059" w:rsidRPr="006B0A9B" w:rsidRDefault="00C86059" w:rsidP="001B3616">
      <w:pPr>
        <w:spacing w:line="360" w:lineRule="auto"/>
        <w:ind w:left="567" w:right="539"/>
        <w:jc w:val="both"/>
        <w:rPr>
          <w:rFonts w:ascii="Palatino Linotype" w:hAnsi="Palatino Linotype"/>
          <w:i/>
          <w:szCs w:val="22"/>
        </w:rPr>
      </w:pPr>
      <w:r w:rsidRPr="006B0A9B">
        <w:rPr>
          <w:rFonts w:ascii="Palatino Linotype" w:hAnsi="Palatino Linotype"/>
          <w:i/>
          <w:szCs w:val="22"/>
        </w:rPr>
        <w:t>…”</w:t>
      </w:r>
    </w:p>
    <w:p w14:paraId="014BEA57" w14:textId="77777777" w:rsidR="00C86059" w:rsidRPr="006B0A9B" w:rsidRDefault="00C86059" w:rsidP="001B3616">
      <w:pPr>
        <w:spacing w:line="360" w:lineRule="auto"/>
        <w:ind w:left="567" w:right="539"/>
        <w:jc w:val="both"/>
        <w:rPr>
          <w:rFonts w:ascii="Palatino Linotype" w:hAnsi="Palatino Linotype"/>
          <w:b/>
          <w:i/>
          <w:szCs w:val="22"/>
        </w:rPr>
      </w:pPr>
    </w:p>
    <w:p w14:paraId="589619A4" w14:textId="03D96543" w:rsidR="001B3616" w:rsidRPr="006B0A9B" w:rsidRDefault="00C86059" w:rsidP="001B3616">
      <w:pPr>
        <w:spacing w:line="360" w:lineRule="auto"/>
        <w:jc w:val="both"/>
        <w:rPr>
          <w:rFonts w:ascii="Palatino Linotype" w:hAnsi="Palatino Linotype" w:cs="Tahoma"/>
          <w:sz w:val="22"/>
          <w:szCs w:val="22"/>
        </w:rPr>
      </w:pPr>
      <w:r w:rsidRPr="006B0A9B">
        <w:rPr>
          <w:rFonts w:ascii="Palatino Linotype" w:hAnsi="Palatino Linotype" w:cs="Tahoma"/>
          <w:b/>
          <w:sz w:val="22"/>
          <w:szCs w:val="22"/>
        </w:rPr>
        <w:lastRenderedPageBreak/>
        <w:t>d</w:t>
      </w:r>
      <w:r w:rsidR="001B3616" w:rsidRPr="006B0A9B">
        <w:rPr>
          <w:rFonts w:ascii="Palatino Linotype" w:hAnsi="Palatino Linotype" w:cs="Tahoma"/>
          <w:b/>
          <w:sz w:val="22"/>
          <w:szCs w:val="22"/>
        </w:rPr>
        <w:t>). Vista del Informe Justificado</w:t>
      </w:r>
      <w:r w:rsidR="001B3616" w:rsidRPr="006B0A9B">
        <w:rPr>
          <w:rFonts w:ascii="Palatino Linotype" w:hAnsi="Palatino Linotype" w:cs="Tahoma"/>
          <w:sz w:val="22"/>
          <w:szCs w:val="22"/>
        </w:rPr>
        <w:t xml:space="preserve">. El </w:t>
      </w:r>
      <w:r w:rsidRPr="006B0A9B">
        <w:rPr>
          <w:rFonts w:ascii="Palatino Linotype" w:hAnsi="Palatino Linotype" w:cs="Tahoma"/>
          <w:sz w:val="22"/>
          <w:szCs w:val="22"/>
        </w:rPr>
        <w:t xml:space="preserve">ocho y trece de noviembre </w:t>
      </w:r>
      <w:r w:rsidR="001B3616" w:rsidRPr="006B0A9B">
        <w:rPr>
          <w:rFonts w:ascii="Palatino Linotype" w:hAnsi="Palatino Linotype" w:cs="Tahoma"/>
          <w:sz w:val="22"/>
          <w:szCs w:val="22"/>
        </w:rPr>
        <w:t>de dos mil veinticuatro, se dictó acuerdo mediante el cual se puso a la vista del Particular, el Informe Justificado, el cual le fue notificado, en esa misma fecha, a través del Sistema de Acceso a la Información Mexiquense (SAIMEX). No obstante, lo anterior, el Recurrente omitió realizar manifestación alguna que a su derecho conviniera y asistiera.</w:t>
      </w:r>
    </w:p>
    <w:p w14:paraId="5C2661EA" w14:textId="77777777" w:rsidR="00EA2594" w:rsidRPr="006B0A9B" w:rsidRDefault="00EA2594" w:rsidP="00EA2594">
      <w:pPr>
        <w:spacing w:line="360" w:lineRule="auto"/>
        <w:jc w:val="both"/>
        <w:rPr>
          <w:rFonts w:ascii="Palatino Linotype" w:hAnsi="Palatino Linotype" w:cs="Tahoma"/>
          <w:b/>
          <w:sz w:val="22"/>
          <w:szCs w:val="24"/>
        </w:rPr>
      </w:pPr>
    </w:p>
    <w:p w14:paraId="478738C8" w14:textId="4B443E7D" w:rsidR="00ED5DF5" w:rsidRPr="006B0A9B" w:rsidRDefault="00C86059" w:rsidP="00FF426B">
      <w:pPr>
        <w:spacing w:line="360" w:lineRule="auto"/>
        <w:jc w:val="both"/>
        <w:rPr>
          <w:rFonts w:ascii="Palatino Linotype" w:hAnsi="Palatino Linotype" w:cs="Tahoma"/>
          <w:sz w:val="22"/>
          <w:szCs w:val="22"/>
        </w:rPr>
      </w:pPr>
      <w:r w:rsidRPr="006B0A9B">
        <w:rPr>
          <w:rFonts w:ascii="Palatino Linotype" w:hAnsi="Palatino Linotype" w:cs="Tahoma"/>
          <w:b/>
          <w:sz w:val="22"/>
          <w:szCs w:val="22"/>
        </w:rPr>
        <w:t>e</w:t>
      </w:r>
      <w:r w:rsidR="003B0501" w:rsidRPr="006B0A9B">
        <w:rPr>
          <w:rFonts w:ascii="Palatino Linotype" w:hAnsi="Palatino Linotype" w:cs="Tahoma"/>
          <w:b/>
          <w:sz w:val="22"/>
          <w:szCs w:val="22"/>
        </w:rPr>
        <w:t>).</w:t>
      </w:r>
      <w:r w:rsidR="00C3485C" w:rsidRPr="006B0A9B">
        <w:rPr>
          <w:rFonts w:ascii="Palatino Linotype" w:eastAsia="Batang" w:hAnsi="Palatino Linotype" w:cs="Tahoma"/>
          <w:b/>
          <w:bCs/>
          <w:sz w:val="22"/>
          <w:szCs w:val="22"/>
          <w:lang w:val="es-ES_tradnl"/>
        </w:rPr>
        <w:t xml:space="preserve"> </w:t>
      </w:r>
      <w:r w:rsidR="00ED5DF5" w:rsidRPr="006B0A9B">
        <w:rPr>
          <w:rFonts w:ascii="Palatino Linotype" w:hAnsi="Palatino Linotype" w:cs="Tahoma"/>
          <w:b/>
          <w:bCs/>
          <w:sz w:val="22"/>
          <w:szCs w:val="22"/>
        </w:rPr>
        <w:t xml:space="preserve">Cierre de instrucción. </w:t>
      </w:r>
      <w:r w:rsidR="00ED5DF5" w:rsidRPr="006B0A9B">
        <w:rPr>
          <w:rFonts w:ascii="Palatino Linotype" w:hAnsi="Palatino Linotype" w:cs="Tahoma"/>
          <w:sz w:val="22"/>
          <w:szCs w:val="22"/>
        </w:rPr>
        <w:t>El</w:t>
      </w:r>
      <w:r w:rsidR="000F437A" w:rsidRPr="006B0A9B">
        <w:rPr>
          <w:rFonts w:ascii="Palatino Linotype" w:hAnsi="Palatino Linotype" w:cs="Tahoma"/>
          <w:sz w:val="22"/>
          <w:szCs w:val="22"/>
        </w:rPr>
        <w:t xml:space="preserve"> </w:t>
      </w:r>
      <w:r w:rsidRPr="006B0A9B">
        <w:rPr>
          <w:rFonts w:ascii="Palatino Linotype" w:hAnsi="Palatino Linotype" w:cs="Tahoma"/>
          <w:sz w:val="22"/>
          <w:szCs w:val="22"/>
        </w:rPr>
        <w:t>veinte</w:t>
      </w:r>
      <w:r w:rsidR="00AA1974" w:rsidRPr="006B0A9B">
        <w:rPr>
          <w:rFonts w:ascii="Palatino Linotype" w:hAnsi="Palatino Linotype" w:cs="Tahoma"/>
          <w:sz w:val="22"/>
          <w:szCs w:val="22"/>
        </w:rPr>
        <w:t xml:space="preserve"> de noviembre </w:t>
      </w:r>
      <w:r w:rsidR="00E95147" w:rsidRPr="006B0A9B">
        <w:rPr>
          <w:rFonts w:ascii="Palatino Linotype" w:hAnsi="Palatino Linotype" w:cs="Tahoma"/>
          <w:sz w:val="22"/>
          <w:szCs w:val="22"/>
        </w:rPr>
        <w:t>de dos mil veinti</w:t>
      </w:r>
      <w:r w:rsidR="00F93A36" w:rsidRPr="006B0A9B">
        <w:rPr>
          <w:rFonts w:ascii="Palatino Linotype" w:hAnsi="Palatino Linotype" w:cs="Tahoma"/>
          <w:sz w:val="22"/>
          <w:szCs w:val="22"/>
        </w:rPr>
        <w:t>cuatro</w:t>
      </w:r>
      <w:r w:rsidR="00ED5DF5" w:rsidRPr="006B0A9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6B0A9B">
        <w:rPr>
          <w:rFonts w:ascii="Palatino Linotype" w:hAnsi="Palatino Linotype" w:cs="Tahoma"/>
          <w:sz w:val="22"/>
          <w:szCs w:val="22"/>
        </w:rPr>
        <w:t>el mismo día</w:t>
      </w:r>
      <w:r w:rsidR="00ED5DF5" w:rsidRPr="006B0A9B">
        <w:rPr>
          <w:rFonts w:ascii="Palatino Linotype" w:hAnsi="Palatino Linotype" w:cs="Tahoma"/>
          <w:sz w:val="22"/>
          <w:szCs w:val="22"/>
        </w:rPr>
        <w:t xml:space="preserve">, a través del </w:t>
      </w:r>
      <w:r w:rsidR="00BB1F81" w:rsidRPr="006B0A9B">
        <w:rPr>
          <w:rFonts w:ascii="Palatino Linotype" w:hAnsi="Palatino Linotype" w:cs="Tahoma"/>
          <w:sz w:val="22"/>
          <w:szCs w:val="22"/>
          <w:lang w:val="es-ES"/>
        </w:rPr>
        <w:t>SAIMEX</w:t>
      </w:r>
      <w:r w:rsidR="00ED5DF5" w:rsidRPr="006B0A9B">
        <w:rPr>
          <w:rFonts w:ascii="Palatino Linotype" w:hAnsi="Palatino Linotype" w:cs="Tahoma"/>
          <w:sz w:val="22"/>
          <w:szCs w:val="22"/>
        </w:rPr>
        <w:t>.</w:t>
      </w:r>
    </w:p>
    <w:p w14:paraId="299A2447" w14:textId="77777777" w:rsidR="00CE5228" w:rsidRPr="006B0A9B" w:rsidRDefault="00CE5228" w:rsidP="00FF426B">
      <w:pPr>
        <w:spacing w:line="360" w:lineRule="auto"/>
        <w:contextualSpacing/>
        <w:jc w:val="both"/>
        <w:rPr>
          <w:rFonts w:ascii="Palatino Linotype" w:hAnsi="Palatino Linotype" w:cs="Tahoma"/>
          <w:color w:val="000000"/>
          <w:sz w:val="22"/>
          <w:szCs w:val="22"/>
        </w:rPr>
      </w:pPr>
    </w:p>
    <w:p w14:paraId="196E868C" w14:textId="77777777" w:rsidR="004F2D88" w:rsidRPr="006B0A9B" w:rsidRDefault="004F2D88" w:rsidP="00FF426B">
      <w:pPr>
        <w:spacing w:line="360" w:lineRule="auto"/>
        <w:contextualSpacing/>
        <w:jc w:val="both"/>
        <w:rPr>
          <w:rFonts w:ascii="Palatino Linotype" w:hAnsi="Palatino Linotype" w:cs="Tahoma"/>
          <w:color w:val="000000"/>
          <w:sz w:val="22"/>
          <w:szCs w:val="22"/>
        </w:rPr>
      </w:pPr>
      <w:r w:rsidRPr="006B0A9B">
        <w:rPr>
          <w:rFonts w:ascii="Palatino Linotype" w:hAnsi="Palatino Linotype" w:cs="Tahoma"/>
          <w:color w:val="000000"/>
          <w:sz w:val="22"/>
          <w:szCs w:val="22"/>
        </w:rPr>
        <w:t xml:space="preserve">En </w:t>
      </w:r>
      <w:r w:rsidR="00367F82" w:rsidRPr="006B0A9B">
        <w:rPr>
          <w:rFonts w:ascii="Palatino Linotype" w:hAnsi="Palatino Linotype" w:cs="Tahoma"/>
          <w:color w:val="000000"/>
          <w:sz w:val="22"/>
          <w:szCs w:val="22"/>
        </w:rPr>
        <w:t>razón de que fue debidamente su</w:t>
      </w:r>
      <w:r w:rsidRPr="006B0A9B">
        <w:rPr>
          <w:rFonts w:ascii="Palatino Linotype" w:hAnsi="Palatino Linotype" w:cs="Tahoma"/>
          <w:color w:val="000000"/>
          <w:sz w:val="22"/>
          <w:szCs w:val="22"/>
        </w:rPr>
        <w:t xml:space="preserve">stanciado el expediente </w:t>
      </w:r>
      <w:r w:rsidR="00367F82" w:rsidRPr="006B0A9B">
        <w:rPr>
          <w:rFonts w:ascii="Palatino Linotype" w:hAnsi="Palatino Linotype" w:cs="Tahoma"/>
          <w:color w:val="000000"/>
          <w:sz w:val="22"/>
          <w:szCs w:val="22"/>
        </w:rPr>
        <w:t xml:space="preserve">electrónico </w:t>
      </w:r>
      <w:r w:rsidRPr="006B0A9B">
        <w:rPr>
          <w:rFonts w:ascii="Palatino Linotype" w:hAnsi="Palatino Linotype" w:cs="Tahoma"/>
          <w:color w:val="000000"/>
          <w:sz w:val="22"/>
          <w:szCs w:val="22"/>
        </w:rPr>
        <w:t>y no exist</w:t>
      </w:r>
      <w:r w:rsidR="00367F82" w:rsidRPr="006B0A9B">
        <w:rPr>
          <w:rFonts w:ascii="Palatino Linotype" w:hAnsi="Palatino Linotype" w:cs="Tahoma"/>
          <w:color w:val="000000"/>
          <w:sz w:val="22"/>
          <w:szCs w:val="22"/>
        </w:rPr>
        <w:t>e</w:t>
      </w:r>
      <w:r w:rsidRPr="006B0A9B">
        <w:rPr>
          <w:rFonts w:ascii="Palatino Linotype" w:hAnsi="Palatino Linotype" w:cs="Tahoma"/>
          <w:color w:val="000000"/>
          <w:sz w:val="22"/>
          <w:szCs w:val="22"/>
        </w:rPr>
        <w:t xml:space="preserve"> dilige</w:t>
      </w:r>
      <w:r w:rsidR="00367F82" w:rsidRPr="006B0A9B">
        <w:rPr>
          <w:rFonts w:ascii="Palatino Linotype" w:hAnsi="Palatino Linotype" w:cs="Tahoma"/>
          <w:color w:val="000000"/>
          <w:sz w:val="22"/>
          <w:szCs w:val="22"/>
        </w:rPr>
        <w:t xml:space="preserve">ncia pendiente de desahogo, se </w:t>
      </w:r>
      <w:r w:rsidRPr="006B0A9B">
        <w:rPr>
          <w:rFonts w:ascii="Palatino Linotype" w:hAnsi="Palatino Linotype" w:cs="Tahoma"/>
          <w:color w:val="000000"/>
          <w:sz w:val="22"/>
          <w:szCs w:val="22"/>
        </w:rPr>
        <w:t>emit</w:t>
      </w:r>
      <w:r w:rsidR="00367F82" w:rsidRPr="006B0A9B">
        <w:rPr>
          <w:rFonts w:ascii="Palatino Linotype" w:hAnsi="Palatino Linotype" w:cs="Tahoma"/>
          <w:color w:val="000000"/>
          <w:sz w:val="22"/>
          <w:szCs w:val="22"/>
        </w:rPr>
        <w:t>e</w:t>
      </w:r>
      <w:r w:rsidRPr="006B0A9B">
        <w:rPr>
          <w:rFonts w:ascii="Palatino Linotype" w:hAnsi="Palatino Linotype" w:cs="Tahoma"/>
          <w:color w:val="000000"/>
          <w:sz w:val="22"/>
          <w:szCs w:val="22"/>
        </w:rPr>
        <w:t xml:space="preserve"> la resolución que conforme a Derecho proceda, de acuerdo a l</w:t>
      </w:r>
      <w:r w:rsidR="009A620E" w:rsidRPr="006B0A9B">
        <w:rPr>
          <w:rFonts w:ascii="Palatino Linotype" w:hAnsi="Palatino Linotype" w:cs="Tahoma"/>
          <w:color w:val="000000"/>
          <w:sz w:val="22"/>
          <w:szCs w:val="22"/>
        </w:rPr>
        <w:t>o</w:t>
      </w:r>
      <w:r w:rsidRPr="006B0A9B">
        <w:rPr>
          <w:rFonts w:ascii="Palatino Linotype" w:hAnsi="Palatino Linotype" w:cs="Tahoma"/>
          <w:color w:val="000000"/>
          <w:sz w:val="22"/>
          <w:szCs w:val="22"/>
        </w:rPr>
        <w:t xml:space="preserve">s siguientes: </w:t>
      </w:r>
    </w:p>
    <w:p w14:paraId="402C58AA" w14:textId="77777777" w:rsidR="001C0C73" w:rsidRPr="006B0A9B" w:rsidRDefault="001C0C73" w:rsidP="00FF426B">
      <w:pPr>
        <w:spacing w:line="360" w:lineRule="auto"/>
        <w:contextualSpacing/>
        <w:jc w:val="both"/>
        <w:rPr>
          <w:rFonts w:ascii="Palatino Linotype" w:hAnsi="Palatino Linotype" w:cs="Tahoma"/>
          <w:color w:val="000000"/>
          <w:sz w:val="22"/>
          <w:szCs w:val="22"/>
        </w:rPr>
      </w:pPr>
    </w:p>
    <w:p w14:paraId="00524741" w14:textId="77777777" w:rsidR="00EA4E4A" w:rsidRPr="006B0A9B" w:rsidRDefault="00EA4E4A" w:rsidP="00C66180">
      <w:pPr>
        <w:spacing w:line="360" w:lineRule="auto"/>
        <w:contextualSpacing/>
        <w:jc w:val="center"/>
        <w:rPr>
          <w:rFonts w:ascii="Palatino Linotype" w:hAnsi="Palatino Linotype" w:cs="Tahoma"/>
          <w:b/>
          <w:sz w:val="22"/>
          <w:szCs w:val="22"/>
        </w:rPr>
      </w:pPr>
      <w:r w:rsidRPr="006B0A9B">
        <w:rPr>
          <w:rFonts w:ascii="Palatino Linotype" w:hAnsi="Palatino Linotype" w:cs="Tahoma"/>
          <w:b/>
          <w:sz w:val="22"/>
          <w:szCs w:val="22"/>
        </w:rPr>
        <w:t>C O N S I D E R A N D O S</w:t>
      </w:r>
    </w:p>
    <w:p w14:paraId="6F8445C1" w14:textId="77777777" w:rsidR="00EA4E4A" w:rsidRPr="006B0A9B" w:rsidRDefault="00EA4E4A" w:rsidP="00FF426B">
      <w:pPr>
        <w:spacing w:line="360" w:lineRule="auto"/>
        <w:contextualSpacing/>
        <w:jc w:val="both"/>
        <w:rPr>
          <w:rFonts w:ascii="Palatino Linotype" w:hAnsi="Palatino Linotype" w:cs="Tahoma"/>
          <w:b/>
          <w:sz w:val="22"/>
          <w:szCs w:val="22"/>
        </w:rPr>
      </w:pPr>
    </w:p>
    <w:p w14:paraId="4074DF59" w14:textId="77777777" w:rsidR="00EA4E4A" w:rsidRPr="006B0A9B" w:rsidRDefault="00EA4E4A" w:rsidP="00FF426B">
      <w:pPr>
        <w:autoSpaceDE w:val="0"/>
        <w:autoSpaceDN w:val="0"/>
        <w:adjustRightInd w:val="0"/>
        <w:spacing w:line="360" w:lineRule="auto"/>
        <w:contextualSpacing/>
        <w:jc w:val="both"/>
        <w:rPr>
          <w:rFonts w:ascii="Palatino Linotype" w:hAnsi="Palatino Linotype" w:cs="Tahoma"/>
          <w:b/>
          <w:sz w:val="22"/>
          <w:szCs w:val="22"/>
        </w:rPr>
      </w:pPr>
      <w:r w:rsidRPr="006B0A9B">
        <w:rPr>
          <w:rFonts w:ascii="Palatino Linotype" w:eastAsia="Calibri" w:hAnsi="Palatino Linotype" w:cs="Tahoma"/>
          <w:b/>
          <w:color w:val="000000"/>
          <w:sz w:val="22"/>
          <w:szCs w:val="22"/>
          <w:lang w:eastAsia="es-MX"/>
        </w:rPr>
        <w:t>PRIMERO</w:t>
      </w:r>
      <w:r w:rsidRPr="006B0A9B">
        <w:rPr>
          <w:rFonts w:ascii="Palatino Linotype" w:eastAsia="Calibri" w:hAnsi="Palatino Linotype" w:cs="Tahoma"/>
          <w:color w:val="000000"/>
          <w:sz w:val="22"/>
          <w:szCs w:val="22"/>
          <w:lang w:eastAsia="es-MX"/>
        </w:rPr>
        <w:t xml:space="preserve">. </w:t>
      </w:r>
      <w:r w:rsidRPr="006B0A9B">
        <w:rPr>
          <w:rFonts w:ascii="Palatino Linotype" w:hAnsi="Palatino Linotype" w:cs="Tahoma"/>
          <w:b/>
          <w:sz w:val="22"/>
          <w:szCs w:val="22"/>
        </w:rPr>
        <w:t>Competencia</w:t>
      </w:r>
    </w:p>
    <w:p w14:paraId="5EA9204A" w14:textId="77777777" w:rsidR="00EA4E4A" w:rsidRPr="006B0A9B" w:rsidRDefault="00EA4E4A" w:rsidP="00FF426B">
      <w:pPr>
        <w:autoSpaceDE w:val="0"/>
        <w:autoSpaceDN w:val="0"/>
        <w:adjustRightInd w:val="0"/>
        <w:spacing w:line="360" w:lineRule="auto"/>
        <w:contextualSpacing/>
        <w:jc w:val="both"/>
        <w:rPr>
          <w:rFonts w:ascii="Palatino Linotype" w:hAnsi="Palatino Linotype" w:cs="Tahoma"/>
          <w:b/>
          <w:sz w:val="22"/>
          <w:szCs w:val="22"/>
        </w:rPr>
      </w:pPr>
    </w:p>
    <w:p w14:paraId="19489140" w14:textId="77777777" w:rsidR="00CE0B4C" w:rsidRPr="006B0A9B" w:rsidRDefault="00CE0B4C" w:rsidP="00FF426B">
      <w:pPr>
        <w:spacing w:line="360" w:lineRule="auto"/>
        <w:jc w:val="both"/>
        <w:rPr>
          <w:rFonts w:ascii="Palatino Linotype" w:hAnsi="Palatino Linotype" w:cs="Tahoma"/>
          <w:sz w:val="22"/>
          <w:szCs w:val="22"/>
          <w:shd w:val="clear" w:color="auto" w:fill="FFFFFF"/>
        </w:rPr>
      </w:pPr>
      <w:r w:rsidRPr="006B0A9B">
        <w:rPr>
          <w:rFonts w:ascii="Palatino Linotype" w:eastAsia="Calibri" w:hAnsi="Palatino Linotype"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4228E8" w:rsidRPr="006B0A9B">
        <w:rPr>
          <w:rFonts w:ascii="Palatino Linotype" w:eastAsia="Calibri" w:hAnsi="Palatino Linotype" w:cs="Tahoma"/>
          <w:color w:val="000000"/>
          <w:sz w:val="22"/>
          <w:szCs w:val="22"/>
          <w:lang w:eastAsia="es-MX"/>
        </w:rPr>
        <w:t xml:space="preserve"> segundo</w:t>
      </w:r>
      <w:r w:rsidRPr="006B0A9B">
        <w:rPr>
          <w:rFonts w:ascii="Palatino Linotype" w:eastAsia="Calibri" w:hAnsi="Palatino Linotype" w:cs="Tahoma"/>
          <w:color w:val="000000"/>
          <w:sz w:val="22"/>
          <w:szCs w:val="22"/>
          <w:lang w:eastAsia="es-MX"/>
        </w:rPr>
        <w:t xml:space="preserve">, trigésimo </w:t>
      </w:r>
      <w:r w:rsidR="004228E8" w:rsidRPr="006B0A9B">
        <w:rPr>
          <w:rFonts w:ascii="Palatino Linotype" w:eastAsia="Calibri" w:hAnsi="Palatino Linotype" w:cs="Tahoma"/>
          <w:color w:val="000000"/>
          <w:sz w:val="22"/>
          <w:szCs w:val="22"/>
          <w:lang w:eastAsia="es-MX"/>
        </w:rPr>
        <w:t xml:space="preserve">tercero </w:t>
      </w:r>
      <w:r w:rsidRPr="006B0A9B">
        <w:rPr>
          <w:rFonts w:ascii="Palatino Linotype" w:eastAsia="Calibri" w:hAnsi="Palatino Linotype" w:cs="Tahoma"/>
          <w:color w:val="000000"/>
          <w:sz w:val="22"/>
          <w:szCs w:val="22"/>
          <w:lang w:eastAsia="es-MX"/>
        </w:rPr>
        <w:t xml:space="preserve">y trigésimo </w:t>
      </w:r>
      <w:r w:rsidR="004228E8" w:rsidRPr="006B0A9B">
        <w:rPr>
          <w:rFonts w:ascii="Palatino Linotype" w:eastAsia="Calibri" w:hAnsi="Palatino Linotype" w:cs="Tahoma"/>
          <w:color w:val="000000"/>
          <w:sz w:val="22"/>
          <w:szCs w:val="22"/>
          <w:lang w:eastAsia="es-MX"/>
        </w:rPr>
        <w:t>cuarto</w:t>
      </w:r>
      <w:r w:rsidRPr="006B0A9B">
        <w:rPr>
          <w:rFonts w:ascii="Palatino Linotype" w:eastAsia="Calibri" w:hAnsi="Palatino Linotype" w:cs="Tahoma"/>
          <w:color w:val="000000"/>
          <w:sz w:val="22"/>
          <w:szCs w:val="22"/>
          <w:lang w:eastAsia="es-MX"/>
        </w:rPr>
        <w:t xml:space="preserve">, fracciones I, II, III, IV y V de </w:t>
      </w:r>
      <w:r w:rsidRPr="006B0A9B">
        <w:rPr>
          <w:rFonts w:ascii="Palatino Linotype" w:eastAsia="Calibri" w:hAnsi="Palatino Linotype" w:cs="Tahoma"/>
          <w:color w:val="000000"/>
          <w:sz w:val="22"/>
          <w:szCs w:val="22"/>
          <w:lang w:eastAsia="es-MX"/>
        </w:rPr>
        <w:lastRenderedPageBreak/>
        <w:t>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B0A9B">
        <w:rPr>
          <w:rFonts w:eastAsia="Calibri"/>
          <w:color w:val="000000"/>
          <w:lang w:eastAsia="es-MX"/>
        </w:rPr>
        <w:t xml:space="preserve"> 7°, </w:t>
      </w:r>
      <w:r w:rsidR="00F66601" w:rsidRPr="006B0A9B">
        <w:rPr>
          <w:rFonts w:ascii="Palatino Linotype" w:eastAsia="Calibri" w:hAnsi="Palatino Linotype" w:cs="Tahoma"/>
          <w:color w:val="000000"/>
          <w:sz w:val="22"/>
          <w:szCs w:val="22"/>
          <w:lang w:eastAsia="es-MX"/>
        </w:rPr>
        <w:t>9°, fracciones I y XXIII</w:t>
      </w:r>
      <w:r w:rsidRPr="006B0A9B">
        <w:rPr>
          <w:rFonts w:ascii="Palatino Linotype" w:eastAsia="Calibri" w:hAnsi="Palatino Linotype" w:cs="Tahoma"/>
          <w:color w:val="000000"/>
          <w:sz w:val="22"/>
          <w:szCs w:val="22"/>
          <w:lang w:eastAsia="es-MX"/>
        </w:rPr>
        <w:t xml:space="preserve"> y 11 del Reglamento Interior del Instituto de Transparencia, Acceso a la Información</w:t>
      </w:r>
      <w:r w:rsidRPr="006B0A9B">
        <w:rPr>
          <w:rFonts w:ascii="Palatino Linotype" w:hAnsi="Palatino Linotype" w:cs="Tahoma"/>
          <w:sz w:val="22"/>
          <w:szCs w:val="22"/>
          <w:shd w:val="clear" w:color="auto" w:fill="FFFFFF"/>
        </w:rPr>
        <w:t xml:space="preserve"> Pública y Protección de Datos Personales del Estado de México y Municipios.</w:t>
      </w:r>
    </w:p>
    <w:p w14:paraId="0FF8F9FA" w14:textId="77777777" w:rsidR="00F66601" w:rsidRPr="006B0A9B" w:rsidRDefault="00F66601" w:rsidP="00FF426B">
      <w:pPr>
        <w:spacing w:line="360" w:lineRule="auto"/>
        <w:jc w:val="both"/>
        <w:rPr>
          <w:rFonts w:ascii="Palatino Linotype" w:hAnsi="Palatino Linotype" w:cs="Tahoma"/>
          <w:sz w:val="22"/>
          <w:szCs w:val="22"/>
          <w:shd w:val="clear" w:color="auto" w:fill="FFFFFF"/>
        </w:rPr>
      </w:pPr>
    </w:p>
    <w:p w14:paraId="5D9AA85C" w14:textId="77777777" w:rsidR="00CE0B4C" w:rsidRPr="006B0A9B"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0A9B">
        <w:rPr>
          <w:rFonts w:ascii="Palatino Linotype" w:eastAsia="Calibri" w:hAnsi="Palatino Linotype" w:cs="Tahoma"/>
          <w:b/>
          <w:color w:val="000000"/>
          <w:sz w:val="22"/>
          <w:szCs w:val="22"/>
          <w:lang w:eastAsia="es-MX"/>
        </w:rPr>
        <w:t>SEGUNDO</w:t>
      </w:r>
      <w:r w:rsidRPr="006B0A9B">
        <w:rPr>
          <w:rFonts w:ascii="Palatino Linotype" w:eastAsia="Calibri" w:hAnsi="Palatino Linotype" w:cs="Tahoma"/>
          <w:color w:val="000000"/>
          <w:sz w:val="22"/>
          <w:szCs w:val="22"/>
          <w:lang w:eastAsia="es-MX"/>
        </w:rPr>
        <w:t xml:space="preserve">. </w:t>
      </w:r>
      <w:r w:rsidRPr="006B0A9B">
        <w:rPr>
          <w:rFonts w:ascii="Palatino Linotype" w:eastAsia="Calibri" w:hAnsi="Palatino Linotype" w:cs="Tahoma"/>
          <w:b/>
          <w:color w:val="000000"/>
          <w:sz w:val="22"/>
          <w:szCs w:val="22"/>
          <w:lang w:eastAsia="es-MX"/>
        </w:rPr>
        <w:t>Causales de improcedencia y sobreseimiento</w:t>
      </w:r>
    </w:p>
    <w:p w14:paraId="1139C8A3" w14:textId="77777777" w:rsidR="00566562" w:rsidRPr="006B0A9B" w:rsidRDefault="00566562"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0D2C850" w14:textId="77777777" w:rsidR="00CE0B4C" w:rsidRPr="006B0A9B"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0A9B">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15BA09E" w14:textId="77777777" w:rsidR="00CE0B4C" w:rsidRPr="006B0A9B"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32DBB79" w14:textId="77777777" w:rsidR="00CE0B4C" w:rsidRPr="006B0A9B"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0A9B">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EEB933F" w14:textId="77777777" w:rsidR="00CE0B4C" w:rsidRPr="006B0A9B" w:rsidRDefault="00CE0B4C" w:rsidP="00FF426B">
      <w:pPr>
        <w:spacing w:line="360" w:lineRule="auto"/>
        <w:jc w:val="both"/>
        <w:rPr>
          <w:rFonts w:ascii="Palatino Linotype" w:eastAsia="Calibri" w:hAnsi="Palatino Linotype" w:cs="Tahoma"/>
          <w:b/>
          <w:sz w:val="22"/>
          <w:szCs w:val="22"/>
          <w:lang w:eastAsia="es-ES_tradnl"/>
        </w:rPr>
      </w:pPr>
      <w:r w:rsidRPr="006B0A9B">
        <w:rPr>
          <w:rFonts w:ascii="Palatino Linotype" w:eastAsia="Calibri" w:hAnsi="Palatino Linotype" w:cs="Tahoma"/>
          <w:b/>
          <w:sz w:val="22"/>
          <w:szCs w:val="22"/>
          <w:lang w:eastAsia="es-ES_tradnl"/>
        </w:rPr>
        <w:lastRenderedPageBreak/>
        <w:t>Causales de sobreseimiento</w:t>
      </w:r>
    </w:p>
    <w:p w14:paraId="0E7CBE8B" w14:textId="77777777" w:rsidR="00CE0B4C" w:rsidRPr="006B0A9B" w:rsidRDefault="00CE0B4C" w:rsidP="00FF426B">
      <w:pPr>
        <w:spacing w:line="360" w:lineRule="auto"/>
        <w:jc w:val="both"/>
        <w:rPr>
          <w:rFonts w:ascii="Palatino Linotype" w:eastAsia="Calibri" w:hAnsi="Palatino Linotype" w:cs="Tahoma"/>
          <w:sz w:val="22"/>
          <w:szCs w:val="22"/>
          <w:lang w:eastAsia="es-ES_tradnl"/>
        </w:rPr>
      </w:pPr>
    </w:p>
    <w:p w14:paraId="62A68820" w14:textId="77777777" w:rsidR="00CE0B4C" w:rsidRPr="006B0A9B" w:rsidRDefault="00CE0B4C" w:rsidP="00FF426B">
      <w:pPr>
        <w:spacing w:line="360" w:lineRule="auto"/>
        <w:jc w:val="both"/>
        <w:rPr>
          <w:rFonts w:ascii="Palatino Linotype" w:eastAsia="Calibri" w:hAnsi="Palatino Linotype" w:cs="Tahoma"/>
          <w:sz w:val="22"/>
          <w:szCs w:val="22"/>
          <w:lang w:eastAsia="es-ES_tradnl"/>
        </w:rPr>
      </w:pPr>
      <w:r w:rsidRPr="006B0A9B">
        <w:rPr>
          <w:rFonts w:ascii="Palatino Linotype" w:eastAsia="Calibri" w:hAnsi="Palatino Linotype" w:cs="Tahoma"/>
          <w:sz w:val="22"/>
          <w:szCs w:val="22"/>
          <w:lang w:eastAsia="es-ES_tradnl"/>
        </w:rPr>
        <w:t>Por lo que hace a las causales de sobreseimiento, del análisis realizado por este Instituto, se advierte que</w:t>
      </w:r>
      <w:r w:rsidRPr="006B0A9B">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6B0A9B">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6B0A9B">
        <w:rPr>
          <w:rFonts w:ascii="Palatino Linotype" w:eastAsia="Calibri" w:hAnsi="Palatino Linotype" w:cs="Tahoma"/>
          <w:bCs/>
          <w:sz w:val="22"/>
          <w:szCs w:val="22"/>
          <w:lang w:eastAsia="es-ES_tradnl"/>
        </w:rPr>
        <w:t xml:space="preserve">Por tales motivos, </w:t>
      </w:r>
      <w:r w:rsidRPr="006B0A9B">
        <w:rPr>
          <w:rFonts w:ascii="Palatino Linotype" w:eastAsia="Calibri" w:hAnsi="Palatino Linotype" w:cs="Tahoma"/>
          <w:sz w:val="22"/>
          <w:szCs w:val="22"/>
          <w:lang w:eastAsia="es-ES_tradnl"/>
        </w:rPr>
        <w:t xml:space="preserve">se considera procedente entrar al fondo del presente asunto. </w:t>
      </w:r>
    </w:p>
    <w:p w14:paraId="29C12538" w14:textId="77777777" w:rsidR="00566562" w:rsidRPr="006B0A9B" w:rsidRDefault="00566562" w:rsidP="00FF426B">
      <w:pPr>
        <w:spacing w:line="360" w:lineRule="auto"/>
        <w:jc w:val="both"/>
        <w:rPr>
          <w:rFonts w:ascii="Palatino Linotype" w:eastAsia="Calibri" w:hAnsi="Palatino Linotype" w:cs="Tahoma"/>
          <w:sz w:val="22"/>
          <w:szCs w:val="22"/>
          <w:lang w:eastAsia="es-ES_tradnl"/>
        </w:rPr>
      </w:pPr>
    </w:p>
    <w:p w14:paraId="71BD96E7" w14:textId="375A09CB" w:rsidR="00CE0B4C" w:rsidRPr="006B0A9B" w:rsidRDefault="00CE0B4C" w:rsidP="00FF426B">
      <w:pPr>
        <w:tabs>
          <w:tab w:val="left" w:pos="4962"/>
        </w:tabs>
        <w:spacing w:line="360" w:lineRule="auto"/>
        <w:jc w:val="both"/>
        <w:rPr>
          <w:rFonts w:ascii="Palatino Linotype" w:eastAsia="Calibri" w:hAnsi="Palatino Linotype" w:cs="Tahoma"/>
          <w:b/>
          <w:iCs/>
          <w:sz w:val="22"/>
          <w:szCs w:val="22"/>
          <w:lang w:val="es-ES" w:eastAsia="es-ES_tradnl"/>
        </w:rPr>
      </w:pPr>
      <w:r w:rsidRPr="006B0A9B">
        <w:rPr>
          <w:rFonts w:ascii="Palatino Linotype" w:eastAsia="Calibri" w:hAnsi="Palatino Linotype" w:cs="Tahoma"/>
          <w:b/>
          <w:iCs/>
          <w:sz w:val="22"/>
          <w:szCs w:val="22"/>
          <w:lang w:val="es-ES" w:eastAsia="es-ES_tradnl"/>
        </w:rPr>
        <w:t>TERCERO. Determinación de la Controversia</w:t>
      </w:r>
    </w:p>
    <w:p w14:paraId="141E103D" w14:textId="77777777" w:rsidR="00C86059" w:rsidRPr="006B0A9B" w:rsidRDefault="00C86059"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3C0BC75A" w14:textId="006DC20A" w:rsidR="000420E7" w:rsidRPr="006B0A9B" w:rsidRDefault="00CE0B4C" w:rsidP="00FF426B">
      <w:pPr>
        <w:tabs>
          <w:tab w:val="left" w:pos="4962"/>
        </w:tabs>
        <w:spacing w:line="360" w:lineRule="auto"/>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6B0A9B">
        <w:rPr>
          <w:rFonts w:ascii="Palatino Linotype" w:eastAsia="Calibri" w:hAnsi="Palatino Linotype" w:cs="Tahoma"/>
          <w:iCs/>
          <w:sz w:val="22"/>
          <w:szCs w:val="22"/>
          <w:lang w:val="es-ES" w:eastAsia="es-ES_tradnl"/>
        </w:rPr>
        <w:t xml:space="preserve">Particular </w:t>
      </w:r>
      <w:r w:rsidRPr="006B0A9B">
        <w:rPr>
          <w:rFonts w:ascii="Palatino Linotype" w:eastAsia="Calibri" w:hAnsi="Palatino Linotype" w:cs="Tahoma"/>
          <w:iCs/>
          <w:sz w:val="22"/>
          <w:szCs w:val="22"/>
          <w:lang w:val="es-ES" w:eastAsia="es-ES_tradnl"/>
        </w:rPr>
        <w:t>solicitó a</w:t>
      </w:r>
      <w:r w:rsidR="000420E7" w:rsidRPr="006B0A9B">
        <w:rPr>
          <w:rFonts w:ascii="Palatino Linotype" w:eastAsia="Calibri" w:hAnsi="Palatino Linotype" w:cs="Tahoma"/>
          <w:iCs/>
          <w:sz w:val="22"/>
          <w:szCs w:val="22"/>
          <w:lang w:val="es-ES" w:eastAsia="es-ES_tradnl"/>
        </w:rPr>
        <w:t xml:space="preserve"> </w:t>
      </w:r>
      <w:r w:rsidR="00212285" w:rsidRPr="006B0A9B">
        <w:rPr>
          <w:rFonts w:ascii="Palatino Linotype" w:eastAsia="Calibri" w:hAnsi="Palatino Linotype" w:cs="Tahoma"/>
          <w:iCs/>
          <w:sz w:val="22"/>
          <w:szCs w:val="22"/>
          <w:lang w:val="es-ES" w:eastAsia="es-ES_tradnl"/>
        </w:rPr>
        <w:t>l</w:t>
      </w:r>
      <w:r w:rsidR="000420E7" w:rsidRPr="006B0A9B">
        <w:rPr>
          <w:rFonts w:ascii="Palatino Linotype" w:eastAsia="Calibri" w:hAnsi="Palatino Linotype" w:cs="Tahoma"/>
          <w:iCs/>
          <w:sz w:val="22"/>
          <w:szCs w:val="22"/>
          <w:lang w:val="es-ES" w:eastAsia="es-ES_tradnl"/>
        </w:rPr>
        <w:t>a</w:t>
      </w:r>
      <w:r w:rsidR="0003473A" w:rsidRPr="006B0A9B">
        <w:rPr>
          <w:rFonts w:ascii="Palatino Linotype" w:eastAsia="Calibri" w:hAnsi="Palatino Linotype" w:cs="Tahoma"/>
          <w:iCs/>
          <w:sz w:val="22"/>
          <w:szCs w:val="22"/>
          <w:lang w:val="es-ES" w:eastAsia="es-ES_tradnl"/>
        </w:rPr>
        <w:t xml:space="preserve"> </w:t>
      </w:r>
      <w:r w:rsidR="00E45528" w:rsidRPr="006B0A9B">
        <w:rPr>
          <w:rFonts w:ascii="Palatino Linotype" w:eastAsia="Calibri" w:hAnsi="Palatino Linotype" w:cs="Tahoma"/>
          <w:iCs/>
          <w:sz w:val="22"/>
          <w:szCs w:val="22"/>
          <w:lang w:val="es-ES" w:eastAsia="es-ES_tradnl"/>
        </w:rPr>
        <w:t>Comisión del Agua del Estado de México</w:t>
      </w:r>
      <w:r w:rsidRPr="006B0A9B">
        <w:rPr>
          <w:rFonts w:ascii="Palatino Linotype" w:eastAsia="Calibri" w:hAnsi="Palatino Linotype" w:cs="Tahoma"/>
          <w:iCs/>
          <w:sz w:val="22"/>
          <w:szCs w:val="22"/>
          <w:lang w:val="es-ES" w:eastAsia="es-ES_tradnl"/>
        </w:rPr>
        <w:t>,</w:t>
      </w:r>
      <w:r w:rsidR="0018547D" w:rsidRPr="006B0A9B">
        <w:rPr>
          <w:rFonts w:ascii="Palatino Linotype" w:eastAsia="Calibri" w:hAnsi="Palatino Linotype" w:cs="Tahoma"/>
          <w:iCs/>
          <w:sz w:val="22"/>
          <w:szCs w:val="22"/>
          <w:lang w:val="es-ES" w:eastAsia="es-ES_tradnl"/>
        </w:rPr>
        <w:t xml:space="preserve"> </w:t>
      </w:r>
      <w:r w:rsidR="007B6D43" w:rsidRPr="006B0A9B">
        <w:rPr>
          <w:rFonts w:ascii="Palatino Linotype" w:eastAsia="Calibri" w:hAnsi="Palatino Linotype" w:cs="Tahoma"/>
          <w:iCs/>
          <w:sz w:val="22"/>
          <w:szCs w:val="22"/>
          <w:lang w:val="es-ES" w:eastAsia="es-ES_tradnl"/>
        </w:rPr>
        <w:t>información relacionada con las plazas que forman su estructura.</w:t>
      </w:r>
    </w:p>
    <w:p w14:paraId="2AEB9D91" w14:textId="77777777" w:rsidR="000420E7" w:rsidRPr="006B0A9B" w:rsidRDefault="000420E7" w:rsidP="00FF426B">
      <w:pPr>
        <w:tabs>
          <w:tab w:val="left" w:pos="4962"/>
        </w:tabs>
        <w:spacing w:line="360" w:lineRule="auto"/>
        <w:jc w:val="both"/>
        <w:rPr>
          <w:rFonts w:ascii="Palatino Linotype" w:eastAsia="Calibri" w:hAnsi="Palatino Linotype" w:cs="Tahoma"/>
          <w:iCs/>
          <w:sz w:val="22"/>
          <w:szCs w:val="22"/>
          <w:lang w:val="es-ES" w:eastAsia="es-ES_tradnl"/>
        </w:rPr>
      </w:pPr>
    </w:p>
    <w:p w14:paraId="2418D088" w14:textId="342D0F91" w:rsidR="00A511BB" w:rsidRPr="006B0A9B" w:rsidRDefault="00993BF4" w:rsidP="00FF426B">
      <w:pPr>
        <w:tabs>
          <w:tab w:val="left" w:pos="4962"/>
        </w:tabs>
        <w:spacing w:line="360" w:lineRule="auto"/>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E</w:t>
      </w:r>
      <w:r w:rsidR="0044640B" w:rsidRPr="006B0A9B">
        <w:rPr>
          <w:rFonts w:ascii="Palatino Linotype" w:eastAsia="Calibri" w:hAnsi="Palatino Linotype" w:cs="Tahoma"/>
          <w:iCs/>
          <w:sz w:val="22"/>
          <w:szCs w:val="22"/>
          <w:lang w:val="es-ES" w:eastAsia="es-ES_tradnl"/>
        </w:rPr>
        <w:t>n respuesta</w:t>
      </w:r>
      <w:r w:rsidR="007F34CB" w:rsidRPr="006B0A9B">
        <w:rPr>
          <w:rFonts w:ascii="Palatino Linotype" w:eastAsia="Calibri" w:hAnsi="Palatino Linotype" w:cs="Tahoma"/>
          <w:iCs/>
          <w:sz w:val="22"/>
          <w:szCs w:val="22"/>
          <w:lang w:val="es-ES" w:eastAsia="es-ES_tradnl"/>
        </w:rPr>
        <w:t>,</w:t>
      </w:r>
      <w:r w:rsidR="0044640B" w:rsidRPr="006B0A9B">
        <w:rPr>
          <w:rFonts w:ascii="Palatino Linotype" w:eastAsia="Calibri" w:hAnsi="Palatino Linotype" w:cs="Tahoma"/>
          <w:iCs/>
          <w:sz w:val="22"/>
          <w:szCs w:val="22"/>
          <w:lang w:val="es-ES" w:eastAsia="es-ES_tradnl"/>
        </w:rPr>
        <w:t xml:space="preserve"> el Sujeto Obligado</w:t>
      </w:r>
      <w:r w:rsidR="007B6D43" w:rsidRPr="006B0A9B">
        <w:rPr>
          <w:rFonts w:ascii="Palatino Linotype" w:eastAsia="Calibri" w:hAnsi="Palatino Linotype" w:cs="Tahoma"/>
          <w:iCs/>
          <w:sz w:val="22"/>
          <w:szCs w:val="22"/>
          <w:lang w:val="es-ES" w:eastAsia="es-ES_tradnl"/>
        </w:rPr>
        <w:t xml:space="preserve"> señaló que la información se encontraba publicada en IPOMEX</w:t>
      </w:r>
      <w:r w:rsidR="0018547D" w:rsidRPr="006B0A9B">
        <w:rPr>
          <w:rFonts w:ascii="Palatino Linotype" w:eastAsia="Calibri" w:hAnsi="Palatino Linotype" w:cs="Tahoma"/>
          <w:iCs/>
          <w:sz w:val="22"/>
          <w:szCs w:val="22"/>
          <w:lang w:val="es-ES" w:eastAsia="es-ES_tradnl"/>
        </w:rPr>
        <w:t xml:space="preserve">, </w:t>
      </w:r>
      <w:r w:rsidR="0004574F" w:rsidRPr="006B0A9B">
        <w:rPr>
          <w:rFonts w:ascii="Palatino Linotype" w:eastAsia="Calibri" w:hAnsi="Palatino Linotype" w:cs="Tahoma"/>
          <w:iCs/>
          <w:sz w:val="22"/>
          <w:szCs w:val="22"/>
          <w:lang w:val="es-ES" w:eastAsia="es-ES_tradnl"/>
        </w:rPr>
        <w:t xml:space="preserve">derivado de ello </w:t>
      </w:r>
      <w:r w:rsidR="006B1D90" w:rsidRPr="006B0A9B">
        <w:rPr>
          <w:rFonts w:ascii="Palatino Linotype" w:eastAsia="Calibri" w:hAnsi="Palatino Linotype" w:cs="Tahoma"/>
          <w:iCs/>
          <w:sz w:val="22"/>
          <w:szCs w:val="22"/>
          <w:lang w:val="es-ES" w:eastAsia="es-ES_tradnl"/>
        </w:rPr>
        <w:t xml:space="preserve">el Particular </w:t>
      </w:r>
      <w:r w:rsidR="00002CF8" w:rsidRPr="006B0A9B">
        <w:rPr>
          <w:rFonts w:ascii="Palatino Linotype" w:eastAsia="Calibri" w:hAnsi="Palatino Linotype" w:cs="Tahoma"/>
          <w:iCs/>
          <w:sz w:val="22"/>
          <w:szCs w:val="22"/>
          <w:lang w:val="es-ES" w:eastAsia="es-ES_tradnl"/>
        </w:rPr>
        <w:t>se inconformó</w:t>
      </w:r>
      <w:r w:rsidR="00AB2EDE" w:rsidRPr="006B0A9B">
        <w:rPr>
          <w:rFonts w:ascii="Palatino Linotype" w:eastAsia="Calibri" w:hAnsi="Palatino Linotype" w:cs="Tahoma"/>
          <w:iCs/>
          <w:sz w:val="22"/>
          <w:szCs w:val="22"/>
          <w:lang w:val="es-ES" w:eastAsia="es-ES_tradnl"/>
        </w:rPr>
        <w:t xml:space="preserve"> </w:t>
      </w:r>
      <w:r w:rsidR="004E5D3C" w:rsidRPr="006B0A9B">
        <w:rPr>
          <w:rFonts w:ascii="Palatino Linotype" w:eastAsia="Calibri" w:hAnsi="Palatino Linotype" w:cs="Tahoma"/>
          <w:iCs/>
          <w:sz w:val="22"/>
          <w:szCs w:val="22"/>
          <w:lang w:val="es-ES" w:eastAsia="es-ES_tradnl"/>
        </w:rPr>
        <w:t xml:space="preserve">por </w:t>
      </w:r>
      <w:r w:rsidR="00F860A3" w:rsidRPr="006B0A9B">
        <w:rPr>
          <w:rFonts w:ascii="Palatino Linotype" w:eastAsia="Calibri" w:hAnsi="Palatino Linotype" w:cs="Tahoma"/>
          <w:iCs/>
          <w:sz w:val="22"/>
          <w:szCs w:val="22"/>
          <w:lang w:val="es-ES" w:eastAsia="es-ES_tradnl"/>
        </w:rPr>
        <w:t xml:space="preserve">la </w:t>
      </w:r>
      <w:r w:rsidR="007B6D43" w:rsidRPr="006B0A9B">
        <w:rPr>
          <w:rFonts w:ascii="Palatino Linotype" w:eastAsia="Calibri" w:hAnsi="Palatino Linotype" w:cs="Tahoma"/>
          <w:iCs/>
          <w:sz w:val="22"/>
          <w:szCs w:val="22"/>
          <w:lang w:val="es-ES" w:eastAsia="es-ES_tradnl"/>
        </w:rPr>
        <w:t>negativa de la información</w:t>
      </w:r>
      <w:r w:rsidR="00E63111" w:rsidRPr="006B0A9B">
        <w:rPr>
          <w:rFonts w:ascii="Palatino Linotype" w:eastAsia="Calibri" w:hAnsi="Palatino Linotype" w:cs="Tahoma"/>
          <w:iCs/>
          <w:sz w:val="22"/>
          <w:szCs w:val="22"/>
          <w:lang w:val="es-ES" w:eastAsia="es-ES_tradnl"/>
        </w:rPr>
        <w:t xml:space="preserve">, </w:t>
      </w:r>
      <w:r w:rsidR="00120425" w:rsidRPr="006B0A9B">
        <w:rPr>
          <w:rFonts w:ascii="Palatino Linotype" w:eastAsia="Calibri" w:hAnsi="Palatino Linotype" w:cs="Tahoma"/>
          <w:bCs/>
          <w:sz w:val="22"/>
          <w:szCs w:val="22"/>
          <w:lang w:val="es-ES_tradnl" w:eastAsia="en-US"/>
        </w:rPr>
        <w:t xml:space="preserve">así </w:t>
      </w:r>
      <w:r w:rsidR="00A511BB" w:rsidRPr="006B0A9B">
        <w:rPr>
          <w:rFonts w:ascii="Palatino Linotype" w:eastAsia="Calibri" w:hAnsi="Palatino Linotype" w:cs="Tahoma"/>
          <w:color w:val="000000"/>
          <w:sz w:val="22"/>
          <w:szCs w:val="22"/>
        </w:rPr>
        <w:t xml:space="preserve">en el asunto que nos ocupa se actualiza la causal de procedencia señalada en el </w:t>
      </w:r>
      <w:r w:rsidR="00A511BB" w:rsidRPr="006B0A9B">
        <w:rPr>
          <w:rFonts w:ascii="Palatino Linotype" w:eastAsia="Calibri" w:hAnsi="Palatino Linotype" w:cs="Tahoma"/>
          <w:sz w:val="22"/>
          <w:szCs w:val="22"/>
        </w:rPr>
        <w:t xml:space="preserve">artículo 179, </w:t>
      </w:r>
      <w:r w:rsidR="005638D9" w:rsidRPr="006B0A9B">
        <w:rPr>
          <w:rFonts w:ascii="Palatino Linotype" w:eastAsia="Calibri" w:hAnsi="Palatino Linotype" w:cs="Tahoma"/>
          <w:sz w:val="22"/>
          <w:szCs w:val="22"/>
        </w:rPr>
        <w:t xml:space="preserve">fracción </w:t>
      </w:r>
      <w:r w:rsidR="007B6D43" w:rsidRPr="006B0A9B">
        <w:rPr>
          <w:rFonts w:ascii="Palatino Linotype" w:eastAsia="Calibri" w:hAnsi="Palatino Linotype" w:cs="Tahoma"/>
          <w:sz w:val="22"/>
          <w:szCs w:val="22"/>
        </w:rPr>
        <w:t>I</w:t>
      </w:r>
      <w:r w:rsidR="00E52703" w:rsidRPr="006B0A9B">
        <w:rPr>
          <w:rFonts w:ascii="Palatino Linotype" w:eastAsia="Calibri" w:hAnsi="Palatino Linotype" w:cs="Tahoma"/>
          <w:sz w:val="22"/>
          <w:szCs w:val="22"/>
        </w:rPr>
        <w:t>,</w:t>
      </w:r>
      <w:r w:rsidR="00A511BB" w:rsidRPr="006B0A9B">
        <w:rPr>
          <w:rFonts w:ascii="Palatino Linotype" w:eastAsia="Calibri" w:hAnsi="Palatino Linotype" w:cs="Tahoma"/>
          <w:sz w:val="22"/>
          <w:szCs w:val="22"/>
        </w:rPr>
        <w:t xml:space="preserve"> de la Ley de la materia</w:t>
      </w:r>
      <w:r w:rsidR="00A511BB" w:rsidRPr="006B0A9B">
        <w:rPr>
          <w:rFonts w:ascii="Palatino Linotype" w:eastAsia="Calibri" w:hAnsi="Palatino Linotype" w:cs="Tahoma"/>
          <w:bCs/>
          <w:sz w:val="22"/>
          <w:szCs w:val="22"/>
        </w:rPr>
        <w:t>.</w:t>
      </w:r>
    </w:p>
    <w:p w14:paraId="6704B7FD" w14:textId="77777777" w:rsidR="00CE0B4C" w:rsidRPr="006B0A9B" w:rsidRDefault="00CE0B4C"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3B1342CC" w14:textId="77777777" w:rsidR="00CE0B4C" w:rsidRPr="006B0A9B" w:rsidRDefault="00CE0B4C" w:rsidP="00FF426B">
      <w:pPr>
        <w:tabs>
          <w:tab w:val="left" w:pos="4962"/>
        </w:tabs>
        <w:spacing w:line="360" w:lineRule="auto"/>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CF65670" w14:textId="77777777" w:rsidR="00CE0B4C" w:rsidRPr="006B0A9B" w:rsidRDefault="00CE0B4C" w:rsidP="00FF426B">
      <w:pPr>
        <w:tabs>
          <w:tab w:val="left" w:pos="4962"/>
        </w:tabs>
        <w:spacing w:line="360" w:lineRule="auto"/>
        <w:jc w:val="both"/>
        <w:rPr>
          <w:rFonts w:ascii="Palatino Linotype" w:eastAsia="Calibri" w:hAnsi="Palatino Linotype" w:cs="Tahoma"/>
          <w:iCs/>
          <w:sz w:val="22"/>
          <w:szCs w:val="22"/>
          <w:lang w:eastAsia="es-ES_tradnl"/>
        </w:rPr>
      </w:pPr>
    </w:p>
    <w:p w14:paraId="415EE7B8" w14:textId="77777777" w:rsidR="00CE0B4C" w:rsidRPr="006B0A9B" w:rsidRDefault="00CE0B4C" w:rsidP="00FF426B">
      <w:pPr>
        <w:spacing w:line="360" w:lineRule="auto"/>
        <w:ind w:right="-93"/>
        <w:jc w:val="both"/>
        <w:rPr>
          <w:rFonts w:ascii="Palatino Linotype" w:hAnsi="Palatino Linotype" w:cs="Tahoma"/>
          <w:b/>
          <w:sz w:val="22"/>
          <w:szCs w:val="22"/>
        </w:rPr>
      </w:pPr>
      <w:r w:rsidRPr="006B0A9B">
        <w:rPr>
          <w:rFonts w:ascii="Palatino Linotype" w:hAnsi="Palatino Linotype" w:cs="Tahoma"/>
          <w:b/>
          <w:sz w:val="22"/>
          <w:szCs w:val="22"/>
          <w:lang w:val="es-ES"/>
        </w:rPr>
        <w:t xml:space="preserve">CUARTO. </w:t>
      </w:r>
      <w:r w:rsidRPr="006B0A9B">
        <w:rPr>
          <w:rFonts w:ascii="Palatino Linotype" w:hAnsi="Palatino Linotype" w:cs="Tahoma"/>
          <w:b/>
          <w:sz w:val="22"/>
          <w:szCs w:val="22"/>
        </w:rPr>
        <w:t>Marco normativo aplicable en materia de transparencia y acceso a la información pública</w:t>
      </w:r>
    </w:p>
    <w:p w14:paraId="70EC605F" w14:textId="77777777" w:rsidR="00CE0B4C" w:rsidRPr="006B0A9B" w:rsidRDefault="00CE0B4C" w:rsidP="00FF426B">
      <w:pPr>
        <w:spacing w:line="360" w:lineRule="auto"/>
        <w:contextualSpacing/>
        <w:jc w:val="both"/>
        <w:rPr>
          <w:rFonts w:ascii="Palatino Linotype" w:hAnsi="Palatino Linotype" w:cs="Tahoma"/>
          <w:sz w:val="22"/>
          <w:szCs w:val="22"/>
        </w:rPr>
      </w:pPr>
    </w:p>
    <w:p w14:paraId="373A173F" w14:textId="77777777" w:rsidR="00CE0B4C" w:rsidRPr="006B0A9B" w:rsidRDefault="00CE0B4C" w:rsidP="00FF426B">
      <w:pPr>
        <w:widowControl w:val="0"/>
        <w:spacing w:line="360" w:lineRule="auto"/>
        <w:contextualSpacing/>
        <w:jc w:val="both"/>
        <w:rPr>
          <w:rFonts w:ascii="Palatino Linotype" w:hAnsi="Palatino Linotype" w:cs="Tahoma"/>
          <w:sz w:val="22"/>
          <w:szCs w:val="22"/>
        </w:rPr>
      </w:pPr>
      <w:r w:rsidRPr="006B0A9B">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6B0A9B">
        <w:rPr>
          <w:rFonts w:ascii="Palatino Linotype" w:hAnsi="Palatino Linotype" w:cs="Tahoma"/>
          <w:sz w:val="22"/>
          <w:szCs w:val="22"/>
        </w:rPr>
        <w:t>autoridad</w:t>
      </w:r>
      <w:r w:rsidRPr="006B0A9B">
        <w:rPr>
          <w:rFonts w:ascii="Palatino Linotype" w:hAnsi="Palatino Linotype" w:cs="Tahoma"/>
          <w:sz w:val="22"/>
          <w:szCs w:val="22"/>
        </w:rPr>
        <w:t xml:space="preserve"> es pública y sólo podrá ser reservada temporalmente por razones de interés público.</w:t>
      </w:r>
    </w:p>
    <w:p w14:paraId="4A9A93BE" w14:textId="77777777" w:rsidR="00CE0B4C" w:rsidRPr="006B0A9B" w:rsidRDefault="00CE0B4C" w:rsidP="00FF426B">
      <w:pPr>
        <w:spacing w:line="360" w:lineRule="auto"/>
        <w:contextualSpacing/>
        <w:jc w:val="both"/>
        <w:rPr>
          <w:rFonts w:ascii="Palatino Linotype" w:hAnsi="Palatino Linotype" w:cs="Tahoma"/>
          <w:sz w:val="22"/>
          <w:szCs w:val="22"/>
        </w:rPr>
      </w:pPr>
    </w:p>
    <w:p w14:paraId="2722C148" w14:textId="77777777" w:rsidR="00CE0B4C" w:rsidRPr="006B0A9B" w:rsidRDefault="00CE0B4C" w:rsidP="00FF426B">
      <w:pPr>
        <w:spacing w:line="360" w:lineRule="auto"/>
        <w:jc w:val="both"/>
        <w:rPr>
          <w:rFonts w:ascii="Palatino Linotype" w:hAnsi="Palatino Linotype" w:cs="Tahoma"/>
          <w:sz w:val="22"/>
          <w:szCs w:val="22"/>
        </w:rPr>
      </w:pPr>
      <w:r w:rsidRPr="006B0A9B">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B5DB827" w14:textId="77777777" w:rsidR="00CE0B4C" w:rsidRPr="006B0A9B" w:rsidRDefault="00CE0B4C" w:rsidP="00FF426B">
      <w:pPr>
        <w:spacing w:line="360" w:lineRule="auto"/>
        <w:jc w:val="both"/>
        <w:rPr>
          <w:rFonts w:ascii="Palatino Linotype" w:hAnsi="Palatino Linotype" w:cs="Tahoma"/>
          <w:sz w:val="22"/>
          <w:szCs w:val="22"/>
        </w:rPr>
      </w:pPr>
    </w:p>
    <w:p w14:paraId="556E9791" w14:textId="77777777" w:rsidR="00CE0B4C" w:rsidRPr="006B0A9B" w:rsidRDefault="00CE0B4C" w:rsidP="00FF426B">
      <w:pPr>
        <w:spacing w:line="360" w:lineRule="auto"/>
        <w:jc w:val="both"/>
        <w:rPr>
          <w:rFonts w:ascii="Palatino Linotype" w:hAnsi="Palatino Linotype" w:cs="Tahoma"/>
          <w:sz w:val="22"/>
          <w:szCs w:val="22"/>
        </w:rPr>
      </w:pPr>
      <w:r w:rsidRPr="006B0A9B">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EB988FE" w14:textId="77777777" w:rsidR="00CE0B4C" w:rsidRPr="006B0A9B" w:rsidRDefault="00CE0B4C" w:rsidP="00FF426B">
      <w:pPr>
        <w:spacing w:line="360" w:lineRule="auto"/>
        <w:jc w:val="both"/>
        <w:rPr>
          <w:rFonts w:ascii="Palatino Linotype" w:hAnsi="Palatino Linotype" w:cs="Tahoma"/>
          <w:sz w:val="22"/>
          <w:szCs w:val="22"/>
        </w:rPr>
      </w:pPr>
    </w:p>
    <w:p w14:paraId="7EC940A7" w14:textId="77777777" w:rsidR="00CE0B4C" w:rsidRPr="006B0A9B" w:rsidRDefault="00CE0B4C" w:rsidP="00FF426B">
      <w:pPr>
        <w:spacing w:line="360" w:lineRule="auto"/>
        <w:jc w:val="both"/>
        <w:rPr>
          <w:rFonts w:ascii="Palatino Linotype" w:hAnsi="Palatino Linotype" w:cs="Tahoma"/>
          <w:sz w:val="22"/>
          <w:szCs w:val="22"/>
        </w:rPr>
      </w:pPr>
      <w:r w:rsidRPr="006B0A9B">
        <w:rPr>
          <w:rFonts w:ascii="Palatino Linotype" w:hAnsi="Palatino Linotype" w:cs="Tahoma"/>
          <w:sz w:val="22"/>
          <w:szCs w:val="22"/>
        </w:rPr>
        <w:t>En materia local, el artículo 5°, fracción I</w:t>
      </w:r>
      <w:r w:rsidR="00002CF8" w:rsidRPr="006B0A9B">
        <w:rPr>
          <w:rFonts w:ascii="Palatino Linotype" w:hAnsi="Palatino Linotype" w:cs="Tahoma"/>
          <w:sz w:val="22"/>
          <w:szCs w:val="22"/>
        </w:rPr>
        <w:t>,</w:t>
      </w:r>
      <w:r w:rsidRPr="006B0A9B">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9C23258" w14:textId="77777777" w:rsidR="00CE0B4C" w:rsidRPr="006B0A9B" w:rsidRDefault="00CE0B4C" w:rsidP="00FF426B">
      <w:pPr>
        <w:spacing w:line="360" w:lineRule="auto"/>
        <w:jc w:val="both"/>
        <w:rPr>
          <w:rFonts w:ascii="Palatino Linotype" w:hAnsi="Palatino Linotype" w:cs="Tahoma"/>
          <w:sz w:val="22"/>
          <w:szCs w:val="22"/>
        </w:rPr>
      </w:pPr>
    </w:p>
    <w:p w14:paraId="7A120E31" w14:textId="77777777" w:rsidR="00CE0B4C" w:rsidRPr="006B0A9B" w:rsidRDefault="00CE0B4C" w:rsidP="00FF426B">
      <w:pPr>
        <w:spacing w:line="360" w:lineRule="auto"/>
        <w:jc w:val="both"/>
        <w:rPr>
          <w:rFonts w:ascii="Palatino Linotype" w:hAnsi="Palatino Linotype" w:cs="Tahoma"/>
          <w:sz w:val="22"/>
          <w:szCs w:val="22"/>
        </w:rPr>
      </w:pPr>
      <w:r w:rsidRPr="006B0A9B">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21B75ECB" w14:textId="77777777" w:rsidR="00CE0B4C" w:rsidRPr="006B0A9B" w:rsidRDefault="00CE0B4C" w:rsidP="00FF426B">
      <w:pPr>
        <w:spacing w:line="360" w:lineRule="auto"/>
        <w:jc w:val="both"/>
        <w:rPr>
          <w:rFonts w:ascii="Palatino Linotype" w:hAnsi="Palatino Linotype" w:cs="Tahoma"/>
          <w:sz w:val="22"/>
          <w:szCs w:val="22"/>
        </w:rPr>
      </w:pPr>
    </w:p>
    <w:p w14:paraId="12BC684B" w14:textId="77777777" w:rsidR="00CE0B4C" w:rsidRPr="006B0A9B" w:rsidRDefault="00CE0B4C" w:rsidP="00FF426B">
      <w:pPr>
        <w:spacing w:line="360" w:lineRule="auto"/>
        <w:jc w:val="both"/>
        <w:rPr>
          <w:rFonts w:ascii="Palatino Linotype" w:hAnsi="Palatino Linotype" w:cs="Tahoma"/>
          <w:sz w:val="22"/>
          <w:szCs w:val="22"/>
        </w:rPr>
      </w:pPr>
      <w:r w:rsidRPr="006B0A9B">
        <w:rPr>
          <w:rFonts w:ascii="Palatino Linotype" w:hAnsi="Palatino Linotype" w:cs="Tahoma"/>
          <w:sz w:val="22"/>
          <w:szCs w:val="22"/>
        </w:rPr>
        <w:t>El artículo 12, que, quienes generen, recopilen, administren, manejen, procesen, archiven o conserven información pública serán responsables de la misma.</w:t>
      </w:r>
    </w:p>
    <w:p w14:paraId="60F9B0DA" w14:textId="77777777" w:rsidR="00EF5683" w:rsidRPr="006B0A9B" w:rsidRDefault="00EF5683" w:rsidP="00FF426B">
      <w:pPr>
        <w:spacing w:line="360" w:lineRule="auto"/>
        <w:jc w:val="both"/>
        <w:rPr>
          <w:rFonts w:ascii="Palatino Linotype" w:hAnsi="Palatino Linotype" w:cs="Tahoma"/>
          <w:sz w:val="22"/>
          <w:szCs w:val="22"/>
        </w:rPr>
      </w:pPr>
    </w:p>
    <w:p w14:paraId="66029075" w14:textId="77777777" w:rsidR="00CE0B4C" w:rsidRPr="006B0A9B" w:rsidRDefault="00CE0B4C" w:rsidP="00FF426B">
      <w:pPr>
        <w:spacing w:line="360" w:lineRule="auto"/>
        <w:jc w:val="both"/>
        <w:rPr>
          <w:rFonts w:ascii="Palatino Linotype" w:hAnsi="Palatino Linotype" w:cs="Tahoma"/>
          <w:sz w:val="22"/>
          <w:szCs w:val="22"/>
        </w:rPr>
      </w:pPr>
      <w:r w:rsidRPr="006B0A9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B6CBC9D" w14:textId="77777777" w:rsidR="00F66601" w:rsidRPr="006B0A9B" w:rsidRDefault="00F66601" w:rsidP="00FF426B">
      <w:pPr>
        <w:spacing w:line="360" w:lineRule="auto"/>
        <w:jc w:val="both"/>
        <w:rPr>
          <w:rFonts w:ascii="Palatino Linotype" w:hAnsi="Palatino Linotype" w:cs="Tahoma"/>
          <w:sz w:val="22"/>
          <w:szCs w:val="22"/>
        </w:rPr>
      </w:pPr>
    </w:p>
    <w:p w14:paraId="658C79EC" w14:textId="77777777" w:rsidR="00CE0B4C" w:rsidRPr="006B0A9B" w:rsidRDefault="00CE0B4C" w:rsidP="00FF426B">
      <w:pPr>
        <w:spacing w:line="360" w:lineRule="auto"/>
        <w:jc w:val="both"/>
        <w:rPr>
          <w:rFonts w:ascii="Palatino Linotype" w:hAnsi="Palatino Linotype" w:cs="Tahoma"/>
          <w:sz w:val="22"/>
          <w:szCs w:val="22"/>
        </w:rPr>
      </w:pPr>
      <w:r w:rsidRPr="006B0A9B">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2E36FD" w14:textId="77777777" w:rsidR="00553D1F" w:rsidRPr="006B0A9B" w:rsidRDefault="00553D1F" w:rsidP="00FF426B">
      <w:pPr>
        <w:spacing w:line="360" w:lineRule="auto"/>
        <w:ind w:right="-93"/>
        <w:jc w:val="both"/>
        <w:rPr>
          <w:rFonts w:ascii="Palatino Linotype" w:hAnsi="Palatino Linotype" w:cs="Tahoma"/>
          <w:b/>
          <w:sz w:val="22"/>
          <w:szCs w:val="22"/>
          <w:lang w:val="es-ES"/>
        </w:rPr>
      </w:pPr>
    </w:p>
    <w:p w14:paraId="5D006319" w14:textId="77777777" w:rsidR="00CE0B4C" w:rsidRPr="006B0A9B" w:rsidRDefault="00CE0B4C" w:rsidP="00FF426B">
      <w:pPr>
        <w:spacing w:line="360" w:lineRule="auto"/>
        <w:ind w:right="-93"/>
        <w:jc w:val="both"/>
        <w:rPr>
          <w:rFonts w:ascii="Palatino Linotype" w:hAnsi="Palatino Linotype" w:cs="Tahoma"/>
          <w:b/>
          <w:sz w:val="22"/>
          <w:szCs w:val="22"/>
          <w:lang w:val="es-ES"/>
        </w:rPr>
      </w:pPr>
      <w:r w:rsidRPr="006B0A9B">
        <w:rPr>
          <w:rFonts w:ascii="Palatino Linotype" w:hAnsi="Palatino Linotype" w:cs="Tahoma"/>
          <w:b/>
          <w:sz w:val="22"/>
          <w:szCs w:val="22"/>
          <w:lang w:val="es-ES"/>
        </w:rPr>
        <w:t>QUINTO. Estudio de Fondo</w:t>
      </w:r>
    </w:p>
    <w:p w14:paraId="72E69217" w14:textId="77777777" w:rsidR="00040101" w:rsidRPr="006B0A9B" w:rsidRDefault="00040101" w:rsidP="00FF426B">
      <w:pPr>
        <w:spacing w:line="360" w:lineRule="auto"/>
        <w:ind w:right="-93"/>
        <w:jc w:val="both"/>
        <w:rPr>
          <w:rFonts w:ascii="Palatino Linotype" w:hAnsi="Palatino Linotype" w:cs="Tahoma"/>
          <w:b/>
          <w:sz w:val="22"/>
          <w:szCs w:val="22"/>
          <w:lang w:val="es-ES"/>
        </w:rPr>
      </w:pPr>
    </w:p>
    <w:p w14:paraId="127F7EA9" w14:textId="0B24B188" w:rsidR="007F486F" w:rsidRPr="006B0A9B" w:rsidRDefault="007F486F" w:rsidP="007F486F">
      <w:pPr>
        <w:spacing w:line="360" w:lineRule="auto"/>
        <w:jc w:val="both"/>
        <w:rPr>
          <w:rFonts w:ascii="Palatino Linotype" w:hAnsi="Palatino Linotype" w:cs="Tahoma"/>
          <w:sz w:val="22"/>
          <w:szCs w:val="22"/>
        </w:rPr>
      </w:pPr>
      <w:r w:rsidRPr="006B0A9B">
        <w:rPr>
          <w:rFonts w:ascii="Palatino Linotype" w:hAnsi="Palatino Linotype" w:cs="Tahoma"/>
          <w:sz w:val="22"/>
          <w:szCs w:val="22"/>
        </w:rPr>
        <w:t>Una vez determinada la vía sobre la que versará el presente Recurso y previa revisión del expediente electrónico formado en el SAIMEX, con motivo de la solicitud de información y del Recurso a que da origen, es conveniente analizar si la respuesta del Sujeto Obligado cumple con los requisitos y procedimientos del derecho de acceso a la información pública.</w:t>
      </w:r>
    </w:p>
    <w:p w14:paraId="402AC813" w14:textId="77777777" w:rsidR="007F486F" w:rsidRPr="006B0A9B" w:rsidRDefault="007F486F" w:rsidP="007F486F">
      <w:pPr>
        <w:spacing w:line="360" w:lineRule="auto"/>
        <w:jc w:val="both"/>
        <w:rPr>
          <w:rFonts w:ascii="Palatino Linotype" w:hAnsi="Palatino Linotype" w:cs="Tahoma"/>
          <w:sz w:val="22"/>
          <w:szCs w:val="22"/>
        </w:rPr>
      </w:pPr>
    </w:p>
    <w:p w14:paraId="15062CEC" w14:textId="757BA073" w:rsidR="00A831AC" w:rsidRPr="006B0A9B" w:rsidRDefault="008C5E8B" w:rsidP="00A831AC">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D</w:t>
      </w:r>
      <w:r w:rsidR="00A831AC" w:rsidRPr="006B0A9B">
        <w:rPr>
          <w:rFonts w:ascii="Palatino Linotype" w:eastAsia="Calibri" w:hAnsi="Palatino Linotype" w:cs="Tahoma"/>
          <w:iCs/>
          <w:sz w:val="22"/>
          <w:szCs w:val="22"/>
          <w:lang w:eastAsia="es-ES_tradnl"/>
        </w:rPr>
        <w:t xml:space="preserve">e conformidad a la naturaleza de la información solicitada que es relativa a las plazas, trabajadores y contratos laborales, se desprende que resulta competente la Dirección General de Administración y Finanzas, Unidad Administrativa del Sujeto Obligado que se encarga de </w:t>
      </w:r>
      <w:r w:rsidR="00A831AC" w:rsidRPr="006B0A9B">
        <w:rPr>
          <w:rFonts w:ascii="Palatino Linotype" w:eastAsia="Calibri" w:hAnsi="Palatino Linotype" w:cs="Tahoma"/>
          <w:iCs/>
          <w:sz w:val="22"/>
          <w:szCs w:val="22"/>
          <w:lang w:eastAsia="es-ES_tradnl"/>
        </w:rPr>
        <w:lastRenderedPageBreak/>
        <w:t>la administración de los recursos human</w:t>
      </w:r>
      <w:r w:rsidR="00946F1A" w:rsidRPr="006B0A9B">
        <w:rPr>
          <w:rFonts w:ascii="Palatino Linotype" w:eastAsia="Calibri" w:hAnsi="Palatino Linotype" w:cs="Tahoma"/>
          <w:iCs/>
          <w:sz w:val="22"/>
          <w:szCs w:val="22"/>
          <w:lang w:eastAsia="es-ES_tradnl"/>
        </w:rPr>
        <w:t>os y materiales de la Comisión, como se establece en su Reglamento Interior como se muestra a continuación:</w:t>
      </w:r>
    </w:p>
    <w:p w14:paraId="28F61E4C"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04F504CF" w14:textId="77777777" w:rsidR="00A831AC" w:rsidRPr="006B0A9B" w:rsidRDefault="00A831AC" w:rsidP="00A831AC">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Artículo 13.</w:t>
      </w:r>
      <w:r w:rsidRPr="006B0A9B">
        <w:rPr>
          <w:rFonts w:ascii="Palatino Linotype" w:eastAsia="Calibri" w:hAnsi="Palatino Linotype" w:cs="Tahoma"/>
          <w:i/>
          <w:iCs/>
          <w:lang w:eastAsia="es-ES_tradnl"/>
        </w:rPr>
        <w:t xml:space="preserve"> Para el estudio, planeación y despacho de los asuntos de su competencia, así como para atender las acciones de control y evaluación que le corresponden, el Vocal Ejecutivo se auxiliará de las unidades administrativas básicas siguientes:</w:t>
      </w:r>
    </w:p>
    <w:p w14:paraId="38C71BE3" w14:textId="1DE76433" w:rsidR="00A831AC" w:rsidRPr="006B0A9B" w:rsidRDefault="00C86059" w:rsidP="00C86059">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I </w:t>
      </w:r>
      <w:r w:rsidR="007E13D5" w:rsidRPr="006B0A9B">
        <w:rPr>
          <w:rFonts w:ascii="Palatino Linotype" w:eastAsia="Calibri" w:hAnsi="Palatino Linotype" w:cs="Tahoma"/>
          <w:i/>
          <w:iCs/>
          <w:lang w:eastAsia="es-ES_tradnl"/>
        </w:rPr>
        <w:t>a VI. …</w:t>
      </w:r>
      <w:r w:rsidR="00A831AC" w:rsidRPr="006B0A9B">
        <w:rPr>
          <w:rFonts w:ascii="Palatino Linotype" w:eastAsia="Calibri" w:hAnsi="Palatino Linotype" w:cs="Tahoma"/>
          <w:i/>
          <w:iCs/>
          <w:lang w:eastAsia="es-ES_tradnl"/>
        </w:rPr>
        <w:t>Dirección General del Programa Hidráulico;</w:t>
      </w:r>
    </w:p>
    <w:p w14:paraId="35AEF470" w14:textId="616C11F6" w:rsidR="00A831AC" w:rsidRPr="006B0A9B" w:rsidRDefault="00C86059" w:rsidP="00C86059">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VII </w:t>
      </w:r>
      <w:r w:rsidR="00A831AC" w:rsidRPr="006B0A9B">
        <w:rPr>
          <w:rFonts w:ascii="Palatino Linotype" w:eastAsia="Calibri" w:hAnsi="Palatino Linotype" w:cs="Tahoma"/>
          <w:i/>
          <w:iCs/>
          <w:lang w:eastAsia="es-ES_tradnl"/>
        </w:rPr>
        <w:t>Dirección General de Administración y Finanzas.</w:t>
      </w:r>
    </w:p>
    <w:p w14:paraId="60FB7A9D" w14:textId="50FAFA81" w:rsidR="00946F1A" w:rsidRPr="006B0A9B" w:rsidRDefault="00946F1A" w:rsidP="00946F1A">
      <w:pPr>
        <w:spacing w:line="360" w:lineRule="auto"/>
        <w:ind w:left="698"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13E43D63" w14:textId="77777777" w:rsidR="00A831AC" w:rsidRPr="006B0A9B" w:rsidRDefault="00A831AC" w:rsidP="00A831AC">
      <w:pPr>
        <w:spacing w:line="360" w:lineRule="auto"/>
        <w:ind w:right="539"/>
        <w:jc w:val="both"/>
        <w:rPr>
          <w:rFonts w:ascii="Palatino Linotype" w:eastAsia="Calibri" w:hAnsi="Palatino Linotype" w:cs="Tahoma"/>
          <w:i/>
          <w:iCs/>
          <w:lang w:eastAsia="es-ES_tradnl"/>
        </w:rPr>
      </w:pPr>
    </w:p>
    <w:p w14:paraId="48175134" w14:textId="77777777" w:rsidR="00946F1A" w:rsidRPr="006B0A9B" w:rsidRDefault="00A831AC" w:rsidP="00946F1A">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Artículo 22.</w:t>
      </w:r>
      <w:r w:rsidRPr="006B0A9B">
        <w:rPr>
          <w:rFonts w:ascii="Palatino Linotype" w:eastAsia="Calibri" w:hAnsi="Palatino Linotype" w:cs="Tahoma"/>
          <w:i/>
          <w:iCs/>
          <w:lang w:eastAsia="es-ES_tradnl"/>
        </w:rPr>
        <w:t xml:space="preserve"> Corresponden a la Dirección General de Administración y Finanzas las atribuciones siguientes:</w:t>
      </w:r>
    </w:p>
    <w:p w14:paraId="2C77D6DA" w14:textId="319584AA" w:rsidR="00946F1A" w:rsidRPr="006B0A9B" w:rsidRDefault="00946F1A" w:rsidP="00946F1A">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I.</w:t>
      </w:r>
      <w:r w:rsidRPr="006B0A9B">
        <w:rPr>
          <w:rFonts w:ascii="Palatino Linotype" w:eastAsia="Calibri" w:hAnsi="Palatino Linotype" w:cs="Tahoma"/>
          <w:i/>
          <w:iCs/>
          <w:lang w:eastAsia="es-ES_tradnl"/>
        </w:rPr>
        <w:t xml:space="preserve"> </w:t>
      </w:r>
      <w:r w:rsidR="00A831AC" w:rsidRPr="006B0A9B">
        <w:rPr>
          <w:rFonts w:ascii="Palatino Linotype" w:eastAsia="Calibri" w:hAnsi="Palatino Linotype" w:cs="Tahoma"/>
          <w:i/>
          <w:iCs/>
          <w:lang w:eastAsia="es-ES_tradnl"/>
        </w:rPr>
        <w:t>Administrar los recursos humanos, financieros y materiales de la Comisión, de acuerdo con las disposiciones aplicables;</w:t>
      </w:r>
    </w:p>
    <w:p w14:paraId="35CB213B" w14:textId="5C39DEEF" w:rsidR="00946F1A" w:rsidRPr="006B0A9B" w:rsidRDefault="00946F1A" w:rsidP="00946F1A">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II a XVII…</w:t>
      </w:r>
    </w:p>
    <w:p w14:paraId="332A5742" w14:textId="77777777" w:rsidR="00946F1A" w:rsidRPr="006B0A9B" w:rsidRDefault="00946F1A" w:rsidP="00946F1A">
      <w:pPr>
        <w:spacing w:line="360" w:lineRule="auto"/>
        <w:ind w:left="567" w:right="539"/>
        <w:jc w:val="both"/>
        <w:rPr>
          <w:rFonts w:ascii="Palatino Linotype" w:eastAsia="Calibri" w:hAnsi="Palatino Linotype" w:cs="Tahoma"/>
          <w:i/>
          <w:iCs/>
          <w:lang w:eastAsia="es-ES_tradnl"/>
        </w:rPr>
      </w:pPr>
    </w:p>
    <w:p w14:paraId="3CFF0C23" w14:textId="54DBEFE2"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Área que en respuesta manifest</w:t>
      </w:r>
      <w:r w:rsidR="007E13D5" w:rsidRPr="006B0A9B">
        <w:rPr>
          <w:rFonts w:ascii="Palatino Linotype" w:eastAsia="Calibri" w:hAnsi="Palatino Linotype" w:cs="Tahoma"/>
          <w:iCs/>
          <w:sz w:val="22"/>
          <w:szCs w:val="22"/>
          <w:lang w:eastAsia="es-ES_tradnl"/>
        </w:rPr>
        <w:t>ó</w:t>
      </w:r>
      <w:r w:rsidRPr="006B0A9B">
        <w:rPr>
          <w:rFonts w:ascii="Palatino Linotype" w:eastAsia="Calibri" w:hAnsi="Palatino Linotype" w:cs="Tahoma"/>
          <w:iCs/>
          <w:sz w:val="22"/>
          <w:szCs w:val="22"/>
          <w:lang w:eastAsia="es-ES_tradnl"/>
        </w:rPr>
        <w:t xml:space="preserve"> que la información relativa a las plazas vacantes y ocupadas es información que se encuentra en la Plataforma de Información Pública de Oficio Mexiquense (IPOMEX), cuestión que es cierta, ya que la fracción X</w:t>
      </w:r>
      <w:r w:rsidR="007E13D5" w:rsidRPr="006B0A9B">
        <w:rPr>
          <w:rFonts w:ascii="Palatino Linotype" w:eastAsia="Calibri" w:hAnsi="Palatino Linotype" w:cs="Tahoma"/>
          <w:iCs/>
          <w:sz w:val="22"/>
          <w:szCs w:val="22"/>
          <w:lang w:eastAsia="es-ES_tradnl"/>
        </w:rPr>
        <w:t>,</w:t>
      </w:r>
      <w:r w:rsidRPr="006B0A9B">
        <w:rPr>
          <w:rFonts w:ascii="Palatino Linotype" w:eastAsia="Calibri" w:hAnsi="Palatino Linotype" w:cs="Tahoma"/>
          <w:iCs/>
          <w:sz w:val="22"/>
          <w:szCs w:val="22"/>
          <w:lang w:eastAsia="es-ES_tradnl"/>
        </w:rPr>
        <w:t xml:space="preserve"> del artículo 92 de la Ley de Transparencia y Acceso a la Información Pública del Estado de México y Municipios, así lo determina.</w:t>
      </w:r>
    </w:p>
    <w:p w14:paraId="1F81601A"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41508090" w14:textId="77777777" w:rsidR="00A831AC" w:rsidRPr="006B0A9B" w:rsidRDefault="00A831AC" w:rsidP="00A831AC">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Capítulo II</w:t>
      </w:r>
    </w:p>
    <w:p w14:paraId="4860FA37" w14:textId="77777777" w:rsidR="00A831AC" w:rsidRPr="006B0A9B" w:rsidRDefault="00A831AC" w:rsidP="00A831AC">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De las Obligaciones de Transparencia Comunes</w:t>
      </w:r>
    </w:p>
    <w:p w14:paraId="4B6BEB05" w14:textId="77777777" w:rsidR="00A831AC" w:rsidRPr="006B0A9B" w:rsidRDefault="00A831AC" w:rsidP="00A831AC">
      <w:pPr>
        <w:spacing w:line="360" w:lineRule="auto"/>
        <w:ind w:left="567" w:right="539"/>
        <w:jc w:val="both"/>
        <w:rPr>
          <w:rFonts w:ascii="Palatino Linotype" w:eastAsia="Calibri" w:hAnsi="Palatino Linotype" w:cs="Tahoma"/>
          <w:b/>
          <w:bCs/>
          <w:i/>
          <w:iCs/>
          <w:lang w:eastAsia="es-ES_tradnl"/>
        </w:rPr>
      </w:pPr>
    </w:p>
    <w:p w14:paraId="0623ECE5" w14:textId="77777777" w:rsidR="00A831AC" w:rsidRPr="006B0A9B" w:rsidRDefault="00A831AC" w:rsidP="00A831AC">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Artículo 92.</w:t>
      </w:r>
      <w:r w:rsidRPr="006B0A9B">
        <w:rPr>
          <w:rFonts w:ascii="Palatino Linotype" w:eastAsia="Calibri" w:hAnsi="Palatino Linotype" w:cs="Tahoma"/>
          <w:i/>
          <w:iCs/>
          <w:lang w:eastAsia="es-ES_tradnl"/>
        </w:rPr>
        <w:t xml:space="preserve"> Los sujetos obligados deberán poner a disposición del público de manera permanente y actualizada de forma sencilla, precisa y entendible, en los respectivos medios electrónicos, de acuerdo </w:t>
      </w:r>
      <w:r w:rsidRPr="006B0A9B">
        <w:rPr>
          <w:rFonts w:ascii="Palatino Linotype" w:eastAsia="Calibri" w:hAnsi="Palatino Linotype" w:cs="Tahoma"/>
          <w:i/>
          <w:iCs/>
          <w:lang w:eastAsia="es-ES_tradnl"/>
        </w:rPr>
        <w:lastRenderedPageBreak/>
        <w:t>con sus facultades, atribuciones, funciones u objeto social, según corresponda, la información, por lo menos, de los temas, documentos y políticas que a continuación se señalan:</w:t>
      </w:r>
    </w:p>
    <w:p w14:paraId="2B43CB02" w14:textId="798E2A64" w:rsidR="00A831AC" w:rsidRPr="006B0A9B" w:rsidRDefault="00A831AC" w:rsidP="00A831AC">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I a IX…</w:t>
      </w:r>
    </w:p>
    <w:p w14:paraId="62CFDFF2" w14:textId="7A62500C" w:rsidR="00A831AC" w:rsidRPr="006B0A9B" w:rsidRDefault="00A831AC" w:rsidP="00A831AC">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X.</w:t>
      </w:r>
      <w:r w:rsidRPr="006B0A9B">
        <w:rPr>
          <w:rFonts w:ascii="Palatino Linotype" w:eastAsia="Calibri" w:hAnsi="Palatino Linotype" w:cs="Tahoma"/>
          <w:i/>
          <w:iCs/>
          <w:lang w:eastAsia="es-ES_tradnl"/>
        </w:rPr>
        <w:t xml:space="preserve"> El número total de las plazas y del personal de base y de confianza, especificando el total de las vacantes, por nivel de puesto, para cada unidad administrativa;</w:t>
      </w:r>
    </w:p>
    <w:p w14:paraId="5BCF270C" w14:textId="5DFD2B46" w:rsidR="00A831AC" w:rsidRPr="006B0A9B" w:rsidRDefault="00A831AC" w:rsidP="00A831AC">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XI.</w:t>
      </w:r>
      <w:r w:rsidRPr="006B0A9B">
        <w:rPr>
          <w:rFonts w:ascii="Palatino Linotype" w:eastAsia="Calibri" w:hAnsi="Palatino Linotype" w:cs="Tahoma"/>
          <w:i/>
          <w:iCs/>
          <w:lang w:eastAsia="es-ES_tradnl"/>
        </w:rPr>
        <w:t xml:space="preserve"> Las contrataciones de servicios profesionales por honorarios, señalando los nombres de los prestadores de servicios, los servicios contratados, el monto de los honorarios y el periodo de contratación;</w:t>
      </w:r>
    </w:p>
    <w:p w14:paraId="5471FA77" w14:textId="7303A948" w:rsidR="00A831AC" w:rsidRPr="006B0A9B" w:rsidRDefault="00A831AC" w:rsidP="00A831AC">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XII a LII…</w:t>
      </w:r>
    </w:p>
    <w:p w14:paraId="3519D2EC"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3ABD803A" w14:textId="4D056680"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Respecto a los contratos laborales, también es una obligación de transparencia común de los Sujeto Obligados poner a disposición de las personas la información relativa a las condiciones generales de Trabajo dentro de su organismo, como se observa en la fracción XX del artículo arriba citado:</w:t>
      </w:r>
    </w:p>
    <w:p w14:paraId="12ECF868"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28025E43" w14:textId="77777777" w:rsidR="00A831AC" w:rsidRPr="006B0A9B" w:rsidRDefault="00A831AC" w:rsidP="00A831AC">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XX.</w:t>
      </w:r>
      <w:r w:rsidRPr="006B0A9B">
        <w:rPr>
          <w:rFonts w:ascii="Palatino Linotype" w:eastAsia="Calibri" w:hAnsi="Palatino Linotype" w:cs="Tahoma"/>
          <w:i/>
          <w:iCs/>
          <w:lang w:eastAsia="es-ES_tradnl"/>
        </w:rPr>
        <w:t xml:space="preserve">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7DE6F7D1"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20BE1812" w14:textId="3E0D1359"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Adentrándonos en respuesta, proporciona la liga electrónica en la cual manifiesta se localiza la información respecto al total de plazas vacantes y ocupadas</w:t>
      </w:r>
      <w:r w:rsidR="007E13D5" w:rsidRPr="006B0A9B">
        <w:rPr>
          <w:rFonts w:ascii="Palatino Linotype" w:eastAsia="Calibri" w:hAnsi="Palatino Linotype" w:cs="Tahoma"/>
          <w:iCs/>
          <w:sz w:val="22"/>
          <w:szCs w:val="22"/>
          <w:lang w:eastAsia="es-ES_tradnl"/>
        </w:rPr>
        <w:t>;</w:t>
      </w:r>
      <w:r w:rsidRPr="006B0A9B">
        <w:rPr>
          <w:rFonts w:ascii="Palatino Linotype" w:eastAsia="Calibri" w:hAnsi="Palatino Linotype" w:cs="Tahoma"/>
          <w:iCs/>
          <w:sz w:val="22"/>
          <w:szCs w:val="22"/>
          <w:lang w:eastAsia="es-ES_tradnl"/>
        </w:rPr>
        <w:t xml:space="preserve"> sin embargo, lo realiza a través de liga electrónica cerrada, esto implica que el Recurrente, para acceder a la información tenga que capturar cada carácter que integra la liga, lo que conlleva a que, con algún error, no acceda a la información.</w:t>
      </w:r>
    </w:p>
    <w:p w14:paraId="37AE29DB"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2F887CB1"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Visto lo anterior, es necesario precisar que, para tener acceso a las ligas proporcionadas por parte del </w:t>
      </w:r>
      <w:r w:rsidRPr="006B0A9B">
        <w:rPr>
          <w:rFonts w:ascii="Palatino Linotype" w:eastAsia="Calibri" w:hAnsi="Palatino Linotype" w:cs="Tahoma"/>
          <w:b/>
          <w:iCs/>
          <w:sz w:val="22"/>
          <w:szCs w:val="22"/>
          <w:lang w:eastAsia="es-ES_tradnl"/>
        </w:rPr>
        <w:t>Sujeto Obligado</w:t>
      </w:r>
      <w:r w:rsidRPr="006B0A9B">
        <w:rPr>
          <w:rFonts w:ascii="Palatino Linotype" w:eastAsia="Calibri" w:hAnsi="Palatino Linotype" w:cs="Tahoma"/>
          <w:iCs/>
          <w:sz w:val="22"/>
          <w:szCs w:val="22"/>
          <w:lang w:eastAsia="es-ES_tradnl"/>
        </w:rPr>
        <w:t xml:space="preserve">, es necesario capturar la dirección electrónica carácter por carácter, </w:t>
      </w:r>
      <w:r w:rsidRPr="006B0A9B">
        <w:rPr>
          <w:rFonts w:ascii="Palatino Linotype" w:eastAsia="Calibri" w:hAnsi="Palatino Linotype" w:cs="Tahoma"/>
          <w:iCs/>
          <w:sz w:val="22"/>
          <w:szCs w:val="22"/>
          <w:lang w:eastAsia="es-ES_tradnl"/>
        </w:rPr>
        <w:lastRenderedPageBreak/>
        <w:t xml:space="preserve">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22246CBE"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6A6C71B7" w14:textId="77777777"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5D535843" w14:textId="77777777"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p>
    <w:p w14:paraId="616DF9EC" w14:textId="0D120BB0" w:rsidR="00A831AC" w:rsidRPr="006B0A9B" w:rsidRDefault="00A831AC" w:rsidP="00A831AC">
      <w:pPr>
        <w:spacing w:line="360" w:lineRule="auto"/>
        <w:ind w:right="-93"/>
        <w:jc w:val="both"/>
        <w:rPr>
          <w:rFonts w:ascii="Palatino Linotype" w:eastAsia="Calibri" w:hAnsi="Palatino Linotype" w:cs="Tahoma"/>
          <w:b/>
          <w:bCs/>
          <w:i/>
          <w:iCs/>
          <w:sz w:val="22"/>
          <w:szCs w:val="22"/>
          <w:lang w:val="es-ES" w:eastAsia="es-ES_tradnl"/>
        </w:rPr>
      </w:pPr>
      <w:r w:rsidRPr="006B0A9B">
        <w:rPr>
          <w:rFonts w:ascii="Palatino Linotype" w:eastAsia="Calibri" w:hAnsi="Palatino Linotype" w:cs="Tahoma"/>
          <w:bCs/>
          <w:iCs/>
          <w:sz w:val="22"/>
          <w:szCs w:val="22"/>
          <w:lang w:val="es-ES" w:eastAsia="es-ES_tradnl"/>
        </w:rPr>
        <w:t>Derivado de lo anterior, se considera necesario precisar que datos abiertos, conforme a la Carta Internacional de Datos Abiertos (</w:t>
      </w:r>
      <w:hyperlink r:id="rId8" w:history="1">
        <w:r w:rsidRPr="006B0A9B">
          <w:rPr>
            <w:rStyle w:val="Hipervnculo"/>
            <w:rFonts w:ascii="Palatino Linotype" w:eastAsia="Calibri" w:hAnsi="Palatino Linotype" w:cs="Tahoma"/>
            <w:bCs/>
            <w:iCs/>
            <w:sz w:val="22"/>
            <w:szCs w:val="22"/>
            <w:lang w:val="es-ES" w:eastAsia="es-ES_tradnl"/>
          </w:rPr>
          <w:t>https://opendatacharter.net/principles-es/</w:t>
        </w:r>
      </w:hyperlink>
      <w:r w:rsidRPr="006B0A9B">
        <w:rPr>
          <w:rFonts w:ascii="Palatino Linotype" w:eastAsia="Calibri" w:hAnsi="Palatino Linotype" w:cs="Tahoma"/>
          <w:bCs/>
          <w:iCs/>
          <w:sz w:val="22"/>
          <w:szCs w:val="22"/>
          <w:lang w:val="es-ES" w:eastAsia="es-ES_tradnl"/>
        </w:rPr>
        <w:t xml:space="preserve">) </w:t>
      </w:r>
      <w:r w:rsidRPr="006B0A9B">
        <w:rPr>
          <w:rFonts w:ascii="Palatino Linotype" w:eastAsia="Calibri" w:hAnsi="Palatino Linotype" w:cs="Tahoma"/>
          <w:bCs/>
          <w:i/>
          <w:iCs/>
          <w:sz w:val="22"/>
          <w:szCs w:val="22"/>
          <w:lang w:val="es-ES" w:eastAsia="es-ES_tradnl"/>
        </w:rPr>
        <w:t xml:space="preserve">son datos digitales que son puestos a disposición con las características técnicas y jurídicas necesarias para que </w:t>
      </w:r>
      <w:r w:rsidRPr="006B0A9B">
        <w:rPr>
          <w:rFonts w:ascii="Palatino Linotype" w:eastAsia="Calibri" w:hAnsi="Palatino Linotype" w:cs="Tahoma"/>
          <w:b/>
          <w:bCs/>
          <w:i/>
          <w:iCs/>
          <w:sz w:val="22"/>
          <w:szCs w:val="22"/>
          <w:lang w:val="es-ES" w:eastAsia="es-ES_tradnl"/>
        </w:rPr>
        <w:t xml:space="preserve">puedan ser </w:t>
      </w:r>
      <w:r w:rsidRPr="006B0A9B">
        <w:rPr>
          <w:rFonts w:ascii="Palatino Linotype" w:eastAsia="Calibri" w:hAnsi="Palatino Linotype" w:cs="Tahoma"/>
          <w:b/>
          <w:bCs/>
          <w:i/>
          <w:iCs/>
          <w:sz w:val="22"/>
          <w:szCs w:val="22"/>
          <w:u w:val="single"/>
          <w:lang w:val="es-ES" w:eastAsia="es-ES_tradnl"/>
        </w:rPr>
        <w:t>usados, reutilizados y redistribuidos</w:t>
      </w:r>
      <w:r w:rsidRPr="006B0A9B">
        <w:rPr>
          <w:rFonts w:ascii="Palatino Linotype" w:eastAsia="Calibri" w:hAnsi="Palatino Linotype" w:cs="Tahoma"/>
          <w:b/>
          <w:bCs/>
          <w:i/>
          <w:iCs/>
          <w:sz w:val="22"/>
          <w:szCs w:val="22"/>
          <w:lang w:val="es-ES" w:eastAsia="es-ES_tradnl"/>
        </w:rPr>
        <w:t xml:space="preserve"> libremente por cualquier persona, en cualquier momento y en cualquier lugar.</w:t>
      </w:r>
    </w:p>
    <w:p w14:paraId="5319CF0A" w14:textId="77777777" w:rsidR="00A831AC" w:rsidRPr="006B0A9B" w:rsidRDefault="00A831AC" w:rsidP="00A831AC">
      <w:pPr>
        <w:spacing w:line="360" w:lineRule="auto"/>
        <w:ind w:right="-93"/>
        <w:jc w:val="both"/>
        <w:rPr>
          <w:rFonts w:ascii="Palatino Linotype" w:eastAsia="Calibri" w:hAnsi="Palatino Linotype" w:cs="Tahoma"/>
          <w:b/>
          <w:bCs/>
          <w:i/>
          <w:iCs/>
          <w:sz w:val="22"/>
          <w:szCs w:val="22"/>
          <w:lang w:val="es-ES" w:eastAsia="es-ES_tradnl"/>
        </w:rPr>
      </w:pPr>
    </w:p>
    <w:p w14:paraId="20289996" w14:textId="77777777"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098D8FF" w14:textId="77777777"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p>
    <w:p w14:paraId="61700608" w14:textId="3D580828" w:rsidR="00D4606D" w:rsidRPr="006B0A9B" w:rsidRDefault="00D4606D" w:rsidP="00D4606D">
      <w:pPr>
        <w:spacing w:line="360" w:lineRule="auto"/>
        <w:ind w:left="567" w:right="-93"/>
        <w:jc w:val="both"/>
        <w:rPr>
          <w:rFonts w:ascii="Palatino Linotype" w:eastAsia="Calibri" w:hAnsi="Palatino Linotype" w:cs="Tahoma"/>
          <w:b/>
          <w:bCs/>
          <w:i/>
          <w:iCs/>
          <w:szCs w:val="22"/>
          <w:lang w:val="es-ES" w:eastAsia="es-ES_tradnl"/>
        </w:rPr>
      </w:pPr>
      <w:r w:rsidRPr="006B0A9B">
        <w:rPr>
          <w:rFonts w:ascii="Palatino Linotype" w:eastAsia="Calibri" w:hAnsi="Palatino Linotype" w:cs="Tahoma"/>
          <w:b/>
          <w:bCs/>
          <w:i/>
          <w:iCs/>
          <w:szCs w:val="22"/>
          <w:lang w:val="es-ES" w:eastAsia="es-ES_tradnl"/>
        </w:rPr>
        <w:t>I a VIII…</w:t>
      </w:r>
    </w:p>
    <w:p w14:paraId="5D126DCB" w14:textId="77777777" w:rsidR="00D4606D" w:rsidRPr="006B0A9B" w:rsidRDefault="00D4606D" w:rsidP="00D4606D">
      <w:pPr>
        <w:spacing w:line="360" w:lineRule="auto"/>
        <w:ind w:left="567" w:right="-93"/>
        <w:jc w:val="both"/>
        <w:rPr>
          <w:rFonts w:ascii="Palatino Linotype" w:eastAsia="Calibri" w:hAnsi="Palatino Linotype" w:cs="Tahoma"/>
          <w:i/>
          <w:iCs/>
          <w:szCs w:val="22"/>
          <w:lang w:val="es-ES" w:eastAsia="es-ES_tradnl"/>
        </w:rPr>
      </w:pPr>
      <w:r w:rsidRPr="006B0A9B">
        <w:rPr>
          <w:rFonts w:ascii="Palatino Linotype" w:eastAsia="Calibri" w:hAnsi="Palatino Linotype" w:cs="Tahoma"/>
          <w:b/>
          <w:bCs/>
          <w:i/>
          <w:iCs/>
          <w:szCs w:val="22"/>
          <w:lang w:val="es-ES" w:eastAsia="es-ES_tradnl"/>
        </w:rPr>
        <w:t xml:space="preserve">VIII. </w:t>
      </w:r>
      <w:r w:rsidR="00A831AC" w:rsidRPr="006B0A9B">
        <w:rPr>
          <w:rFonts w:ascii="Palatino Linotype" w:eastAsia="Calibri" w:hAnsi="Palatino Linotype" w:cs="Tahoma"/>
          <w:b/>
          <w:bCs/>
          <w:i/>
          <w:iCs/>
          <w:szCs w:val="22"/>
          <w:lang w:val="es-ES" w:eastAsia="es-ES_tradnl"/>
        </w:rPr>
        <w:t xml:space="preserve">Dato abierto: </w:t>
      </w:r>
      <w:r w:rsidR="00A831AC" w:rsidRPr="006B0A9B">
        <w:rPr>
          <w:rFonts w:ascii="Palatino Linotype" w:eastAsia="Calibri" w:hAnsi="Palatino Linotype" w:cs="Tahoma"/>
          <w:i/>
          <w:iCs/>
          <w:szCs w:val="22"/>
          <w:lang w:val="es-ES" w:eastAsia="es-ES_tradnl"/>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20D5B84" w14:textId="32FE37EB" w:rsidR="00D4606D" w:rsidRPr="006B0A9B" w:rsidRDefault="00D4606D" w:rsidP="00D4606D">
      <w:pPr>
        <w:spacing w:line="360" w:lineRule="auto"/>
        <w:ind w:left="567" w:right="-93"/>
        <w:jc w:val="both"/>
        <w:rPr>
          <w:rFonts w:ascii="Palatino Linotype" w:eastAsia="Calibri" w:hAnsi="Palatino Linotype" w:cs="Tahoma"/>
          <w:b/>
          <w:bCs/>
          <w:i/>
          <w:iCs/>
          <w:szCs w:val="22"/>
          <w:lang w:val="es-ES" w:eastAsia="es-ES_tradnl"/>
        </w:rPr>
      </w:pPr>
      <w:r w:rsidRPr="006B0A9B">
        <w:rPr>
          <w:rFonts w:ascii="Palatino Linotype" w:eastAsia="Calibri" w:hAnsi="Palatino Linotype" w:cs="Tahoma"/>
          <w:b/>
          <w:bCs/>
          <w:i/>
          <w:iCs/>
          <w:szCs w:val="22"/>
          <w:lang w:val="es-ES" w:eastAsia="es-ES_tradnl"/>
        </w:rPr>
        <w:t>IX a XV…</w:t>
      </w:r>
    </w:p>
    <w:p w14:paraId="5D86E60E" w14:textId="1076153A" w:rsidR="00A831AC" w:rsidRPr="006B0A9B" w:rsidRDefault="00D4606D" w:rsidP="00D4606D">
      <w:pPr>
        <w:spacing w:line="360" w:lineRule="auto"/>
        <w:ind w:left="567" w:right="-93"/>
        <w:jc w:val="both"/>
        <w:rPr>
          <w:rFonts w:ascii="Palatino Linotype" w:eastAsia="Calibri" w:hAnsi="Palatino Linotype" w:cs="Tahoma"/>
          <w:i/>
          <w:iCs/>
          <w:szCs w:val="22"/>
          <w:lang w:val="es-ES" w:eastAsia="es-ES_tradnl"/>
        </w:rPr>
      </w:pPr>
      <w:r w:rsidRPr="006B0A9B">
        <w:rPr>
          <w:rFonts w:ascii="Palatino Linotype" w:eastAsia="Calibri" w:hAnsi="Palatino Linotype" w:cs="Tahoma"/>
          <w:b/>
          <w:bCs/>
          <w:i/>
          <w:iCs/>
          <w:szCs w:val="22"/>
          <w:lang w:val="es-ES" w:eastAsia="es-ES_tradnl"/>
        </w:rPr>
        <w:lastRenderedPageBreak/>
        <w:t xml:space="preserve">XVI. </w:t>
      </w:r>
      <w:r w:rsidR="00A831AC" w:rsidRPr="006B0A9B">
        <w:rPr>
          <w:rFonts w:ascii="Palatino Linotype" w:eastAsia="Calibri" w:hAnsi="Palatino Linotype" w:cs="Tahoma"/>
          <w:b/>
          <w:bCs/>
          <w:i/>
          <w:iCs/>
          <w:szCs w:val="22"/>
          <w:lang w:val="es-ES" w:eastAsia="es-ES_tradnl"/>
        </w:rPr>
        <w:t xml:space="preserve">Formato accesible: </w:t>
      </w:r>
      <w:r w:rsidR="00A831AC" w:rsidRPr="006B0A9B">
        <w:rPr>
          <w:rFonts w:ascii="Palatino Linotype" w:eastAsia="Calibri" w:hAnsi="Palatino Linotype" w:cs="Tahoma"/>
          <w:i/>
          <w:iCs/>
          <w:szCs w:val="22"/>
          <w:lang w:val="es-ES" w:eastAsia="es-ES_tradnl"/>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D190519" w14:textId="6EF07130" w:rsidR="00D4606D" w:rsidRPr="006B0A9B" w:rsidRDefault="00D4606D" w:rsidP="00D4606D">
      <w:pPr>
        <w:spacing w:line="360" w:lineRule="auto"/>
        <w:ind w:left="567" w:right="-93"/>
        <w:jc w:val="both"/>
        <w:rPr>
          <w:rFonts w:ascii="Palatino Linotype" w:eastAsia="Calibri" w:hAnsi="Palatino Linotype" w:cs="Tahoma"/>
          <w:i/>
          <w:iCs/>
          <w:szCs w:val="22"/>
          <w:lang w:val="es-ES" w:eastAsia="es-ES_tradnl"/>
        </w:rPr>
      </w:pPr>
      <w:r w:rsidRPr="006B0A9B">
        <w:rPr>
          <w:rFonts w:ascii="Palatino Linotype" w:eastAsia="Calibri" w:hAnsi="Palatino Linotype" w:cs="Tahoma"/>
          <w:b/>
          <w:bCs/>
          <w:i/>
          <w:iCs/>
          <w:szCs w:val="22"/>
          <w:lang w:val="es-ES" w:eastAsia="es-ES_tradnl"/>
        </w:rPr>
        <w:t>XVII a XLV…</w:t>
      </w:r>
    </w:p>
    <w:p w14:paraId="1B3499A7" w14:textId="77777777" w:rsidR="00A831AC" w:rsidRPr="006B0A9B" w:rsidRDefault="00A831AC" w:rsidP="00A831AC">
      <w:pPr>
        <w:spacing w:line="360" w:lineRule="auto"/>
        <w:ind w:right="-93"/>
        <w:jc w:val="both"/>
        <w:rPr>
          <w:rFonts w:ascii="Palatino Linotype" w:eastAsia="Calibri" w:hAnsi="Palatino Linotype" w:cs="Tahoma"/>
          <w:i/>
          <w:iCs/>
          <w:sz w:val="22"/>
          <w:szCs w:val="22"/>
          <w:lang w:val="es-ES" w:eastAsia="es-ES_tradnl"/>
        </w:rPr>
      </w:pPr>
    </w:p>
    <w:p w14:paraId="4BF76B17" w14:textId="3C11B5D9" w:rsidR="00A831AC" w:rsidRPr="006B0A9B" w:rsidRDefault="00A831AC" w:rsidP="00A831AC">
      <w:pPr>
        <w:spacing w:line="360" w:lineRule="auto"/>
        <w:ind w:right="-93"/>
        <w:jc w:val="both"/>
        <w:rPr>
          <w:rFonts w:ascii="Palatino Linotype" w:eastAsia="Calibri" w:hAnsi="Palatino Linotype" w:cs="Tahoma"/>
          <w:bCs/>
          <w:iCs/>
          <w:sz w:val="22"/>
          <w:szCs w:val="22"/>
          <w:lang w:val="es-ES" w:eastAsia="es-ES_tradnl"/>
        </w:rPr>
      </w:pPr>
      <w:r w:rsidRPr="006B0A9B">
        <w:rPr>
          <w:rFonts w:ascii="Palatino Linotype" w:eastAsia="Calibri" w:hAnsi="Palatino Linotype" w:cs="Tahoma"/>
          <w:bCs/>
          <w:iCs/>
          <w:sz w:val="22"/>
          <w:szCs w:val="22"/>
          <w:lang w:val="es-ES" w:eastAsia="es-ES_tradnl"/>
        </w:rPr>
        <w:t>En este sentido, los datos abiertos cumplen con la finalidad de poder ser utilizados, reutilizados</w:t>
      </w:r>
      <w:r w:rsidRPr="006B0A9B">
        <w:rPr>
          <w:rFonts w:ascii="Palatino Linotype" w:eastAsia="Calibri" w:hAnsi="Palatino Linotype" w:cs="Tahoma"/>
          <w:b/>
          <w:bCs/>
          <w:iCs/>
          <w:sz w:val="22"/>
          <w:szCs w:val="22"/>
          <w:u w:val="single"/>
          <w:lang w:val="es-ES" w:eastAsia="es-ES_tradnl"/>
        </w:rPr>
        <w:t xml:space="preserve"> </w:t>
      </w:r>
      <w:r w:rsidRPr="006B0A9B">
        <w:rPr>
          <w:rFonts w:ascii="Palatino Linotype" w:eastAsia="Calibri" w:hAnsi="Palatino Linotype" w:cs="Tahoma"/>
          <w:bCs/>
          <w:iCs/>
          <w:sz w:val="22"/>
          <w:szCs w:val="22"/>
          <w:lang w:val="es-ES" w:eastAsia="es-ES_tradnl"/>
        </w:rPr>
        <w:t>y redistribuidos</w:t>
      </w:r>
      <w:r w:rsidR="00A5236D" w:rsidRPr="006B0A9B">
        <w:rPr>
          <w:rFonts w:ascii="Palatino Linotype" w:eastAsia="Calibri" w:hAnsi="Palatino Linotype" w:cs="Tahoma"/>
          <w:bCs/>
          <w:iCs/>
          <w:sz w:val="22"/>
          <w:szCs w:val="22"/>
          <w:lang w:val="es-ES" w:eastAsia="es-ES_tradnl"/>
        </w:rPr>
        <w:t>, además de</w:t>
      </w:r>
      <w:r w:rsidRPr="006B0A9B">
        <w:rPr>
          <w:rFonts w:ascii="Palatino Linotype" w:eastAsia="Calibri" w:hAnsi="Palatino Linotype" w:cs="Tahoma"/>
          <w:bCs/>
          <w:iCs/>
          <w:sz w:val="22"/>
          <w:szCs w:val="22"/>
          <w:lang w:val="es-ES" w:eastAsia="es-ES_tradnl"/>
        </w:rPr>
        <w:t xml:space="preserve"> que el formato de datos abiertos, debe permitir la aplicación y reproducción de la información sin estar condicionados a contraprestaciones; lo anterior no debe traducirse en la posibilidad de alteración, edición o modificación del original; entonces, podemos advertir que el documento entregado en formato </w:t>
      </w:r>
      <w:r w:rsidRPr="006B0A9B">
        <w:rPr>
          <w:rFonts w:ascii="Palatino Linotype" w:eastAsia="Calibri" w:hAnsi="Palatino Linotype" w:cs="Tahoma"/>
          <w:bCs/>
          <w:i/>
          <w:sz w:val="22"/>
          <w:szCs w:val="22"/>
          <w:lang w:val="es-ES" w:eastAsia="es-ES_tradnl"/>
        </w:rPr>
        <w:t>pdf</w:t>
      </w:r>
      <w:r w:rsidRPr="006B0A9B">
        <w:rPr>
          <w:rFonts w:ascii="Palatino Linotype" w:eastAsia="Calibri" w:hAnsi="Palatino Linotype" w:cs="Tahoma"/>
          <w:bCs/>
          <w:iCs/>
          <w:sz w:val="22"/>
          <w:szCs w:val="22"/>
          <w:lang w:val="es-ES" w:eastAsia="es-ES_tradnl"/>
        </w:rPr>
        <w:t>, no permite seleccionar texto, copiarlo y pegarlo; por tanto, tampoco permite que la información pueda ser utilizada, reutilizada o redistribuida.</w:t>
      </w:r>
    </w:p>
    <w:p w14:paraId="6DD43FDF"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02A34B25" w14:textId="28EFE102"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Por lo que, dicha orientación al </w:t>
      </w:r>
      <w:r w:rsidR="00A5236D" w:rsidRPr="006B0A9B">
        <w:rPr>
          <w:rFonts w:ascii="Palatino Linotype" w:eastAsia="Calibri" w:hAnsi="Palatino Linotype" w:cs="Tahoma"/>
          <w:iCs/>
          <w:sz w:val="22"/>
          <w:szCs w:val="22"/>
          <w:lang w:eastAsia="es-ES_tradnl"/>
        </w:rPr>
        <w:t>P</w:t>
      </w:r>
      <w:r w:rsidRPr="006B0A9B">
        <w:rPr>
          <w:rFonts w:ascii="Palatino Linotype" w:eastAsia="Calibri" w:hAnsi="Palatino Linotype" w:cs="Tahoma"/>
          <w:iCs/>
          <w:sz w:val="22"/>
          <w:szCs w:val="22"/>
          <w:lang w:eastAsia="es-ES_tradnl"/>
        </w:rPr>
        <w:t>articular resulta insuficiente, al no cumplir con los lineamientos que exige el numeral 161, de la ley de la materia, lo anterior en razón de que al ingresar a</w:t>
      </w:r>
      <w:r w:rsidR="007E13D5" w:rsidRPr="006B0A9B">
        <w:rPr>
          <w:rFonts w:ascii="Palatino Linotype" w:eastAsia="Calibri" w:hAnsi="Palatino Linotype" w:cs="Tahoma"/>
          <w:iCs/>
          <w:sz w:val="22"/>
          <w:szCs w:val="22"/>
          <w:lang w:eastAsia="es-ES_tradnl"/>
        </w:rPr>
        <w:t xml:space="preserve"> la liga</w:t>
      </w:r>
      <w:r w:rsidRPr="006B0A9B">
        <w:rPr>
          <w:rFonts w:ascii="Palatino Linotype" w:eastAsia="Calibri" w:hAnsi="Palatino Linotype" w:cs="Tahoma"/>
          <w:iCs/>
          <w:sz w:val="22"/>
          <w:szCs w:val="22"/>
          <w:lang w:eastAsia="es-ES_tradnl"/>
        </w:rPr>
        <w:t xml:space="preserve"> remitid</w:t>
      </w:r>
      <w:r w:rsidR="007E13D5" w:rsidRPr="006B0A9B">
        <w:rPr>
          <w:rFonts w:ascii="Palatino Linotype" w:eastAsia="Calibri" w:hAnsi="Palatino Linotype" w:cs="Tahoma"/>
          <w:iCs/>
          <w:sz w:val="22"/>
          <w:szCs w:val="22"/>
          <w:lang w:eastAsia="es-ES_tradnl"/>
        </w:rPr>
        <w:t>a</w:t>
      </w:r>
      <w:r w:rsidRPr="006B0A9B">
        <w:rPr>
          <w:rFonts w:ascii="Palatino Linotype" w:eastAsia="Calibri" w:hAnsi="Palatino Linotype" w:cs="Tahoma"/>
          <w:iCs/>
          <w:sz w:val="22"/>
          <w:szCs w:val="22"/>
          <w:lang w:eastAsia="es-ES_tradnl"/>
        </w:rPr>
        <w:t xml:space="preserve"> por </w:t>
      </w:r>
      <w:r w:rsidR="00D4606D" w:rsidRPr="006B0A9B">
        <w:rPr>
          <w:rFonts w:ascii="Palatino Linotype" w:eastAsia="Calibri" w:hAnsi="Palatino Linotype" w:cs="Tahoma"/>
          <w:bCs/>
          <w:iCs/>
          <w:sz w:val="22"/>
          <w:szCs w:val="22"/>
          <w:lang w:eastAsia="es-ES_tradnl"/>
        </w:rPr>
        <w:t>e</w:t>
      </w:r>
      <w:r w:rsidRPr="006B0A9B">
        <w:rPr>
          <w:rFonts w:ascii="Palatino Linotype" w:eastAsia="Calibri" w:hAnsi="Palatino Linotype" w:cs="Tahoma"/>
          <w:bCs/>
          <w:iCs/>
          <w:sz w:val="22"/>
          <w:szCs w:val="22"/>
          <w:lang w:eastAsia="es-ES_tradnl"/>
        </w:rPr>
        <w:t>l</w:t>
      </w:r>
      <w:r w:rsidRPr="006B0A9B">
        <w:rPr>
          <w:rFonts w:ascii="Palatino Linotype" w:eastAsia="Calibri" w:hAnsi="Palatino Linotype" w:cs="Tahoma"/>
          <w:b/>
          <w:iCs/>
          <w:sz w:val="22"/>
          <w:szCs w:val="22"/>
          <w:lang w:eastAsia="es-ES_tradnl"/>
        </w:rPr>
        <w:t xml:space="preserve"> </w:t>
      </w:r>
      <w:r w:rsidRPr="006B0A9B">
        <w:rPr>
          <w:rFonts w:ascii="Palatino Linotype" w:eastAsia="Calibri" w:hAnsi="Palatino Linotype" w:cs="Tahoma"/>
          <w:iCs/>
          <w:sz w:val="22"/>
          <w:szCs w:val="22"/>
          <w:lang w:eastAsia="es-ES_tradnl"/>
        </w:rPr>
        <w:t xml:space="preserve">Sujeto Obligado,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00D4606D" w:rsidRPr="006B0A9B">
        <w:rPr>
          <w:rFonts w:ascii="Palatino Linotype" w:eastAsia="Calibri" w:hAnsi="Palatino Linotype" w:cs="Tahoma"/>
          <w:iCs/>
          <w:sz w:val="22"/>
          <w:szCs w:val="22"/>
          <w:lang w:eastAsia="es-ES_tradnl"/>
        </w:rPr>
        <w:t>e</w:t>
      </w:r>
      <w:r w:rsidRPr="006B0A9B">
        <w:rPr>
          <w:rFonts w:ascii="Palatino Linotype" w:eastAsia="Calibri" w:hAnsi="Palatino Linotype" w:cs="Tahoma"/>
          <w:b/>
          <w:iCs/>
          <w:sz w:val="22"/>
          <w:szCs w:val="22"/>
          <w:lang w:eastAsia="es-ES_tradnl"/>
        </w:rPr>
        <w:t xml:space="preserve">l </w:t>
      </w:r>
      <w:r w:rsidRPr="006B0A9B">
        <w:rPr>
          <w:rFonts w:ascii="Palatino Linotype" w:eastAsia="Calibri" w:hAnsi="Palatino Linotype" w:cs="Tahoma"/>
          <w:iCs/>
          <w:sz w:val="22"/>
          <w:szCs w:val="22"/>
          <w:lang w:eastAsia="es-ES_tradnl"/>
        </w:rPr>
        <w:t>Recurrente obtendrá la información; p</w:t>
      </w:r>
      <w:r w:rsidRPr="006B0A9B">
        <w:rPr>
          <w:rFonts w:ascii="Palatino Linotype" w:eastAsia="Calibri" w:hAnsi="Palatino Linotype" w:cs="Tahoma"/>
          <w:iCs/>
          <w:sz w:val="22"/>
          <w:szCs w:val="22"/>
          <w:lang w:val="es-ES" w:eastAsia="es-ES_tradnl"/>
        </w:rPr>
        <w:t>ara efecto de fundar y motivar la precedente aseveración, se parte de la premisa normativa siguiente:</w:t>
      </w:r>
    </w:p>
    <w:p w14:paraId="4D868B1B" w14:textId="77777777"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p>
    <w:p w14:paraId="3D935B49" w14:textId="343448CD"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w:t>
      </w:r>
      <w:r w:rsidR="00D4606D" w:rsidRPr="006B0A9B">
        <w:rPr>
          <w:rFonts w:ascii="Palatino Linotype" w:eastAsia="Calibri" w:hAnsi="Palatino Linotype" w:cs="Tahoma"/>
          <w:iCs/>
          <w:sz w:val="22"/>
          <w:szCs w:val="22"/>
          <w:lang w:val="es-ES" w:eastAsia="es-ES_tradnl"/>
        </w:rPr>
        <w:t xml:space="preserve">nte precisa y concreta, a saber que se deberá </w:t>
      </w:r>
      <w:r w:rsidR="00D4606D" w:rsidRPr="006B0A9B">
        <w:rPr>
          <w:rFonts w:ascii="Palatino Linotype" w:eastAsia="Calibri" w:hAnsi="Palatino Linotype" w:cs="Tahoma"/>
          <w:iCs/>
          <w:sz w:val="22"/>
          <w:szCs w:val="22"/>
          <w:lang w:val="es-ES" w:eastAsia="es-ES_tradnl"/>
        </w:rPr>
        <w:lastRenderedPageBreak/>
        <w:t xml:space="preserve">garantizar que la entrega de la información sea accesible, actualizada, completa, congruente, confiable, verificable, veraz, integral, oportuna y expedita y que cuando esté disponible en formatos electrónicos se le hará saber al solicitante la fuente, lugar y la forma en la que pude consultarla, de manera precisa y concreta sin implicar que el solicitante realice una búsqueda en toda la información que se encuentre disponible.  </w:t>
      </w:r>
    </w:p>
    <w:p w14:paraId="5921CD25" w14:textId="77777777"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p>
    <w:p w14:paraId="5FD155DC" w14:textId="037B5F21" w:rsidR="00A831AC" w:rsidRPr="006B0A9B" w:rsidRDefault="00D4606D" w:rsidP="00A831AC">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Disposiciones </w:t>
      </w:r>
      <w:r w:rsidR="00A831AC" w:rsidRPr="006B0A9B">
        <w:rPr>
          <w:rFonts w:ascii="Palatino Linotype" w:eastAsia="Calibri" w:hAnsi="Palatino Linotype" w:cs="Tahoma"/>
          <w:iCs/>
          <w:sz w:val="22"/>
          <w:szCs w:val="22"/>
          <w:lang w:eastAsia="es-ES_tradnl"/>
        </w:rPr>
        <w:t>legales</w:t>
      </w:r>
      <w:r w:rsidRPr="006B0A9B">
        <w:rPr>
          <w:rFonts w:ascii="Palatino Linotype" w:eastAsia="Calibri" w:hAnsi="Palatino Linotype" w:cs="Tahoma"/>
          <w:iCs/>
          <w:sz w:val="22"/>
          <w:szCs w:val="22"/>
          <w:lang w:eastAsia="es-ES_tradnl"/>
        </w:rPr>
        <w:t>,</w:t>
      </w:r>
      <w:r w:rsidR="00A831AC" w:rsidRPr="006B0A9B">
        <w:rPr>
          <w:rFonts w:ascii="Palatino Linotype" w:eastAsia="Calibri" w:hAnsi="Palatino Linotype" w:cs="Tahoma"/>
          <w:iCs/>
          <w:sz w:val="22"/>
          <w:szCs w:val="22"/>
          <w:lang w:eastAsia="es-ES_tradnl"/>
        </w:rPr>
        <w:t xml:space="preserve"> que establecen el procedimiento que debe seguir </w:t>
      </w:r>
      <w:r w:rsidRPr="006B0A9B">
        <w:rPr>
          <w:rFonts w:ascii="Palatino Linotype" w:eastAsia="Calibri" w:hAnsi="Palatino Linotype" w:cs="Tahoma"/>
          <w:iCs/>
          <w:sz w:val="22"/>
          <w:szCs w:val="22"/>
          <w:lang w:eastAsia="es-ES_tradnl"/>
        </w:rPr>
        <w:t>e</w:t>
      </w:r>
      <w:r w:rsidR="00A831AC" w:rsidRPr="006B0A9B">
        <w:rPr>
          <w:rFonts w:ascii="Palatino Linotype" w:eastAsia="Calibri" w:hAnsi="Palatino Linotype" w:cs="Tahoma"/>
          <w:iCs/>
          <w:sz w:val="22"/>
          <w:szCs w:val="22"/>
          <w:lang w:eastAsia="es-ES_tradnl"/>
        </w:rPr>
        <w:t>l Sujeto Obligado</w:t>
      </w:r>
      <w:r w:rsidR="00A831AC" w:rsidRPr="006B0A9B">
        <w:rPr>
          <w:rFonts w:ascii="Palatino Linotype" w:eastAsia="Calibri" w:hAnsi="Palatino Linotype" w:cs="Tahoma"/>
          <w:b/>
          <w:iCs/>
          <w:sz w:val="22"/>
          <w:szCs w:val="22"/>
          <w:lang w:eastAsia="es-ES_tradnl"/>
        </w:rPr>
        <w:t xml:space="preserve"> </w:t>
      </w:r>
      <w:r w:rsidR="00A831AC" w:rsidRPr="006B0A9B">
        <w:rPr>
          <w:rFonts w:ascii="Palatino Linotype" w:eastAsia="Calibri" w:hAnsi="Palatino Linotype" w:cs="Tahoma"/>
          <w:iCs/>
          <w:sz w:val="22"/>
          <w:szCs w:val="22"/>
          <w:lang w:eastAsia="es-ES_tradnl"/>
        </w:rPr>
        <w:t>para que pueda tomarse como válida su orientación sobre la forma en que puede consultar la información requerida, y que en la especie no acont</w:t>
      </w:r>
      <w:r w:rsidRPr="006B0A9B">
        <w:rPr>
          <w:rFonts w:ascii="Palatino Linotype" w:eastAsia="Calibri" w:hAnsi="Palatino Linotype" w:cs="Tahoma"/>
          <w:iCs/>
          <w:sz w:val="22"/>
          <w:szCs w:val="22"/>
          <w:lang w:eastAsia="es-ES_tradnl"/>
        </w:rPr>
        <w:t>eció</w:t>
      </w:r>
      <w:r w:rsidR="00A831AC" w:rsidRPr="006B0A9B">
        <w:rPr>
          <w:rFonts w:ascii="Palatino Linotype" w:eastAsia="Calibri" w:hAnsi="Palatino Linotype" w:cs="Tahoma"/>
          <w:iCs/>
          <w:sz w:val="22"/>
          <w:szCs w:val="22"/>
          <w:lang w:eastAsia="es-ES_tradnl"/>
        </w:rPr>
        <w:t xml:space="preserve">, ello porque contrario a lo que establece </w:t>
      </w:r>
      <w:r w:rsidRPr="006B0A9B">
        <w:rPr>
          <w:rFonts w:ascii="Palatino Linotype" w:eastAsia="Calibri" w:hAnsi="Palatino Linotype" w:cs="Tahoma"/>
          <w:iCs/>
          <w:sz w:val="22"/>
          <w:szCs w:val="22"/>
          <w:lang w:eastAsia="es-ES_tradnl"/>
        </w:rPr>
        <w:t>e</w:t>
      </w:r>
      <w:r w:rsidR="00A831AC" w:rsidRPr="006B0A9B">
        <w:rPr>
          <w:rFonts w:ascii="Palatino Linotype" w:eastAsia="Calibri" w:hAnsi="Palatino Linotype" w:cs="Tahoma"/>
          <w:iCs/>
          <w:sz w:val="22"/>
          <w:szCs w:val="22"/>
          <w:lang w:eastAsia="es-ES_tradnl"/>
        </w:rPr>
        <w:t xml:space="preserve">l Sujeto Obligado, la fuente no es precisa por no señalarse el lugar específico donde se encuentra la información solicitada; no es concreta porque su fuente no es sólida, sino por el contrario ésta resulta abstracta y desinforma al crear incertidumbre con el cúmulo de información ahí establecida; y por último, su fuente implica que el solicitante realice una búsqueda en toda la información que se encuentra disponible, lo que a todas luces transgrede el numeral </w:t>
      </w:r>
      <w:r w:rsidRPr="006B0A9B">
        <w:rPr>
          <w:rFonts w:ascii="Palatino Linotype" w:eastAsia="Calibri" w:hAnsi="Palatino Linotype" w:cs="Tahoma"/>
          <w:iCs/>
          <w:sz w:val="22"/>
          <w:szCs w:val="22"/>
          <w:lang w:eastAsia="es-ES_tradnl"/>
        </w:rPr>
        <w:t>referido</w:t>
      </w:r>
      <w:r w:rsidR="00A831AC" w:rsidRPr="006B0A9B">
        <w:rPr>
          <w:rFonts w:ascii="Palatino Linotype" w:eastAsia="Calibri" w:hAnsi="Palatino Linotype" w:cs="Tahoma"/>
          <w:iCs/>
          <w:sz w:val="22"/>
          <w:szCs w:val="22"/>
          <w:lang w:eastAsia="es-ES_tradnl"/>
        </w:rPr>
        <w:t>.</w:t>
      </w:r>
    </w:p>
    <w:p w14:paraId="7CD7CA5C"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7D7B2BC5" w14:textId="357D21C9" w:rsidR="00A831AC" w:rsidRPr="006B0A9B" w:rsidRDefault="00A831AC" w:rsidP="00A831AC">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 xml:space="preserve">Asimismo, no pasa desapercibido para este Instituto que el plazo transcurrido entre la solicitud de información y la respuesta del Sujeto Obligado fue de </w:t>
      </w:r>
      <w:r w:rsidR="00D4606D" w:rsidRPr="006B0A9B">
        <w:rPr>
          <w:rFonts w:ascii="Palatino Linotype" w:eastAsia="Calibri" w:hAnsi="Palatino Linotype" w:cs="Tahoma"/>
          <w:iCs/>
          <w:sz w:val="22"/>
          <w:szCs w:val="22"/>
          <w:lang w:val="es-ES" w:eastAsia="es-ES_tradnl"/>
        </w:rPr>
        <w:t>once</w:t>
      </w:r>
      <w:r w:rsidR="00D4606D" w:rsidRPr="006B0A9B">
        <w:rPr>
          <w:rFonts w:ascii="Palatino Linotype" w:eastAsia="Calibri" w:hAnsi="Palatino Linotype" w:cs="Tahoma"/>
          <w:b/>
          <w:iCs/>
          <w:sz w:val="22"/>
          <w:szCs w:val="22"/>
          <w:lang w:val="es-ES" w:eastAsia="es-ES_tradnl"/>
        </w:rPr>
        <w:t xml:space="preserve"> </w:t>
      </w:r>
      <w:r w:rsidRPr="006B0A9B">
        <w:rPr>
          <w:rFonts w:ascii="Palatino Linotype" w:eastAsia="Calibri" w:hAnsi="Palatino Linotype" w:cs="Tahoma"/>
          <w:iCs/>
          <w:sz w:val="22"/>
          <w:szCs w:val="22"/>
          <w:lang w:val="es-ES" w:eastAsia="es-ES_tradnl"/>
        </w:rPr>
        <w:t xml:space="preserve">días hábiles; al respecto, el artículo 161, de la Ley de Transparencia local indica que cuando la información requerida esté disponible en internet, el Sujeto Obligado deberá hacerlo saber al solicitante en un plazo no mayor a cinco días hábiles; bajo esa premisa, la respuesta vulneró el referido dispositivo de la Ley de Transparencia, toda vez que no se pronunció dentro de </w:t>
      </w:r>
      <w:r w:rsidR="00D4606D" w:rsidRPr="006B0A9B">
        <w:rPr>
          <w:rFonts w:ascii="Palatino Linotype" w:eastAsia="Calibri" w:hAnsi="Palatino Linotype" w:cs="Tahoma"/>
          <w:iCs/>
          <w:sz w:val="22"/>
          <w:szCs w:val="22"/>
          <w:lang w:val="es-ES" w:eastAsia="es-ES_tradnl"/>
        </w:rPr>
        <w:t>tal término, Establecido lo anterior, se procede a analizar cada uno de los puntos requeridos por el Particular.</w:t>
      </w:r>
    </w:p>
    <w:p w14:paraId="794B2A9C" w14:textId="77777777" w:rsidR="00A831AC" w:rsidRPr="006B0A9B" w:rsidRDefault="00A831AC" w:rsidP="00A831AC">
      <w:pPr>
        <w:spacing w:line="360" w:lineRule="auto"/>
        <w:ind w:right="-93"/>
        <w:jc w:val="both"/>
        <w:rPr>
          <w:rFonts w:ascii="Palatino Linotype" w:eastAsia="Calibri" w:hAnsi="Palatino Linotype" w:cs="Tahoma"/>
          <w:iCs/>
          <w:sz w:val="22"/>
          <w:szCs w:val="22"/>
          <w:lang w:eastAsia="es-ES_tradnl"/>
        </w:rPr>
      </w:pPr>
    </w:p>
    <w:p w14:paraId="69638141" w14:textId="05156D7B" w:rsidR="002E3DC6" w:rsidRPr="006B0A9B" w:rsidRDefault="009A6333" w:rsidP="009A6333">
      <w:pPr>
        <w:pStyle w:val="Prrafodelista"/>
        <w:numPr>
          <w:ilvl w:val="0"/>
          <w:numId w:val="37"/>
        </w:numPr>
        <w:spacing w:line="360" w:lineRule="auto"/>
        <w:ind w:right="-93"/>
        <w:jc w:val="both"/>
        <w:rPr>
          <w:rFonts w:ascii="Palatino Linotype" w:eastAsia="Calibri" w:hAnsi="Palatino Linotype" w:cs="Tahoma"/>
          <w:b/>
          <w:bCs/>
          <w:iCs/>
          <w:szCs w:val="22"/>
          <w:lang w:val="es-ES" w:eastAsia="es-ES_tradnl"/>
        </w:rPr>
      </w:pPr>
      <w:r w:rsidRPr="006B0A9B">
        <w:rPr>
          <w:rFonts w:ascii="Palatino Linotype" w:eastAsia="Calibri" w:hAnsi="Palatino Linotype" w:cs="Tahoma"/>
          <w:b/>
          <w:bCs/>
          <w:iCs/>
          <w:szCs w:val="22"/>
          <w:lang w:val="es-ES" w:eastAsia="es-ES_tradnl"/>
        </w:rPr>
        <w:t xml:space="preserve">El número total de plazas de base, de estructura, sindicalizados operativas, de Grupo Tlaloc,-así como eventuales de esta </w:t>
      </w:r>
      <w:r w:rsidR="001A13A2" w:rsidRPr="006B0A9B">
        <w:rPr>
          <w:rFonts w:ascii="Palatino Linotype" w:eastAsia="Calibri" w:hAnsi="Palatino Linotype" w:cs="Tahoma"/>
          <w:b/>
          <w:bCs/>
          <w:iCs/>
          <w:szCs w:val="22"/>
          <w:lang w:val="es-ES" w:eastAsia="es-ES_tradnl"/>
        </w:rPr>
        <w:t>C</w:t>
      </w:r>
      <w:r w:rsidRPr="006B0A9B">
        <w:rPr>
          <w:rFonts w:ascii="Palatino Linotype" w:eastAsia="Calibri" w:hAnsi="Palatino Linotype" w:cs="Tahoma"/>
          <w:b/>
          <w:bCs/>
          <w:iCs/>
          <w:szCs w:val="22"/>
          <w:lang w:val="es-ES" w:eastAsia="es-ES_tradnl"/>
        </w:rPr>
        <w:t>omisión</w:t>
      </w:r>
    </w:p>
    <w:p w14:paraId="08FCBCC3" w14:textId="77777777" w:rsidR="009A6333" w:rsidRPr="006B0A9B" w:rsidRDefault="009A6333" w:rsidP="002E3DC6">
      <w:pPr>
        <w:spacing w:line="360" w:lineRule="auto"/>
        <w:ind w:right="-93"/>
        <w:jc w:val="both"/>
        <w:rPr>
          <w:rFonts w:ascii="Palatino Linotype" w:eastAsia="Calibri" w:hAnsi="Palatino Linotype" w:cs="Tahoma"/>
          <w:iCs/>
          <w:sz w:val="22"/>
          <w:szCs w:val="22"/>
          <w:lang w:eastAsia="es-ES_tradnl"/>
        </w:rPr>
      </w:pPr>
    </w:p>
    <w:p w14:paraId="39E54AA1" w14:textId="3D9FB73E"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Es obligación de transparencia común de los Sujetos Obligados cargar la información relativa a las plazas vacantes y ocupadas</w:t>
      </w:r>
      <w:r w:rsidR="00261E6F" w:rsidRPr="006B0A9B">
        <w:rPr>
          <w:rFonts w:ascii="Palatino Linotype" w:eastAsia="Calibri" w:hAnsi="Palatino Linotype" w:cs="Tahoma"/>
          <w:iCs/>
          <w:sz w:val="22"/>
          <w:szCs w:val="22"/>
          <w:lang w:eastAsia="es-ES_tradnl"/>
        </w:rPr>
        <w:t xml:space="preserve"> en IPOMEX</w:t>
      </w:r>
      <w:r w:rsidRPr="006B0A9B">
        <w:rPr>
          <w:rFonts w:ascii="Palatino Linotype" w:eastAsia="Calibri" w:hAnsi="Palatino Linotype" w:cs="Tahoma"/>
          <w:iCs/>
          <w:sz w:val="22"/>
          <w:szCs w:val="22"/>
          <w:lang w:eastAsia="es-ES_tradnl"/>
        </w:rPr>
        <w:t>, al respecto se citan los Lineamientos Técnicos Generales para la publicación, homologación y estandarización de la información de las obligaciones establecidas en el Título Quinto y en la fracción IV del artículo 31 de la Ley General de Transparencia y Acceso a la Información Pública.</w:t>
      </w:r>
    </w:p>
    <w:p w14:paraId="53EB874D" w14:textId="77777777" w:rsidR="00A831AC" w:rsidRPr="006B0A9B" w:rsidRDefault="00A831AC" w:rsidP="009628F1">
      <w:pPr>
        <w:spacing w:line="360" w:lineRule="auto"/>
        <w:ind w:right="-93"/>
        <w:jc w:val="both"/>
        <w:rPr>
          <w:rFonts w:ascii="Palatino Linotype" w:eastAsia="Calibri" w:hAnsi="Palatino Linotype" w:cs="Tahoma"/>
          <w:iCs/>
          <w:lang w:eastAsia="es-ES_tradnl"/>
        </w:rPr>
      </w:pPr>
    </w:p>
    <w:p w14:paraId="4167B55E"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X.</w:t>
      </w:r>
      <w:r w:rsidRPr="006B0A9B">
        <w:rPr>
          <w:rFonts w:ascii="Palatino Linotype" w:eastAsia="Calibri" w:hAnsi="Palatino Linotype" w:cs="Tahoma"/>
          <w:i/>
          <w:iCs/>
          <w:lang w:eastAsia="es-ES_tradnl"/>
        </w:rPr>
        <w:t xml:space="preserve"> El número total de las plazas y del personal de base y confianza, especificando el total de las vacantes, por nivel de puesto, para cada unidad administrativa</w:t>
      </w:r>
    </w:p>
    <w:p w14:paraId="42A5BD20"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p>
    <w:p w14:paraId="6B5556A1" w14:textId="68CF7A09"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En este apartado los sujetos obligados publicarán información con base en su estructura orgánica vigente, aprobada y registrada por el órgano competente.</w:t>
      </w:r>
    </w:p>
    <w:p w14:paraId="0DF45919"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Desde cada nivel de estructura se deberá incluir la denominación de las áreas que le están subordinadas jerárquicamente y desde cada área se incluirá la información del total de plazas tanto de base como de confianza, sean éstas de carácter permanente o eventual, así como, en su caso, el personal de milicia permanente y milicia auxiliar; de tal forma que se señale cuáles plazas están ocupadas y cuáles vacantes, así como los totales.</w:t>
      </w:r>
    </w:p>
    <w:p w14:paraId="2697450E" w14:textId="77777777"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Criterios sustantivos de contenido En relación con las plazas vacantes y ocupadas se publicará lo siguiente: </w:t>
      </w:r>
    </w:p>
    <w:p w14:paraId="19D0D459" w14:textId="6118896D"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Criterio 1</w:t>
      </w:r>
      <w:r w:rsidRPr="006B0A9B">
        <w:rPr>
          <w:rFonts w:ascii="Palatino Linotype" w:eastAsia="Calibri" w:hAnsi="Palatino Linotype" w:cs="Tahoma"/>
          <w:i/>
          <w:iCs/>
          <w:lang w:eastAsia="es-ES_tradnl"/>
        </w:rPr>
        <w:t xml:space="preserve"> Ejercicio</w:t>
      </w:r>
    </w:p>
    <w:p w14:paraId="4E70B9DB" w14:textId="093B8411"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Criterio 2</w:t>
      </w:r>
      <w:r w:rsidRPr="006B0A9B">
        <w:rPr>
          <w:rFonts w:ascii="Palatino Linotype" w:eastAsia="Calibri" w:hAnsi="Palatino Linotype" w:cs="Tahoma"/>
          <w:i/>
          <w:iCs/>
          <w:lang w:eastAsia="es-ES_tradnl"/>
        </w:rPr>
        <w:t xml:space="preserve"> y </w:t>
      </w:r>
      <w:r w:rsidRPr="006B0A9B">
        <w:rPr>
          <w:rFonts w:ascii="Palatino Linotype" w:eastAsia="Calibri" w:hAnsi="Palatino Linotype" w:cs="Tahoma"/>
          <w:b/>
          <w:i/>
          <w:iCs/>
          <w:lang w:eastAsia="es-ES_tradnl"/>
        </w:rPr>
        <w:t>Criterio 3…</w:t>
      </w:r>
    </w:p>
    <w:p w14:paraId="1700882E" w14:textId="37DA5A48"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 xml:space="preserve">Criterio 4.  </w:t>
      </w:r>
      <w:r w:rsidRPr="006B0A9B">
        <w:rPr>
          <w:rFonts w:ascii="Palatino Linotype" w:eastAsia="Calibri" w:hAnsi="Palatino Linotype" w:cs="Tahoma"/>
          <w:i/>
          <w:iCs/>
          <w:lang w:eastAsia="es-ES_tradnl"/>
        </w:rPr>
        <w:t>Denominación del puesto (de acuerdo con el catálogo que en su caso regule la actividad del sujeto obligado). La información deberá estar ordenada de tal forma que sea posible visualizar los niveles de autoridad y sus relaciones de dependencia. La información debe publicarse con perspectiva de género29, en caso de que el catálogo que regule al sujeto obligado no contenga redacción con perspectiva de género, se incluirá la alternativa incluyente y no sexista entre paréntesis o corchetes.</w:t>
      </w:r>
    </w:p>
    <w:p w14:paraId="7A89A7B9" w14:textId="5596D89B" w:rsidR="002E3DC6"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Criterio 5</w:t>
      </w:r>
      <w:r w:rsidRPr="006B0A9B">
        <w:rPr>
          <w:rFonts w:ascii="Palatino Linotype" w:eastAsia="Calibri" w:hAnsi="Palatino Linotype" w:cs="Tahoma"/>
          <w:i/>
          <w:iCs/>
          <w:lang w:eastAsia="es-ES_tradnl"/>
        </w:rPr>
        <w:t>…</w:t>
      </w:r>
    </w:p>
    <w:p w14:paraId="36128A95" w14:textId="77777777"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Criterio 6</w:t>
      </w:r>
      <w:r w:rsidRPr="006B0A9B">
        <w:rPr>
          <w:rFonts w:ascii="Palatino Linotype" w:eastAsia="Calibri" w:hAnsi="Palatino Linotype" w:cs="Tahoma"/>
          <w:i/>
          <w:iCs/>
          <w:lang w:eastAsia="es-ES_tradnl"/>
        </w:rPr>
        <w:t xml:space="preserve"> Tipo de plaza (catálogo): base/confianza/milicia permanente/milicia auxiliar. </w:t>
      </w:r>
    </w:p>
    <w:p w14:paraId="17DB1A13" w14:textId="4371EC99"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lastRenderedPageBreak/>
        <w:t xml:space="preserve">Criterio 7 </w:t>
      </w:r>
      <w:r w:rsidRPr="006B0A9B">
        <w:rPr>
          <w:rFonts w:ascii="Palatino Linotype" w:eastAsia="Calibri" w:hAnsi="Palatino Linotype" w:cs="Tahoma"/>
          <w:i/>
          <w:iCs/>
          <w:lang w:eastAsia="es-ES_tradnl"/>
        </w:rPr>
        <w:t>Área de adscripción inmediata superior.</w:t>
      </w:r>
    </w:p>
    <w:p w14:paraId="5FCBC025" w14:textId="6CF9BA6E"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 xml:space="preserve">Criterio 8 </w:t>
      </w:r>
      <w:r w:rsidRPr="006B0A9B">
        <w:rPr>
          <w:rFonts w:ascii="Palatino Linotype" w:eastAsia="Calibri" w:hAnsi="Palatino Linotype" w:cs="Tahoma"/>
          <w:i/>
          <w:iCs/>
          <w:lang w:eastAsia="es-ES_tradnl"/>
        </w:rPr>
        <w:t>Por cada puesto y/o cargo de la estructura especificar el estado (catálogo): ocupado/vacante.</w:t>
      </w:r>
    </w:p>
    <w:p w14:paraId="048E83E0" w14:textId="7DBA43A4" w:rsidR="00261E6F" w:rsidRPr="006B0A9B" w:rsidRDefault="00261E6F" w:rsidP="002E3DC6">
      <w:pPr>
        <w:spacing w:line="360" w:lineRule="auto"/>
        <w:ind w:left="567" w:right="539"/>
        <w:jc w:val="both"/>
        <w:rPr>
          <w:rFonts w:ascii="Palatino Linotype" w:eastAsia="Calibri" w:hAnsi="Palatino Linotype" w:cs="Tahoma"/>
          <w:b/>
          <w:i/>
          <w:iCs/>
          <w:lang w:eastAsia="es-ES_tradnl"/>
        </w:rPr>
      </w:pPr>
      <w:r w:rsidRPr="006B0A9B">
        <w:rPr>
          <w:rFonts w:ascii="Palatino Linotype" w:eastAsia="Calibri" w:hAnsi="Palatino Linotype" w:cs="Tahoma"/>
          <w:b/>
          <w:i/>
          <w:iCs/>
          <w:lang w:eastAsia="es-ES_tradnl"/>
        </w:rPr>
        <w:t>Criterio 9…</w:t>
      </w:r>
    </w:p>
    <w:p w14:paraId="7420B512" w14:textId="6FEA36F6"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Criterio 10</w:t>
      </w:r>
      <w:r w:rsidRPr="006B0A9B">
        <w:rPr>
          <w:rFonts w:ascii="Palatino Linotype" w:eastAsia="Calibri" w:hAnsi="Palatino Linotype" w:cs="Tahoma"/>
          <w:i/>
          <w:iCs/>
          <w:lang w:eastAsia="es-ES_tradnl"/>
        </w:rPr>
        <w:t xml:space="preserve"> Por cada puesto y/o cargo de la estructura vacante se incluirá un hipervínculo a las convocatorias a concursos para ocupar cargos públicos abiertos a la sociedad en general o sólo abiertos a las personas servidoras públicas del sujeto obligado, difundidas en la fracción XIV del artículo 70 de la Ley General. La convocatoria deberá estar redactada con perspectiva de género, es decir, haciendo uso del lenguaje incluyente y no sexista.</w:t>
      </w:r>
    </w:p>
    <w:p w14:paraId="71ABB194" w14:textId="110D3DCD" w:rsidR="00261E6F" w:rsidRPr="006B0A9B" w:rsidRDefault="00261E6F" w:rsidP="002E3DC6">
      <w:pPr>
        <w:spacing w:line="360" w:lineRule="auto"/>
        <w:ind w:left="567" w:right="539"/>
        <w:jc w:val="both"/>
        <w:rPr>
          <w:rFonts w:ascii="Palatino Linotype" w:eastAsia="Calibri" w:hAnsi="Palatino Linotype" w:cs="Tahoma"/>
          <w:b/>
          <w:i/>
          <w:iCs/>
          <w:lang w:eastAsia="es-ES_tradnl"/>
        </w:rPr>
      </w:pPr>
      <w:r w:rsidRPr="006B0A9B">
        <w:rPr>
          <w:rFonts w:ascii="Palatino Linotype" w:eastAsia="Calibri" w:hAnsi="Palatino Linotype" w:cs="Tahoma"/>
          <w:b/>
          <w:i/>
          <w:iCs/>
          <w:lang w:eastAsia="es-ES_tradnl"/>
        </w:rPr>
        <w:t>Criterio 11 y Criterio 12…</w:t>
      </w:r>
    </w:p>
    <w:p w14:paraId="0393C6B4" w14:textId="6F4D1456"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i/>
          <w:iCs/>
          <w:lang w:eastAsia="es-ES_tradnl"/>
        </w:rPr>
        <w:t>Criterio 13</w:t>
      </w:r>
      <w:r w:rsidRPr="006B0A9B">
        <w:rPr>
          <w:rFonts w:ascii="Palatino Linotype" w:eastAsia="Calibri" w:hAnsi="Palatino Linotype" w:cs="Tahoma"/>
          <w:i/>
          <w:iCs/>
          <w:lang w:eastAsia="es-ES_tradnl"/>
        </w:rPr>
        <w:t xml:space="preserve"> Total de plazas de base.</w:t>
      </w:r>
    </w:p>
    <w:p w14:paraId="13BBF76F" w14:textId="074B5FED" w:rsidR="00A831AC" w:rsidRPr="006B0A9B" w:rsidRDefault="00A831AC" w:rsidP="009628F1">
      <w:pPr>
        <w:spacing w:line="360" w:lineRule="auto"/>
        <w:ind w:right="-93"/>
        <w:jc w:val="both"/>
        <w:rPr>
          <w:rFonts w:ascii="Palatino Linotype" w:eastAsia="Calibri" w:hAnsi="Palatino Linotype" w:cs="Tahoma"/>
          <w:iCs/>
          <w:sz w:val="22"/>
          <w:szCs w:val="22"/>
          <w:lang w:eastAsia="es-ES_tradnl"/>
        </w:rPr>
      </w:pPr>
    </w:p>
    <w:p w14:paraId="4B862FFB"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Además, se remarca que, de conformidad al Manual General de Organización de la Comisión del Agua del Estado de México, es objetivo de la Dirección General de Administración y Finanzas realizar los planes para la adecuada administración de recursos financieros y humanos.</w:t>
      </w:r>
    </w:p>
    <w:p w14:paraId="75EB91F6"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p>
    <w:p w14:paraId="694B8C24"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229B60000 DIRECCIÓN GENERAL DE ADMINISTRACIÓN Y FINANZAS</w:t>
      </w:r>
    </w:p>
    <w:p w14:paraId="124C3200"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OBJETIVO:</w:t>
      </w:r>
    </w:p>
    <w:p w14:paraId="1026D337"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Establecer los planes y programas para la adecuada administración de los recursos financieros, humanos, materiales, técnicos y de servicios generales que requiere la Comisión para el desarrollo integral de sus funciones y realizar las actividades encomendadas por atribución fiscal.</w:t>
      </w:r>
    </w:p>
    <w:p w14:paraId="3C8194B6"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FUNCIONES:</w:t>
      </w:r>
    </w:p>
    <w:p w14:paraId="4D4EC3EB" w14:textId="5E5DB413" w:rsidR="00261E6F"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Planear el adecuado aprovechamiento de los recursos financieros, materiales, técnicos y humanos de acuerdo con los planes y programas autorizados por el Consejo Directivo.</w:t>
      </w:r>
      <w:r w:rsidRPr="006B0A9B">
        <w:rPr>
          <w:rFonts w:ascii="Palatino Linotype" w:eastAsia="Calibri" w:hAnsi="Palatino Linotype" w:cs="Tahoma"/>
          <w:i/>
          <w:iCs/>
          <w:lang w:eastAsia="es-ES_tradnl"/>
        </w:rPr>
        <w:cr/>
      </w:r>
      <w:r w:rsidR="00261E6F" w:rsidRPr="006B0A9B">
        <w:rPr>
          <w:rFonts w:ascii="Palatino Linotype" w:eastAsia="Calibri" w:hAnsi="Palatino Linotype" w:cs="Tahoma"/>
          <w:i/>
          <w:iCs/>
          <w:lang w:eastAsia="es-ES_tradnl"/>
        </w:rPr>
        <w:t>…</w:t>
      </w:r>
    </w:p>
    <w:p w14:paraId="4BD23875" w14:textId="77777777" w:rsidR="00261E6F" w:rsidRPr="006B0A9B" w:rsidRDefault="00261E6F" w:rsidP="002E3DC6">
      <w:pPr>
        <w:spacing w:line="360" w:lineRule="auto"/>
        <w:ind w:left="567" w:right="539"/>
        <w:jc w:val="both"/>
        <w:rPr>
          <w:rFonts w:ascii="Palatino Linotype" w:eastAsia="Calibri" w:hAnsi="Palatino Linotype" w:cs="Tahoma"/>
          <w:iCs/>
          <w:lang w:eastAsia="es-ES_tradnl"/>
        </w:rPr>
      </w:pPr>
    </w:p>
    <w:p w14:paraId="03ADF335"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lastRenderedPageBreak/>
        <w:t>En vertical, la Dirección de Administración tiene en su estructura a la subdirección de Administración del Personal, la cual tiene entre sus funciones vigilar la actualización de la plantilla de personal de la Comisión; vigilar el cumplimiento de los ordenamientos jurídicos y administrativos que rigen la relación laboral tanto del personal sindicalizado</w:t>
      </w:r>
    </w:p>
    <w:p w14:paraId="4357F3BF"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como de confianza, entre otras.</w:t>
      </w:r>
    </w:p>
    <w:p w14:paraId="202EC8C5"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 </w:t>
      </w:r>
    </w:p>
    <w:p w14:paraId="3DD8F400"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229B61100 SUBDIRECCIÓN DE ADMINISTRACIÓN DE PERSONAL</w:t>
      </w:r>
    </w:p>
    <w:p w14:paraId="195775A4" w14:textId="77777777" w:rsidR="007E13D5" w:rsidRPr="006B0A9B" w:rsidRDefault="007E13D5" w:rsidP="002E3DC6">
      <w:pPr>
        <w:spacing w:line="360" w:lineRule="auto"/>
        <w:ind w:left="567" w:right="539"/>
        <w:jc w:val="both"/>
        <w:rPr>
          <w:rFonts w:ascii="Palatino Linotype" w:eastAsia="Calibri" w:hAnsi="Palatino Linotype" w:cs="Tahoma"/>
          <w:b/>
          <w:bCs/>
          <w:i/>
          <w:iCs/>
          <w:lang w:eastAsia="es-ES_tradnl"/>
        </w:rPr>
      </w:pPr>
    </w:p>
    <w:p w14:paraId="471573F3" w14:textId="5975DACB"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OBJETIVO:</w:t>
      </w:r>
    </w:p>
    <w:p w14:paraId="1D0E03DA"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Supervisar el manejo, control, gestión y administración del personal activo de la Comisión, y su observancia conforme a los ordenamientos vigentes. </w:t>
      </w:r>
    </w:p>
    <w:p w14:paraId="395DAAFF" w14:textId="77777777" w:rsidR="007E13D5" w:rsidRPr="006B0A9B" w:rsidRDefault="007E13D5" w:rsidP="002E3DC6">
      <w:pPr>
        <w:spacing w:line="360" w:lineRule="auto"/>
        <w:ind w:left="567" w:right="539"/>
        <w:jc w:val="both"/>
        <w:rPr>
          <w:rFonts w:ascii="Palatino Linotype" w:eastAsia="Calibri" w:hAnsi="Palatino Linotype" w:cs="Tahoma"/>
          <w:b/>
          <w:bCs/>
          <w:i/>
          <w:iCs/>
          <w:lang w:eastAsia="es-ES_tradnl"/>
        </w:rPr>
      </w:pPr>
    </w:p>
    <w:p w14:paraId="3DB67C1E" w14:textId="4C1AC0A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 xml:space="preserve">FUNCIONES: </w:t>
      </w:r>
    </w:p>
    <w:p w14:paraId="1CC44E09"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-Desarrollar acciones orientadas a eficientar la administración y desarrollo del personal de la Comisión. </w:t>
      </w:r>
    </w:p>
    <w:p w14:paraId="31F27F85"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-Verificar la observancia de la normatividad vigente en la materia en la contratación de personal, aplicación de estímulos, sanciones, permisos, licencias, tiempo extraordinario, suplencias, jubilaciones e incapacidad. </w:t>
      </w:r>
    </w:p>
    <w:p w14:paraId="5ACCCE7F" w14:textId="358E3A17"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512AEDDA"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-Proponer la elaboración y actualización de la normatividad interna referente a las condiciones generales de trabajo del personal de la Comisión. </w:t>
      </w:r>
    </w:p>
    <w:p w14:paraId="76F3AF31"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-Vigilar que se mantenga actualizada la plantilla de personal de la Comisión, así como supervisar la elaboración de la nómina de pago correspondiente. </w:t>
      </w:r>
    </w:p>
    <w:p w14:paraId="1D17F828" w14:textId="6BFC4802" w:rsidR="002E3DC6"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3B97E44F"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-Vigilar el cumplimiento de los ordenamientos jurídicos y administrativos que rigen la relación laboral tanto del personal sindicalizado como de confianza.</w:t>
      </w:r>
    </w:p>
    <w:p w14:paraId="4D1E7301"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-Aplicar la metodología para el reclutamiento, selección, contratación, inducción, capacitación y desarrollo del personal. </w:t>
      </w:r>
    </w:p>
    <w:p w14:paraId="242ED212"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lastRenderedPageBreak/>
        <w:t xml:space="preserve">-Vigilar la aplicación del tabulador de sueldos y salarios conforme a lo establecido por la Dirección General de Personal de la Secretaría de Finanzas. </w:t>
      </w:r>
    </w:p>
    <w:p w14:paraId="486366C4" w14:textId="6CD446C2" w:rsidR="00261E6F"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614E52D9"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-Analizar las condiciones contractuales del personal de nuevo ingreso, en función de los lineamientos emitidos por la Secretaría de Finanzas. </w:t>
      </w:r>
    </w:p>
    <w:p w14:paraId="14CD2D05" w14:textId="4551E352"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-Verificar que las contrataciones se realicen de conformidad con el catálogo de puestos y el tabulador de sueldos. </w:t>
      </w:r>
    </w:p>
    <w:p w14:paraId="718A91C9" w14:textId="4DCFCADB"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13760B65" w14:textId="329FE86D"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37A619D6"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De manera puntual, es función del Departamento de Registro y Control de Personal, llevar el control de nombramientos, del personal de nuevo ingreso, de base o eventuales.</w:t>
      </w:r>
    </w:p>
    <w:p w14:paraId="7A39FE41"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p>
    <w:p w14:paraId="1DDC09D0"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229B61101 DEPARTAMENTO DE REGISTRO Y CONTROL DE PERSONAL</w:t>
      </w:r>
    </w:p>
    <w:p w14:paraId="1D713054"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OBJETIVO:</w:t>
      </w:r>
    </w:p>
    <w:p w14:paraId="1A57D019"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Mantener actualizados los registros y controles de las plantillas de plazas y llevar el control del personal adscrito al Organismo a través de los procedimientos de altas, bajas, remociones, promociones, cambios, o cualquier otro movimiento que el personal realice, con la finalidad de agilizar los trámites y consultas requeridas, aplicando los lineamientos vigentes.</w:t>
      </w:r>
    </w:p>
    <w:p w14:paraId="35D710CC" w14:textId="4B48CA8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FUNCIONES:</w:t>
      </w:r>
    </w:p>
    <w:p w14:paraId="16AC210D" w14:textId="6D319C41"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-Llevar el control de nombramientos y/o asignación de remuneraciones, según sea el caso, del personal de nuevo ingreso, de base o eventuales.</w:t>
      </w:r>
    </w:p>
    <w:p w14:paraId="647CB960"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-Integrar, actualizar y resguardar los expedientes personales de cada integrante de la Comisión.</w:t>
      </w:r>
    </w:p>
    <w:p w14:paraId="1FE086EC" w14:textId="0DCC7B69" w:rsidR="002E3DC6"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03A4C68F"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-Llevar, en coordinación con las unidades de apoyo administrativo, el control de asistencia y puntualidad, así como de las afectaciones por Incapacidades, vacaciones, faltas justificadas e injustificadas y riesgos de trabajo, a efecto de establecer los premios de puntualidad del personal de la Comisión.</w:t>
      </w:r>
    </w:p>
    <w:p w14:paraId="6361FF9D" w14:textId="6505D57C" w:rsidR="002E3DC6"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4198158F"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lastRenderedPageBreak/>
        <w:t>-Expedir y proporcionar constancias, certificaciones e información del personal que labora en la Comisión, previa solicitud por escrito.</w:t>
      </w:r>
    </w:p>
    <w:p w14:paraId="027FDB88" w14:textId="2BA68617" w:rsidR="002E3DC6" w:rsidRPr="006B0A9B" w:rsidRDefault="00261E6F"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7E1595F1"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-Expedir y actualizar las credenciales de identificación del personal adscrito a la Comisión.</w:t>
      </w:r>
    </w:p>
    <w:p w14:paraId="1D263ED5" w14:textId="732ACD81"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-Colaborar con la Contraloría Interna en las funciones relativas a la actualización del padrón de servidoras/es públicas/os obligadas/os a presentar la manifestación de bienes anual por concepto de actualización patrimonial y conflicto de intereses.</w:t>
      </w:r>
    </w:p>
    <w:p w14:paraId="5F453ABB" w14:textId="23A1C668"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-Mantener actualizados los registros de control de vacantes autorizadas por el sector central del Gobierno del Estado de México.</w:t>
      </w:r>
    </w:p>
    <w:p w14:paraId="7DEB1177" w14:textId="38EAAD5A"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-Desarrollar las demás funciones inherentes al área de su competencia</w:t>
      </w:r>
    </w:p>
    <w:p w14:paraId="3E09F3E6" w14:textId="1678A17D" w:rsidR="002E3DC6" w:rsidRPr="006B0A9B" w:rsidRDefault="002E3DC6" w:rsidP="002E3DC6">
      <w:pPr>
        <w:spacing w:line="360" w:lineRule="auto"/>
        <w:ind w:right="-93"/>
        <w:jc w:val="both"/>
        <w:rPr>
          <w:rFonts w:ascii="Palatino Linotype" w:eastAsia="Calibri" w:hAnsi="Palatino Linotype" w:cs="Tahoma"/>
          <w:i/>
          <w:iCs/>
          <w:sz w:val="22"/>
          <w:szCs w:val="22"/>
          <w:lang w:eastAsia="es-ES_tradnl"/>
        </w:rPr>
      </w:pPr>
    </w:p>
    <w:p w14:paraId="1EDE872A" w14:textId="5344C21E" w:rsidR="002E3DC6" w:rsidRPr="006B0A9B" w:rsidRDefault="002E3DC6" w:rsidP="002E3DC6">
      <w:pPr>
        <w:spacing w:line="360" w:lineRule="auto"/>
        <w:ind w:right="-93"/>
        <w:jc w:val="center"/>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w:drawing>
          <wp:inline distT="0" distB="0" distL="0" distR="0" wp14:anchorId="6C7FE501" wp14:editId="1362E054">
            <wp:extent cx="4511675" cy="354838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1675" cy="3548380"/>
                    </a:xfrm>
                    <a:prstGeom prst="rect">
                      <a:avLst/>
                    </a:prstGeom>
                    <a:noFill/>
                  </pic:spPr>
                </pic:pic>
              </a:graphicData>
            </a:graphic>
          </wp:inline>
        </w:drawing>
      </w:r>
    </w:p>
    <w:p w14:paraId="3BA4630F" w14:textId="2C78F88A"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7EBBC0D2"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Por su parte la Ley del Trabajo de los Servidores Públicos del Estado de México, da la pauta a colegir que los trabajadores pueden ser sindicalizados, aunado a que pueden tener la base.</w:t>
      </w:r>
    </w:p>
    <w:p w14:paraId="03E121F1" w14:textId="77777777" w:rsidR="002E3DC6" w:rsidRPr="006B0A9B" w:rsidRDefault="002E3DC6" w:rsidP="002E3DC6">
      <w:pPr>
        <w:spacing w:line="360" w:lineRule="auto"/>
        <w:ind w:right="-93"/>
        <w:jc w:val="both"/>
        <w:rPr>
          <w:rFonts w:ascii="Palatino Linotype" w:eastAsia="Calibri" w:hAnsi="Palatino Linotype" w:cs="Tahoma"/>
          <w:i/>
          <w:iCs/>
          <w:sz w:val="22"/>
          <w:szCs w:val="22"/>
          <w:lang w:eastAsia="es-ES_tradnl"/>
        </w:rPr>
      </w:pPr>
    </w:p>
    <w:p w14:paraId="6EDFD285"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ARTÍCULO 11.</w:t>
      </w:r>
      <w:r w:rsidRPr="006B0A9B">
        <w:rPr>
          <w:rFonts w:ascii="Palatino Linotype" w:eastAsia="Calibri" w:hAnsi="Palatino Linotype" w:cs="Tahoma"/>
          <w:i/>
          <w:iCs/>
          <w:lang w:eastAsia="es-ES_tradnl"/>
        </w:rPr>
        <w:t xml:space="preserve"> Los servidores públicos generales podrán ocupar puestos de confianza. Para este efecto, en caso de ser sindicalizados podrán renunciar a esa condición, o bien obtener licencia del sindicato correspondiente antes de ocupar dicho puesto.</w:t>
      </w:r>
    </w:p>
    <w:p w14:paraId="1B9C2C75"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p>
    <w:p w14:paraId="51624CF5"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Para este efecto, en caso de ser sindicalizados deberán renunciar a esa condición, o bien</w:t>
      </w:r>
    </w:p>
    <w:p w14:paraId="432F45A5" w14:textId="7BA26D9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obtener licencia del sindicato correspondiente con antelación para ocupar dicho puesto.</w:t>
      </w:r>
    </w:p>
    <w:p w14:paraId="215342FA" w14:textId="123D33E2" w:rsidR="002E3DC6" w:rsidRPr="006B0A9B" w:rsidRDefault="002E3DC6" w:rsidP="002E3DC6">
      <w:pPr>
        <w:spacing w:line="360" w:lineRule="auto"/>
        <w:ind w:left="567" w:right="539"/>
        <w:jc w:val="both"/>
        <w:rPr>
          <w:rFonts w:ascii="Palatino Linotype" w:eastAsia="Calibri" w:hAnsi="Palatino Linotype" w:cs="Tahoma"/>
          <w:i/>
          <w:iCs/>
          <w:lang w:eastAsia="es-ES_tradnl"/>
        </w:rPr>
      </w:pPr>
    </w:p>
    <w:p w14:paraId="758C31CD"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 xml:space="preserve">ARTÍCULO 12. </w:t>
      </w:r>
      <w:r w:rsidRPr="006B0A9B">
        <w:rPr>
          <w:rFonts w:ascii="Palatino Linotype" w:eastAsia="Calibri" w:hAnsi="Palatino Linotype" w:cs="Tahoma"/>
          <w:i/>
          <w:iCs/>
          <w:lang w:eastAsia="es-ES_tradnl"/>
        </w:rPr>
        <w:t>Son servidores públicos por tiempo indeterminado quienes sean nombrados con tal carácter en plazas presupuestales.</w:t>
      </w:r>
    </w:p>
    <w:p w14:paraId="50FC2E61"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p>
    <w:p w14:paraId="37E3818D" w14:textId="3FBC7A5E"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Respecto de las plazas de estructura, de Conformidad a los Lineamientos para Movimientos de Personal del Tribunal Electoral del Poder Judicial de la Federación, publicados en el Diario Oficial de la Federación, el 12 de mayo de 2017, se define como plaza de estructura a la “</w:t>
      </w:r>
      <w:r w:rsidRPr="006B0A9B">
        <w:rPr>
          <w:rFonts w:ascii="Palatino Linotype" w:eastAsia="Calibri" w:hAnsi="Palatino Linotype" w:cs="Tahoma"/>
          <w:i/>
          <w:iCs/>
          <w:sz w:val="22"/>
          <w:szCs w:val="22"/>
          <w:lang w:eastAsia="es-ES_tradnl"/>
        </w:rPr>
        <w:t>Posición individual de trabajo que no puede ser ocupada por más de una servidora o servidor público a la vez, que tiene una adscripción determinada y debe respaldarse presupuestalmente</w:t>
      </w:r>
      <w:r w:rsidRPr="006B0A9B">
        <w:rPr>
          <w:rFonts w:ascii="Palatino Linotype" w:eastAsia="Calibri" w:hAnsi="Palatino Linotype" w:cs="Tahoma"/>
          <w:iCs/>
          <w:sz w:val="22"/>
          <w:szCs w:val="22"/>
          <w:lang w:eastAsia="es-ES_tradnl"/>
        </w:rPr>
        <w:t>”.</w:t>
      </w:r>
      <w:r w:rsidR="00090CF7" w:rsidRPr="006B0A9B">
        <w:rPr>
          <w:rFonts w:ascii="Palatino Linotype" w:eastAsia="Calibri" w:hAnsi="Palatino Linotype" w:cs="Tahoma"/>
          <w:iCs/>
          <w:sz w:val="22"/>
          <w:szCs w:val="22"/>
          <w:lang w:eastAsia="es-ES_tradnl"/>
        </w:rPr>
        <w:t xml:space="preserve"> </w:t>
      </w:r>
      <w:r w:rsidRPr="006B0A9B">
        <w:rPr>
          <w:rFonts w:ascii="Palatino Linotype" w:eastAsia="Calibri" w:hAnsi="Palatino Linotype" w:cs="Tahoma"/>
          <w:iCs/>
          <w:sz w:val="22"/>
          <w:szCs w:val="22"/>
          <w:lang w:eastAsia="es-ES_tradnl"/>
        </w:rPr>
        <w:t>Y plaza eventual aquella “</w:t>
      </w:r>
      <w:r w:rsidRPr="006B0A9B">
        <w:rPr>
          <w:rFonts w:ascii="Palatino Linotype" w:eastAsia="Calibri" w:hAnsi="Palatino Linotype" w:cs="Tahoma"/>
          <w:i/>
          <w:iCs/>
          <w:sz w:val="22"/>
          <w:szCs w:val="22"/>
          <w:lang w:eastAsia="es-ES_tradnl"/>
        </w:rPr>
        <w:t>Posición individual autorizada por tiempo determinado en una estructura respaldada por una plantilla de personal.”</w:t>
      </w:r>
    </w:p>
    <w:p w14:paraId="18C30CC5" w14:textId="0DCDB125"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1A189361"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Respecto de plazas operativas, la Ley del Trabajo de los Servidores Públicos del Estado y Municipios establece que son servidores públicos generales los que prestan sus funciones operativas de carácter manual, material, administrativo, técnico, profesional o de apoyo. Se inserta el artículo correspondiente como referencia.</w:t>
      </w:r>
    </w:p>
    <w:p w14:paraId="1E861712" w14:textId="77777777" w:rsidR="002E3DC6" w:rsidRPr="006B0A9B" w:rsidRDefault="002E3DC6" w:rsidP="002E3DC6">
      <w:pPr>
        <w:spacing w:line="360" w:lineRule="auto"/>
        <w:ind w:right="-93"/>
        <w:jc w:val="both"/>
        <w:rPr>
          <w:rFonts w:ascii="Palatino Linotype" w:eastAsia="Calibri" w:hAnsi="Palatino Linotype" w:cs="Tahoma"/>
          <w:b/>
          <w:bCs/>
          <w:i/>
          <w:iCs/>
          <w:sz w:val="22"/>
          <w:szCs w:val="22"/>
          <w:lang w:eastAsia="es-ES_tradnl"/>
        </w:rPr>
      </w:pPr>
    </w:p>
    <w:p w14:paraId="3BDA9DCC" w14:textId="37284259"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b/>
          <w:bCs/>
          <w:i/>
          <w:iCs/>
          <w:lang w:eastAsia="es-ES_tradnl"/>
        </w:rPr>
        <w:t>ARTÍCULO 7.</w:t>
      </w:r>
      <w:r w:rsidRPr="006B0A9B">
        <w:rPr>
          <w:rFonts w:ascii="Palatino Linotype" w:eastAsia="Calibri" w:hAnsi="Palatino Linotype" w:cs="Tahoma"/>
          <w:i/>
          <w:iCs/>
          <w:lang w:eastAsia="es-ES_tradnl"/>
        </w:rPr>
        <w:t xml:space="preserve"> Son servidores públicos generales los que prestan sus servicios en funciones operativas de carácter manual, material, administrativo, técnico, profesional o de apoyo, </w:t>
      </w:r>
      <w:r w:rsidRPr="006B0A9B">
        <w:rPr>
          <w:rFonts w:ascii="Palatino Linotype" w:eastAsia="Calibri" w:hAnsi="Palatino Linotype" w:cs="Tahoma"/>
          <w:i/>
          <w:iCs/>
          <w:u w:val="single"/>
          <w:lang w:eastAsia="es-ES_tradnl"/>
        </w:rPr>
        <w:t xml:space="preserve">realizando </w:t>
      </w:r>
      <w:r w:rsidRPr="006B0A9B">
        <w:rPr>
          <w:rFonts w:ascii="Palatino Linotype" w:eastAsia="Calibri" w:hAnsi="Palatino Linotype" w:cs="Tahoma"/>
          <w:i/>
          <w:iCs/>
          <w:u w:val="single"/>
          <w:lang w:eastAsia="es-ES_tradnl"/>
        </w:rPr>
        <w:lastRenderedPageBreak/>
        <w:t>tareas asignadas por sus superiores</w:t>
      </w:r>
      <w:r w:rsidRPr="006B0A9B">
        <w:rPr>
          <w:rFonts w:ascii="Palatino Linotype" w:eastAsia="Calibri" w:hAnsi="Palatino Linotype" w:cs="Tahoma"/>
          <w:i/>
          <w:iCs/>
          <w:lang w:eastAsia="es-ES_tradnl"/>
        </w:rPr>
        <w:t xml:space="preserve"> o determinadas </w:t>
      </w:r>
      <w:r w:rsidRPr="006B0A9B">
        <w:rPr>
          <w:rFonts w:ascii="Palatino Linotype" w:eastAsia="Calibri" w:hAnsi="Palatino Linotype" w:cs="Tahoma"/>
          <w:i/>
          <w:iCs/>
          <w:u w:val="single"/>
          <w:lang w:eastAsia="es-ES_tradnl"/>
        </w:rPr>
        <w:t>en los manuales internos de procedimientos o guías de trabajo</w:t>
      </w:r>
      <w:r w:rsidRPr="006B0A9B">
        <w:rPr>
          <w:rFonts w:ascii="Palatino Linotype" w:eastAsia="Calibri" w:hAnsi="Palatino Linotype" w:cs="Tahoma"/>
          <w:i/>
          <w:iCs/>
          <w:lang w:eastAsia="es-ES_tradnl"/>
        </w:rPr>
        <w:t xml:space="preserve">, </w:t>
      </w:r>
      <w:r w:rsidRPr="006B0A9B">
        <w:rPr>
          <w:rFonts w:ascii="Palatino Linotype" w:eastAsia="Calibri" w:hAnsi="Palatino Linotype" w:cs="Tahoma"/>
          <w:i/>
          <w:iCs/>
          <w:u w:val="single"/>
          <w:lang w:eastAsia="es-ES_tradnl"/>
        </w:rPr>
        <w:t>no comprendidos dentro del siguiente artículo</w:t>
      </w:r>
      <w:r w:rsidRPr="006B0A9B">
        <w:rPr>
          <w:rFonts w:ascii="Palatino Linotype" w:eastAsia="Calibri" w:hAnsi="Palatino Linotype" w:cs="Tahoma"/>
          <w:i/>
          <w:iCs/>
          <w:lang w:eastAsia="es-ES_tradnl"/>
        </w:rPr>
        <w:t>.</w:t>
      </w:r>
    </w:p>
    <w:p w14:paraId="4CE45F5E"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p>
    <w:p w14:paraId="2711882C" w14:textId="602F7CB0" w:rsidR="002E3DC6" w:rsidRPr="006B0A9B" w:rsidRDefault="002E3DC6" w:rsidP="002E3DC6">
      <w:pPr>
        <w:spacing w:line="360" w:lineRule="auto"/>
        <w:ind w:left="567" w:right="539"/>
        <w:jc w:val="both"/>
        <w:rPr>
          <w:rFonts w:ascii="Palatino Linotype" w:eastAsia="Calibri" w:hAnsi="Palatino Linotype" w:cs="Tahoma"/>
          <w:iCs/>
          <w:lang w:eastAsia="es-ES_tradnl"/>
        </w:rPr>
      </w:pPr>
      <w:r w:rsidRPr="006B0A9B">
        <w:rPr>
          <w:rFonts w:ascii="Palatino Linotype" w:eastAsia="Calibri" w:hAnsi="Palatino Linotype" w:cs="Tahoma"/>
          <w:b/>
          <w:bCs/>
          <w:i/>
          <w:iCs/>
          <w:lang w:eastAsia="es-ES_tradnl"/>
        </w:rPr>
        <w:t>ARTÍCULO 8.</w:t>
      </w:r>
      <w:r w:rsidRPr="006B0A9B">
        <w:rPr>
          <w:rFonts w:ascii="Palatino Linotype" w:eastAsia="Calibri" w:hAnsi="Palatino Linotype" w:cs="Tahoma"/>
          <w:i/>
          <w:iCs/>
          <w:lang w:eastAsia="es-ES_tradnl"/>
        </w:rPr>
        <w:t xml:space="preserve"> Se entiende por </w:t>
      </w:r>
      <w:r w:rsidRPr="006B0A9B">
        <w:rPr>
          <w:rFonts w:ascii="Palatino Linotype" w:eastAsia="Calibri" w:hAnsi="Palatino Linotype" w:cs="Tahoma"/>
          <w:i/>
          <w:iCs/>
          <w:u w:val="single"/>
          <w:lang w:eastAsia="es-ES_tradnl"/>
        </w:rPr>
        <w:t>servidores públicos de confianza</w:t>
      </w:r>
      <w:r w:rsidRPr="006B0A9B">
        <w:rPr>
          <w:rFonts w:ascii="Palatino Linotype" w:eastAsia="Calibri" w:hAnsi="Palatino Linotype" w:cs="Tahoma"/>
          <w:i/>
          <w:iCs/>
          <w:lang w:eastAsia="es-ES_tradnl"/>
        </w:rPr>
        <w:t>: I. Aquéllos cuyo nombramiento o ejercicio del cargo requiera de la intervención directa del titular de la institución pública, del órgano de gobierno o de los Organismos Autónomos Constitucionales; siendo atribución de éstos su nombramiento o remoción en cualquier momento; II. Aquéllos que tengan esa calidad en razón de la naturaleza de las funciones que desempeñen y no de la designación que se dé al puesto. 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Sin que lo anterior implique o signifique transgredir derechos laborales, sociales o colectivos adquiridos por los trabajadores.</w:t>
      </w:r>
    </w:p>
    <w:p w14:paraId="687C38DA" w14:textId="6C5160CB"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5C4ADCC8"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De lo anterior podemos colegir que la propia Ley del Trabajo proporciona una clasificación de servidores públicos, los cuales pueden ser servidores públicos generales u operativos y servidores públicos de confianza; los comprendidos en esta segunda clasificación ejercen funciones de dirección, inspección, vigilancia, auditoria, fiscalización, asesoría, procuración y administración de justicia, de protección civil y de representación directa de Titulares de Instituciones Públicas.</w:t>
      </w:r>
    </w:p>
    <w:p w14:paraId="3F04D38D"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 </w:t>
      </w:r>
    </w:p>
    <w:p w14:paraId="37349B78" w14:textId="67C356FB" w:rsidR="002E3DC6" w:rsidRPr="006B0A9B" w:rsidRDefault="000A0EE6" w:rsidP="000A0EE6">
      <w:pPr>
        <w:pStyle w:val="Prrafodelista"/>
        <w:numPr>
          <w:ilvl w:val="0"/>
          <w:numId w:val="38"/>
        </w:numPr>
        <w:spacing w:line="360" w:lineRule="auto"/>
        <w:ind w:right="-93"/>
        <w:jc w:val="both"/>
        <w:rPr>
          <w:rFonts w:ascii="Palatino Linotype" w:eastAsia="Calibri" w:hAnsi="Palatino Linotype" w:cs="Tahoma"/>
          <w:b/>
          <w:bCs/>
          <w:iCs/>
          <w:szCs w:val="22"/>
          <w:lang w:eastAsia="es-ES_tradnl"/>
        </w:rPr>
      </w:pPr>
      <w:r w:rsidRPr="006B0A9B">
        <w:rPr>
          <w:rFonts w:ascii="Palatino Linotype" w:eastAsia="Calibri" w:hAnsi="Palatino Linotype" w:cs="Tahoma"/>
          <w:b/>
          <w:bCs/>
          <w:iCs/>
          <w:szCs w:val="22"/>
          <w:lang w:eastAsia="es-ES_tradnl"/>
        </w:rPr>
        <w:t>Grupo Tláloc</w:t>
      </w:r>
    </w:p>
    <w:p w14:paraId="5F5CF1BF" w14:textId="77777777" w:rsidR="007E13D5" w:rsidRPr="006B0A9B" w:rsidRDefault="007E13D5" w:rsidP="002E3DC6">
      <w:pPr>
        <w:spacing w:line="360" w:lineRule="auto"/>
        <w:ind w:right="-93"/>
        <w:jc w:val="both"/>
        <w:rPr>
          <w:rFonts w:ascii="Palatino Linotype" w:eastAsia="Calibri" w:hAnsi="Palatino Linotype" w:cs="Tahoma"/>
          <w:iCs/>
          <w:sz w:val="22"/>
          <w:szCs w:val="22"/>
          <w:lang w:eastAsia="es-ES_tradnl"/>
        </w:rPr>
      </w:pPr>
    </w:p>
    <w:p w14:paraId="5B89350E" w14:textId="12B90762"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De conformidad con la Secretaría del Agua del Estado de México dentro del “</w:t>
      </w:r>
      <w:r w:rsidRPr="006B0A9B">
        <w:rPr>
          <w:rFonts w:ascii="Palatino Linotype" w:eastAsia="Calibri" w:hAnsi="Palatino Linotype" w:cs="Tahoma"/>
          <w:i/>
          <w:iCs/>
          <w:sz w:val="22"/>
          <w:szCs w:val="22"/>
          <w:lang w:eastAsia="es-ES_tradnl"/>
        </w:rPr>
        <w:t>Plan de Contingencias para la Temporada de Lluvias</w:t>
      </w:r>
      <w:r w:rsidRPr="006B0A9B">
        <w:rPr>
          <w:rFonts w:ascii="Palatino Linotype" w:eastAsia="Calibri" w:hAnsi="Palatino Linotype" w:cs="Tahoma"/>
          <w:iCs/>
          <w:sz w:val="22"/>
          <w:szCs w:val="22"/>
          <w:lang w:eastAsia="es-ES_tradnl"/>
        </w:rPr>
        <w:t>”, se cuenta con el “</w:t>
      </w:r>
      <w:r w:rsidRPr="006B0A9B">
        <w:rPr>
          <w:rFonts w:ascii="Palatino Linotype" w:eastAsia="Calibri" w:hAnsi="Palatino Linotype" w:cs="Tahoma"/>
          <w:i/>
          <w:iCs/>
          <w:sz w:val="22"/>
          <w:szCs w:val="22"/>
          <w:lang w:eastAsia="es-ES_tradnl"/>
        </w:rPr>
        <w:t>El Grupo Tláloc</w:t>
      </w:r>
      <w:r w:rsidRPr="006B0A9B">
        <w:rPr>
          <w:rFonts w:ascii="Palatino Linotype" w:eastAsia="Calibri" w:hAnsi="Palatino Linotype" w:cs="Tahoma"/>
          <w:iCs/>
          <w:sz w:val="22"/>
          <w:szCs w:val="22"/>
          <w:lang w:eastAsia="es-ES_tradnl"/>
        </w:rPr>
        <w:t xml:space="preserve">”, cuyo objetivo es </w:t>
      </w:r>
      <w:r w:rsidRPr="006B0A9B">
        <w:rPr>
          <w:rFonts w:ascii="Palatino Linotype" w:eastAsia="Calibri" w:hAnsi="Palatino Linotype" w:cs="Tahoma"/>
          <w:iCs/>
          <w:sz w:val="22"/>
          <w:szCs w:val="22"/>
          <w:lang w:eastAsia="es-ES_tradnl"/>
        </w:rPr>
        <w:lastRenderedPageBreak/>
        <w:t>el de supervisar, vigilar y atender de forma directa e inmediata la problemática de encharcamientos e inundaciones que aqueja a la población mexiquense.</w:t>
      </w:r>
      <w:r w:rsidR="00090CF7" w:rsidRPr="006B0A9B">
        <w:rPr>
          <w:rFonts w:ascii="Palatino Linotype" w:eastAsia="Calibri" w:hAnsi="Palatino Linotype" w:cs="Tahoma"/>
          <w:iCs/>
          <w:sz w:val="22"/>
          <w:szCs w:val="22"/>
          <w:lang w:eastAsia="es-ES_tradnl"/>
        </w:rPr>
        <w:t xml:space="preserve"> (</w:t>
      </w:r>
      <w:hyperlink r:id="rId10" w:history="1">
        <w:r w:rsidR="00090CF7" w:rsidRPr="006B0A9B">
          <w:rPr>
            <w:rStyle w:val="Hipervnculo"/>
            <w:rFonts w:ascii="Palatino Linotype" w:eastAsia="Calibri" w:hAnsi="Palatino Linotype" w:cs="Tahoma"/>
            <w:iCs/>
            <w:sz w:val="22"/>
            <w:szCs w:val="22"/>
            <w:lang w:eastAsia="es-ES_tradnl"/>
          </w:rPr>
          <w:t>https://agua.edomex.gob.mx/campamentos-auxilio</w:t>
        </w:r>
      </w:hyperlink>
      <w:r w:rsidR="00090CF7" w:rsidRPr="006B0A9B">
        <w:rPr>
          <w:rFonts w:ascii="Palatino Linotype" w:eastAsia="Calibri" w:hAnsi="Palatino Linotype" w:cs="Tahoma"/>
          <w:iCs/>
          <w:sz w:val="22"/>
          <w:szCs w:val="22"/>
          <w:lang w:eastAsia="es-ES_tradnl"/>
        </w:rPr>
        <w:t xml:space="preserve">) </w:t>
      </w:r>
    </w:p>
    <w:p w14:paraId="27FD8BAC" w14:textId="77777777" w:rsidR="00090CF7" w:rsidRPr="006B0A9B" w:rsidRDefault="00090CF7" w:rsidP="002E3DC6">
      <w:pPr>
        <w:spacing w:line="360" w:lineRule="auto"/>
        <w:ind w:right="-93"/>
        <w:jc w:val="both"/>
        <w:rPr>
          <w:rFonts w:ascii="Palatino Linotype" w:eastAsia="Calibri" w:hAnsi="Palatino Linotype" w:cs="Tahoma"/>
          <w:iCs/>
          <w:sz w:val="22"/>
          <w:szCs w:val="22"/>
          <w:lang w:eastAsia="es-ES_tradnl"/>
        </w:rPr>
      </w:pPr>
    </w:p>
    <w:p w14:paraId="39C55425"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La Secretaría del Agua </w:t>
      </w:r>
      <w:r w:rsidRPr="006B0A9B">
        <w:rPr>
          <w:rFonts w:ascii="Palatino Linotype" w:eastAsia="Calibri" w:hAnsi="Palatino Linotype" w:cs="Tahoma"/>
          <w:bCs/>
          <w:iCs/>
          <w:sz w:val="22"/>
          <w:szCs w:val="22"/>
          <w:lang w:eastAsia="es-ES_tradnl"/>
        </w:rPr>
        <w:t>con apoyo</w:t>
      </w:r>
      <w:r w:rsidRPr="006B0A9B">
        <w:rPr>
          <w:rFonts w:ascii="Palatino Linotype" w:eastAsia="Calibri" w:hAnsi="Palatino Linotype" w:cs="Tahoma"/>
          <w:iCs/>
          <w:sz w:val="22"/>
          <w:szCs w:val="22"/>
          <w:lang w:eastAsia="es-ES_tradnl"/>
        </w:rPr>
        <w:t xml:space="preserve"> de la </w:t>
      </w:r>
      <w:r w:rsidRPr="006B0A9B">
        <w:rPr>
          <w:rFonts w:ascii="Palatino Linotype" w:eastAsia="Calibri" w:hAnsi="Palatino Linotype" w:cs="Tahoma"/>
          <w:bCs/>
          <w:iCs/>
          <w:sz w:val="22"/>
          <w:szCs w:val="22"/>
          <w:lang w:eastAsia="es-ES_tradnl"/>
        </w:rPr>
        <w:t>Comisión del Agua del Estado de México</w:t>
      </w:r>
      <w:r w:rsidRPr="006B0A9B">
        <w:rPr>
          <w:rFonts w:ascii="Palatino Linotype" w:eastAsia="Calibri" w:hAnsi="Palatino Linotype" w:cs="Tahoma"/>
          <w:iCs/>
          <w:sz w:val="22"/>
          <w:szCs w:val="22"/>
          <w:lang w:eastAsia="es-ES_tradnl"/>
        </w:rPr>
        <w:t xml:space="preserve">, </w:t>
      </w:r>
      <w:r w:rsidRPr="006B0A9B">
        <w:rPr>
          <w:rFonts w:ascii="Palatino Linotype" w:eastAsia="Calibri" w:hAnsi="Palatino Linotype" w:cs="Tahoma"/>
          <w:bCs/>
          <w:iCs/>
          <w:sz w:val="22"/>
          <w:szCs w:val="22"/>
          <w:lang w:eastAsia="es-ES_tradnl"/>
        </w:rPr>
        <w:t>realiza acciones de vigilancia en los sitios susceptibles de inundación</w:t>
      </w:r>
      <w:r w:rsidRPr="006B0A9B">
        <w:rPr>
          <w:rFonts w:ascii="Palatino Linotype" w:eastAsia="Calibri" w:hAnsi="Palatino Linotype" w:cs="Tahoma"/>
          <w:iCs/>
          <w:sz w:val="22"/>
          <w:szCs w:val="22"/>
          <w:lang w:eastAsia="es-ES_tradnl"/>
        </w:rPr>
        <w:t xml:space="preserve"> y en la infraestructura hidráulica que representa un mayor riesgo, lo que permite tener una alerta temprana ante las contingencias presentadas, canalizando los recursos humanos y materiales para su atención inmediata.</w:t>
      </w:r>
    </w:p>
    <w:p w14:paraId="6239E528"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p>
    <w:p w14:paraId="3DD82F54"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De conformidad al sitio web oficial de la Secretaría del Agua del Estado de México, </w:t>
      </w:r>
      <w:r w:rsidRPr="006B0A9B">
        <w:rPr>
          <w:rFonts w:ascii="Palatino Linotype" w:eastAsia="Calibri" w:hAnsi="Palatino Linotype" w:cs="Tahoma"/>
          <w:bCs/>
          <w:iCs/>
          <w:sz w:val="22"/>
          <w:szCs w:val="22"/>
          <w:lang w:eastAsia="es-ES_tradnl"/>
        </w:rPr>
        <w:t>la Comisión del Agua del Estado de México proporciona servicios de operación y mantenimiento de infraestructura hidráulica</w:t>
      </w:r>
      <w:r w:rsidRPr="006B0A9B">
        <w:rPr>
          <w:rFonts w:ascii="Palatino Linotype" w:eastAsia="Calibri" w:hAnsi="Palatino Linotype" w:cs="Tahoma"/>
          <w:iCs/>
          <w:sz w:val="22"/>
          <w:szCs w:val="22"/>
          <w:lang w:eastAsia="es-ES_tradnl"/>
        </w:rPr>
        <w:t xml:space="preserve"> de agua potable, </w:t>
      </w:r>
      <w:r w:rsidRPr="006B0A9B">
        <w:rPr>
          <w:rFonts w:ascii="Palatino Linotype" w:eastAsia="Calibri" w:hAnsi="Palatino Linotype" w:cs="Tahoma"/>
          <w:bCs/>
          <w:iCs/>
          <w:sz w:val="22"/>
          <w:szCs w:val="22"/>
          <w:lang w:eastAsia="es-ES_tradnl"/>
        </w:rPr>
        <w:t xml:space="preserve">drenaje </w:t>
      </w:r>
      <w:r w:rsidRPr="006B0A9B">
        <w:rPr>
          <w:rFonts w:ascii="Palatino Linotype" w:eastAsia="Calibri" w:hAnsi="Palatino Linotype" w:cs="Tahoma"/>
          <w:iCs/>
          <w:sz w:val="22"/>
          <w:szCs w:val="22"/>
          <w:lang w:eastAsia="es-ES_tradnl"/>
        </w:rPr>
        <w:t>y tratamiento a diferentes municipios de la entidad, a través de las 7 Gerencias Regionales dependientes de la Dirección General de Operaciones y Atención a Emergencias.</w:t>
      </w:r>
    </w:p>
    <w:p w14:paraId="299C8C7F"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p>
    <w:p w14:paraId="75C6BBF3"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Las </w:t>
      </w:r>
      <w:r w:rsidRPr="006B0A9B">
        <w:rPr>
          <w:rFonts w:ascii="Palatino Linotype" w:eastAsia="Calibri" w:hAnsi="Palatino Linotype" w:cs="Tahoma"/>
          <w:bCs/>
          <w:iCs/>
          <w:sz w:val="22"/>
          <w:szCs w:val="22"/>
          <w:lang w:eastAsia="es-ES_tradnl"/>
        </w:rPr>
        <w:t>gerencias regionales</w:t>
      </w:r>
      <w:r w:rsidRPr="006B0A9B">
        <w:rPr>
          <w:rFonts w:ascii="Palatino Linotype" w:eastAsia="Calibri" w:hAnsi="Palatino Linotype" w:cs="Tahoma"/>
          <w:iCs/>
          <w:sz w:val="22"/>
          <w:szCs w:val="22"/>
          <w:lang w:eastAsia="es-ES_tradnl"/>
        </w:rPr>
        <w:t xml:space="preserve"> son </w:t>
      </w:r>
      <w:r w:rsidRPr="006B0A9B">
        <w:rPr>
          <w:rFonts w:ascii="Palatino Linotype" w:eastAsia="Calibri" w:hAnsi="Palatino Linotype" w:cs="Tahoma"/>
          <w:bCs/>
          <w:iCs/>
          <w:sz w:val="22"/>
          <w:szCs w:val="22"/>
          <w:lang w:eastAsia="es-ES_tradnl"/>
        </w:rPr>
        <w:t>responsables de operar y dar mantenimiento a la infraestructura hidráulica y sanitaria</w:t>
      </w:r>
      <w:r w:rsidRPr="006B0A9B">
        <w:rPr>
          <w:rFonts w:ascii="Palatino Linotype" w:eastAsia="Calibri" w:hAnsi="Palatino Linotype" w:cs="Tahoma"/>
          <w:iCs/>
          <w:sz w:val="22"/>
          <w:szCs w:val="22"/>
          <w:lang w:eastAsia="es-ES_tradnl"/>
        </w:rPr>
        <w:t xml:space="preserve">, para atender las necesidades de servicios de los municipios que integran cada una de las regiones. </w:t>
      </w:r>
    </w:p>
    <w:p w14:paraId="642554FB" w14:textId="5337DE83" w:rsidR="002E3DC6" w:rsidRPr="006B0A9B" w:rsidRDefault="00D170BC"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mc:AlternateContent>
          <mc:Choice Requires="wps">
            <w:drawing>
              <wp:anchor distT="0" distB="0" distL="114300" distR="114300" simplePos="0" relativeHeight="251662336" behindDoc="0" locked="0" layoutInCell="1" allowOverlap="1" wp14:anchorId="2160246E" wp14:editId="4B2490A6">
                <wp:simplePos x="0" y="0"/>
                <wp:positionH relativeFrom="column">
                  <wp:posOffset>306070</wp:posOffset>
                </wp:positionH>
                <wp:positionV relativeFrom="paragraph">
                  <wp:posOffset>187325</wp:posOffset>
                </wp:positionV>
                <wp:extent cx="5314950" cy="1600200"/>
                <wp:effectExtent l="0" t="0" r="19050" b="19050"/>
                <wp:wrapNone/>
                <wp:docPr id="238271820" name="Conector recto 1"/>
                <wp:cNvGraphicFramePr/>
                <a:graphic xmlns:a="http://schemas.openxmlformats.org/drawingml/2006/main">
                  <a:graphicData uri="http://schemas.microsoft.com/office/word/2010/wordprocessingShape">
                    <wps:wsp>
                      <wps:cNvCnPr/>
                      <wps:spPr>
                        <a:xfrm flipV="1">
                          <a:off x="0" y="0"/>
                          <a:ext cx="5314950" cy="160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BD4C60" id="Conector recto 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4.1pt,14.75pt" to="442.6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" strokecolor="#4472c4 [3204]" strokeweight=".5pt">
                <v:stroke joinstyle="miter"/>
              </v:line>
            </w:pict>
          </mc:Fallback>
        </mc:AlternateContent>
      </w:r>
    </w:p>
    <w:p w14:paraId="0DCFF39F" w14:textId="1B0AE705" w:rsidR="002E3DC6" w:rsidRPr="006B0A9B" w:rsidRDefault="002E3DC6" w:rsidP="002E3DC6">
      <w:pPr>
        <w:spacing w:line="360" w:lineRule="auto"/>
        <w:ind w:right="-93"/>
        <w:jc w:val="center"/>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w:lastRenderedPageBreak/>
        <w:drawing>
          <wp:inline distT="0" distB="0" distL="0" distR="0" wp14:anchorId="13DAE167" wp14:editId="5020D301">
            <wp:extent cx="5491338" cy="4552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8747" cy="4559093"/>
                    </a:xfrm>
                    <a:prstGeom prst="rect">
                      <a:avLst/>
                    </a:prstGeom>
                    <a:noFill/>
                  </pic:spPr>
                </pic:pic>
              </a:graphicData>
            </a:graphic>
          </wp:inline>
        </w:drawing>
      </w:r>
    </w:p>
    <w:p w14:paraId="11FD2A36" w14:textId="38490F7E"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2E5CB40F"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Ahora bien, de conformidad con el Organigrama del Sujeto Obligado, se desprende que efectivamente existe la Dirección General de Operaciones y Atención a Emergencias y esta a su vez, está integrada por siete Gerencias Regionales en diferentes puntos del Estado de México, que de conformidad a su Manual General de Organización tiene facultades para:</w:t>
      </w:r>
    </w:p>
    <w:p w14:paraId="7DA1E134" w14:textId="77777777" w:rsidR="00090CF7" w:rsidRPr="006B0A9B" w:rsidRDefault="00090CF7" w:rsidP="002E3DC6">
      <w:pPr>
        <w:spacing w:line="360" w:lineRule="auto"/>
        <w:ind w:left="567" w:right="539"/>
        <w:jc w:val="both"/>
        <w:rPr>
          <w:rFonts w:ascii="Palatino Linotype" w:eastAsia="Calibri" w:hAnsi="Palatino Linotype" w:cs="Tahoma"/>
          <w:b/>
          <w:bCs/>
          <w:i/>
          <w:iCs/>
          <w:lang w:eastAsia="es-ES_tradnl"/>
        </w:rPr>
      </w:pPr>
    </w:p>
    <w:p w14:paraId="7BED1F2D"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 xml:space="preserve">229B80000 DIRECCIÓN GENERAL DE OPERACIONES Y ATENCIÓN A EMERGENCIAS </w:t>
      </w:r>
    </w:p>
    <w:p w14:paraId="52D1EC0B"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p>
    <w:p w14:paraId="5A595502"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 xml:space="preserve">OBJETIVO: </w:t>
      </w:r>
    </w:p>
    <w:p w14:paraId="60660F64" w14:textId="77777777" w:rsidR="007E13D5" w:rsidRPr="006B0A9B" w:rsidRDefault="007E13D5" w:rsidP="002E3DC6">
      <w:pPr>
        <w:spacing w:line="360" w:lineRule="auto"/>
        <w:ind w:left="567" w:right="539"/>
        <w:jc w:val="both"/>
        <w:rPr>
          <w:rFonts w:ascii="Palatino Linotype" w:eastAsia="Calibri" w:hAnsi="Palatino Linotype" w:cs="Tahoma"/>
          <w:i/>
          <w:iCs/>
          <w:lang w:eastAsia="es-ES_tradnl"/>
        </w:rPr>
      </w:pPr>
    </w:p>
    <w:p w14:paraId="301F26F6" w14:textId="5A6E9C11"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Planear y programar la operación y el mantenimiento preventivo o la reparación de la infraestructura hidráulica con la que se proporciona a los ayuntamientos, organismos operadores, sector social y privado los servicios de agua potable en bloque, </w:t>
      </w:r>
      <w:r w:rsidRPr="006B0A9B">
        <w:rPr>
          <w:rFonts w:ascii="Palatino Linotype" w:eastAsia="Calibri" w:hAnsi="Palatino Linotype" w:cs="Tahoma"/>
          <w:b/>
          <w:bCs/>
          <w:i/>
          <w:iCs/>
          <w:u w:val="single"/>
          <w:lang w:eastAsia="es-ES_tradnl"/>
        </w:rPr>
        <w:t>así como la utilizada para el desalojo de aguas residuales y pluviales y su tratamiento y colaborar en la atención inmediata a las emergencias y contingencias que se presenten en materia hidráulica en el ámbito estatal</w:t>
      </w:r>
      <w:r w:rsidRPr="006B0A9B">
        <w:rPr>
          <w:rFonts w:ascii="Palatino Linotype" w:eastAsia="Calibri" w:hAnsi="Palatino Linotype" w:cs="Tahoma"/>
          <w:i/>
          <w:iCs/>
          <w:lang w:eastAsia="es-ES_tradnl"/>
        </w:rPr>
        <w:t xml:space="preserve"> y cuando se solicite en la federal y municipal, en el marco de la normatividad vigente en la materia. </w:t>
      </w:r>
    </w:p>
    <w:p w14:paraId="36268129"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p>
    <w:p w14:paraId="7E35DAE8" w14:textId="77777777" w:rsidR="002E3DC6" w:rsidRPr="006B0A9B" w:rsidRDefault="002E3DC6" w:rsidP="002E3DC6">
      <w:pPr>
        <w:spacing w:line="360" w:lineRule="auto"/>
        <w:ind w:left="567" w:right="539"/>
        <w:jc w:val="both"/>
        <w:rPr>
          <w:rFonts w:ascii="Palatino Linotype" w:eastAsia="Calibri" w:hAnsi="Palatino Linotype" w:cs="Tahoma"/>
          <w:b/>
          <w:bCs/>
          <w:i/>
          <w:iCs/>
          <w:lang w:eastAsia="es-ES_tradnl"/>
        </w:rPr>
      </w:pPr>
      <w:r w:rsidRPr="006B0A9B">
        <w:rPr>
          <w:rFonts w:ascii="Palatino Linotype" w:eastAsia="Calibri" w:hAnsi="Palatino Linotype" w:cs="Tahoma"/>
          <w:b/>
          <w:bCs/>
          <w:i/>
          <w:iCs/>
          <w:lang w:eastAsia="es-ES_tradnl"/>
        </w:rPr>
        <w:t>FUNCIONES:</w:t>
      </w:r>
    </w:p>
    <w:p w14:paraId="52A12BD7" w14:textId="77777777" w:rsidR="007E13D5" w:rsidRPr="006B0A9B" w:rsidRDefault="007E13D5" w:rsidP="002E3DC6">
      <w:pPr>
        <w:spacing w:line="360" w:lineRule="auto"/>
        <w:ind w:left="567" w:right="539"/>
        <w:jc w:val="both"/>
        <w:rPr>
          <w:rFonts w:ascii="Palatino Linotype" w:eastAsia="Calibri" w:hAnsi="Palatino Linotype" w:cs="Tahoma"/>
          <w:i/>
          <w:iCs/>
          <w:lang w:eastAsia="es-ES_tradnl"/>
        </w:rPr>
      </w:pPr>
    </w:p>
    <w:p w14:paraId="731BEE63" w14:textId="466959A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 Proponer e implementar las acciones pertinentes para el manejo adecuado de las aguas negras y pluviales hasta su disposición final. </w:t>
      </w:r>
    </w:p>
    <w:p w14:paraId="119552C4"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-Colaborar con los organismos operadores o con los ayuntamientos en situaciones de contingencia o emergencias suscitadas en épocas de lluvias, de acuerdo con los lineamientos establecidos por el Sistema Estatal de Protección Civil. </w:t>
      </w:r>
    </w:p>
    <w:p w14:paraId="2894D3FD" w14:textId="560C15D7" w:rsidR="002E3DC6" w:rsidRPr="006B0A9B" w:rsidRDefault="00090CF7"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70955FE2"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 xml:space="preserve">-Proporcionar, a través de las áreas administrativas de la Comisión, asistencia técnica a los ayuntamientos y organismos operadores que lo soliciten, relacionada con la operación y mantenimiento de los sistemas de agua potable, drenaje, alcantarillado, saneamiento, tratamiento y reúso de aguas tratadas. </w:t>
      </w:r>
    </w:p>
    <w:p w14:paraId="2D8C4C2D" w14:textId="662D59E4" w:rsidR="002E3DC6" w:rsidRPr="006B0A9B" w:rsidRDefault="00090CF7"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7A53238D" w14:textId="77777777" w:rsidR="002E3DC6" w:rsidRPr="006B0A9B" w:rsidRDefault="002E3DC6"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r w:rsidRPr="006B0A9B">
        <w:rPr>
          <w:rFonts w:ascii="Palatino Linotype" w:eastAsia="Calibri" w:hAnsi="Palatino Linotype" w:cs="Tahoma"/>
          <w:bCs/>
          <w:i/>
          <w:iCs/>
          <w:lang w:eastAsia="es-ES_tradnl"/>
        </w:rPr>
        <w:t>Vigilar a través de las unidades administrativas bajo su adscripción, la realización del servicio de desazolve de drenajes, cárcamos, canales y drenes a cielo abierto</w:t>
      </w:r>
      <w:r w:rsidRPr="006B0A9B">
        <w:rPr>
          <w:rFonts w:ascii="Palatino Linotype" w:eastAsia="Calibri" w:hAnsi="Palatino Linotype" w:cs="Tahoma"/>
          <w:i/>
          <w:iCs/>
          <w:lang w:eastAsia="es-ES_tradnl"/>
        </w:rPr>
        <w:t xml:space="preserve">. </w:t>
      </w:r>
    </w:p>
    <w:p w14:paraId="16A88037" w14:textId="3A62B8BC" w:rsidR="002E3DC6" w:rsidRPr="006B0A9B" w:rsidRDefault="00090CF7" w:rsidP="002E3DC6">
      <w:pPr>
        <w:spacing w:line="360" w:lineRule="auto"/>
        <w:ind w:left="567" w:right="539"/>
        <w:jc w:val="both"/>
        <w:rPr>
          <w:rFonts w:ascii="Palatino Linotype" w:eastAsia="Calibri" w:hAnsi="Palatino Linotype" w:cs="Tahoma"/>
          <w:i/>
          <w:iCs/>
          <w:lang w:eastAsia="es-ES_tradnl"/>
        </w:rPr>
      </w:pPr>
      <w:r w:rsidRPr="006B0A9B">
        <w:rPr>
          <w:rFonts w:ascii="Palatino Linotype" w:eastAsia="Calibri" w:hAnsi="Palatino Linotype" w:cs="Tahoma"/>
          <w:i/>
          <w:iCs/>
          <w:lang w:eastAsia="es-ES_tradnl"/>
        </w:rPr>
        <w:t>…</w:t>
      </w:r>
    </w:p>
    <w:p w14:paraId="65E41F40" w14:textId="7B8FC937"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44CDC5C8"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lastRenderedPageBreak/>
        <w:t>Entonces se colige que la Comisión del Agua del Estado de México cuenta con personal para realizar los servicios de desazolve de drenajes, canales y cárcamos, y colaborar con organismos y ayuntamientos en situaciones de emergencia.</w:t>
      </w:r>
    </w:p>
    <w:p w14:paraId="25295CC1"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p>
    <w:p w14:paraId="795F5036" w14:textId="77777777" w:rsidR="00C86059"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El argumento anterior se ve reforzado a través de la nota periodística emitida por INFOBAE, de fecha </w:t>
      </w:r>
      <w:r w:rsidR="00090CF7" w:rsidRPr="006B0A9B">
        <w:rPr>
          <w:rFonts w:ascii="Palatino Linotype" w:eastAsia="Calibri" w:hAnsi="Palatino Linotype" w:cs="Tahoma"/>
          <w:iCs/>
          <w:sz w:val="22"/>
          <w:szCs w:val="22"/>
          <w:lang w:eastAsia="es-ES_tradnl"/>
        </w:rPr>
        <w:t>siete</w:t>
      </w:r>
      <w:r w:rsidRPr="006B0A9B">
        <w:rPr>
          <w:rFonts w:ascii="Palatino Linotype" w:eastAsia="Calibri" w:hAnsi="Palatino Linotype" w:cs="Tahoma"/>
          <w:iCs/>
          <w:sz w:val="22"/>
          <w:szCs w:val="22"/>
          <w:lang w:eastAsia="es-ES_tradnl"/>
        </w:rPr>
        <w:t xml:space="preserve"> de julio de </w:t>
      </w:r>
      <w:r w:rsidR="00090CF7" w:rsidRPr="006B0A9B">
        <w:rPr>
          <w:rFonts w:ascii="Palatino Linotype" w:eastAsia="Calibri" w:hAnsi="Palatino Linotype" w:cs="Tahoma"/>
          <w:iCs/>
          <w:sz w:val="22"/>
          <w:szCs w:val="22"/>
          <w:lang w:eastAsia="es-ES_tradnl"/>
        </w:rPr>
        <w:t>dos mil veintiuno</w:t>
      </w:r>
      <w:r w:rsidRPr="006B0A9B">
        <w:rPr>
          <w:rFonts w:ascii="Palatino Linotype" w:eastAsia="Calibri" w:hAnsi="Palatino Linotype" w:cs="Tahoma"/>
          <w:iCs/>
          <w:sz w:val="22"/>
          <w:szCs w:val="22"/>
          <w:lang w:eastAsia="es-ES_tradnl"/>
        </w:rPr>
        <w:t xml:space="preserve">, de la cual se insertan extractos y de manera integral se rescata en la siguiente liga electrónica: </w:t>
      </w:r>
    </w:p>
    <w:p w14:paraId="03C8346F" w14:textId="5895184F" w:rsidR="002E3DC6" w:rsidRPr="006B0A9B" w:rsidRDefault="000D06AD" w:rsidP="002E3DC6">
      <w:pPr>
        <w:spacing w:line="360" w:lineRule="auto"/>
        <w:ind w:right="-93"/>
        <w:jc w:val="both"/>
        <w:rPr>
          <w:rFonts w:ascii="Palatino Linotype" w:eastAsia="Calibri" w:hAnsi="Palatino Linotype" w:cs="Tahoma"/>
          <w:iCs/>
          <w:sz w:val="22"/>
          <w:szCs w:val="22"/>
          <w:lang w:eastAsia="es-ES_tradnl"/>
        </w:rPr>
      </w:pPr>
      <w:hyperlink r:id="rId12" w:history="1">
        <w:r w:rsidR="002E3DC6" w:rsidRPr="006B0A9B">
          <w:rPr>
            <w:rStyle w:val="Hipervnculo"/>
            <w:rFonts w:ascii="Palatino Linotype" w:eastAsia="Calibri" w:hAnsi="Palatino Linotype" w:cs="Tahoma"/>
            <w:iCs/>
            <w:sz w:val="22"/>
            <w:szCs w:val="22"/>
            <w:lang w:eastAsia="es-ES_tradnl"/>
          </w:rPr>
          <w:t>https://www.infobae.com/america/mexico/2021/07/07/basura-en-coladeras-el-principal-enemigo-del-grupo-tlaloc-el-comando-especial-que-lucha-contra-las-inundaciones-en-edomex/</w:t>
        </w:r>
      </w:hyperlink>
      <w:r w:rsidR="002E3DC6" w:rsidRPr="006B0A9B">
        <w:rPr>
          <w:rFonts w:ascii="Palatino Linotype" w:eastAsia="Calibri" w:hAnsi="Palatino Linotype" w:cs="Tahoma"/>
          <w:iCs/>
          <w:sz w:val="22"/>
          <w:szCs w:val="22"/>
          <w:lang w:eastAsia="es-ES_tradnl"/>
        </w:rPr>
        <w:t xml:space="preserve"> </w:t>
      </w:r>
    </w:p>
    <w:p w14:paraId="29B3113B" w14:textId="46A353FE" w:rsidR="002E3DC6" w:rsidRPr="006B0A9B" w:rsidRDefault="002E3DC6" w:rsidP="00090CF7">
      <w:pPr>
        <w:spacing w:line="360" w:lineRule="auto"/>
        <w:ind w:right="-93"/>
        <w:jc w:val="center"/>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w:drawing>
          <wp:inline distT="0" distB="0" distL="0" distR="0" wp14:anchorId="0E028B30" wp14:editId="7AD4E21F">
            <wp:extent cx="4219562" cy="3971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702" cy="4048303"/>
                    </a:xfrm>
                    <a:prstGeom prst="rect">
                      <a:avLst/>
                    </a:prstGeom>
                    <a:noFill/>
                  </pic:spPr>
                </pic:pic>
              </a:graphicData>
            </a:graphic>
          </wp:inline>
        </w:drawing>
      </w:r>
    </w:p>
    <w:p w14:paraId="3F11889C" w14:textId="07D4002B" w:rsidR="002E3DC6" w:rsidRPr="006B0A9B" w:rsidRDefault="002E3DC6" w:rsidP="00090CF7">
      <w:pPr>
        <w:spacing w:line="360" w:lineRule="auto"/>
        <w:ind w:right="-93"/>
        <w:jc w:val="center"/>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w:lastRenderedPageBreak/>
        <w:drawing>
          <wp:inline distT="0" distB="0" distL="0" distR="0" wp14:anchorId="317C5513" wp14:editId="59741569">
            <wp:extent cx="3141980" cy="3399884"/>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629" cy="3411407"/>
                    </a:xfrm>
                    <a:prstGeom prst="rect">
                      <a:avLst/>
                    </a:prstGeom>
                    <a:noFill/>
                  </pic:spPr>
                </pic:pic>
              </a:graphicData>
            </a:graphic>
          </wp:inline>
        </w:drawing>
      </w:r>
    </w:p>
    <w:p w14:paraId="4398E9B7" w14:textId="779C0918"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384BCB5D"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6B0A9B">
        <w:rPr>
          <w:rFonts w:ascii="Palatino Linotype" w:eastAsia="Calibri" w:hAnsi="Palatino Linotype" w:cs="Tahoma"/>
          <w:b/>
          <w:iCs/>
          <w:sz w:val="22"/>
          <w:szCs w:val="22"/>
          <w:lang w:eastAsia="es-ES_tradnl"/>
        </w:rPr>
        <w:t>“</w:t>
      </w:r>
      <w:r w:rsidRPr="006B0A9B">
        <w:rPr>
          <w:rFonts w:ascii="Palatino Linotype" w:eastAsia="Calibri" w:hAnsi="Palatino Linotype" w:cs="Tahoma"/>
          <w:b/>
          <w:i/>
          <w:iCs/>
          <w:sz w:val="22"/>
          <w:szCs w:val="22"/>
          <w:lang w:eastAsia="es-ES_tradnl"/>
        </w:rPr>
        <w:t>NOTAS PERIODISTICAS, EL CONOCIMIENTO QUE DE ELLAS SE OBTIENE NO CONSTITUYE ‘UN HECHO PUBLICO Y NOTORIO’</w:t>
      </w:r>
      <w:r w:rsidRPr="006B0A9B">
        <w:rPr>
          <w:rFonts w:ascii="Palatino Linotype" w:eastAsia="Calibri" w:hAnsi="Palatino Linotype" w:cs="Tahoma"/>
          <w:b/>
          <w:iCs/>
          <w:sz w:val="22"/>
          <w:szCs w:val="22"/>
          <w:lang w:eastAsia="es-ES_tradnl"/>
        </w:rPr>
        <w:t>”</w:t>
      </w:r>
      <w:r w:rsidRPr="006B0A9B">
        <w:rPr>
          <w:rFonts w:ascii="Palatino Linotype" w:eastAsia="Calibri" w:hAnsi="Palatino Linotype" w:cs="Tahoma"/>
          <w:iCs/>
          <w:sz w:val="22"/>
          <w:szCs w:val="22"/>
          <w:lang w:eastAsia="es-ES_tradnl"/>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0A3F9D80" w14:textId="0BCEE095"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lastRenderedPageBreak/>
        <w:t>De lo anterior, se colige que el Sujeto Obligado posee las facultades y atribuciones para conocer de la información solicitada, respecto a las vacantes y plazas ocupadas, así también de los trabajadores de base, eventuales y Grupo Tlaloc</w:t>
      </w:r>
      <w:r w:rsidR="005F07F5" w:rsidRPr="006B0A9B">
        <w:rPr>
          <w:rFonts w:ascii="Palatino Linotype" w:eastAsia="Calibri" w:hAnsi="Palatino Linotype" w:cs="Tahoma"/>
          <w:iCs/>
          <w:sz w:val="22"/>
          <w:szCs w:val="22"/>
          <w:lang w:eastAsia="es-ES_tradnl"/>
        </w:rPr>
        <w:t>; por lo que, deberá proporcionar la información que obre en sus archivos y, para el caso de que no cuente con plazas eventuales deberá hacerlo del conocimiento de la parte Recurrente.</w:t>
      </w:r>
    </w:p>
    <w:p w14:paraId="3815D2FB" w14:textId="5FF55E36"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5F597CCB" w14:textId="336137C4" w:rsidR="00671C57" w:rsidRPr="006B0A9B" w:rsidRDefault="00090CF7" w:rsidP="00090CF7">
      <w:pPr>
        <w:pStyle w:val="Prrafodelista"/>
        <w:numPr>
          <w:ilvl w:val="0"/>
          <w:numId w:val="37"/>
        </w:numPr>
        <w:spacing w:line="360" w:lineRule="auto"/>
        <w:ind w:right="-93"/>
        <w:jc w:val="both"/>
        <w:rPr>
          <w:rFonts w:ascii="Palatino Linotype" w:eastAsia="Calibri" w:hAnsi="Palatino Linotype" w:cs="Tahoma"/>
          <w:b/>
          <w:bCs/>
          <w:iCs/>
          <w:szCs w:val="22"/>
          <w:lang w:val="es-ES" w:eastAsia="es-ES_tradnl"/>
        </w:rPr>
      </w:pPr>
      <w:r w:rsidRPr="006B0A9B">
        <w:rPr>
          <w:rFonts w:ascii="Palatino Linotype" w:eastAsia="Calibri" w:hAnsi="Palatino Linotype" w:cs="Tahoma"/>
          <w:b/>
          <w:bCs/>
          <w:iCs/>
          <w:szCs w:val="22"/>
          <w:lang w:val="es-ES" w:eastAsia="es-ES_tradnl"/>
        </w:rPr>
        <w:t xml:space="preserve">El número de plazas que se encuentran congeladas y el motivo del por qué en la Comisión del Agua del </w:t>
      </w:r>
      <w:r w:rsidR="0021682E" w:rsidRPr="006B0A9B">
        <w:rPr>
          <w:rFonts w:ascii="Palatino Linotype" w:eastAsia="Calibri" w:hAnsi="Palatino Linotype" w:cs="Tahoma"/>
          <w:b/>
          <w:bCs/>
          <w:iCs/>
          <w:szCs w:val="22"/>
          <w:lang w:val="es-ES" w:eastAsia="es-ES_tradnl"/>
        </w:rPr>
        <w:t xml:space="preserve">Estado </w:t>
      </w:r>
      <w:r w:rsidRPr="006B0A9B">
        <w:rPr>
          <w:rFonts w:ascii="Palatino Linotype" w:eastAsia="Calibri" w:hAnsi="Palatino Linotype" w:cs="Tahoma"/>
          <w:b/>
          <w:bCs/>
          <w:iCs/>
          <w:szCs w:val="22"/>
          <w:lang w:val="es-ES" w:eastAsia="es-ES_tradnl"/>
        </w:rPr>
        <w:t>de México.</w:t>
      </w:r>
    </w:p>
    <w:p w14:paraId="28CA73EE" w14:textId="77777777" w:rsidR="00090CF7" w:rsidRPr="006B0A9B" w:rsidRDefault="00090CF7" w:rsidP="002E3DC6">
      <w:pPr>
        <w:spacing w:line="360" w:lineRule="auto"/>
        <w:ind w:right="-93"/>
        <w:jc w:val="both"/>
        <w:rPr>
          <w:rFonts w:ascii="Palatino Linotype" w:eastAsia="Calibri" w:hAnsi="Palatino Linotype" w:cs="Tahoma"/>
          <w:iCs/>
          <w:sz w:val="22"/>
          <w:szCs w:val="22"/>
          <w:lang w:eastAsia="es-ES_tradnl"/>
        </w:rPr>
      </w:pPr>
    </w:p>
    <w:p w14:paraId="711B20E5" w14:textId="3F87FF49"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De la porción de solicitud en comento, se aprecia que en esencia contiene dos requerimientos, el primero hace alusión al número de “</w:t>
      </w:r>
      <w:r w:rsidRPr="006B0A9B">
        <w:rPr>
          <w:rFonts w:ascii="Palatino Linotype" w:eastAsia="Calibri" w:hAnsi="Palatino Linotype" w:cs="Tahoma"/>
          <w:i/>
          <w:iCs/>
          <w:sz w:val="22"/>
          <w:szCs w:val="22"/>
          <w:lang w:eastAsia="es-ES_tradnl"/>
        </w:rPr>
        <w:t>plazas congeladas</w:t>
      </w:r>
      <w:r w:rsidRPr="006B0A9B">
        <w:rPr>
          <w:rFonts w:ascii="Palatino Linotype" w:eastAsia="Calibri" w:hAnsi="Palatino Linotype" w:cs="Tahoma"/>
          <w:iCs/>
          <w:sz w:val="22"/>
          <w:szCs w:val="22"/>
          <w:lang w:eastAsia="es-ES_tradnl"/>
        </w:rPr>
        <w:t xml:space="preserve">”, requerimiento del cual se interpreta que el solicitante quiere acceder al número de plazas en las cuales no es posible contratar a una persona, ya que la plaza no está vacante (disponible) u ocupada, sino una especie de inhabilitación temporal de la plaza. </w:t>
      </w:r>
    </w:p>
    <w:p w14:paraId="38C9F404"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p>
    <w:p w14:paraId="4B09353B" w14:textId="14A4074E" w:rsidR="00C86059" w:rsidRPr="006B0A9B" w:rsidRDefault="00C86059"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De conformidad a las Medidas de Austeridad y Contención del Gasto Público del Poder Ejecutivo del Gobierno del Estado de México, se determina que son obligatorias para las dependencias y entidades públicas del Poder Ejecutivo del Estado de México, y tienen por objeto hacer que del gasto público se sujete a los principios de objetividad, equidad, austeridad, transparencia, publicidad, selectividad, eficiencia, eficacia, economía, racionalidad, entre otros.</w:t>
      </w:r>
    </w:p>
    <w:p w14:paraId="65AEEAF8" w14:textId="77777777" w:rsidR="00C86059" w:rsidRPr="006B0A9B" w:rsidRDefault="00C86059" w:rsidP="002E3DC6">
      <w:pPr>
        <w:spacing w:line="360" w:lineRule="auto"/>
        <w:ind w:right="-93"/>
        <w:jc w:val="both"/>
        <w:rPr>
          <w:rFonts w:ascii="Palatino Linotype" w:eastAsia="Calibri" w:hAnsi="Palatino Linotype" w:cs="Tahoma"/>
          <w:iCs/>
          <w:sz w:val="22"/>
          <w:szCs w:val="22"/>
          <w:lang w:eastAsia="es-ES_tradnl"/>
        </w:rPr>
      </w:pPr>
    </w:p>
    <w:p w14:paraId="0279130D" w14:textId="55114C72" w:rsidR="00C86059" w:rsidRPr="006B0A9B" w:rsidRDefault="00C86059"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De tal forma que</w:t>
      </w:r>
      <w:r w:rsidR="005B1F5C" w:rsidRPr="006B0A9B">
        <w:rPr>
          <w:rFonts w:ascii="Palatino Linotype" w:eastAsia="Calibri" w:hAnsi="Palatino Linotype" w:cs="Tahoma"/>
          <w:iCs/>
          <w:sz w:val="22"/>
          <w:szCs w:val="22"/>
          <w:lang w:eastAsia="es-ES_tradnl"/>
        </w:rPr>
        <w:t>,</w:t>
      </w:r>
      <w:r w:rsidRPr="006B0A9B">
        <w:rPr>
          <w:rFonts w:ascii="Palatino Linotype" w:eastAsia="Calibri" w:hAnsi="Palatino Linotype" w:cs="Tahoma"/>
          <w:iCs/>
          <w:sz w:val="22"/>
          <w:szCs w:val="22"/>
          <w:lang w:eastAsia="es-ES_tradnl"/>
        </w:rPr>
        <w:t xml:space="preserve"> la Medida Décima Tercera, fracción II, establece que las plazas de enlace y de apoyo técnico que se lleguen a encontrar, deberá permanecer en ese estado por un periodo de tres meses, salvo autorización correspondiente</w:t>
      </w:r>
    </w:p>
    <w:p w14:paraId="73B8F3C1" w14:textId="77777777" w:rsidR="00C86059" w:rsidRPr="006B0A9B" w:rsidRDefault="00C86059" w:rsidP="002E3DC6">
      <w:pPr>
        <w:spacing w:line="360" w:lineRule="auto"/>
        <w:ind w:right="-93"/>
        <w:jc w:val="both"/>
        <w:rPr>
          <w:rFonts w:ascii="Palatino Linotype" w:eastAsia="Calibri" w:hAnsi="Palatino Linotype" w:cs="Tahoma"/>
          <w:iCs/>
          <w:sz w:val="22"/>
          <w:szCs w:val="22"/>
          <w:lang w:eastAsia="es-ES_tradnl"/>
        </w:rPr>
      </w:pPr>
    </w:p>
    <w:p w14:paraId="196C2AB4" w14:textId="7787D3AA" w:rsidR="00C86059" w:rsidRPr="006B0A9B" w:rsidRDefault="00E115B9" w:rsidP="00E115B9">
      <w:pPr>
        <w:spacing w:line="360" w:lineRule="auto"/>
        <w:ind w:left="567" w:right="539"/>
        <w:jc w:val="both"/>
        <w:rPr>
          <w:rFonts w:ascii="Palatino Linotype" w:eastAsia="Calibri" w:hAnsi="Palatino Linotype" w:cs="Tahoma"/>
          <w:i/>
          <w:iCs/>
          <w:szCs w:val="22"/>
          <w:lang w:eastAsia="es-ES_tradnl"/>
        </w:rPr>
      </w:pPr>
      <w:r w:rsidRPr="006B0A9B">
        <w:rPr>
          <w:rFonts w:ascii="Palatino Linotype" w:eastAsia="Calibri" w:hAnsi="Palatino Linotype" w:cs="Tahoma"/>
          <w:b/>
          <w:i/>
          <w:iCs/>
          <w:szCs w:val="22"/>
          <w:lang w:eastAsia="es-ES_tradnl"/>
        </w:rPr>
        <w:lastRenderedPageBreak/>
        <w:t>DÉCIMA TERCERA</w:t>
      </w:r>
      <w:r w:rsidRPr="006B0A9B">
        <w:rPr>
          <w:rFonts w:ascii="Palatino Linotype" w:eastAsia="Calibri" w:hAnsi="Palatino Linotype" w:cs="Tahoma"/>
          <w:i/>
          <w:iCs/>
          <w:szCs w:val="22"/>
          <w:lang w:eastAsia="es-ES_tradnl"/>
        </w:rPr>
        <w:t>. Para lograr el ahorro en el capítulo 1000, “Servicios Personales”, las dependencias y entidades públicas observarán lo siguiente:</w:t>
      </w:r>
    </w:p>
    <w:p w14:paraId="104D2443" w14:textId="77777777" w:rsidR="0048119E" w:rsidRPr="006B0A9B" w:rsidRDefault="00E115B9" w:rsidP="00E115B9">
      <w:pPr>
        <w:spacing w:line="360" w:lineRule="auto"/>
        <w:ind w:left="567" w:right="539"/>
        <w:jc w:val="both"/>
        <w:rPr>
          <w:rFonts w:ascii="Palatino Linotype" w:eastAsia="Calibri" w:hAnsi="Palatino Linotype" w:cs="Tahoma"/>
          <w:i/>
          <w:iCs/>
          <w:szCs w:val="22"/>
          <w:lang w:eastAsia="es-ES_tradnl"/>
        </w:rPr>
      </w:pPr>
      <w:r w:rsidRPr="006B0A9B">
        <w:rPr>
          <w:rFonts w:ascii="Palatino Linotype" w:eastAsia="Calibri" w:hAnsi="Palatino Linotype" w:cs="Tahoma"/>
          <w:i/>
          <w:iCs/>
          <w:szCs w:val="22"/>
          <w:lang w:eastAsia="es-ES_tradnl"/>
        </w:rPr>
        <w:t xml:space="preserve">I. Ninguna persona servidora pública de las dependencias y entidades públicas podrá recibir un sueldo neto mensual superior al que percibe el Presidente de la República. </w:t>
      </w:r>
    </w:p>
    <w:p w14:paraId="32F189E2" w14:textId="77777777" w:rsidR="0048119E" w:rsidRPr="006B0A9B" w:rsidRDefault="00E115B9" w:rsidP="00E115B9">
      <w:pPr>
        <w:spacing w:line="360" w:lineRule="auto"/>
        <w:ind w:left="567" w:right="539"/>
        <w:jc w:val="both"/>
        <w:rPr>
          <w:rFonts w:ascii="Palatino Linotype" w:eastAsia="Calibri" w:hAnsi="Palatino Linotype" w:cs="Tahoma"/>
          <w:i/>
          <w:iCs/>
          <w:szCs w:val="22"/>
          <w:lang w:eastAsia="es-ES_tradnl"/>
        </w:rPr>
      </w:pPr>
      <w:r w:rsidRPr="006B0A9B">
        <w:rPr>
          <w:rFonts w:ascii="Palatino Linotype" w:eastAsia="Calibri" w:hAnsi="Palatino Linotype" w:cs="Tahoma"/>
          <w:i/>
          <w:iCs/>
          <w:szCs w:val="22"/>
          <w:lang w:eastAsia="es-ES_tradnl"/>
        </w:rPr>
        <w:t xml:space="preserve">II. Las plazas de enlace y de apoyo técnico que se lleguen a encontrar vacantes durante la vigencia de estas Medidas deberán permanecer en ese estado por un periodo de tres meses, salvo que el titular de la Subsecretaría de Administración autorice la excepción correspondiente, con base en la justificación que para tales efectos se le presente. La facultad de autorización prevista en el párrafo anterior podrá ser delegada, por escrito, en favor del titular de la Dirección General de Personal. En el caso de que las dependencias y entidades públicas posterguen la aplicación de la fecha de vigencia de las plazas autorizadas para su ocupación por más de cuatro meses, deberán de realizar nuevamente la petición, apegándose a estas Medidas. </w:t>
      </w:r>
    </w:p>
    <w:p w14:paraId="63735B52" w14:textId="2BFF0538" w:rsidR="00E115B9" w:rsidRPr="006B0A9B" w:rsidRDefault="00E115B9" w:rsidP="00E115B9">
      <w:pPr>
        <w:spacing w:line="360" w:lineRule="auto"/>
        <w:ind w:left="567" w:right="539"/>
        <w:jc w:val="both"/>
        <w:rPr>
          <w:rFonts w:ascii="Palatino Linotype" w:eastAsia="Calibri" w:hAnsi="Palatino Linotype" w:cs="Tahoma"/>
          <w:i/>
          <w:iCs/>
          <w:szCs w:val="22"/>
          <w:lang w:eastAsia="es-ES_tradnl"/>
        </w:rPr>
      </w:pPr>
      <w:r w:rsidRPr="006B0A9B">
        <w:rPr>
          <w:rFonts w:ascii="Palatino Linotype" w:eastAsia="Calibri" w:hAnsi="Palatino Linotype" w:cs="Tahoma"/>
          <w:i/>
          <w:iCs/>
          <w:szCs w:val="22"/>
          <w:lang w:eastAsia="es-ES_tradnl"/>
        </w:rPr>
        <w:t>III. Para que puedan ocuparse las plazas de enlace y de apoyo técnico que hayan estado vacantes de manera provisional, las áreas de administración, como parte del trámite de alta de la persona que se pretenda contratar, deberán formular la justificación correspondiente ante la Dirección General de Personal, y ésta deberá dictaminar sobre la necesidad de cubrir la vacante para no afectar la operación o las actividades de la institución respectiva, a efecto de que se obtenga la autorización necesaria por parte del titular de la Subsecretaría de Administración. Dicha justificación deberá contar con el visto bueno de la persona titular de la dependencia o de la entidad pública de que se trate, y la facultad de autorización prevista en el párrafo anterior</w:t>
      </w:r>
      <w:r w:rsidR="0048119E" w:rsidRPr="006B0A9B">
        <w:rPr>
          <w:rFonts w:ascii="Palatino Linotype" w:eastAsia="Calibri" w:hAnsi="Palatino Linotype" w:cs="Tahoma"/>
          <w:i/>
          <w:iCs/>
          <w:szCs w:val="22"/>
          <w:lang w:eastAsia="es-ES_tradnl"/>
        </w:rPr>
        <w:t xml:space="preserve"> podrá ser delegada, por escrito, por el titular de la Subsecretaría de Administración en favor del titular de la Dirección General de Personal.</w:t>
      </w:r>
    </w:p>
    <w:p w14:paraId="1784F9E4" w14:textId="77777777" w:rsidR="00E115B9" w:rsidRPr="006B0A9B" w:rsidRDefault="00E115B9" w:rsidP="00E115B9">
      <w:pPr>
        <w:spacing w:line="360" w:lineRule="auto"/>
        <w:ind w:left="567" w:right="539"/>
        <w:jc w:val="both"/>
        <w:rPr>
          <w:rFonts w:ascii="Palatino Linotype" w:eastAsia="Calibri" w:hAnsi="Palatino Linotype" w:cs="Tahoma"/>
          <w:i/>
          <w:iCs/>
          <w:szCs w:val="22"/>
          <w:lang w:eastAsia="es-ES_tradnl"/>
        </w:rPr>
      </w:pPr>
    </w:p>
    <w:p w14:paraId="3B4BE396" w14:textId="2B4BB984" w:rsidR="00C86059" w:rsidRPr="006B0A9B" w:rsidRDefault="0048119E"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Luego entonces, podemos advertir la existencia de plazas que al ser vacantes deberán estar por el periodo de tiempo que marcan las Medidas de Austeridad, es decir, “plazas congeladas” como refiere el Recurrente.  Al ser datos estadísticos, y al guardar relación con el punto anterior, resulta válido instruir al Sujeto Obligado a entregar el documento o documentos donde consten los números de plazas temporalmente vacantes.  No pasa desapercibido que el Sujeto Obligado </w:t>
      </w:r>
      <w:r w:rsidRPr="006B0A9B">
        <w:rPr>
          <w:rFonts w:ascii="Palatino Linotype" w:eastAsia="Calibri" w:hAnsi="Palatino Linotype" w:cs="Tahoma"/>
          <w:iCs/>
          <w:sz w:val="22"/>
          <w:szCs w:val="22"/>
          <w:lang w:eastAsia="es-ES_tradnl"/>
        </w:rPr>
        <w:lastRenderedPageBreak/>
        <w:t>podría no tener “plazas congeladas” o “plazas temporalmente vacantes”, de ser así deberá hacerlo del conocimiento del Recurrente en términos precisos y claros.</w:t>
      </w:r>
    </w:p>
    <w:p w14:paraId="7BE56B21" w14:textId="77777777" w:rsidR="0048119E" w:rsidRPr="006B0A9B" w:rsidRDefault="0048119E" w:rsidP="002E3DC6">
      <w:pPr>
        <w:spacing w:line="360" w:lineRule="auto"/>
        <w:ind w:right="-93"/>
        <w:jc w:val="both"/>
        <w:rPr>
          <w:rFonts w:ascii="Palatino Linotype" w:eastAsia="Calibri" w:hAnsi="Palatino Linotype" w:cs="Tahoma"/>
          <w:iCs/>
          <w:sz w:val="22"/>
          <w:szCs w:val="22"/>
          <w:lang w:eastAsia="es-ES_tradnl"/>
        </w:rPr>
      </w:pPr>
    </w:p>
    <w:p w14:paraId="6CCD614F" w14:textId="6B0BC058"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Respecto del segundo requerimiento localizado en este punto “</w:t>
      </w:r>
      <w:r w:rsidRPr="006B0A9B">
        <w:rPr>
          <w:rFonts w:ascii="Palatino Linotype" w:eastAsia="Calibri" w:hAnsi="Palatino Linotype" w:cs="Tahoma"/>
          <w:i/>
          <w:iCs/>
          <w:sz w:val="22"/>
          <w:szCs w:val="22"/>
          <w:lang w:eastAsia="es-ES_tradnl"/>
        </w:rPr>
        <w:t xml:space="preserve">y el motivo del por qué en esta </w:t>
      </w:r>
      <w:r w:rsidR="0021682E" w:rsidRPr="006B0A9B">
        <w:rPr>
          <w:rFonts w:ascii="Palatino Linotype" w:eastAsia="Calibri" w:hAnsi="Palatino Linotype" w:cs="Tahoma"/>
          <w:i/>
          <w:iCs/>
          <w:sz w:val="22"/>
          <w:szCs w:val="22"/>
          <w:lang w:eastAsia="es-ES_tradnl"/>
        </w:rPr>
        <w:t>Comisión…</w:t>
      </w:r>
      <w:r w:rsidRPr="006B0A9B">
        <w:rPr>
          <w:rFonts w:ascii="Palatino Linotype" w:eastAsia="Calibri" w:hAnsi="Palatino Linotype" w:cs="Tahoma"/>
          <w:iCs/>
          <w:sz w:val="22"/>
          <w:szCs w:val="22"/>
          <w:lang w:eastAsia="es-ES_tradnl"/>
        </w:rPr>
        <w:t>” se observa que el cuestionamiento corresponde a un pronunciamiento emitido con base al Derecho de Petición que tiene el o la solicitante.</w:t>
      </w:r>
    </w:p>
    <w:p w14:paraId="55C10E65" w14:textId="77777777" w:rsidR="005B062F" w:rsidRPr="006B0A9B" w:rsidRDefault="005B062F" w:rsidP="002E3DC6">
      <w:pPr>
        <w:spacing w:line="360" w:lineRule="auto"/>
        <w:ind w:right="-93"/>
        <w:jc w:val="both"/>
        <w:rPr>
          <w:rFonts w:ascii="Palatino Linotype" w:eastAsia="Calibri" w:hAnsi="Palatino Linotype" w:cs="Tahoma"/>
          <w:iCs/>
          <w:sz w:val="22"/>
          <w:szCs w:val="22"/>
          <w:lang w:eastAsia="es-ES_tradnl"/>
        </w:rPr>
      </w:pPr>
    </w:p>
    <w:p w14:paraId="1E1B0A03"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 xml:space="preserve">Por lo que la entrega de una razón o un razonamiento por parte del </w:t>
      </w:r>
      <w:r w:rsidRPr="006B0A9B">
        <w:rPr>
          <w:rFonts w:ascii="Palatino Linotype" w:eastAsia="Calibri" w:hAnsi="Palatino Linotype" w:cs="Tahoma"/>
          <w:b/>
          <w:iCs/>
          <w:sz w:val="22"/>
          <w:szCs w:val="22"/>
          <w:lang w:val="es-ES" w:eastAsia="es-ES_tradnl"/>
        </w:rPr>
        <w:t>Sujeto Obligado</w:t>
      </w:r>
      <w:r w:rsidRPr="006B0A9B">
        <w:rPr>
          <w:rFonts w:ascii="Palatino Linotype" w:eastAsia="Calibri" w:hAnsi="Palatino Linotype" w:cs="Tahoma"/>
          <w:iCs/>
          <w:sz w:val="22"/>
          <w:szCs w:val="22"/>
          <w:lang w:val="es-ES" w:eastAsia="es-ES_tradn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0E5BE7BD"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p>
    <w:p w14:paraId="76D5FE8C"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0A93263E"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p>
    <w:p w14:paraId="4A2EC2DC"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6B0A9B">
        <w:rPr>
          <w:rFonts w:ascii="Palatino Linotype" w:eastAsia="Calibri" w:hAnsi="Palatino Linotype" w:cs="Tahoma"/>
          <w:b/>
          <w:iCs/>
          <w:sz w:val="22"/>
          <w:szCs w:val="22"/>
          <w:lang w:val="es-ES" w:eastAsia="es-ES_tradnl"/>
        </w:rPr>
        <w:t>cualquier otro registro que documente el ejercicio de las facultades, funciones y competencias de los Sujetos Obligados</w:t>
      </w:r>
      <w:r w:rsidRPr="006B0A9B">
        <w:rPr>
          <w:rFonts w:ascii="Palatino Linotype" w:eastAsia="Calibri" w:hAnsi="Palatino Linotype" w:cs="Tahoma"/>
          <w:iCs/>
          <w:sz w:val="22"/>
          <w:szCs w:val="22"/>
          <w:lang w:val="es-ES" w:eastAsia="es-ES_tradnl"/>
        </w:rPr>
        <w:t>, sus servidores públicos e integrantes, sin importar su fuente o fecha de elaboración. Los documentos podrán estar en cualquier medio, sea escrito, impreso, sonoro, visual, electrónico, informático u holográfico.</w:t>
      </w:r>
    </w:p>
    <w:p w14:paraId="7EF63D72"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p>
    <w:p w14:paraId="47A04236" w14:textId="77777777" w:rsidR="002E3DC6" w:rsidRPr="006B0A9B" w:rsidRDefault="002E3DC6" w:rsidP="002E3DC6">
      <w:pPr>
        <w:spacing w:line="360" w:lineRule="auto"/>
        <w:ind w:right="-93"/>
        <w:jc w:val="both"/>
        <w:rPr>
          <w:rFonts w:ascii="Palatino Linotype" w:eastAsia="Calibri" w:hAnsi="Palatino Linotype" w:cs="Tahoma"/>
          <w:b/>
          <w:iCs/>
          <w:sz w:val="22"/>
          <w:szCs w:val="22"/>
          <w:u w:val="single"/>
          <w:lang w:val="es-ES" w:eastAsia="es-ES_tradnl"/>
        </w:rPr>
      </w:pPr>
      <w:r w:rsidRPr="006B0A9B">
        <w:rPr>
          <w:rFonts w:ascii="Palatino Linotype" w:eastAsia="Calibri" w:hAnsi="Palatino Linotype" w:cs="Tahoma"/>
          <w:iCs/>
          <w:sz w:val="22"/>
          <w:szCs w:val="22"/>
          <w:lang w:val="es-ES" w:eastAsia="es-ES_tradnl"/>
        </w:rPr>
        <w:lastRenderedPageBreak/>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6B0A9B">
        <w:rPr>
          <w:rFonts w:ascii="Palatino Linotype" w:eastAsia="Calibri" w:hAnsi="Palatino Linotype" w:cs="Tahoma"/>
          <w:bCs/>
          <w:iCs/>
          <w:sz w:val="22"/>
          <w:szCs w:val="22"/>
          <w:lang w:val="es-ES" w:eastAsia="es-ES_tradnl"/>
        </w:rPr>
        <w:t xml:space="preserve">segundo supuesto </w:t>
      </w:r>
      <w:r w:rsidRPr="006B0A9B">
        <w:rPr>
          <w:rFonts w:ascii="Palatino Linotype" w:eastAsia="Calibri" w:hAnsi="Palatino Linotype" w:cs="Tahoma"/>
          <w:b/>
          <w:bCs/>
          <w:iCs/>
          <w:sz w:val="22"/>
          <w:szCs w:val="22"/>
          <w:u w:val="single"/>
          <w:lang w:val="es-ES" w:eastAsia="es-ES_tradnl"/>
        </w:rPr>
        <w:t>la solicitud de acceso a la información pública se encamina primordialmente a</w:t>
      </w:r>
      <w:r w:rsidRPr="006B0A9B">
        <w:rPr>
          <w:rFonts w:ascii="Palatino Linotype" w:eastAsia="Calibri" w:hAnsi="Palatino Linotype" w:cs="Tahoma"/>
          <w:b/>
          <w:iCs/>
          <w:sz w:val="22"/>
          <w:szCs w:val="22"/>
          <w:u w:val="single"/>
          <w:lang w:val="es-ES" w:eastAsia="es-ES_tradnl"/>
        </w:rPr>
        <w:t xml:space="preserve"> permitir el acceso a datos, registros y todo tipo de información pública que conste en documentos, sea generada o se encuentre en posesión de la autoridad. </w:t>
      </w:r>
    </w:p>
    <w:p w14:paraId="6A18FEEF" w14:textId="77777777" w:rsidR="002E3DC6" w:rsidRPr="006B0A9B" w:rsidRDefault="002E3DC6" w:rsidP="002E3DC6">
      <w:pPr>
        <w:spacing w:line="360" w:lineRule="auto"/>
        <w:ind w:right="-93"/>
        <w:jc w:val="both"/>
        <w:rPr>
          <w:rFonts w:ascii="Palatino Linotype" w:eastAsia="Calibri" w:hAnsi="Palatino Linotype" w:cs="Tahoma"/>
          <w:b/>
          <w:iCs/>
          <w:sz w:val="22"/>
          <w:szCs w:val="22"/>
          <w:u w:val="single"/>
          <w:lang w:val="es-ES" w:eastAsia="es-ES_tradnl"/>
        </w:rPr>
      </w:pPr>
    </w:p>
    <w:p w14:paraId="5BF9178D"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Sobre el particular, cabe traer a colación los artículos 2°, fracción II; 3°, fracción XI y 18, de la Ley de Transparencia y Acceso a la Información Pública del Estado de México y Municipios; los cuales disponen lo siguiente:</w:t>
      </w:r>
    </w:p>
    <w:p w14:paraId="7E09584E"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p>
    <w:p w14:paraId="478DB19B" w14:textId="77777777" w:rsidR="002E3DC6" w:rsidRPr="006B0A9B" w:rsidRDefault="002E3DC6" w:rsidP="002E3DC6">
      <w:pPr>
        <w:numPr>
          <w:ilvl w:val="0"/>
          <w:numId w:val="33"/>
        </w:num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Que uno de los objetivos de la Ley es proveer lo necesario para garantizar a toda persona el derecho de acceso a la información pública;</w:t>
      </w:r>
    </w:p>
    <w:p w14:paraId="21E35829"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p>
    <w:p w14:paraId="29B9CFFF" w14:textId="77777777" w:rsidR="002E3DC6" w:rsidRPr="006B0A9B" w:rsidRDefault="002E3DC6" w:rsidP="002E3DC6">
      <w:pPr>
        <w:numPr>
          <w:ilvl w:val="0"/>
          <w:numId w:val="33"/>
        </w:numPr>
        <w:spacing w:line="360" w:lineRule="auto"/>
        <w:ind w:right="-93"/>
        <w:jc w:val="both"/>
        <w:rPr>
          <w:rFonts w:ascii="Palatino Linotype" w:eastAsia="Calibri" w:hAnsi="Palatino Linotype" w:cs="Tahoma"/>
          <w:iCs/>
          <w:sz w:val="22"/>
          <w:szCs w:val="22"/>
          <w:lang w:val="es-ES" w:eastAsia="es-ES_tradnl"/>
        </w:rPr>
      </w:pPr>
      <w:r w:rsidRPr="006B0A9B">
        <w:rPr>
          <w:rFonts w:ascii="Palatino Linotype" w:eastAsia="Calibri" w:hAnsi="Palatino Linotype" w:cs="Tahoma"/>
          <w:iCs/>
          <w:sz w:val="22"/>
          <w:szCs w:val="22"/>
          <w:lang w:val="es-ES" w:eastAsia="es-ES_tradnl"/>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586D3ED4" w14:textId="77777777" w:rsidR="002E3DC6" w:rsidRPr="006B0A9B" w:rsidRDefault="002E3DC6" w:rsidP="002E3DC6">
      <w:pPr>
        <w:spacing w:line="360" w:lineRule="auto"/>
        <w:ind w:right="-93"/>
        <w:jc w:val="both"/>
        <w:rPr>
          <w:rFonts w:ascii="Palatino Linotype" w:eastAsia="Calibri" w:hAnsi="Palatino Linotype" w:cs="Tahoma"/>
          <w:iCs/>
          <w:sz w:val="22"/>
          <w:szCs w:val="22"/>
          <w:lang w:val="es-ES" w:eastAsia="es-ES_tradnl"/>
        </w:rPr>
      </w:pPr>
    </w:p>
    <w:p w14:paraId="72103902"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Por lo que, la entrega de una razón o un razonamiento por parte del</w:t>
      </w:r>
      <w:r w:rsidRPr="006B0A9B">
        <w:rPr>
          <w:rFonts w:ascii="Palatino Linotype" w:eastAsia="Calibri" w:hAnsi="Palatino Linotype" w:cs="Tahoma"/>
          <w:b/>
          <w:iCs/>
          <w:sz w:val="22"/>
          <w:szCs w:val="22"/>
          <w:lang w:eastAsia="es-ES_tradnl"/>
        </w:rPr>
        <w:t xml:space="preserve"> Sujeto Obligado</w:t>
      </w:r>
      <w:r w:rsidRPr="006B0A9B">
        <w:rPr>
          <w:rFonts w:ascii="Palatino Linotype" w:eastAsia="Calibri" w:hAnsi="Palatino Linotype" w:cs="Tahoma"/>
          <w:iCs/>
          <w:sz w:val="22"/>
          <w:szCs w:val="22"/>
          <w:lang w:eastAsia="es-ES_tradnl"/>
        </w:rPr>
        <w:t xml:space="preserve"> no es algo que la ley establezca como atribución, derecho, o facultad; pues ello implicaría </w:t>
      </w:r>
      <w:r w:rsidRPr="006B0A9B">
        <w:rPr>
          <w:rFonts w:ascii="Palatino Linotype" w:eastAsia="Calibri" w:hAnsi="Palatino Linotype" w:cs="Tahoma"/>
          <w:b/>
          <w:iCs/>
          <w:sz w:val="22"/>
          <w:szCs w:val="22"/>
          <w:u w:val="single"/>
          <w:lang w:eastAsia="es-ES_tradnl"/>
        </w:rPr>
        <w:t xml:space="preserve">un juicio </w:t>
      </w:r>
      <w:r w:rsidRPr="006B0A9B">
        <w:rPr>
          <w:rFonts w:ascii="Palatino Linotype" w:eastAsia="Calibri" w:hAnsi="Palatino Linotype" w:cs="Tahoma"/>
          <w:b/>
          <w:iCs/>
          <w:sz w:val="22"/>
          <w:szCs w:val="22"/>
          <w:u w:val="single"/>
          <w:lang w:eastAsia="es-ES_tradnl"/>
        </w:rPr>
        <w:lastRenderedPageBreak/>
        <w:t>de valor</w:t>
      </w:r>
      <w:r w:rsidRPr="006B0A9B">
        <w:rPr>
          <w:rFonts w:ascii="Palatino Linotype" w:eastAsia="Calibri" w:hAnsi="Palatino Linotype" w:cs="Tahoma"/>
          <w:iCs/>
          <w:sz w:val="22"/>
          <w:szCs w:val="22"/>
          <w:lang w:eastAsia="es-ES_tradnl"/>
        </w:rPr>
        <w:t xml:space="preserve"> referente a un cuestionamiento realizado, los cuales, al constituir interrogantes, inquietudes y manifestaciones se satisfacen vía derecho de petición, y no así, a través del ejercicio del derecho a acceder a información pública.</w:t>
      </w:r>
    </w:p>
    <w:p w14:paraId="7367F470"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p>
    <w:p w14:paraId="7619707C" w14:textId="77777777" w:rsidR="002E3DC6" w:rsidRPr="006B0A9B" w:rsidRDefault="002E3DC6" w:rsidP="002E3DC6">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Entonces, al tratarse de un derecho de petición estamos en presencia de una consulta que se aleja del derecho de acceso a la información pública, bajo esas consideraciones, se afirma que en el recurso de revisión sujeto a estudio se actualiza la hipótesis jurídica citada, toda vez que quedó probado que la solicitud de acceso a la información que promovió la parte Recurrente corresponde al ejercicio de un derecho de petición y no al derecho de acceso a la información pública.</w:t>
      </w:r>
    </w:p>
    <w:p w14:paraId="632C2325" w14:textId="2F4D2101"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382EC856" w14:textId="09F6C118" w:rsidR="005B062F" w:rsidRPr="006B0A9B" w:rsidRDefault="005B062F" w:rsidP="000A0EE6">
      <w:pPr>
        <w:pStyle w:val="Prrafodelista"/>
        <w:numPr>
          <w:ilvl w:val="0"/>
          <w:numId w:val="37"/>
        </w:numPr>
        <w:spacing w:line="360" w:lineRule="auto"/>
        <w:ind w:right="-93"/>
        <w:jc w:val="both"/>
        <w:rPr>
          <w:rFonts w:ascii="Palatino Linotype" w:eastAsia="Calibri" w:hAnsi="Palatino Linotype" w:cs="Tahoma"/>
          <w:b/>
          <w:bCs/>
          <w:iCs/>
          <w:szCs w:val="22"/>
          <w:lang w:val="es-ES" w:eastAsia="es-ES_tradnl"/>
        </w:rPr>
      </w:pPr>
      <w:r w:rsidRPr="006B0A9B">
        <w:rPr>
          <w:rFonts w:ascii="Palatino Linotype" w:eastAsia="Calibri" w:hAnsi="Palatino Linotype" w:cs="Tahoma"/>
          <w:b/>
          <w:bCs/>
          <w:iCs/>
          <w:szCs w:val="22"/>
          <w:lang w:val="es-ES" w:eastAsia="es-ES_tradnl"/>
        </w:rPr>
        <w:t>Los contratos laborales del FID 1928, así como el nombre de los trabajadores contratados bajo este fondo</w:t>
      </w:r>
      <w:r w:rsidR="000A0EE6" w:rsidRPr="006B0A9B">
        <w:rPr>
          <w:rFonts w:ascii="Palatino Linotype" w:eastAsia="Calibri" w:hAnsi="Palatino Linotype" w:cs="Tahoma"/>
          <w:b/>
          <w:bCs/>
          <w:iCs/>
          <w:szCs w:val="22"/>
          <w:lang w:val="es-ES" w:eastAsia="es-ES_tradnl"/>
        </w:rPr>
        <w:t xml:space="preserve"> y las actividades que realizan, los curricular CVs, los comprobantes fiscales de cada uno de los contratantes, el primer y el segundo entregable de cada uno de los trabajadores, ,a todos los Sujetos Obligados que intervienen en el FID 1928 los cuales son la Comisión del Agua del Estado de México en a la Dirección General de Inversión y Gestión y a la Dirección General de Administración así Finanzas así como , al Sistema de Agua de la Ciudad de México, al Banco Nacional de Obras y Servicios Públicos (Banobras), a la Secretaria de Finanzas del Estado de México</w:t>
      </w:r>
    </w:p>
    <w:p w14:paraId="1A228BB2" w14:textId="6E91CC91" w:rsidR="009A5DE4" w:rsidRPr="006B0A9B" w:rsidRDefault="009A5DE4" w:rsidP="009A5DE4">
      <w:pPr>
        <w:pStyle w:val="Prrafodelista"/>
        <w:spacing w:line="360" w:lineRule="auto"/>
        <w:ind w:right="-93"/>
        <w:jc w:val="both"/>
        <w:rPr>
          <w:rFonts w:ascii="Palatino Linotype" w:eastAsia="Calibri" w:hAnsi="Palatino Linotype" w:cs="Tahoma"/>
          <w:b/>
          <w:bCs/>
          <w:iCs/>
          <w:szCs w:val="22"/>
          <w:lang w:val="es-ES" w:eastAsia="es-ES_tradnl"/>
        </w:rPr>
      </w:pPr>
      <w:r w:rsidRPr="006B0A9B">
        <w:rPr>
          <w:rFonts w:ascii="Palatino Linotype" w:eastAsia="Calibri" w:hAnsi="Palatino Linotype" w:cs="Tahoma"/>
          <w:b/>
          <w:bCs/>
          <w:iCs/>
          <w:szCs w:val="22"/>
          <w:lang w:val="es-ES" w:eastAsia="es-ES_tradnl"/>
        </w:rPr>
        <w:t xml:space="preserve">3.1 Se me informe si el órgano de fiscalización y auditoria competente se encuentra vigilante y en evaluación de que los perfiles profesionales y los objetivos que amparan la contratación de prestación del servicio cumplen con la finalidad de la autorización del servicio o Así como el comité de autorización y documentos que se generaron la autorización de dichos contratos de servicio en la Comisión del Agua </w:t>
      </w:r>
      <w:r w:rsidRPr="006B0A9B">
        <w:rPr>
          <w:rFonts w:ascii="Palatino Linotype" w:eastAsia="Calibri" w:hAnsi="Palatino Linotype" w:cs="Tahoma"/>
          <w:b/>
          <w:bCs/>
          <w:iCs/>
          <w:szCs w:val="22"/>
          <w:lang w:val="es-ES" w:eastAsia="es-ES_tradnl"/>
        </w:rPr>
        <w:lastRenderedPageBreak/>
        <w:t xml:space="preserve">del estado de México, la sesiones o comisiones y documentos para los tramites de esa autorización, así como los recibos de pagos a los mismo prestadores de Servicio </w:t>
      </w:r>
    </w:p>
    <w:p w14:paraId="43E4F249" w14:textId="77777777" w:rsidR="000A0EE6" w:rsidRPr="006B0A9B" w:rsidRDefault="000A0EE6" w:rsidP="009628F1">
      <w:pPr>
        <w:spacing w:line="360" w:lineRule="auto"/>
        <w:ind w:right="-93"/>
        <w:jc w:val="both"/>
        <w:rPr>
          <w:rFonts w:ascii="Palatino Linotype" w:eastAsia="Calibri" w:hAnsi="Palatino Linotype" w:cs="Tahoma"/>
          <w:iCs/>
          <w:sz w:val="22"/>
          <w:szCs w:val="22"/>
          <w:lang w:eastAsia="es-ES_tradnl"/>
        </w:rPr>
      </w:pPr>
    </w:p>
    <w:p w14:paraId="3CF7DFAE" w14:textId="59EA62E8" w:rsidR="002E3DC6" w:rsidRPr="006B0A9B" w:rsidRDefault="009A5DE4" w:rsidP="009A5DE4">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En un principio cabe señalar que lo requerido en los presentes puntos se encuentra relacionado con el FID 1928 mencionado por el Particular, en ese sentido este Fideicomiso </w:t>
      </w:r>
      <w:r w:rsidR="005B062F" w:rsidRPr="006B0A9B">
        <w:rPr>
          <w:rFonts w:ascii="Palatino Linotype" w:eastAsia="Calibri" w:hAnsi="Palatino Linotype" w:cs="Tahoma"/>
          <w:iCs/>
          <w:sz w:val="22"/>
          <w:szCs w:val="22"/>
          <w:lang w:eastAsia="es-ES_tradnl"/>
        </w:rPr>
        <w:t>está constituido por los Gobiernos de la Ciudad de México y del Estado de México y tiene la finalidad de apoyar el Proyecto de Saneamiento del Valle de México. Mismo que se instauró mediante Decreto Presidencial del 24 de noviembre de 2004 y estableció el otorgamiento de estímulos fiscales a los prestadores de servicios de ambas entidades, en materia de agua potable, alcantarillado y tratamiento de aguas residuales, siendo alguna parte de ellos pagados a través de la Comisión Nacional del Agua. (</w:t>
      </w:r>
      <w:hyperlink r:id="rId15" w:history="1">
        <w:r w:rsidR="005B062F" w:rsidRPr="006B0A9B">
          <w:rPr>
            <w:rStyle w:val="Hipervnculo"/>
            <w:rFonts w:ascii="Palatino Linotype" w:eastAsia="Calibri" w:hAnsi="Palatino Linotype" w:cs="Tahoma"/>
            <w:iCs/>
            <w:sz w:val="22"/>
            <w:szCs w:val="22"/>
            <w:lang w:eastAsia="es-ES_tradnl"/>
          </w:rPr>
          <w:t>https://app.conagua.gob.mx/protecciondatospersonales/Contenido.aspx?n1=11&amp;n2=215&amp;n3=456&amp;n4=456</w:t>
        </w:r>
      </w:hyperlink>
      <w:r w:rsidR="005B062F" w:rsidRPr="006B0A9B">
        <w:rPr>
          <w:rFonts w:ascii="Palatino Linotype" w:eastAsia="Calibri" w:hAnsi="Palatino Linotype" w:cs="Tahoma"/>
          <w:iCs/>
          <w:sz w:val="22"/>
          <w:szCs w:val="22"/>
          <w:lang w:eastAsia="es-ES_tradnl"/>
        </w:rPr>
        <w:t xml:space="preserve">) </w:t>
      </w:r>
    </w:p>
    <w:p w14:paraId="7FE6C5C7" w14:textId="533E5DBA"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533CF022" w14:textId="0196BEF3"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w:drawing>
          <wp:anchor distT="0" distB="0" distL="114300" distR="114300" simplePos="0" relativeHeight="251661312" behindDoc="1" locked="0" layoutInCell="1" allowOverlap="1" wp14:anchorId="63D53658" wp14:editId="57006656">
            <wp:simplePos x="0" y="0"/>
            <wp:positionH relativeFrom="page">
              <wp:posOffset>1219200</wp:posOffset>
            </wp:positionH>
            <wp:positionV relativeFrom="paragraph">
              <wp:posOffset>1506220</wp:posOffset>
            </wp:positionV>
            <wp:extent cx="5438775" cy="1247775"/>
            <wp:effectExtent l="0" t="0" r="9525" b="9525"/>
            <wp:wrapTight wrapText="bothSides">
              <wp:wrapPolygon edited="0">
                <wp:start x="0" y="0"/>
                <wp:lineTo x="0" y="21435"/>
                <wp:lineTo x="21562" y="21435"/>
                <wp:lineTo x="21562"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6">
                      <a:extLst>
                        <a:ext uri="{28A0092B-C50C-407E-A947-70E740481C1C}">
                          <a14:useLocalDpi xmlns:a14="http://schemas.microsoft.com/office/drawing/2010/main" val="0"/>
                        </a:ext>
                      </a:extLst>
                    </a:blip>
                    <a:stretch>
                      <a:fillRect/>
                    </a:stretch>
                  </pic:blipFill>
                  <pic:spPr>
                    <a:xfrm>
                      <a:off x="0" y="0"/>
                      <a:ext cx="5438775" cy="1247775"/>
                    </a:xfrm>
                    <a:prstGeom prst="rect">
                      <a:avLst/>
                    </a:prstGeom>
                  </pic:spPr>
                </pic:pic>
              </a:graphicData>
            </a:graphic>
            <wp14:sizeRelH relativeFrom="margin">
              <wp14:pctWidth>0</wp14:pctWidth>
            </wp14:sizeRelH>
            <wp14:sizeRelV relativeFrom="margin">
              <wp14:pctHeight>0</wp14:pctHeight>
            </wp14:sizeRelV>
          </wp:anchor>
        </w:drawing>
      </w:r>
      <w:r w:rsidRPr="006B0A9B">
        <w:rPr>
          <w:rFonts w:ascii="Palatino Linotype" w:eastAsia="Calibri" w:hAnsi="Palatino Linotype" w:cs="Tahoma"/>
          <w:iCs/>
          <w:sz w:val="22"/>
          <w:szCs w:val="22"/>
          <w:lang w:eastAsia="es-ES_tradnl"/>
        </w:rPr>
        <w:t xml:space="preserve"> De la búsqueda en el Diario Oficial de la Federación, se localizó el Decreto antes aludido (</w:t>
      </w:r>
      <w:hyperlink r:id="rId17" w:anchor="gsc.tab=0" w:history="1">
        <w:r w:rsidRPr="006B0A9B">
          <w:rPr>
            <w:rStyle w:val="Hipervnculo"/>
            <w:rFonts w:ascii="Palatino Linotype" w:eastAsia="Calibri" w:hAnsi="Palatino Linotype" w:cs="Tahoma"/>
            <w:iCs/>
            <w:sz w:val="22"/>
            <w:szCs w:val="22"/>
            <w:lang w:eastAsia="es-ES_tradnl"/>
          </w:rPr>
          <w:t>https://dof.gob.mx/nota_detalle.php?codigo=706868&amp;fecha=24/11/2004#gsc.tab=0</w:t>
        </w:r>
      </w:hyperlink>
      <w:r w:rsidRPr="006B0A9B">
        <w:rPr>
          <w:rFonts w:ascii="Palatino Linotype" w:eastAsia="Calibri" w:hAnsi="Palatino Linotype" w:cs="Tahoma"/>
          <w:iCs/>
          <w:sz w:val="22"/>
          <w:szCs w:val="22"/>
          <w:lang w:eastAsia="es-ES_tradnl"/>
        </w:rPr>
        <w:t>)</w:t>
      </w:r>
      <w:r w:rsidR="00521BD5" w:rsidRPr="006B0A9B">
        <w:rPr>
          <w:rFonts w:ascii="Palatino Linotype" w:eastAsia="Calibri" w:hAnsi="Palatino Linotype" w:cs="Tahoma"/>
          <w:iCs/>
          <w:sz w:val="22"/>
          <w:szCs w:val="22"/>
          <w:lang w:eastAsia="es-ES_tradnl"/>
        </w:rPr>
        <w:t>,</w:t>
      </w:r>
      <w:r w:rsidRPr="006B0A9B">
        <w:rPr>
          <w:rFonts w:ascii="Palatino Linotype" w:eastAsia="Calibri" w:hAnsi="Palatino Linotype" w:cs="Tahoma"/>
          <w:iCs/>
          <w:sz w:val="22"/>
          <w:szCs w:val="22"/>
          <w:lang w:eastAsia="es-ES_tradnl"/>
        </w:rPr>
        <w:t xml:space="preserve"> el cual tiene por objeto hacer la entrega de un estímulo fiscal a las entidades federativas, organismos operadores, comisiones estatales consistente en una cantidad equivalente al monto de los adeudos por aprovechamientos derivados del suministro de agua en bloque.</w:t>
      </w:r>
    </w:p>
    <w:p w14:paraId="1A9E7AEB" w14:textId="4CDE54C0" w:rsidR="002E3DC6" w:rsidRPr="006B0A9B" w:rsidRDefault="002E3DC6" w:rsidP="009628F1">
      <w:pPr>
        <w:spacing w:line="360" w:lineRule="auto"/>
        <w:ind w:right="-93"/>
        <w:jc w:val="both"/>
        <w:rPr>
          <w:rFonts w:ascii="Palatino Linotype" w:eastAsia="Calibri" w:hAnsi="Palatino Linotype" w:cs="Tahoma"/>
          <w:iCs/>
          <w:sz w:val="22"/>
          <w:szCs w:val="22"/>
          <w:lang w:eastAsia="es-ES_tradnl"/>
        </w:rPr>
      </w:pPr>
    </w:p>
    <w:p w14:paraId="331D9FE9" w14:textId="3816CA3B"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lastRenderedPageBreak/>
        <w:t>De lo anterior, no se observa que el objeto del Fideicomiso sea otorgar contratos laborales</w:t>
      </w:r>
      <w:r w:rsidR="009A5DE4" w:rsidRPr="006B0A9B">
        <w:rPr>
          <w:rFonts w:ascii="Palatino Linotype" w:eastAsia="Calibri" w:hAnsi="Palatino Linotype" w:cs="Tahoma"/>
          <w:iCs/>
          <w:sz w:val="22"/>
          <w:szCs w:val="22"/>
          <w:lang w:eastAsia="es-ES_tradnl"/>
        </w:rPr>
        <w:t>,</w:t>
      </w:r>
      <w:r w:rsidRPr="006B0A9B">
        <w:rPr>
          <w:rFonts w:ascii="Palatino Linotype" w:eastAsia="Calibri" w:hAnsi="Palatino Linotype" w:cs="Tahoma"/>
          <w:iCs/>
          <w:sz w:val="22"/>
          <w:szCs w:val="22"/>
          <w:lang w:eastAsia="es-ES_tradnl"/>
        </w:rPr>
        <w:t xml:space="preserve"> </w:t>
      </w:r>
      <w:r w:rsidR="009A5DE4" w:rsidRPr="006B0A9B">
        <w:rPr>
          <w:rFonts w:ascii="Palatino Linotype" w:eastAsia="Calibri" w:hAnsi="Palatino Linotype" w:cs="Tahoma"/>
          <w:iCs/>
          <w:sz w:val="22"/>
          <w:szCs w:val="22"/>
          <w:lang w:eastAsia="es-ES_tradnl"/>
        </w:rPr>
        <w:t>más</w:t>
      </w:r>
      <w:r w:rsidRPr="006B0A9B">
        <w:rPr>
          <w:rFonts w:ascii="Palatino Linotype" w:eastAsia="Calibri" w:hAnsi="Palatino Linotype" w:cs="Tahoma"/>
          <w:iCs/>
          <w:sz w:val="22"/>
          <w:szCs w:val="22"/>
          <w:lang w:eastAsia="es-ES_tradnl"/>
        </w:rPr>
        <w:t xml:space="preserve"> bien, tiene por finalidad otorgar un estímulo fiscal a las entidades federativas o cualquier otro tipo de organismo u órgano, responsables de la prestación del servicio público de agua potable, alcantarillado y tratamiento de aguas residuales, que les permita regularizar su situación fiscal respecto de los adeudos por aprovechamientos derivados del suministro de agua en bloque, al tiempo que propicie que se lleven a cabo inversiones en materia de abastecimiento y saneamiento de agua, tendientes a mejorar la eficiencia hidráulica en los sistemas de agua potable, alcantarillado y saneamiento.</w:t>
      </w:r>
    </w:p>
    <w:p w14:paraId="52BAD12C" w14:textId="7EC78E44" w:rsidR="005B062F" w:rsidRPr="006B0A9B" w:rsidRDefault="005B062F" w:rsidP="00B00476">
      <w:pPr>
        <w:spacing w:line="360" w:lineRule="auto"/>
        <w:ind w:right="-93"/>
        <w:jc w:val="center"/>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w:drawing>
          <wp:inline distT="0" distB="0" distL="0" distR="0" wp14:anchorId="57A4B4E6" wp14:editId="1A8DBF07">
            <wp:extent cx="4352213" cy="19520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547" cy="1968834"/>
                    </a:xfrm>
                    <a:prstGeom prst="rect">
                      <a:avLst/>
                    </a:prstGeom>
                    <a:noFill/>
                  </pic:spPr>
                </pic:pic>
              </a:graphicData>
            </a:graphic>
          </wp:inline>
        </w:drawing>
      </w:r>
    </w:p>
    <w:p w14:paraId="4FE8EDA2" w14:textId="77777777" w:rsidR="00B00476" w:rsidRPr="006B0A9B" w:rsidRDefault="00B00476" w:rsidP="00B00476">
      <w:pPr>
        <w:spacing w:line="360" w:lineRule="auto"/>
        <w:ind w:right="-93"/>
        <w:jc w:val="center"/>
        <w:rPr>
          <w:rFonts w:ascii="Palatino Linotype" w:eastAsia="Calibri" w:hAnsi="Palatino Linotype" w:cs="Tahoma"/>
          <w:iCs/>
          <w:sz w:val="22"/>
          <w:szCs w:val="22"/>
          <w:lang w:eastAsia="es-ES_tradnl"/>
        </w:rPr>
      </w:pPr>
    </w:p>
    <w:p w14:paraId="55D28EE7" w14:textId="4AE63334"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Por tanto, se presupone que el decreto antes mencionado no guarda relación con contratos laborales en favor de trabajadores.</w:t>
      </w:r>
      <w:r w:rsidR="009A5DE4" w:rsidRPr="006B0A9B">
        <w:rPr>
          <w:rFonts w:ascii="Palatino Linotype" w:eastAsia="Calibri" w:hAnsi="Palatino Linotype" w:cs="Tahoma"/>
          <w:iCs/>
          <w:sz w:val="22"/>
          <w:szCs w:val="22"/>
          <w:lang w:eastAsia="es-ES_tradnl"/>
        </w:rPr>
        <w:t xml:space="preserve"> </w:t>
      </w:r>
      <w:r w:rsidRPr="006B0A9B">
        <w:rPr>
          <w:rFonts w:ascii="Palatino Linotype" w:eastAsia="Calibri" w:hAnsi="Palatino Linotype" w:cs="Tahoma"/>
          <w:iCs/>
          <w:sz w:val="22"/>
          <w:szCs w:val="22"/>
          <w:lang w:eastAsia="es-ES_tradnl"/>
        </w:rPr>
        <w:t>No obstante lo anterior, no pasa desapercibido para este Organismo Garante que la información relativa a las condiciones generales de trabajo dentro del Sujeto Obligado, es una obligación de transparencia común, como se mencionó en párrafos anteriores, por ello y con la finalidad de mejor resolver se realizó una búsqueda en la plataforma electrónica de la Información Pública de Oficio Mexiquense IPOMEX</w:t>
      </w:r>
      <w:r w:rsidR="00521BD5" w:rsidRPr="006B0A9B">
        <w:rPr>
          <w:rFonts w:ascii="Palatino Linotype" w:eastAsia="Calibri" w:hAnsi="Palatino Linotype" w:cs="Tahoma"/>
          <w:iCs/>
          <w:sz w:val="22"/>
          <w:szCs w:val="22"/>
          <w:lang w:eastAsia="es-ES_tradnl"/>
        </w:rPr>
        <w:t xml:space="preserve"> y, </w:t>
      </w:r>
      <w:r w:rsidRPr="006B0A9B">
        <w:rPr>
          <w:rFonts w:ascii="Palatino Linotype" w:eastAsia="Calibri" w:hAnsi="Palatino Linotype" w:cs="Tahoma"/>
          <w:iCs/>
          <w:sz w:val="22"/>
          <w:szCs w:val="22"/>
          <w:lang w:eastAsia="es-ES_tradnl"/>
        </w:rPr>
        <w:t>se encontró un registro de Contrato, no obstante es un Convenio de Sueldos entre el SUTEYM y la CAEM, documento que regula la aplicación de las prestaciones a que tienen derecho los servidores públicos sindicalizados durante el año 2020.</w:t>
      </w:r>
    </w:p>
    <w:p w14:paraId="7C472C8D" w14:textId="4E638731" w:rsidR="00B55D00" w:rsidRPr="006B0A9B" w:rsidRDefault="00D170BC" w:rsidP="005B062F">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mc:AlternateContent>
          <mc:Choice Requires="wps">
            <w:drawing>
              <wp:anchor distT="0" distB="0" distL="114300" distR="114300" simplePos="0" relativeHeight="251663360" behindDoc="0" locked="0" layoutInCell="1" allowOverlap="1" wp14:anchorId="5B463C90" wp14:editId="26F0F539">
                <wp:simplePos x="0" y="0"/>
                <wp:positionH relativeFrom="column">
                  <wp:posOffset>306069</wp:posOffset>
                </wp:positionH>
                <wp:positionV relativeFrom="paragraph">
                  <wp:posOffset>262890</wp:posOffset>
                </wp:positionV>
                <wp:extent cx="5076825" cy="1285875"/>
                <wp:effectExtent l="0" t="0" r="28575" b="28575"/>
                <wp:wrapNone/>
                <wp:docPr id="1269457228" name="Conector recto 2"/>
                <wp:cNvGraphicFramePr/>
                <a:graphic xmlns:a="http://schemas.openxmlformats.org/drawingml/2006/main">
                  <a:graphicData uri="http://schemas.microsoft.com/office/word/2010/wordprocessingShape">
                    <wps:wsp>
                      <wps:cNvCnPr/>
                      <wps:spPr>
                        <a:xfrm flipV="1">
                          <a:off x="0" y="0"/>
                          <a:ext cx="5076825" cy="128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407D1F" id="Conector recto 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4.1pt,20.7pt" to="423.8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" strokecolor="#4472c4 [3204]" strokeweight=".5pt">
                <v:stroke joinstyle="miter"/>
              </v:line>
            </w:pict>
          </mc:Fallback>
        </mc:AlternateContent>
      </w:r>
    </w:p>
    <w:p w14:paraId="661DE061" w14:textId="7F989DF5" w:rsidR="005B062F" w:rsidRPr="006B0A9B" w:rsidRDefault="005B062F" w:rsidP="00B00476">
      <w:pPr>
        <w:spacing w:line="360" w:lineRule="auto"/>
        <w:ind w:right="-93"/>
        <w:jc w:val="center"/>
        <w:rPr>
          <w:rFonts w:ascii="Palatino Linotype" w:eastAsia="Calibri" w:hAnsi="Palatino Linotype" w:cs="Tahoma"/>
          <w:iCs/>
          <w:sz w:val="22"/>
          <w:szCs w:val="22"/>
          <w:lang w:eastAsia="es-ES_tradnl"/>
        </w:rPr>
      </w:pPr>
      <w:r w:rsidRPr="006B0A9B">
        <w:rPr>
          <w:rFonts w:ascii="Palatino Linotype" w:eastAsia="Calibri" w:hAnsi="Palatino Linotype" w:cs="Tahoma"/>
          <w:iCs/>
          <w:noProof/>
          <w:sz w:val="22"/>
          <w:szCs w:val="22"/>
          <w:lang w:eastAsia="es-MX"/>
        </w:rPr>
        <w:lastRenderedPageBreak/>
        <w:drawing>
          <wp:inline distT="0" distB="0" distL="0" distR="0" wp14:anchorId="51C32E99" wp14:editId="64D18496">
            <wp:extent cx="4568190" cy="2513493"/>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605" cy="2543433"/>
                    </a:xfrm>
                    <a:prstGeom prst="rect">
                      <a:avLst/>
                    </a:prstGeom>
                    <a:noFill/>
                  </pic:spPr>
                </pic:pic>
              </a:graphicData>
            </a:graphic>
          </wp:inline>
        </w:drawing>
      </w:r>
    </w:p>
    <w:p w14:paraId="63BFC2F3" w14:textId="4EA6C84E"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p>
    <w:p w14:paraId="5D61A16B" w14:textId="52DBFD29"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Lo anterior, nos permite extraer dos conclusiones; primera, que para el Sujeto Obligado efectivamente labora personal sindicalizado, por tanto cobra mayor fuerza que resulta válido ordenar el número de plazas del personal sindicalizado, referenciado en el punto 1 (uno). Segunda, que el requerimiento formulado en este punto tres, se encuentra alejado de la naturaleza jurídica del Fideicomiso número 1928, es decir no se encuentra que derivado del Fideicomiso 1928, se hayan realizado contratos laborales con el Sujeto Obligado, ya que el objeto y finalidad del fideicomiso es distinta, ya que como se mencionó, tuvo por objeto otorgar estímulos fiscales para regularizar la situación fiscal de los organismos operadores, mas no así la ampliación de plantilla del personal del Sujeto Obligado.</w:t>
      </w:r>
    </w:p>
    <w:p w14:paraId="057A6EA0" w14:textId="77777777"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p>
    <w:p w14:paraId="44F2A10E" w14:textId="77777777"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r w:rsidRPr="006B0A9B">
        <w:rPr>
          <w:rFonts w:ascii="Palatino Linotype" w:eastAsia="Calibri" w:hAnsi="Palatino Linotype" w:cs="Tahoma"/>
          <w:iCs/>
          <w:sz w:val="22"/>
          <w:szCs w:val="22"/>
          <w:lang w:eastAsia="es-ES_tradnl"/>
        </w:rPr>
        <w:t xml:space="preserve">En virtud de lo anterior, se colige que no es dable ordenar la entrega de la información en este punto tres, por no guardar relación el Fondo del Fideicomiso 1928 con contratos laborales, en consecuencia, tampoco con trabajadores contratados bajo la protección del fondo, ni sus actividades. </w:t>
      </w:r>
    </w:p>
    <w:p w14:paraId="2B196104" w14:textId="77777777"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p>
    <w:p w14:paraId="7950937B" w14:textId="22F8259A" w:rsidR="00E85F96" w:rsidRPr="006B0A9B" w:rsidRDefault="00E85F96" w:rsidP="00B00476">
      <w:pPr>
        <w:tabs>
          <w:tab w:val="left" w:pos="4962"/>
        </w:tabs>
        <w:spacing w:line="360" w:lineRule="auto"/>
        <w:jc w:val="both"/>
        <w:rPr>
          <w:rFonts w:ascii="Palatino Linotype" w:hAnsi="Palatino Linotype" w:cs="Tahoma"/>
          <w:sz w:val="22"/>
          <w:szCs w:val="22"/>
        </w:rPr>
      </w:pPr>
      <w:r w:rsidRPr="006B0A9B">
        <w:rPr>
          <w:rFonts w:ascii="Palatino Linotype" w:hAnsi="Palatino Linotype" w:cs="Tahoma"/>
          <w:sz w:val="22"/>
          <w:szCs w:val="22"/>
          <w:lang w:val="es-ES"/>
        </w:rPr>
        <w:lastRenderedPageBreak/>
        <w:t>Por último, se observa que el Particular en su solicitud señaló “</w:t>
      </w:r>
      <w:r w:rsidR="002A3B41" w:rsidRPr="006B0A9B">
        <w:rPr>
          <w:rFonts w:ascii="Palatino Linotype" w:hAnsi="Palatino Linotype" w:cs="Tahoma"/>
          <w:i/>
          <w:iCs/>
          <w:sz w:val="22"/>
          <w:szCs w:val="22"/>
        </w:rPr>
        <w:t>…</w:t>
      </w:r>
      <w:r w:rsidRPr="006B0A9B">
        <w:rPr>
          <w:rFonts w:ascii="Palatino Linotype" w:hAnsi="Palatino Linotype" w:cs="Tahoma"/>
          <w:i/>
          <w:iCs/>
          <w:sz w:val="22"/>
          <w:szCs w:val="22"/>
        </w:rPr>
        <w:t xml:space="preserve"> Secretaria del Agua Oficialía Mayor</w:t>
      </w:r>
      <w:r w:rsidR="002A3B41" w:rsidRPr="006B0A9B">
        <w:rPr>
          <w:rFonts w:ascii="Palatino Linotype" w:hAnsi="Palatino Linotype" w:cs="Tahoma"/>
          <w:i/>
          <w:iCs/>
          <w:sz w:val="22"/>
          <w:szCs w:val="22"/>
        </w:rPr>
        <w:t>,</w:t>
      </w:r>
      <w:r w:rsidRPr="006B0A9B">
        <w:rPr>
          <w:rFonts w:ascii="Palatino Linotype" w:hAnsi="Palatino Linotype" w:cs="Tahoma"/>
          <w:i/>
          <w:iCs/>
          <w:sz w:val="22"/>
          <w:szCs w:val="22"/>
        </w:rPr>
        <w:t xml:space="preserve"> Secretaria de la Contraloría del Estado de México</w:t>
      </w:r>
      <w:r w:rsidR="002A3B41" w:rsidRPr="006B0A9B">
        <w:rPr>
          <w:rFonts w:ascii="Palatino Linotype" w:hAnsi="Palatino Linotype" w:cs="Tahoma"/>
          <w:i/>
          <w:iCs/>
          <w:sz w:val="22"/>
          <w:szCs w:val="22"/>
        </w:rPr>
        <w:t>,</w:t>
      </w:r>
      <w:r w:rsidRPr="006B0A9B">
        <w:rPr>
          <w:rFonts w:ascii="Palatino Linotype" w:hAnsi="Palatino Linotype" w:cs="Tahoma"/>
          <w:i/>
          <w:iCs/>
          <w:sz w:val="22"/>
          <w:szCs w:val="22"/>
        </w:rPr>
        <w:t xml:space="preserve"> Sistema de Agua de la Ciudad de México Banco Nacional de Obras y Servicios Públicos (Banobras) Secretaria de Finanzas del Estado de México</w:t>
      </w:r>
      <w:r w:rsidR="00B00476" w:rsidRPr="006B0A9B">
        <w:rPr>
          <w:rFonts w:ascii="Palatino Linotype" w:hAnsi="Palatino Linotype" w:cs="Tahoma"/>
          <w:i/>
          <w:iCs/>
          <w:sz w:val="22"/>
          <w:szCs w:val="22"/>
        </w:rPr>
        <w:t xml:space="preserve"> </w:t>
      </w:r>
      <w:r w:rsidR="00B00476" w:rsidRPr="006B0A9B">
        <w:rPr>
          <w:rFonts w:ascii="Palatino Linotype" w:eastAsia="Calibri" w:hAnsi="Palatino Linotype" w:cs="Tahoma"/>
          <w:bCs/>
          <w:sz w:val="22"/>
          <w:szCs w:val="22"/>
          <w:lang w:eastAsia="en-US"/>
        </w:rPr>
        <w:t>e</w:t>
      </w:r>
      <w:r w:rsidRPr="006B0A9B">
        <w:rPr>
          <w:rFonts w:ascii="Palatino Linotype" w:eastAsia="Calibri" w:hAnsi="Palatino Linotype" w:cs="Tahoma"/>
          <w:bCs/>
          <w:sz w:val="22"/>
          <w:szCs w:val="22"/>
          <w:lang w:eastAsia="en-US"/>
        </w:rPr>
        <w:t xml:space="preserve">n este sentido debe precisarse que </w:t>
      </w:r>
      <w:r w:rsidR="00B00476" w:rsidRPr="006B0A9B">
        <w:rPr>
          <w:rFonts w:ascii="Palatino Linotype" w:eastAsia="Calibri" w:hAnsi="Palatino Linotype" w:cs="Tahoma"/>
          <w:bCs/>
          <w:sz w:val="22"/>
          <w:szCs w:val="22"/>
          <w:lang w:eastAsia="en-US"/>
        </w:rPr>
        <w:t>claramente se observa que incluye sujetos obligados diversos a la Comisión del Agua del Estado de México</w:t>
      </w:r>
      <w:r w:rsidRPr="006B0A9B">
        <w:rPr>
          <w:rFonts w:ascii="Palatino Linotype" w:eastAsia="Calibri" w:hAnsi="Palatino Linotype" w:cs="Tahoma"/>
          <w:bCs/>
          <w:sz w:val="22"/>
          <w:szCs w:val="22"/>
          <w:lang w:eastAsia="en-US"/>
        </w:rPr>
        <w:t>; razón por la cual esta última no cuenta con los documentos que den atención a los requerimientos del Particular</w:t>
      </w:r>
      <w:r w:rsidR="00B00476" w:rsidRPr="006B0A9B">
        <w:rPr>
          <w:rFonts w:ascii="Palatino Linotype" w:eastAsia="Calibri" w:hAnsi="Palatino Linotype" w:cs="Tahoma"/>
          <w:bCs/>
          <w:sz w:val="22"/>
          <w:szCs w:val="22"/>
          <w:lang w:eastAsia="en-US"/>
        </w:rPr>
        <w:t>, por lo que hace a tales sujetos obligados</w:t>
      </w:r>
      <w:r w:rsidRPr="006B0A9B">
        <w:rPr>
          <w:rFonts w:ascii="Palatino Linotype" w:eastAsia="Calibri" w:hAnsi="Palatino Linotype" w:cs="Tahoma"/>
          <w:bCs/>
          <w:sz w:val="22"/>
          <w:szCs w:val="22"/>
          <w:lang w:eastAsia="en-US"/>
        </w:rPr>
        <w:t xml:space="preserve">. </w:t>
      </w:r>
    </w:p>
    <w:p w14:paraId="2336D776" w14:textId="77777777" w:rsidR="00E85F96" w:rsidRPr="006B0A9B" w:rsidRDefault="00E85F96" w:rsidP="00E85F96">
      <w:pPr>
        <w:spacing w:line="360" w:lineRule="auto"/>
        <w:ind w:right="-93"/>
        <w:jc w:val="both"/>
        <w:rPr>
          <w:rFonts w:ascii="Palatino Linotype" w:hAnsi="Palatino Linotype" w:cs="Tahoma"/>
          <w:b/>
          <w:sz w:val="22"/>
          <w:szCs w:val="22"/>
        </w:rPr>
      </w:pPr>
    </w:p>
    <w:p w14:paraId="09F4946D" w14:textId="77777777" w:rsidR="00E85F96" w:rsidRPr="006B0A9B" w:rsidRDefault="00E85F96" w:rsidP="00E85F96">
      <w:pPr>
        <w:spacing w:line="360" w:lineRule="auto"/>
        <w:jc w:val="both"/>
        <w:rPr>
          <w:rFonts w:ascii="Palatino Linotype" w:hAnsi="Palatino Linotype" w:cs="Arial"/>
          <w:bCs/>
          <w:sz w:val="22"/>
          <w:szCs w:val="22"/>
        </w:rPr>
      </w:pPr>
      <w:r w:rsidRPr="006B0A9B">
        <w:rPr>
          <w:rFonts w:ascii="Palatino Linotype" w:hAnsi="Palatino Linotype" w:cs="Tahoma"/>
          <w:sz w:val="22"/>
          <w:szCs w:val="22"/>
        </w:rPr>
        <w:t>Por lo anterior, conviene realizarlas siguientes precisiones, ya que si bien la Ley de la materia, prevé el supuesto de incompetencia para que los sujetos obligados den atención a solitudes de información, también lo es, que no se precisa en que consiste dicho concepto; al respecto</w:t>
      </w:r>
      <w:r w:rsidRPr="006B0A9B">
        <w:rPr>
          <w:rFonts w:ascii="Palatino Linotype" w:hAnsi="Palatino Linotype" w:cs="Tahoma"/>
          <w:sz w:val="22"/>
          <w:szCs w:val="22"/>
          <w:lang w:val="es-ES_tradnl"/>
        </w:rPr>
        <w:t>,</w:t>
      </w:r>
      <w:r w:rsidRPr="006B0A9B">
        <w:rPr>
          <w:rFonts w:ascii="Palatino Linotype" w:hAnsi="Palatino Linotype" w:cs="Arial"/>
          <w:sz w:val="22"/>
          <w:szCs w:val="22"/>
        </w:rPr>
        <w:t xml:space="preserve"> </w:t>
      </w:r>
      <w:r w:rsidRPr="006B0A9B">
        <w:rPr>
          <w:rFonts w:ascii="Palatino Linotype" w:hAnsi="Palatino Linotype" w:cs="Arial"/>
          <w:bCs/>
          <w:sz w:val="22"/>
          <w:szCs w:val="22"/>
        </w:rPr>
        <w:t>según Cabanellas, Guillermo (1993), en el “Diccionario Jurídico Elemental” (p. 32 y 161), precisó los siguientes conceptos:</w:t>
      </w:r>
    </w:p>
    <w:p w14:paraId="06EEC2D0" w14:textId="77777777" w:rsidR="00E85F96" w:rsidRPr="006B0A9B" w:rsidRDefault="00E85F96" w:rsidP="00E85F96">
      <w:pPr>
        <w:spacing w:line="360" w:lineRule="auto"/>
        <w:jc w:val="both"/>
        <w:rPr>
          <w:rFonts w:ascii="Palatino Linotype" w:hAnsi="Palatino Linotype" w:cs="Arial"/>
          <w:bCs/>
          <w:sz w:val="22"/>
          <w:szCs w:val="22"/>
        </w:rPr>
      </w:pPr>
    </w:p>
    <w:p w14:paraId="10B4554C" w14:textId="77777777" w:rsidR="00E85F96" w:rsidRPr="006B0A9B" w:rsidRDefault="00E85F96" w:rsidP="00E85F96">
      <w:pPr>
        <w:numPr>
          <w:ilvl w:val="0"/>
          <w:numId w:val="39"/>
        </w:numPr>
        <w:spacing w:line="360" w:lineRule="auto"/>
        <w:contextualSpacing/>
        <w:jc w:val="both"/>
        <w:rPr>
          <w:rFonts w:ascii="Palatino Linotype" w:hAnsi="Palatino Linotype" w:cs="Arial"/>
          <w:bCs/>
          <w:sz w:val="22"/>
          <w:szCs w:val="22"/>
        </w:rPr>
      </w:pPr>
      <w:r w:rsidRPr="006B0A9B">
        <w:rPr>
          <w:rFonts w:ascii="Palatino Linotype" w:hAnsi="Palatino Linotype" w:cs="Arial"/>
          <w:b/>
          <w:bCs/>
          <w:sz w:val="22"/>
          <w:szCs w:val="22"/>
        </w:rPr>
        <w:t xml:space="preserve">Competencia: </w:t>
      </w:r>
      <w:r w:rsidRPr="006B0A9B">
        <w:rPr>
          <w:rFonts w:ascii="Palatino Linotype" w:hAnsi="Palatino Linotype" w:cs="Arial"/>
          <w:bCs/>
          <w:sz w:val="22"/>
          <w:szCs w:val="22"/>
        </w:rPr>
        <w:t>La capacidad de una autoridad para conocer sobre una materia o asunto.</w:t>
      </w:r>
    </w:p>
    <w:p w14:paraId="7138ECC5" w14:textId="77777777" w:rsidR="00E85F96" w:rsidRPr="006B0A9B" w:rsidRDefault="00E85F96" w:rsidP="00E85F96">
      <w:pPr>
        <w:numPr>
          <w:ilvl w:val="0"/>
          <w:numId w:val="39"/>
        </w:numPr>
        <w:spacing w:line="360" w:lineRule="auto"/>
        <w:contextualSpacing/>
        <w:jc w:val="both"/>
        <w:rPr>
          <w:rFonts w:ascii="Palatino Linotype" w:hAnsi="Palatino Linotype" w:cs="Arial"/>
          <w:bCs/>
          <w:sz w:val="22"/>
          <w:szCs w:val="22"/>
        </w:rPr>
      </w:pPr>
      <w:r w:rsidRPr="006B0A9B">
        <w:rPr>
          <w:rFonts w:ascii="Palatino Linotype" w:hAnsi="Palatino Linotype" w:cs="Arial"/>
          <w:b/>
          <w:bCs/>
          <w:sz w:val="22"/>
          <w:szCs w:val="22"/>
        </w:rPr>
        <w:t>Incompetencia:</w:t>
      </w:r>
      <w:r w:rsidRPr="006B0A9B">
        <w:rPr>
          <w:rFonts w:ascii="Palatino Linotype" w:hAnsi="Palatino Linotype" w:cs="Arial"/>
          <w:bCs/>
          <w:sz w:val="22"/>
          <w:szCs w:val="22"/>
        </w:rPr>
        <w:t xml:space="preserve"> Falta de Competencia.</w:t>
      </w:r>
    </w:p>
    <w:p w14:paraId="2FE02932" w14:textId="77777777" w:rsidR="00E85F96" w:rsidRPr="006B0A9B" w:rsidRDefault="00E85F96" w:rsidP="00E85F96">
      <w:pPr>
        <w:spacing w:line="360" w:lineRule="auto"/>
        <w:jc w:val="both"/>
        <w:rPr>
          <w:rFonts w:ascii="Palatino Linotype" w:hAnsi="Palatino Linotype" w:cs="Arial"/>
          <w:sz w:val="22"/>
          <w:szCs w:val="22"/>
        </w:rPr>
      </w:pPr>
    </w:p>
    <w:p w14:paraId="45991EBB" w14:textId="77777777" w:rsidR="00E85F96" w:rsidRPr="006B0A9B" w:rsidRDefault="00E85F96" w:rsidP="00E85F96">
      <w:pPr>
        <w:spacing w:line="360" w:lineRule="auto"/>
        <w:jc w:val="both"/>
        <w:rPr>
          <w:rFonts w:ascii="Palatino Linotype" w:hAnsi="Palatino Linotype" w:cs="Tahoma"/>
          <w:sz w:val="22"/>
          <w:szCs w:val="22"/>
        </w:rPr>
      </w:pPr>
      <w:r w:rsidRPr="006B0A9B">
        <w:rPr>
          <w:rFonts w:ascii="Palatino Linotype" w:hAnsi="Palatino Linotype" w:cs="Tahoma"/>
          <w:sz w:val="22"/>
          <w:szCs w:val="22"/>
          <w:lang w:val="es-ES_tradnl"/>
        </w:rPr>
        <w:t xml:space="preserve">Por lo que, </w:t>
      </w:r>
      <w:r w:rsidRPr="006B0A9B">
        <w:rPr>
          <w:rFonts w:ascii="Palatino Linotype" w:hAnsi="Palatino Linotype" w:cs="Tahoma"/>
          <w:b/>
          <w:sz w:val="22"/>
          <w:szCs w:val="22"/>
          <w:lang w:val="es-ES_tradnl"/>
        </w:rPr>
        <w:t>la incompetencia</w:t>
      </w:r>
      <w:r w:rsidRPr="006B0A9B">
        <w:rPr>
          <w:rFonts w:ascii="Palatino Linotype" w:hAnsi="Palatino Linotype" w:cs="Tahoma"/>
          <w:sz w:val="22"/>
          <w:szCs w:val="22"/>
          <w:lang w:val="es-ES_tradnl"/>
        </w:rPr>
        <w:t>, radica en la incapacidad de una autoridad para conocer de un tema o asunto; en el mismo sentido, conviene traer a cuenta tesis</w:t>
      </w:r>
      <w:r w:rsidRPr="006B0A9B">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14:paraId="1E3CD549" w14:textId="77777777" w:rsidR="00E85F96" w:rsidRPr="006B0A9B" w:rsidRDefault="00E85F96" w:rsidP="00E85F96">
      <w:pPr>
        <w:spacing w:line="360" w:lineRule="auto"/>
        <w:jc w:val="both"/>
        <w:rPr>
          <w:rFonts w:ascii="Palatino Linotype" w:hAnsi="Palatino Linotype" w:cs="Tahoma"/>
          <w:sz w:val="22"/>
          <w:szCs w:val="22"/>
          <w:lang w:val="es-ES_tradnl"/>
        </w:rPr>
      </w:pPr>
    </w:p>
    <w:p w14:paraId="1ECF13D5" w14:textId="77777777" w:rsidR="00E85F96" w:rsidRPr="006B0A9B" w:rsidRDefault="00E85F96" w:rsidP="00E85F96">
      <w:pPr>
        <w:spacing w:line="360" w:lineRule="auto"/>
        <w:ind w:left="567" w:right="567"/>
        <w:jc w:val="both"/>
        <w:rPr>
          <w:rFonts w:ascii="Palatino Linotype" w:hAnsi="Palatino Linotype" w:cs="Tahoma"/>
          <w:i/>
          <w:lang w:val="es-ES_tradnl"/>
        </w:rPr>
      </w:pPr>
      <w:r w:rsidRPr="006B0A9B">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6B0A9B">
        <w:rPr>
          <w:rFonts w:ascii="Palatino Linotype" w:hAnsi="Palatino Linotype" w:cs="Tahoma"/>
          <w:i/>
          <w:lang w:val="es-ES_tradnl"/>
        </w:rPr>
        <w:t>El artículo </w:t>
      </w:r>
      <w:hyperlink r:id="rId20" w:history="1">
        <w:r w:rsidRPr="006B0A9B">
          <w:rPr>
            <w:rFonts w:ascii="Palatino Linotype" w:hAnsi="Palatino Linotype" w:cs="Tahoma"/>
            <w:i/>
            <w:color w:val="0563C1" w:themeColor="hyperlink"/>
            <w:u w:val="single"/>
            <w:lang w:val="es-ES_tradnl"/>
          </w:rPr>
          <w:t>16 constitucional</w:t>
        </w:r>
      </w:hyperlink>
      <w:r w:rsidRPr="006B0A9B">
        <w:rPr>
          <w:rFonts w:ascii="Palatino Linotype" w:hAnsi="Palatino Linotype" w:cs="Tahoma"/>
          <w:i/>
          <w:lang w:val="es-ES_tradnl"/>
        </w:rPr>
        <w:t xml:space="preserve"> se refiere a la competencia que tienen las autoridades para </w:t>
      </w:r>
      <w:r w:rsidRPr="006B0A9B">
        <w:rPr>
          <w:rFonts w:ascii="Palatino Linotype" w:hAnsi="Palatino Linotype" w:cs="Tahoma"/>
          <w:i/>
          <w:lang w:val="es-ES_tradnl"/>
        </w:rPr>
        <w:lastRenderedPageBreak/>
        <w:t>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0938A2B5" w14:textId="77777777" w:rsidR="00E85F96" w:rsidRPr="006B0A9B" w:rsidRDefault="00E85F96" w:rsidP="00E85F96">
      <w:pPr>
        <w:spacing w:line="360" w:lineRule="auto"/>
        <w:jc w:val="both"/>
        <w:rPr>
          <w:rFonts w:ascii="Palatino Linotype" w:hAnsi="Palatino Linotype" w:cs="Tahoma"/>
          <w:sz w:val="22"/>
          <w:szCs w:val="22"/>
          <w:lang w:val="es-ES_tradnl"/>
        </w:rPr>
      </w:pPr>
    </w:p>
    <w:p w14:paraId="5CC6A270" w14:textId="77777777" w:rsidR="00E85F96" w:rsidRPr="006B0A9B" w:rsidRDefault="00E85F96" w:rsidP="00E85F96">
      <w:pPr>
        <w:spacing w:line="360" w:lineRule="auto"/>
        <w:jc w:val="both"/>
        <w:rPr>
          <w:rFonts w:ascii="Palatino Linotype" w:hAnsi="Palatino Linotype" w:cs="Tahoma"/>
          <w:sz w:val="22"/>
          <w:szCs w:val="22"/>
        </w:rPr>
      </w:pPr>
      <w:r w:rsidRPr="006B0A9B">
        <w:rPr>
          <w:rFonts w:ascii="Palatino Linotype" w:hAnsi="Palatino Linotype" w:cs="Tahoma"/>
          <w:sz w:val="22"/>
          <w:szCs w:val="22"/>
          <w:lang w:val="es-ES_tradnl"/>
        </w:rPr>
        <w:t xml:space="preserve">Asimismo, resulta necesario traer a colación, el </w:t>
      </w:r>
      <w:r w:rsidRPr="006B0A9B">
        <w:rPr>
          <w:rFonts w:ascii="Palatino Linotype" w:hAnsi="Palatino Linotype" w:cs="Tahoma"/>
          <w:sz w:val="22"/>
          <w:szCs w:val="22"/>
          <w:lang w:val="es-ES"/>
        </w:rPr>
        <w:t xml:space="preserve">Criterio 13/17, </w:t>
      </w:r>
      <w:r w:rsidRPr="006B0A9B">
        <w:rPr>
          <w:rFonts w:ascii="Palatino Linotype" w:hAnsi="Palatino Linotype" w:cs="Tahoma"/>
          <w:sz w:val="22"/>
          <w:szCs w:val="22"/>
        </w:rPr>
        <w:t xml:space="preserve">emitido por el Instituto Nacional de Transparencia, Acceso a la Información y Protección de Datos Personales, que dispone lo siguiente: </w:t>
      </w:r>
    </w:p>
    <w:p w14:paraId="4B5294BA" w14:textId="77777777" w:rsidR="00E85F96" w:rsidRPr="006B0A9B" w:rsidRDefault="00E85F96" w:rsidP="00E85F96">
      <w:pPr>
        <w:spacing w:line="360" w:lineRule="auto"/>
        <w:jc w:val="both"/>
        <w:rPr>
          <w:rFonts w:ascii="Palatino Linotype" w:hAnsi="Palatino Linotype" w:cs="Tahoma"/>
          <w:sz w:val="22"/>
          <w:szCs w:val="22"/>
        </w:rPr>
      </w:pPr>
    </w:p>
    <w:p w14:paraId="3A208EF1" w14:textId="77777777" w:rsidR="00E85F96" w:rsidRPr="006B0A9B" w:rsidRDefault="00E85F96" w:rsidP="00E85F96">
      <w:pPr>
        <w:spacing w:line="360" w:lineRule="auto"/>
        <w:ind w:left="567" w:right="567"/>
        <w:jc w:val="both"/>
        <w:rPr>
          <w:rFonts w:ascii="Palatino Linotype" w:hAnsi="Palatino Linotype" w:cs="Tahoma"/>
          <w:i/>
        </w:rPr>
      </w:pPr>
      <w:r w:rsidRPr="006B0A9B">
        <w:rPr>
          <w:rFonts w:ascii="Palatino Linotype" w:hAnsi="Palatino Linotype" w:cs="Tahoma"/>
          <w:b/>
          <w:bCs/>
          <w:i/>
        </w:rPr>
        <w:t xml:space="preserve">Incompetencia. </w:t>
      </w:r>
      <w:r w:rsidRPr="006B0A9B">
        <w:rPr>
          <w:rFonts w:ascii="Palatino Linotype" w:hAnsi="Palatino Linotype" w:cs="Tahoma"/>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E18988F" w14:textId="77777777" w:rsidR="00E85F96" w:rsidRPr="006B0A9B" w:rsidRDefault="00E85F96" w:rsidP="00E85F96">
      <w:pPr>
        <w:spacing w:line="360" w:lineRule="auto"/>
        <w:jc w:val="both"/>
        <w:rPr>
          <w:rFonts w:ascii="Palatino Linotype" w:hAnsi="Palatino Linotype" w:cs="Tahoma"/>
          <w:sz w:val="22"/>
          <w:szCs w:val="22"/>
          <w:lang w:val="es-ES_tradnl"/>
        </w:rPr>
      </w:pPr>
    </w:p>
    <w:p w14:paraId="0C7B8A7B" w14:textId="3D641EFD" w:rsidR="00E85F96" w:rsidRPr="006B0A9B" w:rsidRDefault="00E85F96" w:rsidP="00B00476">
      <w:pPr>
        <w:spacing w:line="360" w:lineRule="auto"/>
        <w:jc w:val="both"/>
        <w:rPr>
          <w:rFonts w:ascii="Palatino Linotype" w:hAnsi="Palatino Linotype" w:cs="Tahoma"/>
          <w:sz w:val="22"/>
          <w:szCs w:val="22"/>
          <w:lang w:val="es-ES_tradnl"/>
        </w:rPr>
      </w:pPr>
      <w:r w:rsidRPr="006B0A9B">
        <w:rPr>
          <w:rFonts w:ascii="Palatino Linotype" w:hAnsi="Palatino Linotype" w:cs="Tahoma"/>
          <w:sz w:val="22"/>
          <w:szCs w:val="22"/>
          <w:lang w:val="es-ES_tradnl"/>
        </w:rPr>
        <w:t xml:space="preserve">En tal virtud, la </w:t>
      </w:r>
      <w:r w:rsidRPr="006B0A9B">
        <w:rPr>
          <w:rFonts w:ascii="Palatino Linotype" w:hAnsi="Palatino Linotype" w:cs="Tahoma"/>
          <w:b/>
          <w:sz w:val="22"/>
          <w:szCs w:val="22"/>
          <w:lang w:val="es-ES_tradnl"/>
        </w:rPr>
        <w:t xml:space="preserve">incompetencia </w:t>
      </w:r>
      <w:r w:rsidRPr="006B0A9B">
        <w:rPr>
          <w:rFonts w:ascii="Palatino Linotype" w:hAnsi="Palatino Linotype" w:cs="Tahoma"/>
          <w:sz w:val="22"/>
          <w:szCs w:val="22"/>
          <w:lang w:val="es-ES_tradnl"/>
        </w:rPr>
        <w:t>implica que de conformidad con las atribuciones conferidas al sujeto obligado, no habría razón por la cual éste deba contar con la información solicitada</w:t>
      </w:r>
      <w:r w:rsidR="00B00476" w:rsidRPr="006B0A9B">
        <w:rPr>
          <w:rFonts w:ascii="Palatino Linotype" w:hAnsi="Palatino Linotype" w:cs="Tahoma"/>
          <w:sz w:val="22"/>
          <w:szCs w:val="22"/>
          <w:lang w:val="es-ES_tradnl"/>
        </w:rPr>
        <w:t xml:space="preserve"> a sujetos obligados distintos.</w:t>
      </w:r>
    </w:p>
    <w:p w14:paraId="4505A255" w14:textId="77777777" w:rsidR="00B00476" w:rsidRPr="006B0A9B" w:rsidRDefault="00B00476" w:rsidP="00B00476">
      <w:pPr>
        <w:spacing w:line="360" w:lineRule="auto"/>
        <w:jc w:val="both"/>
        <w:rPr>
          <w:rFonts w:ascii="Palatino Linotype" w:eastAsia="Calibri" w:hAnsi="Palatino Linotype" w:cs="Tahoma"/>
          <w:iCs/>
          <w:sz w:val="22"/>
          <w:szCs w:val="22"/>
          <w:lang w:eastAsia="es-ES_tradnl"/>
        </w:rPr>
      </w:pPr>
    </w:p>
    <w:p w14:paraId="4DEF51DB" w14:textId="77777777" w:rsidR="008179C5" w:rsidRPr="006B0A9B" w:rsidRDefault="008179C5" w:rsidP="008179C5">
      <w:pPr>
        <w:spacing w:line="360" w:lineRule="auto"/>
        <w:contextualSpacing/>
        <w:jc w:val="both"/>
        <w:rPr>
          <w:rFonts w:ascii="Palatino Linotype" w:hAnsi="Palatino Linotype" w:cs="Tahoma"/>
          <w:b/>
          <w:sz w:val="22"/>
          <w:szCs w:val="22"/>
        </w:rPr>
      </w:pPr>
      <w:r w:rsidRPr="006B0A9B">
        <w:rPr>
          <w:rFonts w:ascii="Palatino Linotype" w:hAnsi="Palatino Linotype" w:cs="Tahoma"/>
          <w:b/>
          <w:sz w:val="22"/>
          <w:szCs w:val="22"/>
        </w:rPr>
        <w:t>Versión pública</w:t>
      </w:r>
    </w:p>
    <w:p w14:paraId="7124207D" w14:textId="77777777" w:rsidR="008179C5" w:rsidRPr="006B0A9B" w:rsidRDefault="008179C5" w:rsidP="008179C5">
      <w:pPr>
        <w:spacing w:line="360" w:lineRule="auto"/>
        <w:contextualSpacing/>
        <w:jc w:val="both"/>
        <w:rPr>
          <w:rFonts w:ascii="Palatino Linotype" w:hAnsi="Palatino Linotype" w:cs="Tahoma"/>
          <w:bCs/>
          <w:sz w:val="22"/>
          <w:szCs w:val="22"/>
        </w:rPr>
      </w:pPr>
    </w:p>
    <w:p w14:paraId="11FF44C3" w14:textId="77777777" w:rsidR="008179C5" w:rsidRPr="006B0A9B" w:rsidRDefault="008179C5" w:rsidP="008179C5">
      <w:pPr>
        <w:spacing w:line="360" w:lineRule="auto"/>
        <w:contextualSpacing/>
        <w:jc w:val="both"/>
        <w:rPr>
          <w:rFonts w:ascii="Palatino Linotype" w:hAnsi="Palatino Linotype" w:cs="Tahoma"/>
          <w:bCs/>
          <w:sz w:val="22"/>
          <w:szCs w:val="22"/>
        </w:rPr>
      </w:pPr>
      <w:r w:rsidRPr="006B0A9B">
        <w:rPr>
          <w:rFonts w:ascii="Palatino Linotype" w:hAnsi="Palatino Linotype" w:cs="Tahoma"/>
          <w:bCs/>
          <w:sz w:val="22"/>
          <w:szCs w:val="22"/>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w:t>
      </w:r>
      <w:r w:rsidRPr="006B0A9B">
        <w:rPr>
          <w:rFonts w:ascii="Palatino Linotype" w:hAnsi="Palatino Linotype" w:cs="Tahoma"/>
          <w:bCs/>
          <w:sz w:val="22"/>
          <w:szCs w:val="22"/>
        </w:rPr>
        <w:lastRenderedPageBreak/>
        <w:t xml:space="preserve">fracciones II y VIII, 143, fracción I y 149 de la Ley de Transparencia y Acceso a la Información Pública del Estado de México y Municipios. </w:t>
      </w:r>
      <w:r w:rsidRPr="006B0A9B">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08FDAF4E"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073AFB3C"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CC4F39A"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2AC24DBD"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7B2D099F"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09D72149"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w:t>
      </w:r>
      <w:r w:rsidRPr="006B0A9B">
        <w:rPr>
          <w:rFonts w:ascii="Palatino Linotype" w:hAnsi="Palatino Linotype" w:cs="Tahoma"/>
          <w:bCs/>
          <w:iCs/>
          <w:sz w:val="22"/>
          <w:szCs w:val="22"/>
        </w:rPr>
        <w:lastRenderedPageBreak/>
        <w:t>derechos de terceros o cuando se transmita entre sujetos obligados en términos de los tratados y los acuerdos interinstitucionales.</w:t>
      </w:r>
    </w:p>
    <w:p w14:paraId="1D249F33"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20FC2B6A"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051A4AB7"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5CB113B6" w14:textId="77777777" w:rsidR="008179C5" w:rsidRPr="006B0A9B" w:rsidRDefault="008179C5" w:rsidP="008179C5">
      <w:pPr>
        <w:numPr>
          <w:ilvl w:val="0"/>
          <w:numId w:val="8"/>
        </w:num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104E2707" w14:textId="77777777" w:rsidR="008179C5" w:rsidRPr="006B0A9B" w:rsidRDefault="008179C5" w:rsidP="008179C5">
      <w:pPr>
        <w:numPr>
          <w:ilvl w:val="0"/>
          <w:numId w:val="8"/>
        </w:num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 xml:space="preserve">Para la difusión de los datos, se requiera el consentimiento del titular. </w:t>
      </w:r>
    </w:p>
    <w:p w14:paraId="213BFF54"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15BEED72"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8A7DD2B"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3ADCA1A6"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Además, en el artículo 5° de dicho ordenamiento jurídico, establece que es la Ley aplicable para todo tratamiento de datos personales.</w:t>
      </w:r>
    </w:p>
    <w:p w14:paraId="3D322DC7"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49130847"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 xml:space="preserve">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6B0A9B">
        <w:rPr>
          <w:rFonts w:ascii="Palatino Linotype" w:hAnsi="Palatino Linotype" w:cs="Tahoma"/>
          <w:bCs/>
          <w:iCs/>
          <w:sz w:val="22"/>
          <w:szCs w:val="22"/>
        </w:rPr>
        <w:lastRenderedPageBreak/>
        <w:t>con el consentimiento de su titular, además de que debe estar justificado en ley (principio de finalidad).</w:t>
      </w:r>
    </w:p>
    <w:p w14:paraId="7A317597"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56790DFA"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D1A0DDA"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6B9262D2"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9E61197"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3A3DBF13"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DD800FC"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12AAAF86"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w:t>
      </w:r>
      <w:r w:rsidRPr="006B0A9B">
        <w:rPr>
          <w:rFonts w:ascii="Palatino Linotype" w:hAnsi="Palatino Linotype" w:cs="Tahoma"/>
          <w:bCs/>
          <w:iCs/>
          <w:sz w:val="22"/>
          <w:szCs w:val="22"/>
        </w:rPr>
        <w:lastRenderedPageBreak/>
        <w:t>otros; información que necesariamente está vinculada con datos personales, que pierden la protección en beneficio del interés público (no por eso dejan de ser datos personales, sólo que no están protegidos en la confidencialidad).</w:t>
      </w:r>
    </w:p>
    <w:p w14:paraId="391C516A"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0E6C3005" w14:textId="77777777" w:rsidR="008179C5" w:rsidRPr="006B0A9B" w:rsidRDefault="008179C5" w:rsidP="008179C5">
      <w:pPr>
        <w:spacing w:line="360" w:lineRule="auto"/>
        <w:contextualSpacing/>
        <w:jc w:val="both"/>
        <w:rPr>
          <w:rFonts w:ascii="Palatino Linotype" w:hAnsi="Palatino Linotype" w:cs="Tahoma"/>
          <w:bCs/>
          <w:iCs/>
          <w:sz w:val="22"/>
          <w:szCs w:val="22"/>
        </w:rPr>
      </w:pPr>
      <w:r w:rsidRPr="006B0A9B">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77AE17E" w14:textId="77777777" w:rsidR="008179C5" w:rsidRPr="006B0A9B" w:rsidRDefault="008179C5" w:rsidP="008179C5">
      <w:pPr>
        <w:spacing w:line="360" w:lineRule="auto"/>
        <w:contextualSpacing/>
        <w:jc w:val="both"/>
        <w:rPr>
          <w:rFonts w:ascii="Palatino Linotype" w:hAnsi="Palatino Linotype" w:cs="Tahoma"/>
          <w:bCs/>
          <w:iCs/>
          <w:sz w:val="22"/>
          <w:szCs w:val="22"/>
        </w:rPr>
      </w:pPr>
    </w:p>
    <w:p w14:paraId="70298905" w14:textId="77777777" w:rsidR="008179C5" w:rsidRPr="006B0A9B" w:rsidRDefault="008179C5" w:rsidP="008179C5">
      <w:pPr>
        <w:spacing w:line="360" w:lineRule="auto"/>
        <w:contextualSpacing/>
        <w:jc w:val="both"/>
        <w:rPr>
          <w:rFonts w:ascii="Palatino Linotype" w:hAnsi="Palatino Linotype" w:cs="Tahoma"/>
          <w:bCs/>
          <w:sz w:val="22"/>
          <w:szCs w:val="22"/>
        </w:rPr>
      </w:pPr>
      <w:r w:rsidRPr="006B0A9B">
        <w:rPr>
          <w:rFonts w:ascii="Palatino Linotype" w:hAnsi="Palatino Linotype" w:cs="Tahoma"/>
          <w:bCs/>
          <w:sz w:val="22"/>
          <w:szCs w:val="22"/>
        </w:rPr>
        <w:t>En consecuencia, aquellos datos que únicamente versan sobre la vida privada de las personas deberán ser eliminadas de las versiones pública, previa aprobación del Comité de Transparencia.</w:t>
      </w:r>
    </w:p>
    <w:p w14:paraId="6F5F44FB" w14:textId="77777777" w:rsidR="005B062F" w:rsidRPr="006B0A9B" w:rsidRDefault="005B062F" w:rsidP="005B062F">
      <w:pPr>
        <w:spacing w:line="360" w:lineRule="auto"/>
        <w:ind w:right="-93"/>
        <w:jc w:val="both"/>
        <w:rPr>
          <w:rFonts w:ascii="Palatino Linotype" w:eastAsia="Calibri" w:hAnsi="Palatino Linotype" w:cs="Tahoma"/>
          <w:iCs/>
          <w:sz w:val="22"/>
          <w:szCs w:val="22"/>
          <w:lang w:eastAsia="es-ES_tradnl"/>
        </w:rPr>
      </w:pPr>
    </w:p>
    <w:p w14:paraId="4166F56F" w14:textId="77777777" w:rsidR="00803E3D" w:rsidRPr="006B0A9B" w:rsidRDefault="00803E3D" w:rsidP="00FF426B">
      <w:pPr>
        <w:spacing w:line="360" w:lineRule="auto"/>
        <w:ind w:right="-93"/>
        <w:jc w:val="both"/>
        <w:rPr>
          <w:rFonts w:ascii="Palatino Linotype" w:hAnsi="Palatino Linotype" w:cs="Tahoma"/>
          <w:b/>
          <w:sz w:val="22"/>
          <w:szCs w:val="22"/>
        </w:rPr>
      </w:pPr>
      <w:r w:rsidRPr="006B0A9B">
        <w:rPr>
          <w:rFonts w:ascii="Palatino Linotype" w:hAnsi="Palatino Linotype" w:cs="Tahoma"/>
          <w:b/>
          <w:sz w:val="22"/>
          <w:szCs w:val="22"/>
        </w:rPr>
        <w:t>SEXTO. Decisión</w:t>
      </w:r>
    </w:p>
    <w:p w14:paraId="25E285B5" w14:textId="77777777" w:rsidR="00803E3D" w:rsidRPr="006B0A9B" w:rsidRDefault="00803E3D" w:rsidP="00FF426B">
      <w:pPr>
        <w:spacing w:line="360" w:lineRule="auto"/>
        <w:ind w:right="-93"/>
        <w:jc w:val="both"/>
        <w:rPr>
          <w:rFonts w:ascii="Palatino Linotype" w:hAnsi="Palatino Linotype" w:cs="Tahoma"/>
          <w:b/>
          <w:sz w:val="22"/>
          <w:szCs w:val="22"/>
        </w:rPr>
      </w:pPr>
    </w:p>
    <w:p w14:paraId="7E30372F" w14:textId="36F74857" w:rsidR="00803E3D" w:rsidRPr="006B0A9B" w:rsidRDefault="00803E3D" w:rsidP="00FF426B">
      <w:pPr>
        <w:spacing w:line="360" w:lineRule="auto"/>
        <w:ind w:right="-93"/>
        <w:jc w:val="both"/>
        <w:rPr>
          <w:rFonts w:ascii="Palatino Linotype" w:hAnsi="Palatino Linotype" w:cs="Tahoma"/>
          <w:sz w:val="22"/>
          <w:szCs w:val="22"/>
        </w:rPr>
      </w:pPr>
      <w:r w:rsidRPr="006B0A9B">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9A5DE4" w:rsidRPr="006B0A9B">
        <w:rPr>
          <w:rFonts w:ascii="Palatino Linotype" w:hAnsi="Palatino Linotype" w:cs="Tahoma"/>
          <w:b/>
          <w:sz w:val="22"/>
          <w:szCs w:val="22"/>
        </w:rPr>
        <w:t>REVOCAR</w:t>
      </w:r>
      <w:r w:rsidRPr="006B0A9B">
        <w:rPr>
          <w:rFonts w:ascii="Palatino Linotype" w:hAnsi="Palatino Linotype" w:cs="Tahoma"/>
          <w:sz w:val="22"/>
          <w:szCs w:val="22"/>
        </w:rPr>
        <w:t xml:space="preserve"> la respuesta otorgada por el Sujeto Obligado a la solicitud de información </w:t>
      </w:r>
      <w:r w:rsidR="009A5DE4" w:rsidRPr="006B0A9B">
        <w:rPr>
          <w:rFonts w:ascii="Palatino Linotype" w:hAnsi="Palatino Linotype" w:cs="Tahoma"/>
          <w:b/>
          <w:bCs/>
          <w:sz w:val="22"/>
          <w:szCs w:val="22"/>
        </w:rPr>
        <w:t>00497/CAEM/IP/2024</w:t>
      </w:r>
      <w:r w:rsidRPr="006B0A9B">
        <w:rPr>
          <w:rFonts w:ascii="Palatino Linotype" w:hAnsi="Palatino Linotype" w:cs="Tahoma"/>
          <w:sz w:val="22"/>
          <w:szCs w:val="22"/>
        </w:rPr>
        <w:t xml:space="preserve">, por resultar fundadas las razones o motivos de inconformidad hechos </w:t>
      </w:r>
      <w:r w:rsidRPr="006B0A9B">
        <w:rPr>
          <w:rFonts w:ascii="Palatino Linotype" w:hAnsi="Palatino Linotype" w:cs="Tahoma"/>
          <w:sz w:val="22"/>
          <w:szCs w:val="22"/>
        </w:rPr>
        <w:lastRenderedPageBreak/>
        <w:t xml:space="preserve">valer por el Recurrente, en el Recurso de Revisión </w:t>
      </w:r>
      <w:r w:rsidR="009A5DE4" w:rsidRPr="006B0A9B">
        <w:rPr>
          <w:rFonts w:ascii="Palatino Linotype" w:hAnsi="Palatino Linotype" w:cs="Tahoma"/>
          <w:b/>
          <w:sz w:val="22"/>
          <w:szCs w:val="22"/>
        </w:rPr>
        <w:t>06476</w:t>
      </w:r>
      <w:r w:rsidRPr="006B0A9B">
        <w:rPr>
          <w:rFonts w:ascii="Palatino Linotype" w:hAnsi="Palatino Linotype" w:cs="Tahoma"/>
          <w:b/>
          <w:sz w:val="22"/>
          <w:szCs w:val="22"/>
        </w:rPr>
        <w:t>/INFOEM/IP/RR/202</w:t>
      </w:r>
      <w:r w:rsidR="00754039" w:rsidRPr="006B0A9B">
        <w:rPr>
          <w:rFonts w:ascii="Palatino Linotype" w:hAnsi="Palatino Linotype" w:cs="Tahoma"/>
          <w:b/>
          <w:sz w:val="22"/>
          <w:szCs w:val="22"/>
        </w:rPr>
        <w:t>4</w:t>
      </w:r>
      <w:r w:rsidRPr="006B0A9B">
        <w:rPr>
          <w:rFonts w:ascii="Palatino Linotype" w:hAnsi="Palatino Linotype" w:cs="Tahoma"/>
          <w:sz w:val="22"/>
          <w:szCs w:val="22"/>
        </w:rPr>
        <w:t xml:space="preserve">, en consecuencia procede </w:t>
      </w:r>
      <w:r w:rsidRPr="006B0A9B">
        <w:rPr>
          <w:rFonts w:ascii="Palatino Linotype" w:hAnsi="Palatino Linotype" w:cs="Tahoma"/>
          <w:b/>
          <w:sz w:val="22"/>
          <w:szCs w:val="22"/>
        </w:rPr>
        <w:t>ORDENAR</w:t>
      </w:r>
      <w:r w:rsidRPr="006B0A9B">
        <w:rPr>
          <w:rFonts w:ascii="Palatino Linotype" w:hAnsi="Palatino Linotype" w:cs="Tahoma"/>
          <w:sz w:val="22"/>
          <w:szCs w:val="22"/>
        </w:rPr>
        <w:t xml:space="preserve">, </w:t>
      </w:r>
      <w:r w:rsidR="00876309" w:rsidRPr="006B0A9B">
        <w:rPr>
          <w:rFonts w:ascii="Palatino Linotype" w:hAnsi="Palatino Linotype" w:cs="Tahoma"/>
          <w:sz w:val="22"/>
          <w:szCs w:val="22"/>
        </w:rPr>
        <w:t>haga entrega de la información solicitada.</w:t>
      </w:r>
    </w:p>
    <w:p w14:paraId="1AC1FC63" w14:textId="77777777" w:rsidR="00803E3D" w:rsidRPr="006B0A9B" w:rsidRDefault="00803E3D" w:rsidP="00FF426B">
      <w:pPr>
        <w:spacing w:line="360" w:lineRule="auto"/>
        <w:ind w:right="-93"/>
        <w:jc w:val="both"/>
        <w:rPr>
          <w:rFonts w:ascii="Palatino Linotype" w:eastAsia="Palatino Linotype" w:hAnsi="Palatino Linotype" w:cs="Palatino Linotype"/>
          <w:sz w:val="22"/>
          <w:szCs w:val="22"/>
        </w:rPr>
      </w:pPr>
    </w:p>
    <w:p w14:paraId="1EFC349D" w14:textId="77777777" w:rsidR="00803E3D" w:rsidRPr="006B0A9B" w:rsidRDefault="00803E3D" w:rsidP="00FF426B">
      <w:pPr>
        <w:spacing w:line="360" w:lineRule="auto"/>
        <w:contextualSpacing/>
        <w:jc w:val="both"/>
        <w:rPr>
          <w:rFonts w:ascii="Palatino Linotype" w:eastAsia="Calibri" w:hAnsi="Palatino Linotype" w:cs="Tahoma"/>
          <w:b/>
          <w:bCs/>
          <w:iCs/>
          <w:sz w:val="22"/>
          <w:szCs w:val="22"/>
          <w:lang w:val="es-ES" w:eastAsia="es-ES_tradnl"/>
        </w:rPr>
      </w:pPr>
      <w:r w:rsidRPr="006B0A9B">
        <w:rPr>
          <w:rFonts w:ascii="Palatino Linotype" w:eastAsia="Calibri" w:hAnsi="Palatino Linotype" w:cs="Tahoma"/>
          <w:b/>
          <w:bCs/>
          <w:iCs/>
          <w:sz w:val="22"/>
          <w:szCs w:val="22"/>
          <w:lang w:val="es-ES" w:eastAsia="es-ES_tradnl"/>
        </w:rPr>
        <w:t>Términos de la Resolución para el Recurrente</w:t>
      </w:r>
    </w:p>
    <w:p w14:paraId="4C7B2BEC" w14:textId="77777777" w:rsidR="00803E3D" w:rsidRPr="006B0A9B" w:rsidRDefault="00803E3D" w:rsidP="00FF426B">
      <w:pPr>
        <w:spacing w:line="360" w:lineRule="auto"/>
        <w:jc w:val="both"/>
        <w:rPr>
          <w:rFonts w:ascii="Palatino Linotype" w:eastAsia="Calibri" w:hAnsi="Palatino Linotype" w:cs="Tahoma"/>
          <w:iCs/>
          <w:sz w:val="22"/>
          <w:szCs w:val="22"/>
          <w:lang w:eastAsia="es-ES_tradnl"/>
        </w:rPr>
      </w:pPr>
    </w:p>
    <w:p w14:paraId="2C50E21D" w14:textId="1A47C2E5" w:rsidR="00077700" w:rsidRPr="006B0A9B" w:rsidRDefault="00803E3D" w:rsidP="00FF426B">
      <w:pPr>
        <w:spacing w:line="360" w:lineRule="auto"/>
        <w:jc w:val="both"/>
        <w:rPr>
          <w:rFonts w:ascii="Palatino Linotype" w:hAnsi="Palatino Linotype" w:cs="Tahoma"/>
          <w:bCs/>
          <w:sz w:val="22"/>
          <w:szCs w:val="22"/>
          <w:u w:val="single"/>
        </w:rPr>
      </w:pPr>
      <w:r w:rsidRPr="006B0A9B">
        <w:rPr>
          <w:rFonts w:ascii="Palatino Linotype" w:hAnsi="Palatino Linotype" w:cs="Tahoma"/>
          <w:bCs/>
          <w:sz w:val="22"/>
          <w:szCs w:val="22"/>
          <w:u w:val="single"/>
        </w:rPr>
        <w:t xml:space="preserve">Este Instituto, determinó </w:t>
      </w:r>
      <w:r w:rsidR="009A5DE4" w:rsidRPr="006B0A9B">
        <w:rPr>
          <w:rFonts w:ascii="Palatino Linotype" w:hAnsi="Palatino Linotype" w:cs="Tahoma"/>
          <w:bCs/>
          <w:sz w:val="22"/>
          <w:szCs w:val="22"/>
          <w:u w:val="single"/>
        </w:rPr>
        <w:t>revocar</w:t>
      </w:r>
      <w:r w:rsidR="009B6316" w:rsidRPr="006B0A9B">
        <w:rPr>
          <w:rFonts w:ascii="Palatino Linotype" w:hAnsi="Palatino Linotype" w:cs="Tahoma"/>
          <w:bCs/>
          <w:sz w:val="22"/>
          <w:szCs w:val="22"/>
          <w:u w:val="single"/>
        </w:rPr>
        <w:t xml:space="preserve"> </w:t>
      </w:r>
      <w:r w:rsidRPr="006B0A9B">
        <w:rPr>
          <w:rFonts w:ascii="Palatino Linotype" w:hAnsi="Palatino Linotype" w:cs="Tahoma"/>
          <w:bCs/>
          <w:sz w:val="22"/>
          <w:szCs w:val="22"/>
          <w:u w:val="single"/>
        </w:rPr>
        <w:t>la respuesta que le entregó el Sujeto Obligado a su solicitud de acceso, toda vez que</w:t>
      </w:r>
      <w:r w:rsidR="00837A48" w:rsidRPr="006B0A9B">
        <w:rPr>
          <w:rFonts w:ascii="Palatino Linotype" w:hAnsi="Palatino Linotype" w:cs="Tahoma"/>
          <w:bCs/>
          <w:sz w:val="22"/>
          <w:szCs w:val="22"/>
          <w:u w:val="single"/>
        </w:rPr>
        <w:t xml:space="preserve"> </w:t>
      </w:r>
      <w:r w:rsidR="00593980" w:rsidRPr="006B0A9B">
        <w:rPr>
          <w:rFonts w:ascii="Palatino Linotype" w:hAnsi="Palatino Linotype" w:cs="Tahoma"/>
          <w:bCs/>
          <w:sz w:val="22"/>
          <w:szCs w:val="22"/>
          <w:u w:val="single"/>
        </w:rPr>
        <w:t xml:space="preserve">debe contar con </w:t>
      </w:r>
      <w:r w:rsidR="009A5DE4" w:rsidRPr="006B0A9B">
        <w:rPr>
          <w:rFonts w:ascii="Palatino Linotype" w:hAnsi="Palatino Linotype" w:cs="Tahoma"/>
          <w:bCs/>
          <w:sz w:val="22"/>
          <w:szCs w:val="22"/>
          <w:u w:val="single"/>
        </w:rPr>
        <w:t xml:space="preserve">parte de </w:t>
      </w:r>
      <w:r w:rsidR="00593980" w:rsidRPr="006B0A9B">
        <w:rPr>
          <w:rFonts w:ascii="Palatino Linotype" w:hAnsi="Palatino Linotype" w:cs="Tahoma"/>
          <w:bCs/>
          <w:sz w:val="22"/>
          <w:szCs w:val="22"/>
          <w:u w:val="single"/>
        </w:rPr>
        <w:t>la información que es de su interés</w:t>
      </w:r>
      <w:r w:rsidR="009A5DE4" w:rsidRPr="006B0A9B">
        <w:rPr>
          <w:rFonts w:ascii="Palatino Linotype" w:hAnsi="Palatino Linotype" w:cs="Tahoma"/>
          <w:bCs/>
          <w:sz w:val="22"/>
          <w:szCs w:val="22"/>
          <w:u w:val="single"/>
        </w:rPr>
        <w:t>.</w:t>
      </w:r>
      <w:r w:rsidR="00593980" w:rsidRPr="006B0A9B">
        <w:rPr>
          <w:rFonts w:ascii="Palatino Linotype" w:hAnsi="Palatino Linotype" w:cs="Tahoma"/>
          <w:bCs/>
          <w:sz w:val="22"/>
          <w:szCs w:val="22"/>
          <w:u w:val="single"/>
        </w:rPr>
        <w:t xml:space="preserve"> </w:t>
      </w:r>
    </w:p>
    <w:p w14:paraId="35FF4329" w14:textId="77777777" w:rsidR="00876309" w:rsidRPr="006B0A9B" w:rsidRDefault="00876309" w:rsidP="00FF426B">
      <w:pPr>
        <w:spacing w:line="360" w:lineRule="auto"/>
        <w:jc w:val="both"/>
        <w:rPr>
          <w:rFonts w:ascii="Palatino Linotype" w:hAnsi="Palatino Linotype" w:cs="Tahoma"/>
          <w:bCs/>
          <w:sz w:val="22"/>
          <w:szCs w:val="22"/>
          <w:u w:val="single"/>
        </w:rPr>
      </w:pPr>
    </w:p>
    <w:p w14:paraId="1CC04075" w14:textId="77777777" w:rsidR="00803E3D" w:rsidRPr="006B0A9B" w:rsidRDefault="00803E3D" w:rsidP="00FF426B">
      <w:pPr>
        <w:spacing w:line="360" w:lineRule="auto"/>
        <w:ind w:right="-93"/>
        <w:jc w:val="both"/>
        <w:rPr>
          <w:rFonts w:ascii="Palatino Linotype" w:hAnsi="Palatino Linotype" w:cs="Tahoma"/>
          <w:bCs/>
          <w:sz w:val="22"/>
          <w:szCs w:val="22"/>
          <w:u w:val="single"/>
        </w:rPr>
      </w:pPr>
      <w:r w:rsidRPr="006B0A9B">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167583B3" w14:textId="77777777" w:rsidR="00AE7FF6" w:rsidRPr="006B0A9B" w:rsidRDefault="00AE7FF6" w:rsidP="00916270">
      <w:pPr>
        <w:spacing w:line="360" w:lineRule="auto"/>
        <w:ind w:right="-91"/>
        <w:jc w:val="center"/>
        <w:rPr>
          <w:rFonts w:ascii="Palatino Linotype" w:eastAsia="Calibri" w:hAnsi="Palatino Linotype" w:cs="Tahoma"/>
          <w:b/>
          <w:bCs/>
          <w:sz w:val="22"/>
          <w:szCs w:val="22"/>
          <w:lang w:eastAsia="en-US"/>
        </w:rPr>
      </w:pPr>
    </w:p>
    <w:p w14:paraId="354A3089" w14:textId="77777777" w:rsidR="00803E3D" w:rsidRPr="006B0A9B" w:rsidRDefault="00803E3D" w:rsidP="00916270">
      <w:pPr>
        <w:spacing w:line="360" w:lineRule="auto"/>
        <w:ind w:right="-91"/>
        <w:jc w:val="center"/>
        <w:rPr>
          <w:rFonts w:ascii="Palatino Linotype" w:eastAsia="Calibri" w:hAnsi="Palatino Linotype" w:cs="Tahoma"/>
          <w:b/>
          <w:bCs/>
          <w:sz w:val="22"/>
          <w:szCs w:val="22"/>
          <w:lang w:eastAsia="en-US"/>
        </w:rPr>
      </w:pPr>
      <w:r w:rsidRPr="006B0A9B">
        <w:rPr>
          <w:rFonts w:ascii="Palatino Linotype" w:eastAsia="Calibri" w:hAnsi="Palatino Linotype" w:cs="Tahoma"/>
          <w:b/>
          <w:bCs/>
          <w:sz w:val="22"/>
          <w:szCs w:val="22"/>
          <w:lang w:eastAsia="en-US"/>
        </w:rPr>
        <w:t>R E S U E L V E</w:t>
      </w:r>
    </w:p>
    <w:p w14:paraId="7A34CEAF" w14:textId="77777777" w:rsidR="00803E3D" w:rsidRPr="006B0A9B" w:rsidRDefault="00803E3D" w:rsidP="00FF426B">
      <w:pPr>
        <w:spacing w:line="360" w:lineRule="auto"/>
        <w:jc w:val="both"/>
        <w:rPr>
          <w:rFonts w:ascii="Palatino Linotype" w:hAnsi="Palatino Linotype" w:cs="Tahoma"/>
          <w:b/>
          <w:bCs/>
          <w:sz w:val="22"/>
          <w:szCs w:val="22"/>
        </w:rPr>
      </w:pPr>
    </w:p>
    <w:p w14:paraId="56EA0463" w14:textId="6E6B7C19" w:rsidR="00803E3D" w:rsidRPr="006B0A9B" w:rsidRDefault="00803E3D" w:rsidP="00FF426B">
      <w:pPr>
        <w:spacing w:line="360" w:lineRule="auto"/>
        <w:contextualSpacing/>
        <w:jc w:val="both"/>
        <w:rPr>
          <w:rFonts w:ascii="Palatino Linotype" w:eastAsia="Calibri" w:hAnsi="Palatino Linotype" w:cs="Tahoma"/>
          <w:bCs/>
          <w:sz w:val="22"/>
          <w:szCs w:val="22"/>
          <w:lang w:eastAsia="en-US"/>
        </w:rPr>
      </w:pPr>
      <w:r w:rsidRPr="006B0A9B">
        <w:rPr>
          <w:rFonts w:ascii="Palatino Linotype" w:hAnsi="Palatino Linotype" w:cs="Tahoma"/>
          <w:b/>
          <w:bCs/>
          <w:sz w:val="22"/>
          <w:szCs w:val="22"/>
        </w:rPr>
        <w:t xml:space="preserve">PRIMERO. </w:t>
      </w:r>
      <w:r w:rsidRPr="006B0A9B">
        <w:rPr>
          <w:rFonts w:ascii="Palatino Linotype" w:hAnsi="Palatino Linotype" w:cs="Tahoma"/>
          <w:bCs/>
          <w:sz w:val="22"/>
          <w:szCs w:val="22"/>
        </w:rPr>
        <w:t xml:space="preserve">Se </w:t>
      </w:r>
      <w:r w:rsidR="009A5DE4" w:rsidRPr="006B0A9B">
        <w:rPr>
          <w:rFonts w:ascii="Palatino Linotype" w:hAnsi="Palatino Linotype" w:cs="Tahoma"/>
          <w:b/>
          <w:bCs/>
          <w:sz w:val="22"/>
          <w:szCs w:val="22"/>
        </w:rPr>
        <w:t>REVOCA</w:t>
      </w:r>
      <w:r w:rsidRPr="006B0A9B">
        <w:rPr>
          <w:rFonts w:ascii="Palatino Linotype" w:hAnsi="Palatino Linotype" w:cs="Tahoma"/>
          <w:bCs/>
          <w:sz w:val="22"/>
          <w:szCs w:val="22"/>
        </w:rPr>
        <w:t xml:space="preserve"> la respuesta entregada por l</w:t>
      </w:r>
      <w:r w:rsidR="009A5DE4" w:rsidRPr="006B0A9B">
        <w:rPr>
          <w:rFonts w:ascii="Palatino Linotype" w:hAnsi="Palatino Linotype" w:cs="Tahoma"/>
          <w:bCs/>
          <w:sz w:val="22"/>
          <w:szCs w:val="22"/>
        </w:rPr>
        <w:t>a</w:t>
      </w:r>
      <w:r w:rsidRPr="006B0A9B">
        <w:rPr>
          <w:rFonts w:ascii="Palatino Linotype" w:hAnsi="Palatino Linotype" w:cs="Tahoma"/>
          <w:bCs/>
          <w:sz w:val="22"/>
          <w:szCs w:val="22"/>
        </w:rPr>
        <w:t xml:space="preserve"> </w:t>
      </w:r>
      <w:r w:rsidR="00E45528" w:rsidRPr="006B0A9B">
        <w:rPr>
          <w:rFonts w:ascii="Palatino Linotype" w:hAnsi="Palatino Linotype" w:cs="Tahoma"/>
          <w:b/>
          <w:bCs/>
          <w:sz w:val="22"/>
          <w:szCs w:val="22"/>
        </w:rPr>
        <w:t>Comisión del Agua del Estado de México</w:t>
      </w:r>
      <w:r w:rsidR="00716C32" w:rsidRPr="006B0A9B">
        <w:rPr>
          <w:rFonts w:ascii="Palatino Linotype" w:hAnsi="Palatino Linotype" w:cs="Tahoma"/>
          <w:b/>
          <w:bCs/>
          <w:sz w:val="22"/>
          <w:szCs w:val="22"/>
        </w:rPr>
        <w:t xml:space="preserve"> </w:t>
      </w:r>
      <w:r w:rsidRPr="006B0A9B">
        <w:rPr>
          <w:rFonts w:ascii="Palatino Linotype" w:eastAsia="Calibri" w:hAnsi="Palatino Linotype" w:cs="Tahoma"/>
          <w:bCs/>
          <w:sz w:val="22"/>
          <w:szCs w:val="22"/>
          <w:lang w:eastAsia="en-US"/>
        </w:rPr>
        <w:t>a</w:t>
      </w:r>
      <w:r w:rsidRPr="006B0A9B">
        <w:rPr>
          <w:rFonts w:ascii="Palatino Linotype" w:hAnsi="Palatino Linotype" w:cs="Tahoma"/>
          <w:bCs/>
          <w:sz w:val="22"/>
          <w:szCs w:val="22"/>
        </w:rPr>
        <w:t xml:space="preserve"> la solicitud de información </w:t>
      </w:r>
      <w:r w:rsidR="009A5DE4" w:rsidRPr="006B0A9B">
        <w:rPr>
          <w:rFonts w:ascii="Palatino Linotype" w:hAnsi="Palatino Linotype"/>
          <w:b/>
          <w:bCs/>
          <w:sz w:val="22"/>
          <w:szCs w:val="22"/>
        </w:rPr>
        <w:t>00497/CAEM/IP/2024</w:t>
      </w:r>
      <w:r w:rsidR="00593980" w:rsidRPr="006B0A9B">
        <w:rPr>
          <w:rFonts w:ascii="Palatino Linotype" w:hAnsi="Palatino Linotype"/>
          <w:b/>
          <w:bCs/>
          <w:sz w:val="22"/>
          <w:szCs w:val="22"/>
        </w:rPr>
        <w:t xml:space="preserve"> </w:t>
      </w:r>
      <w:r w:rsidRPr="006B0A9B">
        <w:rPr>
          <w:rFonts w:ascii="Palatino Linotype" w:hAnsi="Palatino Linotype"/>
          <w:bCs/>
          <w:sz w:val="22"/>
          <w:szCs w:val="22"/>
        </w:rPr>
        <w:t>por resultar</w:t>
      </w:r>
      <w:r w:rsidR="004E622C" w:rsidRPr="006B0A9B">
        <w:rPr>
          <w:rFonts w:ascii="Palatino Linotype" w:hAnsi="Palatino Linotype"/>
          <w:bCs/>
          <w:sz w:val="22"/>
          <w:szCs w:val="22"/>
        </w:rPr>
        <w:t xml:space="preserve"> </w:t>
      </w:r>
      <w:r w:rsidRPr="006B0A9B">
        <w:rPr>
          <w:rFonts w:ascii="Palatino Linotype" w:hAnsi="Palatino Linotype"/>
          <w:sz w:val="22"/>
          <w:szCs w:val="22"/>
        </w:rPr>
        <w:t>fundadas</w:t>
      </w:r>
      <w:r w:rsidRPr="006B0A9B">
        <w:rPr>
          <w:rFonts w:ascii="Palatino Linotype" w:hAnsi="Palatino Linotype" w:cs="Tahoma"/>
          <w:bCs/>
          <w:sz w:val="22"/>
          <w:szCs w:val="22"/>
        </w:rPr>
        <w:t xml:space="preserve"> </w:t>
      </w:r>
      <w:r w:rsidRPr="006B0A9B">
        <w:rPr>
          <w:rFonts w:ascii="Palatino Linotype" w:eastAsia="Calibri" w:hAnsi="Palatino Linotype" w:cs="Tahoma"/>
          <w:bCs/>
          <w:sz w:val="22"/>
          <w:szCs w:val="22"/>
          <w:lang w:eastAsia="en-US"/>
        </w:rPr>
        <w:t xml:space="preserve">las razones o motivos de inconformidad hechos valer por el Recurrente en el Recurso de Revisión </w:t>
      </w:r>
      <w:r w:rsidR="009A5DE4" w:rsidRPr="006B0A9B">
        <w:rPr>
          <w:rFonts w:ascii="Palatino Linotype" w:hAnsi="Palatino Linotype" w:cs="Tahoma"/>
          <w:b/>
          <w:bCs/>
          <w:color w:val="0D0D0D" w:themeColor="text1" w:themeTint="F2"/>
          <w:sz w:val="22"/>
          <w:szCs w:val="22"/>
        </w:rPr>
        <w:t>06476</w:t>
      </w:r>
      <w:r w:rsidRPr="006B0A9B">
        <w:rPr>
          <w:rFonts w:ascii="Palatino Linotype" w:hAnsi="Palatino Linotype" w:cs="Tahoma"/>
          <w:b/>
          <w:bCs/>
          <w:color w:val="0D0D0D" w:themeColor="text1" w:themeTint="F2"/>
          <w:sz w:val="22"/>
          <w:szCs w:val="22"/>
        </w:rPr>
        <w:t>/INFOEM/IP/RR/202</w:t>
      </w:r>
      <w:r w:rsidR="004E622C" w:rsidRPr="006B0A9B">
        <w:rPr>
          <w:rFonts w:ascii="Palatino Linotype" w:hAnsi="Palatino Linotype" w:cs="Tahoma"/>
          <w:b/>
          <w:bCs/>
          <w:color w:val="0D0D0D" w:themeColor="text1" w:themeTint="F2"/>
          <w:sz w:val="22"/>
          <w:szCs w:val="22"/>
        </w:rPr>
        <w:t>4</w:t>
      </w:r>
      <w:r w:rsidRPr="006B0A9B">
        <w:rPr>
          <w:rFonts w:ascii="Palatino Linotype" w:eastAsia="Calibri" w:hAnsi="Palatino Linotype" w:cs="Tahoma"/>
          <w:bCs/>
          <w:sz w:val="22"/>
          <w:szCs w:val="22"/>
          <w:lang w:eastAsia="en-US"/>
        </w:rPr>
        <w:t>, en términos de los considerandos QUINTO y SEXTO de la presente Resolución.</w:t>
      </w:r>
    </w:p>
    <w:p w14:paraId="6AB72AB2" w14:textId="77777777" w:rsidR="00803E3D" w:rsidRPr="006B0A9B" w:rsidRDefault="00803E3D" w:rsidP="00FF426B">
      <w:pPr>
        <w:spacing w:line="360" w:lineRule="auto"/>
        <w:contextualSpacing/>
        <w:jc w:val="both"/>
        <w:rPr>
          <w:rFonts w:ascii="Palatino Linotype" w:hAnsi="Palatino Linotype" w:cs="Tahoma"/>
          <w:bCs/>
          <w:sz w:val="22"/>
          <w:szCs w:val="22"/>
        </w:rPr>
      </w:pPr>
    </w:p>
    <w:p w14:paraId="6BF50316" w14:textId="45163E29" w:rsidR="005B062F" w:rsidRPr="006B0A9B" w:rsidRDefault="00876309" w:rsidP="00435607">
      <w:pPr>
        <w:spacing w:line="360" w:lineRule="auto"/>
        <w:ind w:right="-93"/>
        <w:jc w:val="both"/>
        <w:rPr>
          <w:rFonts w:ascii="Palatino Linotype" w:hAnsi="Palatino Linotype" w:cs="Arial"/>
          <w:sz w:val="22"/>
          <w:szCs w:val="22"/>
          <w:lang w:val="es-ES"/>
        </w:rPr>
      </w:pPr>
      <w:r w:rsidRPr="006B0A9B">
        <w:rPr>
          <w:rFonts w:ascii="Palatino Linotype" w:hAnsi="Palatino Linotype" w:cs="Tahoma"/>
          <w:b/>
          <w:bCs/>
          <w:sz w:val="22"/>
          <w:szCs w:val="22"/>
        </w:rPr>
        <w:t xml:space="preserve">SEGUNDO. </w:t>
      </w:r>
      <w:r w:rsidRPr="006B0A9B">
        <w:rPr>
          <w:rFonts w:ascii="Palatino Linotype" w:hAnsi="Palatino Linotype" w:cs="Tahoma"/>
          <w:sz w:val="22"/>
          <w:szCs w:val="22"/>
        </w:rPr>
        <w:t xml:space="preserve">Se </w:t>
      </w:r>
      <w:r w:rsidRPr="006B0A9B">
        <w:rPr>
          <w:rFonts w:ascii="Palatino Linotype" w:hAnsi="Palatino Linotype" w:cs="Tahoma"/>
          <w:b/>
          <w:sz w:val="22"/>
          <w:szCs w:val="22"/>
        </w:rPr>
        <w:t xml:space="preserve">ORDENA </w:t>
      </w:r>
      <w:r w:rsidRPr="006B0A9B">
        <w:rPr>
          <w:rFonts w:ascii="Palatino Linotype" w:hAnsi="Palatino Linotype" w:cs="Tahoma"/>
          <w:sz w:val="22"/>
          <w:szCs w:val="22"/>
        </w:rPr>
        <w:t>a</w:t>
      </w:r>
      <w:r w:rsidR="009A5DE4" w:rsidRPr="006B0A9B">
        <w:rPr>
          <w:rFonts w:ascii="Palatino Linotype" w:hAnsi="Palatino Linotype" w:cs="Tahoma"/>
          <w:sz w:val="22"/>
          <w:szCs w:val="22"/>
        </w:rPr>
        <w:t xml:space="preserve"> </w:t>
      </w:r>
      <w:r w:rsidRPr="006B0A9B">
        <w:rPr>
          <w:rFonts w:ascii="Palatino Linotype" w:hAnsi="Palatino Linotype" w:cs="Tahoma"/>
          <w:sz w:val="22"/>
          <w:szCs w:val="22"/>
        </w:rPr>
        <w:t>l</w:t>
      </w:r>
      <w:r w:rsidR="009A5DE4" w:rsidRPr="006B0A9B">
        <w:rPr>
          <w:rFonts w:ascii="Palatino Linotype" w:hAnsi="Palatino Linotype" w:cs="Tahoma"/>
          <w:sz w:val="22"/>
          <w:szCs w:val="22"/>
        </w:rPr>
        <w:t>a</w:t>
      </w:r>
      <w:r w:rsidRPr="006B0A9B">
        <w:rPr>
          <w:rFonts w:ascii="Palatino Linotype" w:hAnsi="Palatino Linotype" w:cs="Tahoma"/>
          <w:sz w:val="22"/>
          <w:szCs w:val="22"/>
        </w:rPr>
        <w:t xml:space="preserve"> </w:t>
      </w:r>
      <w:r w:rsidR="00E45528" w:rsidRPr="006B0A9B">
        <w:rPr>
          <w:rFonts w:ascii="Palatino Linotype" w:eastAsia="Calibri" w:hAnsi="Palatino Linotype" w:cs="Tahoma"/>
          <w:b/>
          <w:bCs/>
          <w:sz w:val="22"/>
          <w:szCs w:val="22"/>
          <w:lang w:eastAsia="en-US"/>
        </w:rPr>
        <w:t>Comisión del Agua del Estado de México</w:t>
      </w:r>
      <w:r w:rsidRPr="006B0A9B">
        <w:rPr>
          <w:rFonts w:ascii="Palatino Linotype" w:hAnsi="Palatino Linotype" w:cs="Tahoma"/>
          <w:sz w:val="22"/>
          <w:szCs w:val="22"/>
        </w:rPr>
        <w:t>, a efecto de que, previa búsqueda exhaustiva y razonable remita</w:t>
      </w:r>
      <w:r w:rsidRPr="006B0A9B">
        <w:rPr>
          <w:rFonts w:ascii="Palatino Linotype" w:hAnsi="Palatino Linotype" w:cs="Tahoma"/>
          <w:bCs/>
          <w:iCs/>
          <w:sz w:val="22"/>
          <w:szCs w:val="22"/>
          <w:lang w:val="es-ES_tradnl"/>
        </w:rPr>
        <w:t xml:space="preserve">, </w:t>
      </w:r>
      <w:r w:rsidRPr="006B0A9B">
        <w:rPr>
          <w:rFonts w:ascii="Palatino Linotype" w:hAnsi="Palatino Linotype" w:cs="Tahoma"/>
          <w:bCs/>
          <w:iCs/>
          <w:sz w:val="22"/>
          <w:szCs w:val="22"/>
        </w:rPr>
        <w:t xml:space="preserve">a través </w:t>
      </w:r>
      <w:r w:rsidRPr="006B0A9B">
        <w:rPr>
          <w:rFonts w:ascii="Palatino Linotype" w:hAnsi="Palatino Linotype" w:cs="Tahoma"/>
          <w:bCs/>
          <w:iCs/>
          <w:sz w:val="22"/>
          <w:szCs w:val="22"/>
          <w:lang w:val="es-ES_tradnl"/>
        </w:rPr>
        <w:t>del SAIMEX</w:t>
      </w:r>
      <w:r w:rsidRPr="006B0A9B">
        <w:rPr>
          <w:rFonts w:ascii="Palatino Linotype" w:hAnsi="Palatino Linotype" w:cs="Arial"/>
          <w:sz w:val="22"/>
          <w:szCs w:val="22"/>
          <w:lang w:val="es-ES"/>
        </w:rPr>
        <w:t>,</w:t>
      </w:r>
      <w:r w:rsidR="00593980" w:rsidRPr="006B0A9B">
        <w:rPr>
          <w:rFonts w:ascii="Palatino Linotype" w:hAnsi="Palatino Linotype" w:cs="Arial"/>
          <w:sz w:val="22"/>
          <w:szCs w:val="22"/>
          <w:lang w:val="es-ES"/>
        </w:rPr>
        <w:t xml:space="preserve"> </w:t>
      </w:r>
      <w:r w:rsidR="009A5DE4" w:rsidRPr="006B0A9B">
        <w:rPr>
          <w:rFonts w:ascii="Palatino Linotype" w:hAnsi="Palatino Linotype" w:cs="Arial"/>
          <w:sz w:val="22"/>
          <w:szCs w:val="22"/>
          <w:lang w:val="es-ES"/>
        </w:rPr>
        <w:t>de ser procedente en versión pública lo</w:t>
      </w:r>
      <w:r w:rsidR="00435607" w:rsidRPr="006B0A9B">
        <w:rPr>
          <w:rFonts w:ascii="Palatino Linotype" w:hAnsi="Palatino Linotype" w:cs="Arial"/>
          <w:sz w:val="22"/>
          <w:szCs w:val="22"/>
          <w:lang w:val="es-ES"/>
        </w:rPr>
        <w:t>s documentos en donde conste</w:t>
      </w:r>
      <w:r w:rsidR="0089303A" w:rsidRPr="006B0A9B">
        <w:rPr>
          <w:rFonts w:ascii="Palatino Linotype" w:hAnsi="Palatino Linotype" w:cs="Arial"/>
          <w:sz w:val="22"/>
          <w:szCs w:val="22"/>
          <w:lang w:val="es-ES"/>
        </w:rPr>
        <w:t>,</w:t>
      </w:r>
      <w:r w:rsidR="00435607" w:rsidRPr="006B0A9B">
        <w:rPr>
          <w:rFonts w:ascii="Palatino Linotype" w:hAnsi="Palatino Linotype" w:cs="Arial"/>
          <w:sz w:val="22"/>
          <w:szCs w:val="22"/>
          <w:lang w:val="es-ES"/>
        </w:rPr>
        <w:t xml:space="preserve"> </w:t>
      </w:r>
      <w:r w:rsidR="00C315E4" w:rsidRPr="006B0A9B">
        <w:rPr>
          <w:rFonts w:ascii="Palatino Linotype" w:hAnsi="Palatino Linotype" w:cs="Arial"/>
          <w:sz w:val="22"/>
          <w:szCs w:val="22"/>
          <w:lang w:val="es-ES"/>
        </w:rPr>
        <w:t xml:space="preserve">al dos de octubre de dos mil veinticuatro, </w:t>
      </w:r>
      <w:r w:rsidR="00435607" w:rsidRPr="006B0A9B">
        <w:rPr>
          <w:rFonts w:ascii="Palatino Linotype" w:hAnsi="Palatino Linotype" w:cs="Arial"/>
          <w:sz w:val="22"/>
          <w:szCs w:val="22"/>
          <w:lang w:val="es-ES"/>
        </w:rPr>
        <w:t>e</w:t>
      </w:r>
      <w:r w:rsidR="005B062F" w:rsidRPr="006B0A9B">
        <w:rPr>
          <w:rFonts w:ascii="Palatino Linotype" w:hAnsi="Palatino Linotype" w:cs="Arial"/>
          <w:sz w:val="22"/>
          <w:szCs w:val="22"/>
          <w:lang w:val="es-ES"/>
        </w:rPr>
        <w:t>l número de plazas de base, de estructura, sindicalizados, operativas</w:t>
      </w:r>
      <w:r w:rsidR="00C315E4" w:rsidRPr="006B0A9B">
        <w:rPr>
          <w:rFonts w:ascii="Palatino Linotype" w:hAnsi="Palatino Linotype" w:cs="Arial"/>
          <w:sz w:val="22"/>
          <w:szCs w:val="22"/>
          <w:lang w:val="es-ES"/>
        </w:rPr>
        <w:t xml:space="preserve">, </w:t>
      </w:r>
      <w:r w:rsidR="0089303A" w:rsidRPr="006B0A9B">
        <w:rPr>
          <w:rFonts w:ascii="Palatino Linotype" w:hAnsi="Palatino Linotype" w:cs="Arial"/>
          <w:sz w:val="22"/>
          <w:szCs w:val="22"/>
          <w:lang w:val="es-ES"/>
        </w:rPr>
        <w:t>las que corresponden al</w:t>
      </w:r>
      <w:r w:rsidR="00C315E4" w:rsidRPr="006B0A9B">
        <w:rPr>
          <w:rFonts w:ascii="Palatino Linotype" w:hAnsi="Palatino Linotype" w:cs="Arial"/>
          <w:sz w:val="22"/>
          <w:szCs w:val="22"/>
          <w:lang w:val="es-ES"/>
        </w:rPr>
        <w:t xml:space="preserve"> Grupo Tl</w:t>
      </w:r>
      <w:r w:rsidR="007E13D5" w:rsidRPr="006B0A9B">
        <w:rPr>
          <w:rFonts w:ascii="Palatino Linotype" w:hAnsi="Palatino Linotype" w:cs="Arial"/>
          <w:sz w:val="22"/>
          <w:szCs w:val="22"/>
          <w:lang w:val="es-ES"/>
        </w:rPr>
        <w:t>á</w:t>
      </w:r>
      <w:r w:rsidR="00C315E4" w:rsidRPr="006B0A9B">
        <w:rPr>
          <w:rFonts w:ascii="Palatino Linotype" w:hAnsi="Palatino Linotype" w:cs="Arial"/>
          <w:sz w:val="22"/>
          <w:szCs w:val="22"/>
          <w:lang w:val="es-ES"/>
        </w:rPr>
        <w:t>loc</w:t>
      </w:r>
      <w:r w:rsidR="0089303A" w:rsidRPr="006B0A9B">
        <w:rPr>
          <w:rFonts w:ascii="Palatino Linotype" w:hAnsi="Palatino Linotype" w:cs="Arial"/>
          <w:sz w:val="22"/>
          <w:szCs w:val="22"/>
          <w:lang w:val="es-ES"/>
        </w:rPr>
        <w:t xml:space="preserve"> y </w:t>
      </w:r>
      <w:r w:rsidR="00C315E4" w:rsidRPr="006B0A9B">
        <w:rPr>
          <w:rFonts w:ascii="Palatino Linotype" w:hAnsi="Palatino Linotype" w:cs="Arial"/>
          <w:sz w:val="22"/>
          <w:szCs w:val="22"/>
          <w:lang w:val="es-ES"/>
        </w:rPr>
        <w:t>eventuales</w:t>
      </w:r>
      <w:r w:rsidR="00646C25" w:rsidRPr="006B0A9B">
        <w:rPr>
          <w:rFonts w:ascii="Palatino Linotype" w:hAnsi="Palatino Linotype" w:cs="Arial"/>
          <w:sz w:val="22"/>
          <w:szCs w:val="22"/>
          <w:lang w:val="es-ES"/>
        </w:rPr>
        <w:t>; así como el número de plazas “temporalmente vacantes”.</w:t>
      </w:r>
    </w:p>
    <w:p w14:paraId="318457A8" w14:textId="77777777" w:rsidR="005B062F" w:rsidRPr="006B0A9B" w:rsidRDefault="005B062F" w:rsidP="005B062F">
      <w:pPr>
        <w:spacing w:line="360" w:lineRule="auto"/>
        <w:ind w:right="-93"/>
        <w:jc w:val="both"/>
        <w:rPr>
          <w:rFonts w:ascii="Palatino Linotype" w:hAnsi="Palatino Linotype" w:cs="Arial"/>
          <w:sz w:val="22"/>
          <w:szCs w:val="22"/>
        </w:rPr>
      </w:pPr>
    </w:p>
    <w:p w14:paraId="1E785A70" w14:textId="77777777" w:rsidR="00C315E4" w:rsidRPr="006B0A9B" w:rsidRDefault="00C315E4" w:rsidP="00C315E4">
      <w:pPr>
        <w:spacing w:line="360" w:lineRule="auto"/>
        <w:ind w:right="-93"/>
        <w:jc w:val="both"/>
        <w:rPr>
          <w:rFonts w:ascii="Palatino Linotype" w:hAnsi="Palatino Linotype" w:cs="Tahoma"/>
          <w:bCs/>
          <w:sz w:val="22"/>
          <w:szCs w:val="22"/>
          <w:lang w:eastAsia="en-US"/>
        </w:rPr>
      </w:pPr>
      <w:r w:rsidRPr="006B0A9B">
        <w:rPr>
          <w:rFonts w:ascii="Palatino Linotype" w:hAnsi="Palatino Linotype" w:cs="Tahoma"/>
          <w:bCs/>
          <w:sz w:val="22"/>
          <w:szCs w:val="22"/>
          <w:lang w:eastAsia="en-US"/>
        </w:rPr>
        <w:lastRenderedPageBreak/>
        <w:t>De ser necesarias las versiones públicas,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70CA4222" w14:textId="77777777" w:rsidR="00646C25" w:rsidRPr="006B0A9B" w:rsidRDefault="00646C25" w:rsidP="00C315E4">
      <w:pPr>
        <w:spacing w:line="360" w:lineRule="auto"/>
        <w:ind w:right="-93"/>
        <w:jc w:val="both"/>
        <w:rPr>
          <w:rFonts w:ascii="Palatino Linotype" w:hAnsi="Palatino Linotype" w:cs="Tahoma"/>
          <w:bCs/>
          <w:sz w:val="22"/>
          <w:szCs w:val="22"/>
          <w:lang w:eastAsia="en-US"/>
        </w:rPr>
      </w:pPr>
    </w:p>
    <w:p w14:paraId="3F98E5A9" w14:textId="6D28B261" w:rsidR="00646C25" w:rsidRPr="006B0A9B" w:rsidRDefault="00646C25" w:rsidP="00C315E4">
      <w:pPr>
        <w:spacing w:line="360" w:lineRule="auto"/>
        <w:ind w:right="-93"/>
        <w:jc w:val="both"/>
        <w:rPr>
          <w:rFonts w:ascii="Palatino Linotype" w:hAnsi="Palatino Linotype" w:cs="Tahoma"/>
          <w:bCs/>
          <w:sz w:val="22"/>
          <w:szCs w:val="22"/>
          <w:lang w:eastAsia="en-US"/>
        </w:rPr>
      </w:pPr>
      <w:r w:rsidRPr="006B0A9B">
        <w:rPr>
          <w:rFonts w:ascii="Palatino Linotype" w:hAnsi="Palatino Linotype" w:cs="Tahoma"/>
          <w:bCs/>
          <w:sz w:val="22"/>
          <w:szCs w:val="22"/>
          <w:lang w:eastAsia="en-US"/>
        </w:rPr>
        <w:t>En caso de no tener plazas</w:t>
      </w:r>
      <w:r w:rsidR="004E3B71" w:rsidRPr="006B0A9B">
        <w:rPr>
          <w:rFonts w:ascii="Palatino Linotype" w:hAnsi="Palatino Linotype" w:cs="Tahoma"/>
          <w:bCs/>
          <w:sz w:val="22"/>
          <w:szCs w:val="22"/>
          <w:lang w:eastAsia="en-US"/>
        </w:rPr>
        <w:t xml:space="preserve"> eventuales y/o</w:t>
      </w:r>
      <w:r w:rsidRPr="006B0A9B">
        <w:rPr>
          <w:rFonts w:ascii="Palatino Linotype" w:hAnsi="Palatino Linotype" w:cs="Tahoma"/>
          <w:bCs/>
          <w:sz w:val="22"/>
          <w:szCs w:val="22"/>
          <w:lang w:eastAsia="en-US"/>
        </w:rPr>
        <w:t xml:space="preserve"> “temporalmente vacantes”, deberá hacerlo del conocimiento al Particular de manera precisa y clara.</w:t>
      </w:r>
    </w:p>
    <w:p w14:paraId="6BBFEF4C" w14:textId="77777777" w:rsidR="005B062F" w:rsidRPr="006B0A9B" w:rsidRDefault="005B062F" w:rsidP="00593980">
      <w:pPr>
        <w:spacing w:line="360" w:lineRule="auto"/>
        <w:ind w:right="-93"/>
        <w:jc w:val="both"/>
        <w:rPr>
          <w:rFonts w:ascii="Palatino Linotype" w:hAnsi="Palatino Linotype" w:cs="Arial"/>
          <w:sz w:val="22"/>
          <w:szCs w:val="22"/>
          <w:lang w:val="es-ES"/>
        </w:rPr>
      </w:pPr>
    </w:p>
    <w:p w14:paraId="59F0B147" w14:textId="77777777" w:rsidR="00E02D8B" w:rsidRPr="006B0A9B" w:rsidRDefault="00E02D8B" w:rsidP="00E02D8B">
      <w:pPr>
        <w:spacing w:line="360" w:lineRule="auto"/>
        <w:contextualSpacing/>
        <w:jc w:val="both"/>
        <w:rPr>
          <w:rFonts w:ascii="Palatino Linotype" w:eastAsia="Calibri" w:hAnsi="Palatino Linotype" w:cs="Tahoma"/>
          <w:bCs/>
          <w:sz w:val="22"/>
          <w:szCs w:val="22"/>
          <w:lang w:eastAsia="en-US"/>
        </w:rPr>
      </w:pPr>
      <w:r w:rsidRPr="006B0A9B">
        <w:rPr>
          <w:rFonts w:ascii="Palatino Linotype" w:eastAsia="Calibri" w:hAnsi="Palatino Linotype" w:cs="Tahoma"/>
          <w:b/>
          <w:bCs/>
          <w:sz w:val="22"/>
          <w:szCs w:val="22"/>
          <w:lang w:eastAsia="en-US"/>
        </w:rPr>
        <w:t>TERCERO. NOTIFÍQUESE</w:t>
      </w:r>
      <w:r w:rsidR="00402735" w:rsidRPr="006B0A9B">
        <w:rPr>
          <w:rFonts w:ascii="Palatino Linotype" w:eastAsia="Calibri" w:hAnsi="Palatino Linotype" w:cs="Tahoma"/>
          <w:b/>
          <w:bCs/>
          <w:sz w:val="22"/>
          <w:szCs w:val="22"/>
          <w:lang w:eastAsia="en-US"/>
        </w:rPr>
        <w:t xml:space="preserve"> POR SAIMEX</w:t>
      </w:r>
      <w:r w:rsidRPr="006B0A9B">
        <w:rPr>
          <w:rFonts w:ascii="Palatino Linotype" w:eastAsia="Calibri" w:hAnsi="Palatino Linotype" w:cs="Tahoma"/>
          <w:b/>
          <w:bCs/>
          <w:sz w:val="22"/>
          <w:szCs w:val="22"/>
          <w:lang w:eastAsia="en-US"/>
        </w:rPr>
        <w:t xml:space="preserve"> </w:t>
      </w:r>
      <w:r w:rsidRPr="006B0A9B">
        <w:rPr>
          <w:rFonts w:ascii="Palatino Linotype" w:eastAsia="Calibri" w:hAnsi="Palatino Linotype" w:cs="Tahoma"/>
          <w:bCs/>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01CDD1D4" w14:textId="77777777" w:rsidR="00803E3D" w:rsidRPr="006B0A9B" w:rsidRDefault="00803E3D" w:rsidP="00FF426B">
      <w:pPr>
        <w:spacing w:line="360" w:lineRule="auto"/>
        <w:contextualSpacing/>
        <w:jc w:val="both"/>
        <w:rPr>
          <w:rFonts w:ascii="Palatino Linotype" w:hAnsi="Palatino Linotype" w:cs="Tahoma"/>
          <w:sz w:val="22"/>
          <w:szCs w:val="22"/>
        </w:rPr>
      </w:pPr>
    </w:p>
    <w:p w14:paraId="4FF76E1C" w14:textId="77777777" w:rsidR="00803E3D" w:rsidRPr="006B0A9B" w:rsidRDefault="00803E3D" w:rsidP="00FF426B">
      <w:pPr>
        <w:spacing w:line="360" w:lineRule="auto"/>
        <w:contextualSpacing/>
        <w:jc w:val="both"/>
        <w:rPr>
          <w:rFonts w:ascii="Palatino Linotype" w:hAnsi="Palatino Linotype" w:cs="Tahoma"/>
          <w:iCs/>
          <w:sz w:val="22"/>
          <w:szCs w:val="22"/>
        </w:rPr>
      </w:pPr>
      <w:r w:rsidRPr="006B0A9B">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47F593" w14:textId="77777777" w:rsidR="00803E3D" w:rsidRPr="006B0A9B" w:rsidRDefault="00803E3D" w:rsidP="00FF426B">
      <w:pPr>
        <w:spacing w:line="360" w:lineRule="auto"/>
        <w:contextualSpacing/>
        <w:jc w:val="both"/>
        <w:rPr>
          <w:rFonts w:ascii="Palatino Linotype" w:eastAsia="Calibri" w:hAnsi="Palatino Linotype" w:cs="Tahoma"/>
          <w:color w:val="000000"/>
          <w:sz w:val="22"/>
          <w:szCs w:val="22"/>
          <w:lang w:val="es-ES" w:eastAsia="es-MX"/>
        </w:rPr>
      </w:pPr>
    </w:p>
    <w:p w14:paraId="7DA4EB3B" w14:textId="32822B7A" w:rsidR="006B5FFD" w:rsidRPr="006B0A9B" w:rsidRDefault="00803E3D" w:rsidP="006B5FFD">
      <w:pPr>
        <w:spacing w:line="360" w:lineRule="auto"/>
        <w:contextualSpacing/>
        <w:jc w:val="both"/>
        <w:rPr>
          <w:rFonts w:ascii="Palatino Linotype" w:hAnsi="Palatino Linotype" w:cs="Tahoma"/>
          <w:color w:val="000000" w:themeColor="text1"/>
          <w:sz w:val="22"/>
          <w:szCs w:val="22"/>
        </w:rPr>
      </w:pPr>
      <w:r w:rsidRPr="006B0A9B">
        <w:rPr>
          <w:rFonts w:ascii="Palatino Linotype" w:eastAsia="Calibri" w:hAnsi="Palatino Linotype" w:cs="Tahoma"/>
          <w:b/>
          <w:color w:val="000000" w:themeColor="text1"/>
          <w:sz w:val="22"/>
          <w:szCs w:val="22"/>
          <w:lang w:eastAsia="es-MX"/>
        </w:rPr>
        <w:t>CUARTO</w:t>
      </w:r>
      <w:r w:rsidRPr="006B0A9B">
        <w:rPr>
          <w:rFonts w:ascii="Palatino Linotype" w:eastAsia="Calibri" w:hAnsi="Palatino Linotype" w:cs="Tahoma"/>
          <w:b/>
          <w:bCs/>
          <w:color w:val="000000" w:themeColor="text1"/>
          <w:sz w:val="22"/>
          <w:szCs w:val="22"/>
          <w:lang w:eastAsia="en-US"/>
        </w:rPr>
        <w:t xml:space="preserve">. </w:t>
      </w:r>
      <w:r w:rsidRPr="006B0A9B">
        <w:rPr>
          <w:rFonts w:ascii="Palatino Linotype" w:hAnsi="Palatino Linotype" w:cs="Tahoma"/>
          <w:b/>
          <w:color w:val="000000" w:themeColor="text1"/>
          <w:sz w:val="22"/>
          <w:szCs w:val="22"/>
        </w:rPr>
        <w:t>NOTIFÍQUESE</w:t>
      </w:r>
      <w:r w:rsidRPr="006B0A9B">
        <w:rPr>
          <w:rFonts w:ascii="Palatino Linotype" w:hAnsi="Palatino Linotype" w:cs="Tahoma"/>
          <w:color w:val="000000" w:themeColor="text1"/>
          <w:sz w:val="22"/>
          <w:szCs w:val="22"/>
        </w:rPr>
        <w:t xml:space="preserve"> </w:t>
      </w:r>
      <w:r w:rsidR="00402735" w:rsidRPr="006B0A9B">
        <w:rPr>
          <w:rFonts w:ascii="Palatino Linotype" w:eastAsia="Calibri" w:hAnsi="Palatino Linotype" w:cs="Tahoma"/>
          <w:b/>
          <w:bCs/>
          <w:sz w:val="22"/>
          <w:szCs w:val="22"/>
          <w:lang w:eastAsia="en-US"/>
        </w:rPr>
        <w:t>POR SAIMEX</w:t>
      </w:r>
      <w:r w:rsidR="0004563C" w:rsidRPr="006B0A9B">
        <w:rPr>
          <w:rFonts w:ascii="Palatino Linotype" w:eastAsia="Calibri" w:hAnsi="Palatino Linotype" w:cs="Tahoma"/>
          <w:b/>
          <w:bCs/>
          <w:sz w:val="22"/>
          <w:szCs w:val="22"/>
          <w:lang w:eastAsia="en-US"/>
        </w:rPr>
        <w:t xml:space="preserve"> </w:t>
      </w:r>
      <w:r w:rsidRPr="006B0A9B">
        <w:rPr>
          <w:rFonts w:ascii="Palatino Linotype" w:hAnsi="Palatino Linotype" w:cs="Tahoma"/>
          <w:color w:val="000000" w:themeColor="text1"/>
          <w:sz w:val="22"/>
          <w:szCs w:val="22"/>
        </w:rPr>
        <w:t xml:space="preserve">al Recurrente la presente Resolución, asimismo, se hace de su conocimiento que de conformidad con lo establecido en el artículo 196 de la Ley de </w:t>
      </w:r>
      <w:r w:rsidRPr="006B0A9B">
        <w:rPr>
          <w:rFonts w:ascii="Palatino Linotype" w:hAnsi="Palatino Linotype" w:cs="Tahoma"/>
          <w:color w:val="000000" w:themeColor="text1"/>
          <w:sz w:val="22"/>
          <w:szCs w:val="22"/>
        </w:rPr>
        <w:lastRenderedPageBreak/>
        <w:t>Transparencia y Acceso a la Información Pública del Estado de México y Municipios podrá promover el Juicio de Amparo en los t</w:t>
      </w:r>
      <w:r w:rsidR="006B5FFD" w:rsidRPr="006B0A9B">
        <w:rPr>
          <w:rFonts w:ascii="Palatino Linotype" w:hAnsi="Palatino Linotype" w:cs="Tahoma"/>
          <w:color w:val="000000" w:themeColor="text1"/>
          <w:sz w:val="22"/>
          <w:szCs w:val="22"/>
        </w:rPr>
        <w:t>érminos de las leyes aplicables</w:t>
      </w:r>
      <w:r w:rsidR="00402735" w:rsidRPr="006B0A9B">
        <w:rPr>
          <w:rFonts w:ascii="Palatino Linotype" w:hAnsi="Palatino Linotype" w:cs="Tahoma"/>
          <w:color w:val="000000" w:themeColor="text1"/>
          <w:sz w:val="22"/>
          <w:szCs w:val="22"/>
        </w:rPr>
        <w:t>.</w:t>
      </w:r>
    </w:p>
    <w:p w14:paraId="3AE126AD" w14:textId="77777777" w:rsidR="008A73EF" w:rsidRPr="006B0A9B" w:rsidRDefault="008A73EF" w:rsidP="00FF426B">
      <w:pPr>
        <w:spacing w:line="360" w:lineRule="auto"/>
        <w:contextualSpacing/>
        <w:jc w:val="both"/>
        <w:rPr>
          <w:rFonts w:ascii="Palatino Linotype" w:hAnsi="Palatino Linotype" w:cs="Tahoma"/>
          <w:color w:val="000000" w:themeColor="text1"/>
          <w:sz w:val="22"/>
          <w:szCs w:val="22"/>
        </w:rPr>
      </w:pPr>
    </w:p>
    <w:p w14:paraId="6A959895" w14:textId="6EF40E18" w:rsidR="00803E3D" w:rsidRDefault="00803E3D" w:rsidP="00FF426B">
      <w:pPr>
        <w:spacing w:line="360" w:lineRule="auto"/>
        <w:contextualSpacing/>
        <w:jc w:val="both"/>
        <w:rPr>
          <w:rFonts w:ascii="Palatino Linotype" w:hAnsi="Palatino Linotype" w:cs="Tahoma"/>
          <w:sz w:val="22"/>
          <w:szCs w:val="22"/>
        </w:rPr>
      </w:pPr>
      <w:r w:rsidRPr="006B0A9B">
        <w:rPr>
          <w:rFonts w:ascii="Palatino Linotype" w:hAnsi="Palatino Linotype" w:cs="Tahoma"/>
          <w:sz w:val="22"/>
          <w:szCs w:val="22"/>
          <w:lang w:eastAsia="es-MX"/>
        </w:rPr>
        <w:t xml:space="preserve">ASÍ LO RESUELVE, POR </w:t>
      </w:r>
      <w:r w:rsidRPr="006B0A9B">
        <w:rPr>
          <w:rFonts w:ascii="Palatino Linotype" w:hAnsi="Palatino Linotype" w:cs="Tahoma"/>
          <w:b/>
          <w:sz w:val="22"/>
          <w:szCs w:val="22"/>
          <w:lang w:eastAsia="es-MX"/>
        </w:rPr>
        <w:t>UNANIMIDAD</w:t>
      </w:r>
      <w:r w:rsidRPr="006B0A9B">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8119E" w:rsidRPr="006B0A9B">
        <w:rPr>
          <w:rFonts w:ascii="Palatino Linotype" w:hAnsi="Palatino Linotype" w:cs="Tahoma"/>
          <w:sz w:val="22"/>
          <w:szCs w:val="22"/>
          <w:lang w:eastAsia="es-MX"/>
        </w:rPr>
        <w:t>CUADRA</w:t>
      </w:r>
      <w:r w:rsidR="004D0563" w:rsidRPr="006B0A9B">
        <w:rPr>
          <w:rFonts w:ascii="Palatino Linotype" w:hAnsi="Palatino Linotype" w:cs="Tahoma"/>
          <w:sz w:val="22"/>
          <w:szCs w:val="22"/>
          <w:lang w:eastAsia="es-MX"/>
        </w:rPr>
        <w:t xml:space="preserve">GÉSIMA </w:t>
      </w:r>
      <w:r w:rsidRPr="006B0A9B">
        <w:rPr>
          <w:rFonts w:ascii="Palatino Linotype" w:hAnsi="Palatino Linotype" w:cs="Tahoma"/>
          <w:sz w:val="22"/>
          <w:szCs w:val="22"/>
          <w:lang w:eastAsia="es-MX"/>
        </w:rPr>
        <w:t xml:space="preserve">SESIÓN ORDINARIA, CELEBRADA EL </w:t>
      </w:r>
      <w:r w:rsidR="0048119E" w:rsidRPr="006B0A9B">
        <w:rPr>
          <w:rFonts w:ascii="Palatino Linotype" w:hAnsi="Palatino Linotype" w:cs="Tahoma"/>
          <w:sz w:val="22"/>
          <w:szCs w:val="22"/>
          <w:lang w:eastAsia="es-MX"/>
        </w:rPr>
        <w:t>VEINTIUNO</w:t>
      </w:r>
      <w:r w:rsidR="00C315E4" w:rsidRPr="006B0A9B">
        <w:rPr>
          <w:rFonts w:ascii="Palatino Linotype" w:hAnsi="Palatino Linotype" w:cs="Tahoma"/>
          <w:sz w:val="22"/>
          <w:szCs w:val="22"/>
          <w:lang w:eastAsia="es-MX"/>
        </w:rPr>
        <w:t xml:space="preserve"> DE NOVIEMBRE </w:t>
      </w:r>
      <w:r w:rsidR="00B73D51" w:rsidRPr="006B0A9B">
        <w:rPr>
          <w:rFonts w:ascii="Palatino Linotype" w:hAnsi="Palatino Linotype" w:cs="Tahoma"/>
          <w:sz w:val="22"/>
          <w:szCs w:val="22"/>
          <w:lang w:eastAsia="es-MX"/>
        </w:rPr>
        <w:t>DE DOS MIL VEINTI</w:t>
      </w:r>
      <w:r w:rsidR="004E622C" w:rsidRPr="006B0A9B">
        <w:rPr>
          <w:rFonts w:ascii="Palatino Linotype" w:hAnsi="Palatino Linotype" w:cs="Tahoma"/>
          <w:sz w:val="22"/>
          <w:szCs w:val="22"/>
          <w:lang w:eastAsia="es-MX"/>
        </w:rPr>
        <w:t>CUATRO</w:t>
      </w:r>
      <w:r w:rsidRPr="006B0A9B">
        <w:rPr>
          <w:rFonts w:ascii="Palatino Linotype" w:hAnsi="Palatino Linotype" w:cs="Tahoma"/>
          <w:sz w:val="22"/>
          <w:szCs w:val="22"/>
          <w:lang w:eastAsia="es-MX"/>
        </w:rPr>
        <w:t>, ANTE EL SECRETARIO TÉCNICO DEL PLENO, ALEXIS TAPIA RAMÍREZ.</w:t>
      </w:r>
    </w:p>
    <w:p w14:paraId="080B6EE3" w14:textId="77777777" w:rsidR="00163BAA" w:rsidRDefault="00163BAA" w:rsidP="00FF426B">
      <w:pPr>
        <w:spacing w:line="360" w:lineRule="auto"/>
        <w:contextualSpacing/>
        <w:jc w:val="both"/>
        <w:rPr>
          <w:rFonts w:ascii="Palatino Linotype" w:hAnsi="Palatino Linotype" w:cs="Tahoma"/>
          <w:sz w:val="22"/>
          <w:szCs w:val="22"/>
        </w:rPr>
      </w:pPr>
    </w:p>
    <w:p w14:paraId="39A9BD60" w14:textId="77777777" w:rsidR="00163BAA" w:rsidRDefault="00163BAA" w:rsidP="00FF426B">
      <w:pPr>
        <w:spacing w:line="360" w:lineRule="auto"/>
        <w:contextualSpacing/>
        <w:jc w:val="both"/>
        <w:rPr>
          <w:rFonts w:ascii="Palatino Linotype" w:hAnsi="Palatino Linotype" w:cs="Tahoma"/>
          <w:sz w:val="22"/>
          <w:szCs w:val="22"/>
        </w:rPr>
      </w:pPr>
    </w:p>
    <w:p w14:paraId="3FD2ED95" w14:textId="77777777" w:rsidR="00163BAA" w:rsidRDefault="00163BAA" w:rsidP="00FF426B">
      <w:pPr>
        <w:spacing w:line="360" w:lineRule="auto"/>
        <w:contextualSpacing/>
        <w:jc w:val="both"/>
        <w:rPr>
          <w:rFonts w:ascii="Palatino Linotype" w:hAnsi="Palatino Linotype" w:cs="Tahoma"/>
          <w:sz w:val="22"/>
          <w:szCs w:val="22"/>
        </w:rPr>
      </w:pPr>
    </w:p>
    <w:p w14:paraId="19F14193" w14:textId="77777777" w:rsidR="0089175F" w:rsidRDefault="0089175F" w:rsidP="00FF426B">
      <w:pPr>
        <w:spacing w:line="360" w:lineRule="auto"/>
        <w:contextualSpacing/>
        <w:jc w:val="both"/>
        <w:rPr>
          <w:rFonts w:ascii="Palatino Linotype" w:hAnsi="Palatino Linotype" w:cs="Tahoma"/>
          <w:sz w:val="22"/>
          <w:szCs w:val="22"/>
        </w:rPr>
      </w:pPr>
    </w:p>
    <w:p w14:paraId="576D7313" w14:textId="77777777" w:rsidR="0089175F" w:rsidRDefault="0089175F" w:rsidP="00FF426B">
      <w:pPr>
        <w:spacing w:line="360" w:lineRule="auto"/>
        <w:contextualSpacing/>
        <w:jc w:val="both"/>
        <w:rPr>
          <w:rFonts w:ascii="Palatino Linotype" w:hAnsi="Palatino Linotype" w:cs="Tahoma"/>
          <w:sz w:val="22"/>
          <w:szCs w:val="22"/>
        </w:rPr>
      </w:pPr>
    </w:p>
    <w:p w14:paraId="1CE49578" w14:textId="77777777" w:rsidR="0089175F" w:rsidRDefault="0089175F" w:rsidP="00FF426B">
      <w:pPr>
        <w:spacing w:line="360" w:lineRule="auto"/>
        <w:contextualSpacing/>
        <w:jc w:val="both"/>
        <w:rPr>
          <w:rFonts w:ascii="Palatino Linotype" w:hAnsi="Palatino Linotype" w:cs="Tahoma"/>
          <w:sz w:val="22"/>
          <w:szCs w:val="22"/>
        </w:rPr>
      </w:pPr>
    </w:p>
    <w:p w14:paraId="0846CFD9" w14:textId="77777777" w:rsidR="0089175F" w:rsidRDefault="0089175F" w:rsidP="00FF426B">
      <w:pPr>
        <w:spacing w:line="360" w:lineRule="auto"/>
        <w:contextualSpacing/>
        <w:jc w:val="both"/>
        <w:rPr>
          <w:rFonts w:ascii="Palatino Linotype" w:hAnsi="Palatino Linotype" w:cs="Tahoma"/>
          <w:sz w:val="22"/>
          <w:szCs w:val="22"/>
        </w:rPr>
      </w:pPr>
    </w:p>
    <w:p w14:paraId="1FA0749A" w14:textId="77777777" w:rsidR="001F1A77" w:rsidRDefault="001F1A77" w:rsidP="00FF426B">
      <w:pPr>
        <w:spacing w:line="360" w:lineRule="auto"/>
        <w:contextualSpacing/>
        <w:jc w:val="both"/>
        <w:rPr>
          <w:rFonts w:ascii="Palatino Linotype" w:hAnsi="Palatino Linotype" w:cs="Tahoma"/>
          <w:sz w:val="22"/>
          <w:szCs w:val="22"/>
        </w:rPr>
      </w:pPr>
    </w:p>
    <w:p w14:paraId="69A5F755" w14:textId="77777777" w:rsidR="001F1A77" w:rsidRDefault="001F1A77" w:rsidP="00FF426B">
      <w:pPr>
        <w:spacing w:line="360" w:lineRule="auto"/>
        <w:contextualSpacing/>
        <w:jc w:val="both"/>
        <w:rPr>
          <w:rFonts w:ascii="Palatino Linotype" w:hAnsi="Palatino Linotype" w:cs="Tahoma"/>
          <w:sz w:val="22"/>
          <w:szCs w:val="22"/>
        </w:rPr>
      </w:pPr>
    </w:p>
    <w:p w14:paraId="1F0E6B59" w14:textId="77777777" w:rsidR="000B1059" w:rsidRDefault="000B1059" w:rsidP="00FF426B">
      <w:pPr>
        <w:spacing w:line="360" w:lineRule="auto"/>
        <w:contextualSpacing/>
        <w:jc w:val="both"/>
        <w:rPr>
          <w:rFonts w:ascii="Palatino Linotype" w:hAnsi="Palatino Linotype" w:cs="Tahoma"/>
          <w:sz w:val="22"/>
          <w:szCs w:val="22"/>
        </w:rPr>
      </w:pPr>
    </w:p>
    <w:p w14:paraId="0738E54A" w14:textId="77777777" w:rsidR="000B1059" w:rsidRDefault="000B1059" w:rsidP="00FF426B">
      <w:pPr>
        <w:spacing w:line="360" w:lineRule="auto"/>
        <w:contextualSpacing/>
        <w:jc w:val="both"/>
        <w:rPr>
          <w:rFonts w:ascii="Palatino Linotype" w:hAnsi="Palatino Linotype" w:cs="Tahoma"/>
          <w:sz w:val="22"/>
          <w:szCs w:val="22"/>
        </w:rPr>
      </w:pPr>
    </w:p>
    <w:p w14:paraId="2CC104F3" w14:textId="77777777" w:rsidR="000B1059" w:rsidRDefault="000B1059" w:rsidP="00FF426B">
      <w:pPr>
        <w:spacing w:line="360" w:lineRule="auto"/>
        <w:contextualSpacing/>
        <w:jc w:val="both"/>
        <w:rPr>
          <w:rFonts w:ascii="Palatino Linotype" w:hAnsi="Palatino Linotype" w:cs="Tahoma"/>
          <w:sz w:val="22"/>
          <w:szCs w:val="22"/>
        </w:rPr>
      </w:pPr>
    </w:p>
    <w:p w14:paraId="03E7B98B" w14:textId="77777777" w:rsidR="001F1A77" w:rsidRDefault="001F1A77" w:rsidP="00FF426B">
      <w:pPr>
        <w:spacing w:line="360" w:lineRule="auto"/>
        <w:contextualSpacing/>
        <w:jc w:val="both"/>
        <w:rPr>
          <w:rFonts w:ascii="Palatino Linotype" w:hAnsi="Palatino Linotype" w:cs="Tahoma"/>
          <w:sz w:val="22"/>
          <w:szCs w:val="22"/>
        </w:rPr>
      </w:pPr>
    </w:p>
    <w:p w14:paraId="6BC5C61C" w14:textId="77777777" w:rsidR="001F1A77" w:rsidRDefault="001F1A77" w:rsidP="00FF426B">
      <w:pPr>
        <w:spacing w:line="360" w:lineRule="auto"/>
        <w:contextualSpacing/>
        <w:jc w:val="both"/>
        <w:rPr>
          <w:rFonts w:ascii="Palatino Linotype" w:hAnsi="Palatino Linotype" w:cs="Tahoma"/>
          <w:sz w:val="22"/>
          <w:szCs w:val="22"/>
        </w:rPr>
      </w:pPr>
    </w:p>
    <w:p w14:paraId="75A40008" w14:textId="77777777" w:rsidR="00831982" w:rsidRPr="003A1DF0" w:rsidRDefault="00831982" w:rsidP="00FF426B">
      <w:pPr>
        <w:spacing w:line="360" w:lineRule="auto"/>
        <w:contextualSpacing/>
        <w:jc w:val="both"/>
        <w:rPr>
          <w:rFonts w:ascii="Palatino Linotype" w:hAnsi="Palatino Linotype" w:cs="Tahoma"/>
          <w:sz w:val="22"/>
          <w:szCs w:val="22"/>
        </w:rPr>
      </w:pPr>
      <w:bookmarkStart w:id="1" w:name="_GoBack"/>
      <w:bookmarkEnd w:id="1"/>
    </w:p>
    <w:sectPr w:rsidR="00831982" w:rsidRPr="003A1DF0" w:rsidSect="0003481C">
      <w:headerReference w:type="even" r:id="rId21"/>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27AF0" w14:textId="77777777" w:rsidR="000D06AD" w:rsidRDefault="000D06AD" w:rsidP="00B31222">
      <w:r>
        <w:separator/>
      </w:r>
    </w:p>
  </w:endnote>
  <w:endnote w:type="continuationSeparator" w:id="0">
    <w:p w14:paraId="11F0C5E7" w14:textId="77777777" w:rsidR="000D06AD" w:rsidRDefault="000D06AD" w:rsidP="00B31222">
      <w:r>
        <w:continuationSeparator/>
      </w:r>
    </w:p>
  </w:endnote>
  <w:endnote w:type="continuationNotice" w:id="1">
    <w:p w14:paraId="52EB0667" w14:textId="77777777" w:rsidR="000D06AD" w:rsidRDefault="000D0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5C3E4752" w14:textId="5C55F3F1" w:rsidR="001B3616" w:rsidRDefault="001B3616" w:rsidP="005B062F">
            <w:pPr>
              <w:pStyle w:val="Piedepgina"/>
              <w:tabs>
                <w:tab w:val="right" w:pos="9044"/>
              </w:tabs>
            </w:pPr>
            <w:r>
              <w:tab/>
            </w:r>
            <w:r>
              <w:tab/>
            </w:r>
            <w:r>
              <w:rPr>
                <w:lang w:val="es-ES"/>
              </w:rPr>
              <w:t xml:space="preserve">Página </w:t>
            </w:r>
            <w:r>
              <w:rPr>
                <w:b/>
                <w:bCs/>
                <w:sz w:val="24"/>
                <w:szCs w:val="24"/>
              </w:rPr>
              <w:fldChar w:fldCharType="begin"/>
            </w:r>
            <w:r>
              <w:rPr>
                <w:b/>
                <w:bCs/>
              </w:rPr>
              <w:instrText>PAGE</w:instrText>
            </w:r>
            <w:r>
              <w:rPr>
                <w:b/>
                <w:bCs/>
                <w:sz w:val="24"/>
                <w:szCs w:val="24"/>
              </w:rPr>
              <w:fldChar w:fldCharType="separate"/>
            </w:r>
            <w:r w:rsidR="00831982">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31982">
              <w:rPr>
                <w:b/>
                <w:bCs/>
                <w:noProof/>
              </w:rPr>
              <w:t>45</w:t>
            </w:r>
            <w:r>
              <w:rPr>
                <w:b/>
                <w:bCs/>
                <w:sz w:val="24"/>
                <w:szCs w:val="24"/>
              </w:rPr>
              <w:fldChar w:fldCharType="end"/>
            </w:r>
          </w:p>
        </w:sdtContent>
      </w:sdt>
    </w:sdtContent>
  </w:sdt>
  <w:p w14:paraId="5C43076E" w14:textId="77777777" w:rsidR="001B3616" w:rsidRDefault="001B36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492782" w14:textId="77777777" w:rsidR="001B3616" w:rsidRDefault="001B361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3198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31982">
              <w:rPr>
                <w:b/>
                <w:bCs/>
                <w:noProof/>
              </w:rPr>
              <w:t>46</w:t>
            </w:r>
            <w:r>
              <w:rPr>
                <w:b/>
                <w:bCs/>
                <w:sz w:val="24"/>
                <w:szCs w:val="24"/>
              </w:rPr>
              <w:fldChar w:fldCharType="end"/>
            </w:r>
          </w:p>
        </w:sdtContent>
      </w:sdt>
    </w:sdtContent>
  </w:sdt>
  <w:p w14:paraId="7E7D7832" w14:textId="77777777" w:rsidR="001B3616" w:rsidRDefault="001B36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9A596" w14:textId="77777777" w:rsidR="000D06AD" w:rsidRDefault="000D06AD" w:rsidP="00B31222">
      <w:r>
        <w:separator/>
      </w:r>
    </w:p>
  </w:footnote>
  <w:footnote w:type="continuationSeparator" w:id="0">
    <w:p w14:paraId="7A0F309E" w14:textId="77777777" w:rsidR="000D06AD" w:rsidRDefault="000D06AD" w:rsidP="00B31222">
      <w:r>
        <w:continuationSeparator/>
      </w:r>
    </w:p>
  </w:footnote>
  <w:footnote w:type="continuationNotice" w:id="1">
    <w:p w14:paraId="4678A392" w14:textId="77777777" w:rsidR="000D06AD" w:rsidRDefault="000D06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E2F7A" w14:textId="77777777" w:rsidR="001B3616" w:rsidRDefault="000D06AD">
    <w:pPr>
      <w:pStyle w:val="Encabezado"/>
    </w:pPr>
    <w:r>
      <w:rPr>
        <w:noProof/>
        <w:lang w:eastAsia="es-MX"/>
      </w:rPr>
      <w:pict w14:anchorId="5A66F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B3616" w:rsidRPr="005C106F" w14:paraId="501BED55" w14:textId="77777777" w:rsidTr="00202DB8">
      <w:trPr>
        <w:trHeight w:val="1435"/>
      </w:trPr>
      <w:tc>
        <w:tcPr>
          <w:tcW w:w="2835" w:type="dxa"/>
          <w:shd w:val="clear" w:color="auto" w:fill="auto"/>
        </w:tcPr>
        <w:p w14:paraId="7BC0A127" w14:textId="77777777" w:rsidR="001B3616" w:rsidRPr="005C106F" w:rsidRDefault="001B3616"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3C3EC7B9" wp14:editId="4F80DFC5">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27F34A48" w14:textId="77777777" w:rsidR="001B3616" w:rsidRDefault="001B3616"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1B3616" w14:paraId="10152A57" w14:textId="77777777" w:rsidTr="00DF3BE8">
            <w:trPr>
              <w:trHeight w:val="144"/>
            </w:trPr>
            <w:tc>
              <w:tcPr>
                <w:tcW w:w="2589" w:type="dxa"/>
              </w:tcPr>
              <w:p w14:paraId="3B758266" w14:textId="77777777" w:rsidR="001B3616" w:rsidRPr="00431A70" w:rsidRDefault="001B3616"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26185F85" w14:textId="77777777" w:rsidR="001B3616" w:rsidRPr="00431A70" w:rsidRDefault="001B3616" w:rsidP="00EA0918">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06476</w:t>
                </w:r>
                <w:r w:rsidRPr="001A412B">
                  <w:rPr>
                    <w:rFonts w:ascii="Palatino Linotype" w:eastAsia="Calibri" w:hAnsi="Palatino Linotype" w:cs="Tahoma"/>
                    <w:b/>
                    <w:bCs/>
                    <w:sz w:val="22"/>
                    <w:szCs w:val="22"/>
                    <w:lang w:val="es-MX" w:eastAsia="en-US"/>
                  </w:rPr>
                  <w:t>/INFOEM/IP/RR/202</w:t>
                </w:r>
                <w:r>
                  <w:rPr>
                    <w:rFonts w:ascii="Palatino Linotype" w:eastAsia="Calibri" w:hAnsi="Palatino Linotype" w:cs="Tahoma"/>
                    <w:b/>
                    <w:bCs/>
                    <w:sz w:val="22"/>
                    <w:szCs w:val="22"/>
                    <w:lang w:val="es-MX" w:eastAsia="en-US"/>
                  </w:rPr>
                  <w:t>4</w:t>
                </w:r>
              </w:p>
            </w:tc>
          </w:tr>
          <w:tr w:rsidR="001B3616" w14:paraId="76B5BA91" w14:textId="77777777" w:rsidTr="00DF3BE8">
            <w:trPr>
              <w:trHeight w:val="283"/>
            </w:trPr>
            <w:tc>
              <w:tcPr>
                <w:tcW w:w="2589" w:type="dxa"/>
              </w:tcPr>
              <w:p w14:paraId="170607DA" w14:textId="77777777" w:rsidR="001B3616" w:rsidRPr="00431A70" w:rsidRDefault="001B3616"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5D67EB2B" w14:textId="77777777" w:rsidR="001B3616" w:rsidRPr="005F13CF" w:rsidRDefault="001B3616"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Comisión del Agua del Estado de México</w:t>
                </w:r>
              </w:p>
            </w:tc>
          </w:tr>
          <w:tr w:rsidR="001B3616" w14:paraId="6141FB5E" w14:textId="77777777" w:rsidTr="00DF3BE8">
            <w:trPr>
              <w:trHeight w:val="283"/>
            </w:trPr>
            <w:tc>
              <w:tcPr>
                <w:tcW w:w="2589" w:type="dxa"/>
              </w:tcPr>
              <w:p w14:paraId="34C346BC" w14:textId="77777777" w:rsidR="001B3616" w:rsidRPr="00431A70" w:rsidRDefault="001B3616"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55A6E5D1" w14:textId="77777777" w:rsidR="001B3616" w:rsidRDefault="001B3616" w:rsidP="005F13CF">
                <w:pPr>
                  <w:tabs>
                    <w:tab w:val="right" w:pos="8838"/>
                  </w:tabs>
                  <w:ind w:left="-106" w:right="171"/>
                  <w:jc w:val="both"/>
                  <w:rPr>
                    <w:rFonts w:ascii="Palatino Linotype" w:eastAsia="Calibri" w:hAnsi="Palatino Linotype" w:cs="Tahoma"/>
                    <w:sz w:val="22"/>
                    <w:szCs w:val="22"/>
                    <w:lang w:eastAsia="en-US"/>
                  </w:rPr>
                </w:pPr>
                <w:r w:rsidRPr="00431A70">
                  <w:rPr>
                    <w:rFonts w:ascii="Palatino Linotype" w:eastAsia="Calibri" w:hAnsi="Palatino Linotype" w:cs="Tahoma"/>
                    <w:sz w:val="22"/>
                    <w:szCs w:val="22"/>
                    <w:lang w:eastAsia="en-US"/>
                  </w:rPr>
                  <w:t>Luis Gustavo Parra Noriega</w:t>
                </w:r>
              </w:p>
              <w:p w14:paraId="427D7017" w14:textId="77777777" w:rsidR="001B3616" w:rsidRPr="00431A70" w:rsidRDefault="001B3616" w:rsidP="005F13CF">
                <w:pPr>
                  <w:tabs>
                    <w:tab w:val="right" w:pos="8838"/>
                  </w:tabs>
                  <w:ind w:left="-106" w:right="171"/>
                  <w:jc w:val="both"/>
                  <w:rPr>
                    <w:rFonts w:ascii="Palatino Linotype" w:eastAsia="Calibri" w:hAnsi="Palatino Linotype" w:cs="Tahoma"/>
                    <w:b/>
                    <w:sz w:val="22"/>
                    <w:szCs w:val="22"/>
                    <w:lang w:eastAsia="en-US"/>
                  </w:rPr>
                </w:pPr>
              </w:p>
            </w:tc>
          </w:tr>
        </w:tbl>
        <w:p w14:paraId="3B553D42" w14:textId="77777777" w:rsidR="001B3616" w:rsidRPr="005C106F" w:rsidRDefault="001B3616" w:rsidP="005743D2">
          <w:pPr>
            <w:tabs>
              <w:tab w:val="right" w:pos="8838"/>
            </w:tabs>
            <w:ind w:left="-28"/>
            <w:jc w:val="both"/>
            <w:rPr>
              <w:rFonts w:ascii="Arial" w:eastAsia="Calibri" w:hAnsi="Arial" w:cs="Arial"/>
              <w:b/>
              <w:sz w:val="22"/>
              <w:szCs w:val="22"/>
              <w:lang w:eastAsia="en-US"/>
            </w:rPr>
          </w:pPr>
        </w:p>
      </w:tc>
    </w:tr>
  </w:tbl>
  <w:p w14:paraId="5A6CC658" w14:textId="77777777" w:rsidR="001B3616" w:rsidRPr="00A25151" w:rsidRDefault="001B3616"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B3616" w:rsidRPr="00330DA7" w14:paraId="5F4F1742" w14:textId="77777777" w:rsidTr="003B165A">
      <w:trPr>
        <w:trHeight w:val="1435"/>
      </w:trPr>
      <w:tc>
        <w:tcPr>
          <w:tcW w:w="2835" w:type="dxa"/>
          <w:shd w:val="clear" w:color="auto" w:fill="auto"/>
        </w:tcPr>
        <w:p w14:paraId="74B8B017" w14:textId="77777777" w:rsidR="001B3616" w:rsidRPr="00330DA7" w:rsidRDefault="001B3616"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1E15610F" wp14:editId="353943C8">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1B3616" w:rsidRPr="00431A70" w14:paraId="1D3A7E09" w14:textId="77777777" w:rsidTr="00DF3BE8">
            <w:trPr>
              <w:trHeight w:val="144"/>
            </w:trPr>
            <w:tc>
              <w:tcPr>
                <w:tcW w:w="2589" w:type="dxa"/>
              </w:tcPr>
              <w:p w14:paraId="6C485FDC" w14:textId="77777777" w:rsidR="001B3616" w:rsidRPr="00431A70" w:rsidRDefault="001B3616"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2F925E5A" w14:textId="77777777" w:rsidR="001B3616" w:rsidRPr="00431A70" w:rsidRDefault="001B3616" w:rsidP="00CB1F95">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06476/INFOEM/IP/RR/2024</w:t>
                </w:r>
              </w:p>
            </w:tc>
          </w:tr>
          <w:tr w:rsidR="001B3616" w:rsidRPr="00286D0C" w14:paraId="6C7DF654" w14:textId="77777777" w:rsidTr="00DF3BE8">
            <w:trPr>
              <w:trHeight w:val="144"/>
            </w:trPr>
            <w:tc>
              <w:tcPr>
                <w:tcW w:w="2589" w:type="dxa"/>
              </w:tcPr>
              <w:p w14:paraId="6801E2DA" w14:textId="77777777" w:rsidR="001B3616" w:rsidRPr="00431A70" w:rsidRDefault="001B3616"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2B68BF41" w14:textId="77777777" w:rsidR="001B3616" w:rsidRPr="00286D0C" w:rsidRDefault="001B3616"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1B3616" w:rsidRPr="00431A70" w14:paraId="08876497" w14:textId="77777777" w:rsidTr="00DF3BE8">
            <w:trPr>
              <w:trHeight w:val="283"/>
            </w:trPr>
            <w:tc>
              <w:tcPr>
                <w:tcW w:w="2589" w:type="dxa"/>
              </w:tcPr>
              <w:p w14:paraId="375FECED" w14:textId="77777777" w:rsidR="001B3616" w:rsidRPr="00431A70" w:rsidRDefault="001B3616"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7611160A" w14:textId="77777777" w:rsidR="001B3616" w:rsidRPr="005F13CF" w:rsidRDefault="001B3616" w:rsidP="0031023E">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Comisión del Agua del Estado de México</w:t>
                </w:r>
              </w:p>
            </w:tc>
          </w:tr>
          <w:tr w:rsidR="001B3616" w:rsidRPr="00431A70" w14:paraId="1F9B203B" w14:textId="77777777" w:rsidTr="00DF3BE8">
            <w:trPr>
              <w:trHeight w:val="283"/>
            </w:trPr>
            <w:tc>
              <w:tcPr>
                <w:tcW w:w="2589" w:type="dxa"/>
              </w:tcPr>
              <w:p w14:paraId="4D2A9825" w14:textId="77777777" w:rsidR="001B3616" w:rsidRPr="00431A70" w:rsidRDefault="001B3616"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761BB27B" w14:textId="77777777" w:rsidR="001B3616" w:rsidRPr="00431A70" w:rsidRDefault="001B3616"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D30418A" w14:textId="77777777" w:rsidR="001B3616" w:rsidRPr="00330DA7" w:rsidRDefault="001B3616" w:rsidP="00DB7E5F">
          <w:pPr>
            <w:tabs>
              <w:tab w:val="right" w:pos="8838"/>
            </w:tabs>
            <w:ind w:left="-28"/>
            <w:jc w:val="both"/>
            <w:rPr>
              <w:rFonts w:ascii="Arial" w:eastAsia="Calibri" w:hAnsi="Arial" w:cs="Arial"/>
              <w:b/>
              <w:sz w:val="22"/>
              <w:szCs w:val="22"/>
              <w:lang w:eastAsia="en-US"/>
            </w:rPr>
          </w:pPr>
        </w:p>
      </w:tc>
    </w:tr>
  </w:tbl>
  <w:p w14:paraId="783C2DCB" w14:textId="77777777" w:rsidR="001B3616" w:rsidRPr="00330DA7" w:rsidRDefault="001B3616"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2AD5442"/>
    <w:multiLevelType w:val="hybridMultilevel"/>
    <w:tmpl w:val="0AACB9F4"/>
    <w:lvl w:ilvl="0" w:tplc="483ED4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E16C19"/>
    <w:multiLevelType w:val="hybridMultilevel"/>
    <w:tmpl w:val="9070B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A6FE8"/>
    <w:multiLevelType w:val="hybridMultilevel"/>
    <w:tmpl w:val="CB6462D2"/>
    <w:lvl w:ilvl="0" w:tplc="3AB4728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6055E"/>
    <w:multiLevelType w:val="hybridMultilevel"/>
    <w:tmpl w:val="F9C8F3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4A765F"/>
    <w:multiLevelType w:val="hybridMultilevel"/>
    <w:tmpl w:val="C3B8D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A0A38EB"/>
    <w:multiLevelType w:val="hybridMultilevel"/>
    <w:tmpl w:val="2C483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85FAD"/>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43474F"/>
    <w:multiLevelType w:val="multilevel"/>
    <w:tmpl w:val="C7C433C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D66B9C"/>
    <w:multiLevelType w:val="hybridMultilevel"/>
    <w:tmpl w:val="08D4230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523E65"/>
    <w:multiLevelType w:val="hybridMultilevel"/>
    <w:tmpl w:val="9E6E47C0"/>
    <w:lvl w:ilvl="0" w:tplc="7B3E551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EFE7118"/>
    <w:multiLevelType w:val="hybridMultilevel"/>
    <w:tmpl w:val="A8E868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BB61A2"/>
    <w:multiLevelType w:val="hybridMultilevel"/>
    <w:tmpl w:val="11786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867980"/>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7056B1"/>
    <w:multiLevelType w:val="hybridMultilevel"/>
    <w:tmpl w:val="5F0A63FA"/>
    <w:lvl w:ilvl="0" w:tplc="9000CDEC">
      <w:start w:val="7"/>
      <w:numFmt w:val="upperRoman"/>
      <w:lvlText w:val="%1."/>
      <w:lvlJc w:val="left"/>
      <w:pPr>
        <w:ind w:left="1418" w:hanging="720"/>
      </w:pPr>
      <w:rPr>
        <w:rFonts w:hint="default"/>
      </w:rPr>
    </w:lvl>
    <w:lvl w:ilvl="1" w:tplc="080A0019" w:tentative="1">
      <w:start w:val="1"/>
      <w:numFmt w:val="lowerLetter"/>
      <w:lvlText w:val="%2."/>
      <w:lvlJc w:val="left"/>
      <w:pPr>
        <w:ind w:left="1778" w:hanging="360"/>
      </w:pPr>
    </w:lvl>
    <w:lvl w:ilvl="2" w:tplc="080A001B" w:tentative="1">
      <w:start w:val="1"/>
      <w:numFmt w:val="lowerRoman"/>
      <w:lvlText w:val="%3."/>
      <w:lvlJc w:val="right"/>
      <w:pPr>
        <w:ind w:left="2498" w:hanging="180"/>
      </w:pPr>
    </w:lvl>
    <w:lvl w:ilvl="3" w:tplc="080A000F" w:tentative="1">
      <w:start w:val="1"/>
      <w:numFmt w:val="decimal"/>
      <w:lvlText w:val="%4."/>
      <w:lvlJc w:val="left"/>
      <w:pPr>
        <w:ind w:left="3218" w:hanging="360"/>
      </w:pPr>
    </w:lvl>
    <w:lvl w:ilvl="4" w:tplc="080A0019" w:tentative="1">
      <w:start w:val="1"/>
      <w:numFmt w:val="lowerLetter"/>
      <w:lvlText w:val="%5."/>
      <w:lvlJc w:val="left"/>
      <w:pPr>
        <w:ind w:left="3938" w:hanging="360"/>
      </w:pPr>
    </w:lvl>
    <w:lvl w:ilvl="5" w:tplc="080A001B" w:tentative="1">
      <w:start w:val="1"/>
      <w:numFmt w:val="lowerRoman"/>
      <w:lvlText w:val="%6."/>
      <w:lvlJc w:val="right"/>
      <w:pPr>
        <w:ind w:left="4658" w:hanging="180"/>
      </w:pPr>
    </w:lvl>
    <w:lvl w:ilvl="6" w:tplc="080A000F" w:tentative="1">
      <w:start w:val="1"/>
      <w:numFmt w:val="decimal"/>
      <w:lvlText w:val="%7."/>
      <w:lvlJc w:val="left"/>
      <w:pPr>
        <w:ind w:left="5378" w:hanging="360"/>
      </w:pPr>
    </w:lvl>
    <w:lvl w:ilvl="7" w:tplc="080A0019" w:tentative="1">
      <w:start w:val="1"/>
      <w:numFmt w:val="lowerLetter"/>
      <w:lvlText w:val="%8."/>
      <w:lvlJc w:val="left"/>
      <w:pPr>
        <w:ind w:left="6098" w:hanging="360"/>
      </w:pPr>
    </w:lvl>
    <w:lvl w:ilvl="8" w:tplc="080A001B" w:tentative="1">
      <w:start w:val="1"/>
      <w:numFmt w:val="lowerRoman"/>
      <w:lvlText w:val="%9."/>
      <w:lvlJc w:val="right"/>
      <w:pPr>
        <w:ind w:left="6818" w:hanging="180"/>
      </w:pPr>
    </w:lvl>
  </w:abstractNum>
  <w:abstractNum w:abstractNumId="19" w15:restartNumberingAfterBreak="0">
    <w:nsid w:val="37631B63"/>
    <w:multiLevelType w:val="hybridMultilevel"/>
    <w:tmpl w:val="A98C1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0D6A19"/>
    <w:multiLevelType w:val="hybridMultilevel"/>
    <w:tmpl w:val="0AACB9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5F3C87"/>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3C9607B6"/>
    <w:multiLevelType w:val="hybridMultilevel"/>
    <w:tmpl w:val="F9C8F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812CB"/>
    <w:multiLevelType w:val="hybridMultilevel"/>
    <w:tmpl w:val="E14CC6D0"/>
    <w:lvl w:ilvl="0" w:tplc="B6ECEA1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1B37DAC"/>
    <w:multiLevelType w:val="hybridMultilevel"/>
    <w:tmpl w:val="67A0DC52"/>
    <w:lvl w:ilvl="0" w:tplc="FA120AE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3C747C4"/>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54DE1FE9"/>
    <w:multiLevelType w:val="hybridMultilevel"/>
    <w:tmpl w:val="8C783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3F4E87"/>
    <w:multiLevelType w:val="hybridMultilevel"/>
    <w:tmpl w:val="BF48B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994FEB"/>
    <w:multiLevelType w:val="hybridMultilevel"/>
    <w:tmpl w:val="FCE0AE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7C4358"/>
    <w:multiLevelType w:val="multilevel"/>
    <w:tmpl w:val="AB8CC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737F0E21"/>
    <w:multiLevelType w:val="hybridMultilevel"/>
    <w:tmpl w:val="97508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46174C"/>
    <w:multiLevelType w:val="hybridMultilevel"/>
    <w:tmpl w:val="CB44A09A"/>
    <w:lvl w:ilvl="0" w:tplc="228CD94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5"/>
  </w:num>
  <w:num w:numId="5">
    <w:abstractNumId w:val="7"/>
  </w:num>
  <w:num w:numId="6">
    <w:abstractNumId w:val="22"/>
  </w:num>
  <w:num w:numId="7">
    <w:abstractNumId w:val="4"/>
  </w:num>
  <w:num w:numId="8">
    <w:abstractNumId w:val="11"/>
  </w:num>
  <w:num w:numId="9">
    <w:abstractNumId w:val="2"/>
  </w:num>
  <w:num w:numId="10">
    <w:abstractNumId w:val="30"/>
  </w:num>
  <w:num w:numId="11">
    <w:abstractNumId w:val="13"/>
  </w:num>
  <w:num w:numId="12">
    <w:abstractNumId w:val="8"/>
  </w:num>
  <w:num w:numId="13">
    <w:abstractNumId w:val="17"/>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7"/>
  </w:num>
  <w:num w:numId="17">
    <w:abstractNumId w:val="21"/>
  </w:num>
  <w:num w:numId="18">
    <w:abstractNumId w:val="37"/>
  </w:num>
  <w:num w:numId="19">
    <w:abstractNumId w:val="6"/>
  </w:num>
  <w:num w:numId="20">
    <w:abstractNumId w:val="9"/>
  </w:num>
  <w:num w:numId="21">
    <w:abstractNumId w:val="10"/>
  </w:num>
  <w:num w:numId="22">
    <w:abstractNumId w:val="31"/>
  </w:num>
  <w:num w:numId="23">
    <w:abstractNumId w:val="19"/>
  </w:num>
  <w:num w:numId="24">
    <w:abstractNumId w:val="35"/>
  </w:num>
  <w:num w:numId="25">
    <w:abstractNumId w:val="25"/>
  </w:num>
  <w:num w:numId="26">
    <w:abstractNumId w:val="23"/>
  </w:num>
  <w:num w:numId="27">
    <w:abstractNumId w:val="32"/>
  </w:num>
  <w:num w:numId="28">
    <w:abstractNumId w:val="33"/>
  </w:num>
  <w:num w:numId="29">
    <w:abstractNumId w:val="24"/>
  </w:num>
  <w:num w:numId="30">
    <w:abstractNumId w:val="29"/>
  </w:num>
  <w:num w:numId="31">
    <w:abstractNumId w:val="1"/>
  </w:num>
  <w:num w:numId="32">
    <w:abstractNumId w:val="3"/>
  </w:num>
  <w:num w:numId="33">
    <w:abstractNumId w:val="16"/>
  </w:num>
  <w:num w:numId="34">
    <w:abstractNumId w:val="20"/>
  </w:num>
  <w:num w:numId="35">
    <w:abstractNumId w:val="14"/>
  </w:num>
  <w:num w:numId="36">
    <w:abstractNumId w:val="38"/>
  </w:num>
  <w:num w:numId="37">
    <w:abstractNumId w:val="28"/>
  </w:num>
  <w:num w:numId="38">
    <w:abstractNumId w:val="12"/>
  </w:num>
  <w:num w:numId="39">
    <w:abstractNumId w:val="26"/>
  </w:num>
  <w:num w:numId="40">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2B7E"/>
    <w:rsid w:val="00013291"/>
    <w:rsid w:val="00013861"/>
    <w:rsid w:val="00013A19"/>
    <w:rsid w:val="00013C8D"/>
    <w:rsid w:val="0001402B"/>
    <w:rsid w:val="00014465"/>
    <w:rsid w:val="00014BC5"/>
    <w:rsid w:val="00015D5C"/>
    <w:rsid w:val="00015FA1"/>
    <w:rsid w:val="00016A4A"/>
    <w:rsid w:val="00017858"/>
    <w:rsid w:val="00017D26"/>
    <w:rsid w:val="00020799"/>
    <w:rsid w:val="00020818"/>
    <w:rsid w:val="00020AA1"/>
    <w:rsid w:val="00020C07"/>
    <w:rsid w:val="000212E5"/>
    <w:rsid w:val="00021C64"/>
    <w:rsid w:val="0002227D"/>
    <w:rsid w:val="00023351"/>
    <w:rsid w:val="000235C4"/>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14FA"/>
    <w:rsid w:val="00032F5B"/>
    <w:rsid w:val="00033086"/>
    <w:rsid w:val="00033D0D"/>
    <w:rsid w:val="0003473A"/>
    <w:rsid w:val="0003481C"/>
    <w:rsid w:val="00034E9D"/>
    <w:rsid w:val="00035514"/>
    <w:rsid w:val="00035F9E"/>
    <w:rsid w:val="000373BC"/>
    <w:rsid w:val="000378BC"/>
    <w:rsid w:val="00037B34"/>
    <w:rsid w:val="00037F4B"/>
    <w:rsid w:val="00040101"/>
    <w:rsid w:val="000415F1"/>
    <w:rsid w:val="000420E7"/>
    <w:rsid w:val="00043009"/>
    <w:rsid w:val="00043C4B"/>
    <w:rsid w:val="0004528B"/>
    <w:rsid w:val="000452B7"/>
    <w:rsid w:val="0004563C"/>
    <w:rsid w:val="00045736"/>
    <w:rsid w:val="0004574F"/>
    <w:rsid w:val="0004646B"/>
    <w:rsid w:val="000467AD"/>
    <w:rsid w:val="0004735D"/>
    <w:rsid w:val="00047C1B"/>
    <w:rsid w:val="00050AB0"/>
    <w:rsid w:val="00051243"/>
    <w:rsid w:val="00051E32"/>
    <w:rsid w:val="000523BB"/>
    <w:rsid w:val="000528E6"/>
    <w:rsid w:val="00053784"/>
    <w:rsid w:val="00053EEF"/>
    <w:rsid w:val="00054106"/>
    <w:rsid w:val="0005422F"/>
    <w:rsid w:val="00055361"/>
    <w:rsid w:val="00056A85"/>
    <w:rsid w:val="00057250"/>
    <w:rsid w:val="0006017B"/>
    <w:rsid w:val="0006021D"/>
    <w:rsid w:val="00060BE1"/>
    <w:rsid w:val="00061F79"/>
    <w:rsid w:val="000620E1"/>
    <w:rsid w:val="00062387"/>
    <w:rsid w:val="0006241C"/>
    <w:rsid w:val="00062B8B"/>
    <w:rsid w:val="00063514"/>
    <w:rsid w:val="00063B8E"/>
    <w:rsid w:val="000640BD"/>
    <w:rsid w:val="00064855"/>
    <w:rsid w:val="000648B3"/>
    <w:rsid w:val="0006654C"/>
    <w:rsid w:val="000666FD"/>
    <w:rsid w:val="000672AA"/>
    <w:rsid w:val="00070738"/>
    <w:rsid w:val="00071A4A"/>
    <w:rsid w:val="0007204D"/>
    <w:rsid w:val="00072683"/>
    <w:rsid w:val="00072AD9"/>
    <w:rsid w:val="00072E52"/>
    <w:rsid w:val="00073C50"/>
    <w:rsid w:val="000749A5"/>
    <w:rsid w:val="00075542"/>
    <w:rsid w:val="000758B2"/>
    <w:rsid w:val="00075A82"/>
    <w:rsid w:val="00075C83"/>
    <w:rsid w:val="000765EA"/>
    <w:rsid w:val="00076C7C"/>
    <w:rsid w:val="00077700"/>
    <w:rsid w:val="000778B2"/>
    <w:rsid w:val="00080222"/>
    <w:rsid w:val="000805CC"/>
    <w:rsid w:val="000813B0"/>
    <w:rsid w:val="0008148B"/>
    <w:rsid w:val="00081756"/>
    <w:rsid w:val="00081C1C"/>
    <w:rsid w:val="00082E37"/>
    <w:rsid w:val="000851BA"/>
    <w:rsid w:val="00086A01"/>
    <w:rsid w:val="0008787B"/>
    <w:rsid w:val="0009087C"/>
    <w:rsid w:val="00090CF7"/>
    <w:rsid w:val="000910AA"/>
    <w:rsid w:val="00091672"/>
    <w:rsid w:val="00091759"/>
    <w:rsid w:val="00092475"/>
    <w:rsid w:val="0009263F"/>
    <w:rsid w:val="00092AD0"/>
    <w:rsid w:val="000939AD"/>
    <w:rsid w:val="000943DD"/>
    <w:rsid w:val="00096500"/>
    <w:rsid w:val="00097211"/>
    <w:rsid w:val="000973B8"/>
    <w:rsid w:val="00097806"/>
    <w:rsid w:val="000A001B"/>
    <w:rsid w:val="000A0518"/>
    <w:rsid w:val="000A0861"/>
    <w:rsid w:val="000A0EE6"/>
    <w:rsid w:val="000A1342"/>
    <w:rsid w:val="000A20A4"/>
    <w:rsid w:val="000A275D"/>
    <w:rsid w:val="000A3AEE"/>
    <w:rsid w:val="000A4BF1"/>
    <w:rsid w:val="000A5058"/>
    <w:rsid w:val="000A5BA8"/>
    <w:rsid w:val="000A6287"/>
    <w:rsid w:val="000A7211"/>
    <w:rsid w:val="000B0C2B"/>
    <w:rsid w:val="000B1059"/>
    <w:rsid w:val="000B1D37"/>
    <w:rsid w:val="000B2318"/>
    <w:rsid w:val="000B24EE"/>
    <w:rsid w:val="000B254D"/>
    <w:rsid w:val="000B2C93"/>
    <w:rsid w:val="000B36DD"/>
    <w:rsid w:val="000B4248"/>
    <w:rsid w:val="000B4E61"/>
    <w:rsid w:val="000B5711"/>
    <w:rsid w:val="000B5B9F"/>
    <w:rsid w:val="000B5E8D"/>
    <w:rsid w:val="000B6020"/>
    <w:rsid w:val="000C0396"/>
    <w:rsid w:val="000C04EA"/>
    <w:rsid w:val="000C055A"/>
    <w:rsid w:val="000C2283"/>
    <w:rsid w:val="000C2529"/>
    <w:rsid w:val="000C27CA"/>
    <w:rsid w:val="000C3B64"/>
    <w:rsid w:val="000C3F1A"/>
    <w:rsid w:val="000C471D"/>
    <w:rsid w:val="000C59CB"/>
    <w:rsid w:val="000C60A2"/>
    <w:rsid w:val="000C6179"/>
    <w:rsid w:val="000C6D52"/>
    <w:rsid w:val="000C77BB"/>
    <w:rsid w:val="000C7B74"/>
    <w:rsid w:val="000D06AD"/>
    <w:rsid w:val="000D0B08"/>
    <w:rsid w:val="000D1DDF"/>
    <w:rsid w:val="000D1F49"/>
    <w:rsid w:val="000D2535"/>
    <w:rsid w:val="000D2646"/>
    <w:rsid w:val="000D2A27"/>
    <w:rsid w:val="000D300A"/>
    <w:rsid w:val="000D3B88"/>
    <w:rsid w:val="000D3EFB"/>
    <w:rsid w:val="000D5E5E"/>
    <w:rsid w:val="000D62E2"/>
    <w:rsid w:val="000D62EF"/>
    <w:rsid w:val="000D6304"/>
    <w:rsid w:val="000D76F5"/>
    <w:rsid w:val="000E0BEA"/>
    <w:rsid w:val="000E189E"/>
    <w:rsid w:val="000E2884"/>
    <w:rsid w:val="000E50C3"/>
    <w:rsid w:val="000E54A2"/>
    <w:rsid w:val="000E6517"/>
    <w:rsid w:val="000E7527"/>
    <w:rsid w:val="000E7E79"/>
    <w:rsid w:val="000F019D"/>
    <w:rsid w:val="000F02BE"/>
    <w:rsid w:val="000F1AF4"/>
    <w:rsid w:val="000F24C8"/>
    <w:rsid w:val="000F2B83"/>
    <w:rsid w:val="000F2EBF"/>
    <w:rsid w:val="000F39E1"/>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25B"/>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0425"/>
    <w:rsid w:val="0012216D"/>
    <w:rsid w:val="001221B8"/>
    <w:rsid w:val="001227A5"/>
    <w:rsid w:val="001233CB"/>
    <w:rsid w:val="001235DF"/>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0465"/>
    <w:rsid w:val="00141895"/>
    <w:rsid w:val="0014196B"/>
    <w:rsid w:val="00141CDA"/>
    <w:rsid w:val="00141DAC"/>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49B8"/>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3F63"/>
    <w:rsid w:val="001851A6"/>
    <w:rsid w:val="0018547D"/>
    <w:rsid w:val="00186231"/>
    <w:rsid w:val="00186AC2"/>
    <w:rsid w:val="00186D24"/>
    <w:rsid w:val="0018704D"/>
    <w:rsid w:val="00187211"/>
    <w:rsid w:val="001872B5"/>
    <w:rsid w:val="001875A7"/>
    <w:rsid w:val="001879E1"/>
    <w:rsid w:val="0019031A"/>
    <w:rsid w:val="00190E90"/>
    <w:rsid w:val="00190F5F"/>
    <w:rsid w:val="0019295F"/>
    <w:rsid w:val="0019389B"/>
    <w:rsid w:val="00196522"/>
    <w:rsid w:val="001A13A2"/>
    <w:rsid w:val="001A1B94"/>
    <w:rsid w:val="001A22F5"/>
    <w:rsid w:val="001A372F"/>
    <w:rsid w:val="001A3887"/>
    <w:rsid w:val="001A3AF1"/>
    <w:rsid w:val="001A3BE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616"/>
    <w:rsid w:val="001B38FF"/>
    <w:rsid w:val="001B4549"/>
    <w:rsid w:val="001B58CF"/>
    <w:rsid w:val="001B62A0"/>
    <w:rsid w:val="001B6C10"/>
    <w:rsid w:val="001C00FA"/>
    <w:rsid w:val="001C05DF"/>
    <w:rsid w:val="001C0C73"/>
    <w:rsid w:val="001C1705"/>
    <w:rsid w:val="001C17B0"/>
    <w:rsid w:val="001C182B"/>
    <w:rsid w:val="001C1CFF"/>
    <w:rsid w:val="001C1F74"/>
    <w:rsid w:val="001C282F"/>
    <w:rsid w:val="001C33B3"/>
    <w:rsid w:val="001C45E3"/>
    <w:rsid w:val="001C67BD"/>
    <w:rsid w:val="001C7DDF"/>
    <w:rsid w:val="001D0086"/>
    <w:rsid w:val="001D0094"/>
    <w:rsid w:val="001D0B58"/>
    <w:rsid w:val="001D1C9C"/>
    <w:rsid w:val="001D26EF"/>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E7B8B"/>
    <w:rsid w:val="001F0C4E"/>
    <w:rsid w:val="001F0E9C"/>
    <w:rsid w:val="001F0EB8"/>
    <w:rsid w:val="001F0F7D"/>
    <w:rsid w:val="001F1540"/>
    <w:rsid w:val="001F18F9"/>
    <w:rsid w:val="001F1A77"/>
    <w:rsid w:val="001F29E8"/>
    <w:rsid w:val="001F2C2A"/>
    <w:rsid w:val="001F30C3"/>
    <w:rsid w:val="001F3102"/>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736"/>
    <w:rsid w:val="002079D3"/>
    <w:rsid w:val="00207D7C"/>
    <w:rsid w:val="00207F5A"/>
    <w:rsid w:val="0021049B"/>
    <w:rsid w:val="00210546"/>
    <w:rsid w:val="002108B0"/>
    <w:rsid w:val="00210A50"/>
    <w:rsid w:val="002121D1"/>
    <w:rsid w:val="00212285"/>
    <w:rsid w:val="00212460"/>
    <w:rsid w:val="00213071"/>
    <w:rsid w:val="00215D0D"/>
    <w:rsid w:val="002161C6"/>
    <w:rsid w:val="0021682E"/>
    <w:rsid w:val="00217AEF"/>
    <w:rsid w:val="00221EC9"/>
    <w:rsid w:val="00221F64"/>
    <w:rsid w:val="0022258F"/>
    <w:rsid w:val="00222731"/>
    <w:rsid w:val="00223139"/>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5F93"/>
    <w:rsid w:val="00236653"/>
    <w:rsid w:val="00236863"/>
    <w:rsid w:val="00237C1F"/>
    <w:rsid w:val="00237D0D"/>
    <w:rsid w:val="00240363"/>
    <w:rsid w:val="00241116"/>
    <w:rsid w:val="002415E5"/>
    <w:rsid w:val="002433A4"/>
    <w:rsid w:val="002435DC"/>
    <w:rsid w:val="002447B2"/>
    <w:rsid w:val="00244ABB"/>
    <w:rsid w:val="00245F9F"/>
    <w:rsid w:val="00246501"/>
    <w:rsid w:val="00246E9B"/>
    <w:rsid w:val="00247B17"/>
    <w:rsid w:val="00247CFF"/>
    <w:rsid w:val="00247D21"/>
    <w:rsid w:val="00250389"/>
    <w:rsid w:val="00251186"/>
    <w:rsid w:val="00251FF7"/>
    <w:rsid w:val="002520B1"/>
    <w:rsid w:val="00252669"/>
    <w:rsid w:val="00252B67"/>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1E6F"/>
    <w:rsid w:val="00262408"/>
    <w:rsid w:val="00263DDD"/>
    <w:rsid w:val="00263FE3"/>
    <w:rsid w:val="002649C4"/>
    <w:rsid w:val="002657E2"/>
    <w:rsid w:val="002661B2"/>
    <w:rsid w:val="002662BA"/>
    <w:rsid w:val="002669E5"/>
    <w:rsid w:val="002671C8"/>
    <w:rsid w:val="002672CF"/>
    <w:rsid w:val="00267412"/>
    <w:rsid w:val="00271E0B"/>
    <w:rsid w:val="002727CC"/>
    <w:rsid w:val="00272ADB"/>
    <w:rsid w:val="00272F25"/>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10A"/>
    <w:rsid w:val="00291EFE"/>
    <w:rsid w:val="002922A1"/>
    <w:rsid w:val="00292319"/>
    <w:rsid w:val="002933B7"/>
    <w:rsid w:val="00293491"/>
    <w:rsid w:val="002942AB"/>
    <w:rsid w:val="00295F53"/>
    <w:rsid w:val="002A093E"/>
    <w:rsid w:val="002A0FB8"/>
    <w:rsid w:val="002A116B"/>
    <w:rsid w:val="002A169A"/>
    <w:rsid w:val="002A1B97"/>
    <w:rsid w:val="002A2EA3"/>
    <w:rsid w:val="002A3B41"/>
    <w:rsid w:val="002A415C"/>
    <w:rsid w:val="002A57D2"/>
    <w:rsid w:val="002A6193"/>
    <w:rsid w:val="002A66CD"/>
    <w:rsid w:val="002A6901"/>
    <w:rsid w:val="002A6E2B"/>
    <w:rsid w:val="002A717C"/>
    <w:rsid w:val="002A74AD"/>
    <w:rsid w:val="002A7979"/>
    <w:rsid w:val="002A7BD4"/>
    <w:rsid w:val="002A7F32"/>
    <w:rsid w:val="002B15E1"/>
    <w:rsid w:val="002B1EE1"/>
    <w:rsid w:val="002B20A1"/>
    <w:rsid w:val="002B21A5"/>
    <w:rsid w:val="002B226E"/>
    <w:rsid w:val="002B3285"/>
    <w:rsid w:val="002B46D4"/>
    <w:rsid w:val="002B4C49"/>
    <w:rsid w:val="002B54CF"/>
    <w:rsid w:val="002B57F5"/>
    <w:rsid w:val="002B5BE0"/>
    <w:rsid w:val="002B7092"/>
    <w:rsid w:val="002B70C7"/>
    <w:rsid w:val="002C0021"/>
    <w:rsid w:val="002C06E4"/>
    <w:rsid w:val="002C1F2C"/>
    <w:rsid w:val="002C284D"/>
    <w:rsid w:val="002C32F7"/>
    <w:rsid w:val="002C3F5F"/>
    <w:rsid w:val="002C4046"/>
    <w:rsid w:val="002C431E"/>
    <w:rsid w:val="002C458A"/>
    <w:rsid w:val="002C46EE"/>
    <w:rsid w:val="002C483C"/>
    <w:rsid w:val="002C63FA"/>
    <w:rsid w:val="002C6BDE"/>
    <w:rsid w:val="002C70D8"/>
    <w:rsid w:val="002C7D95"/>
    <w:rsid w:val="002D13F4"/>
    <w:rsid w:val="002D1BE4"/>
    <w:rsid w:val="002D1D6C"/>
    <w:rsid w:val="002D33B0"/>
    <w:rsid w:val="002D3962"/>
    <w:rsid w:val="002D438B"/>
    <w:rsid w:val="002D4C3D"/>
    <w:rsid w:val="002D6323"/>
    <w:rsid w:val="002E074E"/>
    <w:rsid w:val="002E1218"/>
    <w:rsid w:val="002E1C48"/>
    <w:rsid w:val="002E2418"/>
    <w:rsid w:val="002E2A97"/>
    <w:rsid w:val="002E2DDD"/>
    <w:rsid w:val="002E3755"/>
    <w:rsid w:val="002E3DC6"/>
    <w:rsid w:val="002E3FCF"/>
    <w:rsid w:val="002E4059"/>
    <w:rsid w:val="002E5015"/>
    <w:rsid w:val="002E5739"/>
    <w:rsid w:val="002E6FFD"/>
    <w:rsid w:val="002E7343"/>
    <w:rsid w:val="002E7ACF"/>
    <w:rsid w:val="002F072D"/>
    <w:rsid w:val="002F0C1A"/>
    <w:rsid w:val="002F0CE9"/>
    <w:rsid w:val="002F1E5A"/>
    <w:rsid w:val="002F2425"/>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355E"/>
    <w:rsid w:val="00316600"/>
    <w:rsid w:val="00317214"/>
    <w:rsid w:val="003172EC"/>
    <w:rsid w:val="00320253"/>
    <w:rsid w:val="00320B79"/>
    <w:rsid w:val="00320FC1"/>
    <w:rsid w:val="0032150B"/>
    <w:rsid w:val="0032170B"/>
    <w:rsid w:val="00322C74"/>
    <w:rsid w:val="00323325"/>
    <w:rsid w:val="0032377D"/>
    <w:rsid w:val="00323E3D"/>
    <w:rsid w:val="00323EA6"/>
    <w:rsid w:val="003243B0"/>
    <w:rsid w:val="003243D4"/>
    <w:rsid w:val="00324C7C"/>
    <w:rsid w:val="00325EC0"/>
    <w:rsid w:val="00326A83"/>
    <w:rsid w:val="00326EA2"/>
    <w:rsid w:val="0032741D"/>
    <w:rsid w:val="00330729"/>
    <w:rsid w:val="00330822"/>
    <w:rsid w:val="00330D7B"/>
    <w:rsid w:val="00330DA7"/>
    <w:rsid w:val="003323E7"/>
    <w:rsid w:val="00332724"/>
    <w:rsid w:val="003340EC"/>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3B91"/>
    <w:rsid w:val="00343DCE"/>
    <w:rsid w:val="00344569"/>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391"/>
    <w:rsid w:val="003604D7"/>
    <w:rsid w:val="003604E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6AA"/>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0AF"/>
    <w:rsid w:val="003864D2"/>
    <w:rsid w:val="0038660A"/>
    <w:rsid w:val="00386AFB"/>
    <w:rsid w:val="00386FAA"/>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A29"/>
    <w:rsid w:val="003B6BEF"/>
    <w:rsid w:val="003C01B9"/>
    <w:rsid w:val="003C0702"/>
    <w:rsid w:val="003C0AFA"/>
    <w:rsid w:val="003C0CA6"/>
    <w:rsid w:val="003C1B21"/>
    <w:rsid w:val="003C217B"/>
    <w:rsid w:val="003C28B8"/>
    <w:rsid w:val="003C3BD5"/>
    <w:rsid w:val="003C3E71"/>
    <w:rsid w:val="003C4519"/>
    <w:rsid w:val="003C58B5"/>
    <w:rsid w:val="003C5C01"/>
    <w:rsid w:val="003C6934"/>
    <w:rsid w:val="003C7FD0"/>
    <w:rsid w:val="003D0268"/>
    <w:rsid w:val="003D11DD"/>
    <w:rsid w:val="003D1770"/>
    <w:rsid w:val="003D1A43"/>
    <w:rsid w:val="003D1A64"/>
    <w:rsid w:val="003D1AEC"/>
    <w:rsid w:val="003D1DB6"/>
    <w:rsid w:val="003D4123"/>
    <w:rsid w:val="003D58C8"/>
    <w:rsid w:val="003D5AE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A77"/>
    <w:rsid w:val="003F6EF0"/>
    <w:rsid w:val="004004E9"/>
    <w:rsid w:val="0040115B"/>
    <w:rsid w:val="00402735"/>
    <w:rsid w:val="00402B25"/>
    <w:rsid w:val="004052C5"/>
    <w:rsid w:val="004059FB"/>
    <w:rsid w:val="00405F8A"/>
    <w:rsid w:val="00406B7F"/>
    <w:rsid w:val="00406BFE"/>
    <w:rsid w:val="004074B3"/>
    <w:rsid w:val="00407A93"/>
    <w:rsid w:val="004100AA"/>
    <w:rsid w:val="00410CD2"/>
    <w:rsid w:val="00411961"/>
    <w:rsid w:val="00412203"/>
    <w:rsid w:val="0041222F"/>
    <w:rsid w:val="004128F6"/>
    <w:rsid w:val="00413111"/>
    <w:rsid w:val="00413718"/>
    <w:rsid w:val="004137A4"/>
    <w:rsid w:val="00413C18"/>
    <w:rsid w:val="00413C24"/>
    <w:rsid w:val="00414BF2"/>
    <w:rsid w:val="00414F9B"/>
    <w:rsid w:val="0041591A"/>
    <w:rsid w:val="00416C17"/>
    <w:rsid w:val="00417DE3"/>
    <w:rsid w:val="00417F91"/>
    <w:rsid w:val="00420B07"/>
    <w:rsid w:val="00420CCC"/>
    <w:rsid w:val="00420E30"/>
    <w:rsid w:val="00421B36"/>
    <w:rsid w:val="00421D3F"/>
    <w:rsid w:val="0042247C"/>
    <w:rsid w:val="00422869"/>
    <w:rsid w:val="004228E8"/>
    <w:rsid w:val="00423B0B"/>
    <w:rsid w:val="00423D2F"/>
    <w:rsid w:val="00423F48"/>
    <w:rsid w:val="004247C6"/>
    <w:rsid w:val="004250D2"/>
    <w:rsid w:val="00426448"/>
    <w:rsid w:val="00426613"/>
    <w:rsid w:val="00427150"/>
    <w:rsid w:val="00427408"/>
    <w:rsid w:val="00427457"/>
    <w:rsid w:val="004317EB"/>
    <w:rsid w:val="00431A70"/>
    <w:rsid w:val="004321C5"/>
    <w:rsid w:val="0043257A"/>
    <w:rsid w:val="004327EE"/>
    <w:rsid w:val="00432F20"/>
    <w:rsid w:val="004339FC"/>
    <w:rsid w:val="00434202"/>
    <w:rsid w:val="00435607"/>
    <w:rsid w:val="00435807"/>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945"/>
    <w:rsid w:val="00452EF4"/>
    <w:rsid w:val="0045371C"/>
    <w:rsid w:val="00453729"/>
    <w:rsid w:val="0045411C"/>
    <w:rsid w:val="004544CD"/>
    <w:rsid w:val="00454DE4"/>
    <w:rsid w:val="00455993"/>
    <w:rsid w:val="00460032"/>
    <w:rsid w:val="0046048A"/>
    <w:rsid w:val="004612AA"/>
    <w:rsid w:val="00461E53"/>
    <w:rsid w:val="00463F50"/>
    <w:rsid w:val="0046548F"/>
    <w:rsid w:val="00465497"/>
    <w:rsid w:val="00466346"/>
    <w:rsid w:val="00466C2C"/>
    <w:rsid w:val="00467498"/>
    <w:rsid w:val="004675F7"/>
    <w:rsid w:val="004676FF"/>
    <w:rsid w:val="004702B0"/>
    <w:rsid w:val="00472CEA"/>
    <w:rsid w:val="00473F72"/>
    <w:rsid w:val="00474ADE"/>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19E"/>
    <w:rsid w:val="00481492"/>
    <w:rsid w:val="00481AC6"/>
    <w:rsid w:val="00481D51"/>
    <w:rsid w:val="0048519E"/>
    <w:rsid w:val="00485EC7"/>
    <w:rsid w:val="004860BD"/>
    <w:rsid w:val="00487430"/>
    <w:rsid w:val="00487710"/>
    <w:rsid w:val="0049115D"/>
    <w:rsid w:val="00491430"/>
    <w:rsid w:val="00491A4E"/>
    <w:rsid w:val="004922A7"/>
    <w:rsid w:val="00492FAB"/>
    <w:rsid w:val="00494F2B"/>
    <w:rsid w:val="0049514C"/>
    <w:rsid w:val="00495D70"/>
    <w:rsid w:val="004960B3"/>
    <w:rsid w:val="004962E4"/>
    <w:rsid w:val="00496DAA"/>
    <w:rsid w:val="00497150"/>
    <w:rsid w:val="00497B24"/>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8C7"/>
    <w:rsid w:val="004B7DB2"/>
    <w:rsid w:val="004B7E7A"/>
    <w:rsid w:val="004C14AC"/>
    <w:rsid w:val="004C17E0"/>
    <w:rsid w:val="004C30D4"/>
    <w:rsid w:val="004C36F9"/>
    <w:rsid w:val="004C4ACC"/>
    <w:rsid w:val="004C4E69"/>
    <w:rsid w:val="004C51C1"/>
    <w:rsid w:val="004C576F"/>
    <w:rsid w:val="004C6F68"/>
    <w:rsid w:val="004C78C8"/>
    <w:rsid w:val="004C7E83"/>
    <w:rsid w:val="004D01DA"/>
    <w:rsid w:val="004D0563"/>
    <w:rsid w:val="004D0E1D"/>
    <w:rsid w:val="004D151D"/>
    <w:rsid w:val="004D185C"/>
    <w:rsid w:val="004D18DE"/>
    <w:rsid w:val="004D19CC"/>
    <w:rsid w:val="004D1F4F"/>
    <w:rsid w:val="004D2B43"/>
    <w:rsid w:val="004D2C72"/>
    <w:rsid w:val="004D3573"/>
    <w:rsid w:val="004D42A5"/>
    <w:rsid w:val="004D583C"/>
    <w:rsid w:val="004D5DB3"/>
    <w:rsid w:val="004D5FCC"/>
    <w:rsid w:val="004D6AAE"/>
    <w:rsid w:val="004E019E"/>
    <w:rsid w:val="004E0AA4"/>
    <w:rsid w:val="004E0D17"/>
    <w:rsid w:val="004E24D4"/>
    <w:rsid w:val="004E2B43"/>
    <w:rsid w:val="004E2CEB"/>
    <w:rsid w:val="004E345F"/>
    <w:rsid w:val="004E3B71"/>
    <w:rsid w:val="004E3BBA"/>
    <w:rsid w:val="004E401B"/>
    <w:rsid w:val="004E41C7"/>
    <w:rsid w:val="004E43D5"/>
    <w:rsid w:val="004E446D"/>
    <w:rsid w:val="004E5A9D"/>
    <w:rsid w:val="004E5BB8"/>
    <w:rsid w:val="004E5D3C"/>
    <w:rsid w:val="004E622C"/>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4F72BD"/>
    <w:rsid w:val="00501150"/>
    <w:rsid w:val="00501276"/>
    <w:rsid w:val="005014BB"/>
    <w:rsid w:val="00501A0B"/>
    <w:rsid w:val="00502502"/>
    <w:rsid w:val="005028CC"/>
    <w:rsid w:val="005036C3"/>
    <w:rsid w:val="005070C3"/>
    <w:rsid w:val="00510D32"/>
    <w:rsid w:val="00510E39"/>
    <w:rsid w:val="0051172F"/>
    <w:rsid w:val="00511BC6"/>
    <w:rsid w:val="00511FA0"/>
    <w:rsid w:val="0051276F"/>
    <w:rsid w:val="0051296F"/>
    <w:rsid w:val="005130AC"/>
    <w:rsid w:val="00517427"/>
    <w:rsid w:val="00520C2F"/>
    <w:rsid w:val="00521A73"/>
    <w:rsid w:val="00521BD5"/>
    <w:rsid w:val="005220BE"/>
    <w:rsid w:val="005223C0"/>
    <w:rsid w:val="00523D44"/>
    <w:rsid w:val="00523D57"/>
    <w:rsid w:val="00524076"/>
    <w:rsid w:val="0052421B"/>
    <w:rsid w:val="005242AD"/>
    <w:rsid w:val="0052622D"/>
    <w:rsid w:val="00526575"/>
    <w:rsid w:val="0052716F"/>
    <w:rsid w:val="00527DAD"/>
    <w:rsid w:val="005308B8"/>
    <w:rsid w:val="00530F7C"/>
    <w:rsid w:val="00530F88"/>
    <w:rsid w:val="005319DA"/>
    <w:rsid w:val="00532035"/>
    <w:rsid w:val="005336C5"/>
    <w:rsid w:val="00533B79"/>
    <w:rsid w:val="00533C44"/>
    <w:rsid w:val="00533FD4"/>
    <w:rsid w:val="00534258"/>
    <w:rsid w:val="0053462F"/>
    <w:rsid w:val="0053527A"/>
    <w:rsid w:val="00535C1C"/>
    <w:rsid w:val="00535E43"/>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C0B"/>
    <w:rsid w:val="00552EBD"/>
    <w:rsid w:val="00552F49"/>
    <w:rsid w:val="00553061"/>
    <w:rsid w:val="00553827"/>
    <w:rsid w:val="00553A6B"/>
    <w:rsid w:val="00553D1F"/>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4FD"/>
    <w:rsid w:val="00586FA8"/>
    <w:rsid w:val="00586FDF"/>
    <w:rsid w:val="00587F23"/>
    <w:rsid w:val="00590A85"/>
    <w:rsid w:val="005912F7"/>
    <w:rsid w:val="00591E3A"/>
    <w:rsid w:val="005921DB"/>
    <w:rsid w:val="00592510"/>
    <w:rsid w:val="00593411"/>
    <w:rsid w:val="00593980"/>
    <w:rsid w:val="00593CB4"/>
    <w:rsid w:val="00593E68"/>
    <w:rsid w:val="0059433D"/>
    <w:rsid w:val="0059463C"/>
    <w:rsid w:val="005A04BD"/>
    <w:rsid w:val="005A16B3"/>
    <w:rsid w:val="005A1884"/>
    <w:rsid w:val="005A52AC"/>
    <w:rsid w:val="005A5B69"/>
    <w:rsid w:val="005A62BE"/>
    <w:rsid w:val="005A6C82"/>
    <w:rsid w:val="005A738C"/>
    <w:rsid w:val="005B02DF"/>
    <w:rsid w:val="005B062F"/>
    <w:rsid w:val="005B08E6"/>
    <w:rsid w:val="005B0CA1"/>
    <w:rsid w:val="005B0D7C"/>
    <w:rsid w:val="005B0E86"/>
    <w:rsid w:val="005B1F5C"/>
    <w:rsid w:val="005B2240"/>
    <w:rsid w:val="005B2B96"/>
    <w:rsid w:val="005B3D6E"/>
    <w:rsid w:val="005B5416"/>
    <w:rsid w:val="005B582C"/>
    <w:rsid w:val="005B5CB1"/>
    <w:rsid w:val="005B5D03"/>
    <w:rsid w:val="005B6854"/>
    <w:rsid w:val="005B77F6"/>
    <w:rsid w:val="005C04CB"/>
    <w:rsid w:val="005C0E92"/>
    <w:rsid w:val="005C1800"/>
    <w:rsid w:val="005C1943"/>
    <w:rsid w:val="005C2BEF"/>
    <w:rsid w:val="005C30F2"/>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C7323"/>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6EE8"/>
    <w:rsid w:val="005E7994"/>
    <w:rsid w:val="005F03DB"/>
    <w:rsid w:val="005F07F5"/>
    <w:rsid w:val="005F0F0A"/>
    <w:rsid w:val="005F13CF"/>
    <w:rsid w:val="005F220F"/>
    <w:rsid w:val="005F2E78"/>
    <w:rsid w:val="005F3812"/>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4691"/>
    <w:rsid w:val="006157C9"/>
    <w:rsid w:val="00616189"/>
    <w:rsid w:val="00616AB4"/>
    <w:rsid w:val="0062078C"/>
    <w:rsid w:val="00620E8F"/>
    <w:rsid w:val="00621760"/>
    <w:rsid w:val="006217BB"/>
    <w:rsid w:val="00625134"/>
    <w:rsid w:val="00625ADA"/>
    <w:rsid w:val="00625BD5"/>
    <w:rsid w:val="00625DFB"/>
    <w:rsid w:val="006277B7"/>
    <w:rsid w:val="00627FA4"/>
    <w:rsid w:val="00630617"/>
    <w:rsid w:val="00632E54"/>
    <w:rsid w:val="00633619"/>
    <w:rsid w:val="00633635"/>
    <w:rsid w:val="00633BA6"/>
    <w:rsid w:val="00634436"/>
    <w:rsid w:val="00634D1A"/>
    <w:rsid w:val="00635173"/>
    <w:rsid w:val="00635CA0"/>
    <w:rsid w:val="00635DD5"/>
    <w:rsid w:val="00636904"/>
    <w:rsid w:val="00636D9C"/>
    <w:rsid w:val="00637179"/>
    <w:rsid w:val="00637EC0"/>
    <w:rsid w:val="006408C4"/>
    <w:rsid w:val="0064182B"/>
    <w:rsid w:val="006418ED"/>
    <w:rsid w:val="0064229C"/>
    <w:rsid w:val="00642B13"/>
    <w:rsid w:val="0064309D"/>
    <w:rsid w:val="006431FF"/>
    <w:rsid w:val="00644B26"/>
    <w:rsid w:val="00645F7D"/>
    <w:rsid w:val="00645F85"/>
    <w:rsid w:val="00646100"/>
    <w:rsid w:val="00646C1B"/>
    <w:rsid w:val="00646C25"/>
    <w:rsid w:val="006476CA"/>
    <w:rsid w:val="0064771A"/>
    <w:rsid w:val="00647B98"/>
    <w:rsid w:val="00650554"/>
    <w:rsid w:val="00650BF8"/>
    <w:rsid w:val="00651712"/>
    <w:rsid w:val="0065303D"/>
    <w:rsid w:val="00654AF0"/>
    <w:rsid w:val="00655265"/>
    <w:rsid w:val="006552AE"/>
    <w:rsid w:val="00655773"/>
    <w:rsid w:val="00655DD0"/>
    <w:rsid w:val="006563CA"/>
    <w:rsid w:val="00656730"/>
    <w:rsid w:val="006573DD"/>
    <w:rsid w:val="006578FC"/>
    <w:rsid w:val="006607B1"/>
    <w:rsid w:val="006608AB"/>
    <w:rsid w:val="006609AC"/>
    <w:rsid w:val="006611C7"/>
    <w:rsid w:val="0066144D"/>
    <w:rsid w:val="006615D6"/>
    <w:rsid w:val="0066170D"/>
    <w:rsid w:val="00661857"/>
    <w:rsid w:val="00661A8E"/>
    <w:rsid w:val="00661AD1"/>
    <w:rsid w:val="006620DA"/>
    <w:rsid w:val="0066371D"/>
    <w:rsid w:val="006637A2"/>
    <w:rsid w:val="00663A6B"/>
    <w:rsid w:val="00664587"/>
    <w:rsid w:val="006646D0"/>
    <w:rsid w:val="00664B6D"/>
    <w:rsid w:val="00665955"/>
    <w:rsid w:val="00666F25"/>
    <w:rsid w:val="00667045"/>
    <w:rsid w:val="00667430"/>
    <w:rsid w:val="00667C1C"/>
    <w:rsid w:val="0067001F"/>
    <w:rsid w:val="006702FA"/>
    <w:rsid w:val="00670A43"/>
    <w:rsid w:val="00671845"/>
    <w:rsid w:val="00671AE7"/>
    <w:rsid w:val="00671C57"/>
    <w:rsid w:val="0067227D"/>
    <w:rsid w:val="0067238D"/>
    <w:rsid w:val="00673DD4"/>
    <w:rsid w:val="00674AEB"/>
    <w:rsid w:val="006755B4"/>
    <w:rsid w:val="00675FFF"/>
    <w:rsid w:val="006760F3"/>
    <w:rsid w:val="0067655A"/>
    <w:rsid w:val="00676907"/>
    <w:rsid w:val="0067744D"/>
    <w:rsid w:val="00677563"/>
    <w:rsid w:val="006775EF"/>
    <w:rsid w:val="00677A5D"/>
    <w:rsid w:val="00677F62"/>
    <w:rsid w:val="0068028B"/>
    <w:rsid w:val="00680A15"/>
    <w:rsid w:val="00681732"/>
    <w:rsid w:val="00681D84"/>
    <w:rsid w:val="006828D8"/>
    <w:rsid w:val="0068455C"/>
    <w:rsid w:val="006845C0"/>
    <w:rsid w:val="00684600"/>
    <w:rsid w:val="00684887"/>
    <w:rsid w:val="00684E76"/>
    <w:rsid w:val="00685898"/>
    <w:rsid w:val="00685D11"/>
    <w:rsid w:val="006867FA"/>
    <w:rsid w:val="006907C6"/>
    <w:rsid w:val="00690B13"/>
    <w:rsid w:val="00690B14"/>
    <w:rsid w:val="00690EE9"/>
    <w:rsid w:val="00690F20"/>
    <w:rsid w:val="00693C8E"/>
    <w:rsid w:val="00693E63"/>
    <w:rsid w:val="00694912"/>
    <w:rsid w:val="00694A75"/>
    <w:rsid w:val="00694E36"/>
    <w:rsid w:val="00695D61"/>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D09"/>
    <w:rsid w:val="006A4EAE"/>
    <w:rsid w:val="006A52CC"/>
    <w:rsid w:val="006A56C3"/>
    <w:rsid w:val="006A67AA"/>
    <w:rsid w:val="006A6B88"/>
    <w:rsid w:val="006A6D7F"/>
    <w:rsid w:val="006B0298"/>
    <w:rsid w:val="006B0962"/>
    <w:rsid w:val="006B0A9B"/>
    <w:rsid w:val="006B0D07"/>
    <w:rsid w:val="006B0E83"/>
    <w:rsid w:val="006B180E"/>
    <w:rsid w:val="006B1D90"/>
    <w:rsid w:val="006B385B"/>
    <w:rsid w:val="006B4562"/>
    <w:rsid w:val="006B5493"/>
    <w:rsid w:val="006B5FFD"/>
    <w:rsid w:val="006B6FED"/>
    <w:rsid w:val="006B72F6"/>
    <w:rsid w:val="006B77E2"/>
    <w:rsid w:val="006C005A"/>
    <w:rsid w:val="006C02A0"/>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838"/>
    <w:rsid w:val="006D4FC4"/>
    <w:rsid w:val="006D522C"/>
    <w:rsid w:val="006D559B"/>
    <w:rsid w:val="006D56AA"/>
    <w:rsid w:val="006D662D"/>
    <w:rsid w:val="006D6A65"/>
    <w:rsid w:val="006D7795"/>
    <w:rsid w:val="006D7ACB"/>
    <w:rsid w:val="006D7D14"/>
    <w:rsid w:val="006E00EF"/>
    <w:rsid w:val="006E06BB"/>
    <w:rsid w:val="006E14D7"/>
    <w:rsid w:val="006E1A7A"/>
    <w:rsid w:val="006E2DEB"/>
    <w:rsid w:val="006E4723"/>
    <w:rsid w:val="006E716F"/>
    <w:rsid w:val="006E7C78"/>
    <w:rsid w:val="006E7DA9"/>
    <w:rsid w:val="006E7DEE"/>
    <w:rsid w:val="006F01E7"/>
    <w:rsid w:val="006F0FD7"/>
    <w:rsid w:val="006F13AF"/>
    <w:rsid w:val="006F1F3A"/>
    <w:rsid w:val="006F2104"/>
    <w:rsid w:val="006F6CA7"/>
    <w:rsid w:val="006F7EB8"/>
    <w:rsid w:val="007006BA"/>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108"/>
    <w:rsid w:val="00737D63"/>
    <w:rsid w:val="00740478"/>
    <w:rsid w:val="00740C8C"/>
    <w:rsid w:val="00741745"/>
    <w:rsid w:val="00741AC4"/>
    <w:rsid w:val="007429E1"/>
    <w:rsid w:val="00742CA5"/>
    <w:rsid w:val="00743504"/>
    <w:rsid w:val="00743CA7"/>
    <w:rsid w:val="0074489F"/>
    <w:rsid w:val="0074594A"/>
    <w:rsid w:val="00746642"/>
    <w:rsid w:val="00747181"/>
    <w:rsid w:val="0075065B"/>
    <w:rsid w:val="007513F0"/>
    <w:rsid w:val="007515BC"/>
    <w:rsid w:val="00751953"/>
    <w:rsid w:val="00752606"/>
    <w:rsid w:val="007533B0"/>
    <w:rsid w:val="00753CF0"/>
    <w:rsid w:val="0075402E"/>
    <w:rsid w:val="00754039"/>
    <w:rsid w:val="007561A3"/>
    <w:rsid w:val="00756CA2"/>
    <w:rsid w:val="00756D31"/>
    <w:rsid w:val="00756D3D"/>
    <w:rsid w:val="007573B2"/>
    <w:rsid w:val="007574BB"/>
    <w:rsid w:val="0075764C"/>
    <w:rsid w:val="00757CFF"/>
    <w:rsid w:val="00760712"/>
    <w:rsid w:val="00761D17"/>
    <w:rsid w:val="0076216F"/>
    <w:rsid w:val="00762198"/>
    <w:rsid w:val="007625A2"/>
    <w:rsid w:val="007628DA"/>
    <w:rsid w:val="00762E28"/>
    <w:rsid w:val="00762FA4"/>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0E6"/>
    <w:rsid w:val="007958AC"/>
    <w:rsid w:val="00795CBE"/>
    <w:rsid w:val="00796484"/>
    <w:rsid w:val="007967B8"/>
    <w:rsid w:val="00796E95"/>
    <w:rsid w:val="00796F2A"/>
    <w:rsid w:val="00797A1E"/>
    <w:rsid w:val="007A0176"/>
    <w:rsid w:val="007A0798"/>
    <w:rsid w:val="007A0F2A"/>
    <w:rsid w:val="007A0F69"/>
    <w:rsid w:val="007A0FF8"/>
    <w:rsid w:val="007A1632"/>
    <w:rsid w:val="007A1826"/>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3BE3"/>
    <w:rsid w:val="007B56A8"/>
    <w:rsid w:val="007B6D43"/>
    <w:rsid w:val="007B7498"/>
    <w:rsid w:val="007B77DC"/>
    <w:rsid w:val="007B7AEE"/>
    <w:rsid w:val="007C02F6"/>
    <w:rsid w:val="007C0D24"/>
    <w:rsid w:val="007C283C"/>
    <w:rsid w:val="007C3E2E"/>
    <w:rsid w:val="007C5C9B"/>
    <w:rsid w:val="007C6C24"/>
    <w:rsid w:val="007C71CF"/>
    <w:rsid w:val="007C7EB6"/>
    <w:rsid w:val="007D03CB"/>
    <w:rsid w:val="007D12D8"/>
    <w:rsid w:val="007D1667"/>
    <w:rsid w:val="007D1BCD"/>
    <w:rsid w:val="007D2BE6"/>
    <w:rsid w:val="007D2F75"/>
    <w:rsid w:val="007D48A3"/>
    <w:rsid w:val="007D4AB0"/>
    <w:rsid w:val="007D4F74"/>
    <w:rsid w:val="007D5BF3"/>
    <w:rsid w:val="007D5BF9"/>
    <w:rsid w:val="007D710E"/>
    <w:rsid w:val="007D7215"/>
    <w:rsid w:val="007D7E3A"/>
    <w:rsid w:val="007E05D3"/>
    <w:rsid w:val="007E1177"/>
    <w:rsid w:val="007E13D5"/>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6F40"/>
    <w:rsid w:val="007E70B9"/>
    <w:rsid w:val="007E70FD"/>
    <w:rsid w:val="007E728E"/>
    <w:rsid w:val="007E7E96"/>
    <w:rsid w:val="007F08FC"/>
    <w:rsid w:val="007F19DA"/>
    <w:rsid w:val="007F2109"/>
    <w:rsid w:val="007F21C5"/>
    <w:rsid w:val="007F26EE"/>
    <w:rsid w:val="007F2A58"/>
    <w:rsid w:val="007F34CB"/>
    <w:rsid w:val="007F3889"/>
    <w:rsid w:val="007F3A61"/>
    <w:rsid w:val="007F3EF1"/>
    <w:rsid w:val="007F486F"/>
    <w:rsid w:val="007F4B5B"/>
    <w:rsid w:val="007F4EB7"/>
    <w:rsid w:val="007F70A0"/>
    <w:rsid w:val="007F77C3"/>
    <w:rsid w:val="0080056E"/>
    <w:rsid w:val="00801457"/>
    <w:rsid w:val="00801BCE"/>
    <w:rsid w:val="00801E7D"/>
    <w:rsid w:val="00802515"/>
    <w:rsid w:val="0080254F"/>
    <w:rsid w:val="00802E64"/>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9C5"/>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DB5"/>
    <w:rsid w:val="00827F88"/>
    <w:rsid w:val="008310F6"/>
    <w:rsid w:val="008315CE"/>
    <w:rsid w:val="00831982"/>
    <w:rsid w:val="00831AA8"/>
    <w:rsid w:val="008336A5"/>
    <w:rsid w:val="0083454E"/>
    <w:rsid w:val="00834C4C"/>
    <w:rsid w:val="00835107"/>
    <w:rsid w:val="00835474"/>
    <w:rsid w:val="008359F1"/>
    <w:rsid w:val="00836653"/>
    <w:rsid w:val="008373C0"/>
    <w:rsid w:val="00837A48"/>
    <w:rsid w:val="00837E18"/>
    <w:rsid w:val="008402A5"/>
    <w:rsid w:val="0084052B"/>
    <w:rsid w:val="008407B9"/>
    <w:rsid w:val="0084105A"/>
    <w:rsid w:val="0084145F"/>
    <w:rsid w:val="00841960"/>
    <w:rsid w:val="00841DA2"/>
    <w:rsid w:val="008429DF"/>
    <w:rsid w:val="008436E1"/>
    <w:rsid w:val="00843CB5"/>
    <w:rsid w:val="00844963"/>
    <w:rsid w:val="00844CB5"/>
    <w:rsid w:val="008453FA"/>
    <w:rsid w:val="008458F6"/>
    <w:rsid w:val="00845AED"/>
    <w:rsid w:val="00845C43"/>
    <w:rsid w:val="00845D98"/>
    <w:rsid w:val="008465D3"/>
    <w:rsid w:val="008466E5"/>
    <w:rsid w:val="0084708E"/>
    <w:rsid w:val="00847973"/>
    <w:rsid w:val="00851AE4"/>
    <w:rsid w:val="00851C8B"/>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2E30"/>
    <w:rsid w:val="00865800"/>
    <w:rsid w:val="00865B2C"/>
    <w:rsid w:val="0086682F"/>
    <w:rsid w:val="00867687"/>
    <w:rsid w:val="008704DF"/>
    <w:rsid w:val="00870622"/>
    <w:rsid w:val="008706E3"/>
    <w:rsid w:val="008715CB"/>
    <w:rsid w:val="00874300"/>
    <w:rsid w:val="00874748"/>
    <w:rsid w:val="00874894"/>
    <w:rsid w:val="00875DB0"/>
    <w:rsid w:val="00876057"/>
    <w:rsid w:val="00876309"/>
    <w:rsid w:val="00876F54"/>
    <w:rsid w:val="00877292"/>
    <w:rsid w:val="0087754A"/>
    <w:rsid w:val="0087766C"/>
    <w:rsid w:val="00880552"/>
    <w:rsid w:val="008814A6"/>
    <w:rsid w:val="00882595"/>
    <w:rsid w:val="0088336E"/>
    <w:rsid w:val="008839DA"/>
    <w:rsid w:val="00884B01"/>
    <w:rsid w:val="00884EE8"/>
    <w:rsid w:val="00885168"/>
    <w:rsid w:val="00885BD3"/>
    <w:rsid w:val="008868FF"/>
    <w:rsid w:val="008876E3"/>
    <w:rsid w:val="00890B7E"/>
    <w:rsid w:val="00890C12"/>
    <w:rsid w:val="008915DD"/>
    <w:rsid w:val="0089173B"/>
    <w:rsid w:val="0089175F"/>
    <w:rsid w:val="00891E76"/>
    <w:rsid w:val="0089220F"/>
    <w:rsid w:val="00892B57"/>
    <w:rsid w:val="0089303A"/>
    <w:rsid w:val="008935AA"/>
    <w:rsid w:val="008939CF"/>
    <w:rsid w:val="00893D5A"/>
    <w:rsid w:val="00894326"/>
    <w:rsid w:val="00894DF3"/>
    <w:rsid w:val="008963F0"/>
    <w:rsid w:val="0089708C"/>
    <w:rsid w:val="00897444"/>
    <w:rsid w:val="008A01F7"/>
    <w:rsid w:val="008A03A5"/>
    <w:rsid w:val="008A0DF3"/>
    <w:rsid w:val="008A10D3"/>
    <w:rsid w:val="008A1B76"/>
    <w:rsid w:val="008A24AE"/>
    <w:rsid w:val="008A282C"/>
    <w:rsid w:val="008A3808"/>
    <w:rsid w:val="008A4138"/>
    <w:rsid w:val="008A5662"/>
    <w:rsid w:val="008A5D96"/>
    <w:rsid w:val="008A5F7E"/>
    <w:rsid w:val="008A6178"/>
    <w:rsid w:val="008A61E2"/>
    <w:rsid w:val="008A73EF"/>
    <w:rsid w:val="008B00A4"/>
    <w:rsid w:val="008B1C74"/>
    <w:rsid w:val="008B28D1"/>
    <w:rsid w:val="008B440B"/>
    <w:rsid w:val="008B5AB3"/>
    <w:rsid w:val="008B5B21"/>
    <w:rsid w:val="008B5E49"/>
    <w:rsid w:val="008B6848"/>
    <w:rsid w:val="008B73BD"/>
    <w:rsid w:val="008B75B8"/>
    <w:rsid w:val="008C0024"/>
    <w:rsid w:val="008C1393"/>
    <w:rsid w:val="008C15FF"/>
    <w:rsid w:val="008C2FA1"/>
    <w:rsid w:val="008C58DF"/>
    <w:rsid w:val="008C5AE6"/>
    <w:rsid w:val="008C5E8B"/>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16B"/>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0067"/>
    <w:rsid w:val="008F13A5"/>
    <w:rsid w:val="008F18ED"/>
    <w:rsid w:val="008F2631"/>
    <w:rsid w:val="008F452A"/>
    <w:rsid w:val="008F46C2"/>
    <w:rsid w:val="008F5C6C"/>
    <w:rsid w:val="008F6CE5"/>
    <w:rsid w:val="008F7068"/>
    <w:rsid w:val="008F77BF"/>
    <w:rsid w:val="008F7852"/>
    <w:rsid w:val="00901CD4"/>
    <w:rsid w:val="00901F28"/>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270"/>
    <w:rsid w:val="009165F0"/>
    <w:rsid w:val="00916E90"/>
    <w:rsid w:val="00917388"/>
    <w:rsid w:val="00917CA8"/>
    <w:rsid w:val="00917D6F"/>
    <w:rsid w:val="0092073B"/>
    <w:rsid w:val="00921B1A"/>
    <w:rsid w:val="00921B7F"/>
    <w:rsid w:val="00921DDA"/>
    <w:rsid w:val="00922DE1"/>
    <w:rsid w:val="00922E4B"/>
    <w:rsid w:val="00924953"/>
    <w:rsid w:val="00924B6C"/>
    <w:rsid w:val="00924D2B"/>
    <w:rsid w:val="00924E02"/>
    <w:rsid w:val="00925183"/>
    <w:rsid w:val="00925DF8"/>
    <w:rsid w:val="0092600D"/>
    <w:rsid w:val="00926885"/>
    <w:rsid w:val="009273F7"/>
    <w:rsid w:val="00930345"/>
    <w:rsid w:val="0093039D"/>
    <w:rsid w:val="009318E8"/>
    <w:rsid w:val="00931CF9"/>
    <w:rsid w:val="00931E4F"/>
    <w:rsid w:val="00932A0C"/>
    <w:rsid w:val="0093364D"/>
    <w:rsid w:val="00933664"/>
    <w:rsid w:val="00933BE4"/>
    <w:rsid w:val="00934048"/>
    <w:rsid w:val="00935B2E"/>
    <w:rsid w:val="00936574"/>
    <w:rsid w:val="00937EE1"/>
    <w:rsid w:val="0094041C"/>
    <w:rsid w:val="0094101E"/>
    <w:rsid w:val="009416AF"/>
    <w:rsid w:val="00941720"/>
    <w:rsid w:val="00941A12"/>
    <w:rsid w:val="00941C5E"/>
    <w:rsid w:val="009439D3"/>
    <w:rsid w:val="00943BCE"/>
    <w:rsid w:val="009451DC"/>
    <w:rsid w:val="009466BE"/>
    <w:rsid w:val="00946F1A"/>
    <w:rsid w:val="009503FE"/>
    <w:rsid w:val="009508A0"/>
    <w:rsid w:val="00950A17"/>
    <w:rsid w:val="00952615"/>
    <w:rsid w:val="009535BD"/>
    <w:rsid w:val="00953D8B"/>
    <w:rsid w:val="00953FF0"/>
    <w:rsid w:val="00954502"/>
    <w:rsid w:val="00954829"/>
    <w:rsid w:val="0095506D"/>
    <w:rsid w:val="009553A4"/>
    <w:rsid w:val="00955A98"/>
    <w:rsid w:val="00955DA9"/>
    <w:rsid w:val="009576B2"/>
    <w:rsid w:val="00960346"/>
    <w:rsid w:val="00960F05"/>
    <w:rsid w:val="00961724"/>
    <w:rsid w:val="009617D3"/>
    <w:rsid w:val="009626F7"/>
    <w:rsid w:val="009628F1"/>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BEC"/>
    <w:rsid w:val="00975F0E"/>
    <w:rsid w:val="00980900"/>
    <w:rsid w:val="00982BC9"/>
    <w:rsid w:val="009830F7"/>
    <w:rsid w:val="00983824"/>
    <w:rsid w:val="00983EDC"/>
    <w:rsid w:val="00983EED"/>
    <w:rsid w:val="009849EF"/>
    <w:rsid w:val="00984A3A"/>
    <w:rsid w:val="00984BC7"/>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6302"/>
    <w:rsid w:val="009971AA"/>
    <w:rsid w:val="00997908"/>
    <w:rsid w:val="009A0D75"/>
    <w:rsid w:val="009A1234"/>
    <w:rsid w:val="009A306D"/>
    <w:rsid w:val="009A347A"/>
    <w:rsid w:val="009A3661"/>
    <w:rsid w:val="009A5A3D"/>
    <w:rsid w:val="009A5DE4"/>
    <w:rsid w:val="009A620E"/>
    <w:rsid w:val="009A6333"/>
    <w:rsid w:val="009A7587"/>
    <w:rsid w:val="009B0214"/>
    <w:rsid w:val="009B02EF"/>
    <w:rsid w:val="009B0A91"/>
    <w:rsid w:val="009B19CD"/>
    <w:rsid w:val="009B5EC9"/>
    <w:rsid w:val="009B6316"/>
    <w:rsid w:val="009B6452"/>
    <w:rsid w:val="009B6A6F"/>
    <w:rsid w:val="009B736C"/>
    <w:rsid w:val="009B7BFE"/>
    <w:rsid w:val="009C01A6"/>
    <w:rsid w:val="009C0EAC"/>
    <w:rsid w:val="009C18CC"/>
    <w:rsid w:val="009C1AFE"/>
    <w:rsid w:val="009C1F30"/>
    <w:rsid w:val="009C246A"/>
    <w:rsid w:val="009C3BF9"/>
    <w:rsid w:val="009C3E33"/>
    <w:rsid w:val="009C4153"/>
    <w:rsid w:val="009C54A0"/>
    <w:rsid w:val="009C5C6C"/>
    <w:rsid w:val="009C5F24"/>
    <w:rsid w:val="009C6C53"/>
    <w:rsid w:val="009C7F99"/>
    <w:rsid w:val="009D048B"/>
    <w:rsid w:val="009D0A63"/>
    <w:rsid w:val="009D1B5D"/>
    <w:rsid w:val="009D27C3"/>
    <w:rsid w:val="009D28FA"/>
    <w:rsid w:val="009D4200"/>
    <w:rsid w:val="009D43FE"/>
    <w:rsid w:val="009D4E9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D8A"/>
    <w:rsid w:val="009F1E38"/>
    <w:rsid w:val="009F25A8"/>
    <w:rsid w:val="009F34D3"/>
    <w:rsid w:val="009F3CA9"/>
    <w:rsid w:val="009F4353"/>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3BD9"/>
    <w:rsid w:val="00A048C7"/>
    <w:rsid w:val="00A0598E"/>
    <w:rsid w:val="00A05D71"/>
    <w:rsid w:val="00A05E08"/>
    <w:rsid w:val="00A063A6"/>
    <w:rsid w:val="00A06844"/>
    <w:rsid w:val="00A06A2C"/>
    <w:rsid w:val="00A06CC5"/>
    <w:rsid w:val="00A07909"/>
    <w:rsid w:val="00A0791C"/>
    <w:rsid w:val="00A079D8"/>
    <w:rsid w:val="00A1047D"/>
    <w:rsid w:val="00A117D8"/>
    <w:rsid w:val="00A11B56"/>
    <w:rsid w:val="00A11C74"/>
    <w:rsid w:val="00A11CAD"/>
    <w:rsid w:val="00A121AB"/>
    <w:rsid w:val="00A127EC"/>
    <w:rsid w:val="00A12FB1"/>
    <w:rsid w:val="00A13DF7"/>
    <w:rsid w:val="00A14807"/>
    <w:rsid w:val="00A15263"/>
    <w:rsid w:val="00A155CD"/>
    <w:rsid w:val="00A15BF1"/>
    <w:rsid w:val="00A1620D"/>
    <w:rsid w:val="00A166AF"/>
    <w:rsid w:val="00A16AC0"/>
    <w:rsid w:val="00A16DC1"/>
    <w:rsid w:val="00A171AC"/>
    <w:rsid w:val="00A17564"/>
    <w:rsid w:val="00A224E5"/>
    <w:rsid w:val="00A231CF"/>
    <w:rsid w:val="00A23D31"/>
    <w:rsid w:val="00A240A7"/>
    <w:rsid w:val="00A24AF6"/>
    <w:rsid w:val="00A24C9B"/>
    <w:rsid w:val="00A25151"/>
    <w:rsid w:val="00A26554"/>
    <w:rsid w:val="00A26B4A"/>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5F1"/>
    <w:rsid w:val="00A40A51"/>
    <w:rsid w:val="00A415BA"/>
    <w:rsid w:val="00A419A8"/>
    <w:rsid w:val="00A42041"/>
    <w:rsid w:val="00A4230D"/>
    <w:rsid w:val="00A4379B"/>
    <w:rsid w:val="00A4432A"/>
    <w:rsid w:val="00A4594F"/>
    <w:rsid w:val="00A45F38"/>
    <w:rsid w:val="00A47916"/>
    <w:rsid w:val="00A47C18"/>
    <w:rsid w:val="00A50123"/>
    <w:rsid w:val="00A50298"/>
    <w:rsid w:val="00A50838"/>
    <w:rsid w:val="00A50EC5"/>
    <w:rsid w:val="00A511BB"/>
    <w:rsid w:val="00A5236D"/>
    <w:rsid w:val="00A535E4"/>
    <w:rsid w:val="00A536DA"/>
    <w:rsid w:val="00A5370C"/>
    <w:rsid w:val="00A5406C"/>
    <w:rsid w:val="00A54801"/>
    <w:rsid w:val="00A552FB"/>
    <w:rsid w:val="00A556AA"/>
    <w:rsid w:val="00A5596D"/>
    <w:rsid w:val="00A56ACD"/>
    <w:rsid w:val="00A56F1F"/>
    <w:rsid w:val="00A56F39"/>
    <w:rsid w:val="00A571CD"/>
    <w:rsid w:val="00A57C3D"/>
    <w:rsid w:val="00A57D17"/>
    <w:rsid w:val="00A617D1"/>
    <w:rsid w:val="00A61D6F"/>
    <w:rsid w:val="00A640F1"/>
    <w:rsid w:val="00A64F4B"/>
    <w:rsid w:val="00A650C6"/>
    <w:rsid w:val="00A660D1"/>
    <w:rsid w:val="00A66829"/>
    <w:rsid w:val="00A6682B"/>
    <w:rsid w:val="00A6697B"/>
    <w:rsid w:val="00A71251"/>
    <w:rsid w:val="00A719AA"/>
    <w:rsid w:val="00A71E7E"/>
    <w:rsid w:val="00A731B5"/>
    <w:rsid w:val="00A73DE3"/>
    <w:rsid w:val="00A73E67"/>
    <w:rsid w:val="00A747F9"/>
    <w:rsid w:val="00A74C2D"/>
    <w:rsid w:val="00A75D81"/>
    <w:rsid w:val="00A76217"/>
    <w:rsid w:val="00A76595"/>
    <w:rsid w:val="00A76630"/>
    <w:rsid w:val="00A766B1"/>
    <w:rsid w:val="00A76B34"/>
    <w:rsid w:val="00A76D3E"/>
    <w:rsid w:val="00A779A5"/>
    <w:rsid w:val="00A77E94"/>
    <w:rsid w:val="00A8051E"/>
    <w:rsid w:val="00A805D0"/>
    <w:rsid w:val="00A8238F"/>
    <w:rsid w:val="00A831AC"/>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3C61"/>
    <w:rsid w:val="00A94938"/>
    <w:rsid w:val="00A95838"/>
    <w:rsid w:val="00A9629C"/>
    <w:rsid w:val="00A96A29"/>
    <w:rsid w:val="00A97219"/>
    <w:rsid w:val="00A97515"/>
    <w:rsid w:val="00AA07B1"/>
    <w:rsid w:val="00AA14D4"/>
    <w:rsid w:val="00AA193D"/>
    <w:rsid w:val="00AA1974"/>
    <w:rsid w:val="00AA2289"/>
    <w:rsid w:val="00AA3193"/>
    <w:rsid w:val="00AA35D5"/>
    <w:rsid w:val="00AA417B"/>
    <w:rsid w:val="00AA49FF"/>
    <w:rsid w:val="00AA4A1F"/>
    <w:rsid w:val="00AA505C"/>
    <w:rsid w:val="00AA533F"/>
    <w:rsid w:val="00AA59B2"/>
    <w:rsid w:val="00AA5A86"/>
    <w:rsid w:val="00AA5C7C"/>
    <w:rsid w:val="00AA639B"/>
    <w:rsid w:val="00AA6EFD"/>
    <w:rsid w:val="00AA7BD4"/>
    <w:rsid w:val="00AA7F48"/>
    <w:rsid w:val="00AB010D"/>
    <w:rsid w:val="00AB0749"/>
    <w:rsid w:val="00AB2176"/>
    <w:rsid w:val="00AB2617"/>
    <w:rsid w:val="00AB2C53"/>
    <w:rsid w:val="00AB2EDE"/>
    <w:rsid w:val="00AB37BE"/>
    <w:rsid w:val="00AB5936"/>
    <w:rsid w:val="00AB6595"/>
    <w:rsid w:val="00AB67EF"/>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AB4"/>
    <w:rsid w:val="00AD0D24"/>
    <w:rsid w:val="00AD0DE0"/>
    <w:rsid w:val="00AD1480"/>
    <w:rsid w:val="00AD1923"/>
    <w:rsid w:val="00AD2611"/>
    <w:rsid w:val="00AD285F"/>
    <w:rsid w:val="00AD368D"/>
    <w:rsid w:val="00AD3AC5"/>
    <w:rsid w:val="00AD3D57"/>
    <w:rsid w:val="00AD497C"/>
    <w:rsid w:val="00AD4AD2"/>
    <w:rsid w:val="00AD50F9"/>
    <w:rsid w:val="00AD55E6"/>
    <w:rsid w:val="00AE072A"/>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A7D"/>
    <w:rsid w:val="00AE79E1"/>
    <w:rsid w:val="00AE7FF6"/>
    <w:rsid w:val="00AF0861"/>
    <w:rsid w:val="00AF0A77"/>
    <w:rsid w:val="00AF15CB"/>
    <w:rsid w:val="00AF17E9"/>
    <w:rsid w:val="00AF1992"/>
    <w:rsid w:val="00AF3305"/>
    <w:rsid w:val="00AF4424"/>
    <w:rsid w:val="00AF4610"/>
    <w:rsid w:val="00AF4B3E"/>
    <w:rsid w:val="00AF4C29"/>
    <w:rsid w:val="00AF4EED"/>
    <w:rsid w:val="00AF51B3"/>
    <w:rsid w:val="00AF6432"/>
    <w:rsid w:val="00AF6DED"/>
    <w:rsid w:val="00AF733B"/>
    <w:rsid w:val="00AF753C"/>
    <w:rsid w:val="00AF79BD"/>
    <w:rsid w:val="00B00476"/>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F12"/>
    <w:rsid w:val="00B07FE3"/>
    <w:rsid w:val="00B10BAE"/>
    <w:rsid w:val="00B11CB3"/>
    <w:rsid w:val="00B11E66"/>
    <w:rsid w:val="00B12451"/>
    <w:rsid w:val="00B12A0A"/>
    <w:rsid w:val="00B14154"/>
    <w:rsid w:val="00B1415B"/>
    <w:rsid w:val="00B14A9A"/>
    <w:rsid w:val="00B150A3"/>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27FB"/>
    <w:rsid w:val="00B33998"/>
    <w:rsid w:val="00B33EEF"/>
    <w:rsid w:val="00B348F1"/>
    <w:rsid w:val="00B416D0"/>
    <w:rsid w:val="00B41D89"/>
    <w:rsid w:val="00B42C7F"/>
    <w:rsid w:val="00B42E81"/>
    <w:rsid w:val="00B4329D"/>
    <w:rsid w:val="00B457EF"/>
    <w:rsid w:val="00B45BEE"/>
    <w:rsid w:val="00B46A26"/>
    <w:rsid w:val="00B46C8E"/>
    <w:rsid w:val="00B50512"/>
    <w:rsid w:val="00B50F74"/>
    <w:rsid w:val="00B519F0"/>
    <w:rsid w:val="00B51A2F"/>
    <w:rsid w:val="00B51AEA"/>
    <w:rsid w:val="00B520F9"/>
    <w:rsid w:val="00B52812"/>
    <w:rsid w:val="00B537CE"/>
    <w:rsid w:val="00B53891"/>
    <w:rsid w:val="00B541CB"/>
    <w:rsid w:val="00B5423C"/>
    <w:rsid w:val="00B5495A"/>
    <w:rsid w:val="00B54AAB"/>
    <w:rsid w:val="00B54CBD"/>
    <w:rsid w:val="00B553BA"/>
    <w:rsid w:val="00B55A03"/>
    <w:rsid w:val="00B55D00"/>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2DC3"/>
    <w:rsid w:val="00B73031"/>
    <w:rsid w:val="00B73CF6"/>
    <w:rsid w:val="00B73D51"/>
    <w:rsid w:val="00B73FD4"/>
    <w:rsid w:val="00B74128"/>
    <w:rsid w:val="00B743FD"/>
    <w:rsid w:val="00B74DCE"/>
    <w:rsid w:val="00B74FC5"/>
    <w:rsid w:val="00B7553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1F81"/>
    <w:rsid w:val="00BB375D"/>
    <w:rsid w:val="00BB4277"/>
    <w:rsid w:val="00BB49A0"/>
    <w:rsid w:val="00BB515F"/>
    <w:rsid w:val="00BB532B"/>
    <w:rsid w:val="00BC0924"/>
    <w:rsid w:val="00BC0C50"/>
    <w:rsid w:val="00BC11E0"/>
    <w:rsid w:val="00BC198A"/>
    <w:rsid w:val="00BC1FA5"/>
    <w:rsid w:val="00BC2598"/>
    <w:rsid w:val="00BC299D"/>
    <w:rsid w:val="00BC2C0C"/>
    <w:rsid w:val="00BC3B70"/>
    <w:rsid w:val="00BC4AE9"/>
    <w:rsid w:val="00BC6E7C"/>
    <w:rsid w:val="00BC7182"/>
    <w:rsid w:val="00BC732A"/>
    <w:rsid w:val="00BC7398"/>
    <w:rsid w:val="00BC7458"/>
    <w:rsid w:val="00BC758B"/>
    <w:rsid w:val="00BC79AA"/>
    <w:rsid w:val="00BC79C3"/>
    <w:rsid w:val="00BC7D51"/>
    <w:rsid w:val="00BD1045"/>
    <w:rsid w:val="00BD2183"/>
    <w:rsid w:val="00BD2EAC"/>
    <w:rsid w:val="00BD3421"/>
    <w:rsid w:val="00BD4BB3"/>
    <w:rsid w:val="00BD4EAE"/>
    <w:rsid w:val="00BD4FA5"/>
    <w:rsid w:val="00BD50FE"/>
    <w:rsid w:val="00BD5C33"/>
    <w:rsid w:val="00BD6804"/>
    <w:rsid w:val="00BD7F11"/>
    <w:rsid w:val="00BE132E"/>
    <w:rsid w:val="00BE17C6"/>
    <w:rsid w:val="00BE2498"/>
    <w:rsid w:val="00BE2BD3"/>
    <w:rsid w:val="00BE2E7C"/>
    <w:rsid w:val="00BE3D7C"/>
    <w:rsid w:val="00BE4843"/>
    <w:rsid w:val="00BE4865"/>
    <w:rsid w:val="00BE50F9"/>
    <w:rsid w:val="00BE5241"/>
    <w:rsid w:val="00BE5595"/>
    <w:rsid w:val="00BE6035"/>
    <w:rsid w:val="00BE675A"/>
    <w:rsid w:val="00BE69BF"/>
    <w:rsid w:val="00BE725A"/>
    <w:rsid w:val="00BE7263"/>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1EA2"/>
    <w:rsid w:val="00C02357"/>
    <w:rsid w:val="00C03070"/>
    <w:rsid w:val="00C046C5"/>
    <w:rsid w:val="00C0500E"/>
    <w:rsid w:val="00C06B11"/>
    <w:rsid w:val="00C06BCB"/>
    <w:rsid w:val="00C100E3"/>
    <w:rsid w:val="00C10FCF"/>
    <w:rsid w:val="00C11870"/>
    <w:rsid w:val="00C12810"/>
    <w:rsid w:val="00C12D84"/>
    <w:rsid w:val="00C13893"/>
    <w:rsid w:val="00C13B88"/>
    <w:rsid w:val="00C1483A"/>
    <w:rsid w:val="00C14CF4"/>
    <w:rsid w:val="00C15B35"/>
    <w:rsid w:val="00C166FA"/>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5E4"/>
    <w:rsid w:val="00C318DD"/>
    <w:rsid w:val="00C31F8B"/>
    <w:rsid w:val="00C3253F"/>
    <w:rsid w:val="00C3345C"/>
    <w:rsid w:val="00C33886"/>
    <w:rsid w:val="00C3485C"/>
    <w:rsid w:val="00C35376"/>
    <w:rsid w:val="00C3583A"/>
    <w:rsid w:val="00C35A5E"/>
    <w:rsid w:val="00C364D0"/>
    <w:rsid w:val="00C36C23"/>
    <w:rsid w:val="00C37A5F"/>
    <w:rsid w:val="00C407E5"/>
    <w:rsid w:val="00C40B65"/>
    <w:rsid w:val="00C4265A"/>
    <w:rsid w:val="00C42DAC"/>
    <w:rsid w:val="00C4342B"/>
    <w:rsid w:val="00C44C5C"/>
    <w:rsid w:val="00C44C87"/>
    <w:rsid w:val="00C45345"/>
    <w:rsid w:val="00C45818"/>
    <w:rsid w:val="00C459A9"/>
    <w:rsid w:val="00C46EF4"/>
    <w:rsid w:val="00C47763"/>
    <w:rsid w:val="00C477E7"/>
    <w:rsid w:val="00C502A5"/>
    <w:rsid w:val="00C503A6"/>
    <w:rsid w:val="00C5063C"/>
    <w:rsid w:val="00C51784"/>
    <w:rsid w:val="00C51CD8"/>
    <w:rsid w:val="00C521F7"/>
    <w:rsid w:val="00C526DE"/>
    <w:rsid w:val="00C53008"/>
    <w:rsid w:val="00C53C3A"/>
    <w:rsid w:val="00C53DF3"/>
    <w:rsid w:val="00C55151"/>
    <w:rsid w:val="00C554F7"/>
    <w:rsid w:val="00C5575D"/>
    <w:rsid w:val="00C558FF"/>
    <w:rsid w:val="00C55D26"/>
    <w:rsid w:val="00C560FA"/>
    <w:rsid w:val="00C56431"/>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6180"/>
    <w:rsid w:val="00C67C44"/>
    <w:rsid w:val="00C7063C"/>
    <w:rsid w:val="00C70670"/>
    <w:rsid w:val="00C72589"/>
    <w:rsid w:val="00C73C57"/>
    <w:rsid w:val="00C741B2"/>
    <w:rsid w:val="00C746D9"/>
    <w:rsid w:val="00C74D43"/>
    <w:rsid w:val="00C74F53"/>
    <w:rsid w:val="00C74F5F"/>
    <w:rsid w:val="00C75CA7"/>
    <w:rsid w:val="00C75D18"/>
    <w:rsid w:val="00C763EE"/>
    <w:rsid w:val="00C7683D"/>
    <w:rsid w:val="00C76A6F"/>
    <w:rsid w:val="00C76EE0"/>
    <w:rsid w:val="00C77E7E"/>
    <w:rsid w:val="00C80361"/>
    <w:rsid w:val="00C819AE"/>
    <w:rsid w:val="00C81FBD"/>
    <w:rsid w:val="00C82A8F"/>
    <w:rsid w:val="00C82FB9"/>
    <w:rsid w:val="00C84AAD"/>
    <w:rsid w:val="00C85C96"/>
    <w:rsid w:val="00C86059"/>
    <w:rsid w:val="00C860AE"/>
    <w:rsid w:val="00C86432"/>
    <w:rsid w:val="00C86FC6"/>
    <w:rsid w:val="00C87C17"/>
    <w:rsid w:val="00C901BB"/>
    <w:rsid w:val="00C90C46"/>
    <w:rsid w:val="00C90CD3"/>
    <w:rsid w:val="00C91B62"/>
    <w:rsid w:val="00C921CC"/>
    <w:rsid w:val="00C92552"/>
    <w:rsid w:val="00C92916"/>
    <w:rsid w:val="00C92C27"/>
    <w:rsid w:val="00C93A71"/>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63F"/>
    <w:rsid w:val="00CA5C24"/>
    <w:rsid w:val="00CA5FDD"/>
    <w:rsid w:val="00CA67BA"/>
    <w:rsid w:val="00CA71D4"/>
    <w:rsid w:val="00CB0326"/>
    <w:rsid w:val="00CB03C1"/>
    <w:rsid w:val="00CB1F95"/>
    <w:rsid w:val="00CB5B59"/>
    <w:rsid w:val="00CB5D29"/>
    <w:rsid w:val="00CB6019"/>
    <w:rsid w:val="00CB675A"/>
    <w:rsid w:val="00CB6847"/>
    <w:rsid w:val="00CB6EC8"/>
    <w:rsid w:val="00CB7423"/>
    <w:rsid w:val="00CB782B"/>
    <w:rsid w:val="00CC082B"/>
    <w:rsid w:val="00CC0E77"/>
    <w:rsid w:val="00CC13BE"/>
    <w:rsid w:val="00CC2092"/>
    <w:rsid w:val="00CC285C"/>
    <w:rsid w:val="00CC291F"/>
    <w:rsid w:val="00CC2E28"/>
    <w:rsid w:val="00CC3244"/>
    <w:rsid w:val="00CC3F80"/>
    <w:rsid w:val="00CC5595"/>
    <w:rsid w:val="00CC596D"/>
    <w:rsid w:val="00CC5AAD"/>
    <w:rsid w:val="00CC5E76"/>
    <w:rsid w:val="00CC687B"/>
    <w:rsid w:val="00CC79AA"/>
    <w:rsid w:val="00CC7FC0"/>
    <w:rsid w:val="00CD0453"/>
    <w:rsid w:val="00CD1770"/>
    <w:rsid w:val="00CD2422"/>
    <w:rsid w:val="00CD2797"/>
    <w:rsid w:val="00CD2D4D"/>
    <w:rsid w:val="00CD3A5D"/>
    <w:rsid w:val="00CD3F0D"/>
    <w:rsid w:val="00CD4404"/>
    <w:rsid w:val="00CD4930"/>
    <w:rsid w:val="00CD4AF7"/>
    <w:rsid w:val="00CD5A78"/>
    <w:rsid w:val="00CD5FD4"/>
    <w:rsid w:val="00CD64D0"/>
    <w:rsid w:val="00CD7F8F"/>
    <w:rsid w:val="00CE0B4C"/>
    <w:rsid w:val="00CE0DCE"/>
    <w:rsid w:val="00CE142E"/>
    <w:rsid w:val="00CE1BC9"/>
    <w:rsid w:val="00CE25A1"/>
    <w:rsid w:val="00CE2F19"/>
    <w:rsid w:val="00CE33C1"/>
    <w:rsid w:val="00CE43B9"/>
    <w:rsid w:val="00CE478C"/>
    <w:rsid w:val="00CE4DD6"/>
    <w:rsid w:val="00CE5049"/>
    <w:rsid w:val="00CE5228"/>
    <w:rsid w:val="00CE5EF9"/>
    <w:rsid w:val="00CE6A87"/>
    <w:rsid w:val="00CE76FF"/>
    <w:rsid w:val="00CF090B"/>
    <w:rsid w:val="00CF0C41"/>
    <w:rsid w:val="00CF1CF7"/>
    <w:rsid w:val="00CF386F"/>
    <w:rsid w:val="00CF3AEC"/>
    <w:rsid w:val="00CF3B92"/>
    <w:rsid w:val="00CF4012"/>
    <w:rsid w:val="00CF43D5"/>
    <w:rsid w:val="00CF446E"/>
    <w:rsid w:val="00CF517B"/>
    <w:rsid w:val="00CF5F40"/>
    <w:rsid w:val="00CF731E"/>
    <w:rsid w:val="00CF73F3"/>
    <w:rsid w:val="00CF7F3E"/>
    <w:rsid w:val="00D0060A"/>
    <w:rsid w:val="00D01A66"/>
    <w:rsid w:val="00D01BB6"/>
    <w:rsid w:val="00D01C18"/>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1D77"/>
    <w:rsid w:val="00D125A8"/>
    <w:rsid w:val="00D1276A"/>
    <w:rsid w:val="00D134FE"/>
    <w:rsid w:val="00D14DB7"/>
    <w:rsid w:val="00D15D92"/>
    <w:rsid w:val="00D15E6A"/>
    <w:rsid w:val="00D15ED5"/>
    <w:rsid w:val="00D16656"/>
    <w:rsid w:val="00D16FD7"/>
    <w:rsid w:val="00D170BC"/>
    <w:rsid w:val="00D17B33"/>
    <w:rsid w:val="00D200AB"/>
    <w:rsid w:val="00D204C4"/>
    <w:rsid w:val="00D243A2"/>
    <w:rsid w:val="00D24DD5"/>
    <w:rsid w:val="00D25689"/>
    <w:rsid w:val="00D25899"/>
    <w:rsid w:val="00D25ADC"/>
    <w:rsid w:val="00D2696B"/>
    <w:rsid w:val="00D31CD5"/>
    <w:rsid w:val="00D33009"/>
    <w:rsid w:val="00D3376E"/>
    <w:rsid w:val="00D337DF"/>
    <w:rsid w:val="00D340A6"/>
    <w:rsid w:val="00D34402"/>
    <w:rsid w:val="00D348F7"/>
    <w:rsid w:val="00D35641"/>
    <w:rsid w:val="00D3564E"/>
    <w:rsid w:val="00D36EF4"/>
    <w:rsid w:val="00D371D0"/>
    <w:rsid w:val="00D4062A"/>
    <w:rsid w:val="00D4099D"/>
    <w:rsid w:val="00D40BC3"/>
    <w:rsid w:val="00D410EA"/>
    <w:rsid w:val="00D42D55"/>
    <w:rsid w:val="00D434EC"/>
    <w:rsid w:val="00D44C07"/>
    <w:rsid w:val="00D44E9D"/>
    <w:rsid w:val="00D450DA"/>
    <w:rsid w:val="00D4567E"/>
    <w:rsid w:val="00D4606D"/>
    <w:rsid w:val="00D4642E"/>
    <w:rsid w:val="00D46722"/>
    <w:rsid w:val="00D472A7"/>
    <w:rsid w:val="00D47BC2"/>
    <w:rsid w:val="00D50198"/>
    <w:rsid w:val="00D504F1"/>
    <w:rsid w:val="00D514B7"/>
    <w:rsid w:val="00D51515"/>
    <w:rsid w:val="00D5217F"/>
    <w:rsid w:val="00D52F5B"/>
    <w:rsid w:val="00D5381C"/>
    <w:rsid w:val="00D53C84"/>
    <w:rsid w:val="00D54BD5"/>
    <w:rsid w:val="00D5699B"/>
    <w:rsid w:val="00D575F0"/>
    <w:rsid w:val="00D57960"/>
    <w:rsid w:val="00D6004B"/>
    <w:rsid w:val="00D60578"/>
    <w:rsid w:val="00D60B56"/>
    <w:rsid w:val="00D614C8"/>
    <w:rsid w:val="00D61A0E"/>
    <w:rsid w:val="00D61A90"/>
    <w:rsid w:val="00D62055"/>
    <w:rsid w:val="00D62551"/>
    <w:rsid w:val="00D6295D"/>
    <w:rsid w:val="00D63DA6"/>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9D2"/>
    <w:rsid w:val="00D80F9D"/>
    <w:rsid w:val="00D80FFB"/>
    <w:rsid w:val="00D81322"/>
    <w:rsid w:val="00D81BAE"/>
    <w:rsid w:val="00D82A34"/>
    <w:rsid w:val="00D83800"/>
    <w:rsid w:val="00D84B17"/>
    <w:rsid w:val="00D8507D"/>
    <w:rsid w:val="00D85E1C"/>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38E"/>
    <w:rsid w:val="00D96FC3"/>
    <w:rsid w:val="00DA00CC"/>
    <w:rsid w:val="00DA01CE"/>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67B9"/>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282"/>
    <w:rsid w:val="00DC3B4A"/>
    <w:rsid w:val="00DC4289"/>
    <w:rsid w:val="00DC4806"/>
    <w:rsid w:val="00DC4BCD"/>
    <w:rsid w:val="00DC5D44"/>
    <w:rsid w:val="00DC6647"/>
    <w:rsid w:val="00DC7619"/>
    <w:rsid w:val="00DC7BD4"/>
    <w:rsid w:val="00DC7D6B"/>
    <w:rsid w:val="00DD1107"/>
    <w:rsid w:val="00DD1121"/>
    <w:rsid w:val="00DD14F8"/>
    <w:rsid w:val="00DD15B7"/>
    <w:rsid w:val="00DD173F"/>
    <w:rsid w:val="00DD178F"/>
    <w:rsid w:val="00DD186A"/>
    <w:rsid w:val="00DD1BCE"/>
    <w:rsid w:val="00DD1FE4"/>
    <w:rsid w:val="00DD23C5"/>
    <w:rsid w:val="00DD3A92"/>
    <w:rsid w:val="00DD3B58"/>
    <w:rsid w:val="00DD4022"/>
    <w:rsid w:val="00DD5D8C"/>
    <w:rsid w:val="00DD78B2"/>
    <w:rsid w:val="00DE040C"/>
    <w:rsid w:val="00DE0DE9"/>
    <w:rsid w:val="00DE1746"/>
    <w:rsid w:val="00DE2004"/>
    <w:rsid w:val="00DE2966"/>
    <w:rsid w:val="00DE40E0"/>
    <w:rsid w:val="00DE4107"/>
    <w:rsid w:val="00DE4FD1"/>
    <w:rsid w:val="00DE6E6F"/>
    <w:rsid w:val="00DE736A"/>
    <w:rsid w:val="00DE73BA"/>
    <w:rsid w:val="00DF0127"/>
    <w:rsid w:val="00DF0424"/>
    <w:rsid w:val="00DF04ED"/>
    <w:rsid w:val="00DF0B5E"/>
    <w:rsid w:val="00DF0C83"/>
    <w:rsid w:val="00DF0ED5"/>
    <w:rsid w:val="00DF20B8"/>
    <w:rsid w:val="00DF382D"/>
    <w:rsid w:val="00DF3BE8"/>
    <w:rsid w:val="00DF3F0D"/>
    <w:rsid w:val="00DF5CF5"/>
    <w:rsid w:val="00DF72D9"/>
    <w:rsid w:val="00DF7B69"/>
    <w:rsid w:val="00DF7EC8"/>
    <w:rsid w:val="00E00D4F"/>
    <w:rsid w:val="00E0128F"/>
    <w:rsid w:val="00E0164B"/>
    <w:rsid w:val="00E0218A"/>
    <w:rsid w:val="00E028ED"/>
    <w:rsid w:val="00E02D8B"/>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5B9"/>
    <w:rsid w:val="00E11A0D"/>
    <w:rsid w:val="00E12F57"/>
    <w:rsid w:val="00E13C8C"/>
    <w:rsid w:val="00E13FD2"/>
    <w:rsid w:val="00E14282"/>
    <w:rsid w:val="00E156F2"/>
    <w:rsid w:val="00E15D04"/>
    <w:rsid w:val="00E15F54"/>
    <w:rsid w:val="00E16236"/>
    <w:rsid w:val="00E16621"/>
    <w:rsid w:val="00E178B3"/>
    <w:rsid w:val="00E17DB8"/>
    <w:rsid w:val="00E17EB1"/>
    <w:rsid w:val="00E20330"/>
    <w:rsid w:val="00E204CE"/>
    <w:rsid w:val="00E20A27"/>
    <w:rsid w:val="00E2153F"/>
    <w:rsid w:val="00E215A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195C"/>
    <w:rsid w:val="00E32DBA"/>
    <w:rsid w:val="00E354AF"/>
    <w:rsid w:val="00E35DF9"/>
    <w:rsid w:val="00E363BB"/>
    <w:rsid w:val="00E37483"/>
    <w:rsid w:val="00E377D5"/>
    <w:rsid w:val="00E37FDD"/>
    <w:rsid w:val="00E41044"/>
    <w:rsid w:val="00E416B1"/>
    <w:rsid w:val="00E42117"/>
    <w:rsid w:val="00E424DE"/>
    <w:rsid w:val="00E43469"/>
    <w:rsid w:val="00E4359A"/>
    <w:rsid w:val="00E4369C"/>
    <w:rsid w:val="00E43A0F"/>
    <w:rsid w:val="00E43AA2"/>
    <w:rsid w:val="00E4438B"/>
    <w:rsid w:val="00E445DA"/>
    <w:rsid w:val="00E447EE"/>
    <w:rsid w:val="00E45379"/>
    <w:rsid w:val="00E45528"/>
    <w:rsid w:val="00E4659B"/>
    <w:rsid w:val="00E465CB"/>
    <w:rsid w:val="00E46ADE"/>
    <w:rsid w:val="00E472D6"/>
    <w:rsid w:val="00E473F3"/>
    <w:rsid w:val="00E47C0D"/>
    <w:rsid w:val="00E50929"/>
    <w:rsid w:val="00E50A7E"/>
    <w:rsid w:val="00E50B22"/>
    <w:rsid w:val="00E51206"/>
    <w:rsid w:val="00E51D7B"/>
    <w:rsid w:val="00E51E18"/>
    <w:rsid w:val="00E5267D"/>
    <w:rsid w:val="00E52703"/>
    <w:rsid w:val="00E533BD"/>
    <w:rsid w:val="00E5346C"/>
    <w:rsid w:val="00E53706"/>
    <w:rsid w:val="00E53DE8"/>
    <w:rsid w:val="00E55401"/>
    <w:rsid w:val="00E556C7"/>
    <w:rsid w:val="00E55B38"/>
    <w:rsid w:val="00E56663"/>
    <w:rsid w:val="00E576EB"/>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2597"/>
    <w:rsid w:val="00E72967"/>
    <w:rsid w:val="00E74577"/>
    <w:rsid w:val="00E754ED"/>
    <w:rsid w:val="00E75FC0"/>
    <w:rsid w:val="00E76C95"/>
    <w:rsid w:val="00E8071C"/>
    <w:rsid w:val="00E8088F"/>
    <w:rsid w:val="00E809B3"/>
    <w:rsid w:val="00E80D12"/>
    <w:rsid w:val="00E810C4"/>
    <w:rsid w:val="00E8134F"/>
    <w:rsid w:val="00E8155D"/>
    <w:rsid w:val="00E81743"/>
    <w:rsid w:val="00E8302F"/>
    <w:rsid w:val="00E83DF0"/>
    <w:rsid w:val="00E84558"/>
    <w:rsid w:val="00E84A74"/>
    <w:rsid w:val="00E84AD7"/>
    <w:rsid w:val="00E85080"/>
    <w:rsid w:val="00E8538B"/>
    <w:rsid w:val="00E85CC0"/>
    <w:rsid w:val="00E85E1F"/>
    <w:rsid w:val="00E85F96"/>
    <w:rsid w:val="00E86301"/>
    <w:rsid w:val="00E86815"/>
    <w:rsid w:val="00E86A65"/>
    <w:rsid w:val="00E903E6"/>
    <w:rsid w:val="00E90F9D"/>
    <w:rsid w:val="00E911A0"/>
    <w:rsid w:val="00E913DC"/>
    <w:rsid w:val="00E91404"/>
    <w:rsid w:val="00E9199A"/>
    <w:rsid w:val="00E9220A"/>
    <w:rsid w:val="00E93886"/>
    <w:rsid w:val="00E94225"/>
    <w:rsid w:val="00E947EF"/>
    <w:rsid w:val="00E94C22"/>
    <w:rsid w:val="00E95147"/>
    <w:rsid w:val="00E952B4"/>
    <w:rsid w:val="00E95D57"/>
    <w:rsid w:val="00E9661E"/>
    <w:rsid w:val="00E96AB8"/>
    <w:rsid w:val="00E96E1A"/>
    <w:rsid w:val="00EA030F"/>
    <w:rsid w:val="00EA0918"/>
    <w:rsid w:val="00EA0E04"/>
    <w:rsid w:val="00EA220D"/>
    <w:rsid w:val="00EA2594"/>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738"/>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6AF"/>
    <w:rsid w:val="00ED7A42"/>
    <w:rsid w:val="00ED7BDB"/>
    <w:rsid w:val="00EE025F"/>
    <w:rsid w:val="00EE10EF"/>
    <w:rsid w:val="00EE17C8"/>
    <w:rsid w:val="00EE357C"/>
    <w:rsid w:val="00EE527A"/>
    <w:rsid w:val="00EE5898"/>
    <w:rsid w:val="00EE5F2E"/>
    <w:rsid w:val="00EE6773"/>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9C"/>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1F3F"/>
    <w:rsid w:val="00F1282E"/>
    <w:rsid w:val="00F14017"/>
    <w:rsid w:val="00F1602E"/>
    <w:rsid w:val="00F160C8"/>
    <w:rsid w:val="00F1684C"/>
    <w:rsid w:val="00F17435"/>
    <w:rsid w:val="00F17BCE"/>
    <w:rsid w:val="00F20633"/>
    <w:rsid w:val="00F210B8"/>
    <w:rsid w:val="00F21CB5"/>
    <w:rsid w:val="00F228DB"/>
    <w:rsid w:val="00F23316"/>
    <w:rsid w:val="00F2385F"/>
    <w:rsid w:val="00F23B0A"/>
    <w:rsid w:val="00F23CCC"/>
    <w:rsid w:val="00F24527"/>
    <w:rsid w:val="00F24E11"/>
    <w:rsid w:val="00F25CFE"/>
    <w:rsid w:val="00F25E23"/>
    <w:rsid w:val="00F26CBF"/>
    <w:rsid w:val="00F27918"/>
    <w:rsid w:val="00F304E8"/>
    <w:rsid w:val="00F30562"/>
    <w:rsid w:val="00F30C80"/>
    <w:rsid w:val="00F3321F"/>
    <w:rsid w:val="00F34B11"/>
    <w:rsid w:val="00F35243"/>
    <w:rsid w:val="00F35D24"/>
    <w:rsid w:val="00F36E9F"/>
    <w:rsid w:val="00F37F2A"/>
    <w:rsid w:val="00F4004A"/>
    <w:rsid w:val="00F40A86"/>
    <w:rsid w:val="00F40D3A"/>
    <w:rsid w:val="00F40F02"/>
    <w:rsid w:val="00F417A5"/>
    <w:rsid w:val="00F41AEF"/>
    <w:rsid w:val="00F41B19"/>
    <w:rsid w:val="00F41B2F"/>
    <w:rsid w:val="00F420CA"/>
    <w:rsid w:val="00F422A7"/>
    <w:rsid w:val="00F427A1"/>
    <w:rsid w:val="00F42AE8"/>
    <w:rsid w:val="00F43E6E"/>
    <w:rsid w:val="00F43EBF"/>
    <w:rsid w:val="00F44423"/>
    <w:rsid w:val="00F44AB8"/>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709"/>
    <w:rsid w:val="00F568B4"/>
    <w:rsid w:val="00F56B6D"/>
    <w:rsid w:val="00F56CC2"/>
    <w:rsid w:val="00F56F47"/>
    <w:rsid w:val="00F5771A"/>
    <w:rsid w:val="00F60BC0"/>
    <w:rsid w:val="00F617AC"/>
    <w:rsid w:val="00F61B7F"/>
    <w:rsid w:val="00F62370"/>
    <w:rsid w:val="00F628D3"/>
    <w:rsid w:val="00F62D64"/>
    <w:rsid w:val="00F62EF2"/>
    <w:rsid w:val="00F6433D"/>
    <w:rsid w:val="00F64430"/>
    <w:rsid w:val="00F6497E"/>
    <w:rsid w:val="00F64ED1"/>
    <w:rsid w:val="00F66601"/>
    <w:rsid w:val="00F66BD7"/>
    <w:rsid w:val="00F677E2"/>
    <w:rsid w:val="00F705D2"/>
    <w:rsid w:val="00F70C9C"/>
    <w:rsid w:val="00F715EB"/>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0A3"/>
    <w:rsid w:val="00F86130"/>
    <w:rsid w:val="00F871D7"/>
    <w:rsid w:val="00F87607"/>
    <w:rsid w:val="00F87649"/>
    <w:rsid w:val="00F9173A"/>
    <w:rsid w:val="00F91800"/>
    <w:rsid w:val="00F93368"/>
    <w:rsid w:val="00F9341D"/>
    <w:rsid w:val="00F937CF"/>
    <w:rsid w:val="00F93A36"/>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0D0"/>
    <w:rsid w:val="00FA61A8"/>
    <w:rsid w:val="00FA6C31"/>
    <w:rsid w:val="00FA6D2D"/>
    <w:rsid w:val="00FA6F8F"/>
    <w:rsid w:val="00FA7166"/>
    <w:rsid w:val="00FA7358"/>
    <w:rsid w:val="00FA7D57"/>
    <w:rsid w:val="00FB0008"/>
    <w:rsid w:val="00FB071C"/>
    <w:rsid w:val="00FB1557"/>
    <w:rsid w:val="00FB1ACE"/>
    <w:rsid w:val="00FB2144"/>
    <w:rsid w:val="00FB3EA0"/>
    <w:rsid w:val="00FB55F4"/>
    <w:rsid w:val="00FB58D8"/>
    <w:rsid w:val="00FB6548"/>
    <w:rsid w:val="00FB688E"/>
    <w:rsid w:val="00FB6BC8"/>
    <w:rsid w:val="00FB7140"/>
    <w:rsid w:val="00FC0365"/>
    <w:rsid w:val="00FC0B63"/>
    <w:rsid w:val="00FC1226"/>
    <w:rsid w:val="00FC15DA"/>
    <w:rsid w:val="00FC1B7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2A9D"/>
    <w:rsid w:val="00FE3F8B"/>
    <w:rsid w:val="00FE524D"/>
    <w:rsid w:val="00FF05B9"/>
    <w:rsid w:val="00FF05E6"/>
    <w:rsid w:val="00FF08BF"/>
    <w:rsid w:val="00FF0EB1"/>
    <w:rsid w:val="00FF1049"/>
    <w:rsid w:val="00FF156D"/>
    <w:rsid w:val="00FF3529"/>
    <w:rsid w:val="00FF3634"/>
    <w:rsid w:val="00FF3699"/>
    <w:rsid w:val="00FF426B"/>
    <w:rsid w:val="00FF4408"/>
    <w:rsid w:val="00FF456A"/>
    <w:rsid w:val="00FF46FD"/>
    <w:rsid w:val="00FF57A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1D3C3FB"/>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19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character" w:customStyle="1" w:styleId="Mencinsinresolver7">
    <w:name w:val="Mención sin resolver7"/>
    <w:basedOn w:val="Fuentedeprrafopredeter"/>
    <w:uiPriority w:val="99"/>
    <w:semiHidden/>
    <w:unhideWhenUsed/>
    <w:rsid w:val="00A83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datacharter.net/principles-es/"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nfobae.com/america/mexico/2021/07/07/basura-en-coladeras-el-principal-enemigo-del-grupo-tlaloc-el-comando-especial-que-lucha-contra-las-inundaciones-en-edomex/" TargetMode="External"/><Relationship Id="rId17" Type="http://schemas.openxmlformats.org/officeDocument/2006/relationships/hyperlink" Target="https://dof.gob.mx/nota_detalle.php?codigo=706868&amp;fecha=24/11/2004"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yperlink" Target="javascript:AbrirModa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app.conagua.gob.mx/protecciondatospersonales/Contenido.aspx?n1=11&amp;n2=215&amp;n3=456&amp;n4=456" TargetMode="External"/><Relationship Id="rId23" Type="http://schemas.openxmlformats.org/officeDocument/2006/relationships/footer" Target="footer1.xml"/><Relationship Id="rId10" Type="http://schemas.openxmlformats.org/officeDocument/2006/relationships/hyperlink" Target="https://agua.edomex.gob.mx/campamentos-auxili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1E11B-2DAF-4A01-B399-20CB7562F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11314</Words>
  <Characters>62228</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INFOEM568</dc:creator>
  <cp:keywords/>
  <dc:description/>
  <cp:lastModifiedBy>INFOEM</cp:lastModifiedBy>
  <cp:revision>4</cp:revision>
  <cp:lastPrinted>2024-11-22T17:36:00Z</cp:lastPrinted>
  <dcterms:created xsi:type="dcterms:W3CDTF">2024-11-22T17:36:00Z</dcterms:created>
  <dcterms:modified xsi:type="dcterms:W3CDTF">2025-02-05T18:29:00Z</dcterms:modified>
</cp:coreProperties>
</file>