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6AD0" w14:textId="77777777" w:rsidR="00362761" w:rsidRPr="003C50B2" w:rsidRDefault="00F04517">
      <w:pPr>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w:t>
      </w:r>
      <w:r w:rsidR="007A03B2" w:rsidRPr="003C50B2">
        <w:rPr>
          <w:rFonts w:ascii="Palatino Linotype" w:eastAsia="Palatino Linotype" w:hAnsi="Palatino Linotype" w:cs="Palatino Linotype"/>
        </w:rPr>
        <w:t>c, Estado de México, a veintisiete</w:t>
      </w:r>
      <w:r w:rsidRPr="003C50B2">
        <w:rPr>
          <w:rFonts w:ascii="Palatino Linotype" w:eastAsia="Palatino Linotype" w:hAnsi="Palatino Linotype" w:cs="Palatino Linotype"/>
        </w:rPr>
        <w:t xml:space="preserve"> de noviembre de dos mil veinticuatro. </w:t>
      </w:r>
    </w:p>
    <w:p w14:paraId="01F3A0A8" w14:textId="77777777" w:rsidR="00362761" w:rsidRPr="003C50B2" w:rsidRDefault="00F04517">
      <w:pPr>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b/>
        </w:rPr>
        <w:t>VISTO</w:t>
      </w:r>
      <w:r w:rsidRPr="003C50B2">
        <w:rPr>
          <w:rFonts w:ascii="Palatino Linotype" w:eastAsia="Palatino Linotype" w:hAnsi="Palatino Linotype" w:cs="Palatino Linotype"/>
        </w:rPr>
        <w:t xml:space="preserve"> el expediente formado con motivo del recurso de revisión </w:t>
      </w:r>
      <w:r w:rsidR="007A03B2" w:rsidRPr="003C50B2">
        <w:rPr>
          <w:rFonts w:ascii="Palatino Linotype" w:eastAsia="Palatino Linotype" w:hAnsi="Palatino Linotype" w:cs="Palatino Linotype"/>
          <w:b/>
        </w:rPr>
        <w:t>06709</w:t>
      </w:r>
      <w:r w:rsidRPr="003C50B2">
        <w:rPr>
          <w:rFonts w:ascii="Palatino Linotype" w:eastAsia="Palatino Linotype" w:hAnsi="Palatino Linotype" w:cs="Palatino Linotype"/>
          <w:b/>
        </w:rPr>
        <w:t>/INFOEM/IP/RR/2024</w:t>
      </w:r>
      <w:r w:rsidRPr="003C50B2">
        <w:rPr>
          <w:rFonts w:ascii="Palatino Linotype" w:eastAsia="Palatino Linotype" w:hAnsi="Palatino Linotype" w:cs="Palatino Linotype"/>
        </w:rPr>
        <w:t>, interpuesto por</w:t>
      </w:r>
      <w:r w:rsidRPr="003C50B2">
        <w:rPr>
          <w:rFonts w:ascii="Palatino Linotype" w:eastAsia="Palatino Linotype" w:hAnsi="Palatino Linotype" w:cs="Palatino Linotype"/>
          <w:b/>
        </w:rPr>
        <w:t xml:space="preserve"> un particular que no proporcionó su nombre</w:t>
      </w:r>
      <w:r w:rsidRPr="003C50B2">
        <w:rPr>
          <w:rFonts w:ascii="Palatino Linotype" w:eastAsia="Palatino Linotype" w:hAnsi="Palatino Linotype" w:cs="Palatino Linotype"/>
        </w:rPr>
        <w:t xml:space="preserve">, en lo sucesivo la parte </w:t>
      </w:r>
      <w:r w:rsidRPr="003C50B2">
        <w:rPr>
          <w:rFonts w:ascii="Palatino Linotype" w:eastAsia="Palatino Linotype" w:hAnsi="Palatino Linotype" w:cs="Palatino Linotype"/>
          <w:b/>
        </w:rPr>
        <w:t>RECURRENTE,</w:t>
      </w:r>
      <w:r w:rsidRPr="003C50B2">
        <w:rPr>
          <w:rFonts w:ascii="Palatino Linotype" w:eastAsia="Palatino Linotype" w:hAnsi="Palatino Linotype" w:cs="Palatino Linotype"/>
        </w:rPr>
        <w:t xml:space="preserve"> en contra de la respuesta a su solicitud de información con número de </w:t>
      </w:r>
      <w:proofErr w:type="gramStart"/>
      <w:r w:rsidRPr="003C50B2">
        <w:rPr>
          <w:rFonts w:ascii="Palatino Linotype" w:eastAsia="Palatino Linotype" w:hAnsi="Palatino Linotype" w:cs="Palatino Linotype"/>
        </w:rPr>
        <w:t>folio</w:t>
      </w:r>
      <w:r w:rsidRPr="003C50B2">
        <w:rPr>
          <w:rFonts w:ascii="Palatino Linotype" w:eastAsia="Palatino Linotype" w:hAnsi="Palatino Linotype" w:cs="Palatino Linotype"/>
          <w:b/>
        </w:rPr>
        <w:t xml:space="preserve"> </w:t>
      </w:r>
      <w:r w:rsidRPr="003C50B2">
        <w:rPr>
          <w:rFonts w:ascii="Verdana" w:eastAsia="Verdana" w:hAnsi="Verdana" w:cs="Verdana"/>
          <w:b/>
        </w:rPr>
        <w:t> </w:t>
      </w:r>
      <w:r w:rsidR="007A03B2" w:rsidRPr="003C50B2">
        <w:rPr>
          <w:rFonts w:ascii="Palatino Linotype" w:eastAsia="Palatino Linotype" w:hAnsi="Palatino Linotype" w:cs="Palatino Linotype"/>
          <w:b/>
        </w:rPr>
        <w:t>00441</w:t>
      </w:r>
      <w:proofErr w:type="gramEnd"/>
      <w:r w:rsidR="007A03B2" w:rsidRPr="003C50B2">
        <w:rPr>
          <w:rFonts w:ascii="Palatino Linotype" w:eastAsia="Palatino Linotype" w:hAnsi="Palatino Linotype" w:cs="Palatino Linotype"/>
          <w:b/>
        </w:rPr>
        <w:t>/TEMAMATL/IP/2024</w:t>
      </w:r>
      <w:r w:rsidRPr="003C50B2">
        <w:rPr>
          <w:rFonts w:ascii="Palatino Linotype" w:eastAsia="Palatino Linotype" w:hAnsi="Palatino Linotype" w:cs="Palatino Linotype"/>
        </w:rPr>
        <w:t>,</w:t>
      </w:r>
      <w:r w:rsidRPr="003C50B2">
        <w:rPr>
          <w:rFonts w:ascii="Verdana" w:eastAsia="Verdana" w:hAnsi="Verdana" w:cs="Verdana"/>
          <w:b/>
        </w:rPr>
        <w:t xml:space="preserve"> </w:t>
      </w:r>
      <w:r w:rsidRPr="003C50B2">
        <w:rPr>
          <w:rFonts w:ascii="Palatino Linotype" w:eastAsia="Palatino Linotype" w:hAnsi="Palatino Linotype" w:cs="Palatino Linotype"/>
        </w:rPr>
        <w:t xml:space="preserve">por parte del </w:t>
      </w:r>
      <w:r w:rsidRPr="003C50B2">
        <w:rPr>
          <w:rFonts w:ascii="Palatino Linotype" w:eastAsia="Palatino Linotype" w:hAnsi="Palatino Linotype" w:cs="Palatino Linotype"/>
          <w:b/>
        </w:rPr>
        <w:t xml:space="preserve">Ayuntamiento de Temamatla, </w:t>
      </w:r>
      <w:r w:rsidRPr="003C50B2">
        <w:rPr>
          <w:rFonts w:ascii="Palatino Linotype" w:eastAsia="Palatino Linotype" w:hAnsi="Palatino Linotype" w:cs="Palatino Linotype"/>
        </w:rPr>
        <w:t xml:space="preserve">en lo sucesivo el </w:t>
      </w:r>
      <w:r w:rsidRPr="003C50B2">
        <w:rPr>
          <w:rFonts w:ascii="Palatino Linotype" w:eastAsia="Palatino Linotype" w:hAnsi="Palatino Linotype" w:cs="Palatino Linotype"/>
          <w:b/>
        </w:rPr>
        <w:t xml:space="preserve">SUJETO OBLIGADO, </w:t>
      </w:r>
      <w:r w:rsidRPr="003C50B2">
        <w:rPr>
          <w:rFonts w:ascii="Palatino Linotype" w:eastAsia="Palatino Linotype" w:hAnsi="Palatino Linotype" w:cs="Palatino Linotype"/>
        </w:rPr>
        <w:t xml:space="preserve">se procede a dictar la presente resolución con base en los siguientes: </w:t>
      </w:r>
    </w:p>
    <w:p w14:paraId="7A670081" w14:textId="77777777" w:rsidR="00362761" w:rsidRPr="003C50B2" w:rsidRDefault="00F04517">
      <w:pPr>
        <w:spacing w:before="240" w:after="240" w:line="360" w:lineRule="auto"/>
        <w:jc w:val="center"/>
        <w:rPr>
          <w:rFonts w:ascii="Palatino Linotype" w:eastAsia="Palatino Linotype" w:hAnsi="Palatino Linotype" w:cs="Palatino Linotype"/>
          <w:b/>
        </w:rPr>
      </w:pPr>
      <w:r w:rsidRPr="003C50B2">
        <w:rPr>
          <w:rFonts w:ascii="Palatino Linotype" w:eastAsia="Palatino Linotype" w:hAnsi="Palatino Linotype" w:cs="Palatino Linotype"/>
          <w:b/>
        </w:rPr>
        <w:t>I. A N T E C E D E N T E S</w:t>
      </w:r>
    </w:p>
    <w:p w14:paraId="5C8B4CE6" w14:textId="77777777" w:rsidR="00362761" w:rsidRPr="003C50B2" w:rsidRDefault="00F04517">
      <w:pPr>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b/>
        </w:rPr>
        <w:t>1. Solicitud de acceso a la información.</w:t>
      </w:r>
      <w:r w:rsidRPr="003C50B2">
        <w:rPr>
          <w:rFonts w:ascii="Palatino Linotype" w:eastAsia="Palatino Linotype" w:hAnsi="Palatino Linotype" w:cs="Palatino Linotype"/>
        </w:rPr>
        <w:t xml:space="preserve"> Con fecha </w:t>
      </w:r>
      <w:r w:rsidR="007A03B2" w:rsidRPr="003C50B2">
        <w:rPr>
          <w:rFonts w:ascii="Palatino Linotype" w:eastAsia="Palatino Linotype" w:hAnsi="Palatino Linotype" w:cs="Palatino Linotype"/>
          <w:b/>
        </w:rPr>
        <w:t>dos de octubre</w:t>
      </w:r>
      <w:r w:rsidRPr="003C50B2">
        <w:rPr>
          <w:rFonts w:ascii="Palatino Linotype" w:eastAsia="Palatino Linotype" w:hAnsi="Palatino Linotype" w:cs="Palatino Linotype"/>
          <w:b/>
        </w:rPr>
        <w:t xml:space="preserve"> de dos mil veinticuatro,</w:t>
      </w:r>
      <w:r w:rsidRPr="003C50B2">
        <w:rPr>
          <w:rFonts w:ascii="Palatino Linotype" w:eastAsia="Palatino Linotype" w:hAnsi="Palatino Linotype" w:cs="Palatino Linotype"/>
        </w:rPr>
        <w:t xml:space="preserve"> la parte </w:t>
      </w:r>
      <w:r w:rsidRPr="003C50B2">
        <w:rPr>
          <w:rFonts w:ascii="Palatino Linotype" w:eastAsia="Palatino Linotype" w:hAnsi="Palatino Linotype" w:cs="Palatino Linotype"/>
          <w:b/>
        </w:rPr>
        <w:t xml:space="preserve">RECURRENTE </w:t>
      </w:r>
      <w:r w:rsidRPr="003C50B2">
        <w:rPr>
          <w:rFonts w:ascii="Palatino Linotype" w:eastAsia="Palatino Linotype" w:hAnsi="Palatino Linotype" w:cs="Palatino Linotype"/>
        </w:rPr>
        <w:t xml:space="preserve">presentó, a través del Sistema de Acceso a la Información Mexiquense, en lo subsecuente el </w:t>
      </w:r>
      <w:r w:rsidRPr="003C50B2">
        <w:rPr>
          <w:rFonts w:ascii="Palatino Linotype" w:eastAsia="Palatino Linotype" w:hAnsi="Palatino Linotype" w:cs="Palatino Linotype"/>
          <w:b/>
        </w:rPr>
        <w:t>SAIMEX,</w:t>
      </w:r>
      <w:r w:rsidRPr="003C50B2">
        <w:rPr>
          <w:rFonts w:ascii="Palatino Linotype" w:eastAsia="Palatino Linotype" w:hAnsi="Palatino Linotype" w:cs="Palatino Linotype"/>
        </w:rPr>
        <w:t xml:space="preserve"> ante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la solicitud de acceso a la información pública, a la que se le asignó el </w:t>
      </w:r>
      <w:proofErr w:type="gramStart"/>
      <w:r w:rsidRPr="003C50B2">
        <w:rPr>
          <w:rFonts w:ascii="Palatino Linotype" w:eastAsia="Palatino Linotype" w:hAnsi="Palatino Linotype" w:cs="Palatino Linotype"/>
        </w:rPr>
        <w:t>número</w:t>
      </w:r>
      <w:r w:rsidRPr="003C50B2">
        <w:rPr>
          <w:rFonts w:ascii="Palatino Linotype" w:eastAsia="Palatino Linotype" w:hAnsi="Palatino Linotype" w:cs="Palatino Linotype"/>
          <w:b/>
        </w:rPr>
        <w:t xml:space="preserve"> </w:t>
      </w:r>
      <w:r w:rsidRPr="003C50B2">
        <w:rPr>
          <w:rFonts w:ascii="Verdana" w:eastAsia="Verdana" w:hAnsi="Verdana" w:cs="Verdana"/>
          <w:b/>
        </w:rPr>
        <w:t> </w:t>
      </w:r>
      <w:r w:rsidR="007A03B2" w:rsidRPr="003C50B2">
        <w:rPr>
          <w:rFonts w:ascii="Palatino Linotype" w:eastAsia="Palatino Linotype" w:hAnsi="Palatino Linotype" w:cs="Palatino Linotype"/>
          <w:b/>
        </w:rPr>
        <w:t>00441</w:t>
      </w:r>
      <w:proofErr w:type="gramEnd"/>
      <w:r w:rsidR="007A03B2" w:rsidRPr="003C50B2">
        <w:rPr>
          <w:rFonts w:ascii="Palatino Linotype" w:eastAsia="Palatino Linotype" w:hAnsi="Palatino Linotype" w:cs="Palatino Linotype"/>
          <w:b/>
        </w:rPr>
        <w:t>/TEMAMATL/IP/2024</w:t>
      </w:r>
      <w:r w:rsidRPr="003C50B2">
        <w:rPr>
          <w:rFonts w:ascii="Palatino Linotype" w:eastAsia="Palatino Linotype" w:hAnsi="Palatino Linotype" w:cs="Palatino Linotype"/>
          <w:b/>
        </w:rPr>
        <w:t xml:space="preserve">, </w:t>
      </w:r>
      <w:r w:rsidRPr="003C50B2">
        <w:rPr>
          <w:rFonts w:ascii="Palatino Linotype" w:eastAsia="Palatino Linotype" w:hAnsi="Palatino Linotype" w:cs="Palatino Linotype"/>
        </w:rPr>
        <w:t xml:space="preserve">mediante la cual requirió la información siguiente: </w:t>
      </w:r>
    </w:p>
    <w:p w14:paraId="67120405" w14:textId="77777777" w:rsidR="00362761" w:rsidRPr="003C50B2" w:rsidRDefault="00F04517">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3C50B2">
        <w:rPr>
          <w:rFonts w:ascii="Palatino Linotype" w:eastAsia="Palatino Linotype" w:hAnsi="Palatino Linotype" w:cs="Palatino Linotype"/>
          <w:i/>
          <w:sz w:val="22"/>
          <w:szCs w:val="22"/>
        </w:rPr>
        <w:t>“</w:t>
      </w:r>
      <w:r w:rsidR="007A03B2" w:rsidRPr="003C50B2">
        <w:rPr>
          <w:rFonts w:ascii="Palatino Linotype" w:eastAsia="Palatino Linotype" w:hAnsi="Palatino Linotype" w:cs="Palatino Linotype"/>
          <w:i/>
          <w:sz w:val="22"/>
          <w:szCs w:val="22"/>
        </w:rPr>
        <w:t>Todas las actas de todas y cada una de las sesiones realizadas durante la administración 2022 2024 del comité de desarrollo urbano</w:t>
      </w:r>
      <w:r w:rsidRPr="003C50B2">
        <w:rPr>
          <w:rFonts w:ascii="Palatino Linotype" w:eastAsia="Palatino Linotype" w:hAnsi="Palatino Linotype" w:cs="Palatino Linotype"/>
          <w:i/>
          <w:sz w:val="22"/>
          <w:szCs w:val="22"/>
        </w:rPr>
        <w:t>” (Sic)</w:t>
      </w:r>
    </w:p>
    <w:p w14:paraId="3931264F" w14:textId="77777777" w:rsidR="00362761" w:rsidRPr="003C50B2" w:rsidRDefault="00362761">
      <w:pPr>
        <w:spacing w:before="240"/>
        <w:ind w:left="851" w:right="902"/>
        <w:jc w:val="both"/>
        <w:rPr>
          <w:rFonts w:ascii="Palatino Linotype" w:eastAsia="Palatino Linotype" w:hAnsi="Palatino Linotype" w:cs="Palatino Linotype"/>
          <w:i/>
          <w:sz w:val="22"/>
          <w:szCs w:val="22"/>
        </w:rPr>
      </w:pPr>
    </w:p>
    <w:p w14:paraId="2D976D28"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b/>
        </w:rPr>
        <w:t>Modalidad de Entrega:</w:t>
      </w:r>
      <w:r w:rsidRPr="003C50B2">
        <w:rPr>
          <w:rFonts w:ascii="Palatino Linotype" w:eastAsia="Palatino Linotype" w:hAnsi="Palatino Linotype" w:cs="Palatino Linotype"/>
        </w:rPr>
        <w:t xml:space="preserve"> A través de SAIMEX.</w:t>
      </w:r>
    </w:p>
    <w:p w14:paraId="254363CF" w14:textId="77777777" w:rsidR="00362761" w:rsidRPr="003C50B2" w:rsidRDefault="00362761">
      <w:pPr>
        <w:spacing w:line="360" w:lineRule="auto"/>
        <w:jc w:val="both"/>
        <w:rPr>
          <w:rFonts w:ascii="Palatino Linotype" w:eastAsia="Palatino Linotype" w:hAnsi="Palatino Linotype" w:cs="Palatino Linotype"/>
        </w:rPr>
      </w:pPr>
    </w:p>
    <w:p w14:paraId="2558D298" w14:textId="77777777" w:rsidR="00362761" w:rsidRPr="003C50B2" w:rsidRDefault="00F04517">
      <w:pPr>
        <w:spacing w:after="240" w:line="360" w:lineRule="auto"/>
        <w:jc w:val="both"/>
        <w:rPr>
          <w:rFonts w:ascii="Palatino Linotype" w:eastAsia="Palatino Linotype" w:hAnsi="Palatino Linotype" w:cs="Palatino Linotype"/>
          <w:b/>
        </w:rPr>
      </w:pPr>
      <w:r w:rsidRPr="003C50B2">
        <w:rPr>
          <w:rFonts w:ascii="Palatino Linotype" w:eastAsia="Palatino Linotype" w:hAnsi="Palatino Linotype" w:cs="Palatino Linotype"/>
          <w:b/>
        </w:rPr>
        <w:lastRenderedPageBreak/>
        <w:t xml:space="preserve">2. Respuesta. </w:t>
      </w:r>
      <w:r w:rsidRPr="003C50B2">
        <w:rPr>
          <w:rFonts w:ascii="Palatino Linotype" w:eastAsia="Palatino Linotype" w:hAnsi="Palatino Linotype" w:cs="Palatino Linotype"/>
        </w:rPr>
        <w:t xml:space="preserve">Con fecha </w:t>
      </w:r>
      <w:r w:rsidR="007A03B2" w:rsidRPr="003C50B2">
        <w:rPr>
          <w:rFonts w:ascii="Palatino Linotype" w:eastAsia="Palatino Linotype" w:hAnsi="Palatino Linotype" w:cs="Palatino Linotype"/>
          <w:b/>
        </w:rPr>
        <w:t>veintidós</w:t>
      </w:r>
      <w:r w:rsidRPr="003C50B2">
        <w:rPr>
          <w:rFonts w:ascii="Palatino Linotype" w:eastAsia="Palatino Linotype" w:hAnsi="Palatino Linotype" w:cs="Palatino Linotype"/>
          <w:b/>
        </w:rPr>
        <w:t xml:space="preserve"> de octubre de dos mil veinticuatro</w:t>
      </w:r>
      <w:r w:rsidRPr="003C50B2">
        <w:rPr>
          <w:rFonts w:ascii="Palatino Linotype" w:eastAsia="Palatino Linotype" w:hAnsi="Palatino Linotype" w:cs="Palatino Linotype"/>
        </w:rPr>
        <w:t xml:space="preserve">, el </w:t>
      </w:r>
      <w:r w:rsidRPr="003C50B2">
        <w:rPr>
          <w:rFonts w:ascii="Palatino Linotype" w:eastAsia="Palatino Linotype" w:hAnsi="Palatino Linotype" w:cs="Palatino Linotype"/>
          <w:b/>
        </w:rPr>
        <w:t xml:space="preserve">SUJETO OBLIGADO </w:t>
      </w:r>
      <w:r w:rsidRPr="003C50B2">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B93D541" w14:textId="77777777" w:rsidR="00362761" w:rsidRPr="003C50B2" w:rsidRDefault="00F04517">
      <w:pPr>
        <w:spacing w:before="240" w:after="24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r w:rsidR="007A03B2" w:rsidRPr="003C50B2">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w:t>
      </w:r>
      <w:r w:rsidR="007A03B2" w:rsidRPr="003C50B2">
        <w:rPr>
          <w:rFonts w:ascii="Palatino Linotype" w:eastAsia="Palatino Linotype" w:hAnsi="Palatino Linotype" w:cs="Palatino Linotype"/>
          <w:i/>
          <w:sz w:val="22"/>
          <w:szCs w:val="22"/>
        </w:rPr>
        <w:lastRenderedPageBreak/>
        <w:t>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sidRPr="003C50B2">
        <w:rPr>
          <w:rFonts w:ascii="Palatino Linotype" w:eastAsia="Palatino Linotype" w:hAnsi="Palatino Linotype" w:cs="Palatino Linotype"/>
          <w:i/>
          <w:sz w:val="22"/>
          <w:szCs w:val="22"/>
        </w:rPr>
        <w:t>...” (Sic)</w:t>
      </w:r>
    </w:p>
    <w:p w14:paraId="5168F5C1" w14:textId="77777777" w:rsidR="00362761" w:rsidRPr="003C50B2" w:rsidRDefault="00F04517">
      <w:pPr>
        <w:spacing w:before="240" w:after="240" w:line="360" w:lineRule="auto"/>
        <w:ind w:right="49"/>
        <w:jc w:val="both"/>
        <w:rPr>
          <w:rFonts w:ascii="Palatino Linotype" w:eastAsia="Palatino Linotype" w:hAnsi="Palatino Linotype" w:cs="Palatino Linotype"/>
          <w:b/>
        </w:rPr>
      </w:pPr>
      <w:r w:rsidRPr="003C50B2">
        <w:rPr>
          <w:rFonts w:ascii="Palatino Linotype" w:eastAsia="Palatino Linotype" w:hAnsi="Palatino Linotype" w:cs="Palatino Linotype"/>
          <w:b/>
        </w:rPr>
        <w:t>El SUJETO OBLIGADO, adjuntó a su respuesta los siguientes archivos electrónicos:</w:t>
      </w:r>
    </w:p>
    <w:p w14:paraId="42A8D078" w14:textId="77777777" w:rsidR="00362761" w:rsidRPr="003C50B2" w:rsidRDefault="00F04517">
      <w:pPr>
        <w:spacing w:before="240" w:after="240" w:line="360" w:lineRule="auto"/>
        <w:ind w:right="49"/>
        <w:jc w:val="both"/>
        <w:rPr>
          <w:rFonts w:ascii="Palatino Linotype" w:eastAsia="Palatino Linotype" w:hAnsi="Palatino Linotype" w:cs="Palatino Linotype"/>
        </w:rPr>
      </w:pPr>
      <w:r w:rsidRPr="003C50B2">
        <w:rPr>
          <w:rFonts w:ascii="Palatino Linotype" w:eastAsia="Palatino Linotype" w:hAnsi="Palatino Linotype" w:cs="Palatino Linotype"/>
        </w:rPr>
        <w:t>“</w:t>
      </w:r>
      <w:proofErr w:type="spellStart"/>
      <w:r w:rsidR="000C3ED4">
        <w:fldChar w:fldCharType="begin"/>
      </w:r>
      <w:r w:rsidR="000C3ED4">
        <w:instrText xml:space="preserve"> HYPERLINK "https://saimex.org.mx/saimex/solicitud/downloadAttach/2253604.page" \t "_blank" </w:instrText>
      </w:r>
      <w:r w:rsidR="000C3ED4">
        <w:fldChar w:fldCharType="separate"/>
      </w:r>
      <w:r w:rsidR="007A03B2" w:rsidRPr="003C50B2">
        <w:rPr>
          <w:rFonts w:ascii="Palatino Linotype" w:eastAsia="Palatino Linotype" w:hAnsi="Palatino Linotype" w:cs="Palatino Linotype"/>
        </w:rPr>
        <w:t>contestacion</w:t>
      </w:r>
      <w:proofErr w:type="spellEnd"/>
      <w:r w:rsidR="007A03B2" w:rsidRPr="003C50B2">
        <w:rPr>
          <w:rFonts w:ascii="Palatino Linotype" w:eastAsia="Palatino Linotype" w:hAnsi="Palatino Linotype" w:cs="Palatino Linotype"/>
        </w:rPr>
        <w:t xml:space="preserve"> 00441.2024.pdf</w:t>
      </w:r>
      <w:r w:rsidR="000C3ED4">
        <w:rPr>
          <w:rFonts w:ascii="Palatino Linotype" w:eastAsia="Palatino Linotype" w:hAnsi="Palatino Linotype" w:cs="Palatino Linotype"/>
        </w:rPr>
        <w:fldChar w:fldCharType="end"/>
      </w:r>
      <w:r w:rsidRPr="003C50B2">
        <w:rPr>
          <w:rFonts w:ascii="Palatino Linotype" w:eastAsia="Palatino Linotype" w:hAnsi="Palatino Linotype" w:cs="Palatino Linotype"/>
        </w:rPr>
        <w:t>”, el cual co</w:t>
      </w:r>
      <w:r w:rsidR="007A03B2" w:rsidRPr="003C50B2">
        <w:rPr>
          <w:rFonts w:ascii="Palatino Linotype" w:eastAsia="Palatino Linotype" w:hAnsi="Palatino Linotype" w:cs="Palatino Linotype"/>
        </w:rPr>
        <w:t>ntiene el oficio número DDUYE/095</w:t>
      </w:r>
      <w:r w:rsidRPr="003C50B2">
        <w:rPr>
          <w:rFonts w:ascii="Palatino Linotype" w:eastAsia="Palatino Linotype" w:hAnsi="Palatino Linotype" w:cs="Palatino Linotype"/>
        </w:rPr>
        <w:t xml:space="preserve">/2024, por medio del cual la Dirección </w:t>
      </w:r>
      <w:r w:rsidR="008A4E05" w:rsidRPr="003C50B2">
        <w:rPr>
          <w:rFonts w:ascii="Palatino Linotype" w:eastAsia="Palatino Linotype" w:hAnsi="Palatino Linotype" w:cs="Palatino Linotype"/>
        </w:rPr>
        <w:t>de Desarrollo Urbano y Ecología</w:t>
      </w:r>
      <w:r w:rsidRPr="003C50B2">
        <w:rPr>
          <w:rFonts w:ascii="Palatino Linotype" w:eastAsia="Palatino Linotype" w:hAnsi="Palatino Linotype" w:cs="Palatino Linotype"/>
        </w:rPr>
        <w:t>, informó al Titular de la Unidad de Transparencia y Acceso a la Información Pública, la contesta</w:t>
      </w:r>
      <w:r w:rsidR="008A4E05" w:rsidRPr="003C50B2">
        <w:rPr>
          <w:rFonts w:ascii="Palatino Linotype" w:eastAsia="Palatino Linotype" w:hAnsi="Palatino Linotype" w:cs="Palatino Linotype"/>
        </w:rPr>
        <w:t>ción a la solicitud número 00441</w:t>
      </w:r>
      <w:r w:rsidRPr="003C50B2">
        <w:rPr>
          <w:rFonts w:ascii="Palatino Linotype" w:eastAsia="Palatino Linotype" w:hAnsi="Palatino Linotype" w:cs="Palatino Linotype"/>
        </w:rPr>
        <w:t xml:space="preserve">/TEMAMATL/IP/2024, a través de la cual propone la consulta directa </w:t>
      </w:r>
      <w:r w:rsidR="008A4E05" w:rsidRPr="003C50B2">
        <w:rPr>
          <w:rFonts w:ascii="Palatino Linotype" w:eastAsia="Palatino Linotype" w:hAnsi="Palatino Linotype" w:cs="Palatino Linotype"/>
        </w:rPr>
        <w:t xml:space="preserve">ya que por cuestiones de la entrega-recepción que se aproxima para culminar el periodo 2022-2024, </w:t>
      </w:r>
      <w:r w:rsidR="008A4E05" w:rsidRPr="003C50B2">
        <w:rPr>
          <w:rFonts w:ascii="Palatino Linotype" w:eastAsia="Palatino Linotype" w:hAnsi="Palatino Linotype" w:cs="Palatino Linotype"/>
          <w:b/>
        </w:rPr>
        <w:t xml:space="preserve">su tiempo y atención está enfocado a ello y al no contar con el personal auxiliar que le apoye en la búsqueda de dichas actas se le imposibilita darle dicha información en físico, </w:t>
      </w:r>
      <w:r w:rsidR="008A4E05" w:rsidRPr="003C50B2">
        <w:rPr>
          <w:rFonts w:ascii="Palatino Linotype" w:eastAsia="Palatino Linotype" w:hAnsi="Palatino Linotype" w:cs="Palatino Linotype"/>
        </w:rPr>
        <w:t xml:space="preserve">en términos de los fundamentos legales y motivos que señaló. </w:t>
      </w:r>
    </w:p>
    <w:p w14:paraId="61525FE3" w14:textId="77777777" w:rsidR="008A4E05" w:rsidRPr="003C50B2" w:rsidRDefault="008A4E05">
      <w:pPr>
        <w:spacing w:before="240" w:after="240" w:line="360" w:lineRule="auto"/>
        <w:ind w:right="49"/>
        <w:jc w:val="both"/>
        <w:rPr>
          <w:rFonts w:ascii="Palatino Linotype" w:eastAsia="Palatino Linotype" w:hAnsi="Palatino Linotype" w:cs="Palatino Linotype"/>
        </w:rPr>
      </w:pPr>
    </w:p>
    <w:p w14:paraId="30356E91" w14:textId="77777777" w:rsidR="00362761" w:rsidRPr="003C50B2" w:rsidRDefault="00F04517">
      <w:pPr>
        <w:spacing w:before="240" w:after="240" w:line="360" w:lineRule="auto"/>
        <w:ind w:right="49"/>
        <w:jc w:val="both"/>
        <w:rPr>
          <w:rFonts w:ascii="Palatino Linotype" w:eastAsia="Palatino Linotype" w:hAnsi="Palatino Linotype" w:cs="Palatino Linotype"/>
        </w:rPr>
      </w:pPr>
      <w:r w:rsidRPr="003C50B2">
        <w:rPr>
          <w:rFonts w:ascii="Palatino Linotype" w:eastAsia="Palatino Linotype" w:hAnsi="Palatino Linotype" w:cs="Palatino Linotype"/>
        </w:rPr>
        <w:lastRenderedPageBreak/>
        <w:t xml:space="preserve"> “</w:t>
      </w:r>
      <w:hyperlink r:id="rId8">
        <w:r w:rsidRPr="003C50B2">
          <w:rPr>
            <w:rFonts w:ascii="Palatino Linotype" w:eastAsia="Palatino Linotype" w:hAnsi="Palatino Linotype" w:cs="Palatino Linotype"/>
          </w:rPr>
          <w:t>ACTA 84.pdf</w:t>
        </w:r>
      </w:hyperlink>
      <w:r w:rsidRPr="003C50B2">
        <w:rPr>
          <w:rFonts w:ascii="Palatino Linotype" w:eastAsia="Palatino Linotype" w:hAnsi="Palatino Linotype" w:cs="Palatino Linotype"/>
        </w:rPr>
        <w:t>”, el cual contiene el acta de la Octogésima Cuarta sesión ordinaria del Comité de Transparencia del Ayuntamiento de Temamatla, a través del cual aprobó el acuerdo número ACT/TEMA/UTAIP/ORDINARIA/84/2024/PRIMERO</w:t>
      </w:r>
      <w:r w:rsidR="008A4E05" w:rsidRPr="003C50B2">
        <w:rPr>
          <w:rFonts w:ascii="Palatino Linotype" w:eastAsia="Palatino Linotype" w:hAnsi="Palatino Linotype" w:cs="Palatino Linotype"/>
        </w:rPr>
        <w:t>, correspondiente a la aprobación</w:t>
      </w:r>
      <w:r w:rsidRPr="003C50B2">
        <w:rPr>
          <w:rFonts w:ascii="Palatino Linotype" w:eastAsia="Palatino Linotype" w:hAnsi="Palatino Linotype" w:cs="Palatino Linotype"/>
        </w:rPr>
        <w:t xml:space="preserve"> del cambio de modalidad de entrega de diversas solicitudes de información pública, </w:t>
      </w:r>
      <w:r w:rsidR="008A4E05" w:rsidRPr="003C50B2">
        <w:rPr>
          <w:rFonts w:ascii="Palatino Linotype" w:eastAsia="Palatino Linotype" w:hAnsi="Palatino Linotype" w:cs="Palatino Linotype"/>
        </w:rPr>
        <w:t>sin que se observe que se haya sometido a consideración del Comité la solicitud número 00441/TEMAMATL/IP/2024, para el cambio de modalidad a consulta directa propuesto por el Director de Desarrollo Urbano y Ecología del Ayuntamiento de Temamatla.</w:t>
      </w:r>
    </w:p>
    <w:p w14:paraId="0CDF881F" w14:textId="77777777" w:rsidR="00362761" w:rsidRPr="003C50B2" w:rsidRDefault="00F04517">
      <w:pPr>
        <w:spacing w:before="240" w:after="240" w:line="360" w:lineRule="auto"/>
        <w:ind w:right="49"/>
        <w:jc w:val="both"/>
        <w:rPr>
          <w:rFonts w:ascii="Palatino Linotype" w:eastAsia="Palatino Linotype" w:hAnsi="Palatino Linotype" w:cs="Palatino Linotype"/>
        </w:rPr>
      </w:pPr>
      <w:bookmarkStart w:id="1" w:name="_heading=h.3znysh7" w:colFirst="0" w:colLast="0"/>
      <w:bookmarkEnd w:id="1"/>
      <w:r w:rsidRPr="003C50B2">
        <w:rPr>
          <w:rFonts w:ascii="Palatino Linotype" w:eastAsia="Palatino Linotype" w:hAnsi="Palatino Linotype" w:cs="Palatino Linotype"/>
          <w:b/>
        </w:rPr>
        <w:t xml:space="preserve">3. Interposición del recurso de revisión. </w:t>
      </w:r>
      <w:r w:rsidRPr="003C50B2">
        <w:rPr>
          <w:rFonts w:ascii="Palatino Linotype" w:eastAsia="Palatino Linotype" w:hAnsi="Palatino Linotype" w:cs="Palatino Linotype"/>
        </w:rPr>
        <w:t xml:space="preserve">Inconforme con los términos de la respuesta emitida por parte del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el </w:t>
      </w:r>
      <w:r w:rsidR="00E646B0" w:rsidRPr="003C50B2">
        <w:rPr>
          <w:rFonts w:ascii="Palatino Linotype" w:eastAsia="Palatino Linotype" w:hAnsi="Palatino Linotype" w:cs="Palatino Linotype"/>
          <w:b/>
        </w:rPr>
        <w:t>veintiocho</w:t>
      </w:r>
      <w:r w:rsidRPr="003C50B2">
        <w:rPr>
          <w:rFonts w:ascii="Palatino Linotype" w:eastAsia="Palatino Linotype" w:hAnsi="Palatino Linotype" w:cs="Palatino Linotype"/>
          <w:b/>
        </w:rPr>
        <w:t xml:space="preserve"> de octubre del dos mil veinticuatro,</w:t>
      </w:r>
      <w:r w:rsidRPr="003C50B2">
        <w:rPr>
          <w:rFonts w:ascii="Palatino Linotype" w:eastAsia="Palatino Linotype" w:hAnsi="Palatino Linotype" w:cs="Palatino Linotype"/>
        </w:rPr>
        <w:t xml:space="preserve"> la parte recurrente interpuso el recurso de revisión a través de </w:t>
      </w:r>
      <w:r w:rsidRPr="003C50B2">
        <w:rPr>
          <w:rFonts w:ascii="Palatino Linotype" w:eastAsia="Palatino Linotype" w:hAnsi="Palatino Linotype" w:cs="Palatino Linotype"/>
          <w:b/>
        </w:rPr>
        <w:t xml:space="preserve">SAIMEX, </w:t>
      </w:r>
      <w:r w:rsidRPr="003C50B2">
        <w:rPr>
          <w:rFonts w:ascii="Palatino Linotype" w:eastAsia="Palatino Linotype" w:hAnsi="Palatino Linotype" w:cs="Palatino Linotype"/>
        </w:rPr>
        <w:t>en donde se manifestó de la siguiente manera:</w:t>
      </w:r>
    </w:p>
    <w:p w14:paraId="7675BFC3" w14:textId="77777777" w:rsidR="00362761" w:rsidRPr="003C50B2" w:rsidRDefault="00F04517">
      <w:pPr>
        <w:tabs>
          <w:tab w:val="left" w:pos="2745"/>
        </w:tabs>
        <w:spacing w:before="240" w:after="240" w:line="360" w:lineRule="auto"/>
        <w:jc w:val="both"/>
        <w:rPr>
          <w:rFonts w:ascii="Palatino Linotype" w:eastAsia="Palatino Linotype" w:hAnsi="Palatino Linotype" w:cs="Palatino Linotype"/>
          <w:b/>
        </w:rPr>
      </w:pPr>
      <w:r w:rsidRPr="003C50B2">
        <w:rPr>
          <w:rFonts w:ascii="Palatino Linotype" w:eastAsia="Palatino Linotype" w:hAnsi="Palatino Linotype" w:cs="Palatino Linotype"/>
          <w:b/>
        </w:rPr>
        <w:t xml:space="preserve">Acto impugnado: </w:t>
      </w:r>
      <w:r w:rsidRPr="003C50B2">
        <w:rPr>
          <w:rFonts w:ascii="Palatino Linotype" w:eastAsia="Palatino Linotype" w:hAnsi="Palatino Linotype" w:cs="Palatino Linotype"/>
          <w:b/>
        </w:rPr>
        <w:tab/>
      </w:r>
    </w:p>
    <w:p w14:paraId="1E4A8604" w14:textId="77777777" w:rsidR="00362761" w:rsidRPr="003C50B2" w:rsidRDefault="00F04517">
      <w:pPr>
        <w:spacing w:line="360" w:lineRule="auto"/>
        <w:ind w:left="851" w:right="900"/>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“RESPUESTA OTORGADA” (Sic)</w:t>
      </w:r>
    </w:p>
    <w:p w14:paraId="2C0409C4"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b/>
        </w:rPr>
        <w:t>Y Razones o motivos de inconformidad</w:t>
      </w:r>
      <w:r w:rsidRPr="003C50B2">
        <w:rPr>
          <w:rFonts w:ascii="Palatino Linotype" w:eastAsia="Palatino Linotype" w:hAnsi="Palatino Linotype" w:cs="Palatino Linotype"/>
        </w:rPr>
        <w:t>:</w:t>
      </w:r>
    </w:p>
    <w:p w14:paraId="31F77487" w14:textId="77777777" w:rsidR="00362761" w:rsidRPr="003C50B2" w:rsidRDefault="00F04517">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3C50B2">
        <w:rPr>
          <w:rFonts w:ascii="Palatino Linotype" w:eastAsia="Palatino Linotype" w:hAnsi="Palatino Linotype" w:cs="Palatino Linotype"/>
          <w:i/>
          <w:sz w:val="22"/>
          <w:szCs w:val="22"/>
        </w:rPr>
        <w:t xml:space="preserve"> “</w:t>
      </w:r>
      <w:r w:rsidR="00E646B0" w:rsidRPr="003C50B2">
        <w:rPr>
          <w:rFonts w:ascii="Palatino Linotype" w:eastAsia="Palatino Linotype" w:hAnsi="Palatino Linotype" w:cs="Palatino Linotype"/>
          <w:i/>
          <w:sz w:val="22"/>
          <w:szCs w:val="22"/>
        </w:rPr>
        <w:t xml:space="preserve">EL SUJETO OBLIGADO MANIFIESTA QUE LA ENTREGA DE INFORMACION SERA MEDIANTE CONSULTA DIRECTA EN UNA FECHA Y UN HORARIO IGUAL AL ESTABLECIDO EN LAS SOLICITUDES 438, 441, 442, 445, 446, 448, 449, 450, 451, 452, 454, 455, 456, 458, 459, 460, 461, 462, 463, 464, 465, 466, 467, 468, 470, 471, 472, 473, 474, 480, 481, 482, 483, 493, 498, 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w:t>
      </w:r>
      <w:r w:rsidR="00E646B0" w:rsidRPr="003C50B2">
        <w:rPr>
          <w:rFonts w:ascii="Palatino Linotype" w:eastAsia="Palatino Linotype" w:hAnsi="Palatino Linotype" w:cs="Palatino Linotype"/>
          <w:i/>
          <w:sz w:val="22"/>
          <w:szCs w:val="22"/>
        </w:rPr>
        <w:lastRenderedPageBreak/>
        <w:t>ESTADO DE MEXICO, DEMOSTRANDO DE MANERA RECURRENTE QUE EL SUJETO OBLIGADO ENTORPESE EL DERECHO AL ACCESO DE LA INFORMACION SOLICITADA, POR LO QUE SOLICITO QUE LA INFORMACION SEA ENTREGADA A TRAVES DE ESTA PLATAFORMA EL SUJETO OBLIGADO MANIFIESTA LA INEXISTENCIA DE LA INFORMACION, SIN ADJUNTAR EL ACTA DEL COMITE DE TRANSPARENCIA QUE HAYA VERIFICADO Y AUTORIZADO ESTE SUPUESTO</w:t>
      </w:r>
      <w:r w:rsidRPr="003C50B2">
        <w:rPr>
          <w:rFonts w:ascii="Palatino Linotype" w:eastAsia="Palatino Linotype" w:hAnsi="Palatino Linotype" w:cs="Palatino Linotype"/>
          <w:i/>
          <w:sz w:val="22"/>
          <w:szCs w:val="22"/>
        </w:rPr>
        <w:t>” (Sic)</w:t>
      </w:r>
    </w:p>
    <w:p w14:paraId="7D3E2E17" w14:textId="77777777" w:rsidR="00362761" w:rsidRPr="003C50B2" w:rsidRDefault="00362761">
      <w:pPr>
        <w:ind w:left="851" w:right="902"/>
        <w:jc w:val="both"/>
        <w:rPr>
          <w:rFonts w:ascii="Palatino Linotype" w:eastAsia="Palatino Linotype" w:hAnsi="Palatino Linotype" w:cs="Palatino Linotype"/>
          <w:i/>
          <w:sz w:val="22"/>
          <w:szCs w:val="22"/>
        </w:rPr>
      </w:pPr>
    </w:p>
    <w:p w14:paraId="557B1A65" w14:textId="77777777" w:rsidR="00362761" w:rsidRPr="003C50B2" w:rsidRDefault="00F04517">
      <w:pPr>
        <w:spacing w:line="360" w:lineRule="auto"/>
        <w:ind w:right="51"/>
        <w:jc w:val="both"/>
        <w:rPr>
          <w:rFonts w:ascii="Palatino Linotype" w:eastAsia="Palatino Linotype" w:hAnsi="Palatino Linotype" w:cs="Palatino Linotype"/>
        </w:rPr>
      </w:pPr>
      <w:r w:rsidRPr="003C50B2">
        <w:rPr>
          <w:rFonts w:ascii="Palatino Linotype" w:eastAsia="Palatino Linotype" w:hAnsi="Palatino Linotype" w:cs="Palatino Linotype"/>
          <w:b/>
        </w:rPr>
        <w:t xml:space="preserve">4. Turno. </w:t>
      </w:r>
      <w:r w:rsidRPr="003C50B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C50B2">
        <w:rPr>
          <w:rFonts w:ascii="Palatino Linotype" w:eastAsia="Palatino Linotype" w:hAnsi="Palatino Linotype" w:cs="Palatino Linotype"/>
          <w:b/>
        </w:rPr>
        <w:t xml:space="preserve">Guadalupe Ramírez Peña, </w:t>
      </w:r>
      <w:r w:rsidRPr="003C50B2">
        <w:rPr>
          <w:rFonts w:ascii="Palatino Linotype" w:eastAsia="Palatino Linotype" w:hAnsi="Palatino Linotype" w:cs="Palatino Linotype"/>
        </w:rPr>
        <w:t xml:space="preserve">a efecto de que analizara sobre su admisión o su </w:t>
      </w:r>
      <w:proofErr w:type="spellStart"/>
      <w:r w:rsidRPr="003C50B2">
        <w:rPr>
          <w:rFonts w:ascii="Palatino Linotype" w:eastAsia="Palatino Linotype" w:hAnsi="Palatino Linotype" w:cs="Palatino Linotype"/>
        </w:rPr>
        <w:t>desechamiento</w:t>
      </w:r>
      <w:proofErr w:type="spellEnd"/>
      <w:r w:rsidRPr="003C50B2">
        <w:rPr>
          <w:rFonts w:ascii="Palatino Linotype" w:eastAsia="Palatino Linotype" w:hAnsi="Palatino Linotype" w:cs="Palatino Linotype"/>
        </w:rPr>
        <w:t>.</w:t>
      </w:r>
    </w:p>
    <w:p w14:paraId="6EB08036" w14:textId="77777777" w:rsidR="00362761" w:rsidRPr="003C50B2" w:rsidRDefault="00362761">
      <w:pPr>
        <w:spacing w:line="360" w:lineRule="auto"/>
        <w:ind w:right="51"/>
        <w:jc w:val="both"/>
        <w:rPr>
          <w:rFonts w:ascii="Palatino Linotype" w:eastAsia="Palatino Linotype" w:hAnsi="Palatino Linotype" w:cs="Palatino Linotype"/>
        </w:rPr>
      </w:pPr>
    </w:p>
    <w:p w14:paraId="04338A90" w14:textId="77777777" w:rsidR="00362761" w:rsidRPr="003C50B2" w:rsidRDefault="00F04517">
      <w:pPr>
        <w:spacing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b/>
        </w:rPr>
        <w:t>5. Admisión del Recurso de revisión.</w:t>
      </w:r>
      <w:r w:rsidRPr="003C50B2">
        <w:rPr>
          <w:rFonts w:ascii="Palatino Linotype" w:eastAsia="Palatino Linotype" w:hAnsi="Palatino Linotype" w:cs="Palatino Linotype"/>
        </w:rPr>
        <w:t xml:space="preserve"> Con fecha</w:t>
      </w:r>
      <w:r w:rsidR="00E646B0" w:rsidRPr="003C50B2">
        <w:rPr>
          <w:rFonts w:ascii="Palatino Linotype" w:eastAsia="Palatino Linotype" w:hAnsi="Palatino Linotype" w:cs="Palatino Linotype"/>
          <w:b/>
        </w:rPr>
        <w:t xml:space="preserve"> treinta y uno</w:t>
      </w:r>
      <w:r w:rsidRPr="003C50B2">
        <w:rPr>
          <w:rFonts w:ascii="Palatino Linotype" w:eastAsia="Palatino Linotype" w:hAnsi="Palatino Linotype" w:cs="Palatino Linotype"/>
          <w:b/>
        </w:rPr>
        <w:t xml:space="preserve"> de octubre de dos mil veinticuatro, </w:t>
      </w:r>
      <w:r w:rsidRPr="003C50B2">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C50B2">
        <w:rPr>
          <w:rFonts w:ascii="Palatino Linotype" w:eastAsia="Palatino Linotype" w:hAnsi="Palatino Linotype" w:cs="Palatino Linotype"/>
          <w:b/>
        </w:rPr>
        <w:t xml:space="preserve">SUJETO OBLIGADO </w:t>
      </w:r>
      <w:r w:rsidRPr="003C50B2">
        <w:rPr>
          <w:rFonts w:ascii="Palatino Linotype" w:eastAsia="Palatino Linotype" w:hAnsi="Palatino Linotype" w:cs="Palatino Linotype"/>
        </w:rPr>
        <w:t>presentara su informe justificado.</w:t>
      </w:r>
    </w:p>
    <w:p w14:paraId="48575C00" w14:textId="77777777" w:rsidR="00362761" w:rsidRPr="003C50B2" w:rsidRDefault="00F04517">
      <w:pPr>
        <w:spacing w:before="240" w:after="240" w:line="360" w:lineRule="auto"/>
        <w:jc w:val="both"/>
      </w:pPr>
      <w:r w:rsidRPr="003C50B2">
        <w:rPr>
          <w:rFonts w:ascii="Palatino Linotype" w:eastAsia="Palatino Linotype" w:hAnsi="Palatino Linotype" w:cs="Palatino Linotype"/>
          <w:b/>
        </w:rPr>
        <w:t>6. Manifestaciones</w:t>
      </w:r>
      <w:r w:rsidRPr="003C50B2">
        <w:rPr>
          <w:rFonts w:ascii="Palatino Linotype" w:eastAsia="Palatino Linotype" w:hAnsi="Palatino Linotype" w:cs="Palatino Linotype"/>
        </w:rPr>
        <w:t xml:space="preserve">. De las constancias que obran en el expediente electrónico del SAIMEX se desprende que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no rindió su informe justificado, del mismo modo la parte</w:t>
      </w:r>
      <w:r w:rsidRPr="003C50B2">
        <w:rPr>
          <w:rFonts w:ascii="Palatino Linotype" w:eastAsia="Palatino Linotype" w:hAnsi="Palatino Linotype" w:cs="Palatino Linotype"/>
          <w:b/>
        </w:rPr>
        <w:t xml:space="preserve"> RECURRENTE</w:t>
      </w:r>
      <w:r w:rsidRPr="003C50B2">
        <w:rPr>
          <w:rFonts w:ascii="Palatino Linotype" w:eastAsia="Palatino Linotype" w:hAnsi="Palatino Linotype" w:cs="Palatino Linotype"/>
        </w:rPr>
        <w:t xml:space="preserve"> omitió realizar manifestaciones, como se observa a continuación:</w:t>
      </w:r>
    </w:p>
    <w:p w14:paraId="5A7153D9" w14:textId="77777777" w:rsidR="00362761" w:rsidRPr="003C50B2" w:rsidRDefault="00E646B0">
      <w:pPr>
        <w:spacing w:before="240" w:after="240" w:line="360" w:lineRule="auto"/>
        <w:jc w:val="both"/>
      </w:pPr>
      <w:r w:rsidRPr="003C50B2">
        <w:rPr>
          <w:noProof/>
        </w:rPr>
        <w:lastRenderedPageBreak/>
        <w:drawing>
          <wp:inline distT="0" distB="0" distL="0" distR="0" wp14:anchorId="14860775" wp14:editId="74D8C5DA">
            <wp:extent cx="5612130" cy="145351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53515"/>
                    </a:xfrm>
                    <a:prstGeom prst="rect">
                      <a:avLst/>
                    </a:prstGeom>
                  </pic:spPr>
                </pic:pic>
              </a:graphicData>
            </a:graphic>
          </wp:inline>
        </w:drawing>
      </w:r>
    </w:p>
    <w:p w14:paraId="48AAA298" w14:textId="77777777" w:rsidR="00362761" w:rsidRPr="003C50B2" w:rsidRDefault="00F04517">
      <w:pPr>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b/>
        </w:rPr>
        <w:t xml:space="preserve">7. Cierre de instrucción. </w:t>
      </w:r>
      <w:r w:rsidRPr="003C50B2">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E646B0" w:rsidRPr="003C50B2">
        <w:rPr>
          <w:rFonts w:ascii="Palatino Linotype" w:eastAsia="Palatino Linotype" w:hAnsi="Palatino Linotype" w:cs="Palatino Linotype"/>
          <w:b/>
        </w:rPr>
        <w:t>diecinueve</w:t>
      </w:r>
      <w:r w:rsidRPr="003C50B2">
        <w:rPr>
          <w:rFonts w:ascii="Palatino Linotype" w:eastAsia="Palatino Linotype" w:hAnsi="Palatino Linotype" w:cs="Palatino Linotype"/>
          <w:b/>
        </w:rPr>
        <w:t xml:space="preserve"> de noviembre de dos mil veinticuatro</w:t>
      </w:r>
      <w:r w:rsidRPr="003C50B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52C773C" w14:textId="77777777" w:rsidR="00362761" w:rsidRPr="003C50B2" w:rsidRDefault="00F04517">
      <w:pPr>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5E726B8" w14:textId="77777777" w:rsidR="00362761" w:rsidRPr="003C50B2" w:rsidRDefault="00F04517">
      <w:pPr>
        <w:widowControl w:val="0"/>
        <w:spacing w:line="360" w:lineRule="auto"/>
        <w:jc w:val="center"/>
        <w:rPr>
          <w:rFonts w:ascii="Palatino Linotype" w:eastAsia="Palatino Linotype" w:hAnsi="Palatino Linotype" w:cs="Palatino Linotype"/>
          <w:b/>
        </w:rPr>
      </w:pPr>
      <w:r w:rsidRPr="003C50B2">
        <w:rPr>
          <w:rFonts w:ascii="Palatino Linotype" w:eastAsia="Palatino Linotype" w:hAnsi="Palatino Linotype" w:cs="Palatino Linotype"/>
          <w:b/>
        </w:rPr>
        <w:t>II. C O N S I D E R A N D O S</w:t>
      </w:r>
    </w:p>
    <w:p w14:paraId="2FC5263B" w14:textId="77777777" w:rsidR="00362761" w:rsidRPr="003C50B2" w:rsidRDefault="00362761">
      <w:pPr>
        <w:widowControl w:val="0"/>
        <w:spacing w:line="360" w:lineRule="auto"/>
        <w:jc w:val="center"/>
        <w:rPr>
          <w:rFonts w:ascii="Palatino Linotype" w:eastAsia="Palatino Linotype" w:hAnsi="Palatino Linotype" w:cs="Palatino Linotype"/>
          <w:b/>
        </w:rPr>
      </w:pPr>
    </w:p>
    <w:p w14:paraId="3958608E"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b/>
        </w:rPr>
        <w:t>Primero. Competencia.</w:t>
      </w:r>
      <w:r w:rsidRPr="003C50B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w:t>
      </w:r>
      <w:r w:rsidRPr="003C50B2">
        <w:rPr>
          <w:rFonts w:ascii="Palatino Linotype" w:eastAsia="Palatino Linotype" w:hAnsi="Palatino Linotype" w:cs="Palatino Linotype"/>
        </w:rPr>
        <w:lastRenderedPageBreak/>
        <w:t>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E7CE721" w14:textId="77777777" w:rsidR="00362761" w:rsidRPr="003C50B2" w:rsidRDefault="00F04517">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3C50B2">
        <w:rPr>
          <w:rFonts w:ascii="Palatino Linotype" w:eastAsia="Palatino Linotype" w:hAnsi="Palatino Linotype" w:cs="Palatino Linotype"/>
          <w:b/>
        </w:rPr>
        <w:t xml:space="preserve">Segundo. Oportunidad y Procedibilidad del Recurso de Revisión. </w:t>
      </w:r>
      <w:r w:rsidRPr="003C50B2">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emitió su respuesta a la solicitud planteada</w:t>
      </w:r>
      <w:r w:rsidR="00E646B0" w:rsidRPr="003C50B2">
        <w:rPr>
          <w:rFonts w:ascii="Palatino Linotype" w:eastAsia="Palatino Linotype" w:hAnsi="Palatino Linotype" w:cs="Palatino Linotype"/>
        </w:rPr>
        <w:t xml:space="preserve"> por el solicitante el veintidós</w:t>
      </w:r>
      <w:r w:rsidRPr="003C50B2">
        <w:rPr>
          <w:rFonts w:ascii="Palatino Linotype" w:eastAsia="Palatino Linotype" w:hAnsi="Palatino Linotype" w:cs="Palatino Linotype"/>
        </w:rPr>
        <w:t xml:space="preserve"> de octubre del año dos mil veinticuatro y la parte </w:t>
      </w:r>
      <w:r w:rsidRPr="003C50B2">
        <w:rPr>
          <w:rFonts w:ascii="Palatino Linotype" w:eastAsia="Palatino Linotype" w:hAnsi="Palatino Linotype" w:cs="Palatino Linotype"/>
          <w:b/>
        </w:rPr>
        <w:t>RECURRENTE</w:t>
      </w:r>
      <w:r w:rsidRPr="003C50B2">
        <w:rPr>
          <w:rFonts w:ascii="Palatino Linotype" w:eastAsia="Palatino Linotype" w:hAnsi="Palatino Linotype" w:cs="Palatino Linotype"/>
        </w:rPr>
        <w:t xml:space="preserve"> presentó su r</w:t>
      </w:r>
      <w:r w:rsidR="00E646B0" w:rsidRPr="003C50B2">
        <w:rPr>
          <w:rFonts w:ascii="Palatino Linotype" w:eastAsia="Palatino Linotype" w:hAnsi="Palatino Linotype" w:cs="Palatino Linotype"/>
        </w:rPr>
        <w:t>ecurso de revisión el veintiocho</w:t>
      </w:r>
      <w:r w:rsidRPr="003C50B2">
        <w:rPr>
          <w:rFonts w:ascii="Palatino Linotype" w:eastAsia="Palatino Linotype" w:hAnsi="Palatino Linotype" w:cs="Palatino Linotype"/>
        </w:rPr>
        <w:t xml:space="preserve"> de octubre de</w:t>
      </w:r>
      <w:r w:rsidR="00E646B0" w:rsidRPr="003C50B2">
        <w:rPr>
          <w:rFonts w:ascii="Palatino Linotype" w:eastAsia="Palatino Linotype" w:hAnsi="Palatino Linotype" w:cs="Palatino Linotype"/>
        </w:rPr>
        <w:t>l mismo año; esto es, al cuarto</w:t>
      </w:r>
      <w:r w:rsidRPr="003C50B2">
        <w:rPr>
          <w:rFonts w:ascii="Palatino Linotype" w:eastAsia="Palatino Linotype" w:hAnsi="Palatino Linotype" w:cs="Palatino Linotype"/>
        </w:rPr>
        <w:t xml:space="preserve"> día hábil siguiente de aquel en que tuvo conocimiento de la respuesta; evidenciándose que la interposición del recurso se encuentra dentro de los márgenes temporales previstos en el citado precepto legal.</w:t>
      </w:r>
    </w:p>
    <w:p w14:paraId="68BB91A9" w14:textId="77777777" w:rsidR="00362761" w:rsidRPr="003C50B2" w:rsidRDefault="00F04517">
      <w:pPr>
        <w:spacing w:before="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ECFF4D4" w14:textId="77777777" w:rsidR="00362761" w:rsidRPr="003C50B2" w:rsidRDefault="00362761">
      <w:pPr>
        <w:ind w:left="567" w:right="474"/>
        <w:jc w:val="both"/>
        <w:rPr>
          <w:rFonts w:ascii="Palatino Linotype" w:eastAsia="Palatino Linotype" w:hAnsi="Palatino Linotype" w:cs="Palatino Linotype"/>
          <w:i/>
        </w:rPr>
      </w:pPr>
    </w:p>
    <w:p w14:paraId="0AF07390" w14:textId="77777777" w:rsidR="00362761" w:rsidRPr="003C50B2" w:rsidRDefault="00F04517">
      <w:pPr>
        <w:ind w:left="567" w:right="474"/>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r w:rsidRPr="003C50B2">
        <w:rPr>
          <w:rFonts w:ascii="Palatino Linotype" w:eastAsia="Palatino Linotype" w:hAnsi="Palatino Linotype" w:cs="Palatino Linotype"/>
          <w:b/>
          <w:i/>
          <w:sz w:val="22"/>
          <w:szCs w:val="22"/>
        </w:rPr>
        <w:t>Las solicitudes anónimas</w:t>
      </w:r>
      <w:r w:rsidRPr="003C50B2">
        <w:rPr>
          <w:rFonts w:ascii="Palatino Linotype" w:eastAsia="Palatino Linotype" w:hAnsi="Palatino Linotype" w:cs="Palatino Linotype"/>
          <w:i/>
          <w:sz w:val="22"/>
          <w:szCs w:val="22"/>
        </w:rPr>
        <w:t xml:space="preserve">, con nombre incompleto o seudónimo </w:t>
      </w:r>
      <w:r w:rsidRPr="003C50B2">
        <w:rPr>
          <w:rFonts w:ascii="Palatino Linotype" w:eastAsia="Palatino Linotype" w:hAnsi="Palatino Linotype" w:cs="Palatino Linotype"/>
          <w:b/>
          <w:i/>
          <w:sz w:val="22"/>
          <w:szCs w:val="22"/>
        </w:rPr>
        <w:t>serán procedentes para su trámite por parte del sujeto obligado ante quien se presente</w:t>
      </w:r>
      <w:r w:rsidRPr="003C50B2">
        <w:rPr>
          <w:rFonts w:ascii="Palatino Linotype" w:eastAsia="Palatino Linotype" w:hAnsi="Palatino Linotype" w:cs="Palatino Linotype"/>
          <w:i/>
          <w:sz w:val="22"/>
          <w:szCs w:val="22"/>
        </w:rPr>
        <w:t>. No podrá requerirse información adicional con motivo del nombre proporcionado por el solicitante."(Sic)</w:t>
      </w:r>
    </w:p>
    <w:p w14:paraId="458E093E" w14:textId="77777777" w:rsidR="00362761" w:rsidRPr="003C50B2" w:rsidRDefault="00362761">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7505769F" w14:textId="77777777" w:rsidR="00362761" w:rsidRPr="003C50B2" w:rsidRDefault="00F04517">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Además, por cuanto hace a la procedibilidad del recurso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3C50B2">
        <w:rPr>
          <w:rFonts w:ascii="Palatino Linotype" w:eastAsia="Palatino Linotype" w:hAnsi="Palatino Linotype" w:cs="Palatino Linotype"/>
          <w:b/>
        </w:rPr>
        <w:t>EL</w:t>
      </w:r>
      <w:r w:rsidRPr="003C50B2">
        <w:rPr>
          <w:rFonts w:ascii="Palatino Linotype" w:eastAsia="Palatino Linotype" w:hAnsi="Palatino Linotype" w:cs="Palatino Linotype"/>
        </w:rPr>
        <w:t xml:space="preserve"> </w:t>
      </w:r>
      <w:r w:rsidRPr="003C50B2">
        <w:rPr>
          <w:rFonts w:ascii="Palatino Linotype" w:eastAsia="Palatino Linotype" w:hAnsi="Palatino Linotype" w:cs="Palatino Linotype"/>
          <w:b/>
        </w:rPr>
        <w:t>SAIMEX</w:t>
      </w:r>
      <w:r w:rsidRPr="003C50B2">
        <w:rPr>
          <w:rFonts w:ascii="Palatino Linotype" w:eastAsia="Palatino Linotype" w:hAnsi="Palatino Linotype" w:cs="Palatino Linotype"/>
        </w:rPr>
        <w:t>.</w:t>
      </w:r>
    </w:p>
    <w:p w14:paraId="6DA4AF90" w14:textId="77777777" w:rsidR="00362761" w:rsidRPr="003C50B2" w:rsidRDefault="00362761">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61F0269D" w14:textId="77777777" w:rsidR="00362761" w:rsidRPr="003C50B2" w:rsidRDefault="00F04517">
      <w:pPr>
        <w:spacing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VIII de la ley de la materia, que a la letra dice:</w:t>
      </w:r>
    </w:p>
    <w:p w14:paraId="55064640" w14:textId="77777777" w:rsidR="00362761" w:rsidRPr="003C50B2" w:rsidRDefault="00F04517">
      <w:pPr>
        <w:ind w:left="1276" w:right="175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r w:rsidRPr="003C50B2">
        <w:rPr>
          <w:rFonts w:ascii="Palatino Linotype" w:eastAsia="Palatino Linotype" w:hAnsi="Palatino Linotype" w:cs="Palatino Linotype"/>
          <w:b/>
          <w:i/>
          <w:sz w:val="22"/>
          <w:szCs w:val="22"/>
        </w:rPr>
        <w:t xml:space="preserve">Artículo 179. </w:t>
      </w:r>
      <w:r w:rsidRPr="003C50B2">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CC1F0B2" w14:textId="77777777" w:rsidR="00362761" w:rsidRPr="003C50B2" w:rsidRDefault="00F04517">
      <w:pPr>
        <w:ind w:left="1276" w:right="175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p>
    <w:p w14:paraId="673BC8A2" w14:textId="77777777" w:rsidR="00362761" w:rsidRPr="003C50B2" w:rsidRDefault="00F04517">
      <w:pPr>
        <w:ind w:left="1276" w:right="175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VIII. La notificación, entrega o puesta a disposición de información en una modalidad o formato distinto al solicitado…” (Sic)</w:t>
      </w:r>
    </w:p>
    <w:p w14:paraId="7B8CE54F" w14:textId="77777777" w:rsidR="00362761" w:rsidRPr="003C50B2" w:rsidRDefault="00F04517">
      <w:pPr>
        <w:spacing w:before="280" w:after="28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b/>
        </w:rPr>
        <w:t>Tercero. Materia de Revisión</w:t>
      </w:r>
      <w:r w:rsidRPr="003C50B2">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3C50B2">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3C50B2">
        <w:rPr>
          <w:rFonts w:ascii="Palatino Linotype" w:eastAsia="Palatino Linotype" w:hAnsi="Palatino Linotype" w:cs="Palatino Linotype"/>
        </w:rPr>
        <w:t xml:space="preserve">de la </w:t>
      </w:r>
      <w:r w:rsidRPr="003C50B2">
        <w:rPr>
          <w:rFonts w:ascii="Palatino Linotype" w:eastAsia="Palatino Linotype" w:hAnsi="Palatino Linotype" w:cs="Palatino Linotype"/>
        </w:rPr>
        <w:lastRenderedPageBreak/>
        <w:t xml:space="preserve">PARTE </w:t>
      </w:r>
      <w:r w:rsidRPr="003C50B2">
        <w:rPr>
          <w:rFonts w:ascii="Palatino Linotype" w:eastAsia="Palatino Linotype" w:hAnsi="Palatino Linotype" w:cs="Palatino Linotype"/>
          <w:b/>
        </w:rPr>
        <w:t>RECURRENTE</w:t>
      </w:r>
      <w:r w:rsidRPr="003C50B2">
        <w:rPr>
          <w:rFonts w:ascii="Palatino Linotype" w:eastAsia="Palatino Linotype" w:hAnsi="Palatino Linotype" w:cs="Palatino Linotype"/>
        </w:rPr>
        <w:t>, o en su defecto, en caso de ser procedente, ordenar la entrega de información.</w:t>
      </w:r>
    </w:p>
    <w:p w14:paraId="67460E91" w14:textId="77777777" w:rsidR="00362761" w:rsidRPr="003C50B2" w:rsidRDefault="00F04517">
      <w:pPr>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b/>
        </w:rPr>
        <w:t xml:space="preserve">Cuarto. Estudio de fondo del asunto. </w:t>
      </w:r>
      <w:r w:rsidRPr="003C50B2">
        <w:rPr>
          <w:rFonts w:ascii="Palatino Linotype" w:eastAsia="Palatino Linotype" w:hAnsi="Palatino Linotype" w:cs="Palatino Linotype"/>
        </w:rPr>
        <w:t xml:space="preserve">es conveniente analizar si la respuesta del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5A9CF15" w14:textId="77777777" w:rsidR="00362761" w:rsidRPr="003C50B2" w:rsidRDefault="00F04517">
      <w:pPr>
        <w:spacing w:before="240"/>
        <w:ind w:left="709" w:right="760"/>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r w:rsidRPr="003C50B2">
        <w:rPr>
          <w:rFonts w:ascii="Palatino Linotype" w:eastAsia="Palatino Linotype" w:hAnsi="Palatino Linotype" w:cs="Palatino Linotype"/>
          <w:b/>
          <w:i/>
          <w:sz w:val="22"/>
          <w:szCs w:val="22"/>
        </w:rPr>
        <w:t>Artículo 4.</w:t>
      </w:r>
      <w:r w:rsidRPr="003C50B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E7A1C83" w14:textId="77777777" w:rsidR="00362761" w:rsidRPr="003C50B2" w:rsidRDefault="00F04517">
      <w:pPr>
        <w:ind w:left="709" w:right="760"/>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C50B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DA4BD29" w14:textId="77777777" w:rsidR="00362761" w:rsidRPr="003C50B2" w:rsidRDefault="00F04517">
      <w:pPr>
        <w:ind w:left="709" w:right="760"/>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C50B2">
        <w:rPr>
          <w:rFonts w:ascii="Palatino Linotype" w:eastAsia="Palatino Linotype" w:hAnsi="Palatino Linotype" w:cs="Palatino Linotype"/>
          <w:i/>
          <w:sz w:val="22"/>
          <w:szCs w:val="22"/>
        </w:rPr>
        <w:t>.”</w:t>
      </w:r>
    </w:p>
    <w:p w14:paraId="03F99322" w14:textId="77777777" w:rsidR="00362761" w:rsidRPr="003C50B2" w:rsidRDefault="00F04517">
      <w:pPr>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De lo anterior, se desprende que los Sujetos Obligados tiene la obligación o deber de atender las solicitudes de acceso a la información pública que se les hagan de su </w:t>
      </w:r>
      <w:r w:rsidRPr="003C50B2">
        <w:rPr>
          <w:rFonts w:ascii="Palatino Linotype" w:eastAsia="Palatino Linotype" w:hAnsi="Palatino Linotype" w:cs="Palatino Linotype"/>
        </w:rPr>
        <w:lastRenderedPageBreak/>
        <w:t>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88E2C89" w14:textId="77777777" w:rsidR="00362761" w:rsidRPr="003C50B2" w:rsidRDefault="00F04517">
      <w:pPr>
        <w:ind w:left="567" w:right="758"/>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r w:rsidRPr="003C50B2">
        <w:rPr>
          <w:rFonts w:ascii="Palatino Linotype" w:eastAsia="Palatino Linotype" w:hAnsi="Palatino Linotype" w:cs="Palatino Linotype"/>
          <w:b/>
          <w:i/>
          <w:sz w:val="22"/>
          <w:szCs w:val="22"/>
        </w:rPr>
        <w:t>Artículo12.-</w:t>
      </w:r>
      <w:r w:rsidRPr="003C50B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14F4B8E" w14:textId="77777777" w:rsidR="00362761" w:rsidRPr="003C50B2" w:rsidRDefault="00F04517">
      <w:pPr>
        <w:ind w:left="567" w:right="758"/>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C50B2">
        <w:rPr>
          <w:rFonts w:ascii="Palatino Linotype" w:eastAsia="Palatino Linotype" w:hAnsi="Palatino Linotype" w:cs="Palatino Linotype"/>
          <w:i/>
          <w:sz w:val="22"/>
          <w:szCs w:val="22"/>
        </w:rPr>
        <w:t xml:space="preserve">. </w:t>
      </w:r>
      <w:r w:rsidRPr="003C50B2">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7A123A82" w14:textId="77777777" w:rsidR="00362761" w:rsidRPr="003C50B2" w:rsidRDefault="00362761">
      <w:pPr>
        <w:spacing w:line="360" w:lineRule="auto"/>
        <w:ind w:right="-93"/>
        <w:jc w:val="both"/>
        <w:rPr>
          <w:rFonts w:ascii="Palatino Linotype" w:eastAsia="Palatino Linotype" w:hAnsi="Palatino Linotype" w:cs="Palatino Linotype"/>
        </w:rPr>
      </w:pPr>
    </w:p>
    <w:p w14:paraId="285B88B6" w14:textId="77777777" w:rsidR="00362761" w:rsidRPr="003C50B2" w:rsidRDefault="00F04517">
      <w:pPr>
        <w:spacing w:line="360" w:lineRule="auto"/>
        <w:ind w:right="-93"/>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5A986EC7" w14:textId="77777777" w:rsidR="00362761" w:rsidRPr="003C50B2" w:rsidRDefault="00362761">
      <w:pPr>
        <w:spacing w:line="360" w:lineRule="auto"/>
        <w:ind w:right="-93"/>
        <w:jc w:val="both"/>
        <w:rPr>
          <w:rFonts w:ascii="Palatino Linotype" w:eastAsia="Palatino Linotype" w:hAnsi="Palatino Linotype" w:cs="Palatino Linotype"/>
        </w:rPr>
      </w:pPr>
    </w:p>
    <w:p w14:paraId="24DEBF22"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105731FA" w14:textId="77777777" w:rsidR="00362761" w:rsidRPr="003C50B2" w:rsidRDefault="00F04517">
      <w:pPr>
        <w:spacing w:line="360" w:lineRule="auto"/>
        <w:jc w:val="both"/>
        <w:rPr>
          <w:rFonts w:ascii="Palatino Linotype" w:eastAsia="Palatino Linotype" w:hAnsi="Palatino Linotype" w:cs="Palatino Linotype"/>
          <w:b/>
        </w:rPr>
      </w:pPr>
      <w:r w:rsidRPr="003C50B2">
        <w:rPr>
          <w:rFonts w:ascii="Palatino Linotype" w:eastAsia="Palatino Linotype" w:hAnsi="Palatino Linotype" w:cs="Palatino Linotype"/>
          <w:b/>
        </w:rPr>
        <w:t xml:space="preserve"> </w:t>
      </w:r>
    </w:p>
    <w:p w14:paraId="7C250741" w14:textId="77777777" w:rsidR="00362761" w:rsidRPr="003C50B2" w:rsidRDefault="00F04517">
      <w:pPr>
        <w:ind w:left="851" w:right="90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lastRenderedPageBreak/>
        <w:t>“</w:t>
      </w:r>
      <w:r w:rsidRPr="003C50B2">
        <w:rPr>
          <w:rFonts w:ascii="Palatino Linotype" w:eastAsia="Palatino Linotype" w:hAnsi="Palatino Linotype" w:cs="Palatino Linotype"/>
          <w:b/>
          <w:i/>
          <w:sz w:val="22"/>
          <w:szCs w:val="22"/>
        </w:rPr>
        <w:t>No existe obligación de elaborar documentos ad hoc para atender las solicitudes de acceso a la información.</w:t>
      </w:r>
      <w:r w:rsidRPr="003C50B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39434BC" w14:textId="77777777" w:rsidR="00362761" w:rsidRPr="003C50B2" w:rsidRDefault="00F04517">
      <w:pPr>
        <w:ind w:left="851" w:right="90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 xml:space="preserve">Resoluciones: </w:t>
      </w:r>
    </w:p>
    <w:p w14:paraId="57B7EE55" w14:textId="77777777" w:rsidR="00362761" w:rsidRPr="003C50B2" w:rsidRDefault="00F04517">
      <w:pPr>
        <w:ind w:left="851" w:right="901"/>
        <w:jc w:val="both"/>
        <w:rPr>
          <w:rFonts w:ascii="Palatino Linotype" w:eastAsia="Palatino Linotype" w:hAnsi="Palatino Linotype" w:cs="Palatino Linotype"/>
          <w:i/>
          <w:sz w:val="22"/>
          <w:szCs w:val="22"/>
        </w:rPr>
      </w:pPr>
      <w:r w:rsidRPr="003C50B2">
        <w:rPr>
          <w:rFonts w:ascii="Noto Sans Symbols" w:eastAsia="Noto Sans Symbols" w:hAnsi="Noto Sans Symbols" w:cs="Noto Sans Symbols"/>
          <w:i/>
          <w:sz w:val="22"/>
          <w:szCs w:val="22"/>
        </w:rPr>
        <w:t>∙</w:t>
      </w:r>
      <w:r w:rsidRPr="003C50B2">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463F0B25" w14:textId="77777777" w:rsidR="00362761" w:rsidRPr="003C50B2" w:rsidRDefault="00F04517">
      <w:pPr>
        <w:ind w:left="851" w:right="901"/>
        <w:jc w:val="both"/>
        <w:rPr>
          <w:rFonts w:ascii="Palatino Linotype" w:eastAsia="Palatino Linotype" w:hAnsi="Palatino Linotype" w:cs="Palatino Linotype"/>
          <w:i/>
          <w:sz w:val="22"/>
          <w:szCs w:val="22"/>
        </w:rPr>
      </w:pPr>
      <w:r w:rsidRPr="003C50B2">
        <w:rPr>
          <w:rFonts w:ascii="Noto Sans Symbols" w:eastAsia="Noto Sans Symbols" w:hAnsi="Noto Sans Symbols" w:cs="Noto Sans Symbols"/>
          <w:i/>
          <w:sz w:val="22"/>
          <w:szCs w:val="22"/>
        </w:rPr>
        <w:t>∙</w:t>
      </w:r>
      <w:r w:rsidRPr="003C50B2">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7B9B633A" w14:textId="77777777" w:rsidR="00362761" w:rsidRPr="003C50B2" w:rsidRDefault="00F04517">
      <w:pPr>
        <w:ind w:left="851" w:right="901"/>
        <w:jc w:val="both"/>
        <w:rPr>
          <w:rFonts w:ascii="Palatino Linotype" w:eastAsia="Palatino Linotype" w:hAnsi="Palatino Linotype" w:cs="Palatino Linotype"/>
          <w:i/>
          <w:sz w:val="22"/>
          <w:szCs w:val="22"/>
        </w:rPr>
      </w:pPr>
      <w:r w:rsidRPr="003C50B2">
        <w:rPr>
          <w:rFonts w:ascii="Noto Sans Symbols" w:eastAsia="Noto Sans Symbols" w:hAnsi="Noto Sans Symbols" w:cs="Noto Sans Symbols"/>
          <w:i/>
          <w:sz w:val="22"/>
          <w:szCs w:val="22"/>
        </w:rPr>
        <w:t>∙</w:t>
      </w:r>
      <w:r w:rsidRPr="003C50B2">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133AB1A4" w14:textId="77777777" w:rsidR="00362761" w:rsidRPr="003C50B2" w:rsidRDefault="00362761">
      <w:pPr>
        <w:spacing w:line="360" w:lineRule="auto"/>
        <w:jc w:val="both"/>
        <w:rPr>
          <w:rFonts w:ascii="Palatino Linotype" w:eastAsia="Palatino Linotype" w:hAnsi="Palatino Linotype" w:cs="Palatino Linotype"/>
        </w:rPr>
      </w:pPr>
    </w:p>
    <w:p w14:paraId="4DBDA6EF"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7FBA0E2A" w14:textId="77777777" w:rsidR="00362761" w:rsidRPr="003C50B2" w:rsidRDefault="00362761">
      <w:pPr>
        <w:spacing w:line="360" w:lineRule="auto"/>
        <w:jc w:val="both"/>
        <w:rPr>
          <w:rFonts w:ascii="Palatino Linotype" w:eastAsia="Palatino Linotype" w:hAnsi="Palatino Linotype" w:cs="Palatino Linotype"/>
          <w:strike/>
        </w:rPr>
      </w:pPr>
    </w:p>
    <w:p w14:paraId="1FBE5E51" w14:textId="77777777" w:rsidR="00362761" w:rsidRPr="003C50B2" w:rsidRDefault="00F04517">
      <w:pPr>
        <w:spacing w:line="360" w:lineRule="auto"/>
        <w:ind w:right="49"/>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w:t>
      </w:r>
      <w:r w:rsidRPr="003C50B2">
        <w:rPr>
          <w:rFonts w:ascii="Palatino Linotype" w:eastAsia="Palatino Linotype" w:hAnsi="Palatino Linotype" w:cs="Palatino Linotype"/>
        </w:rPr>
        <w:lastRenderedPageBreak/>
        <w:t>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535030B" w14:textId="77777777" w:rsidR="00362761" w:rsidRPr="003C50B2" w:rsidRDefault="00362761">
      <w:pPr>
        <w:spacing w:line="360" w:lineRule="auto"/>
        <w:ind w:right="49"/>
        <w:jc w:val="both"/>
        <w:rPr>
          <w:rFonts w:ascii="Palatino Linotype" w:eastAsia="Palatino Linotype" w:hAnsi="Palatino Linotype" w:cs="Palatino Linotype"/>
        </w:rPr>
      </w:pPr>
    </w:p>
    <w:p w14:paraId="3DC2B0FC"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10C9447" w14:textId="77777777" w:rsidR="00362761" w:rsidRPr="003C50B2" w:rsidRDefault="00362761">
      <w:pPr>
        <w:ind w:left="851" w:right="899"/>
        <w:jc w:val="both"/>
        <w:rPr>
          <w:rFonts w:ascii="Palatino Linotype" w:eastAsia="Palatino Linotype" w:hAnsi="Palatino Linotype" w:cs="Palatino Linotype"/>
          <w:i/>
          <w:sz w:val="22"/>
          <w:szCs w:val="22"/>
        </w:rPr>
      </w:pPr>
    </w:p>
    <w:p w14:paraId="0AA154BE" w14:textId="77777777" w:rsidR="00362761" w:rsidRPr="003C50B2" w:rsidRDefault="00F04517">
      <w:pPr>
        <w:ind w:left="851" w:right="89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r w:rsidRPr="003C50B2">
        <w:rPr>
          <w:rFonts w:ascii="Palatino Linotype" w:eastAsia="Palatino Linotype" w:hAnsi="Palatino Linotype" w:cs="Palatino Linotype"/>
          <w:b/>
          <w:i/>
          <w:sz w:val="22"/>
          <w:szCs w:val="22"/>
        </w:rPr>
        <w:t xml:space="preserve">Artículo 3. </w:t>
      </w:r>
      <w:r w:rsidRPr="003C50B2">
        <w:rPr>
          <w:rFonts w:ascii="Palatino Linotype" w:eastAsia="Palatino Linotype" w:hAnsi="Palatino Linotype" w:cs="Palatino Linotype"/>
          <w:i/>
          <w:sz w:val="22"/>
          <w:szCs w:val="22"/>
        </w:rPr>
        <w:t>Para los efectos de la presente Ley se entenderá por:</w:t>
      </w:r>
    </w:p>
    <w:p w14:paraId="6A3CB4B1" w14:textId="77777777" w:rsidR="00362761" w:rsidRPr="003C50B2" w:rsidRDefault="00F04517">
      <w:pPr>
        <w:ind w:left="851" w:right="89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p>
    <w:p w14:paraId="35ECE8EE" w14:textId="77777777" w:rsidR="00362761" w:rsidRPr="003C50B2" w:rsidRDefault="00F04517">
      <w:pPr>
        <w:ind w:left="851" w:right="89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XI. Documento:</w:t>
      </w:r>
      <w:r w:rsidRPr="003C50B2">
        <w:rPr>
          <w:rFonts w:ascii="Palatino Linotype" w:eastAsia="Palatino Linotype" w:hAnsi="Palatino Linotype" w:cs="Palatino Linotype"/>
          <w:i/>
          <w:sz w:val="22"/>
          <w:szCs w:val="22"/>
        </w:rPr>
        <w:t xml:space="preserve"> Los expedientes, reportes, estudios, actas</w:t>
      </w:r>
      <w:r w:rsidRPr="003C50B2">
        <w:rPr>
          <w:rFonts w:ascii="Palatino Linotype" w:eastAsia="Palatino Linotype" w:hAnsi="Palatino Linotype" w:cs="Palatino Linotype"/>
          <w:b/>
          <w:i/>
          <w:sz w:val="22"/>
          <w:szCs w:val="22"/>
        </w:rPr>
        <w:t>,</w:t>
      </w:r>
      <w:r w:rsidRPr="003C50B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CB0CB40" w14:textId="77777777" w:rsidR="00362761" w:rsidRPr="003C50B2" w:rsidRDefault="00362761">
      <w:pPr>
        <w:ind w:left="851" w:right="899"/>
        <w:jc w:val="both"/>
        <w:rPr>
          <w:rFonts w:ascii="Palatino Linotype" w:eastAsia="Palatino Linotype" w:hAnsi="Palatino Linotype" w:cs="Palatino Linotype"/>
          <w:sz w:val="22"/>
          <w:szCs w:val="22"/>
        </w:rPr>
      </w:pPr>
    </w:p>
    <w:p w14:paraId="05723975"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3C50B2">
        <w:rPr>
          <w:rFonts w:ascii="Palatino Linotype" w:eastAsia="Palatino Linotype" w:hAnsi="Palatino Linotype" w:cs="Palatino Linotype"/>
        </w:rPr>
        <w:lastRenderedPageBreak/>
        <w:t>Oficial del Gobierno del Estado Libre y Soberano de México “Gaceta del Gobierno”, el diecinueve de octubre de dos mil once, cuyo rubro y texto refieren lo siguiente:</w:t>
      </w:r>
    </w:p>
    <w:p w14:paraId="0A1303DD" w14:textId="77777777" w:rsidR="00362761" w:rsidRPr="003C50B2" w:rsidRDefault="00362761">
      <w:pPr>
        <w:ind w:left="851" w:right="899"/>
        <w:jc w:val="both"/>
        <w:rPr>
          <w:rFonts w:ascii="Palatino Linotype" w:eastAsia="Palatino Linotype" w:hAnsi="Palatino Linotype" w:cs="Palatino Linotype"/>
        </w:rPr>
      </w:pPr>
    </w:p>
    <w:p w14:paraId="1687FE45" w14:textId="77777777" w:rsidR="00362761" w:rsidRPr="003C50B2" w:rsidRDefault="00F04517">
      <w:pPr>
        <w:ind w:left="851" w:right="899"/>
        <w:jc w:val="both"/>
        <w:rPr>
          <w:rFonts w:ascii="Palatino Linotype" w:eastAsia="Palatino Linotype" w:hAnsi="Palatino Linotype" w:cs="Palatino Linotype"/>
          <w:b/>
          <w:i/>
          <w:sz w:val="22"/>
          <w:szCs w:val="22"/>
        </w:rPr>
      </w:pPr>
      <w:r w:rsidRPr="003C50B2">
        <w:rPr>
          <w:rFonts w:ascii="Palatino Linotype" w:eastAsia="Palatino Linotype" w:hAnsi="Palatino Linotype" w:cs="Palatino Linotype"/>
          <w:b/>
          <w:sz w:val="22"/>
          <w:szCs w:val="22"/>
        </w:rPr>
        <w:t>“</w:t>
      </w:r>
      <w:r w:rsidRPr="003C50B2">
        <w:rPr>
          <w:rFonts w:ascii="Palatino Linotype" w:eastAsia="Palatino Linotype" w:hAnsi="Palatino Linotype" w:cs="Palatino Linotype"/>
          <w:b/>
          <w:i/>
          <w:sz w:val="22"/>
          <w:szCs w:val="22"/>
        </w:rPr>
        <w:t>CRITERIO 0002-11</w:t>
      </w:r>
    </w:p>
    <w:p w14:paraId="7A324D64" w14:textId="77777777" w:rsidR="00362761" w:rsidRPr="003C50B2" w:rsidRDefault="00F04517">
      <w:pPr>
        <w:ind w:left="851" w:right="89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C50B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6CFFB99" w14:textId="77777777" w:rsidR="00362761" w:rsidRPr="003C50B2" w:rsidRDefault="00F04517">
      <w:pPr>
        <w:ind w:left="851" w:right="89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 xml:space="preserve">En </w:t>
      </w:r>
      <w:proofErr w:type="gramStart"/>
      <w:r w:rsidRPr="003C50B2">
        <w:rPr>
          <w:rFonts w:ascii="Palatino Linotype" w:eastAsia="Palatino Linotype" w:hAnsi="Palatino Linotype" w:cs="Palatino Linotype"/>
          <w:i/>
          <w:sz w:val="22"/>
          <w:szCs w:val="22"/>
        </w:rPr>
        <w:t>consecuencia</w:t>
      </w:r>
      <w:proofErr w:type="gramEnd"/>
      <w:r w:rsidRPr="003C50B2">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3F4099B" w14:textId="77777777" w:rsidR="00362761" w:rsidRPr="003C50B2" w:rsidRDefault="00F04517">
      <w:pPr>
        <w:ind w:left="851" w:right="89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 xml:space="preserve">1) Que se trate de información registrada en cualquier soporte documental, </w:t>
      </w:r>
      <w:proofErr w:type="gramStart"/>
      <w:r w:rsidRPr="003C50B2">
        <w:rPr>
          <w:rFonts w:ascii="Palatino Linotype" w:eastAsia="Palatino Linotype" w:hAnsi="Palatino Linotype" w:cs="Palatino Linotype"/>
          <w:i/>
          <w:sz w:val="22"/>
          <w:szCs w:val="22"/>
        </w:rPr>
        <w:t>que</w:t>
      </w:r>
      <w:proofErr w:type="gramEnd"/>
      <w:r w:rsidRPr="003C50B2">
        <w:rPr>
          <w:rFonts w:ascii="Palatino Linotype" w:eastAsia="Palatino Linotype" w:hAnsi="Palatino Linotype" w:cs="Palatino Linotype"/>
          <w:i/>
          <w:sz w:val="22"/>
          <w:szCs w:val="22"/>
        </w:rPr>
        <w:t xml:space="preserve"> en ejercicio de las atribuciones conferidas, sea generada por los Sujetos Obligados;</w:t>
      </w:r>
    </w:p>
    <w:p w14:paraId="64213DDF" w14:textId="77777777" w:rsidR="00362761" w:rsidRPr="003C50B2" w:rsidRDefault="00F04517">
      <w:pPr>
        <w:ind w:left="851" w:right="899"/>
        <w:jc w:val="both"/>
        <w:rPr>
          <w:rFonts w:ascii="Palatino Linotype" w:eastAsia="Palatino Linotype" w:hAnsi="Palatino Linotype" w:cs="Palatino Linotype"/>
          <w:b/>
          <w:i/>
          <w:sz w:val="22"/>
          <w:szCs w:val="22"/>
        </w:rPr>
      </w:pPr>
      <w:r w:rsidRPr="003C50B2">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3C50B2">
        <w:rPr>
          <w:rFonts w:ascii="Palatino Linotype" w:eastAsia="Palatino Linotype" w:hAnsi="Palatino Linotype" w:cs="Palatino Linotype"/>
          <w:b/>
          <w:i/>
          <w:sz w:val="22"/>
          <w:szCs w:val="22"/>
        </w:rPr>
        <w:t>que</w:t>
      </w:r>
      <w:proofErr w:type="gramEnd"/>
      <w:r w:rsidRPr="003C50B2">
        <w:rPr>
          <w:rFonts w:ascii="Palatino Linotype" w:eastAsia="Palatino Linotype" w:hAnsi="Palatino Linotype" w:cs="Palatino Linotype"/>
          <w:b/>
          <w:i/>
          <w:sz w:val="22"/>
          <w:szCs w:val="22"/>
        </w:rPr>
        <w:t xml:space="preserve"> en ejercicio de las atribuciones conferidas, sea administrada por los Sujetos Obligados, y</w:t>
      </w:r>
    </w:p>
    <w:p w14:paraId="6A4F878D" w14:textId="77777777" w:rsidR="00362761" w:rsidRPr="003C50B2" w:rsidRDefault="00F04517">
      <w:pPr>
        <w:ind w:left="851" w:right="899"/>
        <w:jc w:val="both"/>
        <w:rPr>
          <w:rFonts w:ascii="Palatino Linotype" w:eastAsia="Palatino Linotype" w:hAnsi="Palatino Linotype" w:cs="Palatino Linotype"/>
          <w:b/>
          <w:i/>
          <w:sz w:val="22"/>
          <w:szCs w:val="22"/>
        </w:rPr>
      </w:pPr>
      <w:r w:rsidRPr="003C50B2">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3C50B2">
        <w:rPr>
          <w:rFonts w:ascii="Palatino Linotype" w:eastAsia="Palatino Linotype" w:hAnsi="Palatino Linotype" w:cs="Palatino Linotype"/>
          <w:b/>
          <w:i/>
          <w:sz w:val="22"/>
          <w:szCs w:val="22"/>
        </w:rPr>
        <w:t>que</w:t>
      </w:r>
      <w:proofErr w:type="gramEnd"/>
      <w:r w:rsidRPr="003C50B2">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08100983" w14:textId="77777777" w:rsidR="00362761" w:rsidRPr="003C50B2" w:rsidRDefault="00F04517">
      <w:pPr>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Temamatla, lo siguiente:</w:t>
      </w:r>
    </w:p>
    <w:p w14:paraId="6A499F88" w14:textId="77777777" w:rsidR="00362761" w:rsidRPr="003C50B2" w:rsidRDefault="00051C47" w:rsidP="00051C47">
      <w:pPr>
        <w:pStyle w:val="Prrafodelista"/>
        <w:numPr>
          <w:ilvl w:val="0"/>
          <w:numId w:val="4"/>
        </w:numPr>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Todas las actas de todas y cada una de las sesiones realizadas durante la administración 2022 2024 del comité de desarrollo urbano</w:t>
      </w:r>
      <w:r w:rsidR="00F04517" w:rsidRPr="003C50B2">
        <w:rPr>
          <w:rFonts w:ascii="Palatino Linotype" w:eastAsia="Palatino Linotype" w:hAnsi="Palatino Linotype" w:cs="Palatino Linotype"/>
        </w:rPr>
        <w:t>.</w:t>
      </w:r>
    </w:p>
    <w:p w14:paraId="257A2669" w14:textId="77777777" w:rsidR="00051C47" w:rsidRPr="003C50B2" w:rsidRDefault="00F04517" w:rsidP="00051C47">
      <w:pPr>
        <w:spacing w:before="240" w:after="240" w:line="360" w:lineRule="auto"/>
        <w:ind w:right="49"/>
        <w:jc w:val="both"/>
        <w:rPr>
          <w:rFonts w:ascii="Palatino Linotype" w:eastAsia="Palatino Linotype" w:hAnsi="Palatino Linotype" w:cs="Palatino Linotype"/>
          <w:b/>
        </w:rPr>
      </w:pPr>
      <w:r w:rsidRPr="003C50B2">
        <w:rPr>
          <w:rFonts w:ascii="Palatino Linotype" w:eastAsia="Palatino Linotype" w:hAnsi="Palatino Linotype" w:cs="Palatino Linotype"/>
        </w:rPr>
        <w:t xml:space="preserve">En respuesta, el </w:t>
      </w:r>
      <w:r w:rsidRPr="003C50B2">
        <w:rPr>
          <w:rFonts w:ascii="Palatino Linotype" w:eastAsia="Palatino Linotype" w:hAnsi="Palatino Linotype" w:cs="Palatino Linotype"/>
          <w:b/>
        </w:rPr>
        <w:t xml:space="preserve">SUJETO OBLIGADO </w:t>
      </w:r>
      <w:r w:rsidRPr="003C50B2">
        <w:rPr>
          <w:rFonts w:ascii="Palatino Linotype" w:eastAsia="Palatino Linotype" w:hAnsi="Palatino Linotype" w:cs="Palatino Linotype"/>
        </w:rPr>
        <w:t xml:space="preserve">a través de su </w:t>
      </w:r>
      <w:r w:rsidR="00051C47" w:rsidRPr="003C50B2">
        <w:rPr>
          <w:rFonts w:ascii="Palatino Linotype" w:eastAsia="Palatino Linotype" w:hAnsi="Palatino Linotype" w:cs="Palatino Linotype"/>
        </w:rPr>
        <w:t xml:space="preserve">Dirección de Desarrollo Urbano y Ecología, informó al Titular de la Unidad de Transparencia y Acceso a la Información Pública, la contestación a la solicitud número </w:t>
      </w:r>
      <w:r w:rsidR="00051C47" w:rsidRPr="003C50B2">
        <w:rPr>
          <w:rFonts w:ascii="Palatino Linotype" w:eastAsia="Palatino Linotype" w:hAnsi="Palatino Linotype" w:cs="Palatino Linotype"/>
        </w:rPr>
        <w:lastRenderedPageBreak/>
        <w:t xml:space="preserve">00441/TEMAMATL/IP/2024, a través de la cual propone la consulta directa ya que por cuestiones de la entrega-recepción que se aproxima para culminar el periodo 2022-2024, </w:t>
      </w:r>
      <w:r w:rsidR="00051C47" w:rsidRPr="003C50B2">
        <w:rPr>
          <w:rFonts w:ascii="Palatino Linotype" w:eastAsia="Palatino Linotype" w:hAnsi="Palatino Linotype" w:cs="Palatino Linotype"/>
          <w:b/>
        </w:rPr>
        <w:t xml:space="preserve">su tiempo y atención está enfocado a ello y al no contar con el personal auxiliar que le apoye en la búsqueda de dichas actas se le imposibilita darle dicha información en físico, </w:t>
      </w:r>
      <w:r w:rsidR="00051C47" w:rsidRPr="003C50B2">
        <w:rPr>
          <w:rFonts w:ascii="Palatino Linotype" w:eastAsia="Palatino Linotype" w:hAnsi="Palatino Linotype" w:cs="Palatino Linotype"/>
        </w:rPr>
        <w:t>la cual fue aprobada a través del acuerdo número ACT/TEMA/UTAIP/ORDINARIA/84/2024/PRIMERO dictado en el Acta de la Octogésima Cuarta sesión ordinaria del Comité de Transparencia del Ayuntamiento de Temamatla, sin embargo, no se observa que se haya sometido a consideración del Comité la solicitud número 00441/TEMAMATL/IP/2024, para el cambio de modalidad a consulta directa propuesto por el Director de Desarrollo Urbano y Ecología del Ayuntamiento de Temamatla.</w:t>
      </w:r>
    </w:p>
    <w:p w14:paraId="5A20433D" w14:textId="77777777" w:rsidR="00362761" w:rsidRPr="003C50B2" w:rsidRDefault="00F04517" w:rsidP="00051C47">
      <w:pPr>
        <w:spacing w:before="240" w:after="240" w:line="360" w:lineRule="auto"/>
        <w:ind w:right="49"/>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No conforme con la respuesta la parte </w:t>
      </w:r>
      <w:r w:rsidRPr="003C50B2">
        <w:rPr>
          <w:rFonts w:ascii="Palatino Linotype" w:eastAsia="Palatino Linotype" w:hAnsi="Palatino Linotype" w:cs="Palatino Linotype"/>
          <w:b/>
        </w:rPr>
        <w:t>RECURRENTE</w:t>
      </w:r>
      <w:r w:rsidRPr="003C50B2">
        <w:rPr>
          <w:rFonts w:ascii="Palatino Linotype" w:eastAsia="Palatino Linotype" w:hAnsi="Palatino Linotype" w:cs="Palatino Linotype"/>
        </w:rPr>
        <w:t xml:space="preserve"> interpuso el recurso de revisión que se analiza en el presente asunto, por medio del cual se inconformó en lo medular por el cambio de modalidad de entrega de la información. </w:t>
      </w:r>
    </w:p>
    <w:p w14:paraId="22C064BC"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Ante la interposición del recurso de revisión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fue omiso en rendir su informe justificado. </w:t>
      </w:r>
    </w:p>
    <w:p w14:paraId="49E55783" w14:textId="77777777" w:rsidR="00051C47" w:rsidRPr="003C50B2" w:rsidRDefault="00051C47" w:rsidP="00051C47">
      <w:pPr>
        <w:spacing w:line="360" w:lineRule="auto"/>
        <w:contextualSpacing/>
        <w:jc w:val="both"/>
        <w:rPr>
          <w:rFonts w:ascii="Palatino Linotype" w:eastAsia="Palatino Linotype" w:hAnsi="Palatino Linotype" w:cs="Palatino Linotype"/>
        </w:rPr>
      </w:pPr>
    </w:p>
    <w:p w14:paraId="7E5B26E9" w14:textId="77777777" w:rsidR="00362761" w:rsidRPr="003C50B2" w:rsidRDefault="00F04517" w:rsidP="00051C47">
      <w:pPr>
        <w:spacing w:line="360" w:lineRule="auto"/>
        <w:contextualSpacing/>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Con base en lo precedente, se determina que la información proporcionada por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en su respuesta, no cumple con lo establecido por los artículos 4, 12 y 24 último párrafo de la Ley de Transparencia y Acceso a la Información Pública del Estado de México y Municipios; por ello, los motivos de inconformidad acontecen fundados para revocar la respuesta del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de acuerdo a las siguientes consideraciones:</w:t>
      </w:r>
    </w:p>
    <w:p w14:paraId="09F0AF2F" w14:textId="77777777" w:rsidR="00F6563C" w:rsidRPr="003C50B2" w:rsidRDefault="00F6563C" w:rsidP="00F6563C">
      <w:pPr>
        <w:spacing w:line="360" w:lineRule="auto"/>
        <w:contextualSpacing/>
        <w:jc w:val="both"/>
        <w:rPr>
          <w:rFonts w:ascii="Palatino Linotype" w:eastAsia="Palatino Linotype" w:hAnsi="Palatino Linotype" w:cs="Palatino Linotype"/>
        </w:rPr>
      </w:pPr>
      <w:r w:rsidRPr="003C50B2">
        <w:rPr>
          <w:rFonts w:ascii="Palatino Linotype" w:eastAsia="Palatino Linotype" w:hAnsi="Palatino Linotype" w:cs="Palatino Linotype"/>
        </w:rPr>
        <w:lastRenderedPageBreak/>
        <w:t>Antes del estudio de fondo, se debe precisar que de la solicitud de acceso a la información pública se desprende que el particular requiere información del año 2024; por ello, la información sobre hechos que aún no se han generado debido a la temporalidad, son hechos futuros; por lo que no es procedente que los sujetos obligados proporcionen dicha información siendo  aplicable la tesis con número de registro digital 209001[1] emitida por el Poder Judicial de la Federación, que dispone lo siguiente:</w:t>
      </w:r>
    </w:p>
    <w:p w14:paraId="717D5F56" w14:textId="77777777" w:rsidR="00F6563C" w:rsidRPr="003C50B2" w:rsidRDefault="00F6563C" w:rsidP="00F6563C">
      <w:pPr>
        <w:spacing w:before="240" w:after="240"/>
        <w:ind w:left="567" w:right="760"/>
        <w:contextualSpacing/>
        <w:jc w:val="both"/>
        <w:rPr>
          <w:rFonts w:ascii="Palatino Linotype" w:eastAsia="Palatino Linotype" w:hAnsi="Palatino Linotype" w:cs="Palatino Linotype"/>
          <w:i/>
          <w:sz w:val="22"/>
          <w:szCs w:val="22"/>
        </w:rPr>
      </w:pPr>
    </w:p>
    <w:p w14:paraId="71BF4819" w14:textId="77777777" w:rsidR="00F6563C" w:rsidRPr="003C50B2" w:rsidRDefault="00F6563C" w:rsidP="00F6563C">
      <w:pPr>
        <w:spacing w:before="240" w:after="240"/>
        <w:ind w:left="567" w:right="760"/>
        <w:contextualSpacing/>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“ACTOS FUTUROS DE REALIZACION INCIERTA. NO PROCEDE EL JUICIO DE AMPARO CONTRA LOS.</w:t>
      </w:r>
    </w:p>
    <w:p w14:paraId="523DC99D" w14:textId="77777777" w:rsidR="00F6563C" w:rsidRPr="003C50B2" w:rsidRDefault="00F6563C" w:rsidP="00F6563C">
      <w:pPr>
        <w:ind w:left="567" w:right="760"/>
        <w:contextualSpacing/>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Contra actos futuros de realización incierta no procede el juicio de garantías.</w:t>
      </w:r>
    </w:p>
    <w:p w14:paraId="276C607B" w14:textId="77777777" w:rsidR="00F6563C" w:rsidRPr="003C50B2" w:rsidRDefault="00F6563C" w:rsidP="00F6563C">
      <w:pPr>
        <w:ind w:left="567" w:right="760"/>
        <w:contextualSpacing/>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 xml:space="preserve"> </w:t>
      </w:r>
    </w:p>
    <w:p w14:paraId="03BE1D5D" w14:textId="77777777" w:rsidR="00F6563C" w:rsidRPr="003C50B2" w:rsidRDefault="00F6563C" w:rsidP="00F6563C">
      <w:pPr>
        <w:ind w:left="567" w:right="760"/>
        <w:contextualSpacing/>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2F79219F" w14:textId="77777777" w:rsidR="00F6563C" w:rsidRPr="003C50B2" w:rsidRDefault="00F6563C" w:rsidP="00F6563C">
      <w:pPr>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 En ese sentido, no es procedente la exigencia del hoy Recurrente de que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atienda su solicitud de toda la información generada en el año 2024, pues esa autoridad únicamente está constreñida a proporcionar la información pública que genere en uso de sus atribuciones de derecho público a la fecha de la solicitud de información, esto es al dos de octubre del año 2024.</w:t>
      </w:r>
    </w:p>
    <w:p w14:paraId="550BAA60" w14:textId="77777777" w:rsidR="00051C47" w:rsidRPr="003C50B2" w:rsidRDefault="00F04517" w:rsidP="00051C47">
      <w:pPr>
        <w:spacing w:line="360" w:lineRule="auto"/>
        <w:jc w:val="both"/>
        <w:rPr>
          <w:rFonts w:ascii="Palatino Linotype" w:hAnsi="Palatino Linotype"/>
        </w:rPr>
      </w:pPr>
      <w:r w:rsidRPr="003C50B2">
        <w:rPr>
          <w:rFonts w:ascii="Palatino Linotype" w:eastAsia="Palatino Linotype" w:hAnsi="Palatino Linotype" w:cs="Palatino Linotype"/>
        </w:rPr>
        <w:t xml:space="preserve">Sobre la </w:t>
      </w:r>
      <w:r w:rsidR="00051C47" w:rsidRPr="003C50B2">
        <w:rPr>
          <w:rFonts w:ascii="Palatino Linotype" w:eastAsia="Palatino Linotype" w:hAnsi="Palatino Linotype" w:cs="Palatino Linotype"/>
        </w:rPr>
        <w:t xml:space="preserve">información solicitada, </w:t>
      </w:r>
      <w:r w:rsidR="00051C47" w:rsidRPr="003C50B2">
        <w:rPr>
          <w:rFonts w:ascii="Palatino Linotype" w:hAnsi="Palatino Linotype" w:cs="Arial"/>
        </w:rPr>
        <w:t>la Ley General de Asentamientos Humanos, Ordenamiento Territorial y Desarrollo Urbano es de orden público, interés social y de observancia general en todo el territorio nacional; y sus disposiciones tendrán por objeto</w:t>
      </w:r>
      <w:r w:rsidR="00051C47" w:rsidRPr="003C50B2">
        <w:rPr>
          <w:rStyle w:val="Refdenotaalpie"/>
          <w:rFonts w:ascii="Palatino Linotype" w:hAnsi="Palatino Linotype" w:cs="Arial"/>
        </w:rPr>
        <w:footnoteReference w:id="1"/>
      </w:r>
      <w:r w:rsidR="00051C47" w:rsidRPr="003C50B2">
        <w:rPr>
          <w:rFonts w:ascii="Palatino Linotype" w:hAnsi="Palatino Linotype" w:cs="Arial"/>
        </w:rPr>
        <w:t>:</w:t>
      </w:r>
    </w:p>
    <w:p w14:paraId="3B940801" w14:textId="77777777" w:rsidR="00051C47" w:rsidRPr="003C50B2" w:rsidRDefault="00051C47" w:rsidP="00801E6E">
      <w:pPr>
        <w:pStyle w:val="Prrafodelista"/>
        <w:numPr>
          <w:ilvl w:val="1"/>
          <w:numId w:val="8"/>
        </w:numPr>
        <w:tabs>
          <w:tab w:val="left" w:pos="426"/>
        </w:tabs>
        <w:spacing w:before="240" w:after="240"/>
        <w:ind w:left="1134" w:right="51" w:hanging="357"/>
        <w:jc w:val="both"/>
        <w:rPr>
          <w:rFonts w:ascii="Palatino Linotype" w:hAnsi="Palatino Linotype"/>
          <w:i/>
          <w:sz w:val="22"/>
          <w:szCs w:val="22"/>
        </w:rPr>
      </w:pPr>
      <w:r w:rsidRPr="003C50B2">
        <w:rPr>
          <w:rFonts w:ascii="Palatino Linotype" w:hAnsi="Palatino Linotype" w:cs="Arial"/>
          <w:i/>
          <w:sz w:val="22"/>
          <w:szCs w:val="22"/>
        </w:rPr>
        <w:lastRenderedPageBreak/>
        <w:t xml:space="preserve">Fijar las normas básicas e instrumentos de gestión de observancia general, para ordenar el uso del territorio y los Asentamientos Humanos en el país, con pleno respeto a los derechos humanos, así como el cumplimiento de las obligaciones que tiene el Estado para promoverlos, respetarlos, protegerlos y garantizarlos plenamente; </w:t>
      </w:r>
    </w:p>
    <w:p w14:paraId="3903F41E" w14:textId="77777777" w:rsidR="00051C47" w:rsidRPr="003C50B2" w:rsidRDefault="00051C47" w:rsidP="00801E6E">
      <w:pPr>
        <w:pStyle w:val="Prrafodelista"/>
        <w:numPr>
          <w:ilvl w:val="1"/>
          <w:numId w:val="8"/>
        </w:numPr>
        <w:tabs>
          <w:tab w:val="left" w:pos="426"/>
        </w:tabs>
        <w:spacing w:before="240" w:after="240"/>
        <w:ind w:left="1134" w:right="51" w:hanging="357"/>
        <w:jc w:val="both"/>
        <w:rPr>
          <w:rFonts w:ascii="Palatino Linotype" w:hAnsi="Palatino Linotype"/>
          <w:i/>
          <w:sz w:val="22"/>
          <w:szCs w:val="22"/>
        </w:rPr>
      </w:pPr>
      <w:r w:rsidRPr="003C50B2">
        <w:rPr>
          <w:rFonts w:ascii="Palatino Linotype" w:hAnsi="Palatino Linotype" w:cs="Arial"/>
          <w:b/>
          <w:bCs/>
          <w:i/>
          <w:sz w:val="22"/>
          <w:szCs w:val="22"/>
        </w:rPr>
        <w:t>Establecer la concurrencia de</w:t>
      </w:r>
      <w:r w:rsidRPr="003C50B2">
        <w:rPr>
          <w:rFonts w:ascii="Palatino Linotype" w:hAnsi="Palatino Linotype" w:cs="Arial"/>
          <w:i/>
          <w:sz w:val="22"/>
          <w:szCs w:val="22"/>
        </w:rPr>
        <w:t xml:space="preserve"> la Federación, de las entidades federativas, </w:t>
      </w:r>
      <w:r w:rsidRPr="003C50B2">
        <w:rPr>
          <w:rFonts w:ascii="Palatino Linotype" w:hAnsi="Palatino Linotype" w:cs="Arial"/>
          <w:b/>
          <w:bCs/>
          <w:i/>
          <w:sz w:val="22"/>
          <w:szCs w:val="22"/>
        </w:rPr>
        <w:t>los municipios</w:t>
      </w:r>
      <w:r w:rsidRPr="003C50B2">
        <w:rPr>
          <w:rFonts w:ascii="Palatino Linotype" w:hAnsi="Palatino Linotype" w:cs="Arial"/>
          <w:i/>
          <w:sz w:val="22"/>
          <w:szCs w:val="22"/>
        </w:rPr>
        <w:t xml:space="preserve"> y las Demarcaciones Territoriales </w:t>
      </w:r>
      <w:r w:rsidRPr="003C50B2">
        <w:rPr>
          <w:rFonts w:ascii="Palatino Linotype" w:hAnsi="Palatino Linotype" w:cs="Arial"/>
          <w:b/>
          <w:bCs/>
          <w:i/>
          <w:sz w:val="22"/>
          <w:szCs w:val="22"/>
        </w:rPr>
        <w:t>para la planeación, ordenación y regulación de los Asentamientos Humanos en el territorio nacional</w:t>
      </w:r>
      <w:r w:rsidRPr="003C50B2">
        <w:rPr>
          <w:rFonts w:ascii="Palatino Linotype" w:hAnsi="Palatino Linotype" w:cs="Arial"/>
          <w:i/>
          <w:sz w:val="22"/>
          <w:szCs w:val="22"/>
        </w:rPr>
        <w:t>;</w:t>
      </w:r>
    </w:p>
    <w:p w14:paraId="67B8EFFF" w14:textId="77777777" w:rsidR="00051C47" w:rsidRPr="003C50B2" w:rsidRDefault="00051C47" w:rsidP="00801E6E">
      <w:pPr>
        <w:pStyle w:val="Prrafodelista"/>
        <w:numPr>
          <w:ilvl w:val="1"/>
          <w:numId w:val="8"/>
        </w:numPr>
        <w:tabs>
          <w:tab w:val="left" w:pos="426"/>
        </w:tabs>
        <w:spacing w:before="240" w:after="240"/>
        <w:ind w:left="1134" w:right="51" w:hanging="357"/>
        <w:jc w:val="both"/>
        <w:rPr>
          <w:rFonts w:ascii="Palatino Linotype" w:hAnsi="Palatino Linotype"/>
          <w:i/>
          <w:sz w:val="22"/>
          <w:szCs w:val="22"/>
        </w:rPr>
      </w:pPr>
      <w:r w:rsidRPr="003C50B2">
        <w:rPr>
          <w:rFonts w:ascii="Palatino Linotype" w:hAnsi="Palatino Linotype" w:cs="Arial"/>
          <w:b/>
          <w:bCs/>
          <w:i/>
          <w:sz w:val="22"/>
          <w:szCs w:val="22"/>
        </w:rPr>
        <w:t>Fijar los criterios para que, en el ámbito de sus respectivas competencias exista una efectiva congruencia, coordinación y participación entre</w:t>
      </w:r>
      <w:r w:rsidRPr="003C50B2">
        <w:rPr>
          <w:rFonts w:ascii="Palatino Linotype" w:hAnsi="Palatino Linotype" w:cs="Arial"/>
          <w:i/>
          <w:sz w:val="22"/>
          <w:szCs w:val="22"/>
        </w:rPr>
        <w:t xml:space="preserve"> la Federación, las entidades federativas, </w:t>
      </w:r>
      <w:r w:rsidRPr="003C50B2">
        <w:rPr>
          <w:rFonts w:ascii="Palatino Linotype" w:hAnsi="Palatino Linotype" w:cs="Arial"/>
          <w:b/>
          <w:bCs/>
          <w:i/>
          <w:sz w:val="22"/>
          <w:szCs w:val="22"/>
        </w:rPr>
        <w:t>los municipios</w:t>
      </w:r>
      <w:r w:rsidRPr="003C50B2">
        <w:rPr>
          <w:rFonts w:ascii="Palatino Linotype" w:hAnsi="Palatino Linotype" w:cs="Arial"/>
          <w:i/>
          <w:sz w:val="22"/>
          <w:szCs w:val="22"/>
        </w:rPr>
        <w:t xml:space="preserve"> y las Demarcaciones Territoriales </w:t>
      </w:r>
      <w:r w:rsidRPr="003C50B2">
        <w:rPr>
          <w:rFonts w:ascii="Palatino Linotype" w:hAnsi="Palatino Linotype" w:cs="Arial"/>
          <w:b/>
          <w:bCs/>
          <w:i/>
          <w:sz w:val="22"/>
          <w:szCs w:val="22"/>
        </w:rPr>
        <w:t>para la planeación de la Fundación, Crecimiento, Mejoramiento, consolidación y Conservación de los Centros de Población y Asentamientos Humanos</w:t>
      </w:r>
      <w:r w:rsidRPr="003C50B2">
        <w:rPr>
          <w:rFonts w:ascii="Palatino Linotype" w:hAnsi="Palatino Linotype" w:cs="Arial"/>
          <w:i/>
          <w:sz w:val="22"/>
          <w:szCs w:val="22"/>
        </w:rPr>
        <w:t xml:space="preserve">, garantizando en todo momento la protección y el acceso equitativo a los espacios públicos; </w:t>
      </w:r>
    </w:p>
    <w:p w14:paraId="3CDC0651" w14:textId="77777777" w:rsidR="00051C47" w:rsidRPr="003C50B2" w:rsidRDefault="00051C47" w:rsidP="00801E6E">
      <w:pPr>
        <w:pStyle w:val="Prrafodelista"/>
        <w:numPr>
          <w:ilvl w:val="1"/>
          <w:numId w:val="8"/>
        </w:numPr>
        <w:tabs>
          <w:tab w:val="left" w:pos="426"/>
        </w:tabs>
        <w:spacing w:before="240" w:after="240"/>
        <w:ind w:left="1134" w:right="51" w:hanging="357"/>
        <w:jc w:val="both"/>
        <w:rPr>
          <w:rFonts w:ascii="Palatino Linotype" w:hAnsi="Palatino Linotype"/>
          <w:i/>
          <w:sz w:val="22"/>
          <w:szCs w:val="22"/>
        </w:rPr>
      </w:pPr>
      <w:r w:rsidRPr="003C50B2">
        <w:rPr>
          <w:rFonts w:ascii="Palatino Linotype" w:hAnsi="Palatino Linotype" w:cs="Arial"/>
          <w:i/>
          <w:sz w:val="22"/>
          <w:szCs w:val="22"/>
        </w:rPr>
        <w:t xml:space="preserve">Definir los principios para determinar las Provisiones, Reservas, Usos del suelo y Destinos de áreas y predios que regulan la propiedad en los Centros de Población; y </w:t>
      </w:r>
    </w:p>
    <w:p w14:paraId="5FEB34DB" w14:textId="77777777" w:rsidR="00051C47" w:rsidRPr="003C50B2" w:rsidRDefault="00051C47" w:rsidP="00801E6E">
      <w:pPr>
        <w:pStyle w:val="Prrafodelista"/>
        <w:numPr>
          <w:ilvl w:val="1"/>
          <w:numId w:val="8"/>
        </w:numPr>
        <w:tabs>
          <w:tab w:val="left" w:pos="426"/>
        </w:tabs>
        <w:spacing w:before="240" w:after="240"/>
        <w:ind w:left="1134" w:right="51" w:hanging="357"/>
        <w:jc w:val="both"/>
        <w:rPr>
          <w:rFonts w:ascii="Palatino Linotype" w:hAnsi="Palatino Linotype"/>
          <w:i/>
          <w:sz w:val="22"/>
          <w:szCs w:val="22"/>
        </w:rPr>
      </w:pPr>
      <w:r w:rsidRPr="003C50B2">
        <w:rPr>
          <w:rFonts w:ascii="Palatino Linotype" w:hAnsi="Palatino Linotype" w:cs="Arial"/>
          <w:b/>
          <w:bCs/>
          <w:i/>
          <w:sz w:val="22"/>
          <w:szCs w:val="22"/>
        </w:rPr>
        <w:t>Propiciar mecanismos que permitan la participación ciudadana en particular para las mujeres, jóvenes y personas en situación de vulnerabilidad, en los procesos de planeación y gestión del territorio con base en el acceso a información transparente, completa y oportuna, así como la creación de espacios e instrumentos que garanticen la corresponsabilidad del gobierno y la ciudadanía en la formulación, seguimiento y evaluación de la política pública en la materia</w:t>
      </w:r>
      <w:r w:rsidRPr="003C50B2">
        <w:rPr>
          <w:rFonts w:ascii="Palatino Linotype" w:hAnsi="Palatino Linotype" w:cs="Arial"/>
          <w:i/>
          <w:sz w:val="22"/>
          <w:szCs w:val="22"/>
        </w:rPr>
        <w:t>.</w:t>
      </w:r>
    </w:p>
    <w:p w14:paraId="5D5790D2" w14:textId="77777777" w:rsidR="00801E6E" w:rsidRPr="003C50B2" w:rsidRDefault="00801E6E" w:rsidP="00801E6E">
      <w:pPr>
        <w:pStyle w:val="Prrafodelista"/>
        <w:tabs>
          <w:tab w:val="left" w:pos="426"/>
        </w:tabs>
        <w:spacing w:before="240" w:after="240" w:line="360" w:lineRule="auto"/>
        <w:ind w:left="0" w:right="51"/>
        <w:jc w:val="both"/>
        <w:rPr>
          <w:rFonts w:ascii="Palatino Linotype" w:hAnsi="Palatino Linotype"/>
        </w:rPr>
      </w:pPr>
    </w:p>
    <w:p w14:paraId="035BAB46" w14:textId="77777777" w:rsidR="00051C47" w:rsidRPr="003C50B2" w:rsidRDefault="00051C47" w:rsidP="00801E6E">
      <w:pPr>
        <w:pStyle w:val="Prrafodelista"/>
        <w:tabs>
          <w:tab w:val="left" w:pos="426"/>
        </w:tabs>
        <w:spacing w:before="240" w:after="240" w:line="360" w:lineRule="auto"/>
        <w:ind w:left="0" w:right="51"/>
        <w:jc w:val="both"/>
        <w:rPr>
          <w:rFonts w:ascii="Palatino Linotype" w:hAnsi="Palatino Linotype" w:cs="Arial"/>
        </w:rPr>
      </w:pPr>
      <w:r w:rsidRPr="003C50B2">
        <w:rPr>
          <w:rFonts w:ascii="Palatino Linotype" w:hAnsi="Palatino Linotype" w:cs="Arial"/>
        </w:rPr>
        <w:t xml:space="preserve">Así las cosas, el artículo 19 de la Ley referida, establece </w:t>
      </w:r>
      <w:proofErr w:type="gramStart"/>
      <w:r w:rsidRPr="003C50B2">
        <w:rPr>
          <w:rFonts w:ascii="Palatino Linotype" w:hAnsi="Palatino Linotype" w:cs="Arial"/>
        </w:rPr>
        <w:t>que</w:t>
      </w:r>
      <w:proofErr w:type="gramEnd"/>
      <w:r w:rsidRPr="003C50B2">
        <w:rPr>
          <w:rFonts w:ascii="Palatino Linotype" w:hAnsi="Palatino Linotype" w:cs="Arial"/>
        </w:rPr>
        <w:t xml:space="preserve"> para asegurar la consulta, opinión y deliberación de las políticas de ordenamiento territorial y planeación del Desarrollo Urbano y Desarrollo Metropolitano, conforme al sistema de planeación democrática del desarrollo nacional, las entidades federativas y los municipios, en el ámbito de sus respectivas competencias, conformarán los siguientes órganos auxiliares de participación ciudadana y conformación plural:</w:t>
      </w:r>
    </w:p>
    <w:p w14:paraId="6EC64DE1" w14:textId="77777777" w:rsidR="00801E6E" w:rsidRPr="003C50B2" w:rsidRDefault="00801E6E" w:rsidP="00801E6E">
      <w:pPr>
        <w:pStyle w:val="Prrafodelista"/>
        <w:tabs>
          <w:tab w:val="left" w:pos="426"/>
        </w:tabs>
        <w:spacing w:before="240" w:after="240" w:line="360" w:lineRule="auto"/>
        <w:ind w:left="0" w:right="51"/>
        <w:jc w:val="both"/>
        <w:rPr>
          <w:rFonts w:ascii="Palatino Linotype" w:hAnsi="Palatino Linotype"/>
        </w:rPr>
      </w:pPr>
    </w:p>
    <w:p w14:paraId="48A6AC72" w14:textId="77777777" w:rsidR="00051C47" w:rsidRPr="003C50B2" w:rsidRDefault="00051C47" w:rsidP="00051C47">
      <w:pPr>
        <w:pStyle w:val="Prrafodelista"/>
        <w:numPr>
          <w:ilvl w:val="1"/>
          <w:numId w:val="9"/>
        </w:numPr>
        <w:tabs>
          <w:tab w:val="left" w:pos="426"/>
        </w:tabs>
        <w:spacing w:before="240" w:after="240" w:line="360" w:lineRule="auto"/>
        <w:ind w:left="1134" w:right="51"/>
        <w:jc w:val="both"/>
        <w:rPr>
          <w:rFonts w:ascii="Palatino Linotype" w:hAnsi="Palatino Linotype"/>
          <w:i/>
          <w:sz w:val="22"/>
          <w:szCs w:val="22"/>
        </w:rPr>
      </w:pPr>
      <w:r w:rsidRPr="003C50B2">
        <w:rPr>
          <w:rFonts w:ascii="Palatino Linotype" w:hAnsi="Palatino Linotype" w:cs="Arial"/>
          <w:i/>
          <w:sz w:val="22"/>
          <w:szCs w:val="22"/>
        </w:rPr>
        <w:t xml:space="preserve">Los consejos estatales de ordenamiento territorial y Desarrollo Urbano; </w:t>
      </w:r>
    </w:p>
    <w:p w14:paraId="3D32670F" w14:textId="77777777" w:rsidR="00051C47" w:rsidRPr="003C50B2" w:rsidRDefault="00051C47" w:rsidP="00051C47">
      <w:pPr>
        <w:pStyle w:val="Prrafodelista"/>
        <w:numPr>
          <w:ilvl w:val="1"/>
          <w:numId w:val="9"/>
        </w:numPr>
        <w:tabs>
          <w:tab w:val="left" w:pos="426"/>
        </w:tabs>
        <w:spacing w:before="240" w:after="240" w:line="360" w:lineRule="auto"/>
        <w:ind w:left="1134" w:right="51"/>
        <w:jc w:val="both"/>
        <w:rPr>
          <w:rFonts w:ascii="Palatino Linotype" w:hAnsi="Palatino Linotype"/>
          <w:i/>
          <w:sz w:val="22"/>
          <w:szCs w:val="22"/>
        </w:rPr>
      </w:pPr>
      <w:r w:rsidRPr="003C50B2">
        <w:rPr>
          <w:rFonts w:ascii="Palatino Linotype" w:hAnsi="Palatino Linotype" w:cs="Arial"/>
          <w:i/>
          <w:sz w:val="22"/>
          <w:szCs w:val="22"/>
        </w:rPr>
        <w:t xml:space="preserve">Las comisiones metropolitanas y de conurbaciones; y </w:t>
      </w:r>
    </w:p>
    <w:p w14:paraId="51A87587" w14:textId="77777777" w:rsidR="00051C47" w:rsidRPr="003C50B2" w:rsidRDefault="00051C47" w:rsidP="00051C47">
      <w:pPr>
        <w:pStyle w:val="Prrafodelista"/>
        <w:numPr>
          <w:ilvl w:val="1"/>
          <w:numId w:val="9"/>
        </w:numPr>
        <w:tabs>
          <w:tab w:val="left" w:pos="426"/>
        </w:tabs>
        <w:spacing w:before="240" w:after="240" w:line="360" w:lineRule="auto"/>
        <w:ind w:left="1134" w:right="51"/>
        <w:jc w:val="both"/>
        <w:rPr>
          <w:rFonts w:ascii="Palatino Linotype" w:hAnsi="Palatino Linotype"/>
          <w:i/>
          <w:sz w:val="22"/>
          <w:szCs w:val="22"/>
        </w:rPr>
      </w:pPr>
      <w:r w:rsidRPr="003C50B2">
        <w:rPr>
          <w:rFonts w:ascii="Palatino Linotype" w:hAnsi="Palatino Linotype" w:cs="Arial"/>
          <w:b/>
          <w:bCs/>
          <w:i/>
          <w:sz w:val="22"/>
          <w:szCs w:val="22"/>
        </w:rPr>
        <w:lastRenderedPageBreak/>
        <w:t xml:space="preserve">Los consejos municipales de Desarrollo Urbano y vivienda </w:t>
      </w:r>
      <w:r w:rsidRPr="003C50B2">
        <w:rPr>
          <w:rFonts w:ascii="Palatino Linotype" w:hAnsi="Palatino Linotype" w:cs="Arial"/>
          <w:b/>
          <w:bCs/>
          <w:i/>
          <w:sz w:val="22"/>
          <w:szCs w:val="22"/>
          <w:u w:val="single"/>
        </w:rPr>
        <w:t>de ser necesarios</w:t>
      </w:r>
      <w:r w:rsidRPr="003C50B2">
        <w:rPr>
          <w:rFonts w:ascii="Palatino Linotype" w:hAnsi="Palatino Linotype" w:cs="Arial"/>
          <w:i/>
          <w:sz w:val="22"/>
          <w:szCs w:val="22"/>
        </w:rPr>
        <w:t>.</w:t>
      </w:r>
    </w:p>
    <w:p w14:paraId="46B19608" w14:textId="77777777" w:rsidR="00051C47" w:rsidRPr="003C50B2" w:rsidRDefault="00051C47" w:rsidP="00051C47">
      <w:pPr>
        <w:pStyle w:val="Prrafodelista"/>
        <w:tabs>
          <w:tab w:val="left" w:pos="426"/>
        </w:tabs>
        <w:spacing w:before="240" w:after="240" w:line="360" w:lineRule="auto"/>
        <w:ind w:left="0" w:right="51"/>
        <w:jc w:val="both"/>
        <w:rPr>
          <w:rFonts w:ascii="Palatino Linotype" w:hAnsi="Palatino Linotype"/>
        </w:rPr>
      </w:pPr>
    </w:p>
    <w:p w14:paraId="25D59084" w14:textId="77777777" w:rsidR="00051C47" w:rsidRPr="003C50B2" w:rsidRDefault="00051C47" w:rsidP="00801E6E">
      <w:pPr>
        <w:pStyle w:val="Prrafodelista"/>
        <w:tabs>
          <w:tab w:val="left" w:pos="426"/>
        </w:tabs>
        <w:spacing w:before="240" w:after="240" w:line="360" w:lineRule="auto"/>
        <w:ind w:left="0" w:right="51"/>
        <w:jc w:val="both"/>
        <w:rPr>
          <w:rFonts w:ascii="Palatino Linotype" w:hAnsi="Palatino Linotype"/>
        </w:rPr>
      </w:pPr>
      <w:r w:rsidRPr="003C50B2">
        <w:rPr>
          <w:rFonts w:ascii="Palatino Linotype" w:hAnsi="Palatino Linotype" w:cs="Arial"/>
        </w:rPr>
        <w:t>Por su parte, el Transitorio TERCERO de la Ley General de Asentamientos Humanos, Ordenamiento Territorial y Desarrollo Urbano, mandata que, en un plazo de un año contado a partir de la entrada en vigor del Decreto por el que se publica la norma, las autoridades de los tres órdenes de gobierno deberán crear o adecuar todas las disposiciones legales y reglamentarias relacionadas con los contenidos del instrumento.</w:t>
      </w:r>
    </w:p>
    <w:p w14:paraId="0D15E91B" w14:textId="77777777" w:rsidR="00051C47" w:rsidRPr="003C50B2" w:rsidRDefault="00051C47" w:rsidP="00051C47">
      <w:pPr>
        <w:pStyle w:val="Prrafodelista"/>
        <w:tabs>
          <w:tab w:val="left" w:pos="426"/>
        </w:tabs>
        <w:spacing w:before="240" w:after="240" w:line="360" w:lineRule="auto"/>
        <w:ind w:left="0" w:right="51"/>
        <w:jc w:val="both"/>
        <w:rPr>
          <w:rFonts w:ascii="Palatino Linotype" w:hAnsi="Palatino Linotype"/>
        </w:rPr>
      </w:pPr>
    </w:p>
    <w:p w14:paraId="1C9C596C" w14:textId="77777777" w:rsidR="00051C47" w:rsidRPr="003C50B2" w:rsidRDefault="00801E6E" w:rsidP="00801E6E">
      <w:pPr>
        <w:pStyle w:val="Prrafodelista"/>
        <w:tabs>
          <w:tab w:val="left" w:pos="426"/>
        </w:tabs>
        <w:spacing w:before="240" w:after="240" w:line="360" w:lineRule="auto"/>
        <w:ind w:left="0" w:right="51"/>
        <w:jc w:val="both"/>
        <w:rPr>
          <w:rFonts w:ascii="Palatino Linotype" w:hAnsi="Palatino Linotype"/>
        </w:rPr>
      </w:pPr>
      <w:r w:rsidRPr="003C50B2">
        <w:rPr>
          <w:rFonts w:ascii="Palatino Linotype" w:hAnsi="Palatino Linotype"/>
        </w:rPr>
        <w:t xml:space="preserve">Por su parte </w:t>
      </w:r>
      <w:r w:rsidR="00051C47" w:rsidRPr="003C50B2">
        <w:rPr>
          <w:rFonts w:ascii="Palatino Linotype" w:hAnsi="Palatino Linotype"/>
        </w:rPr>
        <w:t xml:space="preserve">el Código Administrativo del Estado de México consiste en un compendio de normas de orden público e interés general, y tienen por objeto regular diversas materias, a fin de promover el desarrollo social y económico en el Estado de México, entre las que destaca el </w:t>
      </w:r>
      <w:r w:rsidR="00051C47" w:rsidRPr="003C50B2">
        <w:rPr>
          <w:rFonts w:ascii="Palatino Linotype" w:hAnsi="Palatino Linotype"/>
          <w:b/>
          <w:bCs/>
        </w:rPr>
        <w:t>ordenamiento territorial de los asentamientos humanos y del desarrollo urbano de los centros de población</w:t>
      </w:r>
      <w:r w:rsidR="00051C47" w:rsidRPr="003C50B2">
        <w:rPr>
          <w:rStyle w:val="Refdenotaalpie"/>
          <w:rFonts w:ascii="Palatino Linotype" w:hAnsi="Palatino Linotype"/>
          <w:b/>
          <w:bCs/>
        </w:rPr>
        <w:footnoteReference w:id="2"/>
      </w:r>
      <w:r w:rsidR="00051C47" w:rsidRPr="003C50B2">
        <w:rPr>
          <w:rFonts w:ascii="Palatino Linotype" w:hAnsi="Palatino Linotype"/>
        </w:rPr>
        <w:t>.</w:t>
      </w:r>
    </w:p>
    <w:p w14:paraId="351F48F2" w14:textId="77777777" w:rsidR="00F6563C" w:rsidRPr="003C50B2" w:rsidRDefault="00F6563C" w:rsidP="00801E6E">
      <w:pPr>
        <w:pStyle w:val="Prrafodelista"/>
        <w:tabs>
          <w:tab w:val="left" w:pos="426"/>
        </w:tabs>
        <w:spacing w:before="240" w:after="240" w:line="360" w:lineRule="auto"/>
        <w:ind w:left="0" w:right="51"/>
        <w:jc w:val="both"/>
        <w:rPr>
          <w:rFonts w:ascii="Palatino Linotype" w:hAnsi="Palatino Linotype"/>
        </w:rPr>
      </w:pPr>
    </w:p>
    <w:p w14:paraId="0C3E350C" w14:textId="77777777" w:rsidR="00051C47" w:rsidRPr="003C50B2" w:rsidRDefault="00051C47" w:rsidP="00801E6E">
      <w:pPr>
        <w:pStyle w:val="Prrafodelista"/>
        <w:tabs>
          <w:tab w:val="left" w:pos="426"/>
        </w:tabs>
        <w:spacing w:before="240" w:after="240" w:line="360" w:lineRule="auto"/>
        <w:ind w:left="0" w:right="51"/>
        <w:jc w:val="both"/>
        <w:rPr>
          <w:rFonts w:ascii="Palatino Linotype" w:hAnsi="Palatino Linotype"/>
        </w:rPr>
      </w:pPr>
      <w:r w:rsidRPr="003C50B2">
        <w:rPr>
          <w:rFonts w:ascii="Palatino Linotype" w:hAnsi="Palatino Linotype"/>
        </w:rPr>
        <w:t>Al respecto, el Libro Quinto del Código Administrativo del Estado de México, titulado ‘Del Ordenamiento Territorial de los Asentamientos Humanos y del Desarrollo Urbano de los Centros de Población’, tendrá entre sus fines</w:t>
      </w:r>
      <w:r w:rsidRPr="003C50B2">
        <w:rPr>
          <w:rStyle w:val="Refdenotaalpie"/>
          <w:rFonts w:ascii="Palatino Linotype" w:hAnsi="Palatino Linotype"/>
        </w:rPr>
        <w:footnoteReference w:id="3"/>
      </w:r>
      <w:r w:rsidRPr="003C50B2">
        <w:rPr>
          <w:rFonts w:ascii="Palatino Linotype" w:hAnsi="Palatino Linotype"/>
        </w:rPr>
        <w:t>:</w:t>
      </w:r>
    </w:p>
    <w:p w14:paraId="4985CBA0" w14:textId="77777777" w:rsidR="00801E6E" w:rsidRPr="003C50B2" w:rsidRDefault="00801E6E" w:rsidP="00801E6E">
      <w:pPr>
        <w:pStyle w:val="Prrafodelista"/>
        <w:tabs>
          <w:tab w:val="left" w:pos="426"/>
        </w:tabs>
        <w:spacing w:before="240" w:after="240" w:line="360" w:lineRule="auto"/>
        <w:ind w:left="0" w:right="51"/>
        <w:jc w:val="both"/>
        <w:rPr>
          <w:rFonts w:ascii="Palatino Linotype" w:hAnsi="Palatino Linotype"/>
        </w:rPr>
      </w:pPr>
    </w:p>
    <w:p w14:paraId="2CE190CB" w14:textId="77777777" w:rsidR="00051C47" w:rsidRPr="003C50B2" w:rsidRDefault="00051C47" w:rsidP="00801E6E">
      <w:pPr>
        <w:pStyle w:val="Prrafodelista"/>
        <w:numPr>
          <w:ilvl w:val="1"/>
          <w:numId w:val="7"/>
        </w:numPr>
        <w:tabs>
          <w:tab w:val="left" w:pos="426"/>
        </w:tabs>
        <w:spacing w:before="240" w:after="240"/>
        <w:ind w:left="1134" w:right="51" w:hanging="357"/>
        <w:jc w:val="both"/>
        <w:rPr>
          <w:rFonts w:ascii="Palatino Linotype" w:hAnsi="Palatino Linotype"/>
          <w:i/>
          <w:sz w:val="22"/>
          <w:szCs w:val="22"/>
        </w:rPr>
      </w:pPr>
      <w:r w:rsidRPr="003C50B2">
        <w:rPr>
          <w:rFonts w:ascii="Palatino Linotype" w:hAnsi="Palatino Linotype"/>
          <w:b/>
          <w:bCs/>
          <w:i/>
          <w:sz w:val="22"/>
          <w:szCs w:val="22"/>
        </w:rPr>
        <w:t>Fijar las normas básicas e instrumentos para planear y regular</w:t>
      </w:r>
      <w:r w:rsidRPr="003C50B2">
        <w:rPr>
          <w:rFonts w:ascii="Palatino Linotype" w:hAnsi="Palatino Linotype"/>
          <w:i/>
          <w:sz w:val="22"/>
          <w:szCs w:val="22"/>
        </w:rPr>
        <w:t xml:space="preserve"> el ordenamiento territorial de los asentamientos humanos y </w:t>
      </w:r>
      <w:r w:rsidRPr="003C50B2">
        <w:rPr>
          <w:rFonts w:ascii="Palatino Linotype" w:hAnsi="Palatino Linotype"/>
          <w:b/>
          <w:bCs/>
          <w:i/>
          <w:sz w:val="22"/>
          <w:szCs w:val="22"/>
        </w:rPr>
        <w:t>el desarrollo urbano en la Entidad</w:t>
      </w:r>
      <w:r w:rsidRPr="003C50B2">
        <w:rPr>
          <w:rFonts w:ascii="Palatino Linotype" w:hAnsi="Palatino Linotype"/>
          <w:i/>
          <w:sz w:val="22"/>
          <w:szCs w:val="22"/>
        </w:rPr>
        <w:t xml:space="preserve">, con pleno respeto a los derechos humanos. </w:t>
      </w:r>
    </w:p>
    <w:p w14:paraId="647C8327" w14:textId="77777777" w:rsidR="00051C47" w:rsidRPr="003C50B2" w:rsidRDefault="00051C47" w:rsidP="00801E6E">
      <w:pPr>
        <w:pStyle w:val="Prrafodelista"/>
        <w:numPr>
          <w:ilvl w:val="1"/>
          <w:numId w:val="7"/>
        </w:numPr>
        <w:tabs>
          <w:tab w:val="left" w:pos="426"/>
        </w:tabs>
        <w:spacing w:before="240" w:after="240"/>
        <w:ind w:left="1134" w:right="51" w:hanging="357"/>
        <w:jc w:val="both"/>
        <w:rPr>
          <w:rFonts w:ascii="Palatino Linotype" w:hAnsi="Palatino Linotype"/>
          <w:i/>
          <w:sz w:val="22"/>
          <w:szCs w:val="22"/>
        </w:rPr>
      </w:pPr>
      <w:r w:rsidRPr="003C50B2">
        <w:rPr>
          <w:rFonts w:ascii="Palatino Linotype" w:hAnsi="Palatino Linotype"/>
          <w:b/>
          <w:bCs/>
          <w:i/>
          <w:sz w:val="22"/>
          <w:szCs w:val="22"/>
        </w:rPr>
        <w:t>Establecer la concurrencia entre el Estado y los municipios, para la ordenación y regulación de</w:t>
      </w:r>
      <w:r w:rsidRPr="003C50B2">
        <w:rPr>
          <w:rFonts w:ascii="Palatino Linotype" w:hAnsi="Palatino Linotype"/>
          <w:i/>
          <w:sz w:val="22"/>
          <w:szCs w:val="22"/>
        </w:rPr>
        <w:t xml:space="preserve"> los asentamientos humanos en el territorio estatal, para la coordinación </w:t>
      </w:r>
      <w:r w:rsidRPr="003C50B2">
        <w:rPr>
          <w:rFonts w:ascii="Palatino Linotype" w:hAnsi="Palatino Linotype"/>
          <w:i/>
          <w:sz w:val="22"/>
          <w:szCs w:val="22"/>
        </w:rPr>
        <w:lastRenderedPageBreak/>
        <w:t xml:space="preserve">y gestión de las conurbaciones y zonas metropolitanas y </w:t>
      </w:r>
      <w:r w:rsidRPr="003C50B2">
        <w:rPr>
          <w:rFonts w:ascii="Palatino Linotype" w:hAnsi="Palatino Linotype"/>
          <w:b/>
          <w:bCs/>
          <w:i/>
          <w:sz w:val="22"/>
          <w:szCs w:val="22"/>
        </w:rPr>
        <w:t>el desarrollo urbano de los centros de población</w:t>
      </w:r>
      <w:r w:rsidRPr="003C50B2">
        <w:rPr>
          <w:rFonts w:ascii="Palatino Linotype" w:hAnsi="Palatino Linotype"/>
          <w:i/>
          <w:sz w:val="22"/>
          <w:szCs w:val="22"/>
        </w:rPr>
        <w:t xml:space="preserve">. </w:t>
      </w:r>
    </w:p>
    <w:p w14:paraId="17C04CFB" w14:textId="77777777" w:rsidR="00051C47" w:rsidRPr="003C50B2" w:rsidRDefault="00051C47" w:rsidP="00801E6E">
      <w:pPr>
        <w:pStyle w:val="Prrafodelista"/>
        <w:numPr>
          <w:ilvl w:val="1"/>
          <w:numId w:val="7"/>
        </w:numPr>
        <w:tabs>
          <w:tab w:val="left" w:pos="426"/>
        </w:tabs>
        <w:spacing w:before="240" w:after="240"/>
        <w:ind w:left="1134" w:right="51" w:hanging="357"/>
        <w:jc w:val="both"/>
        <w:rPr>
          <w:rFonts w:ascii="Palatino Linotype" w:hAnsi="Palatino Linotype"/>
          <w:i/>
          <w:sz w:val="22"/>
          <w:szCs w:val="22"/>
        </w:rPr>
      </w:pPr>
      <w:r w:rsidRPr="003C50B2">
        <w:rPr>
          <w:rFonts w:ascii="Palatino Linotype" w:hAnsi="Palatino Linotype"/>
          <w:b/>
          <w:bCs/>
          <w:i/>
          <w:sz w:val="22"/>
          <w:szCs w:val="22"/>
        </w:rPr>
        <w:t>Asignar las atribuciones y responsabilidades</w:t>
      </w:r>
      <w:r w:rsidRPr="003C50B2">
        <w:rPr>
          <w:rFonts w:ascii="Palatino Linotype" w:hAnsi="Palatino Linotype"/>
          <w:i/>
          <w:sz w:val="22"/>
          <w:szCs w:val="22"/>
        </w:rPr>
        <w:t xml:space="preserve"> del Estado y </w:t>
      </w:r>
      <w:r w:rsidRPr="003C50B2">
        <w:rPr>
          <w:rFonts w:ascii="Palatino Linotype" w:hAnsi="Palatino Linotype"/>
          <w:b/>
          <w:bCs/>
          <w:i/>
          <w:sz w:val="22"/>
          <w:szCs w:val="22"/>
        </w:rPr>
        <w:t>de los municipios</w:t>
      </w:r>
      <w:r w:rsidRPr="003C50B2">
        <w:rPr>
          <w:rFonts w:ascii="Palatino Linotype" w:hAnsi="Palatino Linotype"/>
          <w:i/>
          <w:sz w:val="22"/>
          <w:szCs w:val="22"/>
        </w:rPr>
        <w:t xml:space="preserve"> en la aplicación de este Libro y su reglamentación.</w:t>
      </w:r>
    </w:p>
    <w:p w14:paraId="4755FC8B" w14:textId="77777777" w:rsidR="00051C47" w:rsidRPr="003C50B2" w:rsidRDefault="00051C47" w:rsidP="00051C47">
      <w:pPr>
        <w:pStyle w:val="Prrafodelista"/>
        <w:tabs>
          <w:tab w:val="left" w:pos="426"/>
        </w:tabs>
        <w:spacing w:before="240" w:after="240" w:line="360" w:lineRule="auto"/>
        <w:ind w:left="0" w:right="51"/>
        <w:jc w:val="both"/>
        <w:rPr>
          <w:rFonts w:ascii="Palatino Linotype" w:hAnsi="Palatino Linotype"/>
        </w:rPr>
      </w:pPr>
    </w:p>
    <w:p w14:paraId="48C645A6" w14:textId="77777777" w:rsidR="00051C47" w:rsidRPr="003C50B2" w:rsidRDefault="00051C47" w:rsidP="00801E6E">
      <w:pPr>
        <w:pStyle w:val="Prrafodelista"/>
        <w:tabs>
          <w:tab w:val="left" w:pos="426"/>
        </w:tabs>
        <w:spacing w:before="240" w:after="240" w:line="360" w:lineRule="auto"/>
        <w:ind w:left="0" w:right="51"/>
        <w:jc w:val="both"/>
        <w:rPr>
          <w:rFonts w:ascii="Palatino Linotype" w:hAnsi="Palatino Linotype"/>
        </w:rPr>
      </w:pPr>
      <w:r w:rsidRPr="003C50B2">
        <w:rPr>
          <w:rFonts w:ascii="Palatino Linotype" w:hAnsi="Palatino Linotype"/>
        </w:rPr>
        <w:t>No es ocioso mencionar que, de conformidad con lo establecido por el artículo 5.3, fracción XXII, del Código Administrativo del Estado de México, se entenderá como ‘Desarrollo Urbano’ al proceso de planeación y regulación de la conservación, mejoramiento y crecimiento de los centros de población.</w:t>
      </w:r>
    </w:p>
    <w:p w14:paraId="796AD362" w14:textId="77777777" w:rsidR="00051C47" w:rsidRPr="003C50B2" w:rsidRDefault="00051C47" w:rsidP="00051C47">
      <w:pPr>
        <w:pStyle w:val="Prrafodelista"/>
        <w:tabs>
          <w:tab w:val="left" w:pos="426"/>
        </w:tabs>
        <w:spacing w:before="240" w:after="240" w:line="360" w:lineRule="auto"/>
        <w:ind w:left="0" w:right="51"/>
        <w:jc w:val="both"/>
        <w:rPr>
          <w:rFonts w:ascii="Palatino Linotype" w:hAnsi="Palatino Linotype"/>
        </w:rPr>
      </w:pPr>
    </w:p>
    <w:p w14:paraId="123C4DE4" w14:textId="77777777" w:rsidR="00051C47" w:rsidRPr="003C50B2" w:rsidRDefault="00051C47" w:rsidP="00801E6E">
      <w:pPr>
        <w:pStyle w:val="Prrafodelista"/>
        <w:tabs>
          <w:tab w:val="left" w:pos="426"/>
        </w:tabs>
        <w:spacing w:before="240" w:after="240" w:line="360" w:lineRule="auto"/>
        <w:ind w:left="0" w:right="51"/>
        <w:jc w:val="both"/>
        <w:rPr>
          <w:rFonts w:ascii="Palatino Linotype" w:hAnsi="Palatino Linotype"/>
        </w:rPr>
      </w:pPr>
      <w:r w:rsidRPr="003C50B2">
        <w:rPr>
          <w:rFonts w:ascii="Palatino Linotype" w:hAnsi="Palatino Linotype"/>
        </w:rPr>
        <w:t>Ahora bien, por cuanto hace al artícu</w:t>
      </w:r>
      <w:r w:rsidR="00801E6E" w:rsidRPr="003C50B2">
        <w:rPr>
          <w:rFonts w:ascii="Palatino Linotype" w:hAnsi="Palatino Linotype"/>
        </w:rPr>
        <w:t>lo 5.27 de la norma en estudio</w:t>
      </w:r>
      <w:r w:rsidRPr="003C50B2">
        <w:rPr>
          <w:rFonts w:ascii="Palatino Linotype" w:hAnsi="Palatino Linotype"/>
        </w:rPr>
        <w:t>, éste señala lo siguiente:</w:t>
      </w:r>
    </w:p>
    <w:p w14:paraId="2E84DDE6" w14:textId="77777777" w:rsidR="00051C47" w:rsidRPr="003C50B2" w:rsidRDefault="00051C47" w:rsidP="00051C47">
      <w:pPr>
        <w:pStyle w:val="Prrafodelista"/>
        <w:tabs>
          <w:tab w:val="left" w:pos="426"/>
        </w:tabs>
        <w:spacing w:before="240" w:after="240" w:line="360" w:lineRule="auto"/>
        <w:ind w:left="0" w:right="51"/>
        <w:jc w:val="both"/>
        <w:rPr>
          <w:rFonts w:ascii="Palatino Linotype" w:hAnsi="Palatino Linotype"/>
        </w:rPr>
      </w:pPr>
    </w:p>
    <w:p w14:paraId="3A4191A1" w14:textId="77777777" w:rsidR="00051C47" w:rsidRPr="003C50B2" w:rsidRDefault="00051C47" w:rsidP="00051C47">
      <w:pPr>
        <w:pStyle w:val="Prrafodelista"/>
        <w:tabs>
          <w:tab w:val="left" w:pos="426"/>
        </w:tabs>
        <w:spacing w:before="240" w:after="240" w:line="276" w:lineRule="auto"/>
        <w:ind w:left="567" w:right="567"/>
        <w:jc w:val="both"/>
        <w:rPr>
          <w:rFonts w:ascii="Palatino Linotype" w:hAnsi="Palatino Linotype"/>
          <w:i/>
          <w:iCs/>
          <w:sz w:val="22"/>
          <w:szCs w:val="22"/>
        </w:rPr>
      </w:pPr>
      <w:r w:rsidRPr="003C50B2">
        <w:rPr>
          <w:rFonts w:ascii="Palatino Linotype" w:hAnsi="Palatino Linotype"/>
          <w:i/>
          <w:iCs/>
          <w:sz w:val="22"/>
          <w:szCs w:val="22"/>
        </w:rPr>
        <w:t>“</w:t>
      </w:r>
      <w:r w:rsidRPr="003C50B2">
        <w:rPr>
          <w:rFonts w:ascii="Palatino Linotype" w:hAnsi="Palatino Linotype"/>
          <w:b/>
          <w:bCs/>
          <w:i/>
          <w:iCs/>
          <w:sz w:val="22"/>
          <w:szCs w:val="22"/>
        </w:rPr>
        <w:t>Artículo 5.27.-</w:t>
      </w:r>
      <w:r w:rsidRPr="003C50B2">
        <w:rPr>
          <w:rFonts w:ascii="Palatino Linotype" w:hAnsi="Palatino Linotype"/>
          <w:i/>
          <w:iCs/>
          <w:sz w:val="22"/>
          <w:szCs w:val="22"/>
        </w:rPr>
        <w:t xml:space="preserve"> El Estado y los municipios correspondientes, deberán planear y regular de manera conjunta y coordinada el desarrollo urbano de las conurbaciones o zonas metropolitanas que se presenten al interior del territorio estatal. Para lograr una eficaz gobernanza metropolitana y asegurar al efecto la acción coordinada de los niveles de gobierno y la participación social, se contará con las siguientes instancias: </w:t>
      </w:r>
    </w:p>
    <w:p w14:paraId="007C9580" w14:textId="77777777" w:rsidR="00051C47" w:rsidRPr="003C50B2" w:rsidRDefault="00051C47" w:rsidP="00051C47">
      <w:pPr>
        <w:pStyle w:val="Prrafodelista"/>
        <w:tabs>
          <w:tab w:val="left" w:pos="426"/>
        </w:tabs>
        <w:spacing w:before="240" w:after="240" w:line="276" w:lineRule="auto"/>
        <w:ind w:left="851" w:right="567"/>
        <w:jc w:val="both"/>
        <w:rPr>
          <w:rFonts w:ascii="Palatino Linotype" w:hAnsi="Palatino Linotype"/>
          <w:i/>
          <w:iCs/>
          <w:sz w:val="22"/>
          <w:szCs w:val="22"/>
        </w:rPr>
      </w:pPr>
      <w:r w:rsidRPr="003C50B2">
        <w:rPr>
          <w:rFonts w:ascii="Palatino Linotype" w:hAnsi="Palatino Linotype"/>
          <w:b/>
          <w:bCs/>
          <w:i/>
          <w:iCs/>
          <w:sz w:val="22"/>
          <w:szCs w:val="22"/>
        </w:rPr>
        <w:t>I.</w:t>
      </w:r>
      <w:r w:rsidRPr="003C50B2">
        <w:rPr>
          <w:rFonts w:ascii="Palatino Linotype" w:hAnsi="Palatino Linotype"/>
          <w:i/>
          <w:iCs/>
          <w:sz w:val="22"/>
          <w:szCs w:val="22"/>
        </w:rPr>
        <w:t xml:space="preserve"> El Consejo Consultivo Estatal de Ordenamiento Territorial y Desarrollo Urbano y Metropolitano. </w:t>
      </w:r>
    </w:p>
    <w:p w14:paraId="467FF1F8" w14:textId="77777777" w:rsidR="00051C47" w:rsidRPr="003C50B2" w:rsidRDefault="00051C47" w:rsidP="00051C47">
      <w:pPr>
        <w:pStyle w:val="Prrafodelista"/>
        <w:tabs>
          <w:tab w:val="left" w:pos="426"/>
        </w:tabs>
        <w:spacing w:before="240" w:after="240" w:line="276" w:lineRule="auto"/>
        <w:ind w:left="851" w:right="567"/>
        <w:jc w:val="both"/>
        <w:rPr>
          <w:rFonts w:ascii="Palatino Linotype" w:hAnsi="Palatino Linotype"/>
          <w:i/>
          <w:iCs/>
          <w:sz w:val="22"/>
          <w:szCs w:val="22"/>
        </w:rPr>
      </w:pPr>
      <w:r w:rsidRPr="003C50B2">
        <w:rPr>
          <w:rFonts w:ascii="Palatino Linotype" w:hAnsi="Palatino Linotype"/>
          <w:b/>
          <w:bCs/>
          <w:i/>
          <w:iCs/>
          <w:sz w:val="22"/>
          <w:szCs w:val="22"/>
        </w:rPr>
        <w:t>II.</w:t>
      </w:r>
      <w:r w:rsidRPr="003C50B2">
        <w:rPr>
          <w:rFonts w:ascii="Palatino Linotype" w:hAnsi="Palatino Linotype"/>
          <w:i/>
          <w:iCs/>
          <w:sz w:val="22"/>
          <w:szCs w:val="22"/>
        </w:rPr>
        <w:t xml:space="preserve"> La Comisión Estatal de Desarrollo Urbano y Metropolitano. </w:t>
      </w:r>
    </w:p>
    <w:p w14:paraId="35727FDA" w14:textId="77777777" w:rsidR="00801E6E" w:rsidRPr="003C50B2" w:rsidRDefault="00051C47" w:rsidP="00801E6E">
      <w:pPr>
        <w:pStyle w:val="Prrafodelista"/>
        <w:tabs>
          <w:tab w:val="left" w:pos="426"/>
        </w:tabs>
        <w:spacing w:before="240" w:after="240" w:line="276" w:lineRule="auto"/>
        <w:ind w:left="851" w:right="567"/>
        <w:jc w:val="both"/>
        <w:rPr>
          <w:rFonts w:ascii="Palatino Linotype" w:hAnsi="Palatino Linotype"/>
          <w:b/>
          <w:bCs/>
          <w:i/>
          <w:iCs/>
          <w:sz w:val="22"/>
          <w:szCs w:val="22"/>
        </w:rPr>
      </w:pPr>
      <w:r w:rsidRPr="003C50B2">
        <w:rPr>
          <w:rFonts w:ascii="Palatino Linotype" w:hAnsi="Palatino Linotype"/>
          <w:b/>
          <w:bCs/>
          <w:i/>
          <w:iCs/>
          <w:sz w:val="22"/>
          <w:szCs w:val="22"/>
        </w:rPr>
        <w:t xml:space="preserve">III. Los Consejos Municipales de Desarrollo Urbano, que serán instancias permanentes de participación social para la asesoría y consulta de los ayuntamientos, en materia de ordenamiento territorial de los asentamientos humanos y desarrollo urbano de los centros de población en su jurisdicción territorial. </w:t>
      </w:r>
    </w:p>
    <w:p w14:paraId="049F9B73" w14:textId="77777777" w:rsidR="00051C47" w:rsidRPr="003C50B2" w:rsidRDefault="00051C47" w:rsidP="00801E6E">
      <w:pPr>
        <w:pStyle w:val="Prrafodelista"/>
        <w:tabs>
          <w:tab w:val="left" w:pos="426"/>
        </w:tabs>
        <w:spacing w:before="240" w:after="240" w:line="276" w:lineRule="auto"/>
        <w:ind w:left="851" w:right="567"/>
        <w:jc w:val="both"/>
        <w:rPr>
          <w:rFonts w:ascii="Palatino Linotype" w:hAnsi="Palatino Linotype"/>
          <w:i/>
          <w:iCs/>
          <w:sz w:val="22"/>
          <w:szCs w:val="22"/>
        </w:rPr>
      </w:pPr>
      <w:r w:rsidRPr="003C50B2">
        <w:rPr>
          <w:rFonts w:ascii="Palatino Linotype" w:hAnsi="Palatino Linotype"/>
          <w:i/>
          <w:iCs/>
          <w:sz w:val="22"/>
          <w:szCs w:val="22"/>
        </w:rPr>
        <w:t>La organización y funcionamiento de estas instancias, se contendrá como corresponda en la reglamentación y convenios respectivos.”</w:t>
      </w:r>
    </w:p>
    <w:p w14:paraId="7A1B48AA" w14:textId="77777777" w:rsidR="00051C47" w:rsidRPr="003C50B2" w:rsidRDefault="00051C47" w:rsidP="00051C47">
      <w:pPr>
        <w:pStyle w:val="Prrafodelista"/>
        <w:tabs>
          <w:tab w:val="left" w:pos="426"/>
        </w:tabs>
        <w:spacing w:before="240" w:after="240" w:line="276" w:lineRule="auto"/>
        <w:ind w:left="567" w:right="567"/>
        <w:jc w:val="both"/>
        <w:rPr>
          <w:rFonts w:ascii="Palatino Linotype" w:hAnsi="Palatino Linotype"/>
          <w:sz w:val="22"/>
          <w:szCs w:val="22"/>
        </w:rPr>
      </w:pPr>
    </w:p>
    <w:p w14:paraId="03BFA350" w14:textId="77777777" w:rsidR="00051C47" w:rsidRPr="003C50B2" w:rsidRDefault="00051C47" w:rsidP="00051C47">
      <w:pPr>
        <w:pStyle w:val="Prrafodelista"/>
        <w:tabs>
          <w:tab w:val="left" w:pos="426"/>
        </w:tabs>
        <w:spacing w:before="240" w:after="240" w:line="360" w:lineRule="auto"/>
        <w:ind w:left="0" w:right="51"/>
        <w:jc w:val="both"/>
        <w:rPr>
          <w:rFonts w:ascii="Palatino Linotype" w:hAnsi="Palatino Linotype"/>
        </w:rPr>
      </w:pPr>
    </w:p>
    <w:p w14:paraId="69E8E9C9" w14:textId="77777777" w:rsidR="00051C47" w:rsidRPr="003C50B2" w:rsidRDefault="00051C47" w:rsidP="00801E6E">
      <w:pPr>
        <w:pStyle w:val="Prrafodelista"/>
        <w:tabs>
          <w:tab w:val="left" w:pos="426"/>
        </w:tabs>
        <w:spacing w:before="240" w:after="240" w:line="360" w:lineRule="auto"/>
        <w:ind w:left="0" w:right="51"/>
        <w:jc w:val="both"/>
        <w:rPr>
          <w:rFonts w:ascii="Palatino Linotype" w:hAnsi="Palatino Linotype"/>
        </w:rPr>
      </w:pPr>
      <w:r w:rsidRPr="003C50B2">
        <w:rPr>
          <w:rFonts w:ascii="Palatino Linotype" w:hAnsi="Palatino Linotype"/>
        </w:rPr>
        <w:lastRenderedPageBreak/>
        <w:t xml:space="preserve">De lo anterior se colige que, con el objeto de que el Estado de México y los municipios realicen una planeación y regulación eficaz del desarrollo urbano, se deberá contar, a nivel estatal, con un Consejo Consultivo de Ordenamiento Territorial y Desarrollo Urbano y Metropolitano, así como una Comisión de Desarrollo Urbano y Metropolitano; mientras que a nivel municipal, deberán existir </w:t>
      </w:r>
      <w:r w:rsidRPr="003C50B2">
        <w:rPr>
          <w:rFonts w:ascii="Palatino Linotype" w:hAnsi="Palatino Linotype"/>
          <w:b/>
          <w:bCs/>
        </w:rPr>
        <w:t>Consejos de Desarrollo Urbano</w:t>
      </w:r>
      <w:r w:rsidRPr="003C50B2">
        <w:rPr>
          <w:rFonts w:ascii="Palatino Linotype" w:hAnsi="Palatino Linotype"/>
        </w:rPr>
        <w:t>, mismos que serán instancias permanentes de participación social para la asesoría y consulta de los ayuntamientos, en materia de ordenamiento territorial de los asentamientos humanos y desarrollo urbano de los centros de población en su jurisdicción territorial.</w:t>
      </w:r>
    </w:p>
    <w:p w14:paraId="275DA6ED" w14:textId="77777777" w:rsidR="00051C47" w:rsidRPr="003C50B2" w:rsidRDefault="00051C47" w:rsidP="00051C47">
      <w:pPr>
        <w:pStyle w:val="Prrafodelista"/>
        <w:tabs>
          <w:tab w:val="left" w:pos="426"/>
        </w:tabs>
        <w:spacing w:before="240" w:after="240" w:line="360" w:lineRule="auto"/>
        <w:ind w:left="0" w:right="51"/>
        <w:jc w:val="both"/>
        <w:rPr>
          <w:rFonts w:ascii="Palatino Linotype" w:hAnsi="Palatino Linotype"/>
        </w:rPr>
      </w:pPr>
    </w:p>
    <w:p w14:paraId="4ED9A2F2" w14:textId="77777777" w:rsidR="00801E6E" w:rsidRPr="003C50B2" w:rsidRDefault="00051C47" w:rsidP="00801E6E">
      <w:pPr>
        <w:pStyle w:val="Prrafodelista"/>
        <w:tabs>
          <w:tab w:val="left" w:pos="426"/>
        </w:tabs>
        <w:spacing w:before="240" w:after="240" w:line="360" w:lineRule="auto"/>
        <w:ind w:left="0" w:right="51"/>
        <w:jc w:val="both"/>
        <w:rPr>
          <w:rFonts w:ascii="Palatino Linotype" w:hAnsi="Palatino Linotype"/>
        </w:rPr>
      </w:pPr>
      <w:r w:rsidRPr="003C50B2">
        <w:rPr>
          <w:rFonts w:ascii="Palatino Linotype" w:hAnsi="Palatino Linotype"/>
        </w:rPr>
        <w:t>Correlativo a lo a</w:t>
      </w:r>
      <w:r w:rsidR="00801E6E" w:rsidRPr="003C50B2">
        <w:rPr>
          <w:rFonts w:ascii="Palatino Linotype" w:hAnsi="Palatino Linotype"/>
        </w:rPr>
        <w:t>nterior, el Bando Municipal 2024 de Temamatla establece en su artículo 5 fracción VII que los fines y objetivos esenciales del Ayuntamiento están basados en el bienestar general de la población y para ello las Autoridades Municipales deben ajustar sus acciones a los siguientes lineamientos:</w:t>
      </w:r>
    </w:p>
    <w:p w14:paraId="0E4CF762" w14:textId="77777777" w:rsidR="00801E6E" w:rsidRPr="003C50B2" w:rsidRDefault="00801E6E" w:rsidP="00801E6E">
      <w:pPr>
        <w:pStyle w:val="Prrafodelista"/>
        <w:tabs>
          <w:tab w:val="left" w:pos="426"/>
        </w:tabs>
        <w:spacing w:before="240" w:after="240" w:line="360" w:lineRule="auto"/>
        <w:ind w:left="0" w:right="51"/>
        <w:jc w:val="both"/>
        <w:rPr>
          <w:rFonts w:ascii="Palatino Linotype" w:hAnsi="Palatino Linotype"/>
        </w:rPr>
      </w:pPr>
    </w:p>
    <w:p w14:paraId="39BB196F" w14:textId="77777777" w:rsidR="00801E6E" w:rsidRPr="003C50B2" w:rsidRDefault="00801E6E" w:rsidP="00801E6E">
      <w:pPr>
        <w:pStyle w:val="Prrafodelista"/>
        <w:tabs>
          <w:tab w:val="left" w:pos="426"/>
        </w:tabs>
        <w:spacing w:before="240" w:after="240" w:line="276" w:lineRule="auto"/>
        <w:ind w:left="851" w:right="567"/>
        <w:jc w:val="both"/>
        <w:rPr>
          <w:rFonts w:ascii="Palatino Linotype" w:hAnsi="Palatino Linotype"/>
          <w:i/>
          <w:iCs/>
          <w:sz w:val="22"/>
          <w:szCs w:val="22"/>
        </w:rPr>
      </w:pPr>
      <w:r w:rsidRPr="003C50B2">
        <w:rPr>
          <w:rFonts w:ascii="Palatino Linotype" w:hAnsi="Palatino Linotype"/>
          <w:i/>
          <w:iCs/>
          <w:sz w:val="22"/>
          <w:szCs w:val="22"/>
        </w:rPr>
        <w:t>“…VIII. Promover y reglamentar el adecuado y ordenado desarrollo urbano y rural del Municipio, protegiendo, en todo momento, las áreas que no están establecidas para asentamientos urbanos y rurales…”</w:t>
      </w:r>
    </w:p>
    <w:p w14:paraId="59CB7EF4" w14:textId="77777777" w:rsidR="00801E6E" w:rsidRPr="003C50B2" w:rsidRDefault="00801E6E" w:rsidP="00801E6E">
      <w:pPr>
        <w:pStyle w:val="Prrafodelista"/>
        <w:tabs>
          <w:tab w:val="left" w:pos="426"/>
        </w:tabs>
        <w:spacing w:before="240" w:after="240" w:line="360" w:lineRule="auto"/>
        <w:ind w:left="0" w:right="51"/>
        <w:jc w:val="both"/>
        <w:rPr>
          <w:rFonts w:ascii="Palatino Linotype" w:hAnsi="Palatino Linotype"/>
        </w:rPr>
      </w:pPr>
    </w:p>
    <w:p w14:paraId="6ED2495A" w14:textId="77777777" w:rsidR="00801E6E" w:rsidRPr="003C50B2" w:rsidRDefault="00801E6E" w:rsidP="00801E6E">
      <w:pPr>
        <w:pStyle w:val="Prrafodelista"/>
        <w:tabs>
          <w:tab w:val="left" w:pos="426"/>
        </w:tabs>
        <w:spacing w:before="240" w:after="240" w:line="360" w:lineRule="auto"/>
        <w:ind w:left="0" w:right="51"/>
        <w:jc w:val="both"/>
        <w:rPr>
          <w:rFonts w:ascii="Palatino Linotype" w:hAnsi="Palatino Linotype"/>
        </w:rPr>
      </w:pPr>
      <w:r w:rsidRPr="003C50B2">
        <w:rPr>
          <w:rFonts w:ascii="Palatino Linotype" w:hAnsi="Palatino Linotype"/>
        </w:rPr>
        <w:t xml:space="preserve">Por su parte el artículo 62 del mismo Bando Municipal en cita, señala al respecto lo siguiente: </w:t>
      </w:r>
    </w:p>
    <w:p w14:paraId="1455056C" w14:textId="77777777" w:rsidR="00801E6E" w:rsidRPr="003C50B2" w:rsidRDefault="00801E6E" w:rsidP="00801E6E">
      <w:pPr>
        <w:pStyle w:val="Prrafodelista"/>
        <w:tabs>
          <w:tab w:val="left" w:pos="426"/>
        </w:tabs>
        <w:spacing w:before="240" w:after="240" w:line="360" w:lineRule="auto"/>
        <w:ind w:left="0" w:right="51"/>
        <w:jc w:val="both"/>
        <w:rPr>
          <w:rFonts w:ascii="Palatino Linotype" w:hAnsi="Palatino Linotype"/>
        </w:rPr>
      </w:pPr>
    </w:p>
    <w:p w14:paraId="1CBDC04D" w14:textId="77777777" w:rsidR="00801E6E" w:rsidRPr="003C50B2" w:rsidRDefault="001A2B96" w:rsidP="00801E6E">
      <w:pPr>
        <w:pStyle w:val="Prrafodelista"/>
        <w:tabs>
          <w:tab w:val="left" w:pos="426"/>
        </w:tabs>
        <w:spacing w:before="240" w:after="240" w:line="276" w:lineRule="auto"/>
        <w:ind w:left="851" w:right="567"/>
        <w:jc w:val="both"/>
        <w:rPr>
          <w:rFonts w:ascii="Palatino Linotype" w:hAnsi="Palatino Linotype"/>
          <w:i/>
          <w:iCs/>
          <w:sz w:val="22"/>
          <w:szCs w:val="22"/>
        </w:rPr>
      </w:pPr>
      <w:r w:rsidRPr="003C50B2">
        <w:rPr>
          <w:rFonts w:ascii="Palatino Linotype" w:hAnsi="Palatino Linotype"/>
          <w:i/>
          <w:iCs/>
          <w:sz w:val="22"/>
          <w:szCs w:val="22"/>
        </w:rPr>
        <w:t>“</w:t>
      </w:r>
      <w:r w:rsidR="00801E6E" w:rsidRPr="003C50B2">
        <w:rPr>
          <w:rFonts w:ascii="Palatino Linotype" w:hAnsi="Palatino Linotype"/>
          <w:i/>
          <w:iCs/>
          <w:sz w:val="22"/>
          <w:szCs w:val="22"/>
        </w:rPr>
        <w:t xml:space="preserve">Artículo 62.- El Ayuntamiento podrá en pleno ejercicio de sus atribuciones, constituir las comisiones, institutos, consejos, comités, sistemas municipales, dependencias y organizaciones sociales representativas previstas en las leyes federales, estatales. Su creación, integración, organización y funcionamiento se </w:t>
      </w:r>
      <w:r w:rsidR="00801E6E" w:rsidRPr="003C50B2">
        <w:rPr>
          <w:rFonts w:ascii="Palatino Linotype" w:hAnsi="Palatino Linotype"/>
          <w:i/>
          <w:iCs/>
          <w:sz w:val="22"/>
          <w:szCs w:val="22"/>
        </w:rPr>
        <w:lastRenderedPageBreak/>
        <w:t>realizará conforme a las disposiciones normativas que les dan origen o los lineamientos aplicables.</w:t>
      </w:r>
      <w:r w:rsidRPr="003C50B2">
        <w:rPr>
          <w:rFonts w:ascii="Palatino Linotype" w:hAnsi="Palatino Linotype"/>
          <w:i/>
          <w:iCs/>
          <w:sz w:val="22"/>
          <w:szCs w:val="22"/>
        </w:rPr>
        <w:t xml:space="preserve">” </w:t>
      </w:r>
    </w:p>
    <w:p w14:paraId="36870910" w14:textId="77777777" w:rsidR="00801E6E" w:rsidRPr="003C50B2" w:rsidRDefault="00801E6E" w:rsidP="00801E6E">
      <w:pPr>
        <w:pStyle w:val="Prrafodelista"/>
        <w:tabs>
          <w:tab w:val="left" w:pos="426"/>
        </w:tabs>
        <w:spacing w:before="240" w:after="240" w:line="360" w:lineRule="auto"/>
        <w:ind w:left="0" w:right="51"/>
        <w:jc w:val="both"/>
        <w:rPr>
          <w:rFonts w:ascii="Palatino Linotype" w:hAnsi="Palatino Linotype"/>
        </w:rPr>
      </w:pPr>
    </w:p>
    <w:p w14:paraId="75738267" w14:textId="77777777" w:rsidR="00051C47" w:rsidRPr="003C50B2" w:rsidRDefault="00051C47" w:rsidP="00801E6E">
      <w:pPr>
        <w:pStyle w:val="Prrafodelista"/>
        <w:tabs>
          <w:tab w:val="left" w:pos="426"/>
        </w:tabs>
        <w:spacing w:before="240" w:after="240" w:line="360" w:lineRule="auto"/>
        <w:ind w:left="0" w:right="51"/>
        <w:jc w:val="both"/>
        <w:rPr>
          <w:rFonts w:ascii="Palatino Linotype" w:hAnsi="Palatino Linotype"/>
        </w:rPr>
      </w:pPr>
      <w:r w:rsidRPr="003C50B2">
        <w:rPr>
          <w:rFonts w:ascii="Palatino Linotype" w:hAnsi="Palatino Linotype"/>
        </w:rPr>
        <w:t xml:space="preserve">Luego entonces, para el despacho de los asuntos competencia del municipio, </w:t>
      </w:r>
      <w:r w:rsidRPr="003C50B2">
        <w:rPr>
          <w:rFonts w:ascii="Palatino Linotype" w:hAnsi="Palatino Linotype"/>
          <w:b/>
          <w:bCs/>
        </w:rPr>
        <w:t xml:space="preserve">la </w:t>
      </w:r>
      <w:proofErr w:type="gramStart"/>
      <w:r w:rsidRPr="003C50B2">
        <w:rPr>
          <w:rFonts w:ascii="Palatino Linotype" w:hAnsi="Palatino Linotype"/>
          <w:b/>
          <w:bCs/>
        </w:rPr>
        <w:t>Presidenta</w:t>
      </w:r>
      <w:proofErr w:type="gramEnd"/>
      <w:r w:rsidRPr="003C50B2">
        <w:rPr>
          <w:rFonts w:ascii="Palatino Linotype" w:hAnsi="Palatino Linotype"/>
          <w:b/>
          <w:bCs/>
        </w:rPr>
        <w:t xml:space="preserve"> Municipal podrá constituir </w:t>
      </w:r>
      <w:r w:rsidRPr="003C50B2">
        <w:rPr>
          <w:rFonts w:ascii="Palatino Linotype" w:hAnsi="Palatino Linotype"/>
          <w:b/>
          <w:bCs/>
          <w:u w:val="single"/>
        </w:rPr>
        <w:t>consejos,</w:t>
      </w:r>
      <w:r w:rsidRPr="003C50B2">
        <w:rPr>
          <w:rFonts w:ascii="Palatino Linotype" w:hAnsi="Palatino Linotype"/>
        </w:rPr>
        <w:t xml:space="preserve"> </w:t>
      </w:r>
      <w:r w:rsidRPr="003C50B2">
        <w:rPr>
          <w:rFonts w:ascii="Palatino Linotype" w:hAnsi="Palatino Linotype"/>
          <w:b/>
          <w:u w:val="single"/>
        </w:rPr>
        <w:t>comisiones, comités o cualquier</w:t>
      </w:r>
      <w:r w:rsidRPr="003C50B2">
        <w:rPr>
          <w:rFonts w:ascii="Palatino Linotype" w:hAnsi="Palatino Linotype"/>
        </w:rPr>
        <w:t xml:space="preserve"> otro órgano a propuesta de los titulares de las dependencias u organizaciones civiles, pudiendo ser permanentes o transitorios, atendiendo en todo momento el marco normativo que regule dichos consejos, comisiones, comités o cualquier otro órgano. Estos consejos serán responsables de proponer, vigilar e informar al ayuntamiento los acuerdos, acciones o normas tendientes a mejorar la administración pública municipal; pudiendo ser transitorios o permanentes. </w:t>
      </w:r>
    </w:p>
    <w:p w14:paraId="6B5E9038" w14:textId="77777777" w:rsidR="001A2B96" w:rsidRPr="003C50B2" w:rsidRDefault="001A2B96" w:rsidP="001A2B96">
      <w:pPr>
        <w:pStyle w:val="Prrafodelista"/>
        <w:tabs>
          <w:tab w:val="left" w:pos="426"/>
        </w:tabs>
        <w:spacing w:before="240" w:after="240" w:line="360" w:lineRule="auto"/>
        <w:ind w:left="0" w:right="51"/>
        <w:jc w:val="both"/>
        <w:rPr>
          <w:rFonts w:ascii="Palatino Linotype" w:hAnsi="Palatino Linotype"/>
        </w:rPr>
      </w:pPr>
    </w:p>
    <w:p w14:paraId="25CF9647" w14:textId="77777777" w:rsidR="001A2B96" w:rsidRPr="003C50B2" w:rsidRDefault="001A2B96" w:rsidP="001A2B96">
      <w:pPr>
        <w:pStyle w:val="Prrafodelista"/>
        <w:tabs>
          <w:tab w:val="left" w:pos="426"/>
        </w:tabs>
        <w:spacing w:before="240" w:after="240" w:line="360" w:lineRule="auto"/>
        <w:ind w:left="0" w:right="51"/>
        <w:jc w:val="both"/>
        <w:rPr>
          <w:rFonts w:ascii="Palatino Linotype" w:hAnsi="Palatino Linotype"/>
        </w:rPr>
      </w:pPr>
      <w:r w:rsidRPr="003C50B2">
        <w:rPr>
          <w:rFonts w:ascii="Palatino Linotype" w:hAnsi="Palatino Linotype"/>
        </w:rPr>
        <w:t xml:space="preserve">Luego entonces, queda demostrado de manifiesto que la Ley General de Asentamientos Humanos, Ordenamiento Territorial y Desarrollo Urbano, así como el Código Administrativo del Estado de México y el Bando Municipal 2024 del Ayuntamiento de Temamatla, reconocen la existencia del órgano denominado </w:t>
      </w:r>
      <w:r w:rsidRPr="003C50B2">
        <w:rPr>
          <w:rFonts w:ascii="Palatino Linotype" w:hAnsi="Palatino Linotype"/>
          <w:b/>
          <w:bCs/>
        </w:rPr>
        <w:t>Consejo o Comité Municipal de Desarrollo Urbano</w:t>
      </w:r>
      <w:r w:rsidRPr="003C50B2">
        <w:rPr>
          <w:rFonts w:ascii="Palatino Linotype" w:hAnsi="Palatino Linotype"/>
        </w:rPr>
        <w:t xml:space="preserve">, o similar; empero, ninguna de las normas reconoce una fecha específica en la que deberá instalarse este, más aún, como fuera demostrado en párrafos anteriores, la Ley General reconoce que estos Consejos Municipales </w:t>
      </w:r>
      <w:r w:rsidRPr="003C50B2">
        <w:rPr>
          <w:rFonts w:ascii="Palatino Linotype" w:hAnsi="Palatino Linotype"/>
          <w:b/>
          <w:bCs/>
        </w:rPr>
        <w:t>sólo se instalarán de ser necesarios</w:t>
      </w:r>
      <w:r w:rsidRPr="003C50B2">
        <w:rPr>
          <w:rFonts w:ascii="Palatino Linotype" w:hAnsi="Palatino Linotype"/>
        </w:rPr>
        <w:t>.</w:t>
      </w:r>
    </w:p>
    <w:p w14:paraId="27C4E4DB" w14:textId="77777777" w:rsidR="001A2B96" w:rsidRPr="003C50B2" w:rsidRDefault="001A2B96" w:rsidP="00801E6E">
      <w:pPr>
        <w:pStyle w:val="Prrafodelista"/>
        <w:tabs>
          <w:tab w:val="left" w:pos="426"/>
        </w:tabs>
        <w:spacing w:before="240" w:after="240" w:line="360" w:lineRule="auto"/>
        <w:ind w:left="0" w:right="51"/>
        <w:jc w:val="both"/>
        <w:rPr>
          <w:rFonts w:ascii="Palatino Linotype" w:hAnsi="Palatino Linotype"/>
        </w:rPr>
      </w:pPr>
    </w:p>
    <w:p w14:paraId="478C6ED7" w14:textId="77777777" w:rsidR="001A2B96" w:rsidRPr="003C50B2" w:rsidRDefault="001A2B96" w:rsidP="001A2B96">
      <w:pPr>
        <w:pStyle w:val="Prrafodelista"/>
        <w:tabs>
          <w:tab w:val="left" w:pos="426"/>
        </w:tabs>
        <w:spacing w:before="240" w:after="240" w:line="360" w:lineRule="auto"/>
        <w:ind w:left="0" w:right="51"/>
        <w:jc w:val="both"/>
        <w:rPr>
          <w:rFonts w:ascii="Palatino Linotype" w:eastAsia="Palatino Linotype" w:hAnsi="Palatino Linotype" w:cs="Palatino Linotype"/>
        </w:rPr>
      </w:pPr>
      <w:r w:rsidRPr="003C50B2">
        <w:rPr>
          <w:rFonts w:ascii="Palatino Linotype" w:hAnsi="Palatino Linotype"/>
        </w:rPr>
        <w:t xml:space="preserve">Principalmente, porque de la respuesta la </w:t>
      </w:r>
      <w:r w:rsidRPr="003C50B2">
        <w:rPr>
          <w:rFonts w:ascii="Palatino Linotype" w:eastAsia="Palatino Linotype" w:hAnsi="Palatino Linotype" w:cs="Palatino Linotype"/>
        </w:rPr>
        <w:t xml:space="preserve">Dirección de Desarrollo Urbano y Ecología, asumió contar con la información solicitada al señalar </w:t>
      </w:r>
      <w:r w:rsidRPr="003C50B2">
        <w:rPr>
          <w:rFonts w:ascii="Palatino Linotype" w:eastAsia="Palatino Linotype" w:hAnsi="Palatino Linotype" w:cs="Palatino Linotype"/>
          <w:b/>
        </w:rPr>
        <w:t xml:space="preserve">que no podía proporcionar la información en físico, al no contar con el personal auxiliar que le </w:t>
      </w:r>
      <w:r w:rsidRPr="003C50B2">
        <w:rPr>
          <w:rFonts w:ascii="Palatino Linotype" w:eastAsia="Palatino Linotype" w:hAnsi="Palatino Linotype" w:cs="Palatino Linotype"/>
          <w:b/>
        </w:rPr>
        <w:lastRenderedPageBreak/>
        <w:t xml:space="preserve">apoye en la búsqueda de dichas actas, </w:t>
      </w:r>
      <w:r w:rsidRPr="003C50B2">
        <w:rPr>
          <w:rFonts w:ascii="Palatino Linotype" w:eastAsia="Palatino Linotype" w:hAnsi="Palatino Linotype" w:cs="Palatino Linotype"/>
        </w:rPr>
        <w:t>cambiando la modalidad de entrega de la información a través de consulta directa; en ese sentido, se procede analizar dicho cambio de modalidad para determinar si es procedente en el presente asunto, conforme a lo subsecuente:</w:t>
      </w:r>
    </w:p>
    <w:p w14:paraId="7184FA4E" w14:textId="77777777" w:rsidR="001A2B96" w:rsidRPr="003C50B2" w:rsidRDefault="001A2B96" w:rsidP="001A2B96">
      <w:pPr>
        <w:spacing w:line="360" w:lineRule="auto"/>
        <w:ind w:right="49"/>
        <w:jc w:val="both"/>
        <w:rPr>
          <w:rFonts w:ascii="Palatino Linotype" w:eastAsia="Palatino Linotype" w:hAnsi="Palatino Linotype" w:cs="Palatino Linotype"/>
          <w:b/>
          <w:u w:val="single"/>
        </w:rPr>
      </w:pPr>
      <w:r w:rsidRPr="003C50B2">
        <w:rPr>
          <w:rFonts w:ascii="Palatino Linotype" w:eastAsia="Palatino Linotype" w:hAnsi="Palatino Linotype" w:cs="Palatino Linotype"/>
          <w:b/>
          <w:u w:val="single"/>
        </w:rPr>
        <w:t xml:space="preserve">Sobre el cambio de modalidad a consulta directa. </w:t>
      </w:r>
    </w:p>
    <w:p w14:paraId="15837820" w14:textId="77777777" w:rsidR="001A2B96" w:rsidRPr="003C50B2" w:rsidRDefault="001A2B96" w:rsidP="001A2B96">
      <w:pPr>
        <w:spacing w:line="360" w:lineRule="auto"/>
        <w:ind w:right="49"/>
        <w:jc w:val="both"/>
        <w:rPr>
          <w:rFonts w:ascii="Palatino Linotype" w:eastAsia="Palatino Linotype" w:hAnsi="Palatino Linotype" w:cs="Palatino Linotype"/>
        </w:rPr>
      </w:pPr>
    </w:p>
    <w:p w14:paraId="6FA42BC7" w14:textId="77777777" w:rsidR="001A2B96" w:rsidRPr="003C50B2" w:rsidRDefault="001A2B96" w:rsidP="001A2B96">
      <w:pPr>
        <w:spacing w:line="360" w:lineRule="auto"/>
        <w:ind w:right="49"/>
        <w:jc w:val="both"/>
        <w:rPr>
          <w:rFonts w:ascii="Palatino Linotype" w:eastAsia="Palatino Linotype" w:hAnsi="Palatino Linotype" w:cs="Palatino Linotype"/>
        </w:rPr>
      </w:pPr>
      <w:r w:rsidRPr="003C50B2">
        <w:rPr>
          <w:rFonts w:ascii="Palatino Linotype" w:eastAsia="Palatino Linotype" w:hAnsi="Palatino Linotype" w:cs="Palatino Linotype"/>
        </w:rPr>
        <w:t>De la respuesta del Ayuntamiento de Temamatla, este aprobó la consulta directa derivado del proceso de entrega-recepción, la capacidad técnica y humana no es suficiente, mesas de trabajo que se están llevando a cabo en la administración, el número excesivo de las sol</w:t>
      </w:r>
      <w:r w:rsidR="00233C3D" w:rsidRPr="003C50B2">
        <w:rPr>
          <w:rFonts w:ascii="Palatino Linotype" w:eastAsia="Palatino Linotype" w:hAnsi="Palatino Linotype" w:cs="Palatino Linotype"/>
        </w:rPr>
        <w:t xml:space="preserve">icitudes que se han recibido el </w:t>
      </w:r>
      <w:r w:rsidRPr="003C50B2">
        <w:rPr>
          <w:rFonts w:ascii="Palatino Linotype" w:eastAsia="Palatino Linotype" w:hAnsi="Palatino Linotype" w:cs="Palatino Linotype"/>
        </w:rPr>
        <w:t>Ayuntamiento</w:t>
      </w:r>
      <w:r w:rsidR="00233C3D" w:rsidRPr="003C50B2">
        <w:rPr>
          <w:rFonts w:ascii="Palatino Linotype" w:eastAsia="Palatino Linotype" w:hAnsi="Palatino Linotype" w:cs="Palatino Linotype"/>
        </w:rPr>
        <w:t xml:space="preserve"> de Temamatla</w:t>
      </w:r>
      <w:r w:rsidRPr="003C50B2">
        <w:rPr>
          <w:rFonts w:ascii="Palatino Linotype" w:eastAsia="Palatino Linotype" w:hAnsi="Palatino Linotype" w:cs="Palatino Linotype"/>
        </w:rPr>
        <w:t>.</w:t>
      </w:r>
    </w:p>
    <w:p w14:paraId="08306E6D" w14:textId="77777777" w:rsidR="001A2B96" w:rsidRPr="003C50B2" w:rsidRDefault="001A2B96" w:rsidP="001A2B96">
      <w:pPr>
        <w:spacing w:line="360" w:lineRule="auto"/>
        <w:ind w:right="49"/>
        <w:jc w:val="both"/>
        <w:rPr>
          <w:rFonts w:ascii="Palatino Linotype" w:eastAsia="Palatino Linotype" w:hAnsi="Palatino Linotype" w:cs="Palatino Linotype"/>
        </w:rPr>
      </w:pPr>
    </w:p>
    <w:p w14:paraId="45090C43" w14:textId="77777777" w:rsidR="001A2B96" w:rsidRPr="003C50B2" w:rsidRDefault="001A2B96" w:rsidP="001A2B96">
      <w:pPr>
        <w:spacing w:line="360" w:lineRule="auto"/>
        <w:ind w:right="49"/>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Sin embargo de la interpretación al acuerdo número ACT/TEMA/UTAIP/ORDINARIA/84/2024/PRIMERO emitido en el Acta de la Octogésima Cuarta sesión ordinaria del Comité de Transparencia del Ayuntamiento de Temamatla, la finalidad de aprobar el cambio de modalidad a consulta directa de la información fue por el cumuló de solicitudes de información ingresadas ante el Ayuntamiento de Temamatla, no así porque la información solicitada en el presente asunto sobrepase las capacidades administrativas y humanas del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así como las capacidades técnicas del Sistema de Acceso a la Información Mexiquense (SAIMEX), además de la lectura de la solicitud de información pública que se analiza en el presente caso es sólo para conocer</w:t>
      </w:r>
      <w:r w:rsidR="003901CC" w:rsidRPr="003C50B2">
        <w:rPr>
          <w:rFonts w:ascii="Palatino Linotype" w:eastAsia="Palatino Linotype" w:hAnsi="Palatino Linotype" w:cs="Palatino Linotype"/>
        </w:rPr>
        <w:t xml:space="preserve"> las actas de las sesiones realizadas durante la administración 2022 2024 del </w:t>
      </w:r>
      <w:r w:rsidR="003901CC" w:rsidRPr="003C50B2">
        <w:rPr>
          <w:rFonts w:ascii="Palatino Linotype" w:eastAsia="Palatino Linotype" w:hAnsi="Palatino Linotype" w:cs="Palatino Linotype"/>
        </w:rPr>
        <w:lastRenderedPageBreak/>
        <w:t>Comité de Desarrollo Urbano</w:t>
      </w:r>
      <w:r w:rsidRPr="003C50B2">
        <w:rPr>
          <w:rFonts w:ascii="Palatino Linotype" w:eastAsia="Palatino Linotype" w:hAnsi="Palatino Linotype" w:cs="Palatino Linotype"/>
        </w:rPr>
        <w:t>, lo que es obvio que no supera las capacidades del SAIMEX.</w:t>
      </w:r>
    </w:p>
    <w:p w14:paraId="072836D1" w14:textId="77777777" w:rsidR="00233C3D" w:rsidRPr="003C50B2" w:rsidRDefault="00233C3D" w:rsidP="001A2B96">
      <w:pPr>
        <w:spacing w:line="360" w:lineRule="auto"/>
        <w:ind w:right="49"/>
        <w:jc w:val="both"/>
        <w:rPr>
          <w:rFonts w:ascii="Palatino Linotype" w:eastAsia="Palatino Linotype" w:hAnsi="Palatino Linotype" w:cs="Palatino Linotype"/>
        </w:rPr>
      </w:pPr>
    </w:p>
    <w:p w14:paraId="2CCBA68D" w14:textId="77777777" w:rsidR="00233C3D" w:rsidRPr="003C50B2" w:rsidRDefault="00233C3D" w:rsidP="001A2B96">
      <w:pPr>
        <w:spacing w:line="360" w:lineRule="auto"/>
        <w:ind w:right="49"/>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Máxime, </w:t>
      </w:r>
      <w:proofErr w:type="gramStart"/>
      <w:r w:rsidRPr="003C50B2">
        <w:rPr>
          <w:rFonts w:ascii="Palatino Linotype" w:eastAsia="Palatino Linotype" w:hAnsi="Palatino Linotype" w:cs="Palatino Linotype"/>
        </w:rPr>
        <w:t>que</w:t>
      </w:r>
      <w:proofErr w:type="gramEnd"/>
      <w:r w:rsidRPr="003C50B2">
        <w:rPr>
          <w:rFonts w:ascii="Palatino Linotype" w:eastAsia="Palatino Linotype" w:hAnsi="Palatino Linotype" w:cs="Palatino Linotype"/>
        </w:rPr>
        <w:t xml:space="preserve"> de la revisión de la mencionada acta, no se advierte que la solicitud número 00441/TEMAMATL/IP/2024, haya sido considerada por el Comité de Transparencia del Ayuntamiento de Temamatla para el respectivo cambio de modalidad a consulta directa. </w:t>
      </w:r>
    </w:p>
    <w:p w14:paraId="1BC132A9" w14:textId="77777777" w:rsidR="001A2B96" w:rsidRPr="003C50B2" w:rsidRDefault="001A2B96" w:rsidP="001A2B96">
      <w:pPr>
        <w:spacing w:line="360" w:lineRule="auto"/>
        <w:ind w:right="-518"/>
        <w:jc w:val="both"/>
        <w:rPr>
          <w:rFonts w:ascii="Palatino Linotype" w:eastAsia="Palatino Linotype" w:hAnsi="Palatino Linotype" w:cs="Palatino Linotype"/>
        </w:rPr>
      </w:pPr>
    </w:p>
    <w:p w14:paraId="5DC14327" w14:textId="77777777" w:rsidR="001A2B96" w:rsidRPr="003C50B2" w:rsidRDefault="001A2B96" w:rsidP="001A2B96">
      <w:pPr>
        <w:spacing w:line="360" w:lineRule="auto"/>
        <w:ind w:right="-28"/>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Por ello, conviene mencionar que el artículo 155, fracción V, de la Ley de Transparencia y Acceso a la Información Pública del Estado de México y Municipios, precisa que para presentar una solicitud, el particular podrá señalar </w:t>
      </w:r>
      <w:r w:rsidRPr="003C50B2">
        <w:rPr>
          <w:rFonts w:ascii="Palatino Linotype" w:eastAsia="Palatino Linotype" w:hAnsi="Palatino Linotype" w:cs="Palatino Linotype"/>
          <w:b/>
        </w:rPr>
        <w:t>la modalidad en la que prefiere se otorgue el acceso a la información</w:t>
      </w:r>
      <w:r w:rsidRPr="003C50B2">
        <w:rPr>
          <w:rFonts w:ascii="Palatino Linotype" w:eastAsia="Palatino Linotype" w:hAnsi="Palatino Linotype" w:cs="Palatino Linotype"/>
        </w:rPr>
        <w:t>, la cual podrá ser verbal, siempre y cuando sea para fines de orientación, mediante consulta directa, mediante la expedición de copias simples o certificadas o la reproducción en cualquier otro medio, incluidos los electrónicos.</w:t>
      </w:r>
    </w:p>
    <w:p w14:paraId="5A3A0D20" w14:textId="77777777" w:rsidR="001A2B96" w:rsidRPr="003C50B2" w:rsidRDefault="001A2B96" w:rsidP="001A2B96">
      <w:pPr>
        <w:spacing w:line="360" w:lineRule="auto"/>
        <w:ind w:right="-28"/>
        <w:jc w:val="both"/>
        <w:rPr>
          <w:rFonts w:ascii="Palatino Linotype" w:eastAsia="Palatino Linotype" w:hAnsi="Palatino Linotype" w:cs="Palatino Linotype"/>
        </w:rPr>
      </w:pPr>
    </w:p>
    <w:p w14:paraId="00167C4A" w14:textId="77777777" w:rsidR="001A2B96" w:rsidRPr="003C50B2" w:rsidRDefault="001A2B96" w:rsidP="001A2B96">
      <w:pPr>
        <w:spacing w:line="360" w:lineRule="auto"/>
        <w:ind w:right="-28"/>
        <w:jc w:val="both"/>
        <w:rPr>
          <w:rFonts w:ascii="Palatino Linotype" w:eastAsia="Palatino Linotype" w:hAnsi="Palatino Linotype" w:cs="Palatino Linotype"/>
          <w:b/>
        </w:rPr>
      </w:pPr>
      <w:r w:rsidRPr="003C50B2">
        <w:rPr>
          <w:rFonts w:ascii="Palatino Linotype" w:eastAsia="Palatino Linotype" w:hAnsi="Palatino Linotype" w:cs="Palatino Linotype"/>
        </w:rPr>
        <w:t xml:space="preserve">El artículo 158, dispone que, de manera excepcional, cuando de manera fundada y motivada lo determine el Sujeto Obligado, </w:t>
      </w:r>
      <w:r w:rsidRPr="003C50B2">
        <w:rPr>
          <w:rFonts w:ascii="Palatino Linotype" w:eastAsia="Palatino Linotype" w:hAnsi="Palatino Linotype" w:cs="Palatino Linotype"/>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79AAD96D" w14:textId="77777777" w:rsidR="001A2B96" w:rsidRPr="003C50B2" w:rsidRDefault="001A2B96" w:rsidP="001A2B96">
      <w:pPr>
        <w:spacing w:line="360" w:lineRule="auto"/>
        <w:ind w:right="-28"/>
        <w:jc w:val="both"/>
        <w:rPr>
          <w:rFonts w:ascii="Palatino Linotype" w:eastAsia="Palatino Linotype" w:hAnsi="Palatino Linotype" w:cs="Palatino Linotype"/>
          <w:b/>
        </w:rPr>
      </w:pPr>
    </w:p>
    <w:p w14:paraId="2A6433CB" w14:textId="77777777" w:rsidR="001A2B96" w:rsidRPr="003C50B2" w:rsidRDefault="001A2B96" w:rsidP="001A2B96">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lastRenderedPageBreak/>
        <w:t xml:space="preserve">En ese orden de ideas, el artículo 164 de dicho ordenamiento jurídico, prevé que el acceso se dará en la modalidad de entrega y, en su caso, de envío elegidos por el solicitante. </w:t>
      </w:r>
      <w:r w:rsidRPr="003C50B2">
        <w:rPr>
          <w:rFonts w:ascii="Palatino Linotype" w:eastAsia="Palatino Linotype" w:hAnsi="Palatino Linotype" w:cs="Palatino Linotype"/>
          <w:b/>
        </w:rPr>
        <w:t>Cuando la información no pueda entregarse o enviarse en la modalidad elegida, el SUJETO OBLIGADO deberá ofrecer otra u otras modalidades de entrega.</w:t>
      </w:r>
      <w:r w:rsidRPr="003C50B2">
        <w:rPr>
          <w:rFonts w:ascii="Palatino Linotype" w:eastAsia="Palatino Linotype" w:hAnsi="Palatino Linotype" w:cs="Palatino Linotype"/>
        </w:rPr>
        <w:t xml:space="preserve"> En cualquier caso, </w:t>
      </w:r>
      <w:r w:rsidRPr="003C50B2">
        <w:rPr>
          <w:rFonts w:ascii="Palatino Linotype" w:eastAsia="Palatino Linotype" w:hAnsi="Palatino Linotype" w:cs="Palatino Linotype"/>
          <w:b/>
        </w:rPr>
        <w:t>se deberá fundar y motivar</w:t>
      </w:r>
      <w:r w:rsidRPr="003C50B2">
        <w:rPr>
          <w:rFonts w:ascii="Palatino Linotype" w:eastAsia="Palatino Linotype" w:hAnsi="Palatino Linotype" w:cs="Palatino Linotype"/>
        </w:rPr>
        <w:t xml:space="preserve"> la necesidad de ofrecer otras modalidades.</w:t>
      </w:r>
    </w:p>
    <w:p w14:paraId="6123CA56" w14:textId="77777777" w:rsidR="001A2B96" w:rsidRPr="003C50B2" w:rsidRDefault="001A2B96" w:rsidP="001A2B96">
      <w:pPr>
        <w:spacing w:line="360" w:lineRule="auto"/>
        <w:jc w:val="both"/>
        <w:rPr>
          <w:rFonts w:ascii="Palatino Linotype" w:eastAsia="Palatino Linotype" w:hAnsi="Palatino Linotype" w:cs="Palatino Linotype"/>
        </w:rPr>
      </w:pPr>
    </w:p>
    <w:p w14:paraId="35162C0B" w14:textId="77777777" w:rsidR="001A2B96" w:rsidRPr="003C50B2" w:rsidRDefault="001A2B96" w:rsidP="001A2B96">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3C50B2">
        <w:rPr>
          <w:rFonts w:ascii="Palatino Linotype" w:eastAsia="Palatino Linotype" w:hAnsi="Palatino Linotype" w:cs="Palatino Linotype"/>
          <w:b/>
        </w:rPr>
        <w:t>en la medida de lo posible, en la forma solicitada por el interesado, salvo que exista un impedimento justificado para atenderla</w:t>
      </w:r>
      <w:r w:rsidRPr="003C50B2">
        <w:rPr>
          <w:rFonts w:ascii="Palatino Linotype" w:eastAsia="Palatino Linotype" w:hAnsi="Palatino Linotype" w:cs="Palatino Linotype"/>
        </w:rPr>
        <w:t xml:space="preserve">, en cuyo caso, deberán exponerse las razones por las cuales no es posible utilizar el medio de reproducción solicitado; en este sentido, la entrega de la información en una modalidad distinta a la elegida por la particular </w:t>
      </w:r>
      <w:r w:rsidRPr="003C50B2">
        <w:rPr>
          <w:rFonts w:ascii="Palatino Linotype" w:eastAsia="Palatino Linotype" w:hAnsi="Palatino Linotype" w:cs="Palatino Linotype"/>
          <w:b/>
        </w:rPr>
        <w:t>sólo procede, en caso de que se acredite la imposibilidad de atenderla.</w:t>
      </w:r>
      <w:r w:rsidRPr="003C50B2">
        <w:rPr>
          <w:rFonts w:ascii="Palatino Linotype" w:eastAsia="Palatino Linotype" w:hAnsi="Palatino Linotype" w:cs="Palatino Linotype"/>
        </w:rPr>
        <w:t xml:space="preserve"> </w:t>
      </w:r>
    </w:p>
    <w:p w14:paraId="2EA483EE" w14:textId="77777777" w:rsidR="001A2B96" w:rsidRPr="003C50B2" w:rsidRDefault="001A2B96" w:rsidP="001A2B96">
      <w:pPr>
        <w:spacing w:line="360" w:lineRule="auto"/>
        <w:jc w:val="both"/>
        <w:rPr>
          <w:rFonts w:ascii="Palatino Linotype" w:eastAsia="Palatino Linotype" w:hAnsi="Palatino Linotype" w:cs="Palatino Linotype"/>
        </w:rPr>
      </w:pPr>
    </w:p>
    <w:p w14:paraId="78660472" w14:textId="77777777" w:rsidR="001A2B96" w:rsidRPr="003C50B2" w:rsidRDefault="001A2B96" w:rsidP="001A2B96">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Así, cuando se justifique el impedimento, </w:t>
      </w:r>
      <w:r w:rsidRPr="003C50B2">
        <w:rPr>
          <w:rFonts w:ascii="Palatino Linotype" w:eastAsia="Palatino Linotype" w:hAnsi="Palatino Linotype" w:cs="Palatino Linotype"/>
          <w:b/>
        </w:rPr>
        <w:t>los Sujetos Obligados deberán ofrecer al particular otras modalidades de entrega que permita la información</w:t>
      </w:r>
      <w:r w:rsidRPr="003C50B2">
        <w:rPr>
          <w:rFonts w:ascii="Palatino Linotype" w:eastAsia="Palatino Linotype" w:hAnsi="Palatino Linotype" w:cs="Palatino Linotype"/>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7CC57216" w14:textId="77777777" w:rsidR="001A2B96" w:rsidRPr="003C50B2" w:rsidRDefault="001A2B96" w:rsidP="001A2B96">
      <w:pPr>
        <w:spacing w:line="360" w:lineRule="auto"/>
        <w:jc w:val="both"/>
        <w:rPr>
          <w:rFonts w:ascii="Palatino Linotype" w:eastAsia="Palatino Linotype" w:hAnsi="Palatino Linotype" w:cs="Palatino Linotype"/>
        </w:rPr>
      </w:pPr>
    </w:p>
    <w:p w14:paraId="3DB6ACC1" w14:textId="77777777" w:rsidR="001A2B96" w:rsidRPr="003C50B2" w:rsidRDefault="001A2B96" w:rsidP="001A2B96">
      <w:pPr>
        <w:ind w:left="567" w:right="567"/>
        <w:jc w:val="both"/>
        <w:rPr>
          <w:rFonts w:ascii="Palatino Linotype" w:eastAsia="Palatino Linotype" w:hAnsi="Palatino Linotype" w:cs="Palatino Linotype"/>
          <w:i/>
          <w:sz w:val="20"/>
          <w:szCs w:val="20"/>
        </w:rPr>
      </w:pPr>
      <w:r w:rsidRPr="003C50B2">
        <w:rPr>
          <w:rFonts w:ascii="Palatino Linotype" w:eastAsia="Palatino Linotype" w:hAnsi="Palatino Linotype" w:cs="Palatino Linotype"/>
          <w:b/>
          <w:i/>
          <w:sz w:val="20"/>
          <w:szCs w:val="20"/>
        </w:rPr>
        <w:lastRenderedPageBreak/>
        <w:t>“Modalidad de entrega. Procedencia de proporcionar la información solicitada en una diversa a la elegida por el solicitante.</w:t>
      </w:r>
      <w:r w:rsidRPr="003C50B2">
        <w:rPr>
          <w:rFonts w:ascii="Palatino Linotype" w:eastAsia="Palatino Linotype" w:hAnsi="Palatino Linotype" w:cs="Palatino Linotype"/>
          <w:i/>
          <w:sz w:val="20"/>
          <w:szCs w:val="20"/>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240E3E35" w14:textId="77777777" w:rsidR="001A2B96" w:rsidRPr="003C50B2" w:rsidRDefault="001A2B96" w:rsidP="001A2B96">
      <w:pPr>
        <w:ind w:left="567" w:right="567"/>
        <w:jc w:val="both"/>
        <w:rPr>
          <w:rFonts w:ascii="Palatino Linotype" w:eastAsia="Palatino Linotype" w:hAnsi="Palatino Linotype" w:cs="Palatino Linotype"/>
          <w:i/>
          <w:sz w:val="20"/>
          <w:szCs w:val="20"/>
        </w:rPr>
      </w:pPr>
    </w:p>
    <w:p w14:paraId="517545C7" w14:textId="77777777" w:rsidR="001A2B96" w:rsidRPr="003C50B2" w:rsidRDefault="001A2B96" w:rsidP="001A2B96">
      <w:pPr>
        <w:spacing w:line="360" w:lineRule="auto"/>
        <w:jc w:val="both"/>
        <w:rPr>
          <w:rFonts w:ascii="Palatino Linotype" w:eastAsia="Palatino Linotype" w:hAnsi="Palatino Linotype" w:cs="Palatino Linotype"/>
          <w:b/>
        </w:rPr>
      </w:pPr>
      <w:r w:rsidRPr="003C50B2">
        <w:rPr>
          <w:rFonts w:ascii="Palatino Linotype" w:eastAsia="Palatino Linotype" w:hAnsi="Palatino Linotype" w:cs="Palatino Linotype"/>
        </w:rPr>
        <w:t xml:space="preserve">Del citado criterio, se desprende que cuando no sea posible atender la modalidad elegida por los solicitantes, la obligación de acceso a la información se tendrá por cumplida cuando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justifique el impedimento para atender la misma y se notifique al particular la puesta a disposición de la </w:t>
      </w:r>
      <w:r w:rsidRPr="003C50B2">
        <w:rPr>
          <w:rFonts w:ascii="Palatino Linotype" w:eastAsia="Palatino Linotype" w:hAnsi="Palatino Linotype" w:cs="Palatino Linotype"/>
          <w:b/>
        </w:rPr>
        <w:t>información en todas las modalidades que lo permitan, procurando reducir los costos de entrega.</w:t>
      </w:r>
    </w:p>
    <w:p w14:paraId="1B02CAEC" w14:textId="77777777" w:rsidR="001A2B96" w:rsidRPr="003C50B2" w:rsidRDefault="001A2B96" w:rsidP="001A2B96">
      <w:pPr>
        <w:spacing w:line="360" w:lineRule="auto"/>
        <w:jc w:val="both"/>
        <w:rPr>
          <w:rFonts w:ascii="Palatino Linotype" w:eastAsia="Palatino Linotype" w:hAnsi="Palatino Linotype" w:cs="Palatino Linotype"/>
        </w:rPr>
      </w:pPr>
    </w:p>
    <w:p w14:paraId="552F7B3A" w14:textId="77777777" w:rsidR="001A2B96" w:rsidRPr="003C50B2" w:rsidRDefault="001A2B96" w:rsidP="001A2B96">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19974274" w14:textId="77777777" w:rsidR="001A2B96" w:rsidRPr="003C50B2" w:rsidRDefault="001A2B96" w:rsidP="001A2B96">
      <w:pPr>
        <w:spacing w:line="360" w:lineRule="auto"/>
        <w:jc w:val="both"/>
        <w:rPr>
          <w:rFonts w:ascii="Palatino Linotype" w:eastAsia="Palatino Linotype" w:hAnsi="Palatino Linotype" w:cs="Palatino Linotype"/>
        </w:rPr>
      </w:pPr>
    </w:p>
    <w:p w14:paraId="5ADD2292" w14:textId="77777777" w:rsidR="001A2B96" w:rsidRPr="003C50B2" w:rsidRDefault="001A2B96" w:rsidP="001A2B96">
      <w:pPr>
        <w:numPr>
          <w:ilvl w:val="0"/>
          <w:numId w:val="3"/>
        </w:num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Las razones por las cuales la información implicaba un análisis, estudio o procesamiento de datos;</w:t>
      </w:r>
    </w:p>
    <w:p w14:paraId="70843159" w14:textId="77777777" w:rsidR="001A2B96" w:rsidRPr="003C50B2" w:rsidRDefault="001A2B96" w:rsidP="001A2B96">
      <w:pPr>
        <w:numPr>
          <w:ilvl w:val="0"/>
          <w:numId w:val="3"/>
        </w:num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1A661C45" w14:textId="77777777" w:rsidR="001A2B96" w:rsidRPr="003C50B2" w:rsidRDefault="001A2B96" w:rsidP="001A2B96">
      <w:pPr>
        <w:numPr>
          <w:ilvl w:val="0"/>
          <w:numId w:val="3"/>
        </w:num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lastRenderedPageBreak/>
        <w:t>La cantidad de recursos humanos y materiales con los que cuenta el Sujeto Obligado son insuficientes.</w:t>
      </w:r>
    </w:p>
    <w:p w14:paraId="5A573D22" w14:textId="77777777" w:rsidR="001A2B96" w:rsidRPr="003C50B2" w:rsidRDefault="001A2B96" w:rsidP="001A2B96">
      <w:pPr>
        <w:spacing w:line="360" w:lineRule="auto"/>
        <w:ind w:right="-28"/>
        <w:jc w:val="both"/>
      </w:pPr>
    </w:p>
    <w:p w14:paraId="5FD138C9" w14:textId="77777777" w:rsidR="001A2B96" w:rsidRPr="003C50B2" w:rsidRDefault="001A2B96" w:rsidP="001A2B96">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Asimismo, a través de diversos correos electrónicos la Dirección General de Informática de este </w:t>
      </w:r>
      <w:r w:rsidRPr="003C50B2">
        <w:rPr>
          <w:rFonts w:ascii="Palatino Linotype" w:eastAsia="Palatino Linotype" w:hAnsi="Palatino Linotype" w:cs="Palatino Linotype"/>
          <w:b/>
        </w:rPr>
        <w:t xml:space="preserve">SUJETO </w:t>
      </w:r>
      <w:proofErr w:type="gramStart"/>
      <w:r w:rsidRPr="003C50B2">
        <w:rPr>
          <w:rFonts w:ascii="Palatino Linotype" w:eastAsia="Palatino Linotype" w:hAnsi="Palatino Linotype" w:cs="Palatino Linotype"/>
          <w:b/>
        </w:rPr>
        <w:t>OBLIGADO</w:t>
      </w:r>
      <w:r w:rsidRPr="003C50B2">
        <w:rPr>
          <w:rFonts w:ascii="Palatino Linotype" w:eastAsia="Palatino Linotype" w:hAnsi="Palatino Linotype" w:cs="Palatino Linotype"/>
        </w:rPr>
        <w:t xml:space="preserve">  a</w:t>
      </w:r>
      <w:proofErr w:type="gramEnd"/>
      <w:r w:rsidRPr="003C50B2">
        <w:rPr>
          <w:rFonts w:ascii="Palatino Linotype" w:eastAsia="Palatino Linotype" w:hAnsi="Palatino Linotype" w:cs="Palatino Linotype"/>
        </w:rPr>
        <w:t xml:space="preserve"> informado que el Sistema de Acceso a la Información Mexiquense (SAIMEX), cuenta con la capacidad de recibir archivos con un peso aproximado de hasta 500Mb, que corresponde a un aproximado de 8,000 hojas, por cada solicitud de acceso a la información pública. </w:t>
      </w:r>
    </w:p>
    <w:p w14:paraId="787C6563" w14:textId="77777777" w:rsidR="001A2B96" w:rsidRPr="003C50B2" w:rsidRDefault="001A2B96" w:rsidP="001A2B96">
      <w:pPr>
        <w:spacing w:line="360" w:lineRule="auto"/>
        <w:jc w:val="both"/>
        <w:rPr>
          <w:rFonts w:ascii="Palatino Linotype" w:eastAsia="Palatino Linotype" w:hAnsi="Palatino Linotype" w:cs="Palatino Linotype"/>
        </w:rPr>
      </w:pPr>
    </w:p>
    <w:p w14:paraId="574A7628" w14:textId="77777777" w:rsidR="001A2B96" w:rsidRPr="003C50B2" w:rsidRDefault="001A2B96" w:rsidP="001A2B96">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Circunstancias que no se actualizan en el presente caso que se resuelve, además,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tampoco acreditó que lo peticionado implicaba un análisis, procesamiento o estudio de documentos cuya reproducción sobrepasará las capacidades técnicas, administrativas y humanas; además que la entrega de la información y de acuerdo a la naturaleza del SAIMEX, debe corresponder al respectivo folio de la solicitud, aunado a ello, no se precisó el número de personas que se encontraban en las áreas, ni el formato y sí la información se debería entregar en versión pública; esto es, no proporcionó los elementos necesarios para acreditar el cambio de modalidad, pues no  justificó dicho cambio.</w:t>
      </w:r>
    </w:p>
    <w:p w14:paraId="5EA3CBA6" w14:textId="77777777" w:rsidR="001A2B96" w:rsidRPr="003C50B2" w:rsidRDefault="001A2B96" w:rsidP="001A2B96">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Sobre lo anterior,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w:t>
      </w:r>
      <w:r w:rsidRPr="003C50B2">
        <w:rPr>
          <w:rFonts w:ascii="Palatino Linotype" w:eastAsia="Palatino Linotype" w:hAnsi="Palatino Linotype" w:cs="Palatino Linotype"/>
        </w:rPr>
        <w:lastRenderedPageBreak/>
        <w:t xml:space="preserve">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 </w:t>
      </w:r>
    </w:p>
    <w:p w14:paraId="4CC88774" w14:textId="77777777" w:rsidR="001A2B96" w:rsidRPr="003C50B2" w:rsidRDefault="001A2B96" w:rsidP="001A2B96">
      <w:pPr>
        <w:spacing w:line="360" w:lineRule="auto"/>
        <w:jc w:val="both"/>
        <w:rPr>
          <w:rFonts w:ascii="Palatino Linotype" w:eastAsia="Palatino Linotype" w:hAnsi="Palatino Linotype" w:cs="Palatino Linotype"/>
        </w:rPr>
      </w:pPr>
    </w:p>
    <w:p w14:paraId="44015969" w14:textId="77777777" w:rsidR="001A2B96" w:rsidRPr="003C50B2" w:rsidRDefault="001A2B96" w:rsidP="001A2B96">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Siendo las cosas así, cabe invocar el contenido del Capítulo X de Lineamientos Generales en Materia de Clasificación y Desclasificación de la Información, así como para la Elaboración de Versiones Públicas, respecto a la consulta directa, que señala:</w:t>
      </w:r>
    </w:p>
    <w:p w14:paraId="02CFFD0C" w14:textId="77777777" w:rsidR="001A2B96" w:rsidRPr="003C50B2" w:rsidRDefault="001A2B96" w:rsidP="001A2B96">
      <w:pPr>
        <w:spacing w:line="360" w:lineRule="auto"/>
        <w:jc w:val="both"/>
        <w:rPr>
          <w:rFonts w:ascii="Palatino Linotype" w:eastAsia="Palatino Linotype" w:hAnsi="Palatino Linotype" w:cs="Palatino Linotype"/>
        </w:rPr>
      </w:pPr>
    </w:p>
    <w:p w14:paraId="002B580E" w14:textId="77777777" w:rsidR="001A2B96" w:rsidRPr="003C50B2" w:rsidRDefault="001A2B96" w:rsidP="001A2B96">
      <w:pPr>
        <w:spacing w:after="120"/>
        <w:ind w:left="851" w:right="902"/>
        <w:jc w:val="center"/>
        <w:rPr>
          <w:rFonts w:ascii="Palatino Linotype" w:eastAsia="Palatino Linotype" w:hAnsi="Palatino Linotype" w:cs="Palatino Linotype"/>
          <w:b/>
          <w:i/>
          <w:sz w:val="22"/>
          <w:szCs w:val="22"/>
        </w:rPr>
      </w:pPr>
      <w:r w:rsidRPr="003C50B2">
        <w:rPr>
          <w:rFonts w:ascii="Palatino Linotype" w:eastAsia="Palatino Linotype" w:hAnsi="Palatino Linotype" w:cs="Palatino Linotype"/>
          <w:i/>
          <w:sz w:val="22"/>
          <w:szCs w:val="22"/>
        </w:rPr>
        <w:t>“</w:t>
      </w:r>
      <w:r w:rsidRPr="003C50B2">
        <w:rPr>
          <w:rFonts w:ascii="Palatino Linotype" w:eastAsia="Palatino Linotype" w:hAnsi="Palatino Linotype" w:cs="Palatino Linotype"/>
          <w:b/>
          <w:i/>
          <w:sz w:val="22"/>
          <w:szCs w:val="22"/>
        </w:rPr>
        <w:t>CAPÍTULO X</w:t>
      </w:r>
    </w:p>
    <w:p w14:paraId="19DDC863" w14:textId="77777777" w:rsidR="001A2B96" w:rsidRPr="003C50B2" w:rsidRDefault="001A2B96" w:rsidP="001A2B96">
      <w:pPr>
        <w:spacing w:before="120" w:after="120"/>
        <w:ind w:left="851" w:right="902"/>
        <w:jc w:val="center"/>
        <w:rPr>
          <w:rFonts w:ascii="Palatino Linotype" w:eastAsia="Palatino Linotype" w:hAnsi="Palatino Linotype" w:cs="Palatino Linotype"/>
          <w:b/>
          <w:i/>
          <w:sz w:val="22"/>
          <w:szCs w:val="22"/>
        </w:rPr>
      </w:pPr>
      <w:r w:rsidRPr="003C50B2">
        <w:rPr>
          <w:rFonts w:ascii="Palatino Linotype" w:eastAsia="Palatino Linotype" w:hAnsi="Palatino Linotype" w:cs="Palatino Linotype"/>
          <w:b/>
          <w:i/>
          <w:sz w:val="22"/>
          <w:szCs w:val="22"/>
        </w:rPr>
        <w:t>DE LA CONSULTA DIRECTA</w:t>
      </w:r>
    </w:p>
    <w:p w14:paraId="6C5D4A62"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Sexagésimo séptimo</w:t>
      </w:r>
      <w:r w:rsidRPr="003C50B2">
        <w:rPr>
          <w:rFonts w:ascii="Palatino Linotype" w:eastAsia="Palatino Linotype" w:hAnsi="Palatino Linotype" w:cs="Palatino Linotype"/>
          <w:i/>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3C50B2">
        <w:rPr>
          <w:rFonts w:ascii="Palatino Linotype" w:eastAsia="Palatino Linotype" w:hAnsi="Palatino Linotype" w:cs="Palatino Linotype"/>
          <w:b/>
          <w:i/>
          <w:sz w:val="22"/>
          <w:szCs w:val="22"/>
        </w:rPr>
        <w:t>deberá emitir la resolución en la que funde y motive la clasificación</w:t>
      </w:r>
      <w:r w:rsidRPr="003C50B2">
        <w:rPr>
          <w:rFonts w:ascii="Palatino Linotype" w:eastAsia="Palatino Linotype" w:hAnsi="Palatino Linotype" w:cs="Palatino Linotype"/>
          <w:i/>
          <w:sz w:val="22"/>
          <w:szCs w:val="22"/>
        </w:rPr>
        <w:t xml:space="preserve"> de las partes o secciones que no podrán dejarse a la vista del solicitante. </w:t>
      </w:r>
    </w:p>
    <w:p w14:paraId="51FB8C09"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Sexagésimo octavo</w:t>
      </w:r>
      <w:r w:rsidRPr="003C50B2">
        <w:rPr>
          <w:rFonts w:ascii="Palatino Linotype" w:eastAsia="Palatino Linotype" w:hAnsi="Palatino Linotype" w:cs="Palatino Linotype"/>
          <w:i/>
          <w:sz w:val="22"/>
          <w:szCs w:val="22"/>
        </w:rPr>
        <w:t xml:space="preserve">. En la </w:t>
      </w:r>
      <w:r w:rsidRPr="003C50B2">
        <w:rPr>
          <w:rFonts w:ascii="Palatino Linotype" w:eastAsia="Palatino Linotype" w:hAnsi="Palatino Linotype" w:cs="Palatino Linotype"/>
          <w:b/>
          <w:i/>
          <w:sz w:val="22"/>
          <w:szCs w:val="22"/>
        </w:rPr>
        <w:t>resolución del Comité de Transparencia</w:t>
      </w:r>
      <w:r w:rsidRPr="003C50B2">
        <w:rPr>
          <w:rFonts w:ascii="Palatino Linotype" w:eastAsia="Palatino Linotype" w:hAnsi="Palatino Linotype" w:cs="Palatino Linotype"/>
          <w:i/>
          <w:sz w:val="22"/>
          <w:szCs w:val="22"/>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3A38079E"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Sexagésimo noveno</w:t>
      </w:r>
      <w:r w:rsidRPr="003C50B2">
        <w:rPr>
          <w:rFonts w:ascii="Palatino Linotype" w:eastAsia="Palatino Linotype" w:hAnsi="Palatino Linotype" w:cs="Palatino Linotype"/>
          <w:i/>
          <w:sz w:val="22"/>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w:t>
      </w:r>
      <w:r w:rsidRPr="003C50B2">
        <w:rPr>
          <w:rFonts w:ascii="Palatino Linotype" w:eastAsia="Palatino Linotype" w:hAnsi="Palatino Linotype" w:cs="Palatino Linotype"/>
          <w:i/>
          <w:sz w:val="22"/>
          <w:szCs w:val="22"/>
        </w:rPr>
        <w:lastRenderedPageBreak/>
        <w:t xml:space="preserve">ser posible, ofrecer las demás modalidades en las que es viable el acceso a la información. </w:t>
      </w:r>
    </w:p>
    <w:p w14:paraId="128903C8"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Septuagésimo</w:t>
      </w:r>
      <w:r w:rsidRPr="003C50B2">
        <w:rPr>
          <w:rFonts w:ascii="Palatino Linotype" w:eastAsia="Palatino Linotype" w:hAnsi="Palatino Linotype" w:cs="Palatino Linotype"/>
          <w:i/>
          <w:sz w:val="22"/>
          <w:szCs w:val="22"/>
        </w:rPr>
        <w:t xml:space="preserve">. Para el desahogo de las actuaciones tendientes a permitir la consulta directa, en los casos en que ésta resulte procedente, los sujetos obligados deberán observar lo siguiente: </w:t>
      </w:r>
    </w:p>
    <w:p w14:paraId="2D62B8CB" w14:textId="77777777" w:rsidR="001A2B96" w:rsidRPr="003C50B2" w:rsidRDefault="001A2B96" w:rsidP="001A2B96">
      <w:pPr>
        <w:spacing w:before="120" w:after="120"/>
        <w:ind w:left="1134"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I.</w:t>
      </w:r>
      <w:r w:rsidRPr="003C50B2">
        <w:rPr>
          <w:rFonts w:ascii="Palatino Linotype" w:eastAsia="Palatino Linotype" w:hAnsi="Palatino Linotype" w:cs="Palatino Linotype"/>
          <w:i/>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3F5812DF" w14:textId="77777777" w:rsidR="001A2B96" w:rsidRPr="003C50B2" w:rsidRDefault="001A2B96" w:rsidP="001A2B96">
      <w:pPr>
        <w:spacing w:before="120" w:after="120"/>
        <w:ind w:left="1134"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II.</w:t>
      </w:r>
      <w:r w:rsidRPr="003C50B2">
        <w:rPr>
          <w:rFonts w:ascii="Palatino Linotype" w:eastAsia="Palatino Linotype" w:hAnsi="Palatino Linotype" w:cs="Palatino Linotype"/>
          <w:i/>
          <w:sz w:val="22"/>
          <w:szCs w:val="22"/>
        </w:rPr>
        <w:t xml:space="preserve"> En su caso, la procedencia de los ajustes razonables solicitados y/o la procedencia de acceso en la lengua indígena requerida; </w:t>
      </w:r>
    </w:p>
    <w:p w14:paraId="30D8C7A9" w14:textId="77777777" w:rsidR="001A2B96" w:rsidRPr="003C50B2" w:rsidRDefault="001A2B96" w:rsidP="001A2B96">
      <w:pPr>
        <w:spacing w:before="120" w:after="120"/>
        <w:ind w:left="1134"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III.</w:t>
      </w:r>
      <w:r w:rsidRPr="003C50B2">
        <w:rPr>
          <w:rFonts w:ascii="Palatino Linotype" w:eastAsia="Palatino Linotype" w:hAnsi="Palatino Linotype" w:cs="Palatino Linotype"/>
          <w:i/>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07705F49" w14:textId="77777777" w:rsidR="001A2B96" w:rsidRPr="003C50B2" w:rsidRDefault="001A2B96" w:rsidP="001A2B96">
      <w:pPr>
        <w:spacing w:before="120" w:after="120"/>
        <w:ind w:left="1134"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IV.</w:t>
      </w:r>
      <w:r w:rsidRPr="003C50B2">
        <w:rPr>
          <w:rFonts w:ascii="Palatino Linotype" w:eastAsia="Palatino Linotype" w:hAnsi="Palatino Linotype" w:cs="Palatino Linotype"/>
          <w:i/>
          <w:sz w:val="22"/>
          <w:szCs w:val="22"/>
        </w:rPr>
        <w:t xml:space="preserve"> Proporcionar al solicitante las facilidades y asistencia requerida para la consulta de los documentos;</w:t>
      </w:r>
    </w:p>
    <w:p w14:paraId="7D043288" w14:textId="77777777" w:rsidR="001A2B96" w:rsidRPr="003C50B2" w:rsidRDefault="001A2B96" w:rsidP="001A2B96">
      <w:pPr>
        <w:spacing w:before="120" w:after="120"/>
        <w:ind w:left="1134"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V.</w:t>
      </w:r>
      <w:r w:rsidRPr="003C50B2">
        <w:rPr>
          <w:rFonts w:ascii="Palatino Linotype" w:eastAsia="Palatino Linotype" w:hAnsi="Palatino Linotype" w:cs="Palatino Linotype"/>
          <w:i/>
          <w:sz w:val="22"/>
          <w:szCs w:val="22"/>
        </w:rPr>
        <w:t xml:space="preserve"> Abstenerse de requerir al solicitante que acredite interés alguno; </w:t>
      </w:r>
    </w:p>
    <w:p w14:paraId="25138265" w14:textId="77777777" w:rsidR="001A2B96" w:rsidRPr="003C50B2" w:rsidRDefault="001A2B96" w:rsidP="001A2B96">
      <w:pPr>
        <w:spacing w:before="120" w:after="120"/>
        <w:ind w:left="1134"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VI.</w:t>
      </w:r>
      <w:r w:rsidRPr="003C50B2">
        <w:rPr>
          <w:rFonts w:ascii="Palatino Linotype" w:eastAsia="Palatino Linotype" w:hAnsi="Palatino Linotype" w:cs="Palatino Linotype"/>
          <w:i/>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787E213F" w14:textId="77777777" w:rsidR="001A2B96" w:rsidRPr="003C50B2" w:rsidRDefault="001A2B96" w:rsidP="001A2B96">
      <w:pPr>
        <w:spacing w:before="120" w:after="120"/>
        <w:ind w:left="1418"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a)</w:t>
      </w:r>
      <w:r w:rsidRPr="003C50B2">
        <w:rPr>
          <w:rFonts w:ascii="Palatino Linotype" w:eastAsia="Palatino Linotype" w:hAnsi="Palatino Linotype" w:cs="Palatino Linotype"/>
          <w:i/>
          <w:sz w:val="22"/>
          <w:szCs w:val="22"/>
        </w:rPr>
        <w:t xml:space="preserve"> Contar con instalaciones y mobiliario adecuado para asegurar tanto la integridad del documento consultado, como para proporcionar al solicitante las mejores condiciones para poder llevar a cabo la consulta directa; </w:t>
      </w:r>
    </w:p>
    <w:p w14:paraId="19CE75CF" w14:textId="77777777" w:rsidR="001A2B96" w:rsidRPr="003C50B2" w:rsidRDefault="001A2B96" w:rsidP="001A2B96">
      <w:pPr>
        <w:spacing w:before="120" w:after="120"/>
        <w:ind w:left="1418"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b)</w:t>
      </w:r>
      <w:r w:rsidRPr="003C50B2">
        <w:rPr>
          <w:rFonts w:ascii="Palatino Linotype" w:eastAsia="Palatino Linotype" w:hAnsi="Palatino Linotype" w:cs="Palatino Linotype"/>
          <w:i/>
          <w:sz w:val="22"/>
          <w:szCs w:val="22"/>
        </w:rPr>
        <w:t xml:space="preserve"> Equipo y personal de vigilancia;</w:t>
      </w:r>
    </w:p>
    <w:p w14:paraId="208A4CDC"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c)</w:t>
      </w:r>
      <w:r w:rsidRPr="003C50B2">
        <w:rPr>
          <w:rFonts w:ascii="Palatino Linotype" w:eastAsia="Palatino Linotype" w:hAnsi="Palatino Linotype" w:cs="Palatino Linotype"/>
          <w:i/>
          <w:sz w:val="22"/>
          <w:szCs w:val="22"/>
        </w:rPr>
        <w:t xml:space="preserve"> Plan de acción contra robo o vandalismo; </w:t>
      </w:r>
    </w:p>
    <w:p w14:paraId="74B35269"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d)</w:t>
      </w:r>
      <w:r w:rsidRPr="003C50B2">
        <w:rPr>
          <w:rFonts w:ascii="Palatino Linotype" w:eastAsia="Palatino Linotype" w:hAnsi="Palatino Linotype" w:cs="Palatino Linotype"/>
          <w:i/>
          <w:sz w:val="22"/>
          <w:szCs w:val="22"/>
        </w:rPr>
        <w:t xml:space="preserve"> Extintores de fuego de gas inocuo; </w:t>
      </w:r>
    </w:p>
    <w:p w14:paraId="1E6D72B8"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e)</w:t>
      </w:r>
      <w:r w:rsidRPr="003C50B2">
        <w:rPr>
          <w:rFonts w:ascii="Palatino Linotype" w:eastAsia="Palatino Linotype" w:hAnsi="Palatino Linotype" w:cs="Palatino Linotype"/>
          <w:i/>
          <w:sz w:val="22"/>
          <w:szCs w:val="22"/>
        </w:rPr>
        <w:t xml:space="preserve"> Registro e identificación del personal autorizado para el tratamiento de los documentos o expedientes a revisar;</w:t>
      </w:r>
    </w:p>
    <w:p w14:paraId="67D6B7F6"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lastRenderedPageBreak/>
        <w:t>f)</w:t>
      </w:r>
      <w:r w:rsidRPr="003C50B2">
        <w:rPr>
          <w:rFonts w:ascii="Palatino Linotype" w:eastAsia="Palatino Linotype" w:hAnsi="Palatino Linotype" w:cs="Palatino Linotype"/>
          <w:i/>
          <w:sz w:val="22"/>
          <w:szCs w:val="22"/>
        </w:rPr>
        <w:t xml:space="preserve"> Registro e identificación de los particulares autorizados para llevar a cabo la consulta directa, y </w:t>
      </w:r>
    </w:p>
    <w:p w14:paraId="335C3E45"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g)</w:t>
      </w:r>
      <w:r w:rsidRPr="003C50B2">
        <w:rPr>
          <w:rFonts w:ascii="Palatino Linotype" w:eastAsia="Palatino Linotype" w:hAnsi="Palatino Linotype" w:cs="Palatino Linotype"/>
          <w:i/>
          <w:sz w:val="22"/>
          <w:szCs w:val="22"/>
        </w:rPr>
        <w:t xml:space="preserve"> Las demás que, a criterio de los sujetos obligados, resulten necesarias. </w:t>
      </w:r>
    </w:p>
    <w:p w14:paraId="74CDB81A"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VII.</w:t>
      </w:r>
      <w:r w:rsidRPr="003C50B2">
        <w:rPr>
          <w:rFonts w:ascii="Palatino Linotype" w:eastAsia="Palatino Linotype" w:hAnsi="Palatino Linotype" w:cs="Palatino Linotype"/>
          <w:i/>
          <w:sz w:val="22"/>
          <w:szCs w:val="22"/>
        </w:rPr>
        <w:t xml:space="preserve"> Hacer del conocimiento del solicitante, previo al acceso a la información, las reglas a que se sujetará la consulta para garantizar la integridad de los documentos, y</w:t>
      </w:r>
    </w:p>
    <w:p w14:paraId="131CB1E3" w14:textId="77777777" w:rsidR="001A2B96" w:rsidRPr="003C50B2" w:rsidRDefault="001A2B96" w:rsidP="001A2B96">
      <w:pPr>
        <w:spacing w:before="120" w:after="120"/>
        <w:ind w:left="851" w:right="902"/>
        <w:jc w:val="both"/>
        <w:rPr>
          <w:rFonts w:ascii="Palatino Linotype" w:eastAsia="Palatino Linotype" w:hAnsi="Palatino Linotype" w:cs="Palatino Linotype"/>
          <w:b/>
          <w:i/>
          <w:sz w:val="22"/>
          <w:szCs w:val="22"/>
        </w:rPr>
      </w:pPr>
      <w:r w:rsidRPr="003C50B2">
        <w:rPr>
          <w:rFonts w:ascii="Palatino Linotype" w:eastAsia="Palatino Linotype" w:hAnsi="Palatino Linotype" w:cs="Palatino Linotype"/>
          <w:b/>
          <w:i/>
          <w:sz w:val="22"/>
          <w:szCs w:val="22"/>
        </w:rPr>
        <w:t>VIII.</w:t>
      </w:r>
      <w:r w:rsidRPr="003C50B2">
        <w:rPr>
          <w:rFonts w:ascii="Palatino Linotype" w:eastAsia="Palatino Linotype" w:hAnsi="Palatino Linotype" w:cs="Palatino Linotype"/>
          <w:i/>
          <w:sz w:val="22"/>
          <w:szCs w:val="22"/>
        </w:rPr>
        <w:t xml:space="preserve"> Para el caso de documentos que contengan partes o secciones clasificadas como reservadas o confidenciales, el sujeto obligado deberá hacer del conocimiento del solicitante, </w:t>
      </w:r>
      <w:r w:rsidRPr="003C50B2">
        <w:rPr>
          <w:rFonts w:ascii="Palatino Linotype" w:eastAsia="Palatino Linotype" w:hAnsi="Palatino Linotype" w:cs="Palatino Linotype"/>
          <w:b/>
          <w:i/>
          <w:sz w:val="22"/>
          <w:szCs w:val="22"/>
        </w:rPr>
        <w:t xml:space="preserve">previo al acceso a la información, la resolución debidamente fundada y motivada del Comité de Transparencia, en la que se clasificaron las partes o secciones que no podrán dejarse a la vista del solicitante. </w:t>
      </w:r>
    </w:p>
    <w:p w14:paraId="4EE10F6E"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 xml:space="preserve">Septuagésimo primero. </w:t>
      </w:r>
      <w:r w:rsidRPr="003C50B2">
        <w:rPr>
          <w:rFonts w:ascii="Palatino Linotype" w:eastAsia="Palatino Linotype" w:hAnsi="Palatino Linotype" w:cs="Palatino Linotype"/>
          <w:i/>
          <w:sz w:val="22"/>
          <w:szCs w:val="22"/>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2B19D11E"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 xml:space="preserve">El solicitante deberá observar en todo momento las reglas que el sujeto obligado haya hecho de su conocimiento para efectos de la conservación de los documentos. </w:t>
      </w:r>
    </w:p>
    <w:p w14:paraId="187843CB"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Septuagésimo segundo.</w:t>
      </w:r>
      <w:r w:rsidRPr="003C50B2">
        <w:rPr>
          <w:rFonts w:ascii="Palatino Linotype" w:eastAsia="Palatino Linotype" w:hAnsi="Palatino Linotype" w:cs="Palatino Linotype"/>
          <w:i/>
          <w:sz w:val="22"/>
          <w:szCs w:val="22"/>
        </w:rPr>
        <w:t xml:space="preserve"> El solicitante deberá realizar la consulta de los documentos requeridos en el lugar, horarios y con la persona destinada para tal efecto. </w:t>
      </w:r>
    </w:p>
    <w:p w14:paraId="58CD78B1"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5D9C161C"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Septuagésimo tercero</w:t>
      </w:r>
      <w:r w:rsidRPr="003C50B2">
        <w:rPr>
          <w:rFonts w:ascii="Palatino Linotype" w:eastAsia="Palatino Linotype" w:hAnsi="Palatino Linotype" w:cs="Palatino Linotype"/>
          <w:i/>
          <w:sz w:val="22"/>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48091B05" w14:textId="77777777" w:rsidR="001A2B96" w:rsidRPr="003C50B2" w:rsidRDefault="001A2B96" w:rsidP="001A2B96">
      <w:pPr>
        <w:spacing w:before="120" w:after="120"/>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La información deberá ser entregada sin costo, cuando implique la entrega de no más de veinte hojas simples.”</w:t>
      </w:r>
    </w:p>
    <w:p w14:paraId="205E6968" w14:textId="77777777" w:rsidR="001A2B96" w:rsidRPr="003C50B2" w:rsidRDefault="001A2B96" w:rsidP="001A2B96">
      <w:pPr>
        <w:spacing w:line="360" w:lineRule="auto"/>
        <w:jc w:val="both"/>
        <w:rPr>
          <w:rFonts w:ascii="Palatino Linotype" w:eastAsia="Palatino Linotype" w:hAnsi="Palatino Linotype" w:cs="Palatino Linotype"/>
        </w:rPr>
      </w:pPr>
    </w:p>
    <w:p w14:paraId="60FE8568" w14:textId="77777777" w:rsidR="001A2B96" w:rsidRPr="003C50B2" w:rsidRDefault="001A2B96" w:rsidP="001A2B96">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lastRenderedPageBreak/>
        <w:t xml:space="preserve">Preceptos legales que de igual forma fueron inobservados por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para hacer el cambio de modalidad para la entrega de información. </w:t>
      </w:r>
    </w:p>
    <w:p w14:paraId="1F50E3B0" w14:textId="77777777" w:rsidR="001A2B96" w:rsidRPr="003C50B2" w:rsidRDefault="001A2B96" w:rsidP="001A2B96">
      <w:pPr>
        <w:spacing w:line="360" w:lineRule="auto"/>
        <w:jc w:val="both"/>
        <w:rPr>
          <w:rFonts w:ascii="Palatino Linotype" w:eastAsia="Palatino Linotype" w:hAnsi="Palatino Linotype" w:cs="Palatino Linotype"/>
        </w:rPr>
      </w:pPr>
    </w:p>
    <w:p w14:paraId="7D3BA8E8" w14:textId="77777777" w:rsidR="001A2B96" w:rsidRPr="003C50B2" w:rsidRDefault="001A2B96" w:rsidP="001A2B96">
      <w:pPr>
        <w:spacing w:line="360" w:lineRule="auto"/>
        <w:ind w:right="51"/>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En consecuencia,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74CBC18B" w14:textId="77777777" w:rsidR="001A2B96" w:rsidRPr="003C50B2" w:rsidRDefault="001A2B96" w:rsidP="001A2B96">
      <w:pPr>
        <w:spacing w:line="360" w:lineRule="auto"/>
        <w:ind w:right="51"/>
        <w:jc w:val="both"/>
        <w:rPr>
          <w:rFonts w:ascii="Palatino Linotype" w:eastAsia="Palatino Linotype" w:hAnsi="Palatino Linotype" w:cs="Palatino Linotype"/>
        </w:rPr>
      </w:pPr>
    </w:p>
    <w:p w14:paraId="47CCD5AD" w14:textId="77777777" w:rsidR="001A2B96" w:rsidRPr="003C50B2" w:rsidRDefault="001A2B96" w:rsidP="001A2B96">
      <w:pPr>
        <w:spacing w:after="120"/>
        <w:ind w:left="851" w:right="900"/>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r w:rsidRPr="003C50B2">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3C50B2">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3C50B2">
        <w:rPr>
          <w:rFonts w:ascii="Palatino Linotype" w:eastAsia="Palatino Linotype" w:hAnsi="Palatino Linotype" w:cs="Palatino Linotype"/>
          <w:b/>
          <w:i/>
          <w:sz w:val="22"/>
          <w:szCs w:val="22"/>
        </w:rPr>
        <w:t xml:space="preserve">a) justifique el impedimento para atender la misma </w:t>
      </w:r>
      <w:r w:rsidRPr="003C50B2">
        <w:rPr>
          <w:rFonts w:ascii="Palatino Linotype" w:eastAsia="Palatino Linotype" w:hAnsi="Palatino Linotype" w:cs="Palatino Linotype"/>
          <w:i/>
          <w:sz w:val="22"/>
          <w:szCs w:val="22"/>
        </w:rPr>
        <w:t xml:space="preserve">y </w:t>
      </w:r>
      <w:r w:rsidRPr="003C50B2">
        <w:rPr>
          <w:rFonts w:ascii="Palatino Linotype" w:eastAsia="Palatino Linotype" w:hAnsi="Palatino Linotype" w:cs="Palatino Linotype"/>
          <w:b/>
          <w:i/>
          <w:sz w:val="22"/>
          <w:szCs w:val="22"/>
        </w:rPr>
        <w:t>b) se notifique al particular la disposición de la información en todas las modalidades que permita el documento de que se trate</w:t>
      </w:r>
      <w:r w:rsidRPr="003C50B2">
        <w:rPr>
          <w:rFonts w:ascii="Palatino Linotype" w:eastAsia="Palatino Linotype" w:hAnsi="Palatino Linotype" w:cs="Palatino Linotype"/>
          <w:i/>
          <w:sz w:val="22"/>
          <w:szCs w:val="22"/>
        </w:rPr>
        <w:t>, procurando reducir, en todo momento, los costos de entrega.”</w:t>
      </w:r>
    </w:p>
    <w:p w14:paraId="182E2225" w14:textId="77777777" w:rsidR="001A2B96" w:rsidRPr="003C50B2" w:rsidRDefault="001A2B96" w:rsidP="001A2B96">
      <w:pPr>
        <w:spacing w:after="240" w:line="360" w:lineRule="auto"/>
        <w:contextualSpacing/>
        <w:jc w:val="both"/>
        <w:rPr>
          <w:rFonts w:ascii="Palatino Linotype" w:eastAsia="Palatino Linotype" w:hAnsi="Palatino Linotype" w:cs="Palatino Linotype"/>
        </w:rPr>
      </w:pPr>
    </w:p>
    <w:p w14:paraId="3CE0A62E" w14:textId="77777777" w:rsidR="001A2B96" w:rsidRPr="003C50B2" w:rsidRDefault="001A2B96" w:rsidP="001A2B96">
      <w:pPr>
        <w:spacing w:after="240" w:line="360" w:lineRule="auto"/>
        <w:contextualSpacing/>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Por las consideraciones anteriores, resulta procedente aludir que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no fundó, motivó, ni mucho menos justificó la imposibilidad de entregar la información solicitada en un formato electrónico a través del SAIMEX.</w:t>
      </w:r>
    </w:p>
    <w:p w14:paraId="11540A28" w14:textId="77777777" w:rsidR="001A2B96" w:rsidRPr="003C50B2" w:rsidRDefault="001A2B96" w:rsidP="001A2B96">
      <w:pPr>
        <w:spacing w:after="240" w:line="360" w:lineRule="auto"/>
        <w:contextualSpacing/>
        <w:jc w:val="both"/>
        <w:rPr>
          <w:rFonts w:ascii="Palatino Linotype" w:eastAsia="Palatino Linotype" w:hAnsi="Palatino Linotype" w:cs="Palatino Linotype"/>
        </w:rPr>
      </w:pPr>
    </w:p>
    <w:p w14:paraId="60165308" w14:textId="77777777" w:rsidR="001A2B96" w:rsidRPr="003C50B2" w:rsidRDefault="001A2B96" w:rsidP="001A2B96">
      <w:pPr>
        <w:widowControl w:val="0"/>
        <w:tabs>
          <w:tab w:val="left" w:pos="1276"/>
        </w:tabs>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Respecto a la fundamentación y motivación es de señalar que el máximo tribunal del país ha establecido jurisprudencia respecto a qué debe entenderse por fundamentación y motivación, en los siguientes términos:</w:t>
      </w:r>
    </w:p>
    <w:p w14:paraId="537C4414" w14:textId="77777777" w:rsidR="001A2B96" w:rsidRPr="003C50B2" w:rsidRDefault="001A2B96" w:rsidP="001A2B96">
      <w:pPr>
        <w:widowControl w:val="0"/>
        <w:tabs>
          <w:tab w:val="left" w:pos="1276"/>
        </w:tabs>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lastRenderedPageBreak/>
        <w:t>“FUNDAMENTACIÓN Y MOTIVACIÓN.</w:t>
      </w:r>
      <w:r w:rsidRPr="003C50B2">
        <w:rPr>
          <w:rFonts w:ascii="Palatino Linotype" w:eastAsia="Palatino Linotype" w:hAnsi="Palatino Linotype" w:cs="Palatino Linotype"/>
          <w:i/>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614C9BDD" w14:textId="77777777" w:rsidR="001A2B96" w:rsidRPr="003C50B2" w:rsidRDefault="001A2B96" w:rsidP="001A2B96">
      <w:pPr>
        <w:widowControl w:val="0"/>
        <w:tabs>
          <w:tab w:val="left" w:pos="1276"/>
        </w:tabs>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De tal manera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 sirviendo de sustento la diversa jurisprudencia dictada por el Poder Judicial de la Federación que sostiene que la finalidad de la fundamentación o motivación es la de explicar, justificar, posibilitar la defensa y comunicar la decisión de la autoridad:</w:t>
      </w:r>
    </w:p>
    <w:p w14:paraId="53045D01" w14:textId="77777777" w:rsidR="001A2B96" w:rsidRPr="003C50B2" w:rsidRDefault="001A2B96" w:rsidP="001A2B96">
      <w:pPr>
        <w:widowControl w:val="0"/>
        <w:tabs>
          <w:tab w:val="left" w:pos="1276"/>
        </w:tabs>
        <w:ind w:left="851" w:right="902"/>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r w:rsidRPr="003C50B2">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3C50B2">
        <w:rPr>
          <w:rFonts w:ascii="Palatino Linotype" w:eastAsia="Palatino Linotype" w:hAnsi="Palatino Linotype" w:cs="Palatino Linotype"/>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6970C288" w14:textId="77777777" w:rsidR="001A2B96" w:rsidRPr="003C50B2" w:rsidRDefault="001A2B96" w:rsidP="001A2B96">
      <w:pPr>
        <w:widowControl w:val="0"/>
        <w:tabs>
          <w:tab w:val="left" w:pos="1276"/>
        </w:tabs>
        <w:spacing w:line="360" w:lineRule="auto"/>
        <w:jc w:val="both"/>
        <w:rPr>
          <w:rFonts w:ascii="Palatino Linotype" w:eastAsia="Palatino Linotype" w:hAnsi="Palatino Linotype" w:cs="Palatino Linotype"/>
        </w:rPr>
      </w:pPr>
    </w:p>
    <w:p w14:paraId="25E3CD13" w14:textId="77777777" w:rsidR="001A2B96" w:rsidRPr="003C50B2" w:rsidRDefault="001A2B96" w:rsidP="001A2B96">
      <w:pPr>
        <w:widowControl w:val="0"/>
        <w:tabs>
          <w:tab w:val="left" w:pos="1276"/>
        </w:tabs>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lastRenderedPageBreak/>
        <w:t>Por lo cual, la fundamentación y motivación implica que, en el acto de autoridad, además de contenerse los supuestos jurídicos aplicables, debe de explicarse claramente por qué a través de la utilización de la norma se emitió el acto. De este modo, la persona que se siente afectada pueda impugnar la decisión, permitiéndole una real y auténtica defensa.</w:t>
      </w:r>
    </w:p>
    <w:p w14:paraId="2F3F1A6F" w14:textId="77777777" w:rsidR="001A2B96" w:rsidRPr="003C50B2" w:rsidRDefault="001A2B96" w:rsidP="001A2B96">
      <w:pPr>
        <w:widowControl w:val="0"/>
        <w:tabs>
          <w:tab w:val="left" w:pos="1276"/>
        </w:tabs>
        <w:spacing w:line="360" w:lineRule="auto"/>
        <w:jc w:val="both"/>
        <w:rPr>
          <w:rFonts w:ascii="Palatino Linotype" w:eastAsia="Palatino Linotype" w:hAnsi="Palatino Linotype" w:cs="Palatino Linotype"/>
        </w:rPr>
      </w:pPr>
    </w:p>
    <w:p w14:paraId="22E5E792" w14:textId="77777777" w:rsidR="001A2B96" w:rsidRPr="003C50B2" w:rsidRDefault="001A2B96" w:rsidP="001A2B96">
      <w:pPr>
        <w:widowControl w:val="0"/>
        <w:tabs>
          <w:tab w:val="left" w:pos="1276"/>
        </w:tabs>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En consecuencia, los argumentos señalados por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resultan insuficientes para que tenga lugar un cambio de modalidad, pues no se acreditó la existencia de una imposibilidad técnica que impida la entrega de la información por el medio solicitado; además,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no aportó elementos argumentativos que demostraran una imposibilidad técnica y humana para atender la solicitud de información</w:t>
      </w:r>
      <w:r w:rsidR="00200C96" w:rsidRPr="003C50B2">
        <w:rPr>
          <w:rFonts w:ascii="Palatino Linotype" w:eastAsia="Palatino Linotype" w:hAnsi="Palatino Linotype" w:cs="Palatino Linotype"/>
        </w:rPr>
        <w:t>; p</w:t>
      </w:r>
      <w:r w:rsidRPr="003C50B2">
        <w:rPr>
          <w:rFonts w:ascii="Palatino Linotype" w:eastAsia="Palatino Linotype" w:hAnsi="Palatino Linotype" w:cs="Palatino Linotype"/>
        </w:rPr>
        <w:t xml:space="preserve">or lo anterior, resulta improcedente el cambio de modalidad propuesto por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w:t>
      </w:r>
    </w:p>
    <w:p w14:paraId="68F19E4F" w14:textId="77777777" w:rsidR="00362761" w:rsidRPr="003C50B2" w:rsidRDefault="00F04517">
      <w:pPr>
        <w:spacing w:before="240"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Razones por las cuales lo procedente es ordenar </w:t>
      </w:r>
      <w:r w:rsidR="00233C3D" w:rsidRPr="003C50B2">
        <w:rPr>
          <w:rFonts w:ascii="Palatino Linotype" w:eastAsia="Palatino Linotype" w:hAnsi="Palatino Linotype" w:cs="Palatino Linotype"/>
        </w:rPr>
        <w:t xml:space="preserve">las actas de todas y cada una de las sesiones realizadas por el Comité de Desarrollo Urbano o similar, </w:t>
      </w:r>
      <w:r w:rsidR="00820DC4" w:rsidRPr="003C50B2">
        <w:rPr>
          <w:rFonts w:ascii="Palatino Linotype" w:eastAsia="Palatino Linotype" w:hAnsi="Palatino Linotype" w:cs="Palatino Linotype"/>
        </w:rPr>
        <w:t>del primero de enero del año dos mil veintidós al</w:t>
      </w:r>
      <w:r w:rsidR="00233C3D" w:rsidRPr="003C50B2">
        <w:rPr>
          <w:rFonts w:ascii="Palatino Linotype" w:eastAsia="Palatino Linotype" w:hAnsi="Palatino Linotype" w:cs="Palatino Linotype"/>
        </w:rPr>
        <w:t xml:space="preserve"> dos de octubre</w:t>
      </w:r>
      <w:r w:rsidRPr="003C50B2">
        <w:rPr>
          <w:rFonts w:ascii="Palatino Linotype" w:eastAsia="Palatino Linotype" w:hAnsi="Palatino Linotype" w:cs="Palatino Linotype"/>
        </w:rPr>
        <w:t xml:space="preserve"> del año dos mil veinticuatro; en versión pública de ser procedente conforme a lo señalado por el considerando quinto del presente fallo. </w:t>
      </w:r>
    </w:p>
    <w:p w14:paraId="1853277A" w14:textId="77777777" w:rsidR="00362761" w:rsidRPr="003C50B2" w:rsidRDefault="00F04517">
      <w:pPr>
        <w:spacing w:before="240" w:after="240" w:line="360" w:lineRule="auto"/>
        <w:ind w:right="49"/>
        <w:jc w:val="both"/>
        <w:rPr>
          <w:rFonts w:ascii="Palatino Linotype" w:eastAsia="Palatino Linotype" w:hAnsi="Palatino Linotype" w:cs="Palatino Linotype"/>
        </w:rPr>
      </w:pPr>
      <w:r w:rsidRPr="003C50B2">
        <w:rPr>
          <w:rFonts w:ascii="Palatino Linotype" w:eastAsia="Palatino Linotype" w:hAnsi="Palatino Linotype" w:cs="Palatino Linotype"/>
          <w:b/>
        </w:rPr>
        <w:t xml:space="preserve">Quinto. Versión Pública. </w:t>
      </w:r>
      <w:r w:rsidRPr="003C50B2">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w:t>
      </w:r>
      <w:r w:rsidRPr="003C50B2">
        <w:rPr>
          <w:rFonts w:ascii="Palatino Linotype" w:eastAsia="Palatino Linotype" w:hAnsi="Palatino Linotype" w:cs="Palatino Linotype"/>
        </w:rPr>
        <w:lastRenderedPageBreak/>
        <w:t xml:space="preserve">de los documentos que vaya entregar para dar cumplimiento a esta resolución, a fin de satisfacer el derecho de acceso a la información pública del </w:t>
      </w:r>
      <w:r w:rsidRPr="003C50B2">
        <w:rPr>
          <w:rFonts w:ascii="Palatino Linotype" w:eastAsia="Palatino Linotype" w:hAnsi="Palatino Linotype" w:cs="Palatino Linotype"/>
          <w:b/>
        </w:rPr>
        <w:t>RECURRENTE</w:t>
      </w:r>
      <w:r w:rsidRPr="003C50B2">
        <w:rPr>
          <w:rFonts w:ascii="Palatino Linotype" w:eastAsia="Palatino Linotype" w:hAnsi="Palatino Linotype" w:cs="Palatino Linotype"/>
        </w:rPr>
        <w:t xml:space="preserve"> sin menoscabar el derecho a la protección de los datos personales de terceros.</w:t>
      </w:r>
    </w:p>
    <w:p w14:paraId="491E2094" w14:textId="77777777" w:rsidR="00362761" w:rsidRPr="003C50B2" w:rsidRDefault="00F04517">
      <w:pPr>
        <w:spacing w:after="240" w:line="360" w:lineRule="auto"/>
        <w:ind w:right="50"/>
        <w:jc w:val="both"/>
        <w:rPr>
          <w:rFonts w:ascii="Palatino Linotype" w:eastAsia="Palatino Linotype" w:hAnsi="Palatino Linotype" w:cs="Palatino Linotype"/>
        </w:rPr>
      </w:pPr>
      <w:r w:rsidRPr="003C50B2">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23D49C84" w14:textId="77777777" w:rsidR="00362761" w:rsidRPr="003C50B2" w:rsidRDefault="00F04517">
      <w:pPr>
        <w:ind w:left="993" w:right="1041"/>
        <w:jc w:val="both"/>
        <w:rPr>
          <w:rFonts w:ascii="Palatino Linotype" w:eastAsia="Palatino Linotype" w:hAnsi="Palatino Linotype" w:cs="Palatino Linotype"/>
          <w:b/>
          <w:i/>
          <w:sz w:val="22"/>
          <w:szCs w:val="22"/>
        </w:rPr>
      </w:pPr>
      <w:r w:rsidRPr="003C50B2">
        <w:rPr>
          <w:rFonts w:ascii="Palatino Linotype" w:eastAsia="Palatino Linotype" w:hAnsi="Palatino Linotype" w:cs="Palatino Linotype"/>
          <w:b/>
          <w:i/>
          <w:sz w:val="22"/>
          <w:szCs w:val="22"/>
        </w:rPr>
        <w:t xml:space="preserve"> “Artículo 3. Para los efectos de la presente Ley se entenderá por:</w:t>
      </w:r>
    </w:p>
    <w:p w14:paraId="2E854A1F" w14:textId="77777777" w:rsidR="00362761" w:rsidRPr="003C50B2" w:rsidRDefault="00F04517">
      <w:pPr>
        <w:ind w:left="993" w:right="104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IX. Datos personales:</w:t>
      </w:r>
      <w:r w:rsidRPr="003C50B2">
        <w:rPr>
          <w:rFonts w:ascii="Palatino Linotype" w:eastAsia="Palatino Linotype" w:hAnsi="Palatino Linotype" w:cs="Palatino Linotype"/>
          <w:i/>
          <w:sz w:val="22"/>
          <w:szCs w:val="22"/>
        </w:rPr>
        <w:t xml:space="preserve"> </w:t>
      </w:r>
      <w:r w:rsidRPr="003C50B2">
        <w:rPr>
          <w:rFonts w:ascii="Palatino Linotype" w:eastAsia="Palatino Linotype" w:hAnsi="Palatino Linotype" w:cs="Palatino Linotype"/>
          <w:b/>
          <w:i/>
          <w:sz w:val="22"/>
          <w:szCs w:val="22"/>
        </w:rPr>
        <w:t>La información concerniente a una persona, identificada o identificable</w:t>
      </w:r>
      <w:r w:rsidRPr="003C50B2">
        <w:rPr>
          <w:rFonts w:ascii="Palatino Linotype" w:eastAsia="Palatino Linotype" w:hAnsi="Palatino Linotype" w:cs="Palatino Linotype"/>
          <w:i/>
          <w:sz w:val="22"/>
          <w:szCs w:val="22"/>
        </w:rPr>
        <w:t xml:space="preserve"> según lo dispuesto por la Ley de Protección de Datos Personales del Estado de México;</w:t>
      </w:r>
    </w:p>
    <w:p w14:paraId="4A795CC1" w14:textId="77777777" w:rsidR="00362761" w:rsidRPr="003C50B2" w:rsidRDefault="00F04517">
      <w:pPr>
        <w:ind w:left="993" w:right="104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XX. Información clasificada:</w:t>
      </w:r>
      <w:r w:rsidRPr="003C50B2">
        <w:rPr>
          <w:rFonts w:ascii="Palatino Linotype" w:eastAsia="Palatino Linotype" w:hAnsi="Palatino Linotype" w:cs="Palatino Linotype"/>
          <w:i/>
          <w:sz w:val="22"/>
          <w:szCs w:val="22"/>
        </w:rPr>
        <w:t xml:space="preserve"> Aquella considerada por la presente Ley como reservada o confidencial;</w:t>
      </w:r>
    </w:p>
    <w:p w14:paraId="2CE83B9F" w14:textId="77777777" w:rsidR="00362761" w:rsidRPr="003C50B2" w:rsidRDefault="00F04517">
      <w:pPr>
        <w:ind w:left="993" w:right="104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XXXII. Protección de Datos Personales:</w:t>
      </w:r>
      <w:r w:rsidRPr="003C50B2">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443FEA1" w14:textId="77777777" w:rsidR="00362761" w:rsidRPr="003C50B2" w:rsidRDefault="00F04517">
      <w:pPr>
        <w:ind w:left="993" w:right="104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XLV. Versión pública</w:t>
      </w:r>
      <w:r w:rsidRPr="003C50B2">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1F8C455A" w14:textId="77777777" w:rsidR="00362761" w:rsidRPr="003C50B2" w:rsidRDefault="00362761">
      <w:pPr>
        <w:ind w:left="993" w:right="1041"/>
        <w:jc w:val="both"/>
        <w:rPr>
          <w:rFonts w:ascii="Palatino Linotype" w:eastAsia="Palatino Linotype" w:hAnsi="Palatino Linotype" w:cs="Palatino Linotype"/>
          <w:i/>
          <w:sz w:val="22"/>
          <w:szCs w:val="22"/>
        </w:rPr>
      </w:pPr>
    </w:p>
    <w:p w14:paraId="634D3F85" w14:textId="77777777" w:rsidR="00362761" w:rsidRPr="003C50B2" w:rsidRDefault="00F04517">
      <w:pPr>
        <w:ind w:left="993" w:right="104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“Artículo 6.</w:t>
      </w:r>
      <w:r w:rsidRPr="003C50B2">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58AC981" w14:textId="77777777" w:rsidR="00362761" w:rsidRPr="003C50B2" w:rsidRDefault="00362761">
      <w:pPr>
        <w:ind w:left="993" w:right="1041"/>
        <w:jc w:val="both"/>
        <w:rPr>
          <w:rFonts w:ascii="Palatino Linotype" w:eastAsia="Palatino Linotype" w:hAnsi="Palatino Linotype" w:cs="Palatino Linotype"/>
          <w:i/>
          <w:sz w:val="22"/>
          <w:szCs w:val="22"/>
        </w:rPr>
      </w:pPr>
    </w:p>
    <w:p w14:paraId="58611AD3" w14:textId="77777777" w:rsidR="00362761" w:rsidRPr="003C50B2" w:rsidRDefault="00F04517">
      <w:pPr>
        <w:ind w:left="993" w:right="1041"/>
        <w:jc w:val="both"/>
        <w:rPr>
          <w:rFonts w:ascii="Palatino Linotype" w:eastAsia="Palatino Linotype" w:hAnsi="Palatino Linotype" w:cs="Palatino Linotype"/>
          <w:b/>
          <w:i/>
          <w:sz w:val="22"/>
          <w:szCs w:val="22"/>
        </w:rPr>
      </w:pPr>
      <w:r w:rsidRPr="003C50B2">
        <w:rPr>
          <w:rFonts w:ascii="Palatino Linotype" w:eastAsia="Palatino Linotype" w:hAnsi="Palatino Linotype" w:cs="Palatino Linotype"/>
          <w:b/>
          <w:i/>
          <w:sz w:val="22"/>
          <w:szCs w:val="22"/>
        </w:rPr>
        <w:t>“Artículo 137.</w:t>
      </w:r>
      <w:r w:rsidRPr="003C50B2">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w:t>
      </w:r>
      <w:r w:rsidRPr="003C50B2">
        <w:rPr>
          <w:rFonts w:ascii="Palatino Linotype" w:eastAsia="Palatino Linotype" w:hAnsi="Palatino Linotype" w:cs="Palatino Linotype"/>
          <w:i/>
          <w:sz w:val="22"/>
          <w:szCs w:val="22"/>
        </w:rPr>
        <w:lastRenderedPageBreak/>
        <w:t>versión pública en la que se testen las partes o secciones clasificadas, indicando su contenido de manera genérica y fundando y motivando su clasificación.”</w:t>
      </w:r>
    </w:p>
    <w:p w14:paraId="204EFD00" w14:textId="77777777" w:rsidR="00362761" w:rsidRPr="003C50B2" w:rsidRDefault="00362761">
      <w:pPr>
        <w:ind w:left="993" w:right="1041"/>
        <w:jc w:val="both"/>
        <w:rPr>
          <w:rFonts w:ascii="Palatino Linotype" w:eastAsia="Palatino Linotype" w:hAnsi="Palatino Linotype" w:cs="Palatino Linotype"/>
          <w:b/>
          <w:i/>
          <w:sz w:val="22"/>
          <w:szCs w:val="22"/>
        </w:rPr>
      </w:pPr>
    </w:p>
    <w:p w14:paraId="114CB581" w14:textId="77777777" w:rsidR="00362761" w:rsidRPr="003C50B2" w:rsidRDefault="00F04517">
      <w:pPr>
        <w:ind w:left="993" w:right="104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“Artículo 143</w:t>
      </w:r>
      <w:r w:rsidRPr="003C50B2">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6DBDACC" w14:textId="77777777" w:rsidR="00362761" w:rsidRPr="003C50B2" w:rsidRDefault="00F04517">
      <w:pPr>
        <w:ind w:left="993" w:right="104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I.</w:t>
      </w:r>
      <w:r w:rsidRPr="003C50B2">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7B65A224" w14:textId="77777777" w:rsidR="00362761" w:rsidRPr="003C50B2" w:rsidRDefault="00F04517">
      <w:pPr>
        <w:ind w:left="993" w:right="104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50A3DB6" w14:textId="77777777" w:rsidR="00362761" w:rsidRPr="003C50B2" w:rsidRDefault="00F04517">
      <w:pPr>
        <w:ind w:left="993" w:right="104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74EE21B1" w14:textId="77777777" w:rsidR="00362761" w:rsidRPr="003C50B2" w:rsidRDefault="00362761">
      <w:pPr>
        <w:ind w:left="993" w:right="1041"/>
        <w:jc w:val="both"/>
        <w:rPr>
          <w:rFonts w:ascii="Palatino Linotype" w:eastAsia="Palatino Linotype" w:hAnsi="Palatino Linotype" w:cs="Palatino Linotype"/>
          <w:i/>
          <w:sz w:val="22"/>
          <w:szCs w:val="22"/>
        </w:rPr>
      </w:pPr>
    </w:p>
    <w:p w14:paraId="6E8F7471" w14:textId="77777777" w:rsidR="00362761" w:rsidRPr="003C50B2" w:rsidRDefault="00F04517">
      <w:pPr>
        <w:spacing w:line="360" w:lineRule="auto"/>
        <w:ind w:right="51"/>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3C50B2">
        <w:rPr>
          <w:rFonts w:ascii="Palatino Linotype" w:eastAsia="Palatino Linotype" w:hAnsi="Palatino Linotype" w:cs="Palatino Linotype"/>
          <w:b/>
        </w:rPr>
        <w:t>RECURRENTE</w:t>
      </w:r>
      <w:r w:rsidRPr="003C50B2">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072F7AF" w14:textId="77777777" w:rsidR="00362761" w:rsidRPr="003C50B2" w:rsidRDefault="00362761">
      <w:pPr>
        <w:spacing w:line="360" w:lineRule="auto"/>
        <w:ind w:right="51"/>
        <w:jc w:val="both"/>
        <w:rPr>
          <w:rFonts w:ascii="Palatino Linotype" w:eastAsia="Palatino Linotype" w:hAnsi="Palatino Linotype" w:cs="Palatino Linotype"/>
        </w:rPr>
      </w:pPr>
    </w:p>
    <w:p w14:paraId="2594A5F4" w14:textId="77777777" w:rsidR="00362761" w:rsidRPr="003C50B2" w:rsidRDefault="00F04517">
      <w:pPr>
        <w:spacing w:line="360" w:lineRule="auto"/>
        <w:ind w:right="50"/>
        <w:jc w:val="both"/>
        <w:rPr>
          <w:rFonts w:ascii="Palatino Linotype" w:eastAsia="Palatino Linotype" w:hAnsi="Palatino Linotype" w:cs="Palatino Linotype"/>
        </w:rPr>
      </w:pPr>
      <w:r w:rsidRPr="003C50B2">
        <w:rPr>
          <w:rFonts w:ascii="Palatino Linotype" w:eastAsia="Palatino Linotype" w:hAnsi="Palatino Linotype" w:cs="Palatino Linotype"/>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2AF5004" w14:textId="77777777" w:rsidR="00362761" w:rsidRPr="003C50B2" w:rsidRDefault="00362761">
      <w:pPr>
        <w:spacing w:line="360" w:lineRule="auto"/>
        <w:ind w:right="50"/>
        <w:jc w:val="both"/>
        <w:rPr>
          <w:rFonts w:ascii="Palatino Linotype" w:eastAsia="Palatino Linotype" w:hAnsi="Palatino Linotype" w:cs="Palatino Linotype"/>
        </w:rPr>
      </w:pPr>
    </w:p>
    <w:p w14:paraId="2A9D8325" w14:textId="77777777" w:rsidR="00362761" w:rsidRPr="003C50B2" w:rsidRDefault="00F04517">
      <w:pPr>
        <w:spacing w:line="360" w:lineRule="auto"/>
        <w:ind w:right="51"/>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w:t>
      </w:r>
      <w:proofErr w:type="gramStart"/>
      <w:r w:rsidRPr="003C50B2">
        <w:rPr>
          <w:rFonts w:ascii="Palatino Linotype" w:eastAsia="Palatino Linotype" w:hAnsi="Palatino Linotype" w:cs="Palatino Linotype"/>
        </w:rPr>
        <w:t>Responsable</w:t>
      </w:r>
      <w:proofErr w:type="gramEnd"/>
      <w:r w:rsidRPr="003C50B2">
        <w:rPr>
          <w:rFonts w:ascii="Palatino Linotype" w:eastAsia="Palatino Linotype" w:hAnsi="Palatino Linotype" w:cs="Palatino Linotype"/>
        </w:rPr>
        <w:t xml:space="preserve"> de la Unidad de Transparencia del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77BCE62C" w14:textId="77777777" w:rsidR="00362761" w:rsidRPr="003C50B2" w:rsidRDefault="00362761">
      <w:pPr>
        <w:spacing w:line="360" w:lineRule="auto"/>
        <w:ind w:right="51"/>
        <w:jc w:val="both"/>
        <w:rPr>
          <w:rFonts w:ascii="Palatino Linotype" w:eastAsia="Palatino Linotype" w:hAnsi="Palatino Linotype" w:cs="Palatino Linotype"/>
        </w:rPr>
      </w:pPr>
    </w:p>
    <w:p w14:paraId="24D72DFB" w14:textId="77777777" w:rsidR="00362761" w:rsidRPr="003C50B2" w:rsidRDefault="00F04517">
      <w:pPr>
        <w:ind w:left="992" w:right="1043"/>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“Artículo 49.</w:t>
      </w:r>
      <w:r w:rsidRPr="003C50B2">
        <w:rPr>
          <w:rFonts w:ascii="Palatino Linotype" w:eastAsia="Palatino Linotype" w:hAnsi="Palatino Linotype" w:cs="Palatino Linotype"/>
          <w:i/>
          <w:sz w:val="22"/>
          <w:szCs w:val="22"/>
        </w:rPr>
        <w:t xml:space="preserve"> </w:t>
      </w:r>
      <w:r w:rsidRPr="003C50B2">
        <w:rPr>
          <w:rFonts w:ascii="Palatino Linotype" w:eastAsia="Palatino Linotype" w:hAnsi="Palatino Linotype" w:cs="Palatino Linotype"/>
          <w:b/>
          <w:i/>
          <w:sz w:val="22"/>
          <w:szCs w:val="22"/>
        </w:rPr>
        <w:t>Los Comités de Transparencia</w:t>
      </w:r>
      <w:r w:rsidRPr="003C50B2">
        <w:rPr>
          <w:rFonts w:ascii="Palatino Linotype" w:eastAsia="Palatino Linotype" w:hAnsi="Palatino Linotype" w:cs="Palatino Linotype"/>
          <w:i/>
          <w:sz w:val="22"/>
          <w:szCs w:val="22"/>
        </w:rPr>
        <w:t xml:space="preserve"> tendrán las siguientes atribuciones:</w:t>
      </w:r>
    </w:p>
    <w:p w14:paraId="6E0BC3BB" w14:textId="77777777" w:rsidR="00362761" w:rsidRPr="003C50B2" w:rsidRDefault="00F04517">
      <w:pPr>
        <w:ind w:left="992" w:right="1043"/>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VIII. Aprobar, modificar o revocar la clasificación de la información</w:t>
      </w:r>
      <w:r w:rsidRPr="003C50B2">
        <w:rPr>
          <w:rFonts w:ascii="Palatino Linotype" w:eastAsia="Palatino Linotype" w:hAnsi="Palatino Linotype" w:cs="Palatino Linotype"/>
          <w:i/>
          <w:sz w:val="22"/>
          <w:szCs w:val="22"/>
        </w:rPr>
        <w:t>…”</w:t>
      </w:r>
    </w:p>
    <w:p w14:paraId="5460DD0F" w14:textId="77777777" w:rsidR="00362761" w:rsidRPr="003C50B2" w:rsidRDefault="00F04517">
      <w:pPr>
        <w:ind w:left="992" w:right="1043"/>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r w:rsidRPr="003C50B2">
        <w:rPr>
          <w:rFonts w:ascii="Palatino Linotype" w:eastAsia="Palatino Linotype" w:hAnsi="Palatino Linotype" w:cs="Palatino Linotype"/>
          <w:b/>
          <w:i/>
          <w:sz w:val="22"/>
          <w:szCs w:val="22"/>
        </w:rPr>
        <w:t>Artículo 53.</w:t>
      </w:r>
      <w:r w:rsidRPr="003C50B2">
        <w:rPr>
          <w:rFonts w:ascii="Palatino Linotype" w:eastAsia="Palatino Linotype" w:hAnsi="Palatino Linotype" w:cs="Palatino Linotype"/>
          <w:i/>
          <w:sz w:val="22"/>
          <w:szCs w:val="22"/>
        </w:rPr>
        <w:t xml:space="preserve"> Las </w:t>
      </w:r>
      <w:r w:rsidRPr="003C50B2">
        <w:rPr>
          <w:rFonts w:ascii="Palatino Linotype" w:eastAsia="Palatino Linotype" w:hAnsi="Palatino Linotype" w:cs="Palatino Linotype"/>
          <w:b/>
          <w:i/>
          <w:sz w:val="22"/>
          <w:szCs w:val="22"/>
        </w:rPr>
        <w:t>Unidades de Transparencia</w:t>
      </w:r>
      <w:r w:rsidRPr="003C50B2">
        <w:rPr>
          <w:rFonts w:ascii="Palatino Linotype" w:eastAsia="Palatino Linotype" w:hAnsi="Palatino Linotype" w:cs="Palatino Linotype"/>
          <w:i/>
          <w:sz w:val="22"/>
          <w:szCs w:val="22"/>
        </w:rPr>
        <w:t xml:space="preserve"> tendrán las siguientes </w:t>
      </w:r>
      <w:r w:rsidRPr="003C50B2">
        <w:rPr>
          <w:rFonts w:ascii="Palatino Linotype" w:eastAsia="Palatino Linotype" w:hAnsi="Palatino Linotype" w:cs="Palatino Linotype"/>
          <w:b/>
          <w:i/>
          <w:sz w:val="22"/>
          <w:szCs w:val="22"/>
        </w:rPr>
        <w:t>funciones</w:t>
      </w:r>
      <w:r w:rsidRPr="003C50B2">
        <w:rPr>
          <w:rFonts w:ascii="Palatino Linotype" w:eastAsia="Palatino Linotype" w:hAnsi="Palatino Linotype" w:cs="Palatino Linotype"/>
          <w:i/>
          <w:sz w:val="22"/>
          <w:szCs w:val="22"/>
        </w:rPr>
        <w:t>:</w:t>
      </w:r>
    </w:p>
    <w:p w14:paraId="230D79AB" w14:textId="77777777" w:rsidR="00362761" w:rsidRPr="003C50B2" w:rsidRDefault="00F04517">
      <w:pPr>
        <w:ind w:left="992" w:right="1043"/>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X. Presentar ante el Comité, el proyecto de clasificación de información</w:t>
      </w:r>
      <w:r w:rsidRPr="003C50B2">
        <w:rPr>
          <w:rFonts w:ascii="Palatino Linotype" w:eastAsia="Palatino Linotype" w:hAnsi="Palatino Linotype" w:cs="Palatino Linotype"/>
          <w:i/>
          <w:sz w:val="22"/>
          <w:szCs w:val="22"/>
        </w:rPr>
        <w:t xml:space="preserve">…” </w:t>
      </w:r>
    </w:p>
    <w:p w14:paraId="57015A34" w14:textId="77777777" w:rsidR="00362761" w:rsidRPr="003C50B2" w:rsidRDefault="00F04517">
      <w:pPr>
        <w:ind w:left="992" w:right="1043"/>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“Artículo 59.</w:t>
      </w:r>
      <w:r w:rsidRPr="003C50B2">
        <w:rPr>
          <w:rFonts w:ascii="Palatino Linotype" w:eastAsia="Palatino Linotype" w:hAnsi="Palatino Linotype" w:cs="Palatino Linotype"/>
          <w:i/>
          <w:sz w:val="22"/>
          <w:szCs w:val="22"/>
        </w:rPr>
        <w:t xml:space="preserve"> Los </w:t>
      </w:r>
      <w:r w:rsidRPr="003C50B2">
        <w:rPr>
          <w:rFonts w:ascii="Palatino Linotype" w:eastAsia="Palatino Linotype" w:hAnsi="Palatino Linotype" w:cs="Palatino Linotype"/>
          <w:b/>
          <w:i/>
          <w:sz w:val="22"/>
          <w:szCs w:val="22"/>
        </w:rPr>
        <w:t>servidores públicos habilitados</w:t>
      </w:r>
      <w:r w:rsidRPr="003C50B2">
        <w:rPr>
          <w:rFonts w:ascii="Palatino Linotype" w:eastAsia="Palatino Linotype" w:hAnsi="Palatino Linotype" w:cs="Palatino Linotype"/>
          <w:i/>
          <w:sz w:val="22"/>
          <w:szCs w:val="22"/>
        </w:rPr>
        <w:t xml:space="preserve"> tendrán las </w:t>
      </w:r>
      <w:r w:rsidRPr="003C50B2">
        <w:rPr>
          <w:rFonts w:ascii="Palatino Linotype" w:eastAsia="Palatino Linotype" w:hAnsi="Palatino Linotype" w:cs="Palatino Linotype"/>
          <w:b/>
          <w:i/>
          <w:sz w:val="22"/>
          <w:szCs w:val="22"/>
        </w:rPr>
        <w:t>funciones</w:t>
      </w:r>
      <w:r w:rsidRPr="003C50B2">
        <w:rPr>
          <w:rFonts w:ascii="Palatino Linotype" w:eastAsia="Palatino Linotype" w:hAnsi="Palatino Linotype" w:cs="Palatino Linotype"/>
          <w:i/>
          <w:sz w:val="22"/>
          <w:szCs w:val="22"/>
        </w:rPr>
        <w:t xml:space="preserve"> siguientes:</w:t>
      </w:r>
    </w:p>
    <w:p w14:paraId="69EE68DC" w14:textId="77777777" w:rsidR="00362761" w:rsidRPr="003C50B2" w:rsidRDefault="00F04517">
      <w:pPr>
        <w:ind w:left="992" w:right="1043"/>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3C50B2">
        <w:rPr>
          <w:rFonts w:ascii="Palatino Linotype" w:eastAsia="Palatino Linotype" w:hAnsi="Palatino Linotype" w:cs="Palatino Linotype"/>
          <w:i/>
          <w:sz w:val="22"/>
          <w:szCs w:val="22"/>
        </w:rPr>
        <w:t xml:space="preserve">, la cual tendrá los fundamentos y argumentos en que se basa dicha propuesta…” </w:t>
      </w:r>
    </w:p>
    <w:p w14:paraId="7A39B64E" w14:textId="77777777" w:rsidR="00362761" w:rsidRPr="003C50B2" w:rsidRDefault="00362761">
      <w:pPr>
        <w:ind w:left="992" w:right="1043"/>
        <w:jc w:val="both"/>
        <w:rPr>
          <w:rFonts w:ascii="Palatino Linotype" w:eastAsia="Palatino Linotype" w:hAnsi="Palatino Linotype" w:cs="Palatino Linotype"/>
          <w:i/>
          <w:sz w:val="22"/>
          <w:szCs w:val="22"/>
        </w:rPr>
      </w:pPr>
    </w:p>
    <w:p w14:paraId="1313CE3E"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3C50B2">
        <w:rPr>
          <w:rFonts w:ascii="Palatino Linotype" w:eastAsia="Palatino Linotype" w:hAnsi="Palatino Linotype" w:cs="Palatino Linotype"/>
        </w:rPr>
        <w:lastRenderedPageBreak/>
        <w:t>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9DBD665" w14:textId="77777777" w:rsidR="00362761" w:rsidRPr="003C50B2" w:rsidRDefault="00362761">
      <w:pPr>
        <w:spacing w:line="360" w:lineRule="auto"/>
        <w:jc w:val="both"/>
        <w:rPr>
          <w:rFonts w:ascii="Palatino Linotype" w:eastAsia="Palatino Linotype" w:hAnsi="Palatino Linotype" w:cs="Palatino Linotype"/>
        </w:rPr>
      </w:pPr>
    </w:p>
    <w:p w14:paraId="01BCD18A"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43BF3D86" w14:textId="77777777" w:rsidR="00362761" w:rsidRPr="003C50B2" w:rsidRDefault="00362761">
      <w:pPr>
        <w:spacing w:line="360" w:lineRule="auto"/>
        <w:jc w:val="both"/>
        <w:rPr>
          <w:rFonts w:ascii="Palatino Linotype" w:eastAsia="Palatino Linotype" w:hAnsi="Palatino Linotype" w:cs="Palatino Linotype"/>
        </w:rPr>
      </w:pPr>
    </w:p>
    <w:p w14:paraId="1AA825D6" w14:textId="77777777" w:rsidR="00362761" w:rsidRPr="003C50B2" w:rsidRDefault="00F04517">
      <w:pPr>
        <w:spacing w:after="240"/>
        <w:ind w:left="993" w:right="1041"/>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r w:rsidRPr="003C50B2">
        <w:rPr>
          <w:rFonts w:ascii="Palatino Linotype" w:eastAsia="Palatino Linotype" w:hAnsi="Palatino Linotype" w:cs="Palatino Linotype"/>
          <w:b/>
          <w:i/>
          <w:sz w:val="22"/>
          <w:szCs w:val="22"/>
        </w:rPr>
        <w:t>Artículo 149.</w:t>
      </w:r>
      <w:r w:rsidRPr="003C50B2">
        <w:rPr>
          <w:rFonts w:ascii="Palatino Linotype" w:eastAsia="Palatino Linotype" w:hAnsi="Palatino Linotype" w:cs="Palatino Linotype"/>
          <w:i/>
          <w:sz w:val="22"/>
          <w:szCs w:val="22"/>
        </w:rPr>
        <w:t xml:space="preserve"> El </w:t>
      </w:r>
      <w:r w:rsidRPr="003C50B2">
        <w:rPr>
          <w:rFonts w:ascii="Palatino Linotype" w:eastAsia="Palatino Linotype" w:hAnsi="Palatino Linotype" w:cs="Palatino Linotype"/>
          <w:b/>
          <w:i/>
          <w:sz w:val="22"/>
          <w:szCs w:val="22"/>
        </w:rPr>
        <w:t>acuerdo que clasifique la información como confidencial</w:t>
      </w:r>
      <w:r w:rsidRPr="003C50B2">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3FC0394A" w14:textId="77777777" w:rsidR="00362761" w:rsidRPr="003C50B2" w:rsidRDefault="00362761">
      <w:pPr>
        <w:spacing w:before="240" w:line="360" w:lineRule="auto"/>
        <w:ind w:right="51"/>
        <w:jc w:val="both"/>
        <w:rPr>
          <w:rFonts w:ascii="Palatino Linotype" w:eastAsia="Palatino Linotype" w:hAnsi="Palatino Linotype" w:cs="Palatino Linotype"/>
          <w:i/>
          <w:sz w:val="22"/>
          <w:szCs w:val="22"/>
        </w:rPr>
      </w:pPr>
    </w:p>
    <w:p w14:paraId="4C62AEB6" w14:textId="77777777" w:rsidR="00362761" w:rsidRPr="003C50B2" w:rsidRDefault="00F04517">
      <w:pPr>
        <w:spacing w:line="360" w:lineRule="auto"/>
        <w:ind w:right="51"/>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Es decir,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0D56C5D" w14:textId="77777777" w:rsidR="00362761" w:rsidRPr="003C50B2" w:rsidRDefault="00362761">
      <w:pPr>
        <w:spacing w:line="360" w:lineRule="auto"/>
        <w:jc w:val="both"/>
        <w:rPr>
          <w:rFonts w:ascii="Palatino Linotype" w:eastAsia="Palatino Linotype" w:hAnsi="Palatino Linotype" w:cs="Palatino Linotype"/>
        </w:rPr>
      </w:pPr>
    </w:p>
    <w:p w14:paraId="16AAE303"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lastRenderedPageBreak/>
        <w:t xml:space="preserve">Al respecto, se destaca que la versión pública que elabore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C50B2">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3C50B2">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4D3988C" w14:textId="77777777" w:rsidR="00362761" w:rsidRPr="003C50B2" w:rsidRDefault="00362761">
      <w:pPr>
        <w:ind w:left="709" w:right="709"/>
        <w:jc w:val="both"/>
        <w:rPr>
          <w:rFonts w:ascii="Palatino Linotype" w:eastAsia="Palatino Linotype" w:hAnsi="Palatino Linotype" w:cs="Palatino Linotype"/>
          <w:b/>
          <w:i/>
          <w:sz w:val="22"/>
          <w:szCs w:val="22"/>
        </w:rPr>
      </w:pPr>
    </w:p>
    <w:p w14:paraId="34900984"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14C9D633"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i/>
          <w:sz w:val="22"/>
          <w:szCs w:val="22"/>
        </w:rPr>
        <w:t>“</w:t>
      </w:r>
      <w:proofErr w:type="gramStart"/>
      <w:r w:rsidRPr="003C50B2">
        <w:rPr>
          <w:rFonts w:ascii="Palatino Linotype" w:eastAsia="Palatino Linotype" w:hAnsi="Palatino Linotype" w:cs="Palatino Linotype"/>
          <w:b/>
          <w:i/>
          <w:sz w:val="22"/>
          <w:szCs w:val="22"/>
        </w:rPr>
        <w:t>Segundo.-</w:t>
      </w:r>
      <w:proofErr w:type="gramEnd"/>
      <w:r w:rsidRPr="003C50B2">
        <w:rPr>
          <w:rFonts w:ascii="Palatino Linotype" w:eastAsia="Palatino Linotype" w:hAnsi="Palatino Linotype" w:cs="Palatino Linotype"/>
          <w:i/>
          <w:sz w:val="22"/>
          <w:szCs w:val="22"/>
        </w:rPr>
        <w:t xml:space="preserve"> Para efectos de los presentes Lineamientos Generales, se entenderá por:</w:t>
      </w:r>
    </w:p>
    <w:p w14:paraId="1E2B1811"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b/>
          <w:i/>
          <w:sz w:val="22"/>
          <w:szCs w:val="22"/>
        </w:rPr>
        <w:t>XVIII.</w:t>
      </w:r>
      <w:r w:rsidRPr="003C50B2">
        <w:rPr>
          <w:rFonts w:ascii="Palatino Linotype" w:eastAsia="Palatino Linotype" w:hAnsi="Palatino Linotype" w:cs="Palatino Linotype"/>
          <w:i/>
          <w:sz w:val="22"/>
          <w:szCs w:val="22"/>
        </w:rPr>
        <w:t xml:space="preserve"> </w:t>
      </w:r>
      <w:r w:rsidRPr="003C50B2">
        <w:rPr>
          <w:rFonts w:ascii="Palatino Linotype" w:eastAsia="Palatino Linotype" w:hAnsi="Palatino Linotype" w:cs="Palatino Linotype"/>
          <w:b/>
          <w:i/>
          <w:sz w:val="22"/>
          <w:szCs w:val="22"/>
        </w:rPr>
        <w:t>Versión pública:</w:t>
      </w:r>
      <w:r w:rsidRPr="003C50B2">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3C50B2">
        <w:rPr>
          <w:rFonts w:ascii="Palatino Linotype" w:eastAsia="Palatino Linotype" w:hAnsi="Palatino Linotype" w:cs="Palatino Linotype"/>
          <w:b/>
          <w:i/>
          <w:sz w:val="22"/>
          <w:szCs w:val="22"/>
          <w:u w:val="single"/>
        </w:rPr>
        <w:t>fundando y motivando la</w:t>
      </w:r>
      <w:r w:rsidRPr="003C50B2">
        <w:rPr>
          <w:rFonts w:ascii="Palatino Linotype" w:eastAsia="Palatino Linotype" w:hAnsi="Palatino Linotype" w:cs="Palatino Linotype"/>
          <w:i/>
          <w:sz w:val="22"/>
          <w:szCs w:val="22"/>
        </w:rPr>
        <w:t xml:space="preserve"> reserva o </w:t>
      </w:r>
      <w:r w:rsidRPr="003C50B2">
        <w:rPr>
          <w:rFonts w:ascii="Palatino Linotype" w:eastAsia="Palatino Linotype" w:hAnsi="Palatino Linotype" w:cs="Palatino Linotype"/>
          <w:b/>
          <w:i/>
          <w:sz w:val="22"/>
          <w:szCs w:val="22"/>
          <w:u w:val="single"/>
        </w:rPr>
        <w:t>confidencialidad</w:t>
      </w:r>
      <w:r w:rsidRPr="003C50B2">
        <w:rPr>
          <w:rFonts w:ascii="Palatino Linotype" w:eastAsia="Palatino Linotype" w:hAnsi="Palatino Linotype" w:cs="Palatino Linotype"/>
          <w:i/>
          <w:sz w:val="22"/>
          <w:szCs w:val="22"/>
        </w:rPr>
        <w:t>, a través de la resolución que para tal efecto emita el Comité de Transparencia.</w:t>
      </w:r>
    </w:p>
    <w:p w14:paraId="7647027A"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b/>
          <w:i/>
          <w:sz w:val="22"/>
          <w:szCs w:val="22"/>
        </w:rPr>
        <w:t>Cuarto.</w:t>
      </w:r>
      <w:r w:rsidRPr="003C50B2">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D36F0A8"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FBB0F4E"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b/>
          <w:i/>
          <w:sz w:val="22"/>
          <w:szCs w:val="22"/>
        </w:rPr>
        <w:lastRenderedPageBreak/>
        <w:t>Quinto.</w:t>
      </w:r>
      <w:r w:rsidRPr="003C50B2">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6471EF8"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b/>
          <w:i/>
          <w:sz w:val="22"/>
          <w:szCs w:val="22"/>
        </w:rPr>
        <w:t>…</w:t>
      </w:r>
    </w:p>
    <w:p w14:paraId="117BDEB2"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b/>
          <w:i/>
          <w:sz w:val="22"/>
          <w:szCs w:val="22"/>
        </w:rPr>
        <w:t>Séptimo.</w:t>
      </w:r>
      <w:r w:rsidRPr="003C50B2">
        <w:rPr>
          <w:rFonts w:ascii="Palatino Linotype" w:eastAsia="Palatino Linotype" w:hAnsi="Palatino Linotype" w:cs="Palatino Linotype"/>
          <w:i/>
          <w:sz w:val="22"/>
          <w:szCs w:val="22"/>
        </w:rPr>
        <w:t xml:space="preserve"> La clasificación de la información se llevará a cabo en el momento en que:</w:t>
      </w:r>
    </w:p>
    <w:p w14:paraId="581B1AE5"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b/>
          <w:i/>
          <w:sz w:val="22"/>
          <w:szCs w:val="22"/>
        </w:rPr>
        <w:t>I.</w:t>
      </w:r>
      <w:r w:rsidRPr="003C50B2">
        <w:rPr>
          <w:rFonts w:ascii="Palatino Linotype" w:eastAsia="Palatino Linotype" w:hAnsi="Palatino Linotype" w:cs="Palatino Linotype"/>
          <w:i/>
          <w:sz w:val="22"/>
          <w:szCs w:val="22"/>
        </w:rPr>
        <w:t xml:space="preserve"> Se reciba una solicitud de acceso a la información;</w:t>
      </w:r>
    </w:p>
    <w:p w14:paraId="22E3A0EE" w14:textId="77777777" w:rsidR="00362761" w:rsidRPr="003C50B2" w:rsidRDefault="00F0451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II.</w:t>
      </w:r>
      <w:r w:rsidRPr="003C50B2">
        <w:rPr>
          <w:rFonts w:ascii="Palatino Linotype" w:eastAsia="Palatino Linotype" w:hAnsi="Palatino Linotype" w:cs="Palatino Linotype"/>
          <w:i/>
          <w:sz w:val="22"/>
          <w:szCs w:val="22"/>
        </w:rPr>
        <w:t xml:space="preserve"> </w:t>
      </w:r>
      <w:proofErr w:type="gramStart"/>
      <w:r w:rsidRPr="003C50B2">
        <w:rPr>
          <w:rFonts w:ascii="Palatino Linotype" w:eastAsia="Palatino Linotype" w:hAnsi="Palatino Linotype" w:cs="Palatino Linotype"/>
          <w:i/>
          <w:sz w:val="22"/>
          <w:szCs w:val="22"/>
        </w:rPr>
        <w:t>Se  determine</w:t>
      </w:r>
      <w:proofErr w:type="gramEnd"/>
      <w:r w:rsidRPr="003C50B2">
        <w:rPr>
          <w:rFonts w:ascii="Palatino Linotype" w:eastAsia="Palatino Linotype" w:hAnsi="Palatino Linotype" w:cs="Palatino Linotype"/>
          <w:i/>
          <w:sz w:val="22"/>
          <w:szCs w:val="22"/>
        </w:rPr>
        <w:t xml:space="preserve"> mediante resolución del Comité de Transparencia, el órgano garante </w:t>
      </w:r>
    </w:p>
    <w:p w14:paraId="11A186DB"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i/>
          <w:sz w:val="22"/>
          <w:szCs w:val="22"/>
        </w:rPr>
        <w:t>competente, o en cumplimiento a una sentencia del Poder Judicial; o</w:t>
      </w:r>
    </w:p>
    <w:p w14:paraId="7CBF4277"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b/>
          <w:i/>
          <w:sz w:val="22"/>
          <w:szCs w:val="22"/>
        </w:rPr>
        <w:t>III.</w:t>
      </w:r>
      <w:r w:rsidRPr="003C50B2">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065D74D"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6E01796A"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b/>
          <w:i/>
          <w:sz w:val="22"/>
          <w:szCs w:val="22"/>
        </w:rPr>
        <w:t>Octavo.</w:t>
      </w:r>
      <w:r w:rsidRPr="003C50B2">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99BCC8C"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902E635" w14:textId="77777777" w:rsidR="00362761" w:rsidRPr="003C50B2" w:rsidRDefault="00F0451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F4666CD"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b/>
          <w:i/>
          <w:sz w:val="22"/>
          <w:szCs w:val="22"/>
        </w:rPr>
        <w:t>Noveno.</w:t>
      </w:r>
      <w:r w:rsidRPr="003C50B2">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AE2C7E0"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b/>
          <w:i/>
          <w:sz w:val="22"/>
          <w:szCs w:val="22"/>
        </w:rPr>
        <w:t>Décimo.</w:t>
      </w:r>
      <w:r w:rsidRPr="003C50B2">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3C50B2">
        <w:rPr>
          <w:rFonts w:ascii="Palatino Linotype" w:eastAsia="Palatino Linotype" w:hAnsi="Palatino Linotype" w:cs="Palatino Linotype"/>
          <w:i/>
          <w:sz w:val="22"/>
          <w:szCs w:val="22"/>
        </w:rPr>
        <w:lastRenderedPageBreak/>
        <w:t>información clasificada, en los términos de la Ley General de Archivos, Lineamientos para la Organización y Conservación de Archivos y demás normatividad aplicable.</w:t>
      </w:r>
    </w:p>
    <w:p w14:paraId="791AAA86"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0F0CC1D5" w14:textId="77777777" w:rsidR="00362761" w:rsidRPr="003C50B2" w:rsidRDefault="00F0451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Décimo primero.</w:t>
      </w:r>
      <w:r w:rsidRPr="003C50B2">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774B243" w14:textId="77777777" w:rsidR="00362761" w:rsidRPr="003C50B2" w:rsidRDefault="00362761">
      <w:pPr>
        <w:pBdr>
          <w:top w:val="nil"/>
          <w:left w:val="nil"/>
          <w:bottom w:val="nil"/>
          <w:right w:val="nil"/>
          <w:between w:val="nil"/>
        </w:pBdr>
        <w:ind w:right="709"/>
        <w:jc w:val="both"/>
      </w:pPr>
    </w:p>
    <w:p w14:paraId="52E7A2C9" w14:textId="77777777" w:rsidR="00362761" w:rsidRPr="003C50B2" w:rsidRDefault="00F04517">
      <w:pPr>
        <w:pBdr>
          <w:top w:val="nil"/>
          <w:left w:val="nil"/>
          <w:bottom w:val="nil"/>
          <w:right w:val="nil"/>
          <w:between w:val="nil"/>
        </w:pBdr>
        <w:ind w:left="709" w:right="709"/>
        <w:jc w:val="both"/>
      </w:pPr>
      <w:r w:rsidRPr="003C50B2">
        <w:rPr>
          <w:rFonts w:ascii="Palatino Linotype" w:eastAsia="Palatino Linotype" w:hAnsi="Palatino Linotype" w:cs="Palatino Linotype"/>
          <w:i/>
          <w:sz w:val="22"/>
          <w:szCs w:val="22"/>
        </w:rPr>
        <w:t>[…]</w:t>
      </w:r>
    </w:p>
    <w:p w14:paraId="1B5CC8F8" w14:textId="77777777" w:rsidR="00362761" w:rsidRPr="003C50B2" w:rsidRDefault="00F04517">
      <w:pPr>
        <w:pBdr>
          <w:top w:val="nil"/>
          <w:left w:val="nil"/>
          <w:bottom w:val="nil"/>
          <w:right w:val="nil"/>
          <w:between w:val="nil"/>
        </w:pBdr>
        <w:ind w:left="709" w:right="709"/>
        <w:jc w:val="center"/>
      </w:pPr>
      <w:r w:rsidRPr="003C50B2">
        <w:rPr>
          <w:rFonts w:ascii="Palatino Linotype" w:eastAsia="Palatino Linotype" w:hAnsi="Palatino Linotype" w:cs="Palatino Linotype"/>
          <w:b/>
          <w:i/>
          <w:sz w:val="22"/>
          <w:szCs w:val="22"/>
        </w:rPr>
        <w:t>CAPÍTULO VIII</w:t>
      </w:r>
    </w:p>
    <w:p w14:paraId="5196A4AA" w14:textId="77777777" w:rsidR="00362761" w:rsidRPr="003C50B2" w:rsidRDefault="00F04517">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3C50B2">
        <w:rPr>
          <w:rFonts w:ascii="Palatino Linotype" w:eastAsia="Palatino Linotype" w:hAnsi="Palatino Linotype" w:cs="Palatino Linotype"/>
          <w:b/>
          <w:i/>
          <w:sz w:val="22"/>
          <w:szCs w:val="22"/>
        </w:rPr>
        <w:t>DE LOS ELEMENTOS PARA LA CLASIFICACIÓN</w:t>
      </w:r>
    </w:p>
    <w:p w14:paraId="1B37EE0B"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Quincuagésimo</w:t>
      </w:r>
      <w:r w:rsidRPr="003C50B2">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BB3DF22"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Quincuagésimo primero</w:t>
      </w:r>
      <w:r w:rsidRPr="003C50B2">
        <w:rPr>
          <w:rFonts w:ascii="Palatino Linotype" w:eastAsia="Palatino Linotype" w:hAnsi="Palatino Linotype" w:cs="Palatino Linotype"/>
          <w:i/>
          <w:sz w:val="22"/>
          <w:szCs w:val="22"/>
        </w:rPr>
        <w:t>. Toda acta del Comité de Transparencia deberá contener:</w:t>
      </w:r>
    </w:p>
    <w:p w14:paraId="4E83EB99"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 xml:space="preserve">I. El número de sesión y fecha; </w:t>
      </w:r>
    </w:p>
    <w:p w14:paraId="35F23B07"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II. El nombre del área que solicitó la clasificación de información;</w:t>
      </w:r>
    </w:p>
    <w:p w14:paraId="28CF4B58"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III. La fundamentación legal y motivación correspondiente;</w:t>
      </w:r>
    </w:p>
    <w:p w14:paraId="338A339B"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IV. La resolución o resoluciones aprobadas; y</w:t>
      </w:r>
    </w:p>
    <w:p w14:paraId="57EA8378"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 xml:space="preserve">V. La rúbrica o firma digital de cada integrante del Comité de Transparencia. </w:t>
      </w:r>
    </w:p>
    <w:p w14:paraId="5AC27B58"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7202B642"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 Los motivos y razonamientos que sustenten la confirmación o modificación de la prueba de daño;</w:t>
      </w:r>
    </w:p>
    <w:p w14:paraId="6D16F344"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II. Descripción de las partes o secciones reservadas, en caso de clasificación parcial;</w:t>
      </w:r>
    </w:p>
    <w:p w14:paraId="247F6A1F"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III. El periodo por el que mantendrá su clasificación y fecha de expiración; y</w:t>
      </w:r>
    </w:p>
    <w:p w14:paraId="4716E8D3"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IV. El nombre del titular y área encargada de realizar la versión pública del documento, en su caso.</w:t>
      </w:r>
    </w:p>
    <w:p w14:paraId="54EEBE05"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65FC97B6"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6550F6A"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b/>
          <w:i/>
          <w:sz w:val="22"/>
          <w:szCs w:val="22"/>
        </w:rPr>
        <w:t>Quincuagésimo segundo</w:t>
      </w:r>
      <w:r w:rsidRPr="003C50B2">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83D175F"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AB66463"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23611BD"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7F536F73"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III. Señalar las personas o instancias autorizadas a acceder a la información clasificada.</w:t>
      </w:r>
    </w:p>
    <w:p w14:paraId="3EE78F48"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470846A"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w:t>
      </w:r>
    </w:p>
    <w:p w14:paraId="7B94A661" w14:textId="77777777" w:rsidR="00362761" w:rsidRPr="003C50B2" w:rsidRDefault="00F0451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0BFC935" w14:textId="77777777" w:rsidR="00362761" w:rsidRPr="003C50B2" w:rsidRDefault="00F04517">
      <w:pPr>
        <w:pBdr>
          <w:top w:val="nil"/>
          <w:left w:val="nil"/>
          <w:bottom w:val="nil"/>
          <w:right w:val="nil"/>
          <w:between w:val="nil"/>
        </w:pBdr>
        <w:spacing w:after="160"/>
        <w:ind w:left="709" w:right="709"/>
        <w:jc w:val="both"/>
      </w:pPr>
      <w:r w:rsidRPr="003C50B2">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3C50B2">
        <w:rPr>
          <w:rFonts w:ascii="Palatino Linotype" w:eastAsia="Palatino Linotype" w:hAnsi="Palatino Linotype" w:cs="Palatino Linotype"/>
          <w:i/>
          <w:sz w:val="22"/>
          <w:szCs w:val="22"/>
        </w:rPr>
        <w:t>testado</w:t>
      </w:r>
      <w:proofErr w:type="spellEnd"/>
      <w:r w:rsidRPr="003C50B2">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w:t>
      </w:r>
      <w:r w:rsidRPr="003C50B2">
        <w:rPr>
          <w:rFonts w:ascii="Palatino Linotype" w:eastAsia="Palatino Linotype" w:hAnsi="Palatino Linotype" w:cs="Palatino Linotype"/>
          <w:i/>
          <w:sz w:val="22"/>
          <w:szCs w:val="22"/>
        </w:rPr>
        <w:lastRenderedPageBreak/>
        <w:t xml:space="preserve">Generales, los presentes Lineamientos y demás normativa aplicable antes de su confirmación por el Comité de Transparencia.” </w:t>
      </w:r>
    </w:p>
    <w:p w14:paraId="2896B45F" w14:textId="77777777" w:rsidR="00362761" w:rsidRPr="003C50B2" w:rsidRDefault="00362761">
      <w:pPr>
        <w:jc w:val="both"/>
      </w:pPr>
    </w:p>
    <w:p w14:paraId="38926A3E" w14:textId="77777777" w:rsidR="00362761" w:rsidRPr="003C50B2" w:rsidRDefault="00362761"/>
    <w:p w14:paraId="64029C2C"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532E210B" w14:textId="77777777" w:rsidR="00362761" w:rsidRPr="003C50B2" w:rsidRDefault="00362761">
      <w:pPr>
        <w:spacing w:line="360" w:lineRule="auto"/>
        <w:jc w:val="both"/>
        <w:rPr>
          <w:rFonts w:ascii="Palatino Linotype" w:eastAsia="Palatino Linotype" w:hAnsi="Palatino Linotype" w:cs="Palatino Linotype"/>
        </w:rPr>
      </w:pPr>
    </w:p>
    <w:p w14:paraId="2BB693C4" w14:textId="77777777" w:rsidR="00362761" w:rsidRPr="003C50B2" w:rsidRDefault="00F04517">
      <w:pPr>
        <w:shd w:val="clear" w:color="auto" w:fill="FFFFFF"/>
        <w:spacing w:line="360" w:lineRule="auto"/>
        <w:ind w:right="51"/>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3C50B2">
        <w:rPr>
          <w:rFonts w:ascii="Palatino Linotype" w:eastAsia="Palatino Linotype" w:hAnsi="Palatino Linotype" w:cs="Palatino Linotype"/>
          <w:b/>
        </w:rPr>
        <w:t>RECURRENTE</w:t>
      </w:r>
      <w:r w:rsidRPr="003C50B2">
        <w:rPr>
          <w:rFonts w:ascii="Palatino Linotype" w:eastAsia="Palatino Linotype" w:hAnsi="Palatino Linotype" w:cs="Palatino Linotype"/>
        </w:rPr>
        <w:t>.</w:t>
      </w:r>
    </w:p>
    <w:p w14:paraId="164F87D8" w14:textId="77777777" w:rsidR="00362761" w:rsidRPr="003C50B2" w:rsidRDefault="00362761">
      <w:pPr>
        <w:spacing w:line="360" w:lineRule="auto"/>
        <w:jc w:val="both"/>
        <w:rPr>
          <w:rFonts w:ascii="Palatino Linotype" w:eastAsia="Palatino Linotype" w:hAnsi="Palatino Linotype" w:cs="Palatino Linotype"/>
        </w:rPr>
      </w:pPr>
    </w:p>
    <w:p w14:paraId="041B2172" w14:textId="77777777" w:rsidR="00362761" w:rsidRPr="003C50B2" w:rsidRDefault="00F04517">
      <w:pPr>
        <w:pBdr>
          <w:top w:val="nil"/>
          <w:left w:val="nil"/>
          <w:bottom w:val="nil"/>
          <w:right w:val="nil"/>
          <w:between w:val="nil"/>
        </w:pBdr>
        <w:spacing w:after="240"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181, 185 y 186 </w:t>
      </w:r>
      <w:r w:rsidRPr="003C50B2">
        <w:rPr>
          <w:rFonts w:ascii="Palatino Linotype" w:eastAsia="Palatino Linotype" w:hAnsi="Palatino Linotype" w:cs="Palatino Linotype"/>
        </w:rPr>
        <w:lastRenderedPageBreak/>
        <w:t>fracción II de la Ley de Transparencia y Acceso a la Información Pública del Estado de México y Municipios, este Pleno:</w:t>
      </w:r>
    </w:p>
    <w:p w14:paraId="1FDEB9D4" w14:textId="77777777" w:rsidR="00362761" w:rsidRPr="003C50B2" w:rsidRDefault="00F04517">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3C50B2">
        <w:rPr>
          <w:rFonts w:ascii="Palatino Linotype" w:eastAsia="Palatino Linotype" w:hAnsi="Palatino Linotype" w:cs="Palatino Linotype"/>
          <w:b/>
        </w:rPr>
        <w:t>III. R E S U E L V E:</w:t>
      </w:r>
    </w:p>
    <w:p w14:paraId="3E8BC252" w14:textId="77777777" w:rsidR="00362761" w:rsidRPr="003C50B2" w:rsidRDefault="00F04517">
      <w:pPr>
        <w:spacing w:line="360" w:lineRule="auto"/>
        <w:jc w:val="both"/>
        <w:rPr>
          <w:rFonts w:ascii="Palatino Linotype" w:eastAsia="Palatino Linotype" w:hAnsi="Palatino Linotype" w:cs="Palatino Linotype"/>
        </w:rPr>
      </w:pPr>
      <w:bookmarkStart w:id="4" w:name="_heading=h.3dy6vkm" w:colFirst="0" w:colLast="0"/>
      <w:bookmarkEnd w:id="4"/>
      <w:r w:rsidRPr="003C50B2">
        <w:rPr>
          <w:rFonts w:ascii="Palatino Linotype" w:eastAsia="Palatino Linotype" w:hAnsi="Palatino Linotype" w:cs="Palatino Linotype"/>
          <w:b/>
        </w:rPr>
        <w:t xml:space="preserve">PRIMERO. </w:t>
      </w:r>
      <w:r w:rsidRPr="003C50B2">
        <w:rPr>
          <w:rFonts w:ascii="Palatino Linotype" w:eastAsia="Palatino Linotype" w:hAnsi="Palatino Linotype" w:cs="Palatino Linotype"/>
        </w:rPr>
        <w:t>Resulta</w:t>
      </w:r>
      <w:r w:rsidRPr="003C50B2">
        <w:rPr>
          <w:rFonts w:ascii="Palatino Linotype" w:eastAsia="Palatino Linotype" w:hAnsi="Palatino Linotype" w:cs="Palatino Linotype"/>
          <w:b/>
        </w:rPr>
        <w:t xml:space="preserve"> FUNDADO</w:t>
      </w:r>
      <w:r w:rsidRPr="003C50B2">
        <w:rPr>
          <w:rFonts w:ascii="Palatino Linotype" w:eastAsia="Palatino Linotype" w:hAnsi="Palatino Linotype" w:cs="Palatino Linotype"/>
        </w:rPr>
        <w:t xml:space="preserve"> el motivo de inconformidad hecho valer por la </w:t>
      </w:r>
      <w:r w:rsidRPr="003C50B2">
        <w:rPr>
          <w:rFonts w:ascii="Palatino Linotype" w:eastAsia="Palatino Linotype" w:hAnsi="Palatino Linotype" w:cs="Palatino Linotype"/>
          <w:b/>
        </w:rPr>
        <w:t>RECURRENTE</w:t>
      </w:r>
      <w:r w:rsidRPr="003C50B2">
        <w:rPr>
          <w:rFonts w:ascii="Palatino Linotype" w:eastAsia="Palatino Linotype" w:hAnsi="Palatino Linotype" w:cs="Palatino Linotype"/>
        </w:rPr>
        <w:t xml:space="preserve"> en el Recurso de Revisión </w:t>
      </w:r>
      <w:r w:rsidR="00233C3D" w:rsidRPr="003C50B2">
        <w:rPr>
          <w:rFonts w:ascii="Palatino Linotype" w:eastAsia="Palatino Linotype" w:hAnsi="Palatino Linotype" w:cs="Palatino Linotype"/>
          <w:b/>
        </w:rPr>
        <w:t>06709</w:t>
      </w:r>
      <w:r w:rsidRPr="003C50B2">
        <w:rPr>
          <w:rFonts w:ascii="Palatino Linotype" w:eastAsia="Palatino Linotype" w:hAnsi="Palatino Linotype" w:cs="Palatino Linotype"/>
          <w:b/>
        </w:rPr>
        <w:t xml:space="preserve">/INFOEM/IP/RR/2024, </w:t>
      </w:r>
      <w:r w:rsidRPr="003C50B2">
        <w:rPr>
          <w:rFonts w:ascii="Palatino Linotype" w:eastAsia="Palatino Linotype" w:hAnsi="Palatino Linotype" w:cs="Palatino Linotype"/>
        </w:rPr>
        <w:t xml:space="preserve">por lo que, en términos del considerando </w:t>
      </w:r>
      <w:r w:rsidRPr="003C50B2">
        <w:rPr>
          <w:rFonts w:ascii="Palatino Linotype" w:eastAsia="Palatino Linotype" w:hAnsi="Palatino Linotype" w:cs="Palatino Linotype"/>
          <w:b/>
        </w:rPr>
        <w:t xml:space="preserve">Cuarto </w:t>
      </w:r>
      <w:r w:rsidRPr="003C50B2">
        <w:rPr>
          <w:rFonts w:ascii="Palatino Linotype" w:eastAsia="Palatino Linotype" w:hAnsi="Palatino Linotype" w:cs="Palatino Linotype"/>
        </w:rPr>
        <w:t xml:space="preserve">de esta resolución, se </w:t>
      </w:r>
      <w:r w:rsidRPr="003C50B2">
        <w:rPr>
          <w:rFonts w:ascii="Palatino Linotype" w:eastAsia="Palatino Linotype" w:hAnsi="Palatino Linotype" w:cs="Palatino Linotype"/>
          <w:b/>
        </w:rPr>
        <w:t xml:space="preserve">REVOCA </w:t>
      </w:r>
      <w:r w:rsidRPr="003C50B2">
        <w:rPr>
          <w:rFonts w:ascii="Palatino Linotype" w:eastAsia="Palatino Linotype" w:hAnsi="Palatino Linotype" w:cs="Palatino Linotype"/>
        </w:rPr>
        <w:t xml:space="preserve">la respuesta emitida por 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w:t>
      </w:r>
    </w:p>
    <w:p w14:paraId="12AAA87F" w14:textId="77777777" w:rsidR="00362761" w:rsidRPr="003C50B2" w:rsidRDefault="00362761">
      <w:pPr>
        <w:spacing w:line="360" w:lineRule="auto"/>
        <w:ind w:right="49"/>
        <w:jc w:val="both"/>
        <w:rPr>
          <w:rFonts w:ascii="Palatino Linotype" w:eastAsia="Palatino Linotype" w:hAnsi="Palatino Linotype" w:cs="Palatino Linotype"/>
          <w:b/>
        </w:rPr>
      </w:pPr>
    </w:p>
    <w:p w14:paraId="380EC869" w14:textId="77777777" w:rsidR="00362761" w:rsidRPr="003C50B2" w:rsidRDefault="00F04517">
      <w:pPr>
        <w:spacing w:line="360" w:lineRule="auto"/>
        <w:ind w:right="49"/>
        <w:jc w:val="both"/>
        <w:rPr>
          <w:rFonts w:ascii="Palatino Linotype" w:eastAsia="Palatino Linotype" w:hAnsi="Palatino Linotype" w:cs="Palatino Linotype"/>
        </w:rPr>
      </w:pPr>
      <w:r w:rsidRPr="003C50B2">
        <w:rPr>
          <w:rFonts w:ascii="Palatino Linotype" w:eastAsia="Palatino Linotype" w:hAnsi="Palatino Linotype" w:cs="Palatino Linotype"/>
          <w:b/>
        </w:rPr>
        <w:t xml:space="preserve">SEGUNDO. </w:t>
      </w:r>
      <w:r w:rsidRPr="003C50B2">
        <w:rPr>
          <w:rFonts w:ascii="Palatino Linotype" w:eastAsia="Palatino Linotype" w:hAnsi="Palatino Linotype" w:cs="Palatino Linotype"/>
        </w:rPr>
        <w:t>Se</w:t>
      </w:r>
      <w:r w:rsidRPr="003C50B2">
        <w:rPr>
          <w:rFonts w:ascii="Palatino Linotype" w:eastAsia="Palatino Linotype" w:hAnsi="Palatino Linotype" w:cs="Palatino Linotype"/>
          <w:b/>
        </w:rPr>
        <w:t xml:space="preserve"> ORDENA </w:t>
      </w:r>
      <w:r w:rsidRPr="003C50B2">
        <w:rPr>
          <w:rFonts w:ascii="Palatino Linotype" w:eastAsia="Palatino Linotype" w:hAnsi="Palatino Linotype" w:cs="Palatino Linotype"/>
        </w:rPr>
        <w:t xml:space="preserve">al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a que,</w:t>
      </w:r>
      <w:r w:rsidRPr="003C50B2">
        <w:rPr>
          <w:rFonts w:ascii="Palatino Linotype" w:eastAsia="Palatino Linotype" w:hAnsi="Palatino Linotype" w:cs="Palatino Linotype"/>
          <w:b/>
        </w:rPr>
        <w:t xml:space="preserve"> </w:t>
      </w:r>
      <w:r w:rsidRPr="003C50B2">
        <w:rPr>
          <w:rFonts w:ascii="Palatino Linotype" w:eastAsia="Palatino Linotype" w:hAnsi="Palatino Linotype" w:cs="Palatino Linotype"/>
        </w:rPr>
        <w:t>en términos de los Considerandos Cuarto y Quinto, haga entrega vía Sistema de Acceso a la Información Mexiquense (SAIMEX), en versión pública de ser pr</w:t>
      </w:r>
      <w:r w:rsidR="00060E3D" w:rsidRPr="003C50B2">
        <w:rPr>
          <w:rFonts w:ascii="Palatino Linotype" w:eastAsia="Palatino Linotype" w:hAnsi="Palatino Linotype" w:cs="Palatino Linotype"/>
        </w:rPr>
        <w:t xml:space="preserve">ocedente, de </w:t>
      </w:r>
      <w:r w:rsidRPr="003C50B2">
        <w:rPr>
          <w:rFonts w:ascii="Palatino Linotype" w:eastAsia="Palatino Linotype" w:hAnsi="Palatino Linotype" w:cs="Palatino Linotype"/>
        </w:rPr>
        <w:t>lo siguiente:</w:t>
      </w:r>
    </w:p>
    <w:p w14:paraId="2A2B276F" w14:textId="77777777" w:rsidR="00233C3D" w:rsidRPr="003C50B2" w:rsidRDefault="00233C3D" w:rsidP="00233C3D">
      <w:pPr>
        <w:numPr>
          <w:ilvl w:val="0"/>
          <w:numId w:val="1"/>
        </w:numPr>
        <w:pBdr>
          <w:top w:val="nil"/>
          <w:left w:val="nil"/>
          <w:bottom w:val="nil"/>
          <w:right w:val="nil"/>
          <w:between w:val="nil"/>
        </w:pBdr>
        <w:spacing w:before="240" w:after="120" w:line="360" w:lineRule="auto"/>
        <w:ind w:left="360" w:right="40"/>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rPr>
        <w:t xml:space="preserve">Las actas de todas y cada una de las sesiones realizadas por el Comité de Desarrollo Urbano o similar, del primero de enero </w:t>
      </w:r>
      <w:r w:rsidR="001F2D9A" w:rsidRPr="003C50B2">
        <w:rPr>
          <w:rFonts w:ascii="Palatino Linotype" w:eastAsia="Palatino Linotype" w:hAnsi="Palatino Linotype" w:cs="Palatino Linotype"/>
        </w:rPr>
        <w:t>de</w:t>
      </w:r>
      <w:r w:rsidRPr="003C50B2">
        <w:rPr>
          <w:rFonts w:ascii="Palatino Linotype" w:eastAsia="Palatino Linotype" w:hAnsi="Palatino Linotype" w:cs="Palatino Linotype"/>
        </w:rPr>
        <w:t xml:space="preserve"> dos mil veintidós al dos de octubre del año dos mil veinticuatro. </w:t>
      </w:r>
    </w:p>
    <w:p w14:paraId="54948525" w14:textId="77777777" w:rsidR="00362761" w:rsidRPr="003C50B2" w:rsidRDefault="00F04517" w:rsidP="006A3FFB">
      <w:pPr>
        <w:pBdr>
          <w:top w:val="nil"/>
          <w:left w:val="nil"/>
          <w:bottom w:val="nil"/>
          <w:right w:val="nil"/>
          <w:between w:val="nil"/>
        </w:pBdr>
        <w:spacing w:before="240" w:after="120"/>
        <w:ind w:left="357" w:right="40"/>
        <w:contextualSpacing/>
        <w:jc w:val="both"/>
        <w:rPr>
          <w:rFonts w:ascii="Palatino Linotype" w:eastAsia="Palatino Linotype" w:hAnsi="Palatino Linotype" w:cs="Palatino Linotype"/>
          <w:i/>
          <w:sz w:val="22"/>
          <w:szCs w:val="22"/>
        </w:rPr>
      </w:pPr>
      <w:r w:rsidRPr="003C50B2">
        <w:rPr>
          <w:rFonts w:ascii="Palatino Linotype" w:eastAsia="Palatino Linotype" w:hAnsi="Palatino Linotype" w:cs="Palatino Linotype"/>
          <w:i/>
          <w:sz w:val="22"/>
          <w:szCs w:val="22"/>
        </w:rPr>
        <w:t>De ser procedente, 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60C4C2A4" w14:textId="77777777" w:rsidR="00362761" w:rsidRPr="003C50B2" w:rsidRDefault="00362761">
      <w:pPr>
        <w:spacing w:line="360" w:lineRule="auto"/>
        <w:ind w:right="-93"/>
        <w:jc w:val="both"/>
        <w:rPr>
          <w:rFonts w:ascii="Palatino Linotype" w:eastAsia="Palatino Linotype" w:hAnsi="Palatino Linotype" w:cs="Palatino Linotype"/>
          <w:b/>
        </w:rPr>
      </w:pPr>
    </w:p>
    <w:p w14:paraId="776C047C" w14:textId="77777777" w:rsidR="00362761" w:rsidRPr="003C50B2" w:rsidRDefault="00F04517">
      <w:pPr>
        <w:spacing w:line="360" w:lineRule="auto"/>
        <w:ind w:right="-93"/>
        <w:jc w:val="both"/>
        <w:rPr>
          <w:rFonts w:ascii="Palatino Linotype" w:eastAsia="Palatino Linotype" w:hAnsi="Palatino Linotype" w:cs="Palatino Linotype"/>
        </w:rPr>
      </w:pPr>
      <w:r w:rsidRPr="003C50B2">
        <w:rPr>
          <w:rFonts w:ascii="Palatino Linotype" w:eastAsia="Palatino Linotype" w:hAnsi="Palatino Linotype" w:cs="Palatino Linotype"/>
          <w:b/>
        </w:rPr>
        <w:t xml:space="preserve">TERCERO. Notifíquese vía SAIMEX </w:t>
      </w:r>
      <w:r w:rsidRPr="003C50B2">
        <w:rPr>
          <w:rFonts w:ascii="Palatino Linotype" w:eastAsia="Palatino Linotype" w:hAnsi="Palatino Linotype" w:cs="Palatino Linotype"/>
        </w:rPr>
        <w:t>la presente resolución al T</w:t>
      </w:r>
      <w:r w:rsidRPr="003C50B2">
        <w:rPr>
          <w:rFonts w:ascii="Palatino Linotype" w:eastAsia="Palatino Linotype" w:hAnsi="Palatino Linotype" w:cs="Palatino Linotype"/>
          <w:b/>
        </w:rPr>
        <w:t xml:space="preserve">itular de la Unidad de Transparencia </w:t>
      </w:r>
      <w:r w:rsidRPr="003C50B2">
        <w:rPr>
          <w:rFonts w:ascii="Palatino Linotype" w:eastAsia="Palatino Linotype" w:hAnsi="Palatino Linotype" w:cs="Palatino Linotype"/>
        </w:rPr>
        <w:t xml:space="preserve">del </w:t>
      </w:r>
      <w:r w:rsidRPr="003C50B2">
        <w:rPr>
          <w:rFonts w:ascii="Palatino Linotype" w:eastAsia="Palatino Linotype" w:hAnsi="Palatino Linotype" w:cs="Palatino Linotype"/>
          <w:b/>
        </w:rPr>
        <w:t>SUJETO OBLIGADO</w:t>
      </w:r>
      <w:r w:rsidRPr="003C50B2">
        <w:rPr>
          <w:rFonts w:ascii="Palatino Linotype" w:eastAsia="Palatino Linotype" w:hAnsi="Palatino Linotype" w:cs="Palatino Linotype"/>
        </w:rPr>
        <w:t xml:space="preserve">, para que conforme al artículo 186 último párrafo, 189 segundo párrafo y 194 de la Ley de Transparencia y Acceso a la </w:t>
      </w:r>
      <w:r w:rsidRPr="003C50B2">
        <w:rPr>
          <w:rFonts w:ascii="Palatino Linotype" w:eastAsia="Palatino Linotype" w:hAnsi="Palatino Linotype" w:cs="Palatino Linotype"/>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5F5135E" w14:textId="77777777" w:rsidR="00362761" w:rsidRPr="003C50B2" w:rsidRDefault="00362761">
      <w:pPr>
        <w:spacing w:line="360" w:lineRule="auto"/>
        <w:ind w:right="-93"/>
        <w:jc w:val="both"/>
        <w:rPr>
          <w:rFonts w:ascii="Palatino Linotype" w:eastAsia="Palatino Linotype" w:hAnsi="Palatino Linotype" w:cs="Palatino Linotype"/>
        </w:rPr>
      </w:pPr>
    </w:p>
    <w:p w14:paraId="25F4BC9D" w14:textId="77777777" w:rsidR="00362761" w:rsidRPr="003C50B2" w:rsidRDefault="00F04517">
      <w:pPr>
        <w:spacing w:line="360" w:lineRule="auto"/>
        <w:jc w:val="both"/>
        <w:rPr>
          <w:rFonts w:ascii="Palatino Linotype" w:eastAsia="Palatino Linotype" w:hAnsi="Palatino Linotype" w:cs="Palatino Linotype"/>
        </w:rPr>
      </w:pPr>
      <w:r w:rsidRPr="003C50B2">
        <w:rPr>
          <w:rFonts w:ascii="Palatino Linotype" w:eastAsia="Palatino Linotype" w:hAnsi="Palatino Linotype" w:cs="Palatino Linotype"/>
          <w:b/>
        </w:rPr>
        <w:t xml:space="preserve">CUARTO. </w:t>
      </w:r>
      <w:r w:rsidRPr="003C50B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3C50B2">
        <w:rPr>
          <w:rFonts w:ascii="Palatino Linotype" w:eastAsia="Palatino Linotype" w:hAnsi="Palatino Linotype" w:cs="Palatino Linotype"/>
          <w:b/>
        </w:rPr>
        <w:t>EL SUJETO OBLIGADO</w:t>
      </w:r>
      <w:r w:rsidRPr="003C50B2">
        <w:rPr>
          <w:rFonts w:ascii="Palatino Linotype" w:eastAsia="Palatino Linotype" w:hAnsi="Palatino Linotype" w:cs="Palatino Linotype"/>
        </w:rPr>
        <w:t xml:space="preserve"> de manera fundada y motivada, podrá solicitar una ampliación de plazo para el cumplimiento de la presente resolución.</w:t>
      </w:r>
    </w:p>
    <w:p w14:paraId="38F4A71B" w14:textId="77777777" w:rsidR="00362761" w:rsidRPr="003C50B2" w:rsidRDefault="00362761">
      <w:pPr>
        <w:spacing w:line="360" w:lineRule="auto"/>
        <w:jc w:val="both"/>
        <w:rPr>
          <w:rFonts w:ascii="Palatino Linotype" w:eastAsia="Palatino Linotype" w:hAnsi="Palatino Linotype" w:cs="Palatino Linotype"/>
          <w:b/>
        </w:rPr>
      </w:pPr>
    </w:p>
    <w:p w14:paraId="1CBB8902" w14:textId="77777777" w:rsidR="00362761" w:rsidRPr="003C50B2" w:rsidRDefault="00F04517">
      <w:pPr>
        <w:spacing w:line="360" w:lineRule="auto"/>
        <w:ind w:right="49"/>
        <w:jc w:val="both"/>
        <w:rPr>
          <w:rFonts w:ascii="Palatino Linotype" w:eastAsia="Palatino Linotype" w:hAnsi="Palatino Linotype" w:cs="Palatino Linotype"/>
        </w:rPr>
      </w:pPr>
      <w:bookmarkStart w:id="5" w:name="_heading=h.2et92p0" w:colFirst="0" w:colLast="0"/>
      <w:bookmarkEnd w:id="5"/>
      <w:r w:rsidRPr="003C50B2">
        <w:rPr>
          <w:rFonts w:ascii="Palatino Linotype" w:eastAsia="Palatino Linotype" w:hAnsi="Palatino Linotype" w:cs="Palatino Linotype"/>
          <w:b/>
        </w:rPr>
        <w:t>QUINTO. Notifíquese vía SAIMEX</w:t>
      </w:r>
      <w:r w:rsidRPr="003C50B2">
        <w:rPr>
          <w:rFonts w:ascii="Palatino Linotype" w:eastAsia="Palatino Linotype" w:hAnsi="Palatino Linotype" w:cs="Palatino Linotype"/>
        </w:rPr>
        <w:t xml:space="preserve">, a la parte </w:t>
      </w:r>
      <w:r w:rsidRPr="003C50B2">
        <w:rPr>
          <w:rFonts w:ascii="Palatino Linotype" w:eastAsia="Palatino Linotype" w:hAnsi="Palatino Linotype" w:cs="Palatino Linotype"/>
          <w:b/>
        </w:rPr>
        <w:t>RECURRENTE</w:t>
      </w:r>
      <w:r w:rsidRPr="003C50B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183CF2B" w14:textId="77777777" w:rsidR="00362761" w:rsidRPr="003C50B2" w:rsidRDefault="00F04517">
      <w:pPr>
        <w:spacing w:before="240" w:after="240" w:line="360" w:lineRule="auto"/>
        <w:jc w:val="both"/>
        <w:rPr>
          <w:rFonts w:ascii="Palatino Linotype" w:eastAsia="Palatino Linotype" w:hAnsi="Palatino Linotype" w:cs="Palatino Linotype"/>
        </w:rPr>
      </w:pPr>
      <w:bookmarkStart w:id="6" w:name="_heading=h.4d34og8" w:colFirst="0" w:colLast="0"/>
      <w:bookmarkStart w:id="7" w:name="_heading=h.1fob9te" w:colFirst="0" w:colLast="0"/>
      <w:bookmarkEnd w:id="6"/>
      <w:bookmarkEnd w:id="7"/>
      <w:r w:rsidRPr="003C50B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3C50B2">
        <w:rPr>
          <w:rFonts w:ascii="Palatino Linotype" w:eastAsia="Palatino Linotype" w:hAnsi="Palatino Linotype" w:cs="Palatino Linotype"/>
        </w:rPr>
        <w:lastRenderedPageBreak/>
        <w:t xml:space="preserve">MORALES MARTÍNEZ, LUIS GUSTAVO PARRA NORIEGA Y GUADALUPE RAMÍREZ PEÑA; EN LA CUADRAGESIMA </w:t>
      </w:r>
      <w:r w:rsidR="006A3FFB" w:rsidRPr="003C50B2">
        <w:rPr>
          <w:rFonts w:ascii="Palatino Linotype" w:eastAsia="Palatino Linotype" w:hAnsi="Palatino Linotype" w:cs="Palatino Linotype"/>
        </w:rPr>
        <w:t xml:space="preserve">PRIMERA </w:t>
      </w:r>
      <w:r w:rsidRPr="003C50B2">
        <w:rPr>
          <w:rFonts w:ascii="Palatino Linotype" w:eastAsia="Palatino Linotype" w:hAnsi="Palatino Linotype" w:cs="Palatino Linotype"/>
        </w:rPr>
        <w:t xml:space="preserve">SESIÓN </w:t>
      </w:r>
      <w:r w:rsidR="006A3FFB" w:rsidRPr="003C50B2">
        <w:rPr>
          <w:rFonts w:ascii="Palatino Linotype" w:eastAsia="Palatino Linotype" w:hAnsi="Palatino Linotype" w:cs="Palatino Linotype"/>
        </w:rPr>
        <w:t>ORDINARIA CELEBRADA EL VEINTISIETE</w:t>
      </w:r>
      <w:r w:rsidRPr="003C50B2">
        <w:rPr>
          <w:rFonts w:ascii="Palatino Linotype" w:eastAsia="Palatino Linotype" w:hAnsi="Palatino Linotype" w:cs="Palatino Linotype"/>
        </w:rPr>
        <w:t xml:space="preserve"> DE NOVIEMBRE DE DOS MIL VEINTICUATRO, ANTE EL SECRETARIO TÉCNICO DEL PLENO ALEXIS TAPIA RAMÍREZ.</w:t>
      </w:r>
    </w:p>
    <w:p w14:paraId="18AF7C5D" w14:textId="77777777" w:rsidR="000169A3" w:rsidRPr="003C50B2" w:rsidRDefault="000169A3">
      <w:pPr>
        <w:spacing w:before="240" w:after="240" w:line="360" w:lineRule="auto"/>
        <w:jc w:val="both"/>
        <w:rPr>
          <w:rFonts w:ascii="Palatino Linotype" w:eastAsia="Palatino Linotype" w:hAnsi="Palatino Linotype" w:cs="Palatino Linotype"/>
        </w:rPr>
      </w:pPr>
    </w:p>
    <w:p w14:paraId="1F42CA2A" w14:textId="77777777" w:rsidR="000169A3" w:rsidRPr="003C50B2" w:rsidRDefault="000169A3">
      <w:pPr>
        <w:spacing w:before="240" w:after="240" w:line="360" w:lineRule="auto"/>
        <w:jc w:val="both"/>
        <w:rPr>
          <w:rFonts w:ascii="Palatino Linotype" w:eastAsia="Palatino Linotype" w:hAnsi="Palatino Linotype" w:cs="Palatino Linotype"/>
        </w:rPr>
      </w:pPr>
    </w:p>
    <w:p w14:paraId="60526095" w14:textId="77777777" w:rsidR="000169A3" w:rsidRPr="003C50B2" w:rsidRDefault="000169A3">
      <w:pPr>
        <w:spacing w:before="240" w:after="240" w:line="360" w:lineRule="auto"/>
        <w:jc w:val="both"/>
        <w:rPr>
          <w:rFonts w:ascii="Palatino Linotype" w:eastAsia="Palatino Linotype" w:hAnsi="Palatino Linotype" w:cs="Palatino Linotype"/>
        </w:rPr>
      </w:pPr>
    </w:p>
    <w:p w14:paraId="53501E3A" w14:textId="77777777" w:rsidR="000169A3" w:rsidRPr="003C50B2" w:rsidRDefault="000169A3">
      <w:pPr>
        <w:spacing w:before="240" w:after="240" w:line="360" w:lineRule="auto"/>
        <w:jc w:val="both"/>
        <w:rPr>
          <w:rFonts w:ascii="Palatino Linotype" w:eastAsia="Palatino Linotype" w:hAnsi="Palatino Linotype" w:cs="Palatino Linotype"/>
        </w:rPr>
      </w:pPr>
    </w:p>
    <w:p w14:paraId="43A478B4" w14:textId="77777777" w:rsidR="000169A3" w:rsidRPr="003C50B2" w:rsidRDefault="000169A3">
      <w:pPr>
        <w:spacing w:before="240" w:after="240" w:line="360" w:lineRule="auto"/>
        <w:jc w:val="both"/>
        <w:rPr>
          <w:rFonts w:ascii="Palatino Linotype" w:eastAsia="Palatino Linotype" w:hAnsi="Palatino Linotype" w:cs="Palatino Linotype"/>
        </w:rPr>
      </w:pPr>
    </w:p>
    <w:p w14:paraId="17B75EDF" w14:textId="77777777" w:rsidR="000169A3" w:rsidRPr="003C50B2" w:rsidRDefault="000169A3">
      <w:pPr>
        <w:spacing w:before="240" w:after="240" w:line="360" w:lineRule="auto"/>
        <w:jc w:val="both"/>
        <w:rPr>
          <w:rFonts w:ascii="Palatino Linotype" w:eastAsia="Palatino Linotype" w:hAnsi="Palatino Linotype" w:cs="Palatino Linotype"/>
        </w:rPr>
      </w:pPr>
    </w:p>
    <w:p w14:paraId="70BF3D71" w14:textId="77777777" w:rsidR="000169A3" w:rsidRPr="003C50B2" w:rsidRDefault="000169A3">
      <w:pPr>
        <w:spacing w:before="240" w:after="240" w:line="360" w:lineRule="auto"/>
        <w:jc w:val="both"/>
        <w:rPr>
          <w:rFonts w:ascii="Palatino Linotype" w:eastAsia="Palatino Linotype" w:hAnsi="Palatino Linotype" w:cs="Palatino Linotype"/>
        </w:rPr>
      </w:pPr>
    </w:p>
    <w:p w14:paraId="73A50D3C" w14:textId="77777777" w:rsidR="000169A3" w:rsidRPr="003C50B2" w:rsidRDefault="000169A3">
      <w:pPr>
        <w:spacing w:before="240" w:after="240" w:line="360" w:lineRule="auto"/>
        <w:jc w:val="both"/>
        <w:rPr>
          <w:rFonts w:ascii="Palatino Linotype" w:eastAsia="Palatino Linotype" w:hAnsi="Palatino Linotype" w:cs="Palatino Linotype"/>
        </w:rPr>
      </w:pPr>
    </w:p>
    <w:p w14:paraId="1DF9BA4C" w14:textId="77777777" w:rsidR="000169A3" w:rsidRPr="003C50B2" w:rsidRDefault="000169A3">
      <w:pPr>
        <w:spacing w:before="240" w:after="240" w:line="360" w:lineRule="auto"/>
        <w:jc w:val="both"/>
        <w:rPr>
          <w:rFonts w:ascii="Palatino Linotype" w:eastAsia="Palatino Linotype" w:hAnsi="Palatino Linotype" w:cs="Palatino Linotype"/>
        </w:rPr>
      </w:pPr>
    </w:p>
    <w:p w14:paraId="106CC70F" w14:textId="77777777" w:rsidR="000169A3" w:rsidRPr="003C50B2" w:rsidRDefault="000169A3">
      <w:pPr>
        <w:spacing w:before="240" w:after="240" w:line="360" w:lineRule="auto"/>
        <w:jc w:val="both"/>
        <w:rPr>
          <w:rFonts w:ascii="Palatino Linotype" w:eastAsia="Palatino Linotype" w:hAnsi="Palatino Linotype" w:cs="Palatino Linotype"/>
        </w:rPr>
      </w:pPr>
    </w:p>
    <w:p w14:paraId="381D4EEF" w14:textId="77777777" w:rsidR="000169A3" w:rsidRPr="003C50B2" w:rsidRDefault="000169A3">
      <w:pPr>
        <w:spacing w:before="240" w:after="240" w:line="360" w:lineRule="auto"/>
        <w:jc w:val="both"/>
        <w:rPr>
          <w:rFonts w:ascii="Palatino Linotype" w:eastAsia="Palatino Linotype" w:hAnsi="Palatino Linotype" w:cs="Palatino Linotype"/>
        </w:rPr>
      </w:pPr>
    </w:p>
    <w:p w14:paraId="576A0169" w14:textId="77777777" w:rsidR="000169A3" w:rsidRPr="003C50B2" w:rsidRDefault="000169A3">
      <w:pPr>
        <w:spacing w:before="240" w:after="240" w:line="360" w:lineRule="auto"/>
        <w:jc w:val="both"/>
        <w:rPr>
          <w:rFonts w:ascii="Palatino Linotype" w:eastAsia="Palatino Linotype" w:hAnsi="Palatino Linotype" w:cs="Palatino Linotype"/>
        </w:rPr>
      </w:pPr>
    </w:p>
    <w:p w14:paraId="18C50A24" w14:textId="77777777" w:rsidR="000169A3" w:rsidRPr="003C50B2" w:rsidRDefault="000169A3">
      <w:pPr>
        <w:spacing w:before="240" w:after="240" w:line="360" w:lineRule="auto"/>
        <w:jc w:val="both"/>
        <w:rPr>
          <w:rFonts w:ascii="Palatino Linotype" w:eastAsia="Palatino Linotype" w:hAnsi="Palatino Linotype" w:cs="Palatino Linotype"/>
        </w:rPr>
      </w:pPr>
    </w:p>
    <w:p w14:paraId="5A22B741" w14:textId="77777777" w:rsidR="000169A3" w:rsidRPr="003C50B2" w:rsidRDefault="000169A3">
      <w:pPr>
        <w:spacing w:before="240" w:after="240" w:line="360" w:lineRule="auto"/>
        <w:jc w:val="both"/>
        <w:rPr>
          <w:rFonts w:ascii="Palatino Linotype" w:eastAsia="Palatino Linotype" w:hAnsi="Palatino Linotype" w:cs="Palatino Linotype"/>
        </w:rPr>
      </w:pPr>
    </w:p>
    <w:p w14:paraId="00DD30F4" w14:textId="77777777" w:rsidR="000169A3" w:rsidRPr="003C50B2" w:rsidRDefault="000169A3">
      <w:pPr>
        <w:spacing w:before="240" w:after="240" w:line="360" w:lineRule="auto"/>
        <w:jc w:val="both"/>
        <w:rPr>
          <w:rFonts w:ascii="Palatino Linotype" w:eastAsia="Palatino Linotype" w:hAnsi="Palatino Linotype" w:cs="Palatino Linotype"/>
        </w:rPr>
      </w:pPr>
    </w:p>
    <w:p w14:paraId="40ABA92D" w14:textId="77777777" w:rsidR="000169A3" w:rsidRPr="003C50B2" w:rsidRDefault="000169A3">
      <w:pPr>
        <w:spacing w:before="240" w:after="240" w:line="360" w:lineRule="auto"/>
        <w:jc w:val="both"/>
        <w:rPr>
          <w:rFonts w:ascii="Palatino Linotype" w:eastAsia="Palatino Linotype" w:hAnsi="Palatino Linotype" w:cs="Palatino Linotype"/>
        </w:rPr>
      </w:pPr>
    </w:p>
    <w:sectPr w:rsidR="000169A3" w:rsidRPr="003C50B2">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E3FB" w14:textId="77777777" w:rsidR="00471EA9" w:rsidRDefault="00471EA9">
      <w:r>
        <w:separator/>
      </w:r>
    </w:p>
  </w:endnote>
  <w:endnote w:type="continuationSeparator" w:id="0">
    <w:p w14:paraId="681B1621" w14:textId="77777777" w:rsidR="00471EA9" w:rsidRDefault="0047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2BFF" w14:textId="77777777" w:rsidR="00801E6E" w:rsidRDefault="00801E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31314">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31314">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3E2ED10B" w14:textId="77777777" w:rsidR="00801E6E" w:rsidRDefault="00801E6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4E0E" w14:textId="77777777" w:rsidR="00801E6E" w:rsidRDefault="00801E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3131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31314">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7E9474E8" w14:textId="77777777" w:rsidR="00801E6E" w:rsidRDefault="00801E6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3ECC" w14:textId="77777777" w:rsidR="00471EA9" w:rsidRDefault="00471EA9">
      <w:r>
        <w:separator/>
      </w:r>
    </w:p>
  </w:footnote>
  <w:footnote w:type="continuationSeparator" w:id="0">
    <w:p w14:paraId="0D486356" w14:textId="77777777" w:rsidR="00471EA9" w:rsidRDefault="00471EA9">
      <w:r>
        <w:continuationSeparator/>
      </w:r>
    </w:p>
  </w:footnote>
  <w:footnote w:id="1">
    <w:p w14:paraId="459C90ED" w14:textId="77777777" w:rsidR="00801E6E" w:rsidRDefault="00801E6E" w:rsidP="00051C47">
      <w:pPr>
        <w:pStyle w:val="Textonotapie"/>
      </w:pPr>
      <w:r>
        <w:rPr>
          <w:rStyle w:val="Refdenotaalpie"/>
        </w:rPr>
        <w:footnoteRef/>
      </w:r>
      <w:r>
        <w:t xml:space="preserve"> Artículo 1, </w:t>
      </w:r>
      <w:r w:rsidRPr="00B03C8D">
        <w:t>Ley General de Asentamientos Humanos, Ordenamiento Territorial y Desarrollo Urbano</w:t>
      </w:r>
    </w:p>
  </w:footnote>
  <w:footnote w:id="2">
    <w:p w14:paraId="22709ECE" w14:textId="77777777" w:rsidR="00801E6E" w:rsidRDefault="00801E6E" w:rsidP="00051C47">
      <w:pPr>
        <w:pStyle w:val="Textonotapie"/>
        <w:ind w:left="708" w:hanging="708"/>
      </w:pPr>
      <w:r>
        <w:rPr>
          <w:rStyle w:val="Refdenotaalpie"/>
        </w:rPr>
        <w:footnoteRef/>
      </w:r>
      <w:r>
        <w:t xml:space="preserve"> Artículo 1.1, Código Administrativo del Estado de México.</w:t>
      </w:r>
    </w:p>
  </w:footnote>
  <w:footnote w:id="3">
    <w:p w14:paraId="5588FBFB" w14:textId="77777777" w:rsidR="00801E6E" w:rsidRDefault="00801E6E" w:rsidP="00051C47">
      <w:pPr>
        <w:pStyle w:val="Textonotapie"/>
      </w:pPr>
      <w:r>
        <w:rPr>
          <w:rStyle w:val="Refdenotaalpie"/>
        </w:rPr>
        <w:footnoteRef/>
      </w:r>
      <w:r>
        <w:t xml:space="preserve"> Artículo 5.1,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80CA" w14:textId="77777777" w:rsidR="00801E6E" w:rsidRDefault="00801E6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BEE6AE8" wp14:editId="14881316">
          <wp:simplePos x="0" y="0"/>
          <wp:positionH relativeFrom="column">
            <wp:posOffset>-1080130</wp:posOffset>
          </wp:positionH>
          <wp:positionV relativeFrom="paragraph">
            <wp:posOffset>-488310</wp:posOffset>
          </wp:positionV>
          <wp:extent cx="7809865" cy="10165715"/>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5953" w:type="dxa"/>
      <w:tblInd w:w="3261" w:type="dxa"/>
      <w:tblLayout w:type="fixed"/>
      <w:tblLook w:val="0400" w:firstRow="0" w:lastRow="0" w:firstColumn="0" w:lastColumn="0" w:noHBand="0" w:noVBand="1"/>
    </w:tblPr>
    <w:tblGrid>
      <w:gridCol w:w="2489"/>
      <w:gridCol w:w="3464"/>
    </w:tblGrid>
    <w:tr w:rsidR="00801E6E" w14:paraId="1FD53150" w14:textId="77777777">
      <w:tc>
        <w:tcPr>
          <w:tcW w:w="2489" w:type="dxa"/>
          <w:shd w:val="clear" w:color="auto" w:fill="auto"/>
        </w:tcPr>
        <w:p w14:paraId="5E6291BC" w14:textId="77777777" w:rsidR="00801E6E" w:rsidRDefault="00801E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67DB6A9" w14:textId="77777777" w:rsidR="00801E6E" w:rsidRDefault="00801E6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06709/INFOEM/IP/RR/2024</w:t>
          </w:r>
        </w:p>
      </w:tc>
    </w:tr>
    <w:tr w:rsidR="00801E6E" w14:paraId="756E2D9D" w14:textId="77777777">
      <w:trPr>
        <w:trHeight w:val="228"/>
      </w:trPr>
      <w:tc>
        <w:tcPr>
          <w:tcW w:w="2489" w:type="dxa"/>
          <w:shd w:val="clear" w:color="auto" w:fill="auto"/>
          <w:vAlign w:val="center"/>
        </w:tcPr>
        <w:p w14:paraId="50D17B37" w14:textId="77777777" w:rsidR="00801E6E" w:rsidRDefault="00801E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F70CCD1" w14:textId="77777777" w:rsidR="00801E6E" w:rsidRDefault="00801E6E">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801E6E" w14:paraId="20EB4B89" w14:textId="77777777">
      <w:tc>
        <w:tcPr>
          <w:tcW w:w="2489" w:type="dxa"/>
          <w:shd w:val="clear" w:color="auto" w:fill="auto"/>
          <w:vAlign w:val="center"/>
        </w:tcPr>
        <w:p w14:paraId="1ED8C903" w14:textId="77777777" w:rsidR="00801E6E" w:rsidRDefault="00801E6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DA43DFF" w14:textId="77777777" w:rsidR="00801E6E" w:rsidRDefault="00801E6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DBD8FD2" w14:textId="77777777" w:rsidR="00801E6E" w:rsidRDefault="00801E6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948C" w14:textId="77777777" w:rsidR="00801E6E" w:rsidRDefault="00801E6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c"/>
      <w:tblW w:w="5670" w:type="dxa"/>
      <w:tblInd w:w="3261" w:type="dxa"/>
      <w:tblLayout w:type="fixed"/>
      <w:tblLook w:val="0400" w:firstRow="0" w:lastRow="0" w:firstColumn="0" w:lastColumn="0" w:noHBand="0" w:noVBand="1"/>
    </w:tblPr>
    <w:tblGrid>
      <w:gridCol w:w="2551"/>
      <w:gridCol w:w="3119"/>
    </w:tblGrid>
    <w:tr w:rsidR="00801E6E" w14:paraId="2FF3EE68" w14:textId="77777777">
      <w:tc>
        <w:tcPr>
          <w:tcW w:w="2551" w:type="dxa"/>
          <w:shd w:val="clear" w:color="auto" w:fill="auto"/>
          <w:vAlign w:val="center"/>
        </w:tcPr>
        <w:p w14:paraId="138EBDB7" w14:textId="77777777" w:rsidR="00801E6E" w:rsidRDefault="00801E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610DCCF" w14:textId="77777777" w:rsidR="00801E6E" w:rsidRDefault="00801E6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06709/INFOEM/IP/RR/2024</w:t>
          </w:r>
        </w:p>
      </w:tc>
    </w:tr>
    <w:tr w:rsidR="00801E6E" w14:paraId="2281E281" w14:textId="77777777">
      <w:trPr>
        <w:trHeight w:val="130"/>
      </w:trPr>
      <w:tc>
        <w:tcPr>
          <w:tcW w:w="2551" w:type="dxa"/>
          <w:shd w:val="clear" w:color="auto" w:fill="auto"/>
          <w:vAlign w:val="center"/>
        </w:tcPr>
        <w:p w14:paraId="3C0DD343" w14:textId="77777777" w:rsidR="00801E6E" w:rsidRDefault="00801E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96E961D" w14:textId="77777777" w:rsidR="00801E6E" w:rsidRDefault="00801E6E">
          <w:pPr>
            <w:tabs>
              <w:tab w:val="left" w:pos="3153"/>
            </w:tabs>
            <w:ind w:left="-45"/>
            <w:jc w:val="both"/>
            <w:rPr>
              <w:rFonts w:ascii="Palatino Linotype" w:eastAsia="Palatino Linotype" w:hAnsi="Palatino Linotype" w:cs="Palatino Linotype"/>
              <w:b/>
              <w:sz w:val="22"/>
              <w:szCs w:val="22"/>
            </w:rPr>
          </w:pPr>
          <w:r>
            <w:rPr>
              <w:noProof/>
            </w:rPr>
            <w:drawing>
              <wp:anchor distT="0" distB="0" distL="0" distR="0" simplePos="0" relativeHeight="251659264" behindDoc="1" locked="0" layoutInCell="1" hidden="0" allowOverlap="1" wp14:anchorId="4350ED70" wp14:editId="12B1AF3E">
                <wp:simplePos x="0" y="0"/>
                <wp:positionH relativeFrom="column">
                  <wp:posOffset>-4629147</wp:posOffset>
                </wp:positionH>
                <wp:positionV relativeFrom="paragraph">
                  <wp:posOffset>-407665</wp:posOffset>
                </wp:positionV>
                <wp:extent cx="7809865" cy="10165715"/>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801E6E" w14:paraId="520E4546" w14:textId="77777777">
      <w:trPr>
        <w:trHeight w:val="228"/>
      </w:trPr>
      <w:tc>
        <w:tcPr>
          <w:tcW w:w="2551" w:type="dxa"/>
          <w:shd w:val="clear" w:color="auto" w:fill="auto"/>
          <w:vAlign w:val="center"/>
        </w:tcPr>
        <w:p w14:paraId="6BDB2E07" w14:textId="77777777" w:rsidR="00801E6E" w:rsidRDefault="00801E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281A11A" w14:textId="77777777" w:rsidR="00801E6E" w:rsidRDefault="00801E6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801E6E" w14:paraId="377E095C" w14:textId="77777777">
      <w:tc>
        <w:tcPr>
          <w:tcW w:w="2551" w:type="dxa"/>
          <w:shd w:val="clear" w:color="auto" w:fill="auto"/>
          <w:vAlign w:val="center"/>
        </w:tcPr>
        <w:p w14:paraId="08847EAD" w14:textId="77777777" w:rsidR="00801E6E" w:rsidRDefault="00801E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DFC6A11" w14:textId="77777777" w:rsidR="00801E6E" w:rsidRDefault="00801E6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939D992" w14:textId="77777777" w:rsidR="00801E6E" w:rsidRDefault="00801E6E">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E8E"/>
    <w:multiLevelType w:val="hybridMultilevel"/>
    <w:tmpl w:val="814E2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673959"/>
    <w:multiLevelType w:val="hybridMultilevel"/>
    <w:tmpl w:val="BB4E48D8"/>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A64480"/>
    <w:multiLevelType w:val="multilevel"/>
    <w:tmpl w:val="42B0B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5C08F5"/>
    <w:multiLevelType w:val="hybridMultilevel"/>
    <w:tmpl w:val="CC44CEFE"/>
    <w:lvl w:ilvl="0" w:tplc="FFFFFFFF">
      <w:start w:val="1"/>
      <w:numFmt w:val="decimal"/>
      <w:lvlText w:val="%1."/>
      <w:lvlJc w:val="left"/>
      <w:pPr>
        <w:ind w:left="0" w:firstLine="0"/>
      </w:pPr>
      <w:rPr>
        <w:rFonts w:ascii="Palatino Linotype" w:hAnsi="Palatino Linotype" w:hint="default"/>
        <w:b/>
        <w:i w:val="0"/>
        <w:sz w:val="24"/>
      </w:rPr>
    </w:lvl>
    <w:lvl w:ilvl="1" w:tplc="82B4CBA6">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C04E48"/>
    <w:multiLevelType w:val="hybridMultilevel"/>
    <w:tmpl w:val="779ABADC"/>
    <w:lvl w:ilvl="0" w:tplc="FFFFFFFF">
      <w:start w:val="1"/>
      <w:numFmt w:val="decimal"/>
      <w:lvlText w:val="%1."/>
      <w:lvlJc w:val="left"/>
      <w:pPr>
        <w:ind w:left="0" w:firstLine="0"/>
      </w:pPr>
      <w:rPr>
        <w:rFonts w:ascii="Palatino Linotype" w:hAnsi="Palatino Linotype" w:hint="default"/>
        <w:b/>
        <w:i w:val="0"/>
        <w:sz w:val="24"/>
      </w:rPr>
    </w:lvl>
    <w:lvl w:ilvl="1" w:tplc="410CB6D4">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024B9E"/>
    <w:multiLevelType w:val="multilevel"/>
    <w:tmpl w:val="614C0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C72C8B"/>
    <w:multiLevelType w:val="multilevel"/>
    <w:tmpl w:val="15E696A8"/>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E14000"/>
    <w:multiLevelType w:val="hybridMultilevel"/>
    <w:tmpl w:val="42C887AC"/>
    <w:lvl w:ilvl="0" w:tplc="FFFFFFFF">
      <w:start w:val="1"/>
      <w:numFmt w:val="decimal"/>
      <w:lvlText w:val="%1."/>
      <w:lvlJc w:val="left"/>
      <w:pPr>
        <w:ind w:left="0" w:firstLine="0"/>
      </w:pPr>
      <w:rPr>
        <w:rFonts w:ascii="Palatino Linotype" w:hAnsi="Palatino Linotype" w:hint="default"/>
        <w:b/>
        <w:i w:val="0"/>
        <w:sz w:val="24"/>
      </w:rPr>
    </w:lvl>
    <w:lvl w:ilvl="1" w:tplc="610C947A">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1"/>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61"/>
    <w:rsid w:val="000169A3"/>
    <w:rsid w:val="00051C47"/>
    <w:rsid w:val="00060E3D"/>
    <w:rsid w:val="000C3ED4"/>
    <w:rsid w:val="001A2B96"/>
    <w:rsid w:val="001F2D9A"/>
    <w:rsid w:val="00200C96"/>
    <w:rsid w:val="00233C3D"/>
    <w:rsid w:val="003403B4"/>
    <w:rsid w:val="00362761"/>
    <w:rsid w:val="003901CC"/>
    <w:rsid w:val="003A06DD"/>
    <w:rsid w:val="003C50B2"/>
    <w:rsid w:val="00471EA9"/>
    <w:rsid w:val="006424A7"/>
    <w:rsid w:val="006A3FFB"/>
    <w:rsid w:val="007A03B2"/>
    <w:rsid w:val="007B322A"/>
    <w:rsid w:val="00801E6E"/>
    <w:rsid w:val="00820DC4"/>
    <w:rsid w:val="008A4E05"/>
    <w:rsid w:val="008F1121"/>
    <w:rsid w:val="00941AE8"/>
    <w:rsid w:val="00D31314"/>
    <w:rsid w:val="00E57C6A"/>
    <w:rsid w:val="00E646B0"/>
    <w:rsid w:val="00EA52D7"/>
    <w:rsid w:val="00F04517"/>
    <w:rsid w:val="00F6563C"/>
    <w:rsid w:val="00FF6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EF1B"/>
  <w15:docId w15:val="{C1E64C96-8D38-4CCB-840C-55D818E3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55B"/>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paragraph" w:customStyle="1" w:styleId="Citas">
    <w:name w:val="Citas"/>
    <w:basedOn w:val="Normal"/>
    <w:qFormat/>
    <w:rsid w:val="0080344A"/>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54233.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O1LtZXfpHFdHMTr0sSE7+COjJQ==">CgMxLjAyCGguZ2pkZ3hzMgloLjN6bnlzaDcyCWguMzBqMHpsbDIIaC50eWpjd3QyCWguM3JkY3JqbjIJaC4zZHk2dmttMgloLjJldDkycDAyCWguNGQzNG9nODIJaC4xZm9iOXRlOAByITFxUzdXNnZvdDNZb0JSUkRrZm9rRDhBUVdpbmhfUGRGaw==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11456</Words>
  <Characters>63014</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2024-11-29T18:56:00Z</cp:lastPrinted>
  <dcterms:created xsi:type="dcterms:W3CDTF">2024-12-06T20:12:00Z</dcterms:created>
  <dcterms:modified xsi:type="dcterms:W3CDTF">2024-12-06T20:12:00Z</dcterms:modified>
</cp:coreProperties>
</file>