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ocho de febrero de dos mil </w:t>
      </w:r>
      <w:r w:rsidR="00B75B86">
        <w:rPr>
          <w:rFonts w:ascii="Palatino Linotype" w:eastAsia="Palatino Linotype" w:hAnsi="Palatino Linotype" w:cs="Palatino Linotype"/>
        </w:rPr>
        <w:t>veinticuatro</w:t>
      </w:r>
      <w:r w:rsidRPr="00E42C25">
        <w:rPr>
          <w:rFonts w:ascii="Palatino Linotype" w:eastAsia="Palatino Linotype" w:hAnsi="Palatino Linotype" w:cs="Palatino Linotype"/>
        </w:rPr>
        <w:t xml:space="preserve">.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rPr>
        <w:t>VISTO</w:t>
      </w:r>
      <w:r w:rsidRPr="00E42C25">
        <w:rPr>
          <w:rFonts w:ascii="Palatino Linotype" w:eastAsia="Palatino Linotype" w:hAnsi="Palatino Linotype" w:cs="Palatino Linotype"/>
        </w:rPr>
        <w:t xml:space="preserve"> el expediente formado con motivo del Recurso de Revisión</w:t>
      </w:r>
      <w:r w:rsidRPr="00E42C25">
        <w:rPr>
          <w:rFonts w:ascii="Palatino Linotype" w:eastAsia="Palatino Linotype" w:hAnsi="Palatino Linotype" w:cs="Palatino Linotype"/>
          <w:b/>
        </w:rPr>
        <w:t xml:space="preserve"> 06137/INFOEM/IP/RR/2023</w:t>
      </w:r>
      <w:r w:rsidRPr="00E42C25">
        <w:rPr>
          <w:rFonts w:ascii="Palatino Linotype" w:eastAsia="Palatino Linotype" w:hAnsi="Palatino Linotype" w:cs="Palatino Linotype"/>
        </w:rPr>
        <w:t xml:space="preserve">, promovido por </w:t>
      </w:r>
      <w:r w:rsidR="004B3AC0">
        <w:rPr>
          <w:rFonts w:ascii="Palatino Linotype" w:eastAsia="Palatino Linotype" w:hAnsi="Palatino Linotype" w:cs="Palatino Linotype"/>
          <w:b/>
        </w:rPr>
        <w:t>XXXXXX XXX XXXXXXXXXX</w:t>
      </w:r>
      <w:r w:rsidRPr="00E42C25">
        <w:rPr>
          <w:rFonts w:ascii="Arial" w:eastAsia="Arial" w:hAnsi="Arial" w:cs="Arial"/>
          <w:b/>
          <w:sz w:val="15"/>
          <w:szCs w:val="15"/>
          <w:shd w:val="clear" w:color="auto" w:fill="F7F7F8"/>
        </w:rPr>
        <w:t xml:space="preserve"> </w:t>
      </w:r>
      <w:r w:rsidRPr="00E42C25">
        <w:rPr>
          <w:rFonts w:ascii="Palatino Linotype" w:eastAsia="Palatino Linotype" w:hAnsi="Palatino Linotype" w:cs="Palatino Linotype"/>
        </w:rPr>
        <w:t>que</w:t>
      </w:r>
      <w:r w:rsidRPr="00E42C25">
        <w:rPr>
          <w:rFonts w:ascii="Palatino Linotype" w:eastAsia="Palatino Linotype" w:hAnsi="Palatino Linotype" w:cs="Palatino Linotype"/>
          <w:b/>
        </w:rPr>
        <w:t xml:space="preserve"> </w:t>
      </w:r>
      <w:r w:rsidRPr="00E42C25">
        <w:rPr>
          <w:rFonts w:ascii="Palatino Linotype" w:eastAsia="Palatino Linotype" w:hAnsi="Palatino Linotype" w:cs="Palatino Linotype"/>
        </w:rPr>
        <w:t xml:space="preserve">en lo sucesivo se denominará </w:t>
      </w:r>
      <w:r w:rsidRPr="00E42C25">
        <w:rPr>
          <w:rFonts w:ascii="Palatino Linotype" w:eastAsia="Palatino Linotype" w:hAnsi="Palatino Linotype" w:cs="Palatino Linotype"/>
          <w:b/>
        </w:rPr>
        <w:t>EL RECURRENTE</w:t>
      </w:r>
      <w:r w:rsidRPr="00E42C25">
        <w:rPr>
          <w:rFonts w:ascii="Palatino Linotype" w:eastAsia="Palatino Linotype" w:hAnsi="Palatino Linotype" w:cs="Palatino Linotype"/>
        </w:rPr>
        <w:t xml:space="preserve">, en contra de la respuesta emitida por el </w:t>
      </w:r>
      <w:r w:rsidRPr="00E42C25">
        <w:rPr>
          <w:rFonts w:ascii="Palatino Linotype" w:eastAsia="Palatino Linotype" w:hAnsi="Palatino Linotype" w:cs="Palatino Linotype"/>
          <w:b/>
        </w:rPr>
        <w:t>Organismo Público Descentralizado Municipal para la Prestación de Los Servicios de Agua Potable Alcantarillado y Saneamiento de Cuautitlán Izcalli denominado OPERAGUA, O.P.D.M.,</w:t>
      </w:r>
      <w:r w:rsidRPr="00E42C25">
        <w:rPr>
          <w:rFonts w:ascii="Palatino Linotype" w:eastAsia="Palatino Linotype" w:hAnsi="Palatino Linotype" w:cs="Palatino Linotype"/>
        </w:rPr>
        <w:t xml:space="preserve"> que en lo sucesivo se denominará </w:t>
      </w:r>
      <w:r w:rsidRPr="00E42C25">
        <w:rPr>
          <w:rFonts w:ascii="Palatino Linotype" w:eastAsia="Palatino Linotype" w:hAnsi="Palatino Linotype" w:cs="Palatino Linotype"/>
          <w:b/>
        </w:rPr>
        <w:t>EL SUJETO OBLIGADO</w:t>
      </w:r>
      <w:r w:rsidRPr="00E42C25">
        <w:rPr>
          <w:rFonts w:ascii="Palatino Linotype" w:eastAsia="Palatino Linotype" w:hAnsi="Palatino Linotype" w:cs="Palatino Linotype"/>
        </w:rPr>
        <w:t xml:space="preserve">, se procede a dictar la presente resolución con base en lo siguiente: </w:t>
      </w:r>
    </w:p>
    <w:p w:rsidR="00344577" w:rsidRPr="00E42C25" w:rsidRDefault="00344577">
      <w:pPr>
        <w:jc w:val="both"/>
        <w:rPr>
          <w:rFonts w:ascii="Palatino Linotype" w:eastAsia="Palatino Linotype" w:hAnsi="Palatino Linotype" w:cs="Palatino Linotype"/>
        </w:rPr>
      </w:pPr>
    </w:p>
    <w:p w:rsidR="00344577" w:rsidRPr="00E42C25" w:rsidRDefault="00353BAA">
      <w:pPr>
        <w:jc w:val="center"/>
        <w:rPr>
          <w:rFonts w:ascii="Palatino Linotype" w:eastAsia="Palatino Linotype" w:hAnsi="Palatino Linotype" w:cs="Palatino Linotype"/>
          <w:b/>
          <w:sz w:val="28"/>
          <w:szCs w:val="28"/>
        </w:rPr>
      </w:pPr>
      <w:r w:rsidRPr="00E42C25">
        <w:rPr>
          <w:rFonts w:ascii="Palatino Linotype" w:eastAsia="Palatino Linotype" w:hAnsi="Palatino Linotype" w:cs="Palatino Linotype"/>
          <w:b/>
          <w:sz w:val="28"/>
          <w:szCs w:val="28"/>
        </w:rPr>
        <w:t>ANTECEDENTES</w:t>
      </w:r>
    </w:p>
    <w:p w:rsidR="00344577" w:rsidRPr="00E42C25" w:rsidRDefault="00344577">
      <w:pPr>
        <w:jc w:val="center"/>
        <w:rPr>
          <w:rFonts w:ascii="Palatino Linotype" w:eastAsia="Palatino Linotype" w:hAnsi="Palatino Linotype" w:cs="Palatino Linotype"/>
          <w:b/>
        </w:rPr>
      </w:pPr>
    </w:p>
    <w:p w:rsidR="00344577" w:rsidRPr="00E42C25" w:rsidRDefault="00353BAA">
      <w:pP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sz w:val="28"/>
          <w:szCs w:val="28"/>
        </w:rPr>
        <w:t>I. De la Solicitud de Información</w:t>
      </w: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El once de septiembre de dos mil veintitrés</w:t>
      </w:r>
      <w:r w:rsidRPr="00E42C25">
        <w:rPr>
          <w:rFonts w:ascii="Palatino Linotype" w:eastAsia="Palatino Linotype" w:hAnsi="Palatino Linotype" w:cs="Palatino Linotype"/>
          <w:vertAlign w:val="superscript"/>
        </w:rPr>
        <w:footnoteReference w:id="1"/>
      </w:r>
      <w:r w:rsidRPr="00E42C25">
        <w:rPr>
          <w:rFonts w:ascii="Palatino Linotype" w:eastAsia="Palatino Linotype" w:hAnsi="Palatino Linotype" w:cs="Palatino Linotype"/>
        </w:rPr>
        <w:t xml:space="preserve">, </w:t>
      </w:r>
      <w:r w:rsidRPr="00E42C25">
        <w:rPr>
          <w:rFonts w:ascii="Palatino Linotype" w:eastAsia="Palatino Linotype" w:hAnsi="Palatino Linotype" w:cs="Palatino Linotype"/>
          <w:b/>
        </w:rPr>
        <w:t>EL RECURRENTE</w:t>
      </w:r>
      <w:r w:rsidRPr="00E42C25">
        <w:rPr>
          <w:rFonts w:ascii="Palatino Linotype" w:eastAsia="Palatino Linotype" w:hAnsi="Palatino Linotype" w:cs="Palatino Linotype"/>
        </w:rPr>
        <w:t xml:space="preserve"> presentó a través del Sistema de Acceso a la Información Mexiquense, que en lo subsecuente se denominará </w:t>
      </w:r>
      <w:r w:rsidRPr="00E42C25">
        <w:rPr>
          <w:rFonts w:ascii="Palatino Linotype" w:eastAsia="Palatino Linotype" w:hAnsi="Palatino Linotype" w:cs="Palatino Linotype"/>
          <w:b/>
        </w:rPr>
        <w:t>EL SAIMEX</w:t>
      </w:r>
      <w:r w:rsidRPr="00E42C25">
        <w:rPr>
          <w:rFonts w:ascii="Palatino Linotype" w:eastAsia="Palatino Linotype" w:hAnsi="Palatino Linotype" w:cs="Palatino Linotype"/>
        </w:rPr>
        <w:t xml:space="preserve"> ante </w:t>
      </w:r>
      <w:r w:rsidRPr="00E42C25">
        <w:rPr>
          <w:rFonts w:ascii="Palatino Linotype" w:eastAsia="Palatino Linotype" w:hAnsi="Palatino Linotype" w:cs="Palatino Linotype"/>
          <w:b/>
        </w:rPr>
        <w:t>EL SUJETO OBLIGADO</w:t>
      </w:r>
      <w:r w:rsidRPr="00E42C25">
        <w:rPr>
          <w:rFonts w:ascii="Palatino Linotype" w:eastAsia="Palatino Linotype" w:hAnsi="Palatino Linotype" w:cs="Palatino Linotype"/>
        </w:rPr>
        <w:t xml:space="preserve">, la solicitud de acceso a la información </w:t>
      </w:r>
      <w:r w:rsidRPr="00E42C25">
        <w:rPr>
          <w:rFonts w:ascii="Palatino Linotype" w:eastAsia="Palatino Linotype" w:hAnsi="Palatino Linotype" w:cs="Palatino Linotype"/>
        </w:rPr>
        <w:lastRenderedPageBreak/>
        <w:t>pública, a la que se le asignó el número de expediente</w:t>
      </w:r>
      <w:r w:rsidRPr="00E42C25">
        <w:rPr>
          <w:rFonts w:ascii="Palatino Linotype" w:eastAsia="Palatino Linotype" w:hAnsi="Palatino Linotype" w:cs="Palatino Linotype"/>
          <w:b/>
        </w:rPr>
        <w:t xml:space="preserve"> 00196/OASCUATIZC/IP/2023,</w:t>
      </w:r>
      <w:r w:rsidRPr="00E42C25">
        <w:rPr>
          <w:rFonts w:ascii="Palatino Linotype" w:eastAsia="Palatino Linotype" w:hAnsi="Palatino Linotype" w:cs="Palatino Linotype"/>
        </w:rPr>
        <w:t xml:space="preserve"> mediante la cual requirió lo siguiente:</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E42C25">
        <w:rPr>
          <w:rFonts w:ascii="Palatino Linotype" w:eastAsia="Palatino Linotype" w:hAnsi="Palatino Linotype" w:cs="Palatino Linotype"/>
          <w:i/>
          <w:sz w:val="22"/>
          <w:szCs w:val="22"/>
        </w:rPr>
        <w:t>“Solicito la afiliación de la persona titular de transparencia en el partido morena” (Sic).</w:t>
      </w:r>
    </w:p>
    <w:p w:rsidR="00344577" w:rsidRPr="00E42C25" w:rsidRDefault="0034457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344577" w:rsidRPr="00E42C25" w:rsidRDefault="00353BAA">
      <w:pP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rPr>
        <w:t>MODALIDAD DE ENTREGA:</w:t>
      </w:r>
      <w:r w:rsidRPr="00E42C25">
        <w:rPr>
          <w:rFonts w:ascii="Palatino Linotype" w:eastAsia="Palatino Linotype" w:hAnsi="Palatino Linotype" w:cs="Palatino Linotype"/>
        </w:rPr>
        <w:t xml:space="preserve"> vía </w:t>
      </w:r>
      <w:r w:rsidRPr="00E42C25">
        <w:rPr>
          <w:rFonts w:ascii="Palatino Linotype" w:eastAsia="Palatino Linotype" w:hAnsi="Palatino Linotype" w:cs="Palatino Linotype"/>
          <w:b/>
        </w:rPr>
        <w:t xml:space="preserve">SAIMEX. </w:t>
      </w:r>
    </w:p>
    <w:p w:rsidR="00344577" w:rsidRPr="00E42C25" w:rsidRDefault="00344577">
      <w:pPr>
        <w:spacing w:line="360" w:lineRule="auto"/>
        <w:jc w:val="both"/>
        <w:rPr>
          <w:rFonts w:ascii="Palatino Linotype" w:eastAsia="Palatino Linotype" w:hAnsi="Palatino Linotype" w:cs="Palatino Linotype"/>
          <w:b/>
        </w:rPr>
      </w:pPr>
    </w:p>
    <w:p w:rsidR="00344577" w:rsidRPr="00E42C25" w:rsidRDefault="00353BAA">
      <w:pPr>
        <w:spacing w:line="360" w:lineRule="auto"/>
        <w:jc w:val="both"/>
        <w:rPr>
          <w:rFonts w:ascii="Palatino Linotype" w:eastAsia="Palatino Linotype" w:hAnsi="Palatino Linotype" w:cs="Palatino Linotype"/>
          <w:b/>
          <w:sz w:val="28"/>
          <w:szCs w:val="28"/>
        </w:rPr>
      </w:pPr>
      <w:r w:rsidRPr="00E42C25">
        <w:rPr>
          <w:rFonts w:ascii="Palatino Linotype" w:eastAsia="Palatino Linotype" w:hAnsi="Palatino Linotype" w:cs="Palatino Linotype"/>
          <w:b/>
          <w:sz w:val="28"/>
          <w:szCs w:val="28"/>
        </w:rPr>
        <w:t>II. Respuesta del Sujeto Obligado</w:t>
      </w: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De las constancias que integran el expediente electrónico del </w:t>
      </w:r>
      <w:r w:rsidRPr="00E42C25">
        <w:rPr>
          <w:rFonts w:ascii="Palatino Linotype" w:eastAsia="Palatino Linotype" w:hAnsi="Palatino Linotype" w:cs="Palatino Linotype"/>
          <w:b/>
        </w:rPr>
        <w:t>SAIMEX</w:t>
      </w:r>
      <w:r w:rsidRPr="00E42C25">
        <w:rPr>
          <w:rFonts w:ascii="Palatino Linotype" w:eastAsia="Palatino Linotype" w:hAnsi="Palatino Linotype" w:cs="Palatino Linotype"/>
        </w:rPr>
        <w:t xml:space="preserve"> se advierte que </w:t>
      </w:r>
      <w:r w:rsidRPr="00E42C25">
        <w:rPr>
          <w:rFonts w:ascii="Palatino Linotype" w:eastAsia="Palatino Linotype" w:hAnsi="Palatino Linotype" w:cs="Palatino Linotype"/>
          <w:b/>
        </w:rPr>
        <w:t>EL SUJETO OBLIGADO</w:t>
      </w:r>
      <w:r w:rsidRPr="00E42C25">
        <w:rPr>
          <w:rFonts w:ascii="Palatino Linotype" w:eastAsia="Palatino Linotype" w:hAnsi="Palatino Linotype" w:cs="Palatino Linotype"/>
        </w:rPr>
        <w:t xml:space="preserve"> dio respuesta a la Solicitud de Acceso a la Información, el catorce de septiembre de dos mil veintitrés, en los términos que a continuación se citan:</w:t>
      </w:r>
    </w:p>
    <w:p w:rsidR="00344577" w:rsidRPr="00E42C25" w:rsidRDefault="0034457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344577" w:rsidRPr="00E42C25" w:rsidRDefault="00353BA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t>“…Cuando las Unidades de Transparencia determinan la notoria incompetencia por parte de sujetos obligados, dentro del ámbito de aplicación, para atender la solicitud de acceso a la información, deberán comunicarlo</w:t>
      </w:r>
    </w:p>
    <w:p w:rsidR="00344577" w:rsidRPr="00E42C25" w:rsidRDefault="0034457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344577" w:rsidRPr="00E42C25" w:rsidRDefault="00353BA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t>ATENTAMENTE</w:t>
      </w:r>
    </w:p>
    <w:p w:rsidR="00344577" w:rsidRPr="00E42C25" w:rsidRDefault="0034457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344577" w:rsidRPr="00E42C25" w:rsidRDefault="00353BA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t>. . .” (</w:t>
      </w:r>
      <w:proofErr w:type="gramStart"/>
      <w:r w:rsidRPr="00E42C25">
        <w:rPr>
          <w:rFonts w:ascii="Palatino Linotype" w:eastAsia="Palatino Linotype" w:hAnsi="Palatino Linotype" w:cs="Palatino Linotype"/>
          <w:i/>
          <w:sz w:val="22"/>
          <w:szCs w:val="22"/>
        </w:rPr>
        <w:t>sic</w:t>
      </w:r>
      <w:proofErr w:type="gramEnd"/>
      <w:r w:rsidRPr="00E42C25">
        <w:rPr>
          <w:rFonts w:ascii="Palatino Linotype" w:eastAsia="Palatino Linotype" w:hAnsi="Palatino Linotype" w:cs="Palatino Linotype"/>
          <w:i/>
          <w:sz w:val="22"/>
          <w:szCs w:val="22"/>
        </w:rPr>
        <w:t xml:space="preserve">) </w:t>
      </w:r>
    </w:p>
    <w:p w:rsidR="00344577" w:rsidRPr="00E42C25" w:rsidRDefault="00344577">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De igual modo, </w:t>
      </w:r>
      <w:r w:rsidRPr="00E42C25">
        <w:rPr>
          <w:rFonts w:ascii="Palatino Linotype" w:eastAsia="Palatino Linotype" w:hAnsi="Palatino Linotype" w:cs="Palatino Linotype"/>
          <w:b/>
        </w:rPr>
        <w:t>EL SUJETO OBLIGADO</w:t>
      </w:r>
      <w:r w:rsidRPr="00E42C25">
        <w:rPr>
          <w:rFonts w:ascii="Palatino Linotype" w:eastAsia="Palatino Linotype" w:hAnsi="Palatino Linotype" w:cs="Palatino Linotype"/>
        </w:rPr>
        <w:t xml:space="preserve"> acompañó a su respuesta los archivos electrónicos que a continuación se describen: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E42C25">
        <w:rPr>
          <w:rFonts w:ascii="Palatino Linotype" w:eastAsia="Palatino Linotype" w:hAnsi="Palatino Linotype" w:cs="Palatino Linotype"/>
          <w:b/>
          <w:i/>
        </w:rPr>
        <w:t xml:space="preserve">SOLICITANTE 196.pdf, </w:t>
      </w:r>
      <w:r w:rsidRPr="00E42C25">
        <w:rPr>
          <w:rFonts w:ascii="Palatino Linotype" w:eastAsia="Palatino Linotype" w:hAnsi="Palatino Linotype" w:cs="Palatino Linotype"/>
        </w:rPr>
        <w:t>el cual contiene el oficio número DG/</w:t>
      </w:r>
      <w:proofErr w:type="spellStart"/>
      <w:r w:rsidRPr="00E42C25">
        <w:rPr>
          <w:rFonts w:ascii="Palatino Linotype" w:eastAsia="Palatino Linotype" w:hAnsi="Palatino Linotype" w:cs="Palatino Linotype"/>
        </w:rPr>
        <w:t>CTyA</w:t>
      </w:r>
      <w:proofErr w:type="spellEnd"/>
      <w:r w:rsidRPr="00E42C25">
        <w:rPr>
          <w:rFonts w:ascii="Palatino Linotype" w:eastAsia="Palatino Linotype" w:hAnsi="Palatino Linotype" w:cs="Palatino Linotype"/>
        </w:rPr>
        <w:t xml:space="preserve">/823/2023 del trece de septiembre de dos mil veintitrés, por medio del cual la </w:t>
      </w:r>
      <w:r w:rsidRPr="00E42C25">
        <w:rPr>
          <w:rFonts w:ascii="Palatino Linotype" w:eastAsia="Palatino Linotype" w:hAnsi="Palatino Linotype" w:cs="Palatino Linotype"/>
        </w:rPr>
        <w:lastRenderedPageBreak/>
        <w:t xml:space="preserve">Coordinadora de Transparencia y Archivo, informa que no cuenta con la información solicitada, ello de conformidad con las atribuciones y facultades establecidas en el Reglamento Interior del Organismo Público Descentralizado para la Prestación de los Servicios de Agua Potable, Alcantarillado y Saneamiento del Municipio de Cuautitlán Izcalli, OPERAGUA Izcalli, el cual adjunta. </w:t>
      </w:r>
    </w:p>
    <w:p w:rsidR="00344577" w:rsidRPr="00E42C25" w:rsidRDefault="00353BA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rPr>
      </w:pPr>
      <w:r w:rsidRPr="00E42C25">
        <w:rPr>
          <w:rFonts w:ascii="Palatino Linotype" w:eastAsia="Palatino Linotype" w:hAnsi="Palatino Linotype" w:cs="Palatino Linotype"/>
          <w:i/>
        </w:rPr>
        <w:t xml:space="preserve">Reglamento-Interno-Operagua-31-mayo-Publicada-Gaceta-203-19-junio.pdf, </w:t>
      </w:r>
      <w:r w:rsidRPr="00E42C25">
        <w:rPr>
          <w:rFonts w:ascii="Palatino Linotype" w:eastAsia="Palatino Linotype" w:hAnsi="Palatino Linotype" w:cs="Palatino Linotype"/>
        </w:rPr>
        <w:t xml:space="preserve">el cual de su contenido se advierte el Reglamento Interior del Organismo Público Descentralizado para la Prestación de los Servicios de Agua Potable, Alcantarillado y Saneamiento del Municipio de Cuautitlán Izcalli, denominado OPERAGUA IZCALLI O.P.D.M. </w:t>
      </w:r>
    </w:p>
    <w:p w:rsidR="00344577" w:rsidRPr="00E42C25" w:rsidRDefault="00344577">
      <w:pPr>
        <w:spacing w:line="360" w:lineRule="auto"/>
        <w:jc w:val="both"/>
        <w:rPr>
          <w:rFonts w:ascii="Palatino Linotype" w:eastAsia="Palatino Linotype" w:hAnsi="Palatino Linotype" w:cs="Palatino Linotype"/>
          <w:b/>
          <w:i/>
        </w:rPr>
      </w:pPr>
    </w:p>
    <w:p w:rsidR="00344577" w:rsidRPr="00E42C25" w:rsidRDefault="00353BA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sz w:val="28"/>
          <w:szCs w:val="28"/>
        </w:rPr>
        <w:t>III. Del Recurso de Revisión</w:t>
      </w:r>
    </w:p>
    <w:p w:rsidR="00344577" w:rsidRPr="00E42C25" w:rsidRDefault="00353BAA">
      <w:pPr>
        <w:pBdr>
          <w:top w:val="nil"/>
          <w:left w:val="nil"/>
          <w:bottom w:val="nil"/>
          <w:right w:val="nil"/>
          <w:between w:val="nil"/>
        </w:pBd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rPr>
        <w:t xml:space="preserve">Inconforme con la respuesta del </w:t>
      </w:r>
      <w:r w:rsidRPr="00E42C25">
        <w:rPr>
          <w:rFonts w:ascii="Palatino Linotype" w:eastAsia="Palatino Linotype" w:hAnsi="Palatino Linotype" w:cs="Palatino Linotype"/>
          <w:b/>
        </w:rPr>
        <w:t>SUJETO OBLIGADO</w:t>
      </w:r>
      <w:r w:rsidRPr="00E42C25">
        <w:rPr>
          <w:rFonts w:ascii="Palatino Linotype" w:eastAsia="Palatino Linotype" w:hAnsi="Palatino Linotype" w:cs="Palatino Linotype"/>
        </w:rPr>
        <w:t xml:space="preserve">, el catorce de septiembre de dos mil veintitrés, </w:t>
      </w:r>
      <w:r w:rsidRPr="00E42C25">
        <w:rPr>
          <w:rFonts w:ascii="Palatino Linotype" w:eastAsia="Palatino Linotype" w:hAnsi="Palatino Linotype" w:cs="Palatino Linotype"/>
          <w:b/>
        </w:rPr>
        <w:t xml:space="preserve">EL RECURRENTE </w:t>
      </w:r>
      <w:r w:rsidRPr="00E42C25">
        <w:rPr>
          <w:rFonts w:ascii="Palatino Linotype" w:eastAsia="Palatino Linotype" w:hAnsi="Palatino Linotype" w:cs="Palatino Linotype"/>
        </w:rPr>
        <w:t xml:space="preserve">interpuso el Recurso de Revisión objeto del presente estudio, el cual fue registrado en </w:t>
      </w:r>
      <w:r w:rsidRPr="00E42C25">
        <w:rPr>
          <w:rFonts w:ascii="Palatino Linotype" w:eastAsia="Palatino Linotype" w:hAnsi="Palatino Linotype" w:cs="Palatino Linotype"/>
          <w:b/>
        </w:rPr>
        <w:t xml:space="preserve">EL SAIMEX </w:t>
      </w:r>
      <w:r w:rsidRPr="00E42C25">
        <w:rPr>
          <w:rFonts w:ascii="Palatino Linotype" w:eastAsia="Palatino Linotype" w:hAnsi="Palatino Linotype" w:cs="Palatino Linotype"/>
        </w:rPr>
        <w:t xml:space="preserve">y se le asignó el número de expediente </w:t>
      </w:r>
      <w:r w:rsidRPr="00E42C25">
        <w:rPr>
          <w:rFonts w:ascii="Palatino Linotype" w:eastAsia="Palatino Linotype" w:hAnsi="Palatino Linotype" w:cs="Palatino Linotype"/>
          <w:b/>
        </w:rPr>
        <w:t>06137/INFOEM/IP/RR/2023,</w:t>
      </w:r>
      <w:r w:rsidRPr="00E42C25">
        <w:rPr>
          <w:rFonts w:ascii="Palatino Linotype" w:eastAsia="Palatino Linotype" w:hAnsi="Palatino Linotype" w:cs="Palatino Linotype"/>
        </w:rPr>
        <w:t xml:space="preserve"> en el que señaló como:</w:t>
      </w:r>
    </w:p>
    <w:p w:rsidR="00344577" w:rsidRPr="00E42C25" w:rsidRDefault="00344577">
      <w:pPr>
        <w:spacing w:line="360" w:lineRule="auto"/>
        <w:ind w:right="899"/>
        <w:jc w:val="both"/>
        <w:rPr>
          <w:rFonts w:ascii="Palatino Linotype" w:eastAsia="Palatino Linotype" w:hAnsi="Palatino Linotype" w:cs="Palatino Linotype"/>
          <w:i/>
          <w:sz w:val="22"/>
          <w:szCs w:val="22"/>
        </w:rPr>
      </w:pPr>
    </w:p>
    <w:p w:rsidR="00344577" w:rsidRPr="00E42C25" w:rsidRDefault="00353BAA">
      <w:pPr>
        <w:pBdr>
          <w:top w:val="nil"/>
          <w:left w:val="nil"/>
          <w:bottom w:val="nil"/>
          <w:right w:val="nil"/>
          <w:between w:val="nil"/>
        </w:pBd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rPr>
        <w:t xml:space="preserve">Acto impugnado: </w:t>
      </w:r>
    </w:p>
    <w:p w:rsidR="00344577" w:rsidRPr="00E42C25" w:rsidRDefault="00344577">
      <w:pPr>
        <w:ind w:left="851" w:right="899"/>
        <w:jc w:val="both"/>
        <w:rPr>
          <w:rFonts w:ascii="Palatino Linotype" w:eastAsia="Palatino Linotype" w:hAnsi="Palatino Linotype" w:cs="Palatino Linotype"/>
          <w:i/>
          <w:sz w:val="22"/>
          <w:szCs w:val="22"/>
        </w:rPr>
      </w:pPr>
    </w:p>
    <w:p w:rsidR="00344577" w:rsidRPr="00E42C25" w:rsidRDefault="00353BAA">
      <w:pPr>
        <w:ind w:left="851" w:right="899"/>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t xml:space="preserve">“Respuesta” (sic) </w:t>
      </w:r>
    </w:p>
    <w:p w:rsidR="00344577" w:rsidRDefault="00344577">
      <w:pPr>
        <w:ind w:left="851" w:right="899"/>
        <w:jc w:val="both"/>
        <w:rPr>
          <w:rFonts w:ascii="Palatino Linotype" w:eastAsia="Palatino Linotype" w:hAnsi="Palatino Linotype" w:cs="Palatino Linotype"/>
          <w:i/>
          <w:sz w:val="22"/>
          <w:szCs w:val="22"/>
        </w:rPr>
      </w:pPr>
    </w:p>
    <w:p w:rsidR="00E42C25" w:rsidRPr="00E42C25" w:rsidRDefault="00E42C25">
      <w:pPr>
        <w:ind w:left="851" w:right="899"/>
        <w:jc w:val="both"/>
        <w:rPr>
          <w:rFonts w:ascii="Palatino Linotype" w:eastAsia="Palatino Linotype" w:hAnsi="Palatino Linotype" w:cs="Palatino Linotype"/>
          <w:i/>
          <w:sz w:val="22"/>
          <w:szCs w:val="22"/>
        </w:rPr>
      </w:pPr>
    </w:p>
    <w:p w:rsidR="00344577" w:rsidRPr="00E42C25" w:rsidRDefault="00353BAA">
      <w:pPr>
        <w:pBdr>
          <w:top w:val="nil"/>
          <w:left w:val="nil"/>
          <w:bottom w:val="nil"/>
          <w:right w:val="nil"/>
          <w:between w:val="nil"/>
        </w:pBd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rPr>
        <w:lastRenderedPageBreak/>
        <w:t xml:space="preserve">Razones o motivos de inconformidad: </w:t>
      </w:r>
    </w:p>
    <w:p w:rsidR="00344577" w:rsidRPr="00E42C25" w:rsidRDefault="00344577">
      <w:pPr>
        <w:ind w:left="851" w:right="899"/>
        <w:jc w:val="both"/>
        <w:rPr>
          <w:rFonts w:ascii="Palatino Linotype" w:eastAsia="Palatino Linotype" w:hAnsi="Palatino Linotype" w:cs="Palatino Linotype"/>
          <w:i/>
          <w:sz w:val="22"/>
          <w:szCs w:val="22"/>
        </w:rPr>
      </w:pPr>
    </w:p>
    <w:p w:rsidR="00344577" w:rsidRPr="00E42C25" w:rsidRDefault="00353BAA">
      <w:pPr>
        <w:ind w:left="851" w:right="899"/>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t>“No me orienta adecuadamente para informarme quien puede tener la información tal como lo dice la ley de transparencia estatal y los diversos criterios del INAI.” (</w:t>
      </w:r>
      <w:proofErr w:type="gramStart"/>
      <w:r w:rsidRPr="00E42C25">
        <w:rPr>
          <w:rFonts w:ascii="Palatino Linotype" w:eastAsia="Palatino Linotype" w:hAnsi="Palatino Linotype" w:cs="Palatino Linotype"/>
          <w:i/>
          <w:sz w:val="22"/>
          <w:szCs w:val="22"/>
        </w:rPr>
        <w:t>sic</w:t>
      </w:r>
      <w:proofErr w:type="gramEnd"/>
      <w:r w:rsidRPr="00E42C25">
        <w:rPr>
          <w:rFonts w:ascii="Palatino Linotype" w:eastAsia="Palatino Linotype" w:hAnsi="Palatino Linotype" w:cs="Palatino Linotype"/>
          <w:i/>
          <w:sz w:val="22"/>
          <w:szCs w:val="22"/>
        </w:rPr>
        <w:t xml:space="preserve">) </w:t>
      </w:r>
    </w:p>
    <w:p w:rsidR="00344577" w:rsidRPr="00E42C25" w:rsidRDefault="00344577">
      <w:pPr>
        <w:ind w:left="851" w:right="899"/>
        <w:jc w:val="both"/>
        <w:rPr>
          <w:rFonts w:ascii="Palatino Linotype" w:eastAsia="Palatino Linotype" w:hAnsi="Palatino Linotype" w:cs="Palatino Linotype"/>
          <w:i/>
          <w:sz w:val="22"/>
          <w:szCs w:val="22"/>
        </w:rPr>
      </w:pPr>
    </w:p>
    <w:p w:rsidR="00344577" w:rsidRPr="00E42C25" w:rsidRDefault="00344577">
      <w:pPr>
        <w:ind w:left="851" w:right="899"/>
        <w:jc w:val="both"/>
        <w:rPr>
          <w:rFonts w:ascii="Palatino Linotype" w:eastAsia="Palatino Linotype" w:hAnsi="Palatino Linotype" w:cs="Palatino Linotype"/>
          <w:b/>
        </w:rPr>
      </w:pPr>
    </w:p>
    <w:p w:rsidR="00344577" w:rsidRPr="00E42C25" w:rsidRDefault="00353BAA">
      <w:pPr>
        <w:spacing w:line="360" w:lineRule="auto"/>
        <w:jc w:val="both"/>
        <w:rPr>
          <w:rFonts w:ascii="Palatino Linotype" w:eastAsia="Palatino Linotype" w:hAnsi="Palatino Linotype" w:cs="Palatino Linotype"/>
          <w:b/>
          <w:sz w:val="28"/>
          <w:szCs w:val="28"/>
        </w:rPr>
      </w:pPr>
      <w:r w:rsidRPr="00E42C25">
        <w:rPr>
          <w:rFonts w:ascii="Palatino Linotype" w:eastAsia="Palatino Linotype" w:hAnsi="Palatino Linotype" w:cs="Palatino Linotype"/>
          <w:b/>
          <w:sz w:val="28"/>
          <w:szCs w:val="28"/>
        </w:rPr>
        <w:t>IV. Del turno del Recurso de Revisión</w:t>
      </w:r>
    </w:p>
    <w:p w:rsidR="00344577" w:rsidRPr="00E42C25" w:rsidRDefault="00353BAA">
      <w:pPr>
        <w:pBdr>
          <w:top w:val="nil"/>
          <w:left w:val="nil"/>
          <w:bottom w:val="nil"/>
          <w:right w:val="nil"/>
          <w:between w:val="nil"/>
        </w:pBd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E42C25">
        <w:rPr>
          <w:rFonts w:ascii="Palatino Linotype" w:eastAsia="Palatino Linotype" w:hAnsi="Palatino Linotype" w:cs="Palatino Linotype"/>
          <w:b/>
        </w:rPr>
        <w:t>catorce de septiembre de dos mil veintitrés</w:t>
      </w:r>
      <w:r w:rsidRPr="00E42C25">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E42C25">
        <w:rPr>
          <w:rFonts w:ascii="Palatino Linotype" w:eastAsia="Palatino Linotype" w:hAnsi="Palatino Linotype" w:cs="Palatino Linotype"/>
          <w:b/>
        </w:rPr>
        <w:t>SAIMEX</w:t>
      </w:r>
      <w:r w:rsidRPr="00E42C25">
        <w:rPr>
          <w:rFonts w:ascii="Palatino Linotype" w:eastAsia="Palatino Linotype" w:hAnsi="Palatino Linotype" w:cs="Palatino Linotype"/>
        </w:rPr>
        <w:t xml:space="preserve">, a la comisionada </w:t>
      </w:r>
      <w:r w:rsidRPr="00E42C25">
        <w:rPr>
          <w:rFonts w:ascii="Palatino Linotype" w:eastAsia="Palatino Linotype" w:hAnsi="Palatino Linotype" w:cs="Palatino Linotype"/>
          <w:b/>
        </w:rPr>
        <w:t>Sharon Cristina Morales Martínez</w:t>
      </w:r>
      <w:r w:rsidRPr="00E42C25">
        <w:rPr>
          <w:rFonts w:ascii="Palatino Linotype" w:eastAsia="Palatino Linotype" w:hAnsi="Palatino Linotype" w:cs="Palatino Linotype"/>
        </w:rPr>
        <w:t>, a efecto de decretar su admisión o desechamiento.</w:t>
      </w:r>
    </w:p>
    <w:p w:rsidR="00344577" w:rsidRPr="00E42C25" w:rsidRDefault="00344577">
      <w:pPr>
        <w:pBdr>
          <w:top w:val="nil"/>
          <w:left w:val="nil"/>
          <w:bottom w:val="nil"/>
          <w:right w:val="nil"/>
          <w:between w:val="nil"/>
        </w:pBdr>
        <w:spacing w:line="360" w:lineRule="auto"/>
        <w:jc w:val="both"/>
        <w:rPr>
          <w:rFonts w:ascii="Palatino Linotype" w:eastAsia="Palatino Linotype" w:hAnsi="Palatino Linotype" w:cs="Palatino Linotype"/>
        </w:rPr>
      </w:pPr>
    </w:p>
    <w:p w:rsidR="00344577" w:rsidRPr="00E42C25" w:rsidRDefault="00353BAA">
      <w:pPr>
        <w:tabs>
          <w:tab w:val="center" w:pos="4252"/>
          <w:tab w:val="right" w:pos="8504"/>
        </w:tabs>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rPr>
        <w:t>a) Admisión del Recurso de Revisión</w:t>
      </w:r>
    </w:p>
    <w:p w:rsidR="00344577" w:rsidRPr="00E42C25" w:rsidRDefault="00353BAA">
      <w:pPr>
        <w:pBdr>
          <w:top w:val="nil"/>
          <w:left w:val="nil"/>
          <w:bottom w:val="nil"/>
          <w:right w:val="nil"/>
          <w:between w:val="nil"/>
        </w:pBd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rPr>
        <w:t>De las constancias del expediente electrónico del</w:t>
      </w:r>
      <w:r w:rsidRPr="00E42C25">
        <w:rPr>
          <w:rFonts w:ascii="Palatino Linotype" w:eastAsia="Palatino Linotype" w:hAnsi="Palatino Linotype" w:cs="Palatino Linotype"/>
          <w:b/>
        </w:rPr>
        <w:t xml:space="preserve"> SAIMEX</w:t>
      </w:r>
      <w:r w:rsidRPr="00E42C25">
        <w:rPr>
          <w:rFonts w:ascii="Palatino Linotype" w:eastAsia="Palatino Linotype" w:hAnsi="Palatino Linotype" w:cs="Palatino Linotype"/>
        </w:rPr>
        <w:t xml:space="preserve">, se advierte que el </w:t>
      </w:r>
      <w:r w:rsidRPr="00E42C25">
        <w:rPr>
          <w:rFonts w:ascii="Palatino Linotype" w:eastAsia="Palatino Linotype" w:hAnsi="Palatino Linotype" w:cs="Palatino Linotype"/>
          <w:b/>
        </w:rPr>
        <w:t>dieciocho de septiembre de dos mil veintitrés</w:t>
      </w:r>
      <w:r w:rsidRPr="00E42C25">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E42C25">
        <w:rPr>
          <w:rFonts w:ascii="Palatino Linotype" w:eastAsia="Palatino Linotype" w:hAnsi="Palatino Linotype" w:cs="Palatino Linotype"/>
          <w:b/>
        </w:rPr>
        <w:t xml:space="preserve">EL RECURRENTE </w:t>
      </w:r>
      <w:r w:rsidRPr="00E42C25">
        <w:rPr>
          <w:rFonts w:ascii="Palatino Linotype" w:eastAsia="Palatino Linotype" w:hAnsi="Palatino Linotype" w:cs="Palatino Linotype"/>
        </w:rPr>
        <w:t xml:space="preserve">manifestara lo que a su derecho conviniera, a efecto de presentar pruebas o alegatos y, en su caso, </w:t>
      </w:r>
      <w:r w:rsidRPr="00E42C25">
        <w:rPr>
          <w:rFonts w:ascii="Palatino Linotype" w:eastAsia="Palatino Linotype" w:hAnsi="Palatino Linotype" w:cs="Palatino Linotype"/>
          <w:b/>
        </w:rPr>
        <w:t xml:space="preserve">EL SUJETO OBLIGADO </w:t>
      </w:r>
      <w:r w:rsidRPr="00E42C25">
        <w:rPr>
          <w:rFonts w:ascii="Palatino Linotype" w:eastAsia="Palatino Linotype" w:hAnsi="Palatino Linotype" w:cs="Palatino Linotype"/>
        </w:rPr>
        <w:t xml:space="preserve">rindiera su correspondiente Informe Justificado; lo anterior , conforme a lo dispuesto por el artículo 185 de la Ley </w:t>
      </w:r>
      <w:r w:rsidRPr="00E42C25">
        <w:rPr>
          <w:rFonts w:ascii="Palatino Linotype" w:eastAsia="Palatino Linotype" w:hAnsi="Palatino Linotype" w:cs="Palatino Linotype"/>
        </w:rPr>
        <w:lastRenderedPageBreak/>
        <w:t xml:space="preserve">de Transparencia y Acceso a la Información Pública del Estado de México y Municipios. </w:t>
      </w:r>
    </w:p>
    <w:p w:rsidR="00344577" w:rsidRPr="00E42C25" w:rsidRDefault="00344577">
      <w:pPr>
        <w:pBdr>
          <w:top w:val="nil"/>
          <w:left w:val="nil"/>
          <w:bottom w:val="nil"/>
          <w:right w:val="nil"/>
          <w:between w:val="nil"/>
        </w:pBd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rPr>
        <w:t>b) Informe Justificado y manifestaciones</w:t>
      </w: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En cumplimiento a lo anterior, de las constancias del expediente electrónico del</w:t>
      </w:r>
      <w:r w:rsidRPr="00E42C25">
        <w:rPr>
          <w:rFonts w:ascii="Palatino Linotype" w:eastAsia="Palatino Linotype" w:hAnsi="Palatino Linotype" w:cs="Palatino Linotype"/>
          <w:b/>
        </w:rPr>
        <w:t xml:space="preserve"> SAIMEX</w:t>
      </w:r>
      <w:r w:rsidRPr="00E42C25">
        <w:rPr>
          <w:rFonts w:ascii="Palatino Linotype" w:eastAsia="Palatino Linotype" w:hAnsi="Palatino Linotype" w:cs="Palatino Linotype"/>
        </w:rPr>
        <w:t xml:space="preserve">, se advierte que el </w:t>
      </w:r>
      <w:r w:rsidRPr="00E42C25">
        <w:rPr>
          <w:rFonts w:ascii="Palatino Linotype" w:eastAsia="Palatino Linotype" w:hAnsi="Palatino Linotype" w:cs="Palatino Linotype"/>
          <w:b/>
        </w:rPr>
        <w:t>veintidós de septiembre de dos mil veintitrés</w:t>
      </w:r>
      <w:r w:rsidRPr="00E42C25">
        <w:rPr>
          <w:rFonts w:ascii="Palatino Linotype" w:eastAsia="Palatino Linotype" w:hAnsi="Palatino Linotype" w:cs="Palatino Linotype"/>
        </w:rPr>
        <w:t xml:space="preserve">, </w:t>
      </w:r>
      <w:r w:rsidRPr="00E42C25">
        <w:rPr>
          <w:rFonts w:ascii="Palatino Linotype" w:eastAsia="Palatino Linotype" w:hAnsi="Palatino Linotype" w:cs="Palatino Linotype"/>
          <w:b/>
        </w:rPr>
        <w:t>EL SUJETO OBLIGADO</w:t>
      </w:r>
      <w:r w:rsidRPr="00E42C25">
        <w:rPr>
          <w:rFonts w:ascii="Palatino Linotype" w:eastAsia="Palatino Linotype" w:hAnsi="Palatino Linotype" w:cs="Palatino Linotype"/>
        </w:rPr>
        <w:t xml:space="preserve"> mediante Informe Justificado adjuntó el archivo electrónico denominado </w:t>
      </w:r>
      <w:r w:rsidRPr="00E42C25">
        <w:rPr>
          <w:rFonts w:ascii="Palatino Linotype" w:eastAsia="Palatino Linotype" w:hAnsi="Palatino Linotype" w:cs="Palatino Linotype"/>
          <w:b/>
          <w:i/>
        </w:rPr>
        <w:t xml:space="preserve">MANIFESTACIONES RR 6137 SAIMEX 196.pdf, </w:t>
      </w:r>
      <w:r w:rsidRPr="00E42C25">
        <w:rPr>
          <w:rFonts w:ascii="Palatino Linotype" w:eastAsia="Palatino Linotype" w:hAnsi="Palatino Linotype" w:cs="Palatino Linotype"/>
        </w:rPr>
        <w:t>el cual contiene el oficio DG/</w:t>
      </w:r>
      <w:proofErr w:type="spellStart"/>
      <w:r w:rsidRPr="00E42C25">
        <w:rPr>
          <w:rFonts w:ascii="Palatino Linotype" w:eastAsia="Palatino Linotype" w:hAnsi="Palatino Linotype" w:cs="Palatino Linotype"/>
        </w:rPr>
        <w:t>CTyA</w:t>
      </w:r>
      <w:proofErr w:type="spellEnd"/>
      <w:r w:rsidRPr="00E42C25">
        <w:rPr>
          <w:rFonts w:ascii="Palatino Linotype" w:eastAsia="Palatino Linotype" w:hAnsi="Palatino Linotype" w:cs="Palatino Linotype"/>
        </w:rPr>
        <w:t xml:space="preserve">/832/2023 del veintiuno de septiembre de dos mil veintitrés, por medio del cual la Coordinadora de Transparencia y Archivo, sugiere dirigir la solicitud al partido político interesado ya sea en sus “Casas de Campaña” oficinas o su página web para este tipo de consultas.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Cabe destacar que dicho archivo fue puesto a disposición del </w:t>
      </w:r>
      <w:r w:rsidRPr="00E42C25">
        <w:rPr>
          <w:rFonts w:ascii="Palatino Linotype" w:eastAsia="Palatino Linotype" w:hAnsi="Palatino Linotype" w:cs="Palatino Linotype"/>
          <w:b/>
        </w:rPr>
        <w:t>RECURRENTE</w:t>
      </w:r>
      <w:r w:rsidRPr="00E42C25">
        <w:rPr>
          <w:rFonts w:ascii="Palatino Linotype" w:eastAsia="Palatino Linotype" w:hAnsi="Palatino Linotype" w:cs="Palatino Linotype"/>
        </w:rPr>
        <w:t xml:space="preserve"> el treinta y uno de enero de dos mil veinticuatro, a efecto de que el particular conociera la totalidad de actuaciones.</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tabs>
          <w:tab w:val="center" w:pos="4252"/>
          <w:tab w:val="right" w:pos="8504"/>
        </w:tabs>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Por su parte, el particular no realizó manifestación alguna, ni presentó pruebas o alegatos.</w:t>
      </w:r>
    </w:p>
    <w:p w:rsidR="00344577" w:rsidRPr="00E42C25" w:rsidRDefault="00344577">
      <w:pPr>
        <w:tabs>
          <w:tab w:val="center" w:pos="4252"/>
          <w:tab w:val="right" w:pos="8504"/>
        </w:tabs>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Asimismo, no se omite comentar que </w:t>
      </w:r>
      <w:r w:rsidRPr="00E42C25">
        <w:rPr>
          <w:rFonts w:ascii="Palatino Linotype" w:eastAsia="Palatino Linotype" w:hAnsi="Palatino Linotype" w:cs="Palatino Linotype"/>
          <w:b/>
        </w:rPr>
        <w:t xml:space="preserve">EL SUJETO OBLIGADO </w:t>
      </w:r>
      <w:r w:rsidRPr="00E42C25">
        <w:rPr>
          <w:rFonts w:ascii="Palatino Linotype" w:eastAsia="Palatino Linotype" w:hAnsi="Palatino Linotype" w:cs="Palatino Linotype"/>
        </w:rPr>
        <w:t xml:space="preserve">el veintiuno de noviembre de dos mil veintitrés, adjuntó mediante Informe Justificado adjuntó los </w:t>
      </w:r>
      <w:r w:rsidRPr="00E42C25">
        <w:rPr>
          <w:rFonts w:ascii="Palatino Linotype" w:eastAsia="Palatino Linotype" w:hAnsi="Palatino Linotype" w:cs="Palatino Linotype"/>
        </w:rPr>
        <w:lastRenderedPageBreak/>
        <w:t xml:space="preserve">archivos electrónicos denominados </w:t>
      </w:r>
      <w:r w:rsidRPr="00E42C25">
        <w:rPr>
          <w:rFonts w:ascii="Palatino Linotype" w:eastAsia="Palatino Linotype" w:hAnsi="Palatino Linotype" w:cs="Palatino Linotype"/>
          <w:b/>
          <w:i/>
        </w:rPr>
        <w:t>1RA SESIÓN ORDINARIA 2023.pdf</w:t>
      </w:r>
      <w:r w:rsidRPr="00E42C25">
        <w:rPr>
          <w:rFonts w:ascii="Palatino Linotype" w:eastAsia="Palatino Linotype" w:hAnsi="Palatino Linotype" w:cs="Palatino Linotype"/>
        </w:rPr>
        <w:t xml:space="preserve">, </w:t>
      </w:r>
      <w:r w:rsidRPr="00E42C25">
        <w:rPr>
          <w:rFonts w:ascii="Palatino Linotype" w:eastAsia="Palatino Linotype" w:hAnsi="Palatino Linotype" w:cs="Palatino Linotype"/>
          <w:b/>
          <w:i/>
        </w:rPr>
        <w:t xml:space="preserve">VIGESIMA CUARTA SESION.pdf </w:t>
      </w:r>
      <w:r w:rsidRPr="00E42C25">
        <w:rPr>
          <w:rFonts w:ascii="Palatino Linotype" w:eastAsia="Palatino Linotype" w:hAnsi="Palatino Linotype" w:cs="Palatino Linotype"/>
          <w:i/>
        </w:rPr>
        <w:t>y</w:t>
      </w:r>
      <w:r w:rsidRPr="00E42C25">
        <w:rPr>
          <w:rFonts w:ascii="Palatino Linotype" w:eastAsia="Palatino Linotype" w:hAnsi="Palatino Linotype" w:cs="Palatino Linotype"/>
        </w:rPr>
        <w:t xml:space="preserve"> </w:t>
      </w:r>
      <w:r w:rsidRPr="00E42C25">
        <w:rPr>
          <w:rFonts w:ascii="Palatino Linotype" w:eastAsia="Palatino Linotype" w:hAnsi="Palatino Linotype" w:cs="Palatino Linotype"/>
          <w:b/>
          <w:i/>
        </w:rPr>
        <w:t>RR 6305 SAIMEX 174.pdf</w:t>
      </w:r>
      <w:r w:rsidRPr="00E42C25">
        <w:rPr>
          <w:rFonts w:ascii="Palatino Linotype" w:eastAsia="Palatino Linotype" w:hAnsi="Palatino Linotype" w:cs="Palatino Linotype"/>
        </w:rPr>
        <w:t xml:space="preserve">, los cuales al no tener relación con el presente asunto que se resuelve, este Órgano Garante determinó no poner a la vista del particular.  </w:t>
      </w:r>
    </w:p>
    <w:p w:rsidR="00344577" w:rsidRPr="00E42C25" w:rsidRDefault="00344577">
      <w:pPr>
        <w:tabs>
          <w:tab w:val="center" w:pos="4252"/>
          <w:tab w:val="right" w:pos="8504"/>
        </w:tabs>
        <w:spacing w:line="360" w:lineRule="auto"/>
        <w:jc w:val="both"/>
        <w:rPr>
          <w:rFonts w:ascii="Palatino Linotype" w:eastAsia="Palatino Linotype" w:hAnsi="Palatino Linotype" w:cs="Palatino Linotype"/>
        </w:rPr>
      </w:pPr>
    </w:p>
    <w:p w:rsidR="00344577" w:rsidRPr="00E42C25" w:rsidRDefault="00353BAA">
      <w:pPr>
        <w:widowControl w:val="0"/>
        <w:tabs>
          <w:tab w:val="left" w:pos="0"/>
        </w:tabs>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rPr>
        <w:t xml:space="preserve">c) De la ampliación </w:t>
      </w: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El </w:t>
      </w:r>
      <w:r w:rsidRPr="00E42C25">
        <w:rPr>
          <w:rFonts w:ascii="Palatino Linotype" w:eastAsia="Palatino Linotype" w:hAnsi="Palatino Linotype" w:cs="Palatino Linotype"/>
          <w:b/>
        </w:rPr>
        <w:t>ocho de noviembre de dos mil veintitrés</w:t>
      </w:r>
      <w:r w:rsidRPr="00E42C25">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w:t>
      </w:r>
      <w:r w:rsidRPr="00E42C25">
        <w:rPr>
          <w:rFonts w:ascii="Palatino Linotype" w:eastAsia="Palatino Linotype" w:hAnsi="Palatino Linotype" w:cs="Palatino Linotype"/>
        </w:rPr>
        <w:lastRenderedPageBreak/>
        <w:t>de asuntos conforme a los parámetros establecidos por diversos órganos jurisdiccionales federales, aplicables también en procedimientos análogos, como el que nos ocupa.</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rsidR="00344577" w:rsidRPr="00E42C25" w:rsidRDefault="00353BAA">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Actividad Procesal del interesado: Acciones u omisiones del interesado.</w:t>
      </w:r>
    </w:p>
    <w:p w:rsidR="00344577" w:rsidRPr="00E42C25" w:rsidRDefault="00353BAA">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rsidR="00344577" w:rsidRPr="00E42C25" w:rsidRDefault="00353BAA">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La afectación generada en la situación jurídica de la persona involucrada en el proceso: Violación a sus derechos humanos.</w:t>
      </w:r>
    </w:p>
    <w:p w:rsidR="00344577" w:rsidRPr="00E42C25" w:rsidRDefault="00344577">
      <w:pPr>
        <w:shd w:val="clear" w:color="auto" w:fill="FFFFFF"/>
        <w:spacing w:line="360" w:lineRule="auto"/>
        <w:ind w:left="360"/>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Argumento que encuentra sustento en la jurisprudencia P</w:t>
      </w:r>
      <w:proofErr w:type="gramStart"/>
      <w:r w:rsidRPr="00E42C25">
        <w:rPr>
          <w:rFonts w:ascii="Palatino Linotype" w:eastAsia="Palatino Linotype" w:hAnsi="Palatino Linotype" w:cs="Palatino Linotype"/>
        </w:rPr>
        <w:t>./</w:t>
      </w:r>
      <w:proofErr w:type="gramEnd"/>
      <w:r w:rsidRPr="00E42C25">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E42C25">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rsidR="00344577" w:rsidRPr="00E42C25" w:rsidRDefault="00344577">
      <w:pPr>
        <w:shd w:val="clear" w:color="auto" w:fill="FFFFFF"/>
        <w:spacing w:line="360" w:lineRule="auto"/>
        <w:jc w:val="both"/>
        <w:rPr>
          <w:rFonts w:ascii="Palatino Linotype" w:eastAsia="Palatino Linotype" w:hAnsi="Palatino Linotype" w:cs="Palatino Linotype"/>
        </w:rPr>
      </w:pPr>
    </w:p>
    <w:p w:rsidR="00344577" w:rsidRPr="00E42C25" w:rsidRDefault="00353BAA">
      <w:pPr>
        <w:shd w:val="clear" w:color="auto" w:fill="FFFFFF"/>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rsidR="00344577" w:rsidRPr="00E42C25" w:rsidRDefault="00344577">
      <w:pPr>
        <w:widowControl w:val="0"/>
        <w:tabs>
          <w:tab w:val="left" w:pos="0"/>
        </w:tabs>
        <w:spacing w:line="360" w:lineRule="auto"/>
        <w:jc w:val="both"/>
        <w:rPr>
          <w:rFonts w:ascii="Palatino Linotype" w:eastAsia="Palatino Linotype" w:hAnsi="Palatino Linotype" w:cs="Palatino Linotype"/>
          <w:b/>
        </w:rPr>
      </w:pPr>
    </w:p>
    <w:p w:rsidR="00344577" w:rsidRPr="00E42C25" w:rsidRDefault="00E42C25">
      <w:pPr>
        <w:widowControl w:val="0"/>
        <w:tabs>
          <w:tab w:val="left" w:pos="0"/>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w:t>
      </w:r>
      <w:r w:rsidR="00353BAA" w:rsidRPr="00E42C25">
        <w:rPr>
          <w:rFonts w:ascii="Palatino Linotype" w:eastAsia="Palatino Linotype" w:hAnsi="Palatino Linotype" w:cs="Palatino Linotype"/>
          <w:b/>
        </w:rPr>
        <w:t>) Cierre de Instrucción</w:t>
      </w: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Por lo que, una vez analizado el estado procesal que guarda el expediente, el </w:t>
      </w:r>
      <w:r w:rsidRPr="00E42C25">
        <w:rPr>
          <w:rFonts w:ascii="Palatino Linotype" w:eastAsia="Palatino Linotype" w:hAnsi="Palatino Linotype" w:cs="Palatino Linotype"/>
          <w:b/>
        </w:rPr>
        <w:t>siete de febrero de dos mil veinticuatro</w:t>
      </w:r>
      <w:r w:rsidRPr="00E42C25">
        <w:rPr>
          <w:rFonts w:ascii="Palatino Linotype" w:eastAsia="Palatino Linotype" w:hAnsi="Palatino Linotype" w:cs="Palatino Linotype"/>
        </w:rPr>
        <w:t xml:space="preserve">, la </w:t>
      </w:r>
      <w:r w:rsidRPr="00E42C25">
        <w:rPr>
          <w:rFonts w:ascii="Palatino Linotype" w:eastAsia="Palatino Linotype" w:hAnsi="Palatino Linotype" w:cs="Palatino Linotype"/>
          <w:b/>
        </w:rPr>
        <w:t xml:space="preserve">Comisionada Sharon Cristina Morales Martínez </w:t>
      </w:r>
      <w:r w:rsidRPr="00E42C25">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w:t>
      </w:r>
      <w:r w:rsidR="00CA4F32">
        <w:rPr>
          <w:rFonts w:ascii="Palatino Linotype" w:eastAsia="Palatino Linotype" w:hAnsi="Palatino Linotype" w:cs="Palatino Linotype"/>
        </w:rPr>
        <w:t>ios.</w:t>
      </w:r>
    </w:p>
    <w:p w:rsidR="00344577" w:rsidRPr="00E42C25" w:rsidRDefault="00344577">
      <w:pPr>
        <w:jc w:val="center"/>
        <w:rPr>
          <w:rFonts w:ascii="Palatino Linotype" w:eastAsia="Palatino Linotype" w:hAnsi="Palatino Linotype" w:cs="Palatino Linotype"/>
          <w:b/>
          <w:sz w:val="28"/>
          <w:szCs w:val="28"/>
        </w:rPr>
      </w:pPr>
    </w:p>
    <w:p w:rsidR="00344577" w:rsidRPr="00E42C25" w:rsidRDefault="00353BAA">
      <w:pPr>
        <w:jc w:val="center"/>
        <w:rPr>
          <w:rFonts w:ascii="Palatino Linotype" w:eastAsia="Palatino Linotype" w:hAnsi="Palatino Linotype" w:cs="Palatino Linotype"/>
          <w:b/>
          <w:sz w:val="28"/>
          <w:szCs w:val="28"/>
        </w:rPr>
      </w:pPr>
      <w:r w:rsidRPr="00E42C25">
        <w:rPr>
          <w:rFonts w:ascii="Palatino Linotype" w:eastAsia="Palatino Linotype" w:hAnsi="Palatino Linotype" w:cs="Palatino Linotype"/>
          <w:b/>
          <w:sz w:val="28"/>
          <w:szCs w:val="28"/>
        </w:rPr>
        <w:t>CONSIDERANDOS</w:t>
      </w:r>
    </w:p>
    <w:p w:rsidR="00344577" w:rsidRPr="00E42C25" w:rsidRDefault="00344577">
      <w:pPr>
        <w:jc w:val="center"/>
        <w:rPr>
          <w:rFonts w:ascii="Palatino Linotype" w:eastAsia="Palatino Linotype" w:hAnsi="Palatino Linotype" w:cs="Palatino Linotype"/>
          <w:b/>
          <w:sz w:val="28"/>
          <w:szCs w:val="28"/>
        </w:rPr>
      </w:pPr>
    </w:p>
    <w:p w:rsidR="00344577" w:rsidRPr="00E42C25" w:rsidRDefault="00353BAA">
      <w:pPr>
        <w:spacing w:line="360" w:lineRule="auto"/>
        <w:ind w:right="50"/>
        <w:jc w:val="both"/>
        <w:rPr>
          <w:rFonts w:ascii="Palatino Linotype" w:eastAsia="Palatino Linotype" w:hAnsi="Palatino Linotype" w:cs="Palatino Linotype"/>
          <w:b/>
        </w:rPr>
      </w:pPr>
      <w:r w:rsidRPr="00E42C25">
        <w:rPr>
          <w:rFonts w:ascii="Palatino Linotype" w:eastAsia="Palatino Linotype" w:hAnsi="Palatino Linotype" w:cs="Palatino Linotype"/>
          <w:b/>
          <w:sz w:val="28"/>
          <w:szCs w:val="28"/>
        </w:rPr>
        <w:t>PRIMERO</w:t>
      </w:r>
      <w:r w:rsidRPr="00E42C25">
        <w:rPr>
          <w:rFonts w:ascii="Palatino Linotype" w:eastAsia="Palatino Linotype" w:hAnsi="Palatino Linotype" w:cs="Palatino Linotype"/>
          <w:b/>
        </w:rPr>
        <w:t>.</w:t>
      </w:r>
      <w:r w:rsidRPr="00E42C25">
        <w:rPr>
          <w:rFonts w:ascii="Palatino Linotype" w:eastAsia="Palatino Linotype" w:hAnsi="Palatino Linotype" w:cs="Palatino Linotype"/>
        </w:rPr>
        <w:t xml:space="preserve"> </w:t>
      </w:r>
      <w:r w:rsidRPr="00E42C25">
        <w:rPr>
          <w:rFonts w:ascii="Palatino Linotype" w:eastAsia="Palatino Linotype" w:hAnsi="Palatino Linotype" w:cs="Palatino Linotype"/>
          <w:b/>
        </w:rPr>
        <w:t>Competencia</w:t>
      </w:r>
      <w:r w:rsidRPr="00E42C25">
        <w:rPr>
          <w:rFonts w:ascii="Palatino Linotype" w:eastAsia="Palatino Linotype" w:hAnsi="Palatino Linotype" w:cs="Palatino Linotype"/>
        </w:rPr>
        <w:t>.</w:t>
      </w:r>
      <w:r w:rsidRPr="00E42C25">
        <w:rPr>
          <w:rFonts w:ascii="Palatino Linotype" w:eastAsia="Palatino Linotype" w:hAnsi="Palatino Linotype" w:cs="Palatino Linotype"/>
          <w:b/>
        </w:rPr>
        <w:t xml:space="preserve"> </w:t>
      </w:r>
    </w:p>
    <w:p w:rsidR="00344577" w:rsidRPr="00E42C25" w:rsidRDefault="00353BAA">
      <w:pPr>
        <w:spacing w:line="360" w:lineRule="auto"/>
        <w:ind w:right="50"/>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w:t>
      </w:r>
      <w:r w:rsidRPr="00E42C25">
        <w:rPr>
          <w:rFonts w:ascii="Palatino Linotype" w:eastAsia="Palatino Linotype" w:hAnsi="Palatino Linotype" w:cs="Palatino Linotype"/>
        </w:rPr>
        <w:lastRenderedPageBreak/>
        <w:t>del Reglamento Interior del Instituto de Transparencia, Acceso a la Información Pública y Protección de Datos Personales del Estado de México y Municipios.</w:t>
      </w:r>
    </w:p>
    <w:p w:rsidR="00344577" w:rsidRPr="00E42C25" w:rsidRDefault="00344577">
      <w:pPr>
        <w:spacing w:line="360" w:lineRule="auto"/>
        <w:ind w:right="50"/>
        <w:jc w:val="both"/>
        <w:rPr>
          <w:rFonts w:ascii="Palatino Linotype" w:eastAsia="Palatino Linotype" w:hAnsi="Palatino Linotype" w:cs="Palatino Linotype"/>
        </w:rPr>
      </w:pPr>
    </w:p>
    <w:p w:rsidR="00344577" w:rsidRPr="00E42C25" w:rsidRDefault="00353BA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b/>
          <w:sz w:val="28"/>
          <w:szCs w:val="28"/>
        </w:rPr>
        <w:t>SEGUNDO.</w:t>
      </w:r>
      <w:r w:rsidRPr="00E42C25">
        <w:rPr>
          <w:rFonts w:ascii="Palatino Linotype" w:eastAsia="Palatino Linotype" w:hAnsi="Palatino Linotype" w:cs="Palatino Linotype"/>
          <w:b/>
        </w:rPr>
        <w:t xml:space="preserve"> Interés.</w:t>
      </w:r>
      <w:r w:rsidRPr="00E42C25">
        <w:rPr>
          <w:rFonts w:ascii="Palatino Linotype" w:eastAsia="Palatino Linotype" w:hAnsi="Palatino Linotype" w:cs="Palatino Linotype"/>
        </w:rPr>
        <w:t xml:space="preserve"> </w:t>
      </w:r>
    </w:p>
    <w:p w:rsidR="00344577" w:rsidRPr="00E42C25" w:rsidRDefault="00353BAA">
      <w:pP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rPr>
        <w:t xml:space="preserve">El Recurso de Revisión fue interpuesto por parte legítima, en atención a que se presentó por </w:t>
      </w:r>
      <w:r w:rsidRPr="00E42C25">
        <w:rPr>
          <w:rFonts w:ascii="Palatino Linotype" w:eastAsia="Palatino Linotype" w:hAnsi="Palatino Linotype" w:cs="Palatino Linotype"/>
          <w:b/>
        </w:rPr>
        <w:t>EL RECURRENTE,</w:t>
      </w:r>
      <w:r w:rsidRPr="00E42C25">
        <w:rPr>
          <w:rFonts w:ascii="Palatino Linotype" w:eastAsia="Palatino Linotype" w:hAnsi="Palatino Linotype" w:cs="Palatino Linotype"/>
        </w:rPr>
        <w:t xml:space="preserve"> quien es la misma persona que formuló la solicitud de Acceso a la Información pública al </w:t>
      </w:r>
      <w:r w:rsidRPr="00E42C25">
        <w:rPr>
          <w:rFonts w:ascii="Palatino Linotype" w:eastAsia="Palatino Linotype" w:hAnsi="Palatino Linotype" w:cs="Palatino Linotype"/>
          <w:b/>
        </w:rPr>
        <w:t xml:space="preserve">SUJETO OBLIGADO, </w:t>
      </w:r>
      <w:r w:rsidRPr="00E42C25">
        <w:rPr>
          <w:rFonts w:ascii="Palatino Linotype" w:eastAsia="Palatino Linotype" w:hAnsi="Palatino Linotype" w:cs="Palatino Linotype"/>
        </w:rPr>
        <w:t xml:space="preserve">pues para ello, es necesario que el particular ingrese al </w:t>
      </w:r>
      <w:r w:rsidRPr="00E42C25">
        <w:rPr>
          <w:rFonts w:ascii="Palatino Linotype" w:eastAsia="Palatino Linotype" w:hAnsi="Palatino Linotype" w:cs="Palatino Linotype"/>
          <w:b/>
        </w:rPr>
        <w:t xml:space="preserve">SAIMEX </w:t>
      </w:r>
      <w:r w:rsidRPr="00E42C25">
        <w:rPr>
          <w:rFonts w:ascii="Palatino Linotype" w:eastAsia="Palatino Linotype" w:hAnsi="Palatino Linotype" w:cs="Palatino Linotype"/>
        </w:rPr>
        <w:t>mediante la utilización de su clave de usuario y contraseña.</w:t>
      </w:r>
    </w:p>
    <w:p w:rsidR="00344577" w:rsidRPr="00E42C25" w:rsidRDefault="00344577">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rsidR="00344577" w:rsidRPr="00E42C25" w:rsidRDefault="00353BA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sz w:val="28"/>
          <w:szCs w:val="28"/>
        </w:rPr>
        <w:t>TERCERO</w:t>
      </w:r>
      <w:r w:rsidRPr="00E42C25">
        <w:rPr>
          <w:rFonts w:ascii="Palatino Linotype" w:eastAsia="Palatino Linotype" w:hAnsi="Palatino Linotype" w:cs="Palatino Linotype"/>
          <w:b/>
        </w:rPr>
        <w:t xml:space="preserve">. Oportunidad. </w:t>
      </w:r>
    </w:p>
    <w:p w:rsidR="00344577" w:rsidRPr="00E42C25" w:rsidRDefault="00353BA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rPr>
        <w:t xml:space="preserve">El Recurso de Revisión se interpuso dentro del plazo de quince días hábiles contados a partir del día siguiente en que </w:t>
      </w:r>
      <w:r w:rsidRPr="00E42C25">
        <w:rPr>
          <w:rFonts w:ascii="Palatino Linotype" w:eastAsia="Palatino Linotype" w:hAnsi="Palatino Linotype" w:cs="Palatino Linotype"/>
          <w:b/>
        </w:rPr>
        <w:t xml:space="preserve">EL RECURRENTE </w:t>
      </w:r>
      <w:r w:rsidRPr="00E42C25">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rsidR="00344577" w:rsidRPr="00E42C25" w:rsidRDefault="00344577">
      <w:pPr>
        <w:ind w:left="851" w:right="902"/>
        <w:jc w:val="both"/>
        <w:rPr>
          <w:rFonts w:ascii="Palatino Linotype" w:eastAsia="Palatino Linotype" w:hAnsi="Palatino Linotype" w:cs="Palatino Linotype"/>
        </w:rPr>
      </w:pP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b/>
          <w:i/>
          <w:sz w:val="22"/>
          <w:szCs w:val="22"/>
        </w:rPr>
        <w:t>“Artículo 178.</w:t>
      </w:r>
      <w:r w:rsidRPr="00E42C25">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344577" w:rsidRPr="00E42C25" w:rsidRDefault="00344577">
      <w:pPr>
        <w:tabs>
          <w:tab w:val="left" w:pos="851"/>
        </w:tabs>
        <w:ind w:left="851" w:right="901"/>
        <w:jc w:val="both"/>
        <w:rPr>
          <w:rFonts w:ascii="Palatino Linotype" w:eastAsia="Palatino Linotype" w:hAnsi="Palatino Linotype" w:cs="Palatino Linotype"/>
          <w:i/>
          <w:sz w:val="22"/>
          <w:szCs w:val="22"/>
        </w:rPr>
      </w:pP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t xml:space="preserve">A falta de respuesta del sujeto obligado, dentro de los plazos establecidos en esta Ley, a una solicitud de Acceso a la Información pública, el recurso podrá ser interpuesto </w:t>
      </w:r>
      <w:r w:rsidRPr="00E42C25">
        <w:rPr>
          <w:rFonts w:ascii="Palatino Linotype" w:eastAsia="Palatino Linotype" w:hAnsi="Palatino Linotype" w:cs="Palatino Linotype"/>
          <w:i/>
          <w:sz w:val="22"/>
          <w:szCs w:val="22"/>
        </w:rPr>
        <w:lastRenderedPageBreak/>
        <w:t>en cualquier momento, acompañado con el documento que pruebe la fecha en que presentó la solicitud.</w:t>
      </w:r>
    </w:p>
    <w:p w:rsidR="00344577" w:rsidRPr="00E42C25" w:rsidRDefault="00344577">
      <w:pPr>
        <w:tabs>
          <w:tab w:val="left" w:pos="851"/>
        </w:tabs>
        <w:ind w:left="851" w:right="901"/>
        <w:jc w:val="both"/>
        <w:rPr>
          <w:rFonts w:ascii="Palatino Linotype" w:eastAsia="Palatino Linotype" w:hAnsi="Palatino Linotype" w:cs="Palatino Linotype"/>
          <w:i/>
          <w:sz w:val="22"/>
          <w:szCs w:val="22"/>
        </w:rPr>
      </w:pPr>
    </w:p>
    <w:p w:rsidR="00344577" w:rsidRPr="00E42C25" w:rsidRDefault="00353BAA">
      <w:pPr>
        <w:tabs>
          <w:tab w:val="left" w:pos="851"/>
        </w:tabs>
        <w:ind w:left="851" w:right="901"/>
        <w:jc w:val="both"/>
        <w:rPr>
          <w:rFonts w:ascii="Palatino Linotype" w:eastAsia="Palatino Linotype" w:hAnsi="Palatino Linotype" w:cs="Palatino Linotype"/>
          <w:i/>
        </w:rPr>
      </w:pPr>
      <w:r w:rsidRPr="00E42C25">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E42C25">
        <w:rPr>
          <w:rFonts w:ascii="Palatino Linotype" w:eastAsia="Palatino Linotype" w:hAnsi="Palatino Linotype" w:cs="Palatino Linotype"/>
          <w:b/>
          <w:i/>
          <w:sz w:val="22"/>
          <w:szCs w:val="22"/>
        </w:rPr>
        <w:t>”</w:t>
      </w:r>
    </w:p>
    <w:p w:rsidR="00344577" w:rsidRPr="00E42C25" w:rsidRDefault="00344577">
      <w:pPr>
        <w:ind w:left="851" w:right="902"/>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En esa tesitura, atendiendo a que </w:t>
      </w:r>
      <w:r w:rsidRPr="00E42C25">
        <w:rPr>
          <w:rFonts w:ascii="Palatino Linotype" w:eastAsia="Palatino Linotype" w:hAnsi="Palatino Linotype" w:cs="Palatino Linotype"/>
          <w:b/>
        </w:rPr>
        <w:t>EL SUJETO OBLIGADO</w:t>
      </w:r>
      <w:r w:rsidRPr="00E42C25">
        <w:rPr>
          <w:rFonts w:ascii="Palatino Linotype" w:eastAsia="Palatino Linotype" w:hAnsi="Palatino Linotype" w:cs="Palatino Linotype"/>
        </w:rPr>
        <w:t xml:space="preserve"> notificó la respuesta a la solicitud de información pública el día </w:t>
      </w:r>
      <w:r w:rsidRPr="00E42C25">
        <w:rPr>
          <w:rFonts w:ascii="Palatino Linotype" w:eastAsia="Palatino Linotype" w:hAnsi="Palatino Linotype" w:cs="Palatino Linotype"/>
          <w:b/>
        </w:rPr>
        <w:t>catorce de septiembre de dos mil veintitrés</w:t>
      </w:r>
      <w:r w:rsidRPr="00E42C25">
        <w:rPr>
          <w:rFonts w:ascii="Palatino Linotype" w:eastAsia="Palatino Linotype" w:hAnsi="Palatino Linotype" w:cs="Palatino Linotype"/>
        </w:rPr>
        <w:t>;</w:t>
      </w:r>
      <w:r w:rsidRPr="00E42C25">
        <w:rPr>
          <w:rFonts w:ascii="Palatino Linotype" w:eastAsia="Palatino Linotype" w:hAnsi="Palatino Linotype" w:cs="Palatino Linotype"/>
          <w:b/>
        </w:rPr>
        <w:t xml:space="preserve"> </w:t>
      </w:r>
      <w:r w:rsidRPr="00E42C25">
        <w:rPr>
          <w:rFonts w:ascii="Palatino Linotype" w:eastAsia="Palatino Linotype" w:hAnsi="Palatino Linotype" w:cs="Palatino Linotype"/>
        </w:rPr>
        <w:t xml:space="preserve">el plazo de quince días hábiles que prevé el artículo 178 de la Ley de la materia el cual otorga al </w:t>
      </w:r>
      <w:r w:rsidRPr="00E42C25">
        <w:rPr>
          <w:rFonts w:ascii="Palatino Linotype" w:eastAsia="Palatino Linotype" w:hAnsi="Palatino Linotype" w:cs="Palatino Linotype"/>
          <w:b/>
        </w:rPr>
        <w:t>RECURRENTE</w:t>
      </w:r>
      <w:r w:rsidRPr="00E42C25">
        <w:rPr>
          <w:rFonts w:ascii="Palatino Linotype" w:eastAsia="Palatino Linotype" w:hAnsi="Palatino Linotype" w:cs="Palatino Linotype"/>
        </w:rPr>
        <w:t xml:space="preserve"> para presentar el Recurso de Revisión, transcurrió del </w:t>
      </w:r>
      <w:r w:rsidRPr="00E42C25">
        <w:rPr>
          <w:rFonts w:ascii="Palatino Linotype" w:eastAsia="Palatino Linotype" w:hAnsi="Palatino Linotype" w:cs="Palatino Linotype"/>
          <w:b/>
        </w:rPr>
        <w:t>quince de septiembre al cinco de octubre de dos mil veintitrés</w:t>
      </w:r>
      <w:r w:rsidRPr="00E42C25">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En ese tenor, si el Recurso de Revisión que nos ocupa, se tuvo por interpuesto el </w:t>
      </w:r>
      <w:r w:rsidRPr="00E42C25">
        <w:rPr>
          <w:rFonts w:ascii="Palatino Linotype" w:eastAsia="Palatino Linotype" w:hAnsi="Palatino Linotype" w:cs="Palatino Linotype"/>
          <w:b/>
        </w:rPr>
        <w:t>catorce de septiembre de dos mil veintitrés</w:t>
      </w:r>
      <w:r w:rsidRPr="00E42C25">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w:t>
      </w:r>
      <w:r w:rsidRPr="00E42C25">
        <w:rPr>
          <w:rFonts w:ascii="Palatino Linotype" w:eastAsia="Palatino Linotype" w:hAnsi="Palatino Linotype" w:cs="Palatino Linotype"/>
        </w:rPr>
        <w:lastRenderedPageBreak/>
        <w:t xml:space="preserve">los quince días hábiles siguientes al en que </w:t>
      </w:r>
      <w:r w:rsidRPr="00E42C25">
        <w:rPr>
          <w:rFonts w:ascii="Palatino Linotype" w:eastAsia="Palatino Linotype" w:hAnsi="Palatino Linotype" w:cs="Palatino Linotype"/>
          <w:b/>
        </w:rPr>
        <w:t>EL RECURRENTE</w:t>
      </w:r>
      <w:r w:rsidRPr="00E42C25">
        <w:rPr>
          <w:rFonts w:ascii="Palatino Linotype" w:eastAsia="Palatino Linotype" w:hAnsi="Palatino Linotype" w:cs="Palatino Linotype"/>
        </w:rPr>
        <w:t xml:space="preserve"> tenga conocimiento de la respuesta impugnada; sin embargo, no prohíbe que el Recurso de Revisión, se presente el mismo día en que aquélla fue notificada.</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En sustento a lo anterior, es aplicable por analogía la Jurisprudencia número 1a</w:t>
      </w:r>
      <w:proofErr w:type="gramStart"/>
      <w:r w:rsidRPr="00E42C25">
        <w:rPr>
          <w:rFonts w:ascii="Palatino Linotype" w:eastAsia="Palatino Linotype" w:hAnsi="Palatino Linotype" w:cs="Palatino Linotype"/>
        </w:rPr>
        <w:t>./</w:t>
      </w:r>
      <w:proofErr w:type="gramEnd"/>
      <w:r w:rsidRPr="00E42C25">
        <w:rPr>
          <w:rFonts w:ascii="Palatino Linotype" w:eastAsia="Palatino Linotype" w:hAnsi="Palatino Linotype" w:cs="Palatino Linotype"/>
        </w:rPr>
        <w:t>J. 41/2015 (10a.), Décima época, sustentada por la Primera Sala de la Suprema Corte de Justicia de la Nación, visible en la página 569, libro 19, tomo I, de la Gaceta del Semanario Judicial de la Federación, del mes de junio de 2015, cuyo rubro y texto esgrimen:</w:t>
      </w:r>
    </w:p>
    <w:p w:rsidR="00344577" w:rsidRPr="00E42C25" w:rsidRDefault="00344577">
      <w:pPr>
        <w:tabs>
          <w:tab w:val="left" w:pos="851"/>
        </w:tabs>
        <w:ind w:left="851" w:right="901"/>
        <w:jc w:val="both"/>
        <w:rPr>
          <w:rFonts w:ascii="Palatino Linotype" w:eastAsia="Palatino Linotype" w:hAnsi="Palatino Linotype" w:cs="Palatino Linotype"/>
        </w:rPr>
      </w:pP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b/>
          <w:i/>
          <w:sz w:val="22"/>
          <w:szCs w:val="22"/>
        </w:rPr>
        <w:t xml:space="preserve">“RECURSO DE RECLAMACIÓN. SU INTERPOSICIÓN NO ES EXTEMPORÁNEA SI SE REALIZA ANTES DE QUE INICIE EL PLAZO PARA HACERLO. </w:t>
      </w:r>
      <w:r w:rsidRPr="00E42C25">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344577" w:rsidRPr="00E42C25" w:rsidRDefault="00344577">
      <w:pPr>
        <w:tabs>
          <w:tab w:val="left" w:pos="851"/>
        </w:tabs>
        <w:ind w:left="851" w:right="901"/>
        <w:jc w:val="both"/>
        <w:rPr>
          <w:rFonts w:ascii="Palatino Linotype" w:eastAsia="Palatino Linotype" w:hAnsi="Palatino Linotype" w:cs="Palatino Linotype"/>
        </w:rPr>
      </w:pPr>
    </w:p>
    <w:p w:rsidR="00344577" w:rsidRPr="00E42C25" w:rsidRDefault="00353BAA">
      <w:pPr>
        <w:spacing w:line="360" w:lineRule="auto"/>
        <w:ind w:right="49"/>
        <w:jc w:val="both"/>
        <w:rPr>
          <w:rFonts w:ascii="Palatino Linotype" w:eastAsia="Palatino Linotype" w:hAnsi="Palatino Linotype" w:cs="Palatino Linotype"/>
        </w:rPr>
      </w:pPr>
      <w:r w:rsidRPr="00E42C25">
        <w:rPr>
          <w:rFonts w:ascii="Palatino Linotype" w:eastAsia="Palatino Linotype" w:hAnsi="Palatino Linotype" w:cs="Palatino Linotype"/>
        </w:rPr>
        <w:t>Por lo tanto, en aras de privilegiar el derecho de acceso a la información se entra al estudio del presente Recurso de Revisión, sin que la fecha en que se presentó afecte la Resolución.</w:t>
      </w:r>
    </w:p>
    <w:p w:rsidR="00344577" w:rsidRDefault="00344577">
      <w:pPr>
        <w:spacing w:line="360" w:lineRule="auto"/>
        <w:jc w:val="both"/>
        <w:rPr>
          <w:rFonts w:ascii="Palatino Linotype" w:eastAsia="Palatino Linotype" w:hAnsi="Palatino Linotype" w:cs="Palatino Linotype"/>
        </w:rPr>
      </w:pPr>
    </w:p>
    <w:p w:rsidR="00E42C25" w:rsidRPr="00E42C25" w:rsidRDefault="00E42C25">
      <w:pPr>
        <w:spacing w:line="360" w:lineRule="auto"/>
        <w:jc w:val="both"/>
        <w:rPr>
          <w:rFonts w:ascii="Palatino Linotype" w:eastAsia="Palatino Linotype" w:hAnsi="Palatino Linotype" w:cs="Palatino Linotype"/>
        </w:rPr>
      </w:pPr>
    </w:p>
    <w:p w:rsidR="00344577" w:rsidRPr="00E42C25" w:rsidRDefault="00353BAA">
      <w:pPr>
        <w:spacing w:line="360" w:lineRule="auto"/>
        <w:ind w:right="49"/>
        <w:jc w:val="both"/>
        <w:rPr>
          <w:rFonts w:ascii="Palatino Linotype" w:eastAsia="Palatino Linotype" w:hAnsi="Palatino Linotype" w:cs="Palatino Linotype"/>
          <w:b/>
        </w:rPr>
      </w:pPr>
      <w:r w:rsidRPr="00E42C25">
        <w:rPr>
          <w:rFonts w:ascii="Palatino Linotype" w:eastAsia="Palatino Linotype" w:hAnsi="Palatino Linotype" w:cs="Palatino Linotype"/>
          <w:b/>
          <w:sz w:val="28"/>
          <w:szCs w:val="28"/>
        </w:rPr>
        <w:lastRenderedPageBreak/>
        <w:t>CUARTO.</w:t>
      </w:r>
      <w:r w:rsidRPr="00E42C25">
        <w:rPr>
          <w:rFonts w:ascii="Palatino Linotype" w:eastAsia="Palatino Linotype" w:hAnsi="Palatino Linotype" w:cs="Palatino Linotype"/>
          <w:b/>
        </w:rPr>
        <w:t xml:space="preserve"> Procedibilidad. </w:t>
      </w:r>
    </w:p>
    <w:p w:rsidR="00344577" w:rsidRPr="00E42C25" w:rsidRDefault="00353BAA">
      <w:pPr>
        <w:spacing w:line="360" w:lineRule="auto"/>
        <w:ind w:right="49"/>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rsidR="00344577" w:rsidRPr="00E42C25" w:rsidRDefault="00344577">
      <w:pPr>
        <w:ind w:right="49"/>
        <w:jc w:val="both"/>
        <w:rPr>
          <w:rFonts w:ascii="Palatino Linotype" w:eastAsia="Palatino Linotype" w:hAnsi="Palatino Linotype" w:cs="Palatino Linotype"/>
        </w:rPr>
      </w:pPr>
    </w:p>
    <w:p w:rsidR="00344577" w:rsidRPr="00E42C25" w:rsidRDefault="00353BAA">
      <w:pPr>
        <w:tabs>
          <w:tab w:val="left" w:pos="851"/>
        </w:tabs>
        <w:ind w:left="851" w:right="901"/>
        <w:jc w:val="both"/>
        <w:rPr>
          <w:rFonts w:ascii="Palatino Linotype" w:eastAsia="Palatino Linotype" w:hAnsi="Palatino Linotype" w:cs="Palatino Linotype"/>
          <w:b/>
          <w:i/>
          <w:sz w:val="22"/>
          <w:szCs w:val="22"/>
        </w:rPr>
      </w:pPr>
      <w:r w:rsidRPr="00E42C25">
        <w:rPr>
          <w:rFonts w:ascii="Palatino Linotype" w:eastAsia="Palatino Linotype" w:hAnsi="Palatino Linotype" w:cs="Palatino Linotype"/>
          <w:b/>
          <w:i/>
          <w:sz w:val="22"/>
          <w:szCs w:val="22"/>
        </w:rPr>
        <w:t xml:space="preserve">“Artículo 180. </w:t>
      </w:r>
      <w:r w:rsidRPr="00E42C25">
        <w:rPr>
          <w:rFonts w:ascii="Palatino Linotype" w:eastAsia="Palatino Linotype" w:hAnsi="Palatino Linotype" w:cs="Palatino Linotype"/>
          <w:i/>
          <w:sz w:val="22"/>
          <w:szCs w:val="22"/>
        </w:rPr>
        <w:t>El recurso de revisión contendrá:</w:t>
      </w:r>
      <w:r w:rsidRPr="00E42C25">
        <w:rPr>
          <w:rFonts w:ascii="Palatino Linotype" w:eastAsia="Palatino Linotype" w:hAnsi="Palatino Linotype" w:cs="Palatino Linotype"/>
          <w:b/>
          <w:i/>
          <w:sz w:val="22"/>
          <w:szCs w:val="22"/>
        </w:rPr>
        <w:t xml:space="preserve"> </w:t>
      </w:r>
    </w:p>
    <w:p w:rsidR="00344577" w:rsidRPr="00E42C25" w:rsidRDefault="00353BAA">
      <w:pPr>
        <w:tabs>
          <w:tab w:val="left" w:pos="851"/>
        </w:tabs>
        <w:ind w:left="851" w:right="901"/>
        <w:jc w:val="both"/>
        <w:rPr>
          <w:rFonts w:ascii="Palatino Linotype" w:eastAsia="Palatino Linotype" w:hAnsi="Palatino Linotype" w:cs="Palatino Linotype"/>
          <w:b/>
          <w:i/>
          <w:sz w:val="22"/>
          <w:szCs w:val="22"/>
        </w:rPr>
      </w:pPr>
      <w:r w:rsidRPr="00E42C25">
        <w:rPr>
          <w:rFonts w:ascii="Palatino Linotype" w:eastAsia="Palatino Linotype" w:hAnsi="Palatino Linotype" w:cs="Palatino Linotype"/>
          <w:b/>
          <w:i/>
          <w:sz w:val="22"/>
          <w:szCs w:val="22"/>
        </w:rPr>
        <w:t>…</w:t>
      </w: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b/>
          <w:i/>
          <w:sz w:val="22"/>
          <w:szCs w:val="22"/>
        </w:rPr>
        <w:t xml:space="preserve">II. El nombre del solicitante que recurre </w:t>
      </w:r>
      <w:r w:rsidRPr="00E42C25">
        <w:rPr>
          <w:rFonts w:ascii="Palatino Linotype" w:eastAsia="Palatino Linotype" w:hAnsi="Palatino Linotype" w:cs="Palatino Linotype"/>
          <w:i/>
          <w:sz w:val="22"/>
          <w:szCs w:val="22"/>
        </w:rPr>
        <w:t>o de su representante y, en su caso</w:t>
      </w:r>
      <w:proofErr w:type="gramStart"/>
      <w:r w:rsidRPr="00E42C25">
        <w:rPr>
          <w:rFonts w:ascii="Palatino Linotype" w:eastAsia="Palatino Linotype" w:hAnsi="Palatino Linotype" w:cs="Palatino Linotype"/>
          <w:i/>
          <w:sz w:val="22"/>
          <w:szCs w:val="22"/>
        </w:rPr>
        <w:t>, …</w:t>
      </w:r>
      <w:proofErr w:type="gramEnd"/>
    </w:p>
    <w:p w:rsidR="00344577" w:rsidRPr="00E42C25" w:rsidRDefault="00353BAA">
      <w:pPr>
        <w:tabs>
          <w:tab w:val="left" w:pos="851"/>
        </w:tabs>
        <w:ind w:left="851" w:right="901"/>
        <w:jc w:val="both"/>
        <w:rPr>
          <w:rFonts w:ascii="Palatino Linotype" w:eastAsia="Palatino Linotype" w:hAnsi="Palatino Linotype" w:cs="Palatino Linotype"/>
          <w:b/>
          <w:i/>
          <w:sz w:val="22"/>
          <w:szCs w:val="22"/>
        </w:rPr>
      </w:pPr>
      <w:r w:rsidRPr="00E42C25">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E42C25">
        <w:rPr>
          <w:rFonts w:ascii="Palatino Linotype" w:eastAsia="Palatino Linotype" w:hAnsi="Palatino Linotype" w:cs="Palatino Linotype"/>
          <w:i/>
          <w:sz w:val="22"/>
          <w:szCs w:val="22"/>
        </w:rPr>
        <w:t>, IV, VII y VIII.</w:t>
      </w:r>
      <w:r w:rsidRPr="00E42C25">
        <w:rPr>
          <w:rFonts w:ascii="Palatino Linotype" w:eastAsia="Palatino Linotype" w:hAnsi="Palatino Linotype" w:cs="Palatino Linotype"/>
          <w:b/>
          <w:i/>
          <w:sz w:val="22"/>
          <w:szCs w:val="22"/>
        </w:rPr>
        <w:t>”</w:t>
      </w: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t>(Énfasis añadido)</w:t>
      </w:r>
    </w:p>
    <w:p w:rsidR="00344577" w:rsidRPr="00E42C25" w:rsidRDefault="00344577">
      <w:pPr>
        <w:tabs>
          <w:tab w:val="left" w:pos="851"/>
        </w:tabs>
        <w:ind w:right="901"/>
        <w:jc w:val="both"/>
        <w:rPr>
          <w:rFonts w:ascii="Palatino Linotype" w:eastAsia="Palatino Linotype" w:hAnsi="Palatino Linotype" w:cs="Palatino Linotype"/>
          <w:i/>
          <w:sz w:val="22"/>
          <w:szCs w:val="22"/>
        </w:rPr>
      </w:pPr>
    </w:p>
    <w:p w:rsidR="00344577" w:rsidRPr="00E42C25" w:rsidRDefault="00353BAA">
      <w:pP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E42C25">
        <w:rPr>
          <w:rFonts w:ascii="Palatino Linotype" w:eastAsia="Palatino Linotype" w:hAnsi="Palatino Linotype" w:cs="Palatino Linotype"/>
          <w:b/>
        </w:rPr>
        <w:t xml:space="preserve"> RECURRENTE;</w:t>
      </w:r>
      <w:r w:rsidRPr="00E42C25">
        <w:rPr>
          <w:rFonts w:ascii="Palatino Linotype" w:eastAsia="Palatino Linotype" w:hAnsi="Palatino Linotype" w:cs="Palatino Linotype"/>
        </w:rPr>
        <w:t xml:space="preserve"> por lo que, en el presente caso, al haber sido presentado el Recurso de Revisión vía </w:t>
      </w:r>
      <w:r w:rsidRPr="00E42C25">
        <w:rPr>
          <w:rFonts w:ascii="Palatino Linotype" w:eastAsia="Palatino Linotype" w:hAnsi="Palatino Linotype" w:cs="Palatino Linotype"/>
          <w:b/>
        </w:rPr>
        <w:t>SAIMEX</w:t>
      </w:r>
      <w:r w:rsidRPr="00E42C25">
        <w:rPr>
          <w:rFonts w:ascii="Palatino Linotype" w:eastAsia="Palatino Linotype" w:hAnsi="Palatino Linotype" w:cs="Palatino Linotype"/>
        </w:rPr>
        <w:t>, dicho requisito resulta innecesario.</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E42C25">
        <w:rPr>
          <w:rFonts w:ascii="Palatino Linotype" w:eastAsia="Palatino Linotype" w:hAnsi="Palatino Linotype" w:cs="Palatino Linotype"/>
          <w:b/>
          <w:u w:val="single"/>
        </w:rPr>
        <w:t xml:space="preserve">el </w:t>
      </w:r>
      <w:r w:rsidRPr="00E42C25">
        <w:rPr>
          <w:rFonts w:ascii="Palatino Linotype" w:eastAsia="Palatino Linotype" w:hAnsi="Palatino Linotype" w:cs="Palatino Linotype"/>
          <w:b/>
          <w:u w:val="single"/>
        </w:rPr>
        <w:lastRenderedPageBreak/>
        <w:t xml:space="preserve">nombre no es un requisito </w:t>
      </w:r>
      <w:r w:rsidRPr="00E42C25">
        <w:rPr>
          <w:rFonts w:ascii="Palatino Linotype" w:eastAsia="Palatino Linotype" w:hAnsi="Palatino Linotype" w:cs="Palatino Linotype"/>
          <w:b/>
          <w:i/>
          <w:u w:val="single"/>
        </w:rPr>
        <w:t>sine qua non</w:t>
      </w:r>
      <w:r w:rsidRPr="00E42C25">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sz w:val="22"/>
          <w:szCs w:val="22"/>
        </w:rPr>
      </w:pPr>
      <w:r w:rsidRPr="00E42C25">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rsidR="00344577" w:rsidRPr="00E42C25" w:rsidRDefault="00344577">
      <w:pPr>
        <w:tabs>
          <w:tab w:val="left" w:pos="851"/>
        </w:tabs>
        <w:spacing w:line="360" w:lineRule="auto"/>
        <w:ind w:left="851" w:right="901"/>
        <w:jc w:val="both"/>
        <w:rPr>
          <w:rFonts w:ascii="Palatino Linotype" w:eastAsia="Palatino Linotype" w:hAnsi="Palatino Linotype" w:cs="Palatino Linotype"/>
          <w:sz w:val="22"/>
          <w:szCs w:val="22"/>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Asimismo, se estima que el requisito relativo al nombre del </w:t>
      </w:r>
      <w:r w:rsidRPr="00E42C25">
        <w:rPr>
          <w:rFonts w:ascii="Palatino Linotype" w:eastAsia="Palatino Linotype" w:hAnsi="Palatino Linotype" w:cs="Palatino Linotype"/>
          <w:b/>
        </w:rPr>
        <w:t>RECURRENTE</w:t>
      </w:r>
      <w:r w:rsidRPr="00E42C25">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w:t>
      </w:r>
      <w:r w:rsidRPr="00E42C25">
        <w:rPr>
          <w:rFonts w:ascii="Palatino Linotype" w:eastAsia="Palatino Linotype" w:hAnsi="Palatino Linotype" w:cs="Palatino Linotype"/>
        </w:rPr>
        <w:lastRenderedPageBreak/>
        <w:t xml:space="preserve">de las que se desprende que </w:t>
      </w:r>
      <w:r w:rsidRPr="00E42C25">
        <w:rPr>
          <w:rFonts w:ascii="Palatino Linotype" w:eastAsia="Palatino Linotype" w:hAnsi="Palatino Linotype" w:cs="Palatino Linotype"/>
          <w:b/>
        </w:rPr>
        <w:t>EL RECURRENTE</w:t>
      </w:r>
      <w:r w:rsidRPr="00E42C25">
        <w:rPr>
          <w:rFonts w:ascii="Palatino Linotype" w:eastAsia="Palatino Linotype" w:hAnsi="Palatino Linotype" w:cs="Palatino Linotype"/>
        </w:rPr>
        <w:t xml:space="preserve"> es la misma persona que realizó la solicitud de acceso a la información pública que ahora se impugna.</w:t>
      </w:r>
    </w:p>
    <w:p w:rsidR="00344577" w:rsidRPr="00E42C25" w:rsidRDefault="00344577">
      <w:pPr>
        <w:tabs>
          <w:tab w:val="left" w:pos="851"/>
        </w:tabs>
        <w:spacing w:line="360" w:lineRule="auto"/>
        <w:ind w:left="851" w:right="901"/>
        <w:jc w:val="both"/>
        <w:rPr>
          <w:rFonts w:ascii="Palatino Linotype" w:eastAsia="Palatino Linotype" w:hAnsi="Palatino Linotype" w:cs="Palatino Linotype"/>
          <w:sz w:val="22"/>
          <w:szCs w:val="22"/>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rsidR="00344577" w:rsidRPr="00E42C25" w:rsidRDefault="00344577">
      <w:pPr>
        <w:spacing w:line="360" w:lineRule="auto"/>
        <w:jc w:val="both"/>
        <w:rPr>
          <w:rFonts w:ascii="Palatino Linotype" w:eastAsia="Palatino Linotype" w:hAnsi="Palatino Linotype" w:cs="Palatino Linotype"/>
          <w:b/>
          <w:sz w:val="28"/>
          <w:szCs w:val="28"/>
        </w:rPr>
      </w:pPr>
    </w:p>
    <w:p w:rsidR="00344577" w:rsidRPr="00E42C25" w:rsidRDefault="00353BA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sz w:val="28"/>
          <w:szCs w:val="28"/>
        </w:rPr>
        <w:t>QUINTO</w:t>
      </w:r>
      <w:r w:rsidRPr="00E42C25">
        <w:rPr>
          <w:rFonts w:ascii="Palatino Linotype" w:eastAsia="Palatino Linotype" w:hAnsi="Palatino Linotype" w:cs="Palatino Linotype"/>
          <w:b/>
        </w:rPr>
        <w:t xml:space="preserve">. Estudio y Resolución del Recurso. </w:t>
      </w: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lastRenderedPageBreak/>
        <w:t xml:space="preserve">En primer lugar, es importante señalar que </w:t>
      </w:r>
      <w:r w:rsidRPr="00E42C25">
        <w:rPr>
          <w:rFonts w:ascii="Palatino Linotype" w:eastAsia="Palatino Linotype" w:hAnsi="Palatino Linotype" w:cs="Palatino Linotype"/>
          <w:b/>
        </w:rPr>
        <w:t>EL RECURRENTE</w:t>
      </w:r>
      <w:r w:rsidRPr="00E42C25">
        <w:rPr>
          <w:rFonts w:ascii="Palatino Linotype" w:eastAsia="Palatino Linotype" w:hAnsi="Palatino Linotype" w:cs="Palatino Linotype"/>
        </w:rPr>
        <w:t xml:space="preserve"> en el ejercicio de su derecho de Acceso a la Información solicitó la afiliación al partido morena de la Titular de Transparencia.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b/>
          <w:i/>
        </w:rPr>
      </w:pPr>
      <w:r w:rsidRPr="00E42C25">
        <w:rPr>
          <w:rFonts w:ascii="Palatino Linotype" w:eastAsia="Palatino Linotype" w:hAnsi="Palatino Linotype" w:cs="Palatino Linotype"/>
        </w:rPr>
        <w:t xml:space="preserve">Al respecto </w:t>
      </w:r>
      <w:r w:rsidRPr="00E42C25">
        <w:rPr>
          <w:rFonts w:ascii="Palatino Linotype" w:eastAsia="Palatino Linotype" w:hAnsi="Palatino Linotype" w:cs="Palatino Linotype"/>
          <w:b/>
        </w:rPr>
        <w:t>EL SUJETO OBLIGADO</w:t>
      </w:r>
      <w:r w:rsidRPr="00E42C25">
        <w:rPr>
          <w:rFonts w:ascii="Palatino Linotype" w:eastAsia="Palatino Linotype" w:hAnsi="Palatino Linotype" w:cs="Palatino Linotype"/>
        </w:rPr>
        <w:t xml:space="preserve"> informó que no contaba con la información solicitada, ello de conformidad con las atribuciones y facultades establecidas en el Reglamento Interior del Organismo Público Descentralizado para la Prestación de los Servicios de Agua Potable, Alcantarillado y Saneamiento del Municipio de Cuautitlán Izcalli, OPERAGUA Izcalli.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Ante tal respuesta, el particular interpuso el Recurso de Revisión materia del presente asunto, adoleciéndose medularmente porque no se le informó quién podía tener la información.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Asimismo, es importante señalar que </w:t>
      </w:r>
      <w:r w:rsidRPr="00E42C25">
        <w:rPr>
          <w:rFonts w:ascii="Palatino Linotype" w:eastAsia="Palatino Linotype" w:hAnsi="Palatino Linotype" w:cs="Palatino Linotype"/>
          <w:b/>
        </w:rPr>
        <w:t>EL RECURRENTE</w:t>
      </w:r>
      <w:r w:rsidRPr="00E42C25">
        <w:rPr>
          <w:rFonts w:ascii="Palatino Linotype" w:eastAsia="Palatino Linotype" w:hAnsi="Palatino Linotype" w:cs="Palatino Linotype"/>
        </w:rPr>
        <w:t xml:space="preserve"> no realizó manifestaciones, alegatos o pruebas y por su parte </w:t>
      </w:r>
      <w:r w:rsidRPr="00E42C25">
        <w:rPr>
          <w:rFonts w:ascii="Palatino Linotype" w:eastAsia="Palatino Linotype" w:hAnsi="Palatino Linotype" w:cs="Palatino Linotype"/>
          <w:b/>
        </w:rPr>
        <w:t xml:space="preserve">EL SUJETO OBLIGADO </w:t>
      </w:r>
      <w:r w:rsidRPr="00E42C25">
        <w:rPr>
          <w:rFonts w:ascii="Palatino Linotype" w:eastAsia="Palatino Linotype" w:hAnsi="Palatino Linotype" w:cs="Palatino Linotype"/>
        </w:rPr>
        <w:t>mediante Informe Justificado medularmente orientó al particular a dirigir su solicitud ante el partido político.</w:t>
      </w:r>
    </w:p>
    <w:p w:rsidR="00344577" w:rsidRPr="00E42C25" w:rsidRDefault="0034457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Derivado de lo anterior, es necesario precisar que </w:t>
      </w:r>
      <w:r w:rsidRPr="00E42C25">
        <w:rPr>
          <w:rFonts w:ascii="Palatino Linotype" w:eastAsia="Palatino Linotype" w:hAnsi="Palatino Linotype" w:cs="Palatino Linotype"/>
          <w:b/>
        </w:rPr>
        <w:t xml:space="preserve">EL SUJETO OBLIGADO </w:t>
      </w:r>
      <w:r w:rsidRPr="00E42C25">
        <w:rPr>
          <w:rFonts w:ascii="Palatino Linotype" w:eastAsia="Palatino Linotype" w:hAnsi="Palatino Linotype" w:cs="Palatino Linotype"/>
        </w:rPr>
        <w:t xml:space="preserve">es un Organismo Público Descentralizado, cuenta con personalidad jurídica y patrimonio propio; así como autonomía técnica y administrativa para el cumplimiento de su </w:t>
      </w:r>
      <w:r w:rsidRPr="00E42C25">
        <w:rPr>
          <w:rFonts w:ascii="Palatino Linotype" w:eastAsia="Palatino Linotype" w:hAnsi="Palatino Linotype" w:cs="Palatino Linotype"/>
        </w:rPr>
        <w:lastRenderedPageBreak/>
        <w:t xml:space="preserve">cometido, el cual fue creado para la prestación de los Servicios de Agua Potable, Alcantarillado y Saneamiento del Municipio de Cuautitlán Izcalli.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Por otro lado, es importante precisar que lo solicitado por el particular corresponde a una de las obligaciones específicas que los Partidos Políticos tienen el deber de poner a disposición del público de manera permanente y actualizada de forma sencilla, precisa y entendible, en los respectivos medios electrónicos, la información relativa al padrón de afiliados o militantes, conforme a lo establecido en el artículo 100 de la de la Ley de Transparencia y Acceso a la Información Pública del Estado de México y Municipios, en su fracción I, que refiere: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t>“</w:t>
      </w:r>
      <w:r w:rsidRPr="00E42C25">
        <w:rPr>
          <w:rFonts w:ascii="Palatino Linotype" w:eastAsia="Palatino Linotype" w:hAnsi="Palatino Linotype" w:cs="Palatino Linotype"/>
          <w:b/>
          <w:i/>
          <w:sz w:val="22"/>
          <w:szCs w:val="22"/>
        </w:rPr>
        <w:t>Artículo 100.</w:t>
      </w:r>
      <w:r w:rsidRPr="00E42C25">
        <w:rPr>
          <w:rFonts w:ascii="Palatino Linotype" w:eastAsia="Palatino Linotype" w:hAnsi="Palatino Linotype" w:cs="Palatino Linotype"/>
          <w:i/>
          <w:sz w:val="22"/>
          <w:szCs w:val="22"/>
        </w:rPr>
        <w:t xml:space="preserve"> Los </w:t>
      </w:r>
      <w:r w:rsidRPr="00E42C25">
        <w:rPr>
          <w:rFonts w:ascii="Palatino Linotype" w:eastAsia="Palatino Linotype" w:hAnsi="Palatino Linotype" w:cs="Palatino Linotype"/>
          <w:b/>
          <w:i/>
          <w:sz w:val="22"/>
          <w:szCs w:val="22"/>
        </w:rPr>
        <w:t>partidos políticos nacionales acreditados para participar en elecciones locales y los partidos locales</w:t>
      </w:r>
      <w:r w:rsidRPr="00E42C25">
        <w:rPr>
          <w:rFonts w:ascii="Palatino Linotype" w:eastAsia="Palatino Linotype" w:hAnsi="Palatino Linotype" w:cs="Palatino Linotype"/>
          <w:i/>
          <w:sz w:val="22"/>
          <w:szCs w:val="22"/>
        </w:rPr>
        <w:t xml:space="preserve">, en cuanto hace a sus órganos directivos estatales y municipales, las agrupaciones políticas y las personas jurídicas colectivas constituidas en asociación civil creadas por los ciudadanos que pretendan postular su candidatura independiente, según corresponda, deberán poner a disposición del público y actualizar la siguiente información: </w:t>
      </w:r>
    </w:p>
    <w:p w:rsidR="00344577" w:rsidRPr="00E42C25" w:rsidRDefault="00344577">
      <w:pPr>
        <w:tabs>
          <w:tab w:val="left" w:pos="851"/>
        </w:tabs>
        <w:ind w:left="851" w:right="901"/>
        <w:jc w:val="both"/>
        <w:rPr>
          <w:rFonts w:ascii="Palatino Linotype" w:eastAsia="Palatino Linotype" w:hAnsi="Palatino Linotype" w:cs="Palatino Linotype"/>
          <w:i/>
          <w:sz w:val="22"/>
          <w:szCs w:val="22"/>
        </w:rPr>
      </w:pP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b/>
          <w:i/>
          <w:sz w:val="22"/>
          <w:szCs w:val="22"/>
        </w:rPr>
        <w:t>I.</w:t>
      </w:r>
      <w:r w:rsidRPr="00E42C25">
        <w:rPr>
          <w:rFonts w:ascii="Palatino Linotype" w:eastAsia="Palatino Linotype" w:hAnsi="Palatino Linotype" w:cs="Palatino Linotype"/>
          <w:i/>
          <w:sz w:val="22"/>
          <w:szCs w:val="22"/>
        </w:rPr>
        <w:t xml:space="preserve"> </w:t>
      </w:r>
      <w:r w:rsidRPr="00E42C25">
        <w:rPr>
          <w:rFonts w:ascii="Palatino Linotype" w:eastAsia="Palatino Linotype" w:hAnsi="Palatino Linotype" w:cs="Palatino Linotype"/>
          <w:b/>
          <w:i/>
          <w:sz w:val="22"/>
          <w:szCs w:val="22"/>
        </w:rPr>
        <w:t>El padrón de afiliados o militantes</w:t>
      </w:r>
      <w:r w:rsidRPr="00E42C25">
        <w:rPr>
          <w:rFonts w:ascii="Palatino Linotype" w:eastAsia="Palatino Linotype" w:hAnsi="Palatino Linotype" w:cs="Palatino Linotype"/>
          <w:i/>
          <w:sz w:val="22"/>
          <w:szCs w:val="22"/>
        </w:rPr>
        <w:t xml:space="preserve"> de los partidos políticos estatales, que contendrá exclusivamente: apellidos, nombre o nombres, fechas de afiliación y entidad de residencia;”</w:t>
      </w:r>
    </w:p>
    <w:p w:rsidR="00344577" w:rsidRPr="00E42C25" w:rsidRDefault="00344577">
      <w:pPr>
        <w:tabs>
          <w:tab w:val="left" w:pos="851"/>
        </w:tabs>
        <w:ind w:left="851" w:right="901"/>
        <w:jc w:val="both"/>
        <w:rPr>
          <w:rFonts w:ascii="Palatino Linotype" w:eastAsia="Palatino Linotype" w:hAnsi="Palatino Linotype" w:cs="Palatino Linotype"/>
          <w:i/>
          <w:sz w:val="22"/>
          <w:szCs w:val="22"/>
        </w:rPr>
      </w:pPr>
    </w:p>
    <w:p w:rsidR="00344577" w:rsidRPr="00E42C25" w:rsidRDefault="00344577">
      <w:pPr>
        <w:tabs>
          <w:tab w:val="left" w:pos="851"/>
        </w:tabs>
        <w:ind w:left="851" w:right="901"/>
        <w:jc w:val="both"/>
        <w:rPr>
          <w:rFonts w:ascii="Palatino Linotype" w:eastAsia="Palatino Linotype" w:hAnsi="Palatino Linotype" w:cs="Palatino Linotype"/>
          <w:i/>
          <w:sz w:val="22"/>
          <w:szCs w:val="22"/>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Aunado a lo anterior, es necesario traer a contexto el Estatuto de Morena el cual se encuentra disponible en su página de IPOMEX</w:t>
      </w:r>
      <w:r w:rsidRPr="00E42C25">
        <w:rPr>
          <w:rFonts w:ascii="Palatino Linotype" w:eastAsia="Palatino Linotype" w:hAnsi="Palatino Linotype" w:cs="Palatino Linotype"/>
          <w:vertAlign w:val="superscript"/>
        </w:rPr>
        <w:footnoteReference w:id="2"/>
      </w:r>
      <w:r w:rsidRPr="00E42C25">
        <w:rPr>
          <w:rFonts w:ascii="Palatino Linotype" w:eastAsia="Palatino Linotype" w:hAnsi="Palatino Linotype" w:cs="Palatino Linotype"/>
        </w:rPr>
        <w:t xml:space="preserve">, el cual dispone lo siguiente:  </w:t>
      </w: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lastRenderedPageBreak/>
        <w:t>“</w:t>
      </w:r>
      <w:r w:rsidRPr="00E42C25">
        <w:rPr>
          <w:rFonts w:ascii="Palatino Linotype" w:eastAsia="Palatino Linotype" w:hAnsi="Palatino Linotype" w:cs="Palatino Linotype"/>
          <w:b/>
          <w:i/>
          <w:sz w:val="22"/>
          <w:szCs w:val="22"/>
        </w:rPr>
        <w:t>Artículo 3°.</w:t>
      </w:r>
      <w:r w:rsidRPr="00E42C25">
        <w:rPr>
          <w:rFonts w:ascii="Palatino Linotype" w:eastAsia="Palatino Linotype" w:hAnsi="Palatino Linotype" w:cs="Palatino Linotype"/>
          <w:i/>
          <w:sz w:val="22"/>
          <w:szCs w:val="22"/>
        </w:rPr>
        <w:t xml:space="preserve"> Nuestro partido morena se construirá a partir de los siguientes fundamentos</w:t>
      </w: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t>…</w:t>
      </w:r>
    </w:p>
    <w:p w:rsidR="00344577" w:rsidRPr="00E42C25" w:rsidRDefault="00353BAA">
      <w:pPr>
        <w:tabs>
          <w:tab w:val="left" w:pos="851"/>
        </w:tabs>
        <w:ind w:left="851" w:right="901"/>
        <w:jc w:val="both"/>
        <w:rPr>
          <w:rFonts w:ascii="Palatino Linotype" w:eastAsia="Palatino Linotype" w:hAnsi="Palatino Linotype" w:cs="Palatino Linotype"/>
          <w:b/>
          <w:i/>
          <w:sz w:val="22"/>
          <w:szCs w:val="22"/>
        </w:rPr>
      </w:pPr>
      <w:r w:rsidRPr="00E42C25">
        <w:rPr>
          <w:rFonts w:ascii="Palatino Linotype" w:eastAsia="Palatino Linotype" w:hAnsi="Palatino Linotype" w:cs="Palatino Linotype"/>
          <w:i/>
          <w:sz w:val="22"/>
          <w:szCs w:val="22"/>
        </w:rPr>
        <w:t xml:space="preserve">k. </w:t>
      </w:r>
      <w:r w:rsidRPr="00E42C25">
        <w:rPr>
          <w:rFonts w:ascii="Palatino Linotype" w:eastAsia="Palatino Linotype" w:hAnsi="Palatino Linotype" w:cs="Palatino Linotype"/>
          <w:b/>
          <w:i/>
          <w:sz w:val="22"/>
          <w:szCs w:val="22"/>
        </w:rPr>
        <w:t>La afiliación será individual, personal, libre, pacífica y voluntaria, sin corporativismos de ninguna índole; sin que se permitan facciones, corrientes o grupos que vulneren la soberanía del partido</w:t>
      </w:r>
      <w:r w:rsidRPr="00E42C25">
        <w:rPr>
          <w:rFonts w:ascii="Palatino Linotype" w:eastAsia="Palatino Linotype" w:hAnsi="Palatino Linotype" w:cs="Palatino Linotype"/>
          <w:i/>
          <w:sz w:val="22"/>
          <w:szCs w:val="22"/>
        </w:rPr>
        <w:t>,</w:t>
      </w:r>
      <w:r w:rsidRPr="00E42C25">
        <w:rPr>
          <w:rFonts w:ascii="Palatino Linotype" w:eastAsia="Palatino Linotype" w:hAnsi="Palatino Linotype" w:cs="Palatino Linotype"/>
          <w:b/>
          <w:i/>
          <w:sz w:val="22"/>
          <w:szCs w:val="22"/>
        </w:rPr>
        <w:t xml:space="preserve"> es decir, su capacidad exclusiva de dirección general; asimismo, la afiliación estará condicionada a que los aspirantes comprueben su participación en cuando menos una de las actividades formales organizadas por el Instituto Nacional de Formación Política, mediante la presentación de la constancia respectiva.</w:t>
      </w:r>
    </w:p>
    <w:p w:rsidR="00344577" w:rsidRPr="00E42C25" w:rsidRDefault="00344577">
      <w:pPr>
        <w:tabs>
          <w:tab w:val="left" w:pos="851"/>
        </w:tabs>
        <w:ind w:left="851" w:right="901"/>
        <w:jc w:val="both"/>
        <w:rPr>
          <w:rFonts w:ascii="Palatino Linotype" w:eastAsia="Palatino Linotype" w:hAnsi="Palatino Linotype" w:cs="Palatino Linotype"/>
          <w:i/>
          <w:sz w:val="22"/>
          <w:szCs w:val="22"/>
        </w:rPr>
      </w:pP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b/>
          <w:i/>
          <w:sz w:val="22"/>
          <w:szCs w:val="22"/>
        </w:rPr>
        <w:t xml:space="preserve">Artículo 4°. Podrán afiliarse a </w:t>
      </w:r>
      <w:proofErr w:type="gramStart"/>
      <w:r w:rsidRPr="00E42C25">
        <w:rPr>
          <w:rFonts w:ascii="Palatino Linotype" w:eastAsia="Palatino Linotype" w:hAnsi="Palatino Linotype" w:cs="Palatino Linotype"/>
          <w:b/>
          <w:i/>
          <w:sz w:val="22"/>
          <w:szCs w:val="22"/>
        </w:rPr>
        <w:t>morena mexicanas</w:t>
      </w:r>
      <w:proofErr w:type="gramEnd"/>
      <w:r w:rsidRPr="00E42C25">
        <w:rPr>
          <w:rFonts w:ascii="Palatino Linotype" w:eastAsia="Palatino Linotype" w:hAnsi="Palatino Linotype" w:cs="Palatino Linotype"/>
          <w:b/>
          <w:i/>
          <w:sz w:val="22"/>
          <w:szCs w:val="22"/>
        </w:rPr>
        <w:t xml:space="preserve"> y mexicanos mayores de quince años dispuestos a luchar por un cambio verdadero, y que estén de acuerdo con los principios, valores y formas pacíficas de lucha que nuestro partido determine.</w:t>
      </w:r>
      <w:r w:rsidRPr="00E42C25">
        <w:rPr>
          <w:rFonts w:ascii="Palatino Linotype" w:eastAsia="Palatino Linotype" w:hAnsi="Palatino Linotype" w:cs="Palatino Linotype"/>
          <w:i/>
          <w:sz w:val="22"/>
          <w:szCs w:val="22"/>
        </w:rPr>
        <w:t xml:space="preserve"> La afiliación será individual, personal, libre, pacífica y voluntaria, y quienes decidan sumarse deberán registrarse en su lugar de residencia, independientemente del lugar donde se reciba la solicitud y previa comprobación de haber participado en un proceso de formación política que el Instituto Nacional de Formación Política determine. No podrán ser admitidos las y los militantes de otros partidos. Las personas afiliadas a morena se denominarán Protagonistas del cambio verdadero.</w:t>
      </w:r>
    </w:p>
    <w:p w:rsidR="00344577" w:rsidRPr="00E42C25" w:rsidRDefault="00344577">
      <w:pPr>
        <w:tabs>
          <w:tab w:val="left" w:pos="851"/>
        </w:tabs>
        <w:ind w:left="851" w:right="901"/>
        <w:jc w:val="both"/>
        <w:rPr>
          <w:rFonts w:ascii="Palatino Linotype" w:eastAsia="Palatino Linotype" w:hAnsi="Palatino Linotype" w:cs="Palatino Linotype"/>
          <w:i/>
          <w:sz w:val="22"/>
          <w:szCs w:val="22"/>
        </w:rPr>
      </w:pPr>
    </w:p>
    <w:p w:rsidR="00344577" w:rsidRPr="00E42C25" w:rsidRDefault="00353BAA">
      <w:pPr>
        <w:tabs>
          <w:tab w:val="left" w:pos="851"/>
        </w:tabs>
        <w:ind w:left="851" w:right="901"/>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b/>
          <w:i/>
          <w:sz w:val="22"/>
          <w:szCs w:val="22"/>
        </w:rPr>
        <w:t>Artículo 4° Bis. Podrán afiliarse a morena, las mexicanas y mexicanos que así lo manifiesten y presenten al momento de solicitar su registro credencial para votar con fotografía emitida por la autoridad electoral federal</w:t>
      </w:r>
      <w:r w:rsidRPr="00E42C25">
        <w:rPr>
          <w:rFonts w:ascii="Palatino Linotype" w:eastAsia="Palatino Linotype" w:hAnsi="Palatino Linotype" w:cs="Palatino Linotype"/>
          <w:i/>
          <w:sz w:val="22"/>
          <w:szCs w:val="22"/>
        </w:rPr>
        <w:t>; en el caso de menores de dieciocho años presentarán una identificación oficial con fotografía; cada persona firmará el formato de afiliación correspondiente autorizado por el Comité Ejecutivo Nacional.</w:t>
      </w:r>
    </w:p>
    <w:p w:rsidR="00344577" w:rsidRPr="00E42C25" w:rsidRDefault="00344577">
      <w:pPr>
        <w:tabs>
          <w:tab w:val="left" w:pos="851"/>
        </w:tabs>
        <w:ind w:left="851" w:right="901"/>
        <w:jc w:val="both"/>
        <w:rPr>
          <w:rFonts w:ascii="Palatino Linotype" w:eastAsia="Palatino Linotype" w:hAnsi="Palatino Linotype" w:cs="Palatino Linotype"/>
          <w:i/>
          <w:sz w:val="22"/>
          <w:szCs w:val="22"/>
        </w:rPr>
      </w:pPr>
    </w:p>
    <w:p w:rsidR="00344577" w:rsidRPr="00E42C25" w:rsidRDefault="00344577">
      <w:pPr>
        <w:tabs>
          <w:tab w:val="left" w:pos="851"/>
        </w:tabs>
        <w:ind w:right="901"/>
        <w:jc w:val="both"/>
        <w:rPr>
          <w:rFonts w:ascii="Palatino Linotype" w:eastAsia="Palatino Linotype" w:hAnsi="Palatino Linotype" w:cs="Palatino Linotype"/>
          <w:b/>
          <w:i/>
          <w:sz w:val="22"/>
          <w:szCs w:val="22"/>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De lo anterior, podemos advertir que el Partido Morena, es el partido que podría generar, poseer o administrar la información requerida por el particular. </w:t>
      </w:r>
    </w:p>
    <w:p w:rsidR="00344577" w:rsidRPr="00E42C25" w:rsidRDefault="00344577">
      <w:pPr>
        <w:tabs>
          <w:tab w:val="left" w:pos="851"/>
        </w:tabs>
        <w:ind w:left="851" w:right="901"/>
        <w:jc w:val="both"/>
        <w:rPr>
          <w:rFonts w:ascii="Palatino Linotype" w:eastAsia="Palatino Linotype" w:hAnsi="Palatino Linotype" w:cs="Palatino Linotype"/>
          <w:i/>
          <w:sz w:val="22"/>
          <w:szCs w:val="22"/>
        </w:rPr>
      </w:pPr>
    </w:p>
    <w:p w:rsidR="00344577" w:rsidRPr="00E42C25" w:rsidRDefault="00353BAA">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rPr>
        <w:lastRenderedPageBreak/>
        <w:t xml:space="preserve">Asimismo, es necesario precisar que el Partido Morena corresponde a Sujeto Obligado diverso conforme al </w:t>
      </w:r>
      <w:r w:rsidRPr="00E42C25">
        <w:rPr>
          <w:rFonts w:ascii="Palatino Linotype" w:eastAsia="Palatino Linotype" w:hAnsi="Palatino Linotype" w:cs="Palatino Linotype"/>
          <w:i/>
          <w:sz w:val="22"/>
          <w:szCs w:val="22"/>
        </w:rPr>
        <w:t>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publicándolo en el Periódico Oficial “Gaceta del Gobierno”, el veintisiete de febrero de dos mil diecisiete</w:t>
      </w:r>
      <w:r w:rsidRPr="00E42C25">
        <w:rPr>
          <w:rFonts w:ascii="Palatino Linotype" w:eastAsia="Palatino Linotype" w:hAnsi="Palatino Linotype" w:cs="Palatino Linotype"/>
          <w:i/>
          <w:sz w:val="22"/>
          <w:szCs w:val="22"/>
          <w:vertAlign w:val="superscript"/>
        </w:rPr>
        <w:footnoteReference w:id="3"/>
      </w:r>
      <w:r w:rsidRPr="00E42C25">
        <w:rPr>
          <w:rFonts w:ascii="Palatino Linotype" w:eastAsia="Palatino Linotype" w:hAnsi="Palatino Linotype" w:cs="Palatino Linotype"/>
          <w:i/>
          <w:sz w:val="22"/>
          <w:szCs w:val="22"/>
        </w:rPr>
        <w:t>, corresponde a Sujeto Obligado diverso tal y como se muestra a continuación:</w:t>
      </w:r>
    </w:p>
    <w:p w:rsidR="00344577" w:rsidRPr="00E42C25" w:rsidRDefault="00353BAA">
      <w:pPr>
        <w:pBdr>
          <w:top w:val="nil"/>
          <w:left w:val="nil"/>
          <w:bottom w:val="nil"/>
          <w:right w:val="nil"/>
          <w:between w:val="nil"/>
        </w:pBdr>
        <w:spacing w:line="360" w:lineRule="auto"/>
        <w:jc w:val="center"/>
        <w:rPr>
          <w:rFonts w:ascii="Palatino Linotype" w:eastAsia="Palatino Linotype" w:hAnsi="Palatino Linotype" w:cs="Palatino Linotype"/>
        </w:rPr>
      </w:pPr>
      <w:r w:rsidRPr="00E42C25">
        <w:rPr>
          <w:rFonts w:ascii="Palatino Linotype" w:eastAsia="Palatino Linotype" w:hAnsi="Palatino Linotype" w:cs="Palatino Linotype"/>
          <w:i/>
          <w:noProof/>
          <w:sz w:val="22"/>
          <w:szCs w:val="22"/>
        </w:rPr>
        <w:drawing>
          <wp:inline distT="0" distB="0" distL="0" distR="0">
            <wp:extent cx="5791835" cy="26416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91835" cy="2641600"/>
                    </a:xfrm>
                    <a:prstGeom prst="rect">
                      <a:avLst/>
                    </a:prstGeom>
                    <a:ln/>
                  </pic:spPr>
                </pic:pic>
              </a:graphicData>
            </a:graphic>
          </wp:inline>
        </w:drawing>
      </w:r>
      <w:r w:rsidRPr="00E42C25">
        <w:rPr>
          <w:noProof/>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1066800</wp:posOffset>
                </wp:positionV>
                <wp:extent cx="5716856" cy="230455"/>
                <wp:effectExtent l="0" t="0" r="0" b="0"/>
                <wp:wrapNone/>
                <wp:docPr id="12" name="Rectángulo 12"/>
                <wp:cNvGraphicFramePr/>
                <a:graphic xmlns:a="http://schemas.openxmlformats.org/drawingml/2006/main">
                  <a:graphicData uri="http://schemas.microsoft.com/office/word/2010/wordprocessingShape">
                    <wps:wsp>
                      <wps:cNvSpPr/>
                      <wps:spPr>
                        <a:xfrm>
                          <a:off x="2501860" y="3679060"/>
                          <a:ext cx="5688281" cy="201880"/>
                        </a:xfrm>
                        <a:prstGeom prst="rect">
                          <a:avLst/>
                        </a:prstGeom>
                        <a:noFill/>
                        <a:ln w="28575" cap="flat" cmpd="sng">
                          <a:solidFill>
                            <a:srgbClr val="FF0000"/>
                          </a:solidFill>
                          <a:prstDash val="solid"/>
                          <a:round/>
                          <a:headEnd type="none" w="sm" len="sm"/>
                          <a:tailEnd type="none" w="sm" len="sm"/>
                        </a:ln>
                      </wps:spPr>
                      <wps:txbx>
                        <w:txbxContent>
                          <w:p w:rsidR="00344577" w:rsidRDefault="00344577">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1066800</wp:posOffset>
                </wp:positionV>
                <wp:extent cx="5716856" cy="230455"/>
                <wp:effectExtent b="0" l="0" r="0" t="0"/>
                <wp:wrapNone/>
                <wp:docPr id="1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16856" cy="230455"/>
                        </a:xfrm>
                        <a:prstGeom prst="rect"/>
                        <a:ln/>
                      </pic:spPr>
                    </pic:pic>
                  </a:graphicData>
                </a:graphic>
              </wp:anchor>
            </w:drawing>
          </mc:Fallback>
        </mc:AlternateContent>
      </w:r>
    </w:p>
    <w:p w:rsidR="00344577" w:rsidRPr="00E42C25" w:rsidRDefault="00344577">
      <w:pPr>
        <w:pBdr>
          <w:top w:val="nil"/>
          <w:left w:val="nil"/>
          <w:bottom w:val="nil"/>
          <w:right w:val="nil"/>
          <w:between w:val="nil"/>
        </w:pBd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De ahí que, dicho Partido debe cumplir con las obligaciones, procesos, procedimientos y responsabilidades establecidas que tanto en la Ley General de Transparencia y Acceso a la Información Pública (Ley General), como en la Ley de Transparencia y Acceso a la Información Pública de nuestra entidad, así como, con los demás </w:t>
      </w:r>
      <w:r w:rsidRPr="00E42C25">
        <w:rPr>
          <w:rFonts w:ascii="Palatino Linotype" w:eastAsia="Palatino Linotype" w:hAnsi="Palatino Linotype" w:cs="Palatino Linotype"/>
        </w:rPr>
        <w:lastRenderedPageBreak/>
        <w:t xml:space="preserve">ordenamientos jurídicos aplicables en la materia, ello con la finalidad de fomentar la transparencia, el ejercicio del derecho de acceso a la información pública, la eficiencia de los Sujetos Obligados y la participación ciudadana.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Por lo anterior, y derivado que el requerimiento realizado por el particular, corresponde a información que pudiera poseer diverso Sujeto Obligado; al respecto, es importante traer a contexto lo dispuesto en el artículo 167 de la Ley de Transparencia y Acceso a la Información Pública del Estado de México y Municipios:</w:t>
      </w:r>
    </w:p>
    <w:p w:rsidR="00344577" w:rsidRPr="00E42C25" w:rsidRDefault="00344577">
      <w:pPr>
        <w:tabs>
          <w:tab w:val="left" w:pos="142"/>
          <w:tab w:val="left" w:pos="284"/>
          <w:tab w:val="left" w:pos="426"/>
        </w:tabs>
        <w:jc w:val="both"/>
        <w:rPr>
          <w:rFonts w:ascii="Palatino Linotype" w:eastAsia="Palatino Linotype" w:hAnsi="Palatino Linotype" w:cs="Palatino Linotype"/>
          <w:sz w:val="20"/>
          <w:szCs w:val="20"/>
        </w:rPr>
      </w:pPr>
    </w:p>
    <w:p w:rsidR="00344577" w:rsidRPr="00E42C25" w:rsidRDefault="00353BAA">
      <w:pPr>
        <w:ind w:left="851" w:right="1134"/>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sz w:val="22"/>
          <w:szCs w:val="22"/>
        </w:rPr>
        <w:t>“</w:t>
      </w:r>
      <w:r w:rsidRPr="00E42C25">
        <w:rPr>
          <w:rFonts w:ascii="Palatino Linotype" w:eastAsia="Palatino Linotype" w:hAnsi="Palatino Linotype" w:cs="Palatino Linotype"/>
          <w:b/>
          <w:i/>
          <w:sz w:val="22"/>
          <w:szCs w:val="22"/>
        </w:rPr>
        <w:t>Artículo 167.</w:t>
      </w:r>
      <w:r w:rsidRPr="00E42C25">
        <w:rPr>
          <w:rFonts w:ascii="Palatino Linotype" w:eastAsia="Palatino Linotype" w:hAnsi="Palatino Linotype" w:cs="Palatino Linotype"/>
          <w:i/>
          <w:sz w:val="22"/>
          <w:szCs w:val="22"/>
        </w:rPr>
        <w:t xml:space="preserve"> </w:t>
      </w:r>
      <w:r w:rsidRPr="00E42C25">
        <w:rPr>
          <w:rFonts w:ascii="Palatino Linotype" w:eastAsia="Palatino Linotype" w:hAnsi="Palatino Linotype" w:cs="Palatino Linotype"/>
          <w:b/>
          <w:i/>
          <w:sz w:val="22"/>
          <w:szCs w:val="22"/>
        </w:rPr>
        <w:t>Cuando las unidades de transparencia determinen la</w:t>
      </w:r>
      <w:r w:rsidRPr="00E42C25">
        <w:rPr>
          <w:rFonts w:ascii="Palatino Linotype" w:eastAsia="Palatino Linotype" w:hAnsi="Palatino Linotype" w:cs="Palatino Linotype"/>
          <w:i/>
          <w:sz w:val="22"/>
          <w:szCs w:val="22"/>
        </w:rPr>
        <w:t xml:space="preserve"> notoria </w:t>
      </w:r>
      <w:r w:rsidRPr="00E42C25">
        <w:rPr>
          <w:rFonts w:ascii="Palatino Linotype" w:eastAsia="Palatino Linotype" w:hAnsi="Palatino Linotype" w:cs="Palatino Linotype"/>
          <w:b/>
          <w:i/>
          <w:sz w:val="22"/>
          <w:szCs w:val="22"/>
        </w:rPr>
        <w:t>incompetencia por parte de los sujetos obligados</w:t>
      </w:r>
      <w:r w:rsidRPr="00E42C25">
        <w:rPr>
          <w:rFonts w:ascii="Palatino Linotype" w:eastAsia="Palatino Linotype" w:hAnsi="Palatino Linotype" w:cs="Palatino Linotype"/>
          <w:i/>
          <w:sz w:val="22"/>
          <w:szCs w:val="22"/>
        </w:rPr>
        <w:t xml:space="preserve">, dentro del ámbito de aplicación, para atender la solicitud de acceso a la información, </w:t>
      </w:r>
      <w:r w:rsidRPr="00E42C25">
        <w:rPr>
          <w:rFonts w:ascii="Palatino Linotype" w:eastAsia="Palatino Linotype" w:hAnsi="Palatino Linotype" w:cs="Palatino Linotype"/>
          <w:b/>
          <w:i/>
          <w:sz w:val="22"/>
          <w:szCs w:val="22"/>
        </w:rPr>
        <w:t>deberán comunicarlo al solicitante, dentro de los tres días hábiles posteriores a la recepción de la solicitud y, en su caso orientar al solicitante, el o los sujetos obligados competentes.</w:t>
      </w:r>
      <w:r w:rsidRPr="00E42C25">
        <w:rPr>
          <w:rFonts w:ascii="Palatino Linotype" w:eastAsia="Palatino Linotype" w:hAnsi="Palatino Linotype" w:cs="Palatino Linotype"/>
          <w:i/>
          <w:sz w:val="22"/>
          <w:szCs w:val="22"/>
        </w:rPr>
        <w:t xml:space="preserve"> </w:t>
      </w:r>
    </w:p>
    <w:p w:rsidR="00344577" w:rsidRPr="00E42C25" w:rsidRDefault="00353BAA">
      <w:pPr>
        <w:ind w:left="851" w:right="1134"/>
        <w:jc w:val="both"/>
        <w:rPr>
          <w:rFonts w:ascii="Palatino Linotype" w:eastAsia="Palatino Linotype" w:hAnsi="Palatino Linotype" w:cs="Palatino Linotype"/>
          <w:i/>
          <w:sz w:val="22"/>
          <w:szCs w:val="22"/>
        </w:rPr>
      </w:pPr>
      <w:r w:rsidRPr="00E42C25">
        <w:rPr>
          <w:rFonts w:ascii="Palatino Linotype" w:eastAsia="Palatino Linotype" w:hAnsi="Palatino Linotype" w:cs="Palatino Linotype"/>
          <w:i/>
          <w:sz w:val="22"/>
          <w:szCs w:val="22"/>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rsidR="00344577" w:rsidRPr="00E42C25" w:rsidRDefault="00353BAA">
      <w:pPr>
        <w:ind w:left="851" w:right="1134"/>
        <w:jc w:val="both"/>
        <w:rPr>
          <w:rFonts w:ascii="Palatino Linotype" w:eastAsia="Palatino Linotype" w:hAnsi="Palatino Linotype" w:cs="Palatino Linotype"/>
          <w:sz w:val="22"/>
          <w:szCs w:val="22"/>
        </w:rPr>
      </w:pPr>
      <w:r w:rsidRPr="00E42C25">
        <w:rPr>
          <w:rFonts w:ascii="Palatino Linotype" w:eastAsia="Palatino Linotype" w:hAnsi="Palatino Linotype" w:cs="Palatino Linotype"/>
          <w:b/>
          <w:i/>
          <w:sz w:val="22"/>
          <w:szCs w:val="22"/>
        </w:rPr>
        <w:t>Si transcurrido el plazo señalado en el primer párrafo de este artículo, el sujeto obligado no declina la competencia en los términ</w:t>
      </w:r>
      <w:r w:rsidRPr="00E42C25">
        <w:rPr>
          <w:rFonts w:ascii="Palatino Linotype" w:eastAsia="Palatino Linotype" w:hAnsi="Palatino Linotype" w:cs="Palatino Linotype"/>
          <w:i/>
          <w:sz w:val="22"/>
          <w:szCs w:val="22"/>
        </w:rPr>
        <w:t>o</w:t>
      </w:r>
      <w:r w:rsidRPr="00E42C25">
        <w:rPr>
          <w:rFonts w:ascii="Palatino Linotype" w:eastAsia="Palatino Linotype" w:hAnsi="Palatino Linotype" w:cs="Palatino Linotype"/>
          <w:b/>
          <w:i/>
          <w:sz w:val="22"/>
          <w:szCs w:val="22"/>
        </w:rPr>
        <w:t xml:space="preserve">s </w:t>
      </w:r>
      <w:r w:rsidRPr="00E42C25">
        <w:rPr>
          <w:rFonts w:ascii="Palatino Linotype" w:eastAsia="Palatino Linotype" w:hAnsi="Palatino Linotype" w:cs="Palatino Linotype"/>
          <w:i/>
          <w:sz w:val="22"/>
          <w:szCs w:val="22"/>
        </w:rPr>
        <w:t>establecidos</w:t>
      </w:r>
      <w:r w:rsidRPr="00E42C25">
        <w:rPr>
          <w:rFonts w:ascii="Palatino Linotype" w:eastAsia="Palatino Linotype" w:hAnsi="Palatino Linotype" w:cs="Palatino Linotype"/>
          <w:b/>
          <w:i/>
          <w:sz w:val="22"/>
          <w:szCs w:val="22"/>
        </w:rPr>
        <w:t>, podrá canalizar la solicitud ante el sujeto obligado competente.</w:t>
      </w:r>
      <w:r w:rsidRPr="00E42C25">
        <w:rPr>
          <w:rFonts w:ascii="Palatino Linotype" w:eastAsia="Palatino Linotype" w:hAnsi="Palatino Linotype" w:cs="Palatino Linotype"/>
          <w:i/>
          <w:sz w:val="22"/>
          <w:szCs w:val="22"/>
        </w:rPr>
        <w:t>”</w:t>
      </w:r>
    </w:p>
    <w:p w:rsidR="00344577" w:rsidRPr="00E42C25" w:rsidRDefault="00353BAA">
      <w:pPr>
        <w:ind w:left="851" w:right="1134"/>
        <w:jc w:val="both"/>
        <w:rPr>
          <w:rFonts w:ascii="Palatino Linotype" w:eastAsia="Palatino Linotype" w:hAnsi="Palatino Linotype" w:cs="Palatino Linotype"/>
          <w:sz w:val="22"/>
          <w:szCs w:val="22"/>
        </w:rPr>
      </w:pPr>
      <w:r w:rsidRPr="00E42C25">
        <w:rPr>
          <w:rFonts w:ascii="Palatino Linotype" w:eastAsia="Palatino Linotype" w:hAnsi="Palatino Linotype" w:cs="Palatino Linotype"/>
          <w:sz w:val="22"/>
          <w:szCs w:val="22"/>
        </w:rPr>
        <w:t>(Énfasis añadido)</w:t>
      </w:r>
    </w:p>
    <w:p w:rsidR="00344577" w:rsidRPr="00E42C25" w:rsidRDefault="00344577">
      <w:pPr>
        <w:ind w:right="901"/>
        <w:jc w:val="both"/>
        <w:rPr>
          <w:rFonts w:ascii="Palatino Linotype" w:eastAsia="Palatino Linotype" w:hAnsi="Palatino Linotype" w:cs="Palatino Linotype"/>
          <w:sz w:val="22"/>
          <w:szCs w:val="22"/>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De lo anterior, se puede advertir que una vez recibida una solicitud de información, se determine que es incompetente para para poseer, generar o administrar lo solicitado, dentro de los primeros tres días posterio</w:t>
      </w:r>
      <w:bookmarkStart w:id="1" w:name="_GoBack"/>
      <w:bookmarkEnd w:id="1"/>
      <w:r w:rsidRPr="00E42C25">
        <w:rPr>
          <w:rFonts w:ascii="Palatino Linotype" w:eastAsia="Palatino Linotype" w:hAnsi="Palatino Linotype" w:cs="Palatino Linotype"/>
        </w:rPr>
        <w:t>res a la recepción de la solicitud, deberá hacerlo del conocimiento del particular.</w:t>
      </w:r>
    </w:p>
    <w:p w:rsidR="00344577" w:rsidRPr="00E42C25" w:rsidRDefault="00353BAA">
      <w:pPr>
        <w:spacing w:line="360" w:lineRule="auto"/>
        <w:ind w:right="49"/>
        <w:jc w:val="both"/>
        <w:rPr>
          <w:rFonts w:ascii="Palatino Linotype" w:eastAsia="Palatino Linotype" w:hAnsi="Palatino Linotype" w:cs="Palatino Linotype"/>
        </w:rPr>
      </w:pPr>
      <w:r w:rsidRPr="00E42C25">
        <w:rPr>
          <w:rFonts w:ascii="Palatino Linotype" w:eastAsia="Palatino Linotype" w:hAnsi="Palatino Linotype" w:cs="Palatino Linotype"/>
        </w:rPr>
        <w:lastRenderedPageBreak/>
        <w:t xml:space="preserve">Es así que, en el presente asunto </w:t>
      </w:r>
      <w:r w:rsidRPr="00E42C25">
        <w:rPr>
          <w:rFonts w:ascii="Palatino Linotype" w:eastAsia="Palatino Linotype" w:hAnsi="Palatino Linotype" w:cs="Palatino Linotype"/>
          <w:b/>
        </w:rPr>
        <w:t>EL</w:t>
      </w:r>
      <w:r w:rsidRPr="00E42C25">
        <w:rPr>
          <w:rFonts w:ascii="Palatino Linotype" w:eastAsia="Palatino Linotype" w:hAnsi="Palatino Linotype" w:cs="Palatino Linotype"/>
        </w:rPr>
        <w:t xml:space="preserve"> </w:t>
      </w:r>
      <w:r w:rsidRPr="00E42C25">
        <w:rPr>
          <w:rFonts w:ascii="Palatino Linotype" w:eastAsia="Palatino Linotype" w:hAnsi="Palatino Linotype" w:cs="Palatino Linotype"/>
          <w:b/>
        </w:rPr>
        <w:t xml:space="preserve">SUJETO OBLIGADO </w:t>
      </w:r>
      <w:r w:rsidRPr="00E42C25">
        <w:rPr>
          <w:rFonts w:ascii="Palatino Linotype" w:eastAsia="Palatino Linotype" w:hAnsi="Palatino Linotype" w:cs="Palatino Linotype"/>
        </w:rPr>
        <w:t xml:space="preserve">otorgó respuesta </w:t>
      </w:r>
      <w:r w:rsidRPr="00E42C25">
        <w:rPr>
          <w:rFonts w:ascii="Palatino Linotype" w:eastAsia="Palatino Linotype" w:hAnsi="Palatino Linotype" w:cs="Palatino Linotype"/>
          <w:b/>
        </w:rPr>
        <w:t>al tercer día hábil posterior a la fecha que se tuvo por presentada la solicitud</w:t>
      </w:r>
      <w:r w:rsidRPr="00E42C25">
        <w:rPr>
          <w:rFonts w:ascii="Palatino Linotype" w:eastAsia="Palatino Linotype" w:hAnsi="Palatino Linotype" w:cs="Palatino Linotype"/>
        </w:rPr>
        <w:t>, en la que refirió su incompetencia para conocer de la información solicitada, atendiendo con ello lo solicitud requerida por el particular.</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Ahora bien, no se omite comentar que el orientar a los particulares no es obligatorio para los Sujetos Obligados ya que el mencionado artículo precisa en su contenido que “</w:t>
      </w:r>
      <w:r w:rsidRPr="00E42C25">
        <w:rPr>
          <w:rFonts w:ascii="Palatino Linotype" w:eastAsia="Palatino Linotype" w:hAnsi="Palatino Linotype" w:cs="Palatino Linotype"/>
          <w:b/>
          <w:i/>
        </w:rPr>
        <w:t xml:space="preserve">en su caso orientar al solicitante, el o los sujetos obligados competentes”; </w:t>
      </w:r>
      <w:r w:rsidRPr="00E42C25">
        <w:rPr>
          <w:rFonts w:ascii="Palatino Linotype" w:eastAsia="Palatino Linotype" w:hAnsi="Palatino Linotype" w:cs="Palatino Linotype"/>
        </w:rPr>
        <w:t xml:space="preserve">es decir, dicha orientación es potestativa más no obligatoria. </w:t>
      </w:r>
      <w:r w:rsidRPr="00E42C25">
        <w:rPr>
          <w:rFonts w:ascii="Palatino Linotype" w:eastAsia="Palatino Linotype" w:hAnsi="Palatino Linotype" w:cs="Palatino Linotype"/>
          <w:b/>
          <w:i/>
        </w:rPr>
        <w:t xml:space="preserve">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bookmarkStart w:id="2" w:name="_heading=h.30j0zll" w:colFirst="0" w:colLast="0"/>
      <w:bookmarkEnd w:id="2"/>
      <w:r w:rsidRPr="00E42C25">
        <w:rPr>
          <w:rFonts w:ascii="Palatino Linotype" w:eastAsia="Palatino Linotype" w:hAnsi="Palatino Linotype" w:cs="Palatino Linotype"/>
        </w:rPr>
        <w:t xml:space="preserve">Finalmente, es importante señalar que este Instituto considera que al haber existido un pronunciamiento por parte del </w:t>
      </w:r>
      <w:r w:rsidRPr="00E42C25">
        <w:rPr>
          <w:rFonts w:ascii="Palatino Linotype" w:eastAsia="Palatino Linotype" w:hAnsi="Palatino Linotype" w:cs="Palatino Linotype"/>
          <w:b/>
        </w:rPr>
        <w:t>SUJETO OBLIGADO</w:t>
      </w:r>
      <w:r w:rsidRPr="00E42C25">
        <w:rPr>
          <w:rFonts w:ascii="Palatino Linotype" w:eastAsia="Palatino Linotype" w:hAnsi="Palatino Linotype" w:cs="Palatino Linotype"/>
        </w:rPr>
        <w:t xml:space="preserve">, a fin de dar respuesta a la solicitud planteada, no está facultado para manifestarse sobre la veracidad de la misma, pues no existe precepto legal alguno en la Ley de la materia que lo faculte para que vía Recurso de Revisión pueda pronunciarse al respecto. </w:t>
      </w:r>
    </w:p>
    <w:p w:rsidR="00344577" w:rsidRPr="00E42C25" w:rsidRDefault="00344577">
      <w:pPr>
        <w:spacing w:line="360" w:lineRule="auto"/>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Sirve de apoyo a lo anterior, por analogía el criterio 31-10 emitido por el entonces Instituto Federal de Acceso a la Información ahora Instituto Nacional de Transparencia, Acceso a la Información y Protección de Datos Personales (INAI) que a la letra dice:</w:t>
      </w:r>
    </w:p>
    <w:p w:rsidR="00344577" w:rsidRPr="00E42C25" w:rsidRDefault="00353BAA">
      <w:pPr>
        <w:tabs>
          <w:tab w:val="left" w:pos="1140"/>
        </w:tabs>
        <w:jc w:val="both"/>
        <w:rPr>
          <w:rFonts w:ascii="Palatino Linotype" w:eastAsia="Palatino Linotype" w:hAnsi="Palatino Linotype" w:cs="Palatino Linotype"/>
        </w:rPr>
      </w:pPr>
      <w:r w:rsidRPr="00E42C25">
        <w:rPr>
          <w:rFonts w:ascii="Palatino Linotype" w:eastAsia="Palatino Linotype" w:hAnsi="Palatino Linotype" w:cs="Palatino Linotype"/>
        </w:rPr>
        <w:tab/>
      </w:r>
    </w:p>
    <w:p w:rsidR="00344577" w:rsidRPr="00E42C25" w:rsidRDefault="00353BAA">
      <w:pPr>
        <w:tabs>
          <w:tab w:val="left" w:pos="709"/>
        </w:tabs>
        <w:ind w:left="851" w:right="899"/>
        <w:jc w:val="both"/>
        <w:rPr>
          <w:rFonts w:ascii="Palatino Linotype" w:eastAsia="Palatino Linotype" w:hAnsi="Palatino Linotype" w:cs="Palatino Linotype"/>
          <w:b/>
          <w:i/>
          <w:sz w:val="22"/>
          <w:szCs w:val="22"/>
        </w:rPr>
      </w:pPr>
      <w:r w:rsidRPr="00E42C25">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E42C25">
        <w:rPr>
          <w:rFonts w:ascii="Palatino Linotype" w:eastAsia="Palatino Linotype" w:hAnsi="Palatino Linotype" w:cs="Palatino Linotype"/>
          <w:i/>
          <w:sz w:val="22"/>
          <w:szCs w:val="22"/>
        </w:rPr>
        <w:t xml:space="preserve">. El Instituto Federal de </w:t>
      </w:r>
      <w:r w:rsidRPr="00E42C25">
        <w:rPr>
          <w:rFonts w:ascii="Palatino Linotype" w:eastAsia="Palatino Linotype" w:hAnsi="Palatino Linotype" w:cs="Palatino Linotype"/>
          <w:i/>
          <w:sz w:val="22"/>
          <w:szCs w:val="22"/>
        </w:rPr>
        <w:lastRenderedPageBreak/>
        <w:t>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E42C25">
        <w:rPr>
          <w:rFonts w:ascii="Palatino Linotype" w:eastAsia="Palatino Linotype" w:hAnsi="Palatino Linotype" w:cs="Palatino Linotype"/>
          <w:b/>
          <w:i/>
          <w:sz w:val="22"/>
          <w:szCs w:val="22"/>
        </w:rPr>
        <w:t>”</w:t>
      </w:r>
    </w:p>
    <w:p w:rsidR="00344577" w:rsidRPr="00E42C25" w:rsidRDefault="00344577">
      <w:pPr>
        <w:tabs>
          <w:tab w:val="left" w:pos="1140"/>
        </w:tabs>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E42C25">
        <w:rPr>
          <w:rFonts w:ascii="Palatino Linotype" w:eastAsia="Palatino Linotype" w:hAnsi="Palatino Linotype" w:cs="Palatino Linotype"/>
          <w:b/>
        </w:rPr>
        <w:t xml:space="preserve"> RECURRENTE</w:t>
      </w:r>
      <w:r w:rsidRPr="00E42C25">
        <w:rPr>
          <w:rFonts w:ascii="Palatino Linotype" w:eastAsia="Palatino Linotype" w:hAnsi="Palatino Linotype" w:cs="Palatino Linotype"/>
        </w:rPr>
        <w:t xml:space="preserve"> para que pueda realizar la solicitud de información ante el Sujeto Obligado correspondiente.</w:t>
      </w:r>
    </w:p>
    <w:p w:rsidR="00344577" w:rsidRPr="00E42C25" w:rsidRDefault="00344577">
      <w:pPr>
        <w:widowControl w:val="0"/>
        <w:spacing w:line="360" w:lineRule="auto"/>
        <w:ind w:right="49"/>
        <w:jc w:val="both"/>
        <w:rPr>
          <w:rFonts w:ascii="Palatino Linotype" w:eastAsia="Palatino Linotype" w:hAnsi="Palatino Linotype" w:cs="Palatino Linotype"/>
        </w:rPr>
      </w:pPr>
    </w:p>
    <w:p w:rsidR="00344577" w:rsidRPr="00E42C25" w:rsidRDefault="00353BAA">
      <w:pPr>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rPr>
        <w:t xml:space="preserve">Por lo anteriormente expuesto, se considera que las razones o motivos de inconformidad planteadas por </w:t>
      </w:r>
      <w:r w:rsidRPr="00E42C25">
        <w:rPr>
          <w:rFonts w:ascii="Palatino Linotype" w:eastAsia="Palatino Linotype" w:hAnsi="Palatino Linotype" w:cs="Palatino Linotype"/>
          <w:b/>
        </w:rPr>
        <w:t xml:space="preserve">EL RECURRENTE, </w:t>
      </w:r>
      <w:r w:rsidRPr="00E42C25">
        <w:rPr>
          <w:rFonts w:ascii="Palatino Linotype" w:eastAsia="Palatino Linotype" w:hAnsi="Palatino Linotype" w:cs="Palatino Linotype"/>
        </w:rPr>
        <w:t xml:space="preserve">resultan infundadas; en consecuencia este Órgano Garante determina </w:t>
      </w:r>
      <w:r w:rsidRPr="00E42C25">
        <w:rPr>
          <w:rFonts w:ascii="Palatino Linotype" w:eastAsia="Palatino Linotype" w:hAnsi="Palatino Linotype" w:cs="Palatino Linotype"/>
          <w:b/>
        </w:rPr>
        <w:t xml:space="preserve">CONFIRMAR </w:t>
      </w:r>
      <w:r w:rsidRPr="00E42C25">
        <w:rPr>
          <w:rFonts w:ascii="Palatino Linotype" w:eastAsia="Palatino Linotype" w:hAnsi="Palatino Linotype" w:cs="Palatino Linotype"/>
        </w:rPr>
        <w:t xml:space="preserve">la respuesta otorgada por el </w:t>
      </w:r>
      <w:r w:rsidRPr="00E42C25">
        <w:rPr>
          <w:rFonts w:ascii="Palatino Linotype" w:eastAsia="Palatino Linotype" w:hAnsi="Palatino Linotype" w:cs="Palatino Linotype"/>
          <w:b/>
        </w:rPr>
        <w:t>SUJETO OBLIGADO.</w:t>
      </w:r>
    </w:p>
    <w:p w:rsidR="00344577" w:rsidRDefault="00344577">
      <w:pPr>
        <w:spacing w:line="360" w:lineRule="auto"/>
        <w:jc w:val="both"/>
        <w:rPr>
          <w:rFonts w:ascii="Palatino Linotype" w:eastAsia="Palatino Linotype" w:hAnsi="Palatino Linotype" w:cs="Palatino Linotype"/>
        </w:rPr>
      </w:pPr>
    </w:p>
    <w:p w:rsidR="00E42C25" w:rsidRPr="00E42C25" w:rsidRDefault="00E42C25">
      <w:pPr>
        <w:spacing w:line="360" w:lineRule="auto"/>
        <w:jc w:val="both"/>
        <w:rPr>
          <w:rFonts w:ascii="Palatino Linotype" w:eastAsia="Palatino Linotype" w:hAnsi="Palatino Linotype" w:cs="Palatino Linotype"/>
        </w:rPr>
      </w:pPr>
    </w:p>
    <w:p w:rsidR="00344577" w:rsidRPr="00E42C25" w:rsidRDefault="00353BAA">
      <w:pPr>
        <w:widowControl w:val="0"/>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lastRenderedPageBreak/>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rsidR="00344577" w:rsidRPr="00E42C25" w:rsidRDefault="00344577">
      <w:pPr>
        <w:widowControl w:val="0"/>
        <w:jc w:val="both"/>
        <w:rPr>
          <w:rFonts w:ascii="Palatino Linotype" w:eastAsia="Palatino Linotype" w:hAnsi="Palatino Linotype" w:cs="Palatino Linotype"/>
        </w:rPr>
      </w:pPr>
    </w:p>
    <w:p w:rsidR="00344577" w:rsidRPr="00E42C25" w:rsidRDefault="00353BAA">
      <w:pPr>
        <w:jc w:val="center"/>
        <w:rPr>
          <w:rFonts w:ascii="Palatino Linotype" w:eastAsia="Palatino Linotype" w:hAnsi="Palatino Linotype" w:cs="Palatino Linotype"/>
          <w:b/>
          <w:sz w:val="28"/>
          <w:szCs w:val="28"/>
        </w:rPr>
      </w:pPr>
      <w:r w:rsidRPr="00E42C25">
        <w:rPr>
          <w:rFonts w:ascii="Palatino Linotype" w:eastAsia="Palatino Linotype" w:hAnsi="Palatino Linotype" w:cs="Palatino Linotype"/>
          <w:b/>
          <w:sz w:val="28"/>
          <w:szCs w:val="28"/>
        </w:rPr>
        <w:t>R E S U E L V E</w:t>
      </w:r>
    </w:p>
    <w:p w:rsidR="00344577" w:rsidRPr="00E42C25" w:rsidRDefault="00344577">
      <w:pPr>
        <w:jc w:val="center"/>
        <w:rPr>
          <w:rFonts w:ascii="Palatino Linotype" w:eastAsia="Palatino Linotype" w:hAnsi="Palatino Linotype" w:cs="Palatino Linotype"/>
          <w:b/>
          <w:sz w:val="28"/>
          <w:szCs w:val="28"/>
        </w:rPr>
      </w:pPr>
    </w:p>
    <w:p w:rsidR="00344577" w:rsidRPr="00E42C25" w:rsidRDefault="00353BAA">
      <w:pPr>
        <w:widowControl w:val="0"/>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sz w:val="28"/>
          <w:szCs w:val="28"/>
        </w:rPr>
        <w:t>PRIMERO.</w:t>
      </w:r>
      <w:r w:rsidRPr="00E42C25">
        <w:rPr>
          <w:rFonts w:ascii="Palatino Linotype" w:eastAsia="Palatino Linotype" w:hAnsi="Palatino Linotype" w:cs="Palatino Linotype"/>
        </w:rPr>
        <w:t xml:space="preserve"> Resultan </w:t>
      </w:r>
      <w:r w:rsidRPr="00E42C25">
        <w:rPr>
          <w:rFonts w:ascii="Palatino Linotype" w:eastAsia="Palatino Linotype" w:hAnsi="Palatino Linotype" w:cs="Palatino Linotype"/>
          <w:b/>
        </w:rPr>
        <w:t>infundadas</w:t>
      </w:r>
      <w:r w:rsidRPr="00E42C25">
        <w:rPr>
          <w:rFonts w:ascii="Palatino Linotype" w:eastAsia="Palatino Linotype" w:hAnsi="Palatino Linotype" w:cs="Palatino Linotype"/>
        </w:rPr>
        <w:t xml:space="preserve"> las razones o motivos de inconformidad planteadas por </w:t>
      </w:r>
      <w:r w:rsidRPr="00E42C25">
        <w:rPr>
          <w:rFonts w:ascii="Palatino Linotype" w:eastAsia="Palatino Linotype" w:hAnsi="Palatino Linotype" w:cs="Palatino Linotype"/>
          <w:b/>
        </w:rPr>
        <w:t>EL RECURRENTE</w:t>
      </w:r>
      <w:r w:rsidRPr="00E42C25">
        <w:rPr>
          <w:rFonts w:ascii="Palatino Linotype" w:eastAsia="Palatino Linotype" w:hAnsi="Palatino Linotype" w:cs="Palatino Linotype"/>
        </w:rPr>
        <w:t xml:space="preserve"> y analizadas en el Considerando </w:t>
      </w:r>
      <w:r w:rsidRPr="00E42C25">
        <w:rPr>
          <w:rFonts w:ascii="Palatino Linotype" w:eastAsia="Palatino Linotype" w:hAnsi="Palatino Linotype" w:cs="Palatino Linotype"/>
          <w:b/>
        </w:rPr>
        <w:t>QUINTO</w:t>
      </w:r>
      <w:r w:rsidRPr="00E42C25">
        <w:rPr>
          <w:rFonts w:ascii="Palatino Linotype" w:eastAsia="Palatino Linotype" w:hAnsi="Palatino Linotype" w:cs="Palatino Linotype"/>
        </w:rPr>
        <w:t xml:space="preserve"> de esta resolución.</w:t>
      </w:r>
    </w:p>
    <w:p w:rsidR="00344577" w:rsidRPr="00E42C25" w:rsidRDefault="00344577">
      <w:pPr>
        <w:widowControl w:val="0"/>
        <w:spacing w:line="360" w:lineRule="auto"/>
        <w:jc w:val="both"/>
        <w:rPr>
          <w:rFonts w:ascii="Palatino Linotype" w:eastAsia="Palatino Linotype" w:hAnsi="Palatino Linotype" w:cs="Palatino Linotype"/>
          <w:b/>
        </w:rPr>
      </w:pPr>
    </w:p>
    <w:p w:rsidR="00344577" w:rsidRPr="00E42C25" w:rsidRDefault="00353BAA">
      <w:pPr>
        <w:widowControl w:val="0"/>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sz w:val="28"/>
          <w:szCs w:val="28"/>
        </w:rPr>
        <w:t xml:space="preserve">SEGUNDO. </w:t>
      </w:r>
      <w:r w:rsidRPr="00E42C25">
        <w:rPr>
          <w:rFonts w:ascii="Palatino Linotype" w:eastAsia="Palatino Linotype" w:hAnsi="Palatino Linotype" w:cs="Palatino Linotype"/>
        </w:rPr>
        <w:t xml:space="preserve">Se </w:t>
      </w:r>
      <w:r w:rsidRPr="00E42C25">
        <w:rPr>
          <w:rFonts w:ascii="Palatino Linotype" w:eastAsia="Palatino Linotype" w:hAnsi="Palatino Linotype" w:cs="Palatino Linotype"/>
          <w:b/>
        </w:rPr>
        <w:t xml:space="preserve">CONFIRMA </w:t>
      </w:r>
      <w:r w:rsidRPr="00E42C25">
        <w:rPr>
          <w:rFonts w:ascii="Palatino Linotype" w:eastAsia="Palatino Linotype" w:hAnsi="Palatino Linotype" w:cs="Palatino Linotype"/>
        </w:rPr>
        <w:t xml:space="preserve">la respuesta del </w:t>
      </w:r>
      <w:r w:rsidRPr="00E42C25">
        <w:rPr>
          <w:rFonts w:ascii="Palatino Linotype" w:eastAsia="Palatino Linotype" w:hAnsi="Palatino Linotype" w:cs="Palatino Linotype"/>
          <w:b/>
        </w:rPr>
        <w:t xml:space="preserve">SUJETO OBLIGADO </w:t>
      </w:r>
      <w:r w:rsidRPr="00E42C25">
        <w:rPr>
          <w:rFonts w:ascii="Palatino Linotype" w:eastAsia="Palatino Linotype" w:hAnsi="Palatino Linotype" w:cs="Palatino Linotype"/>
        </w:rPr>
        <w:t xml:space="preserve">otorgada a la solicitud de Acceso a la Información pública que dio origen al Recurso de Revisión número </w:t>
      </w:r>
      <w:r w:rsidRPr="00E42C25">
        <w:rPr>
          <w:rFonts w:ascii="Palatino Linotype" w:eastAsia="Palatino Linotype" w:hAnsi="Palatino Linotype" w:cs="Palatino Linotype"/>
          <w:b/>
        </w:rPr>
        <w:t>06137/INFOEM/IP/RR/2023</w:t>
      </w:r>
      <w:r w:rsidRPr="00E42C25">
        <w:rPr>
          <w:rFonts w:ascii="Palatino Linotype" w:eastAsia="Palatino Linotype" w:hAnsi="Palatino Linotype" w:cs="Palatino Linotype"/>
        </w:rPr>
        <w:t xml:space="preserve">, en términos del Considerando </w:t>
      </w:r>
      <w:r w:rsidRPr="00E42C25">
        <w:rPr>
          <w:rFonts w:ascii="Palatino Linotype" w:eastAsia="Palatino Linotype" w:hAnsi="Palatino Linotype" w:cs="Palatino Linotype"/>
          <w:b/>
        </w:rPr>
        <w:t>QUINTO</w:t>
      </w:r>
      <w:r w:rsidRPr="00E42C25">
        <w:rPr>
          <w:rFonts w:ascii="Palatino Linotype" w:eastAsia="Palatino Linotype" w:hAnsi="Palatino Linotype" w:cs="Palatino Linotype"/>
        </w:rPr>
        <w:t>.</w:t>
      </w:r>
    </w:p>
    <w:p w:rsidR="00344577" w:rsidRPr="00E42C25" w:rsidRDefault="00344577">
      <w:pPr>
        <w:pBdr>
          <w:top w:val="nil"/>
          <w:left w:val="nil"/>
          <w:bottom w:val="nil"/>
          <w:right w:val="nil"/>
          <w:between w:val="nil"/>
        </w:pBdr>
        <w:spacing w:line="360" w:lineRule="auto"/>
        <w:ind w:left="708"/>
        <w:rPr>
          <w:rFonts w:ascii="Palatino Linotype" w:eastAsia="Palatino Linotype" w:hAnsi="Palatino Linotype" w:cs="Palatino Linotype"/>
          <w:b/>
          <w:sz w:val="28"/>
          <w:szCs w:val="28"/>
        </w:rPr>
      </w:pPr>
    </w:p>
    <w:p w:rsidR="00344577" w:rsidRPr="00E42C25" w:rsidRDefault="00353BAA">
      <w:pPr>
        <w:widowControl w:val="0"/>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sz w:val="28"/>
          <w:szCs w:val="28"/>
        </w:rPr>
        <w:t xml:space="preserve">TERCERO. </w:t>
      </w:r>
      <w:r w:rsidRPr="00E42C25">
        <w:rPr>
          <w:rFonts w:ascii="Palatino Linotype" w:eastAsia="Palatino Linotype" w:hAnsi="Palatino Linotype" w:cs="Palatino Linotype"/>
          <w:b/>
        </w:rPr>
        <w:t xml:space="preserve">Notifíquese </w:t>
      </w:r>
      <w:r w:rsidRPr="00E42C25">
        <w:rPr>
          <w:rFonts w:ascii="Palatino Linotype" w:eastAsia="Palatino Linotype" w:hAnsi="Palatino Linotype" w:cs="Palatino Linotype"/>
        </w:rPr>
        <w:t xml:space="preserve">la presente resolución mediante Sistema de Acceso a la Información Mexiquense al Titular de la Unidad de Transparencia del </w:t>
      </w:r>
      <w:r w:rsidRPr="00E42C25">
        <w:rPr>
          <w:rFonts w:ascii="Palatino Linotype" w:eastAsia="Palatino Linotype" w:hAnsi="Palatino Linotype" w:cs="Palatino Linotype"/>
          <w:b/>
        </w:rPr>
        <w:t>SUJETO OBLIGADO</w:t>
      </w:r>
      <w:r w:rsidRPr="00E42C25">
        <w:rPr>
          <w:rFonts w:ascii="Palatino Linotype" w:eastAsia="Palatino Linotype" w:hAnsi="Palatino Linotype" w:cs="Palatino Linotype"/>
        </w:rPr>
        <w:t>, para su conocimiento.</w:t>
      </w:r>
    </w:p>
    <w:p w:rsidR="00344577" w:rsidRPr="00E42C25" w:rsidRDefault="00344577">
      <w:pPr>
        <w:widowControl w:val="0"/>
        <w:spacing w:line="360" w:lineRule="auto"/>
        <w:jc w:val="both"/>
        <w:rPr>
          <w:rFonts w:ascii="Palatino Linotype" w:eastAsia="Palatino Linotype" w:hAnsi="Palatino Linotype" w:cs="Palatino Linotype"/>
          <w:b/>
          <w:sz w:val="28"/>
          <w:szCs w:val="28"/>
        </w:rPr>
      </w:pPr>
    </w:p>
    <w:p w:rsidR="00344577" w:rsidRPr="00E42C25" w:rsidRDefault="00353BAA">
      <w:pPr>
        <w:spacing w:line="360" w:lineRule="auto"/>
        <w:ind w:right="49"/>
        <w:jc w:val="both"/>
        <w:rPr>
          <w:rFonts w:ascii="Palatino Linotype" w:eastAsia="Palatino Linotype" w:hAnsi="Palatino Linotype" w:cs="Palatino Linotype"/>
        </w:rPr>
      </w:pPr>
      <w:r w:rsidRPr="00E42C25">
        <w:rPr>
          <w:rFonts w:ascii="Palatino Linotype" w:eastAsia="Palatino Linotype" w:hAnsi="Palatino Linotype" w:cs="Palatino Linotype"/>
          <w:b/>
          <w:sz w:val="28"/>
          <w:szCs w:val="28"/>
        </w:rPr>
        <w:lastRenderedPageBreak/>
        <w:t>CUARTO.</w:t>
      </w:r>
      <w:r w:rsidRPr="00E42C25">
        <w:rPr>
          <w:rFonts w:ascii="Palatino Linotype" w:eastAsia="Palatino Linotype" w:hAnsi="Palatino Linotype" w:cs="Palatino Linotype"/>
          <w:b/>
        </w:rPr>
        <w:t xml:space="preserve"> Notifíquese</w:t>
      </w:r>
      <w:r w:rsidRPr="00E42C25">
        <w:rPr>
          <w:rFonts w:ascii="Palatino Linotype" w:eastAsia="Palatino Linotype" w:hAnsi="Palatino Linotype" w:cs="Palatino Linotype"/>
        </w:rPr>
        <w:t xml:space="preserve"> al </w:t>
      </w:r>
      <w:r w:rsidRPr="00E42C25">
        <w:rPr>
          <w:rFonts w:ascii="Palatino Linotype" w:eastAsia="Palatino Linotype" w:hAnsi="Palatino Linotype" w:cs="Palatino Linotype"/>
          <w:b/>
        </w:rPr>
        <w:t>RECURRENTE</w:t>
      </w:r>
      <w:r w:rsidRPr="00E42C25">
        <w:rPr>
          <w:rFonts w:ascii="Palatino Linotype" w:eastAsia="Palatino Linotype" w:hAnsi="Palatino Linotype" w:cs="Palatino Linotype"/>
        </w:rPr>
        <w:t xml:space="preserve"> la presente resolución vía Sistema de Acceso a la Información Mexiquense </w:t>
      </w:r>
      <w:r w:rsidRPr="00E42C25">
        <w:rPr>
          <w:rFonts w:ascii="Palatino Linotype" w:eastAsia="Palatino Linotype" w:hAnsi="Palatino Linotype" w:cs="Palatino Linotype"/>
          <w:b/>
        </w:rPr>
        <w:t>SAIMEX</w:t>
      </w:r>
      <w:r w:rsidRPr="00E42C25">
        <w:rPr>
          <w:rFonts w:ascii="Palatino Linotype" w:eastAsia="Palatino Linotype" w:hAnsi="Palatino Linotype" w:cs="Palatino Linotype"/>
        </w:rPr>
        <w:t>.</w:t>
      </w:r>
    </w:p>
    <w:p w:rsidR="00344577" w:rsidRPr="00E42C25" w:rsidRDefault="00344577">
      <w:pPr>
        <w:widowControl w:val="0"/>
        <w:spacing w:line="360" w:lineRule="auto"/>
        <w:jc w:val="both"/>
        <w:rPr>
          <w:rFonts w:ascii="Palatino Linotype" w:eastAsia="Palatino Linotype" w:hAnsi="Palatino Linotype" w:cs="Palatino Linotype"/>
          <w:b/>
        </w:rPr>
      </w:pPr>
    </w:p>
    <w:p w:rsidR="00344577" w:rsidRPr="00E42C25" w:rsidRDefault="00353BAA">
      <w:pPr>
        <w:widowControl w:val="0"/>
        <w:spacing w:line="360" w:lineRule="auto"/>
        <w:jc w:val="both"/>
        <w:rPr>
          <w:rFonts w:ascii="Palatino Linotype" w:eastAsia="Palatino Linotype" w:hAnsi="Palatino Linotype" w:cs="Palatino Linotype"/>
          <w:b/>
        </w:rPr>
      </w:pPr>
      <w:r w:rsidRPr="00E42C25">
        <w:rPr>
          <w:rFonts w:ascii="Palatino Linotype" w:eastAsia="Palatino Linotype" w:hAnsi="Palatino Linotype" w:cs="Palatino Linotype"/>
          <w:b/>
          <w:sz w:val="28"/>
          <w:szCs w:val="28"/>
        </w:rPr>
        <w:t>QUINTO.</w:t>
      </w:r>
      <w:r w:rsidRPr="00E42C25">
        <w:rPr>
          <w:rFonts w:ascii="Palatino Linotype" w:eastAsia="Palatino Linotype" w:hAnsi="Palatino Linotype" w:cs="Palatino Linotype"/>
          <w:b/>
        </w:rPr>
        <w:t xml:space="preserve"> Hágase</w:t>
      </w:r>
      <w:r w:rsidRPr="00E42C25">
        <w:rPr>
          <w:rFonts w:ascii="Palatino Linotype" w:eastAsia="Palatino Linotype" w:hAnsi="Palatino Linotype" w:cs="Palatino Linotype"/>
        </w:rPr>
        <w:t xml:space="preserve"> </w:t>
      </w:r>
      <w:r w:rsidRPr="00E42C25">
        <w:rPr>
          <w:rFonts w:ascii="Palatino Linotype" w:eastAsia="Palatino Linotype" w:hAnsi="Palatino Linotype" w:cs="Palatino Linotype"/>
          <w:b/>
        </w:rPr>
        <w:t>del conocimiento</w:t>
      </w:r>
      <w:r w:rsidRPr="00E42C25">
        <w:rPr>
          <w:rFonts w:ascii="Palatino Linotype" w:eastAsia="Palatino Linotype" w:hAnsi="Palatino Linotype" w:cs="Palatino Linotype"/>
        </w:rPr>
        <w:t xml:space="preserve"> del</w:t>
      </w:r>
      <w:r w:rsidRPr="00E42C25">
        <w:rPr>
          <w:rFonts w:ascii="Palatino Linotype" w:eastAsia="Palatino Linotype" w:hAnsi="Palatino Linotype" w:cs="Palatino Linotype"/>
          <w:b/>
        </w:rPr>
        <w:t xml:space="preserve"> RECURRENTE</w:t>
      </w:r>
      <w:r w:rsidRPr="00E42C25">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rsidR="00344577" w:rsidRPr="00E42C25" w:rsidRDefault="00344577">
      <w:pPr>
        <w:tabs>
          <w:tab w:val="left" w:pos="709"/>
        </w:tabs>
        <w:spacing w:line="360" w:lineRule="auto"/>
        <w:ind w:right="51"/>
        <w:jc w:val="both"/>
        <w:rPr>
          <w:rFonts w:ascii="Palatino Linotype" w:eastAsia="Palatino Linotype" w:hAnsi="Palatino Linotype" w:cs="Palatino Linotype"/>
        </w:rPr>
      </w:pPr>
    </w:p>
    <w:p w:rsidR="00344577" w:rsidRPr="00E42C25" w:rsidRDefault="00353BAA">
      <w:pPr>
        <w:widowControl w:val="0"/>
        <w:spacing w:line="360" w:lineRule="auto"/>
        <w:jc w:val="both"/>
        <w:rPr>
          <w:rFonts w:ascii="Palatino Linotype" w:eastAsia="Palatino Linotype" w:hAnsi="Palatino Linotype" w:cs="Palatino Linotype"/>
        </w:rPr>
      </w:pPr>
      <w:r w:rsidRPr="00E42C25">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w:t>
      </w:r>
      <w:r w:rsidR="00E42C25">
        <w:rPr>
          <w:rFonts w:ascii="Palatino Linotype" w:eastAsia="Palatino Linotype" w:hAnsi="Palatino Linotype" w:cs="Palatino Linotype"/>
        </w:rPr>
        <w:t>VEINTI</w:t>
      </w:r>
      <w:r w:rsidRPr="00E42C25">
        <w:rPr>
          <w:rFonts w:ascii="Palatino Linotype" w:eastAsia="Palatino Linotype" w:hAnsi="Palatino Linotype" w:cs="Palatino Linotype"/>
        </w:rPr>
        <w:t>CUATRO, ANTE EL SECRETARIO TÉCNICO DEL PLENO, ALEXIS TAPIA RAMÍREZ.</w:t>
      </w:r>
    </w:p>
    <w:p w:rsidR="00344577" w:rsidRPr="00E42C25" w:rsidRDefault="00E42C25">
      <w:pPr>
        <w:widowControl w:val="0"/>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SCMM/AGZ</w:t>
      </w:r>
      <w:r w:rsidR="00353BAA" w:rsidRPr="00E42C25">
        <w:rPr>
          <w:rFonts w:ascii="Palatino Linotype" w:eastAsia="Palatino Linotype" w:hAnsi="Palatino Linotype" w:cs="Palatino Linotype"/>
          <w:sz w:val="20"/>
          <w:szCs w:val="20"/>
        </w:rPr>
        <w:t>/DEMF/RPG</w:t>
      </w:r>
    </w:p>
    <w:p w:rsidR="00344577" w:rsidRPr="00E42C25" w:rsidRDefault="00353BAA">
      <w:pPr>
        <w:spacing w:line="360" w:lineRule="auto"/>
        <w:jc w:val="both"/>
        <w:rPr>
          <w:rFonts w:ascii="Palatino Linotype" w:eastAsia="Palatino Linotype" w:hAnsi="Palatino Linotype" w:cs="Palatino Linotype"/>
        </w:rPr>
      </w:pPr>
      <w:r w:rsidRPr="00E42C25">
        <w:br w:type="page"/>
      </w:r>
    </w:p>
    <w:p w:rsidR="00344577" w:rsidRPr="00E42C25" w:rsidRDefault="00344577">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344577" w:rsidRPr="00E42C25">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C76" w:rsidRDefault="008D2C76">
      <w:r>
        <w:separator/>
      </w:r>
    </w:p>
  </w:endnote>
  <w:endnote w:type="continuationSeparator" w:id="0">
    <w:p w:rsidR="008D2C76" w:rsidRDefault="008D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77" w:rsidRDefault="00353BA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A4F32">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A4F32">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77" w:rsidRDefault="00353BAA">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B3AC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B3AC0">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C76" w:rsidRDefault="008D2C76">
      <w:r>
        <w:separator/>
      </w:r>
    </w:p>
  </w:footnote>
  <w:footnote w:type="continuationSeparator" w:id="0">
    <w:p w:rsidR="008D2C76" w:rsidRDefault="008D2C76">
      <w:r>
        <w:continuationSeparator/>
      </w:r>
    </w:p>
  </w:footnote>
  <w:footnote w:id="1">
    <w:p w:rsidR="00344577" w:rsidRDefault="00353BAA">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6"/>
          <w:szCs w:val="16"/>
        </w:rPr>
        <w:t>Si bien, se registró el nueve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 por lo que, se tuvieron por recibidos, el día hábil subsecuente.</w:t>
      </w:r>
    </w:p>
  </w:footnote>
  <w:footnote w:id="2">
    <w:p w:rsidR="00344577" w:rsidRDefault="00353BAA">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https://morena.org/wp-content/uploads/juridico/2023/morena-Estatuto.pdf</w:t>
      </w:r>
    </w:p>
  </w:footnote>
  <w:footnote w:id="3">
    <w:p w:rsidR="00344577" w:rsidRDefault="00353BAA">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77" w:rsidRDefault="008D2C7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77" w:rsidRDefault="0034457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344577">
      <w:tc>
        <w:tcPr>
          <w:tcW w:w="2977" w:type="dxa"/>
          <w:vMerge w:val="restart"/>
        </w:tcPr>
        <w:p w:rsidR="00344577" w:rsidRDefault="00353BAA">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rsidR="00344577" w:rsidRDefault="00353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rsidR="00344577" w:rsidRDefault="00353BA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06137/INFOEM/IP/RR/2023</w:t>
          </w:r>
        </w:p>
      </w:tc>
    </w:tr>
    <w:tr w:rsidR="00344577">
      <w:tc>
        <w:tcPr>
          <w:tcW w:w="2977" w:type="dxa"/>
          <w:vMerge/>
        </w:tcPr>
        <w:p w:rsidR="00344577" w:rsidRDefault="0034457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344577" w:rsidRDefault="00353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rsidR="00344577" w:rsidRDefault="00353BA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p>
      </w:tc>
    </w:tr>
    <w:tr w:rsidR="00344577">
      <w:trPr>
        <w:trHeight w:val="228"/>
      </w:trPr>
      <w:tc>
        <w:tcPr>
          <w:tcW w:w="2977" w:type="dxa"/>
          <w:vMerge/>
        </w:tcPr>
        <w:p w:rsidR="00344577" w:rsidRDefault="0034457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344577" w:rsidRDefault="00353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rsidR="00344577" w:rsidRDefault="00353BA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344577" w:rsidRDefault="0034457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577" w:rsidRDefault="008D2C76">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3"/>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344577">
      <w:tc>
        <w:tcPr>
          <w:tcW w:w="4111" w:type="dxa"/>
          <w:vMerge w:val="restart"/>
          <w:shd w:val="clear" w:color="auto" w:fill="auto"/>
        </w:tcPr>
        <w:p w:rsidR="00344577" w:rsidRDefault="00353BAA">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extent cx="1692162" cy="85267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rsidR="00344577" w:rsidRDefault="00353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rsidR="00344577" w:rsidRDefault="00353BA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06137/INFOEM/IP/RR/2023</w:t>
          </w:r>
        </w:p>
      </w:tc>
    </w:tr>
    <w:tr w:rsidR="00344577">
      <w:tc>
        <w:tcPr>
          <w:tcW w:w="4111" w:type="dxa"/>
          <w:vMerge/>
          <w:shd w:val="clear" w:color="auto" w:fill="auto"/>
        </w:tcPr>
        <w:p w:rsidR="00344577" w:rsidRDefault="0034457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344577" w:rsidRDefault="00353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rsidR="00344577" w:rsidRDefault="004B3AC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 XXXXXXXXXX</w:t>
          </w:r>
        </w:p>
      </w:tc>
    </w:tr>
    <w:tr w:rsidR="00344577">
      <w:trPr>
        <w:trHeight w:val="228"/>
      </w:trPr>
      <w:tc>
        <w:tcPr>
          <w:tcW w:w="4111" w:type="dxa"/>
          <w:vMerge/>
          <w:shd w:val="clear" w:color="auto" w:fill="auto"/>
        </w:tcPr>
        <w:p w:rsidR="00344577" w:rsidRDefault="0034457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344577" w:rsidRDefault="00353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rsidR="00344577" w:rsidRDefault="00353BA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p>
      </w:tc>
    </w:tr>
    <w:tr w:rsidR="00344577">
      <w:tc>
        <w:tcPr>
          <w:tcW w:w="4111" w:type="dxa"/>
          <w:vMerge/>
          <w:shd w:val="clear" w:color="auto" w:fill="auto"/>
        </w:tcPr>
        <w:p w:rsidR="00344577" w:rsidRDefault="0034457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344577" w:rsidRDefault="00353B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rsidR="00344577" w:rsidRDefault="00353BA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344577" w:rsidRDefault="00344577">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6A23"/>
    <w:multiLevelType w:val="multilevel"/>
    <w:tmpl w:val="FFD4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C7058D"/>
    <w:multiLevelType w:val="multilevel"/>
    <w:tmpl w:val="2B941A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77"/>
    <w:rsid w:val="00165CA2"/>
    <w:rsid w:val="00344577"/>
    <w:rsid w:val="00353BAA"/>
    <w:rsid w:val="003C79AD"/>
    <w:rsid w:val="004B3AC0"/>
    <w:rsid w:val="00757D4C"/>
    <w:rsid w:val="008D2C76"/>
    <w:rsid w:val="00B75B86"/>
    <w:rsid w:val="00CA4F32"/>
    <w:rsid w:val="00E42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049BD89-2343-4514-81C0-0E33AA21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bAnlIsqnM73HzZXYvNKJhEZAQ==">CgMxLjAyCGguZ2pkZ3hzMgloLjMwajB6bGw4AHIhMVB1MXdOdVROYXRvRHktTFFRc1FHaTFadl9NbTFtUDNM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5148</Words>
  <Characters>28314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7</cp:revision>
  <cp:lastPrinted>2024-02-12T21:22:00Z</cp:lastPrinted>
  <dcterms:created xsi:type="dcterms:W3CDTF">2024-01-31T22:14:00Z</dcterms:created>
  <dcterms:modified xsi:type="dcterms:W3CDTF">2024-02-29T00:38:00Z</dcterms:modified>
</cp:coreProperties>
</file>