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26591"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FB6756" w:rsidRPr="0075658F">
        <w:rPr>
          <w:rFonts w:ascii="Palatino Linotype" w:eastAsia="Palatino Linotype" w:hAnsi="Palatino Linotype" w:cs="Palatino Linotype"/>
          <w:b/>
        </w:rPr>
        <w:t>veintiuno</w:t>
      </w:r>
      <w:r w:rsidRPr="0075658F">
        <w:rPr>
          <w:rFonts w:ascii="Palatino Linotype" w:eastAsia="Palatino Linotype" w:hAnsi="Palatino Linotype" w:cs="Palatino Linotype"/>
          <w:b/>
        </w:rPr>
        <w:t xml:space="preserve"> de febrero de dos mil veinticuatro</w:t>
      </w:r>
      <w:r>
        <w:rPr>
          <w:rFonts w:ascii="Palatino Linotype" w:eastAsia="Palatino Linotype" w:hAnsi="Palatino Linotype" w:cs="Palatino Linotype"/>
        </w:rPr>
        <w:t>.</w:t>
      </w:r>
    </w:p>
    <w:p w14:paraId="0E7F557A" w14:textId="77777777" w:rsidR="00CA0B3A" w:rsidRDefault="00CA0B3A">
      <w:pPr>
        <w:spacing w:line="360" w:lineRule="auto"/>
        <w:jc w:val="both"/>
        <w:rPr>
          <w:rFonts w:ascii="Palatino Linotype" w:eastAsia="Palatino Linotype" w:hAnsi="Palatino Linotype" w:cs="Palatino Linotype"/>
        </w:rPr>
      </w:pPr>
    </w:p>
    <w:p w14:paraId="45FEEF14"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00847/INFOEM/IP/RR/2023, </w:t>
      </w:r>
      <w:r>
        <w:rPr>
          <w:rFonts w:ascii="Palatino Linotype" w:eastAsia="Palatino Linotype" w:hAnsi="Palatino Linotype" w:cs="Palatino Linotype"/>
        </w:rPr>
        <w:t xml:space="preserve">promovido por una persona de forma anónima,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w:t>
      </w:r>
      <w:r w:rsidR="00FB6756">
        <w:rPr>
          <w:rFonts w:ascii="Palatino Linotype" w:eastAsia="Palatino Linotype" w:hAnsi="Palatino Linotype" w:cs="Palatino Linotype"/>
        </w:rPr>
        <w:t>de 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Secretaría de Movilidad </w:t>
      </w:r>
      <w:r>
        <w:rPr>
          <w:rFonts w:ascii="Palatino Linotype" w:eastAsia="Palatino Linotype" w:hAnsi="Palatino Linotype" w:cs="Palatino Linotype"/>
        </w:rPr>
        <w:t xml:space="preserve">en lo subsecuente,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6026B039" w14:textId="77777777" w:rsidR="00CA0B3A" w:rsidRDefault="00CA0B3A">
      <w:pPr>
        <w:spacing w:line="360" w:lineRule="auto"/>
        <w:jc w:val="both"/>
        <w:rPr>
          <w:rFonts w:ascii="Palatino Linotype" w:eastAsia="Palatino Linotype" w:hAnsi="Palatino Linotype" w:cs="Palatino Linotype"/>
        </w:rPr>
      </w:pPr>
    </w:p>
    <w:p w14:paraId="4743725E" w14:textId="77777777" w:rsidR="00CA0B3A" w:rsidRDefault="00F22D03">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01875D10" w14:textId="77777777" w:rsidR="00CA0B3A" w:rsidRDefault="00CA0B3A">
      <w:pPr>
        <w:rPr>
          <w:rFonts w:ascii="Palatino Linotype" w:eastAsia="Palatino Linotype" w:hAnsi="Palatino Linotype" w:cs="Palatino Linotype"/>
          <w:b/>
        </w:rPr>
      </w:pPr>
    </w:p>
    <w:p w14:paraId="4109EB48" w14:textId="77777777" w:rsidR="00CA0B3A" w:rsidRDefault="00F22D03">
      <w:pPr>
        <w:spacing w:line="360" w:lineRule="auto"/>
        <w:jc w:val="both"/>
        <w:rPr>
          <w:rFonts w:ascii="Palatino Linotype" w:eastAsia="Palatino Linotype" w:hAnsi="Palatino Linotype" w:cs="Palatino Linotype"/>
          <w:b/>
          <w:sz w:val="28"/>
          <w:szCs w:val="28"/>
        </w:rPr>
      </w:pPr>
      <w:bookmarkStart w:id="0" w:name="_heading=h.ifuj3wtxm21l" w:colFirst="0" w:colLast="0"/>
      <w:bookmarkEnd w:id="0"/>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 xml:space="preserve">De la Solicitud de Información. </w:t>
      </w:r>
    </w:p>
    <w:p w14:paraId="3493F30A"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Presentación.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doce de enero de dos mil veintitrés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folio </w:t>
      </w:r>
      <w:r>
        <w:rPr>
          <w:rFonts w:ascii="Palatino Linotype" w:eastAsia="Palatino Linotype" w:hAnsi="Palatino Linotype" w:cs="Palatino Linotype"/>
          <w:b/>
        </w:rPr>
        <w:t>00020/SMOV/IP/2023</w:t>
      </w:r>
      <w:r>
        <w:rPr>
          <w:rFonts w:ascii="Palatino Linotype" w:eastAsia="Palatino Linotype" w:hAnsi="Palatino Linotype" w:cs="Palatino Linotype"/>
          <w:b/>
          <w:sz w:val="28"/>
          <w:szCs w:val="28"/>
          <w:vertAlign w:val="superscript"/>
        </w:rPr>
        <w:footnoteReference w:id="2"/>
      </w:r>
      <w:r>
        <w:rPr>
          <w:rFonts w:ascii="Palatino Linotype" w:eastAsia="Palatino Linotype" w:hAnsi="Palatino Linotype" w:cs="Palatino Linotype"/>
        </w:rPr>
        <w:t>, a través de la cual</w:t>
      </w:r>
      <w:r>
        <w:rPr>
          <w:rFonts w:ascii="Palatino Linotype" w:eastAsia="Palatino Linotype" w:hAnsi="Palatino Linotype" w:cs="Palatino Linotype"/>
          <w:b/>
        </w:rPr>
        <w:t xml:space="preserve"> </w:t>
      </w:r>
      <w:r>
        <w:rPr>
          <w:rFonts w:ascii="Palatino Linotype" w:eastAsia="Palatino Linotype" w:hAnsi="Palatino Linotype" w:cs="Palatino Linotype"/>
        </w:rPr>
        <w:t>requirió, lo siguiente:</w:t>
      </w:r>
    </w:p>
    <w:p w14:paraId="2ADF8952" w14:textId="77777777" w:rsidR="00CA0B3A" w:rsidRDefault="00CA0B3A">
      <w:pPr>
        <w:jc w:val="both"/>
        <w:rPr>
          <w:rFonts w:ascii="Palatino Linotype" w:eastAsia="Palatino Linotype" w:hAnsi="Palatino Linotype" w:cs="Palatino Linotype"/>
          <w:sz w:val="16"/>
          <w:szCs w:val="16"/>
        </w:rPr>
      </w:pPr>
    </w:p>
    <w:p w14:paraId="5CA3DB97" w14:textId="77777777" w:rsidR="00CA0B3A" w:rsidRDefault="00F22D03">
      <w:pPr>
        <w:ind w:left="850" w:right="899"/>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i/>
          <w:sz w:val="22"/>
          <w:szCs w:val="22"/>
        </w:rPr>
        <w:t xml:space="preserve">“en formato abierto se </w:t>
      </w:r>
      <w:proofErr w:type="spellStart"/>
      <w:r>
        <w:rPr>
          <w:rFonts w:ascii="Palatino Linotype" w:eastAsia="Palatino Linotype" w:hAnsi="Palatino Linotype" w:cs="Palatino Linotype"/>
          <w:i/>
          <w:sz w:val="22"/>
          <w:szCs w:val="22"/>
        </w:rPr>
        <w:t>entrege</w:t>
      </w:r>
      <w:proofErr w:type="spellEnd"/>
      <w:r>
        <w:rPr>
          <w:rFonts w:ascii="Palatino Linotype" w:eastAsia="Palatino Linotype" w:hAnsi="Palatino Linotype" w:cs="Palatino Linotype"/>
          <w:i/>
          <w:sz w:val="22"/>
          <w:szCs w:val="22"/>
        </w:rPr>
        <w:t xml:space="preserve"> el informe de PADA 2022 y el programa anual de desarrollo archivístico 2023.</w:t>
      </w:r>
      <w:r>
        <w:rPr>
          <w:rFonts w:ascii="Palatino Linotype" w:eastAsia="Palatino Linotype" w:hAnsi="Palatino Linotype" w:cs="Palatino Linotype"/>
          <w:i/>
        </w:rPr>
        <w:t xml:space="preserve">” (sic) </w:t>
      </w:r>
    </w:p>
    <w:p w14:paraId="152C10AA" w14:textId="77777777" w:rsidR="00CA0B3A" w:rsidRDefault="00CA0B3A">
      <w:pPr>
        <w:widowControl w:val="0"/>
        <w:spacing w:line="360" w:lineRule="auto"/>
        <w:jc w:val="both"/>
        <w:rPr>
          <w:rFonts w:ascii="Palatino Linotype" w:eastAsia="Palatino Linotype" w:hAnsi="Palatino Linotype" w:cs="Palatino Linotype"/>
          <w:b/>
        </w:rPr>
      </w:pPr>
    </w:p>
    <w:p w14:paraId="5688174F" w14:textId="77777777" w:rsidR="00CA0B3A" w:rsidRDefault="00F22D03">
      <w:pPr>
        <w:widowControl w:val="0"/>
        <w:spacing w:line="360" w:lineRule="auto"/>
        <w:jc w:val="both"/>
        <w:rPr>
          <w:rFonts w:ascii="Palatino Linotype" w:eastAsia="Palatino Linotype" w:hAnsi="Palatino Linotype" w:cs="Palatino Linotype"/>
          <w:b/>
        </w:rPr>
      </w:pPr>
      <w:bookmarkStart w:id="2" w:name="_heading=h.1fob9te" w:colFirst="0" w:colLast="0"/>
      <w:bookmarkEnd w:id="2"/>
      <w:r>
        <w:rPr>
          <w:rFonts w:ascii="Palatino Linotype" w:eastAsia="Palatino Linotype" w:hAnsi="Palatino Linotype" w:cs="Palatino Linotype"/>
          <w:b/>
        </w:rPr>
        <w:lastRenderedPageBreak/>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SAIMEX </w:t>
      </w:r>
    </w:p>
    <w:p w14:paraId="3DF30B77" w14:textId="77777777" w:rsidR="00CA0B3A" w:rsidRDefault="00CA0B3A">
      <w:pPr>
        <w:widowControl w:val="0"/>
        <w:spacing w:line="360" w:lineRule="auto"/>
        <w:jc w:val="both"/>
        <w:rPr>
          <w:rFonts w:ascii="Palatino Linotype" w:eastAsia="Palatino Linotype" w:hAnsi="Palatino Linotype" w:cs="Palatino Linotype"/>
          <w:b/>
        </w:rPr>
      </w:pPr>
    </w:p>
    <w:p w14:paraId="300B9EEF"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Turno de requerimiento del Sujeto Obligado. </w:t>
      </w:r>
      <w:r>
        <w:rPr>
          <w:rFonts w:ascii="Palatino Linotype" w:eastAsia="Palatino Linotype" w:hAnsi="Palatino Linotype" w:cs="Palatino Linotype"/>
        </w:rPr>
        <w:t>El trece de enero, el Titular de la Unidad de Transparencia para estar en posibilidades de dar trámite y atención a la solicitud de información relativa al presente Recurso de Revisión, turnó el requerimiento de información al servidor público habilitado que estimó competente</w:t>
      </w:r>
    </w:p>
    <w:p w14:paraId="48DD1456" w14:textId="77777777" w:rsidR="00CA0B3A" w:rsidRDefault="00CA0B3A">
      <w:pPr>
        <w:spacing w:line="360" w:lineRule="auto"/>
        <w:jc w:val="both"/>
        <w:rPr>
          <w:rFonts w:ascii="Palatino Linotype" w:eastAsia="Palatino Linotype" w:hAnsi="Palatino Linotype" w:cs="Palatino Linotype"/>
          <w:b/>
        </w:rPr>
      </w:pPr>
    </w:p>
    <w:p w14:paraId="6461F517"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El veinticinco de enero,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en los términos siguientes: </w:t>
      </w:r>
    </w:p>
    <w:p w14:paraId="1D0468FF"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3CB8DB"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anexa respuesta en </w:t>
      </w:r>
      <w:proofErr w:type="spellStart"/>
      <w:r>
        <w:rPr>
          <w:rFonts w:ascii="Palatino Linotype" w:eastAsia="Palatino Linotype" w:hAnsi="Palatino Linotype" w:cs="Palatino Linotype"/>
          <w:i/>
          <w:sz w:val="22"/>
          <w:szCs w:val="22"/>
        </w:rPr>
        <w:t>formado</w:t>
      </w:r>
      <w:proofErr w:type="spellEnd"/>
      <w:r>
        <w:rPr>
          <w:rFonts w:ascii="Palatino Linotype" w:eastAsia="Palatino Linotype" w:hAnsi="Palatino Linotype" w:cs="Palatino Linotype"/>
          <w:i/>
          <w:sz w:val="22"/>
          <w:szCs w:val="22"/>
        </w:rPr>
        <w:t xml:space="preserve"> PDF para pronta referencia.</w:t>
      </w:r>
    </w:p>
    <w:p w14:paraId="2D8C8892"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6008CF" w14:textId="77777777" w:rsidR="00CA0B3A" w:rsidRDefault="00CA0B3A">
      <w:pPr>
        <w:spacing w:line="360" w:lineRule="auto"/>
        <w:jc w:val="both"/>
        <w:rPr>
          <w:rFonts w:ascii="Palatino Linotype" w:eastAsia="Palatino Linotype" w:hAnsi="Palatino Linotype" w:cs="Palatino Linotype"/>
        </w:rPr>
      </w:pPr>
    </w:p>
    <w:p w14:paraId="163E906B" w14:textId="77777777" w:rsidR="00CA0B3A" w:rsidRDefault="00F22D03">
      <w:pPr>
        <w:spacing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Adjuntando a su respuesta el archivo </w:t>
      </w:r>
      <w:r>
        <w:rPr>
          <w:rFonts w:ascii="Palatino Linotype" w:eastAsia="Palatino Linotype" w:hAnsi="Palatino Linotype" w:cs="Palatino Linotype"/>
          <w:i/>
        </w:rPr>
        <w:t>Respuesta Solicitud 020.pdf</w:t>
      </w:r>
      <w:r>
        <w:rPr>
          <w:rFonts w:ascii="Palatino Linotype" w:eastAsia="Palatino Linotype" w:hAnsi="Palatino Linotype" w:cs="Palatino Linotype"/>
        </w:rPr>
        <w:t>, consistente en el oficio 22000011000001S/015/2023 de diecisiete de enero suscrito por la Jefa de Departamento de Gestión Documental y Administración de Archivos, en el cual responde que, con relación al Informe del PADA 2022 se encuentra publicado y disponible en el portal electrónico de la Secretaria de Movilidad y proporciona vínculo de acceso. Respecto del Programa Anual de Desarrollo Archivístico (PADA) 2023 refiere que se encuentra en proceso de elaboración y revisión.</w:t>
      </w:r>
    </w:p>
    <w:p w14:paraId="79371A94" w14:textId="77777777" w:rsidR="00CA0B3A" w:rsidRDefault="00CA0B3A">
      <w:pPr>
        <w:spacing w:line="360" w:lineRule="auto"/>
        <w:jc w:val="both"/>
        <w:rPr>
          <w:rFonts w:ascii="Palatino Linotype" w:eastAsia="Palatino Linotype" w:hAnsi="Palatino Linotype" w:cs="Palatino Linotype"/>
          <w:sz w:val="18"/>
          <w:szCs w:val="18"/>
        </w:rPr>
      </w:pPr>
    </w:p>
    <w:p w14:paraId="5203AB6E"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II. Del Recurso de Revisión</w:t>
      </w:r>
      <w:r>
        <w:rPr>
          <w:rFonts w:ascii="Palatino Linotype" w:eastAsia="Palatino Linotype" w:hAnsi="Palatino Linotype" w:cs="Palatino Linotype"/>
          <w:b/>
        </w:rPr>
        <w:t>.</w:t>
      </w:r>
    </w:p>
    <w:p w14:paraId="71D48AFA" w14:textId="77777777" w:rsidR="00CA0B3A" w:rsidRDefault="00F22D0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Presentación.</w:t>
      </w:r>
      <w:r>
        <w:rPr>
          <w:rFonts w:ascii="Palatino Linotype" w:eastAsia="Palatino Linotype" w:hAnsi="Palatino Linotype" w:cs="Palatino Linotype"/>
        </w:rPr>
        <w:t xml:space="preserve"> Inconforme con la respuesta; el catorce de febrero,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en 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registrado bajo el número de </w:t>
      </w:r>
      <w:r>
        <w:rPr>
          <w:rFonts w:ascii="Palatino Linotype" w:eastAsia="Palatino Linotype" w:hAnsi="Palatino Linotype" w:cs="Palatino Linotype"/>
        </w:rPr>
        <w:lastRenderedPageBreak/>
        <w:t xml:space="preserve">expediente </w:t>
      </w:r>
      <w:r>
        <w:rPr>
          <w:rFonts w:ascii="Palatino Linotype" w:eastAsia="Palatino Linotype" w:hAnsi="Palatino Linotype" w:cs="Palatino Linotype"/>
          <w:b/>
        </w:rPr>
        <w:t xml:space="preserve">00847/INFOEM/IP/RR/2023; </w:t>
      </w:r>
      <w:r>
        <w:rPr>
          <w:rFonts w:ascii="Palatino Linotype" w:eastAsia="Palatino Linotype" w:hAnsi="Palatino Linotype" w:cs="Palatino Linotype"/>
        </w:rPr>
        <w:t>señalando:</w:t>
      </w:r>
    </w:p>
    <w:p w14:paraId="01E487DE" w14:textId="77777777" w:rsidR="00CA0B3A" w:rsidRDefault="00CA0B3A">
      <w:pPr>
        <w:widowControl w:val="0"/>
        <w:spacing w:line="360" w:lineRule="auto"/>
        <w:jc w:val="both"/>
        <w:rPr>
          <w:rFonts w:ascii="Palatino Linotype" w:eastAsia="Palatino Linotype" w:hAnsi="Palatino Linotype" w:cs="Palatino Linotype"/>
        </w:rPr>
      </w:pPr>
    </w:p>
    <w:p w14:paraId="373D0A9E" w14:textId="77777777" w:rsidR="00CA0B3A" w:rsidRDefault="00F22D03">
      <w:pPr>
        <w:widowControl w:val="0"/>
        <w:ind w:left="851"/>
        <w:jc w:val="both"/>
        <w:rPr>
          <w:rFonts w:ascii="Palatino Linotype" w:eastAsia="Palatino Linotype" w:hAnsi="Palatino Linotype" w:cs="Palatino Linotype"/>
        </w:rPr>
      </w:pPr>
      <w:r>
        <w:rPr>
          <w:rFonts w:ascii="Palatino Linotype" w:eastAsia="Palatino Linotype" w:hAnsi="Palatino Linotype" w:cs="Palatino Linotype"/>
          <w:b/>
        </w:rPr>
        <w:t>Acto impugnado:</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Negativa de la información (sic).</w:t>
      </w:r>
    </w:p>
    <w:p w14:paraId="3BCD275E" w14:textId="77777777" w:rsidR="00CA0B3A" w:rsidRDefault="00CA0B3A">
      <w:pPr>
        <w:widowControl w:val="0"/>
        <w:ind w:left="851"/>
        <w:jc w:val="both"/>
        <w:rPr>
          <w:rFonts w:ascii="Palatino Linotype" w:eastAsia="Palatino Linotype" w:hAnsi="Palatino Linotype" w:cs="Palatino Linotype"/>
          <w:b/>
        </w:rPr>
      </w:pPr>
    </w:p>
    <w:p w14:paraId="486C1511" w14:textId="77777777" w:rsidR="00CA0B3A" w:rsidRDefault="00F22D03">
      <w:pPr>
        <w:widowControl w:val="0"/>
        <w:ind w:left="851"/>
        <w:jc w:val="both"/>
        <w:rPr>
          <w:rFonts w:ascii="Palatino Linotype" w:eastAsia="Palatino Linotype" w:hAnsi="Palatino Linotype" w:cs="Palatino Linotype"/>
        </w:rPr>
      </w:pPr>
      <w:r>
        <w:rPr>
          <w:rFonts w:ascii="Palatino Linotype" w:eastAsia="Palatino Linotype" w:hAnsi="Palatino Linotype" w:cs="Palatino Linotype"/>
          <w:b/>
        </w:rPr>
        <w:t>Motivos de agravio:</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No entrega la información solicitada por SAIMEX (sic).</w:t>
      </w:r>
    </w:p>
    <w:p w14:paraId="757117CC" w14:textId="77777777" w:rsidR="00CA0B3A" w:rsidRDefault="00CA0B3A">
      <w:pPr>
        <w:jc w:val="both"/>
        <w:rPr>
          <w:rFonts w:ascii="Palatino Linotype" w:eastAsia="Palatino Linotype" w:hAnsi="Palatino Linotype" w:cs="Palatino Linotype"/>
        </w:rPr>
      </w:pPr>
    </w:p>
    <w:p w14:paraId="0EAAD929"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Del turno del Recurso de Revisión. </w:t>
      </w:r>
      <w:r>
        <w:rPr>
          <w:rFonts w:ascii="Palatino Linotype" w:eastAsia="Palatino Linotype" w:hAnsi="Palatino Linotype" w:cs="Palatino Linotype"/>
        </w:rPr>
        <w:t xml:space="preserve">El </w:t>
      </w:r>
      <w:r w:rsidR="00FB6756">
        <w:rPr>
          <w:rFonts w:ascii="Palatino Linotype" w:eastAsia="Palatino Linotype" w:hAnsi="Palatino Linotype" w:cs="Palatino Linotype"/>
        </w:rPr>
        <w:t>catorce de febrero</w:t>
      </w:r>
      <w:r>
        <w:rPr>
          <w:rFonts w:ascii="Palatino Linotype" w:eastAsia="Palatino Linotype" w:hAnsi="Palatino Linotype" w:cs="Palatino Linotype"/>
        </w:rPr>
        <w:t>, el Recurso se envió electrónicamente a este Instituto de Transparencia y con fundamento en el artículo 185, fracción I de la Ley de Transparencia y Acceso a la Información Pública del Estado de México y Municipios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se turnó 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a efecto de decretar su admisión o desechamiento.</w:t>
      </w:r>
    </w:p>
    <w:p w14:paraId="4B59AAAC" w14:textId="77777777" w:rsidR="00CA0B3A" w:rsidRDefault="00CA0B3A">
      <w:pPr>
        <w:spacing w:line="360" w:lineRule="auto"/>
        <w:jc w:val="both"/>
        <w:rPr>
          <w:rFonts w:ascii="Palatino Linotype" w:eastAsia="Palatino Linotype" w:hAnsi="Palatino Linotype" w:cs="Palatino Linotype"/>
        </w:rPr>
      </w:pPr>
    </w:p>
    <w:p w14:paraId="49F56BD7" w14:textId="77777777" w:rsidR="00CA0B3A" w:rsidRDefault="00F22D03">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Admisión del Recurso de Revisión. </w:t>
      </w:r>
      <w:r>
        <w:rPr>
          <w:rFonts w:ascii="Palatino Linotype" w:eastAsia="Palatino Linotype" w:hAnsi="Palatino Linotype" w:cs="Palatino Linotype"/>
        </w:rPr>
        <w:t>El quince de febrero, se acordó la admisión; así como la integración del expediente respectivo, mismo que se puso a disposición de las partes, para que en un plazo máximo de siete días hábiles</w:t>
      </w:r>
      <w:r>
        <w:rPr>
          <w:rFonts w:ascii="Palatino Linotype" w:eastAsia="Palatino Linotype" w:hAnsi="Palatino Linotype" w:cs="Palatino Linotype"/>
          <w:b/>
        </w:rPr>
        <w:t xml:space="preserve"> El Recurrente </w:t>
      </w:r>
      <w:r>
        <w:rPr>
          <w:rFonts w:ascii="Palatino Linotype" w:eastAsia="Palatino Linotype" w:hAnsi="Palatino Linotype" w:cs="Palatino Linotype"/>
        </w:rPr>
        <w:t xml:space="preserve">manifestara lo que a su derecho conviniera, a efecto de presentar pruebas y alegatos; y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 lo anterior, conforme a lo dispuesto por el artículo 185 de la Ley de Transparencia local.</w:t>
      </w:r>
    </w:p>
    <w:p w14:paraId="6736EB66" w14:textId="77777777" w:rsidR="00CA0B3A" w:rsidRDefault="00CA0B3A">
      <w:pPr>
        <w:tabs>
          <w:tab w:val="center" w:pos="4252"/>
          <w:tab w:val="right" w:pos="8504"/>
        </w:tabs>
        <w:spacing w:line="360" w:lineRule="auto"/>
        <w:jc w:val="both"/>
        <w:rPr>
          <w:rFonts w:ascii="Palatino Linotype" w:eastAsia="Palatino Linotype" w:hAnsi="Palatino Linotype" w:cs="Palatino Linotype"/>
        </w:rPr>
      </w:pPr>
    </w:p>
    <w:p w14:paraId="40F18F28" w14:textId="77777777" w:rsidR="00CA0B3A" w:rsidRDefault="00F22D03">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 xml:space="preserve">4. Manifestaciones e Informe Justificado. </w:t>
      </w:r>
      <w:r>
        <w:rPr>
          <w:rFonts w:ascii="Palatino Linotype" w:eastAsia="Palatino Linotype" w:hAnsi="Palatino Linotype" w:cs="Palatino Linotype"/>
        </w:rPr>
        <w:t xml:space="preserve">Dentro del término legalmente concedido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no presentó manifestaciones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con el </w:t>
      </w:r>
      <w:r>
        <w:rPr>
          <w:rFonts w:ascii="Palatino Linotype" w:eastAsia="Palatino Linotype" w:hAnsi="Palatino Linotype" w:cs="Palatino Linotype"/>
          <w:i/>
        </w:rPr>
        <w:t>Informe Justificado RR 00847.pdf</w:t>
      </w:r>
      <w:r>
        <w:rPr>
          <w:rFonts w:ascii="Palatino Linotype" w:eastAsia="Palatino Linotype" w:hAnsi="Palatino Linotype" w:cs="Palatino Linotype"/>
        </w:rPr>
        <w:t xml:space="preserve">, consistente en el oficio CCT/UT/0182/2023 de tres de marzo suscrito por el Titular de la Unidad de </w:t>
      </w:r>
      <w:r>
        <w:rPr>
          <w:rFonts w:ascii="Palatino Linotype" w:eastAsia="Palatino Linotype" w:hAnsi="Palatino Linotype" w:cs="Palatino Linotype"/>
        </w:rPr>
        <w:lastRenderedPageBreak/>
        <w:t xml:space="preserve">Transparencia, en donde señala que, con la finalidad de atender el Servidor Público Habilitado dela Coordinación Administrativa y de Gestión Documental, emitió pronunciamiento y solicita se tenga por presentada la respuesta a través del Informe Justificado. </w:t>
      </w:r>
    </w:p>
    <w:p w14:paraId="0E0DC8FA" w14:textId="77777777" w:rsidR="00CA0B3A" w:rsidRDefault="00CA0B3A">
      <w:pPr>
        <w:spacing w:line="360" w:lineRule="auto"/>
        <w:jc w:val="both"/>
        <w:rPr>
          <w:rFonts w:ascii="Palatino Linotype" w:eastAsia="Palatino Linotype" w:hAnsi="Palatino Linotype" w:cs="Palatino Linotype"/>
        </w:rPr>
      </w:pPr>
    </w:p>
    <w:p w14:paraId="41E3D152"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acompaña el archivo </w:t>
      </w:r>
      <w:r>
        <w:rPr>
          <w:rFonts w:ascii="Palatino Linotype" w:eastAsia="Palatino Linotype" w:hAnsi="Palatino Linotype" w:cs="Palatino Linotype"/>
          <w:i/>
        </w:rPr>
        <w:t>Oficio CAAD T098 RR 00847.pdf</w:t>
      </w:r>
      <w:r>
        <w:rPr>
          <w:rFonts w:ascii="Palatino Linotype" w:eastAsia="Palatino Linotype" w:hAnsi="Palatino Linotype" w:cs="Palatino Linotype"/>
        </w:rPr>
        <w:t xml:space="preserve">, en donde el Servidor Público Habilitado informa al Titular de la Unidad de Transparencia que adjunta la respuesta solicitando a la Comisionada Ponente sea puesta disposición del Recurrente.  </w:t>
      </w:r>
    </w:p>
    <w:p w14:paraId="5BE220F6" w14:textId="77777777" w:rsidR="00CA0B3A" w:rsidRDefault="00CA0B3A">
      <w:pPr>
        <w:spacing w:line="360" w:lineRule="auto"/>
        <w:jc w:val="both"/>
        <w:rPr>
          <w:rFonts w:ascii="Palatino Linotype" w:eastAsia="Palatino Linotype" w:hAnsi="Palatino Linotype" w:cs="Palatino Linotype"/>
        </w:rPr>
      </w:pPr>
    </w:p>
    <w:p w14:paraId="0D1765F8" w14:textId="77777777" w:rsidR="00CA0B3A" w:rsidRDefault="00F22D03">
      <w:pPr>
        <w:widowControl w:val="0"/>
        <w:tabs>
          <w:tab w:val="left" w:pos="0"/>
        </w:tabs>
        <w:spacing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 xml:space="preserve">5. De la ampliación. </w:t>
      </w:r>
      <w:r>
        <w:rPr>
          <w:rFonts w:ascii="Palatino Linotype" w:eastAsia="Palatino Linotype" w:hAnsi="Palatino Linotype" w:cs="Palatino Linotype"/>
        </w:rPr>
        <w:t>El diecinueve de abril, se notificó el acuerdo de ampliación de plazo para resolver el presente Recurso de Revisión, previsto en el artículo 181, tercer párrafo de la Ley de Transparencia local.</w:t>
      </w:r>
    </w:p>
    <w:p w14:paraId="55AFA473" w14:textId="77777777" w:rsidR="00CA0B3A" w:rsidRDefault="00CA0B3A">
      <w:pPr>
        <w:spacing w:line="360" w:lineRule="auto"/>
        <w:jc w:val="both"/>
        <w:rPr>
          <w:rFonts w:ascii="Palatino Linotype" w:eastAsia="Palatino Linotype" w:hAnsi="Palatino Linotype" w:cs="Palatino Linotype"/>
        </w:rPr>
      </w:pPr>
      <w:bookmarkStart w:id="6" w:name="_heading=h.vk1hlboevp3r" w:colFirst="0" w:colLast="0"/>
      <w:bookmarkEnd w:id="6"/>
    </w:p>
    <w:p w14:paraId="4E44A2F2"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A2C0F95" w14:textId="77777777" w:rsidR="00CA0B3A" w:rsidRDefault="00CA0B3A">
      <w:pPr>
        <w:spacing w:line="360" w:lineRule="auto"/>
        <w:jc w:val="both"/>
        <w:rPr>
          <w:rFonts w:ascii="Palatino Linotype" w:eastAsia="Palatino Linotype" w:hAnsi="Palatino Linotype" w:cs="Palatino Linotype"/>
        </w:rPr>
      </w:pPr>
    </w:p>
    <w:p w14:paraId="475E8FA9"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1BA19A5" w14:textId="77777777" w:rsidR="00CA0B3A" w:rsidRDefault="00CA0B3A">
      <w:pPr>
        <w:spacing w:line="360" w:lineRule="auto"/>
        <w:jc w:val="both"/>
        <w:rPr>
          <w:rFonts w:ascii="Palatino Linotype" w:eastAsia="Palatino Linotype" w:hAnsi="Palatino Linotype" w:cs="Palatino Linotype"/>
        </w:rPr>
      </w:pPr>
    </w:p>
    <w:p w14:paraId="2B767ADA"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53C19A" w14:textId="77777777" w:rsidR="00CA0B3A" w:rsidRDefault="00CA0B3A">
      <w:pPr>
        <w:spacing w:line="360" w:lineRule="auto"/>
        <w:jc w:val="both"/>
        <w:rPr>
          <w:rFonts w:ascii="Palatino Linotype" w:eastAsia="Palatino Linotype" w:hAnsi="Palatino Linotype" w:cs="Palatino Linotype"/>
        </w:rPr>
      </w:pPr>
    </w:p>
    <w:p w14:paraId="57372AED"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76BB35" w14:textId="77777777" w:rsidR="00CA0B3A" w:rsidRDefault="00CA0B3A">
      <w:pPr>
        <w:spacing w:line="360" w:lineRule="auto"/>
        <w:jc w:val="both"/>
        <w:rPr>
          <w:rFonts w:ascii="Palatino Linotype" w:eastAsia="Palatino Linotype" w:hAnsi="Palatino Linotype" w:cs="Palatino Linotype"/>
        </w:rPr>
      </w:pPr>
    </w:p>
    <w:p w14:paraId="37F8DCC9"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3AE0A9" w14:textId="77777777" w:rsidR="00CA0B3A" w:rsidRDefault="00CA0B3A">
      <w:pPr>
        <w:spacing w:line="360" w:lineRule="auto"/>
        <w:jc w:val="both"/>
        <w:rPr>
          <w:rFonts w:ascii="Palatino Linotype" w:eastAsia="Palatino Linotype" w:hAnsi="Palatino Linotype" w:cs="Palatino Linotype"/>
        </w:rPr>
      </w:pPr>
    </w:p>
    <w:p w14:paraId="2AC9A4D6" w14:textId="77777777" w:rsidR="00196344" w:rsidRDefault="00196344">
      <w:pPr>
        <w:spacing w:line="360" w:lineRule="auto"/>
        <w:jc w:val="both"/>
        <w:rPr>
          <w:rFonts w:ascii="Palatino Linotype" w:eastAsia="Palatino Linotype" w:hAnsi="Palatino Linotype" w:cs="Palatino Linotype"/>
        </w:rPr>
      </w:pPr>
    </w:p>
    <w:p w14:paraId="14C57FBC" w14:textId="77777777" w:rsidR="00CA0B3A" w:rsidRDefault="00F22D03">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b/>
        </w:rPr>
        <w:lastRenderedPageBreak/>
        <w:t>a)</w:t>
      </w:r>
      <w:r>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77C2088A" w14:textId="77777777" w:rsidR="00CA0B3A" w:rsidRDefault="00F22D03">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b/>
        </w:rPr>
        <w:t>b)</w:t>
      </w:r>
      <w:r>
        <w:rPr>
          <w:rFonts w:ascii="Palatino Linotype" w:eastAsia="Palatino Linotype" w:hAnsi="Palatino Linotype" w:cs="Palatino Linotype"/>
        </w:rPr>
        <w:t xml:space="preserve"> Actividad Procesal del interesado: Acciones u omisiones del interesado.</w:t>
      </w:r>
    </w:p>
    <w:p w14:paraId="69CE8DA4" w14:textId="77777777" w:rsidR="00CA0B3A" w:rsidRDefault="00F22D03">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b/>
        </w:rPr>
        <w:t>c)</w:t>
      </w:r>
      <w:r>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341CC1FE" w14:textId="77777777" w:rsidR="00CA0B3A" w:rsidRDefault="00F22D03">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b/>
        </w:rPr>
        <w:t>d)</w:t>
      </w:r>
      <w:r>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E4AF8F3" w14:textId="77777777" w:rsidR="00CA0B3A" w:rsidRDefault="00CA0B3A">
      <w:pPr>
        <w:spacing w:line="360" w:lineRule="auto"/>
        <w:jc w:val="both"/>
        <w:rPr>
          <w:rFonts w:ascii="Palatino Linotype" w:eastAsia="Palatino Linotype" w:hAnsi="Palatino Linotype" w:cs="Palatino Linotype"/>
        </w:rPr>
      </w:pPr>
    </w:p>
    <w:p w14:paraId="2D3D6DA7"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A45E4F" w14:textId="77777777" w:rsidR="00CA0B3A" w:rsidRDefault="00CA0B3A">
      <w:pPr>
        <w:spacing w:line="360" w:lineRule="auto"/>
        <w:jc w:val="both"/>
        <w:rPr>
          <w:rFonts w:ascii="Palatino Linotype" w:eastAsia="Palatino Linotype" w:hAnsi="Palatino Linotype" w:cs="Palatino Linotype"/>
        </w:rPr>
      </w:pPr>
    </w:p>
    <w:p w14:paraId="44C2D0D8"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P./J. 32/92 emitida por el Pleno de la Suprema Corte de Justicia de la Nación de rubro “</w:t>
      </w:r>
      <w:r>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i/>
        </w:rPr>
        <w:t>.</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i/>
        </w:rPr>
        <w:t>”</w:t>
      </w:r>
    </w:p>
    <w:p w14:paraId="00D2C7A3" w14:textId="77777777" w:rsidR="00CA0B3A" w:rsidRDefault="00CA0B3A">
      <w:pPr>
        <w:spacing w:line="360" w:lineRule="auto"/>
        <w:jc w:val="both"/>
        <w:rPr>
          <w:rFonts w:ascii="Palatino Linotype" w:eastAsia="Palatino Linotype" w:hAnsi="Palatino Linotype" w:cs="Palatino Linotype"/>
        </w:rPr>
      </w:pPr>
    </w:p>
    <w:p w14:paraId="31417189"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AD6CE3" w14:textId="77777777" w:rsidR="00CA0B3A" w:rsidRDefault="00CA0B3A">
      <w:pPr>
        <w:spacing w:line="360" w:lineRule="auto"/>
        <w:jc w:val="both"/>
        <w:rPr>
          <w:rFonts w:ascii="Palatino Linotype" w:eastAsia="Palatino Linotype" w:hAnsi="Palatino Linotype" w:cs="Palatino Linotype"/>
        </w:rPr>
      </w:pPr>
    </w:p>
    <w:p w14:paraId="363716D2"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Pr>
          <w:rFonts w:ascii="Palatino Linotype" w:eastAsia="Palatino Linotype" w:hAnsi="Palatino Linotype" w:cs="Palatino Linotype"/>
          <w:i/>
        </w:rPr>
        <w:t>“</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vertAlign w:val="superscript"/>
        </w:rPr>
        <w:footnoteReference w:id="5"/>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rPr>
        <w:t>y</w:t>
      </w:r>
      <w:r>
        <w:rPr>
          <w:rFonts w:ascii="Palatino Linotype" w:eastAsia="Palatino Linotype" w:hAnsi="Palatino Linotype" w:cs="Palatino Linotype"/>
          <w:i/>
          <w:sz w:val="22"/>
          <w:szCs w:val="22"/>
        </w:rPr>
        <w:t xml:space="preserve"> “PLAZO RAZONABLE PARA RESOLVER. CONCEPTO Y ELEMENTOS QUE LO INTEGRAN A LA LUZ DEL DERECHO INTERNACIONAL DE LOS DERECHOS HUMANOS</w:t>
      </w:r>
      <w:r>
        <w:rPr>
          <w:rFonts w:ascii="Palatino Linotype" w:eastAsia="Palatino Linotype" w:hAnsi="Palatino Linotype" w:cs="Palatino Linotype"/>
          <w:i/>
        </w:rPr>
        <w:t>”</w:t>
      </w:r>
      <w:r>
        <w:rPr>
          <w:rFonts w:ascii="Palatino Linotype" w:eastAsia="Palatino Linotype" w:hAnsi="Palatino Linotype" w:cs="Palatino Linotype"/>
          <w:i/>
          <w:vertAlign w:val="superscript"/>
        </w:rPr>
        <w:footnoteReference w:id="6"/>
      </w:r>
      <w:r>
        <w:rPr>
          <w:rFonts w:ascii="Palatino Linotype" w:eastAsia="Palatino Linotype" w:hAnsi="Palatino Linotype" w:cs="Palatino Linotype"/>
        </w:rPr>
        <w:t>.</w:t>
      </w:r>
    </w:p>
    <w:p w14:paraId="7A734A0E" w14:textId="77777777" w:rsidR="00CA0B3A" w:rsidRDefault="00CA0B3A">
      <w:pPr>
        <w:spacing w:line="360" w:lineRule="auto"/>
        <w:jc w:val="both"/>
        <w:rPr>
          <w:rFonts w:ascii="Palatino Linotype" w:eastAsia="Palatino Linotype" w:hAnsi="Palatino Linotype" w:cs="Palatino Linotype"/>
        </w:rPr>
      </w:pPr>
    </w:p>
    <w:p w14:paraId="33ECFE23"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5DE52B8" w14:textId="77777777" w:rsidR="00CA0B3A" w:rsidRDefault="00CA0B3A">
      <w:pPr>
        <w:spacing w:line="360" w:lineRule="auto"/>
        <w:jc w:val="both"/>
        <w:rPr>
          <w:rFonts w:ascii="Palatino Linotype" w:eastAsia="Palatino Linotype" w:hAnsi="Palatino Linotype" w:cs="Palatino Linotype"/>
        </w:rPr>
      </w:pPr>
    </w:p>
    <w:p w14:paraId="5D1813B1" w14:textId="77777777" w:rsidR="00196344" w:rsidRDefault="00196344">
      <w:pPr>
        <w:spacing w:line="360" w:lineRule="auto"/>
        <w:jc w:val="both"/>
        <w:rPr>
          <w:rFonts w:ascii="Palatino Linotype" w:eastAsia="Palatino Linotype" w:hAnsi="Palatino Linotype" w:cs="Palatino Linotype"/>
        </w:rPr>
      </w:pPr>
    </w:p>
    <w:p w14:paraId="7FB845A3"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6. Cierre de Instrucción. </w:t>
      </w:r>
    </w:p>
    <w:p w14:paraId="5B548456"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 el expediente, el </w:t>
      </w:r>
      <w:r w:rsidR="00FB6756">
        <w:rPr>
          <w:rFonts w:ascii="Palatino Linotype" w:eastAsia="Palatino Linotype" w:hAnsi="Palatino Linotype" w:cs="Palatino Linotype"/>
        </w:rPr>
        <w:t>veinte</w:t>
      </w:r>
      <w:r>
        <w:rPr>
          <w:rFonts w:ascii="Palatino Linotype" w:eastAsia="Palatino Linotype" w:hAnsi="Palatino Linotype" w:cs="Palatino Linotype"/>
        </w:rPr>
        <w:t xml:space="preserve"> de febrero dos mil veinticuatro,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5465B67A" w14:textId="77777777" w:rsidR="00CA0B3A" w:rsidRDefault="00CA0B3A">
      <w:pPr>
        <w:spacing w:line="360" w:lineRule="auto"/>
        <w:jc w:val="both"/>
        <w:rPr>
          <w:rFonts w:ascii="Palatino Linotype" w:eastAsia="Palatino Linotype" w:hAnsi="Palatino Linotype" w:cs="Palatino Linotype"/>
          <w:b/>
          <w:sz w:val="28"/>
          <w:szCs w:val="28"/>
        </w:rPr>
      </w:pPr>
    </w:p>
    <w:p w14:paraId="5D163AFD" w14:textId="77777777" w:rsidR="00CA0B3A" w:rsidRDefault="00F22D03">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CONSIDERANDOS</w:t>
      </w:r>
    </w:p>
    <w:p w14:paraId="38E1DF7E" w14:textId="77777777" w:rsidR="00CA0B3A" w:rsidRDefault="00CA0B3A">
      <w:pPr>
        <w:jc w:val="center"/>
        <w:rPr>
          <w:rFonts w:ascii="Palatino Linotype" w:eastAsia="Palatino Linotype" w:hAnsi="Palatino Linotype" w:cs="Palatino Linotype"/>
          <w:b/>
          <w:sz w:val="28"/>
          <w:szCs w:val="28"/>
        </w:rPr>
      </w:pPr>
    </w:p>
    <w:p w14:paraId="4C47A79C" w14:textId="77777777" w:rsidR="00CA0B3A" w:rsidRDefault="00CA0B3A">
      <w:pPr>
        <w:jc w:val="center"/>
        <w:rPr>
          <w:rFonts w:ascii="Palatino Linotype" w:eastAsia="Palatino Linotype" w:hAnsi="Palatino Linotype" w:cs="Palatino Linotype"/>
          <w:b/>
          <w:sz w:val="28"/>
          <w:szCs w:val="28"/>
        </w:rPr>
      </w:pPr>
    </w:p>
    <w:p w14:paraId="73F5E668" w14:textId="77777777" w:rsidR="00CA0B3A" w:rsidRDefault="00F22D03">
      <w:pPr>
        <w:widowControl w:val="0"/>
        <w:tabs>
          <w:tab w:val="left" w:pos="1701"/>
        </w:tabs>
        <w:spacing w:line="360" w:lineRule="auto"/>
        <w:jc w:val="both"/>
        <w:rPr>
          <w:rFonts w:ascii="Palatino Linotype" w:eastAsia="Palatino Linotype" w:hAnsi="Palatino Linotype" w:cs="Palatino Linotype"/>
        </w:rPr>
      </w:pPr>
      <w:bookmarkStart w:id="7" w:name="_heading=h.3dy6vkm" w:colFirst="0" w:colLast="0"/>
      <w:bookmarkEnd w:id="7"/>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B9522B6" w14:textId="77777777" w:rsidR="00CA0B3A" w:rsidRDefault="00CA0B3A">
      <w:pPr>
        <w:widowControl w:val="0"/>
        <w:tabs>
          <w:tab w:val="left" w:pos="1701"/>
        </w:tabs>
        <w:spacing w:line="360" w:lineRule="auto"/>
        <w:jc w:val="both"/>
        <w:rPr>
          <w:rFonts w:ascii="Palatino Linotype" w:eastAsia="Palatino Linotype" w:hAnsi="Palatino Linotype" w:cs="Palatino Linotype"/>
        </w:rPr>
      </w:pPr>
    </w:p>
    <w:p w14:paraId="63616E91"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Requisitos de procedencia. </w:t>
      </w:r>
      <w:r>
        <w:rPr>
          <w:rFonts w:ascii="Palatino Linotype" w:eastAsia="Palatino Linotype" w:hAnsi="Palatino Linotype" w:cs="Palatino Linotype"/>
        </w:rPr>
        <w:t xml:space="preserve">El Recurso de Revisión reúne los requisitos establecidos en el artículo 180 de la ley de la materia, conforme a lo siguiente:  </w:t>
      </w:r>
    </w:p>
    <w:p w14:paraId="2BDB9156"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 Forma. </w:t>
      </w:r>
    </w:p>
    <w:p w14:paraId="21634FDC"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color w:val="000000"/>
        </w:rPr>
        <w:t>Recurso de Revisión</w:t>
      </w:r>
      <w:r>
        <w:rPr>
          <w:rFonts w:ascii="Palatino Linotype" w:eastAsia="Palatino Linotype" w:hAnsi="Palatino Linotype" w:cs="Palatino Linotype"/>
        </w:rPr>
        <w:t xml:space="preserve"> en estudio fue presentado vía SAIMEX, constando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79FB6690" w14:textId="77777777" w:rsidR="00CA0B3A" w:rsidRDefault="00CA0B3A">
      <w:pPr>
        <w:spacing w:line="360" w:lineRule="auto"/>
        <w:jc w:val="both"/>
        <w:rPr>
          <w:rFonts w:ascii="Palatino Linotype" w:eastAsia="Palatino Linotype" w:hAnsi="Palatino Linotype" w:cs="Palatino Linotype"/>
          <w:b/>
        </w:rPr>
      </w:pPr>
    </w:p>
    <w:p w14:paraId="3C9A92A1"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b) Interés. </w:t>
      </w:r>
    </w:p>
    <w:p w14:paraId="10F80F1F" w14:textId="77777777" w:rsidR="00CA0B3A" w:rsidRDefault="00F22D0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Recurso de Revisión fue interpuesto por parte legítima, en atención a que se presentó por </w:t>
      </w:r>
      <w:r>
        <w:rPr>
          <w:rFonts w:ascii="Palatino Linotype" w:eastAsia="Palatino Linotype" w:hAnsi="Palatino Linotype" w:cs="Palatino Linotype"/>
          <w:b/>
        </w:rPr>
        <w:t>El Recurrente</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quien es la misma entidad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mediante la utilización de su clave de usuario y contraseña.</w:t>
      </w:r>
    </w:p>
    <w:p w14:paraId="1768C991" w14:textId="77777777" w:rsidR="00CA0B3A" w:rsidRDefault="00CA0B3A">
      <w:pPr>
        <w:spacing w:line="360" w:lineRule="auto"/>
        <w:jc w:val="both"/>
        <w:rPr>
          <w:rFonts w:ascii="Palatino Linotype" w:eastAsia="Palatino Linotype" w:hAnsi="Palatino Linotype" w:cs="Palatino Linotype"/>
          <w:color w:val="000000"/>
        </w:rPr>
      </w:pPr>
    </w:p>
    <w:p w14:paraId="2A098716" w14:textId="77777777" w:rsidR="00CA0B3A" w:rsidRDefault="00F22D03">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w:t>
      </w:r>
      <w:r>
        <w:rPr>
          <w:rFonts w:ascii="Palatino Linotype" w:eastAsia="Palatino Linotype" w:hAnsi="Palatino Linotype" w:cs="Palatino Linotype"/>
          <w:b/>
        </w:rPr>
        <w:t xml:space="preserve"> Nombre de La Recurrente.  </w:t>
      </w:r>
    </w:p>
    <w:p w14:paraId="4A900E70"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1386C86A" w14:textId="77777777" w:rsidR="00CA0B3A" w:rsidRDefault="00CA0B3A">
      <w:pPr>
        <w:ind w:right="49"/>
        <w:jc w:val="both"/>
        <w:rPr>
          <w:rFonts w:ascii="Palatino Linotype" w:eastAsia="Palatino Linotype" w:hAnsi="Palatino Linotype" w:cs="Palatino Linotype"/>
        </w:rPr>
      </w:pPr>
    </w:p>
    <w:p w14:paraId="34C3494C" w14:textId="77777777" w:rsidR="00CA0B3A" w:rsidRDefault="00F22D03">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42DFCAB1" w14:textId="77777777" w:rsidR="00CA0B3A" w:rsidRDefault="00F22D03">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E6FB93A" w14:textId="77777777" w:rsidR="00CA0B3A" w:rsidRDefault="00F22D03">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recurre </w:t>
      </w:r>
      <w:r>
        <w:rPr>
          <w:rFonts w:ascii="Palatino Linotype" w:eastAsia="Palatino Linotype" w:hAnsi="Palatino Linotype" w:cs="Palatino Linotype"/>
          <w:i/>
          <w:sz w:val="22"/>
          <w:szCs w:val="22"/>
        </w:rPr>
        <w:t>o de su representante y, en su caso, …</w:t>
      </w:r>
    </w:p>
    <w:p w14:paraId="3F21A024" w14:textId="77777777" w:rsidR="00CA0B3A" w:rsidRDefault="00F22D03">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caso de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08095627" w14:textId="77777777" w:rsidR="00CA0B3A" w:rsidRDefault="00F22D03">
      <w:pPr>
        <w:tabs>
          <w:tab w:val="left" w:pos="851"/>
        </w:tabs>
        <w:ind w:left="851" w:right="901"/>
        <w:jc w:val="right"/>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(Énfasis añadido)</w:t>
      </w:r>
    </w:p>
    <w:p w14:paraId="693ADE2C" w14:textId="77777777" w:rsidR="00CA0B3A" w:rsidRDefault="00CA0B3A">
      <w:pPr>
        <w:tabs>
          <w:tab w:val="left" w:pos="851"/>
        </w:tabs>
        <w:ind w:right="901"/>
        <w:jc w:val="both"/>
        <w:rPr>
          <w:rFonts w:ascii="Palatino Linotype" w:eastAsia="Palatino Linotype" w:hAnsi="Palatino Linotype" w:cs="Palatino Linotype"/>
          <w:i/>
          <w:sz w:val="22"/>
          <w:szCs w:val="22"/>
        </w:rPr>
      </w:pPr>
    </w:p>
    <w:p w14:paraId="126A2D2E"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así que, derivado que el Recurso de Revisión materia del presente asunto, se interpuso de manera electrónica, no es necesario que contenga determinados requisitos, entre ellos, el nombre</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0E540678" w14:textId="77777777" w:rsidR="00CA0B3A" w:rsidRDefault="00CA0B3A">
      <w:pPr>
        <w:spacing w:line="360" w:lineRule="auto"/>
        <w:jc w:val="both"/>
        <w:rPr>
          <w:rFonts w:ascii="Palatino Linotype" w:eastAsia="Palatino Linotype" w:hAnsi="Palatino Linotype" w:cs="Palatino Linotype"/>
        </w:rPr>
      </w:pPr>
    </w:p>
    <w:p w14:paraId="4888EB61"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el nombre no es un requisito sin el cual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7BAD482" w14:textId="77777777" w:rsidR="00CA0B3A" w:rsidRDefault="00CA0B3A">
      <w:pPr>
        <w:spacing w:line="360" w:lineRule="auto"/>
        <w:jc w:val="both"/>
        <w:rPr>
          <w:rFonts w:ascii="Palatino Linotype" w:eastAsia="Palatino Linotype" w:hAnsi="Palatino Linotype" w:cs="Palatino Linotype"/>
        </w:rPr>
      </w:pPr>
    </w:p>
    <w:p w14:paraId="65776B1F" w14:textId="77777777" w:rsidR="00CA0B3A" w:rsidRDefault="00F22D0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15573AE" w14:textId="77777777" w:rsidR="00CA0B3A" w:rsidRDefault="00CA0B3A">
      <w:pPr>
        <w:tabs>
          <w:tab w:val="left" w:pos="851"/>
        </w:tabs>
        <w:spacing w:line="360" w:lineRule="auto"/>
        <w:ind w:left="851" w:right="901"/>
        <w:jc w:val="both"/>
        <w:rPr>
          <w:rFonts w:ascii="Palatino Linotype" w:eastAsia="Palatino Linotype" w:hAnsi="Palatino Linotype" w:cs="Palatino Linotype"/>
          <w:sz w:val="22"/>
          <w:szCs w:val="22"/>
        </w:rPr>
      </w:pPr>
    </w:p>
    <w:p w14:paraId="3643B7DF"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se estima que el requisito relativo al nombre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 es la misma persona que realizó la solicitud de Acceso a la Información Pública que ahora se impugna.</w:t>
      </w:r>
    </w:p>
    <w:p w14:paraId="5EF1C1CC" w14:textId="77777777" w:rsidR="00CA0B3A" w:rsidRDefault="00CA0B3A">
      <w:pPr>
        <w:tabs>
          <w:tab w:val="left" w:pos="851"/>
        </w:tabs>
        <w:spacing w:line="360" w:lineRule="auto"/>
        <w:ind w:left="851" w:right="901"/>
        <w:jc w:val="both"/>
        <w:rPr>
          <w:rFonts w:ascii="Palatino Linotype" w:eastAsia="Palatino Linotype" w:hAnsi="Palatino Linotype" w:cs="Palatino Linotype"/>
          <w:sz w:val="22"/>
          <w:szCs w:val="22"/>
        </w:rPr>
      </w:pPr>
    </w:p>
    <w:p w14:paraId="7BA49C80"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514E231" w14:textId="77777777" w:rsidR="00CA0B3A" w:rsidRDefault="00CA0B3A">
      <w:pPr>
        <w:spacing w:line="360" w:lineRule="auto"/>
        <w:jc w:val="both"/>
        <w:rPr>
          <w:rFonts w:ascii="Palatino Linotype" w:eastAsia="Palatino Linotype" w:hAnsi="Palatino Linotype" w:cs="Palatino Linotype"/>
          <w:color w:val="000000"/>
        </w:rPr>
      </w:pPr>
    </w:p>
    <w:p w14:paraId="3D367035" w14:textId="77777777" w:rsidR="00196344" w:rsidRDefault="00196344">
      <w:pPr>
        <w:spacing w:line="360" w:lineRule="auto"/>
        <w:jc w:val="both"/>
        <w:rPr>
          <w:rFonts w:ascii="Palatino Linotype" w:eastAsia="Palatino Linotype" w:hAnsi="Palatino Linotype" w:cs="Palatino Linotype"/>
          <w:color w:val="000000"/>
        </w:rPr>
      </w:pPr>
    </w:p>
    <w:p w14:paraId="6C7B6536" w14:textId="77777777" w:rsidR="00CA0B3A" w:rsidRDefault="00F22D03">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TERCERO. Oportunidad</w:t>
      </w:r>
      <w:r>
        <w:rPr>
          <w:rFonts w:ascii="Palatino Linotype" w:eastAsia="Palatino Linotype" w:hAnsi="Palatino Linotype" w:cs="Palatino Linotype"/>
          <w:color w:val="000000"/>
        </w:rPr>
        <w:t xml:space="preserve">. </w:t>
      </w:r>
    </w:p>
    <w:p w14:paraId="54E6BF27" w14:textId="77777777" w:rsidR="00CA0B3A" w:rsidRDefault="00F22D03">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 aquel en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tuvo conocimiento de la respuesta impugnada, tal y como lo prevé el artículo 178 de la Ley de Transparencia local</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w:t>
      </w:r>
    </w:p>
    <w:p w14:paraId="334022CB" w14:textId="77777777" w:rsidR="00CA0B3A" w:rsidRDefault="00CA0B3A">
      <w:pPr>
        <w:spacing w:line="360" w:lineRule="auto"/>
        <w:ind w:right="51"/>
        <w:jc w:val="both"/>
        <w:rPr>
          <w:rFonts w:ascii="Palatino Linotype" w:eastAsia="Palatino Linotype" w:hAnsi="Palatino Linotype" w:cs="Palatino Linotype"/>
          <w:color w:val="000000"/>
        </w:rPr>
      </w:pPr>
    </w:p>
    <w:p w14:paraId="3E83A79A"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efecto,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notificó la respuesta a la solicitud de información el </w:t>
      </w:r>
      <w:r>
        <w:rPr>
          <w:rFonts w:ascii="Palatino Linotype" w:eastAsia="Palatino Linotype" w:hAnsi="Palatino Linotype" w:cs="Palatino Linotype"/>
          <w:b/>
          <w:color w:val="000000"/>
        </w:rPr>
        <w:t>miércoles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veinticinco de enero; </w:t>
      </w:r>
      <w:r>
        <w:rPr>
          <w:rFonts w:ascii="Palatino Linotype" w:eastAsia="Palatino Linotype" w:hAnsi="Palatino Linotype" w:cs="Palatino Linotype"/>
          <w:color w:val="000000"/>
        </w:rPr>
        <w:t>en consecuencia, el plazo de quince días hábiles para presentar el recurso de revisión transcurrió del</w:t>
      </w:r>
      <w:r>
        <w:rPr>
          <w:rFonts w:ascii="Palatino Linotype" w:eastAsia="Palatino Linotype" w:hAnsi="Palatino Linotype" w:cs="Palatino Linotype"/>
          <w:b/>
          <w:color w:val="000000"/>
        </w:rPr>
        <w:t xml:space="preserve"> jueves veintiséis de enero al jueves dieciséis de febrero de dos mil veintitrés</w:t>
      </w:r>
      <w:r>
        <w:rPr>
          <w:rFonts w:ascii="Palatino Linotype" w:eastAsia="Palatino Linotype" w:hAnsi="Palatino Linotype" w:cs="Palatino Linotype"/>
          <w:b/>
          <w:color w:val="000000"/>
          <w:vertAlign w:val="superscript"/>
        </w:rPr>
        <w:footnoteReference w:id="8"/>
      </w:r>
      <w:r>
        <w:rPr>
          <w:rFonts w:ascii="Palatino Linotype" w:eastAsia="Palatino Linotype" w:hAnsi="Palatino Linotype" w:cs="Palatino Linotype"/>
          <w:color w:val="000000"/>
        </w:rPr>
        <w:t xml:space="preserve">, por tanto, si el recurso de revisión que nos ocupa se interpuso el </w:t>
      </w:r>
      <w:r>
        <w:rPr>
          <w:rFonts w:ascii="Palatino Linotype" w:eastAsia="Palatino Linotype" w:hAnsi="Palatino Linotype" w:cs="Palatino Linotype"/>
          <w:b/>
          <w:color w:val="000000"/>
        </w:rPr>
        <w:t>catorce de febrero</w:t>
      </w:r>
      <w:r>
        <w:rPr>
          <w:rFonts w:ascii="Palatino Linotype" w:eastAsia="Palatino Linotype" w:hAnsi="Palatino Linotype" w:cs="Palatino Linotype"/>
          <w:color w:val="000000"/>
        </w:rPr>
        <w:t xml:space="preserve">, éste se encuentra </w:t>
      </w:r>
      <w:r>
        <w:rPr>
          <w:rFonts w:ascii="Palatino Linotype" w:eastAsia="Palatino Linotype" w:hAnsi="Palatino Linotype" w:cs="Palatino Linotype"/>
        </w:rPr>
        <w:t>dentro del plazo dispuesto en el artículo 178, de la Ley de Transparencia local. Por lo tanto, se tiene por presentado en tiempo el Recurso de Revisión.</w:t>
      </w:r>
    </w:p>
    <w:p w14:paraId="5BC1A153" w14:textId="77777777" w:rsidR="00CA0B3A" w:rsidRDefault="00CA0B3A">
      <w:pPr>
        <w:spacing w:line="360" w:lineRule="auto"/>
        <w:jc w:val="both"/>
        <w:rPr>
          <w:rFonts w:ascii="Palatino Linotype" w:eastAsia="Palatino Linotype" w:hAnsi="Palatino Linotype" w:cs="Palatino Linotype"/>
          <w:color w:val="000000"/>
        </w:rPr>
      </w:pPr>
    </w:p>
    <w:p w14:paraId="2E56D9F3" w14:textId="77777777" w:rsidR="00196344" w:rsidRDefault="00196344">
      <w:pPr>
        <w:spacing w:line="360" w:lineRule="auto"/>
        <w:jc w:val="both"/>
        <w:rPr>
          <w:rFonts w:ascii="Palatino Linotype" w:eastAsia="Palatino Linotype" w:hAnsi="Palatino Linotype" w:cs="Palatino Linotype"/>
          <w:color w:val="000000"/>
        </w:rPr>
      </w:pPr>
    </w:p>
    <w:p w14:paraId="54F40F3A" w14:textId="77777777" w:rsidR="00196344" w:rsidRDefault="00196344">
      <w:pPr>
        <w:spacing w:line="360" w:lineRule="auto"/>
        <w:jc w:val="both"/>
        <w:rPr>
          <w:rFonts w:ascii="Palatino Linotype" w:eastAsia="Palatino Linotype" w:hAnsi="Palatino Linotype" w:cs="Palatino Linotype"/>
          <w:color w:val="000000"/>
        </w:rPr>
      </w:pPr>
    </w:p>
    <w:p w14:paraId="31F8F6A4" w14:textId="77777777" w:rsidR="00CA0B3A" w:rsidRDefault="00F22D0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lastRenderedPageBreak/>
        <w:t>CUARTO</w:t>
      </w:r>
      <w:r>
        <w:rPr>
          <w:rFonts w:ascii="Palatino Linotype" w:eastAsia="Palatino Linotype" w:hAnsi="Palatino Linotype" w:cs="Palatino Linotype"/>
          <w:b/>
        </w:rPr>
        <w:t xml:space="preserve">. Actualización de la procedencia. </w:t>
      </w:r>
    </w:p>
    <w:p w14:paraId="371AD1DD"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determinar la procedencia del estudio de la acción intentada por el solicitante y ante la improcedencia anunciada por el Sujeto Obligado se procede a revisar el acto impugnado y las razones de inconformidad planteadas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señaladas en los antecedentes.</w:t>
      </w:r>
    </w:p>
    <w:p w14:paraId="1AF1CE6C" w14:textId="77777777" w:rsidR="00CA0B3A" w:rsidRDefault="00CA0B3A">
      <w:pPr>
        <w:tabs>
          <w:tab w:val="left" w:pos="709"/>
        </w:tabs>
        <w:spacing w:line="276" w:lineRule="auto"/>
        <w:ind w:right="899"/>
        <w:jc w:val="both"/>
        <w:rPr>
          <w:rFonts w:ascii="Palatino Linotype" w:eastAsia="Palatino Linotype" w:hAnsi="Palatino Linotype" w:cs="Palatino Linotype"/>
        </w:rPr>
      </w:pPr>
    </w:p>
    <w:p w14:paraId="4988D57B"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virtud de lo anterior, se desprende que las razones de inconformidad esgrimidas por el Recurrente se encuentran encauzadas a denotar la actualización de las causales de procedencia previstas en el artículo 179 de la Ley de Transparencia local, que dispone lo siguiente: </w:t>
      </w:r>
    </w:p>
    <w:p w14:paraId="2172BE21" w14:textId="77777777" w:rsidR="00CA0B3A" w:rsidRDefault="00CA0B3A">
      <w:pPr>
        <w:jc w:val="both"/>
        <w:rPr>
          <w:rFonts w:ascii="Palatino Linotype" w:eastAsia="Palatino Linotype" w:hAnsi="Palatino Linotype" w:cs="Palatino Linotype"/>
        </w:rPr>
      </w:pPr>
    </w:p>
    <w:p w14:paraId="49F4C7C9" w14:textId="77777777" w:rsidR="00CA0B3A" w:rsidRDefault="00F22D03">
      <w:pPr>
        <w:tabs>
          <w:tab w:val="left" w:pos="2422"/>
        </w:tabs>
        <w:ind w:left="855"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EA15504" w14:textId="77777777" w:rsidR="00CA0B3A" w:rsidRDefault="00CA0B3A">
      <w:pPr>
        <w:tabs>
          <w:tab w:val="left" w:pos="2422"/>
        </w:tabs>
        <w:ind w:left="855" w:right="899"/>
        <w:jc w:val="both"/>
        <w:rPr>
          <w:rFonts w:ascii="Palatino Linotype" w:eastAsia="Palatino Linotype" w:hAnsi="Palatino Linotype" w:cs="Palatino Linotype"/>
          <w:i/>
          <w:sz w:val="22"/>
          <w:szCs w:val="22"/>
        </w:rPr>
      </w:pPr>
    </w:p>
    <w:p w14:paraId="1E4762FB" w14:textId="77777777" w:rsidR="00CA0B3A" w:rsidRDefault="00F22D03">
      <w:pPr>
        <w:tabs>
          <w:tab w:val="left" w:pos="2422"/>
        </w:tabs>
        <w:ind w:left="855"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La negativa a la información solicitada; </w:t>
      </w:r>
    </w:p>
    <w:p w14:paraId="33ACF992" w14:textId="77777777" w:rsidR="00CA0B3A" w:rsidRDefault="00F22D03">
      <w:pPr>
        <w:tabs>
          <w:tab w:val="left" w:pos="2422"/>
        </w:tabs>
        <w:ind w:left="855"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DEF2D55" w14:textId="77777777" w:rsidR="00CA0B3A" w:rsidRDefault="00F22D03">
      <w:pPr>
        <w:tabs>
          <w:tab w:val="left" w:pos="2422"/>
        </w:tabs>
        <w:ind w:left="855"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La notificación, entrega o puesta a disposición de información en una modalidad o formato distinto al </w:t>
      </w:r>
      <w:proofErr w:type="gramStart"/>
      <w:r>
        <w:rPr>
          <w:rFonts w:ascii="Palatino Linotype" w:eastAsia="Palatino Linotype" w:hAnsi="Palatino Linotype" w:cs="Palatino Linotype"/>
          <w:b/>
          <w:i/>
          <w:sz w:val="22"/>
          <w:szCs w:val="22"/>
        </w:rPr>
        <w:t>solicitado;;</w:t>
      </w:r>
      <w:r>
        <w:rPr>
          <w:rFonts w:ascii="Palatino Linotype" w:eastAsia="Palatino Linotype" w:hAnsi="Palatino Linotype" w:cs="Palatino Linotype"/>
          <w:b/>
          <w:i/>
          <w:sz w:val="22"/>
          <w:szCs w:val="22"/>
        </w:rPr>
        <w:br/>
      </w:r>
      <w:r>
        <w:rPr>
          <w:rFonts w:ascii="Palatino Linotype" w:eastAsia="Palatino Linotype" w:hAnsi="Palatino Linotype" w:cs="Palatino Linotype"/>
          <w:i/>
          <w:sz w:val="22"/>
          <w:szCs w:val="22"/>
        </w:rPr>
        <w:t>...”</w:t>
      </w:r>
      <w:proofErr w:type="gramEnd"/>
    </w:p>
    <w:p w14:paraId="2BAAE0CF" w14:textId="77777777" w:rsidR="00CA0B3A" w:rsidRDefault="00F22D03">
      <w:pPr>
        <w:tabs>
          <w:tab w:val="left" w:pos="2422"/>
        </w:tabs>
        <w:ind w:left="855" w:right="899"/>
        <w:jc w:val="right"/>
        <w:rPr>
          <w:rFonts w:ascii="Palatino Linotype" w:eastAsia="Palatino Linotype" w:hAnsi="Palatino Linotype" w:cs="Palatino Linotype"/>
          <w:sz w:val="16"/>
          <w:szCs w:val="16"/>
        </w:rPr>
      </w:pPr>
      <w:bookmarkStart w:id="8" w:name="_heading=h.1t3h5sf" w:colFirst="0" w:colLast="0"/>
      <w:bookmarkEnd w:id="8"/>
      <w:r>
        <w:rPr>
          <w:rFonts w:ascii="Palatino Linotype" w:eastAsia="Palatino Linotype" w:hAnsi="Palatino Linotype" w:cs="Palatino Linotype"/>
          <w:sz w:val="16"/>
          <w:szCs w:val="16"/>
        </w:rPr>
        <w:t>(Énfasis añadido).</w:t>
      </w:r>
    </w:p>
    <w:p w14:paraId="557F3140" w14:textId="77777777" w:rsidR="00CA0B3A" w:rsidRDefault="00CA0B3A">
      <w:pPr>
        <w:spacing w:line="360" w:lineRule="auto"/>
        <w:jc w:val="both"/>
        <w:rPr>
          <w:rFonts w:ascii="Palatino Linotype" w:eastAsia="Palatino Linotype" w:hAnsi="Palatino Linotype" w:cs="Palatino Linotype"/>
          <w:b/>
        </w:rPr>
      </w:pPr>
    </w:p>
    <w:p w14:paraId="0B914C1B"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se tienen por acreditados todos y cada uno de los elementos formales exigidos por el artículo 180 de la Ley de Transparencia local. Cubiertos los requisitos de fondo y forma en la interposición del presente recurso, se procede al análisis y estudio de las constancias de mérito.</w:t>
      </w:r>
    </w:p>
    <w:p w14:paraId="602151D7" w14:textId="77777777" w:rsidR="00CA0B3A" w:rsidRDefault="00CA0B3A">
      <w:pPr>
        <w:tabs>
          <w:tab w:val="left" w:pos="2422"/>
        </w:tabs>
        <w:spacing w:line="360" w:lineRule="auto"/>
        <w:ind w:right="49"/>
        <w:jc w:val="both"/>
        <w:rPr>
          <w:rFonts w:ascii="Palatino Linotype" w:eastAsia="Palatino Linotype" w:hAnsi="Palatino Linotype" w:cs="Palatino Linotype"/>
        </w:rPr>
      </w:pPr>
    </w:p>
    <w:p w14:paraId="794DA17C" w14:textId="77777777" w:rsidR="00196344" w:rsidRDefault="00196344">
      <w:pPr>
        <w:tabs>
          <w:tab w:val="left" w:pos="2422"/>
        </w:tabs>
        <w:spacing w:line="360" w:lineRule="auto"/>
        <w:ind w:right="49"/>
        <w:jc w:val="both"/>
        <w:rPr>
          <w:rFonts w:ascii="Palatino Linotype" w:eastAsia="Palatino Linotype" w:hAnsi="Palatino Linotype" w:cs="Palatino Linotype"/>
        </w:rPr>
      </w:pPr>
    </w:p>
    <w:p w14:paraId="3238FFF8" w14:textId="77777777" w:rsidR="00CA0B3A" w:rsidRDefault="00F22D03">
      <w:pPr>
        <w:widowControl w:val="0"/>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QUINTO. Estudio y Resolución del Recurso. </w:t>
      </w:r>
    </w:p>
    <w:p w14:paraId="4FC0928D" w14:textId="77777777" w:rsidR="00CA0B3A" w:rsidRDefault="00F22D0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29C313AD" w14:textId="77777777" w:rsidR="00CA0B3A" w:rsidRDefault="00CA0B3A">
      <w:pPr>
        <w:spacing w:line="360" w:lineRule="auto"/>
        <w:jc w:val="both"/>
        <w:rPr>
          <w:rFonts w:ascii="Palatino Linotype" w:eastAsia="Palatino Linotype" w:hAnsi="Palatino Linotype" w:cs="Palatino Linotype"/>
          <w:color w:val="000000"/>
        </w:rPr>
      </w:pPr>
    </w:p>
    <w:p w14:paraId="3BD68F44" w14:textId="77777777" w:rsidR="00CA0B3A" w:rsidRDefault="00F22D03">
      <w:pPr>
        <w:spacing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Caso en concreto.</w:t>
      </w:r>
    </w:p>
    <w:p w14:paraId="3142FF1E" w14:textId="77777777" w:rsidR="00CA0B3A" w:rsidRDefault="00CA0B3A">
      <w:pPr>
        <w:spacing w:line="360" w:lineRule="auto"/>
        <w:ind w:right="49"/>
        <w:jc w:val="both"/>
        <w:rPr>
          <w:rFonts w:ascii="Palatino Linotype" w:eastAsia="Palatino Linotype" w:hAnsi="Palatino Linotype" w:cs="Palatino Linotype"/>
        </w:rPr>
      </w:pPr>
    </w:p>
    <w:p w14:paraId="7241EC73" w14:textId="77777777" w:rsidR="00CA0B3A" w:rsidRDefault="00F22D03">
      <w:pPr>
        <w:spacing w:line="360" w:lineRule="auto"/>
        <w:ind w:right="49"/>
        <w:jc w:val="both"/>
        <w:rPr>
          <w:rFonts w:ascii="Palatino Linotype" w:eastAsia="Palatino Linotype" w:hAnsi="Palatino Linotype" w:cs="Palatino Linotype"/>
        </w:rPr>
      </w:pPr>
      <w:bookmarkStart w:id="9" w:name="_heading=h.4d34og8" w:colFirst="0" w:colLast="0"/>
      <w:bookmarkEnd w:id="9"/>
      <w:r>
        <w:rPr>
          <w:rFonts w:ascii="Palatino Linotype" w:eastAsia="Palatino Linotype" w:hAnsi="Palatino Linotype" w:cs="Palatino Linotype"/>
          <w:b/>
        </w:rPr>
        <w:t xml:space="preserve">¿Qué solicito El Recurrente?  </w:t>
      </w:r>
      <w:r>
        <w:rPr>
          <w:rFonts w:ascii="Palatino Linotype" w:eastAsia="Palatino Linotype" w:hAnsi="Palatino Linotype" w:cs="Palatino Linotype"/>
        </w:rPr>
        <w:t>En formato abierto:</w:t>
      </w:r>
    </w:p>
    <w:p w14:paraId="6618EDB6" w14:textId="77777777" w:rsidR="00CA0B3A" w:rsidRDefault="00F22D03">
      <w:pPr>
        <w:numPr>
          <w:ilvl w:val="0"/>
          <w:numId w:val="2"/>
        </w:numPr>
        <w:pBdr>
          <w:top w:val="nil"/>
          <w:left w:val="nil"/>
          <w:bottom w:val="nil"/>
          <w:right w:val="nil"/>
          <w:between w:val="nil"/>
        </w:pBdr>
        <w:ind w:left="851" w:right="49"/>
        <w:jc w:val="both"/>
        <w:rPr>
          <w:rFonts w:ascii="Palatino Linotype" w:eastAsia="Palatino Linotype" w:hAnsi="Palatino Linotype" w:cs="Palatino Linotype"/>
          <w:color w:val="000000"/>
        </w:rPr>
      </w:pPr>
      <w:bookmarkStart w:id="10" w:name="_heading=h.2s8eyo1" w:colFirst="0" w:colLast="0"/>
      <w:bookmarkEnd w:id="10"/>
      <w:r>
        <w:rPr>
          <w:rFonts w:ascii="Palatino Linotype" w:eastAsia="Palatino Linotype" w:hAnsi="Palatino Linotype" w:cs="Palatino Linotype"/>
          <w:color w:val="000000"/>
        </w:rPr>
        <w:t xml:space="preserve">El Informe del PADA (Programa Anual de Desarrollo Archivístico) 2022 y </w:t>
      </w:r>
    </w:p>
    <w:p w14:paraId="65645BB9" w14:textId="77777777" w:rsidR="00CA0B3A" w:rsidRDefault="00F22D03">
      <w:pPr>
        <w:numPr>
          <w:ilvl w:val="0"/>
          <w:numId w:val="2"/>
        </w:numPr>
        <w:pBdr>
          <w:top w:val="nil"/>
          <w:left w:val="nil"/>
          <w:bottom w:val="nil"/>
          <w:right w:val="nil"/>
          <w:between w:val="nil"/>
        </w:pBdr>
        <w:ind w:left="851" w:right="49"/>
        <w:jc w:val="both"/>
        <w:rPr>
          <w:rFonts w:ascii="Palatino Linotype" w:eastAsia="Palatino Linotype" w:hAnsi="Palatino Linotype" w:cs="Palatino Linotype"/>
          <w:color w:val="000000"/>
        </w:rPr>
      </w:pPr>
      <w:bookmarkStart w:id="11" w:name="_heading=h.17dp8vu" w:colFirst="0" w:colLast="0"/>
      <w:bookmarkEnd w:id="11"/>
      <w:r>
        <w:rPr>
          <w:rFonts w:ascii="Palatino Linotype" w:eastAsia="Palatino Linotype" w:hAnsi="Palatino Linotype" w:cs="Palatino Linotype"/>
          <w:color w:val="000000"/>
        </w:rPr>
        <w:t>El Programa Anual de Desarrollo Archivístico 2023.</w:t>
      </w:r>
    </w:p>
    <w:p w14:paraId="561FA4AB" w14:textId="77777777" w:rsidR="00CA0B3A" w:rsidRDefault="00CA0B3A">
      <w:pPr>
        <w:ind w:right="49"/>
        <w:jc w:val="both"/>
        <w:rPr>
          <w:rFonts w:ascii="Palatino Linotype" w:eastAsia="Palatino Linotype" w:hAnsi="Palatino Linotype" w:cs="Palatino Linotype"/>
        </w:rPr>
      </w:pPr>
    </w:p>
    <w:p w14:paraId="16FD1382" w14:textId="77777777" w:rsidR="00CA0B3A" w:rsidRDefault="00F22D03">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¿Qué respondió el Sujeto Obligado?</w:t>
      </w:r>
    </w:p>
    <w:p w14:paraId="05E21E79" w14:textId="77777777" w:rsidR="00CA0B3A" w:rsidRDefault="00F22D03">
      <w:pPr>
        <w:numPr>
          <w:ilvl w:val="0"/>
          <w:numId w:val="1"/>
        </w:numPr>
        <w:pBdr>
          <w:top w:val="nil"/>
          <w:left w:val="nil"/>
          <w:bottom w:val="nil"/>
          <w:right w:val="nil"/>
          <w:between w:val="nil"/>
        </w:pBdr>
        <w:ind w:right="49"/>
        <w:jc w:val="both"/>
        <w:rPr>
          <w:rFonts w:ascii="Palatino Linotype" w:eastAsia="Palatino Linotype" w:hAnsi="Palatino Linotype" w:cs="Palatino Linotype"/>
          <w:color w:val="000000"/>
        </w:rPr>
      </w:pPr>
      <w:bookmarkStart w:id="12" w:name="_heading=h.3rdcrjn" w:colFirst="0" w:colLast="0"/>
      <w:bookmarkEnd w:id="12"/>
      <w:r>
        <w:rPr>
          <w:rFonts w:ascii="Palatino Linotype" w:eastAsia="Palatino Linotype" w:hAnsi="Palatino Linotype" w:cs="Palatino Linotype"/>
          <w:color w:val="000000"/>
        </w:rPr>
        <w:t>En la respuesta. La Jefa de Departamento de Gestión Documental y Administración de Archivos, que, con relación al Informe del PADA 2022 se encuentra publicado y disponible en el portal electrónico de la Secretaria de Movilidad y proporciona vínculo de acceso.</w:t>
      </w:r>
      <w:r>
        <w:rPr>
          <w:color w:val="000000"/>
        </w:rPr>
        <w:t xml:space="preserve"> </w:t>
      </w:r>
      <w:r>
        <w:rPr>
          <w:rFonts w:ascii="Palatino Linotype" w:eastAsia="Palatino Linotype" w:hAnsi="Palatino Linotype" w:cs="Palatino Linotype"/>
          <w:color w:val="000000"/>
        </w:rPr>
        <w:t>Respecto del Programa Anual de Desarrollo Archivístico (PADA) 2023 refiere que se encuentra en proceso de elaboración y revisión.</w:t>
      </w:r>
    </w:p>
    <w:p w14:paraId="4EB7BCEE" w14:textId="77777777" w:rsidR="00CA0B3A" w:rsidRDefault="00CA0B3A">
      <w:pPr>
        <w:ind w:right="49"/>
        <w:jc w:val="both"/>
        <w:rPr>
          <w:rFonts w:ascii="Palatino Linotype" w:eastAsia="Palatino Linotype" w:hAnsi="Palatino Linotype" w:cs="Palatino Linotype"/>
        </w:rPr>
      </w:pPr>
    </w:p>
    <w:p w14:paraId="79D7E068" w14:textId="77777777" w:rsidR="00CA0B3A" w:rsidRDefault="00F22D03">
      <w:pPr>
        <w:numPr>
          <w:ilvl w:val="0"/>
          <w:numId w:val="1"/>
        </w:numPr>
        <w:pBdr>
          <w:top w:val="nil"/>
          <w:left w:val="nil"/>
          <w:bottom w:val="nil"/>
          <w:right w:val="nil"/>
          <w:between w:val="nil"/>
        </w:pBdr>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Mediante Informe Justificado. El Servidor Público Habilitado de la Coordinación Administrativa y de Gestión Documental, ratificó su respuesta </w:t>
      </w:r>
      <w:r>
        <w:rPr>
          <w:rFonts w:ascii="Palatino Linotype" w:eastAsia="Palatino Linotype" w:hAnsi="Palatino Linotype" w:cs="Palatino Linotype"/>
          <w:color w:val="000000"/>
        </w:rPr>
        <w:lastRenderedPageBreak/>
        <w:t>con relación al PADA 2022 y acompañó otro vínculo respecto del PADA 2023, solicitando se tenga por presentada la respuesta a través del Informe Justificado.</w:t>
      </w:r>
    </w:p>
    <w:p w14:paraId="69C8EFD6" w14:textId="77777777" w:rsidR="00CA0B3A" w:rsidRDefault="00CA0B3A">
      <w:pPr>
        <w:spacing w:line="360" w:lineRule="auto"/>
        <w:ind w:right="49"/>
        <w:jc w:val="both"/>
        <w:rPr>
          <w:rFonts w:ascii="Palatino Linotype" w:eastAsia="Palatino Linotype" w:hAnsi="Palatino Linotype" w:cs="Palatino Linotype"/>
        </w:rPr>
      </w:pPr>
    </w:p>
    <w:p w14:paraId="5CA5E0E6"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Primeramente, se debe tener en consideración que, en cuanto a la fuente obligacional, se obvia el estudio que constriñe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pronunciarse y contar con lo solicitado por el particular, toda vez que asume contar con la información solicitada, tan es así que, refiere remitir a través de los vínculos proporcionados la información solicitada.</w:t>
      </w:r>
    </w:p>
    <w:p w14:paraId="62B1B091" w14:textId="77777777" w:rsidR="00CA0B3A" w:rsidRDefault="00CA0B3A">
      <w:pPr>
        <w:spacing w:line="360" w:lineRule="auto"/>
        <w:ind w:right="49"/>
        <w:jc w:val="both"/>
        <w:rPr>
          <w:rFonts w:ascii="Palatino Linotype" w:eastAsia="Palatino Linotype" w:hAnsi="Palatino Linotype" w:cs="Palatino Linotype"/>
        </w:rPr>
      </w:pPr>
    </w:p>
    <w:p w14:paraId="55CFA2C9"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 la persona que emite la respuesta, se observa que la Coordinación Administrativa y de Gestión Documental, de acuerdo con el </w:t>
      </w:r>
      <w:r>
        <w:rPr>
          <w:rFonts w:ascii="Palatino Linotype" w:eastAsia="Palatino Linotype" w:hAnsi="Palatino Linotype" w:cs="Palatino Linotype"/>
          <w:i/>
        </w:rPr>
        <w:t>Acta de Instalación y Formalización del Sistema Institucional de Archivos de la Secretaría de Movilidad</w:t>
      </w:r>
      <w:r>
        <w:rPr>
          <w:rFonts w:ascii="Palatino Linotype" w:eastAsia="Palatino Linotype" w:hAnsi="Palatino Linotype" w:cs="Palatino Linotype"/>
        </w:rPr>
        <w:t>, firmada el veinte de mayo de dos mil veintidós, establece en su consideración Tercera:</w:t>
      </w:r>
    </w:p>
    <w:p w14:paraId="19A4D961" w14:textId="77777777" w:rsidR="00CA0B3A" w:rsidRDefault="00CA0B3A">
      <w:pPr>
        <w:spacing w:line="360" w:lineRule="auto"/>
        <w:ind w:right="49"/>
        <w:jc w:val="both"/>
        <w:rPr>
          <w:rFonts w:ascii="Palatino Linotype" w:eastAsia="Palatino Linotype" w:hAnsi="Palatino Linotype" w:cs="Palatino Linotype"/>
        </w:rPr>
      </w:pPr>
    </w:p>
    <w:p w14:paraId="64342857"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Tercera: El Área </w:t>
      </w:r>
      <w:r>
        <w:rPr>
          <w:rFonts w:ascii="Palatino Linotype" w:eastAsia="Palatino Linotype" w:hAnsi="Palatino Linotype" w:cs="Palatino Linotype"/>
          <w:b/>
          <w:i/>
        </w:rPr>
        <w:t>Coordinadora de Archivos recaerá en la Coordinación Administrativa y de Gestión Documental</w:t>
      </w:r>
      <w:r>
        <w:rPr>
          <w:rFonts w:ascii="Palatino Linotype" w:eastAsia="Palatino Linotype" w:hAnsi="Palatino Linotype" w:cs="Palatino Linotype"/>
          <w:i/>
        </w:rPr>
        <w:t xml:space="preserve"> y, con base en el artículo 28 de la referida Ley, tendrá las siguientes funciones:</w:t>
      </w:r>
    </w:p>
    <w:p w14:paraId="3FFC8419"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 Elaborar, con la colaboración de las y los responsables de los Archivos de Trámite y Concentración, los Instrumentos de Control Archivístico; </w:t>
      </w:r>
    </w:p>
    <w:p w14:paraId="55647B89"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Il. Elaborar criterios específicos y recomendaciones en materia de organización y conservación de archivos; </w:t>
      </w:r>
    </w:p>
    <w:p w14:paraId="0AE4296A" w14:textId="77777777" w:rsidR="00CA0B3A" w:rsidRDefault="00F22D03">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III. Elaborar y someter a consideración del Secretario de Movilidad o a quien éste designe, el Programa Anual; </w:t>
      </w:r>
    </w:p>
    <w:p w14:paraId="6E157789"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IV. Coordinar los procesos de valoración y disposición documental que realicen las Áreas Operativas;</w:t>
      </w:r>
    </w:p>
    <w:p w14:paraId="4897AD2B"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V. Coordinar las actividades destinadas a la modernización y automatización de los procesos archivísticos y a la gestión de documentos electrónicos de las Áreas Operativas; </w:t>
      </w:r>
    </w:p>
    <w:p w14:paraId="7DDB21C2"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VI. Brindar asesoría técnica para la operación de los archivos y dar visto bueno al proceso de disposición documental realizado por las Áreas Operativas; </w:t>
      </w:r>
    </w:p>
    <w:p w14:paraId="5AAB1932"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VII. Elaborar programas de capacitación en Gestión Documental y Administración de Archivos; </w:t>
      </w:r>
    </w:p>
    <w:p w14:paraId="70F2679B"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Coordinar, con las unidades administrativas, las políticas de acceso y la conservación de los archivos; </w:t>
      </w:r>
    </w:p>
    <w:p w14:paraId="1E7D9A59"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IX. Coordinar la operación de los Archivos de Trámite, Concentración y, en su caso, Histórico, de acuerdo con la normativa aplicable; </w:t>
      </w:r>
    </w:p>
    <w:p w14:paraId="539717AE"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X. Autorizar la Transferencia de los Archivos cuando una o varias unidades administrativas de la Secretaría de Movilidad sean sometidas a procesos de fusión, escisión, extinción o cambio de adscripción, o cualquier modificación de conformidad con las disposiciones jurídicas aplicables;</w:t>
      </w:r>
    </w:p>
    <w:p w14:paraId="667455C3"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XI. Colaborar con la Coordinación de Informática, el Archivo General del Estado de México y el Sistema Estatal de Informática en la aplicación de las tecnologías de la información y demás actividades destinadas a la automatización y digitalización de los archivos y a la gestión documental de archivos electrónicos; y</w:t>
      </w:r>
    </w:p>
    <w:p w14:paraId="180AF4BB" w14:textId="77777777" w:rsidR="00CA0B3A" w:rsidRDefault="00F22D0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XII. Las que establezcan las demás disposiciones jurídicas aplicables. </w:t>
      </w:r>
    </w:p>
    <w:p w14:paraId="775B6A12"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presume que la persona que da respuesta es la competente para ello. </w:t>
      </w:r>
    </w:p>
    <w:p w14:paraId="090120F7"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Hecho lo anterior, analizaremos cada una de las partes de la solicitud, a fin de determinar si se ha vulnerado o no el Derecho de Acceso a la Información.</w:t>
      </w:r>
    </w:p>
    <w:p w14:paraId="0B5A50EA"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2DEE8CB" w14:textId="77777777" w:rsidR="00CA0B3A" w:rsidRDefault="00F22D03">
      <w:pPr>
        <w:spacing w:line="360" w:lineRule="auto"/>
        <w:ind w:right="49"/>
        <w:jc w:val="both"/>
        <w:rPr>
          <w:rFonts w:ascii="Palatino Linotype" w:eastAsia="Palatino Linotype" w:hAnsi="Palatino Linotype" w:cs="Palatino Linotype"/>
          <w:smallCaps/>
        </w:rPr>
      </w:pPr>
      <w:r>
        <w:rPr>
          <w:rFonts w:ascii="Palatino Linotype" w:eastAsia="Palatino Linotype" w:hAnsi="Palatino Linotype" w:cs="Palatino Linotype"/>
          <w:b/>
          <w:smallCaps/>
        </w:rPr>
        <w:t xml:space="preserve">Informe de PADA 2022. </w:t>
      </w:r>
    </w:p>
    <w:p w14:paraId="5C9567AC"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anticipó, en la respuesta a la solicitud, la Jefa de Departamento de Gestión Documental y Administración de Archivos, proporcionó al solicitante el vínculo </w:t>
      </w:r>
      <w:hyperlink r:id="rId9">
        <w:r>
          <w:rPr>
            <w:rFonts w:ascii="Palatino Linotype" w:eastAsia="Palatino Linotype" w:hAnsi="Palatino Linotype" w:cs="Palatino Linotype"/>
            <w:color w:val="0563C1"/>
            <w:u w:val="single"/>
          </w:rPr>
          <w:t>https://smovilidad.edomex.gob.mx/gestion-documental-admon-archivos</w:t>
        </w:r>
      </w:hyperlink>
      <w:r>
        <w:rPr>
          <w:rFonts w:ascii="Palatino Linotype" w:eastAsia="Palatino Linotype" w:hAnsi="Palatino Linotype" w:cs="Palatino Linotype"/>
        </w:rPr>
        <w:t xml:space="preserve"> para </w:t>
      </w:r>
      <w:r>
        <w:rPr>
          <w:rFonts w:ascii="Palatino Linotype" w:eastAsia="Palatino Linotype" w:hAnsi="Palatino Linotype" w:cs="Palatino Linotype"/>
        </w:rPr>
        <w:lastRenderedPageBreak/>
        <w:t>consultar el Informe del PADA 2022, publicado y disponible en el portal electrónico de la Secretaria de Movilidad.</w:t>
      </w:r>
    </w:p>
    <w:p w14:paraId="6AB7069A" w14:textId="77777777" w:rsidR="00CA0B3A" w:rsidRDefault="00CA0B3A">
      <w:pPr>
        <w:spacing w:line="360" w:lineRule="auto"/>
        <w:ind w:right="49"/>
        <w:jc w:val="both"/>
        <w:rPr>
          <w:rFonts w:ascii="Palatino Linotype" w:eastAsia="Palatino Linotype" w:hAnsi="Palatino Linotype" w:cs="Palatino Linotype"/>
        </w:rPr>
      </w:pPr>
    </w:p>
    <w:p w14:paraId="0A8528FA"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dentro del Informe Justificado, el Servidor Público Habilitado de la Coordinación Administrativa y de Gestión Documental, ratificó su respuesta compartiendo nuevamente el vínculo con relación al informe del PADA 2022 y como ANEXO UNO adjuntó foto de pantalla, de lo que tendría que observar el solicitante al ingresar al referido vínculo de la forma siguiente:</w:t>
      </w:r>
    </w:p>
    <w:p w14:paraId="3181A8EE" w14:textId="77777777" w:rsidR="00CA0B3A" w:rsidRDefault="00CA0B3A">
      <w:pPr>
        <w:spacing w:line="360" w:lineRule="auto"/>
        <w:ind w:right="49"/>
        <w:jc w:val="center"/>
        <w:rPr>
          <w:rFonts w:ascii="Palatino Linotype" w:eastAsia="Palatino Linotype" w:hAnsi="Palatino Linotype" w:cs="Palatino Linotype"/>
        </w:rPr>
      </w:pPr>
    </w:p>
    <w:p w14:paraId="563A8F72" w14:textId="77777777" w:rsidR="00CA0B3A" w:rsidRDefault="00F22D03">
      <w:pPr>
        <w:spacing w:line="360" w:lineRule="auto"/>
        <w:ind w:right="49"/>
        <w:jc w:val="center"/>
        <w:rPr>
          <w:rFonts w:ascii="Palatino Linotype" w:eastAsia="Palatino Linotype" w:hAnsi="Palatino Linotype" w:cs="Palatino Linotype"/>
        </w:rPr>
      </w:pPr>
      <w:r>
        <w:rPr>
          <w:noProof/>
        </w:rPr>
        <w:lastRenderedPageBreak/>
        <w:drawing>
          <wp:inline distT="0" distB="0" distL="0" distR="0" wp14:anchorId="0E138B45" wp14:editId="1ED28247">
            <wp:extent cx="5559292" cy="6958320"/>
            <wp:effectExtent l="0" t="0" r="0" b="0"/>
            <wp:docPr id="2123645626" name="image7.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 Word&#10;&#10;Descripción generada automáticamente"/>
                    <pic:cNvPicPr preferRelativeResize="0"/>
                  </pic:nvPicPr>
                  <pic:blipFill>
                    <a:blip r:embed="rId10"/>
                    <a:srcRect l="63808" t="6738" r="11358" b="8355"/>
                    <a:stretch>
                      <a:fillRect/>
                    </a:stretch>
                  </pic:blipFill>
                  <pic:spPr>
                    <a:xfrm>
                      <a:off x="0" y="0"/>
                      <a:ext cx="5559292" cy="6958320"/>
                    </a:xfrm>
                    <a:prstGeom prst="rect">
                      <a:avLst/>
                    </a:prstGeom>
                    <a:ln/>
                  </pic:spPr>
                </pic:pic>
              </a:graphicData>
            </a:graphic>
          </wp:inline>
        </w:drawing>
      </w:r>
    </w:p>
    <w:p w14:paraId="1F9DF237"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respecto del </w:t>
      </w:r>
      <w:r>
        <w:rPr>
          <w:rFonts w:ascii="Palatino Linotype" w:eastAsia="Palatino Linotype" w:hAnsi="Palatino Linotype" w:cs="Palatino Linotype"/>
          <w:b/>
          <w:smallCaps/>
        </w:rPr>
        <w:t>Programa Anual de Desarrollo Archivístico</w:t>
      </w:r>
      <w:r>
        <w:rPr>
          <w:rFonts w:ascii="Palatino Linotype" w:eastAsia="Palatino Linotype" w:hAnsi="Palatino Linotype" w:cs="Palatino Linotype"/>
          <w:b/>
        </w:rPr>
        <w:t xml:space="preserve"> 2023</w:t>
      </w:r>
      <w:r>
        <w:rPr>
          <w:rFonts w:ascii="Palatino Linotype" w:eastAsia="Palatino Linotype" w:hAnsi="Palatino Linotype" w:cs="Palatino Linotype"/>
        </w:rPr>
        <w:t xml:space="preserve">, en la respuesta vertida el veinticinco de enero del año dos mil veintitrés,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que de acuerdo con lo dispuesto por el artículo 23 de la Ley de Archivos y Administración de Documentos del Estado de México y Municipios, el cual refiere sobre la elaboración del PADA y su publicación en el portal electrónico de la Dependencia los primeros 30 días naturales del ejercicio fiscal correspondiente, por lo que se encuentra en proceso de elaboración y revisión; mientras que en el Informe Justificado rendido el tres de marzo de dos mil veintitrés, acompañó el vínculo </w:t>
      </w:r>
      <w:hyperlink r:id="rId11">
        <w:r>
          <w:rPr>
            <w:rFonts w:ascii="Palatino Linotype" w:eastAsia="Palatino Linotype" w:hAnsi="Palatino Linotype" w:cs="Palatino Linotype"/>
            <w:color w:val="0563C1"/>
            <w:u w:val="single"/>
          </w:rPr>
          <w:t>https://smovilidad.edomex.gob.mx/gestion-documental-admon-archivos</w:t>
        </w:r>
      </w:hyperlink>
      <w:r>
        <w:rPr>
          <w:rFonts w:ascii="Palatino Linotype" w:eastAsia="Palatino Linotype" w:hAnsi="Palatino Linotype" w:cs="Palatino Linotype"/>
        </w:rPr>
        <w:t xml:space="preserve"> señalando como ANEXO DOS:</w:t>
      </w:r>
    </w:p>
    <w:p w14:paraId="0961EDBE" w14:textId="77777777" w:rsidR="00CA0B3A" w:rsidRDefault="00F22D03">
      <w:pPr>
        <w:spacing w:line="360" w:lineRule="auto"/>
        <w:ind w:right="49"/>
        <w:jc w:val="center"/>
        <w:rPr>
          <w:rFonts w:ascii="Palatino Linotype" w:eastAsia="Palatino Linotype" w:hAnsi="Palatino Linotype" w:cs="Palatino Linotype"/>
        </w:rPr>
      </w:pPr>
      <w:r>
        <w:rPr>
          <w:noProof/>
        </w:rPr>
        <w:drawing>
          <wp:inline distT="0" distB="0" distL="0" distR="0" wp14:anchorId="0CDC97B7" wp14:editId="05B50A9F">
            <wp:extent cx="3070360" cy="3826338"/>
            <wp:effectExtent l="0" t="0" r="0" b="0"/>
            <wp:docPr id="2123645628" name="image1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Aplicación, Word&#10;&#10;Descripción generada automáticamente"/>
                    <pic:cNvPicPr preferRelativeResize="0"/>
                  </pic:nvPicPr>
                  <pic:blipFill>
                    <a:blip r:embed="rId12"/>
                    <a:srcRect l="64795" t="21455" r="13003" b="2964"/>
                    <a:stretch>
                      <a:fillRect/>
                    </a:stretch>
                  </pic:blipFill>
                  <pic:spPr>
                    <a:xfrm>
                      <a:off x="0" y="0"/>
                      <a:ext cx="3070360" cy="3826338"/>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D651FA6" wp14:editId="7B7BEB62">
                <wp:simplePos x="0" y="0"/>
                <wp:positionH relativeFrom="column">
                  <wp:posOffset>2197100</wp:posOffset>
                </wp:positionH>
                <wp:positionV relativeFrom="paragraph">
                  <wp:posOffset>1003300</wp:posOffset>
                </wp:positionV>
                <wp:extent cx="327025" cy="193675"/>
                <wp:effectExtent l="0" t="0" r="0" b="0"/>
                <wp:wrapNone/>
                <wp:docPr id="2123645625" name="Flecha derecha 2123645625"/>
                <wp:cNvGraphicFramePr/>
                <a:graphic xmlns:a="http://schemas.openxmlformats.org/drawingml/2006/main">
                  <a:graphicData uri="http://schemas.microsoft.com/office/word/2010/wordprocessingShape">
                    <wps:wsp>
                      <wps:cNvSpPr/>
                      <wps:spPr>
                        <a:xfrm>
                          <a:off x="5188838" y="3689513"/>
                          <a:ext cx="314325" cy="180975"/>
                        </a:xfrm>
                        <a:prstGeom prst="rightArrow">
                          <a:avLst>
                            <a:gd name="adj1" fmla="val 50000"/>
                            <a:gd name="adj2" fmla="val 50000"/>
                          </a:avLst>
                        </a:prstGeom>
                        <a:noFill/>
                        <a:ln w="12700" cap="flat" cmpd="sng">
                          <a:solidFill>
                            <a:srgbClr val="FF0000"/>
                          </a:solidFill>
                          <a:prstDash val="solid"/>
                          <a:miter lim="800000"/>
                          <a:headEnd type="none" w="sm" len="sm"/>
                          <a:tailEnd type="none" w="sm" len="sm"/>
                        </a:ln>
                      </wps:spPr>
                      <wps:txbx>
                        <w:txbxContent>
                          <w:p w14:paraId="2EB56AEB"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2197100</wp:posOffset>
                </wp:positionH>
                <wp:positionV relativeFrom="paragraph">
                  <wp:posOffset>1003300</wp:posOffset>
                </wp:positionV>
                <wp:extent cx="327025" cy="193675"/>
                <wp:effectExtent b="0" l="0" r="0" t="0"/>
                <wp:wrapNone/>
                <wp:docPr id="212364562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27025" cy="1936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C0204C3" wp14:editId="547D97E9">
                <wp:simplePos x="0" y="0"/>
                <wp:positionH relativeFrom="column">
                  <wp:posOffset>2120900</wp:posOffset>
                </wp:positionH>
                <wp:positionV relativeFrom="paragraph">
                  <wp:posOffset>3073400</wp:posOffset>
                </wp:positionV>
                <wp:extent cx="327025" cy="203200"/>
                <wp:effectExtent l="0" t="0" r="0" b="0"/>
                <wp:wrapNone/>
                <wp:docPr id="2123645620" name="Flecha derecha 2123645620"/>
                <wp:cNvGraphicFramePr/>
                <a:graphic xmlns:a="http://schemas.openxmlformats.org/drawingml/2006/main">
                  <a:graphicData uri="http://schemas.microsoft.com/office/word/2010/wordprocessingShape">
                    <wps:wsp>
                      <wps:cNvSpPr/>
                      <wps:spPr>
                        <a:xfrm>
                          <a:off x="5188838" y="3684750"/>
                          <a:ext cx="314325" cy="190500"/>
                        </a:xfrm>
                        <a:prstGeom prst="rightArrow">
                          <a:avLst>
                            <a:gd name="adj1" fmla="val 50000"/>
                            <a:gd name="adj2" fmla="val 50000"/>
                          </a:avLst>
                        </a:prstGeom>
                        <a:noFill/>
                        <a:ln w="12700" cap="flat" cmpd="sng">
                          <a:solidFill>
                            <a:srgbClr val="FF0000"/>
                          </a:solidFill>
                          <a:prstDash val="solid"/>
                          <a:miter lim="800000"/>
                          <a:headEnd type="none" w="sm" len="sm"/>
                          <a:tailEnd type="none" w="sm" len="sm"/>
                        </a:ln>
                      </wps:spPr>
                      <wps:txbx>
                        <w:txbxContent>
                          <w:p w14:paraId="4C7BF60D"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2120900</wp:posOffset>
                </wp:positionH>
                <wp:positionV relativeFrom="paragraph">
                  <wp:posOffset>3073400</wp:posOffset>
                </wp:positionV>
                <wp:extent cx="327025" cy="203200"/>
                <wp:effectExtent b="0" l="0" r="0" t="0"/>
                <wp:wrapNone/>
                <wp:docPr id="2123645620"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327025" cy="203200"/>
                        </a:xfrm>
                        <a:prstGeom prst="rect"/>
                        <a:ln/>
                      </pic:spPr>
                    </pic:pic>
                  </a:graphicData>
                </a:graphic>
              </wp:anchor>
            </w:drawing>
          </mc:Fallback>
        </mc:AlternateContent>
      </w:r>
    </w:p>
    <w:p w14:paraId="0CEA49A0"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solicitó se tuviera por presentada la respuesta a través del Informe Justificado.</w:t>
      </w:r>
    </w:p>
    <w:p w14:paraId="13172A10" w14:textId="77777777" w:rsidR="00CA0B3A" w:rsidRDefault="00CA0B3A">
      <w:pPr>
        <w:spacing w:line="360" w:lineRule="auto"/>
        <w:ind w:right="49"/>
        <w:jc w:val="both"/>
        <w:rPr>
          <w:rFonts w:ascii="Palatino Linotype" w:eastAsia="Palatino Linotype" w:hAnsi="Palatino Linotype" w:cs="Palatino Linotype"/>
        </w:rPr>
      </w:pPr>
    </w:p>
    <w:p w14:paraId="7AB55E5B"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es importante señalar las disposiciones normativas que regulan el Programa Anual de Desarrollo Archivístico, las cuales disponen:</w:t>
      </w:r>
    </w:p>
    <w:p w14:paraId="1AF1D241" w14:textId="77777777" w:rsidR="00CA0B3A" w:rsidRDefault="00CA0B3A">
      <w:pPr>
        <w:spacing w:line="360" w:lineRule="auto"/>
        <w:ind w:right="49"/>
        <w:jc w:val="center"/>
        <w:rPr>
          <w:rFonts w:ascii="Palatino Linotype" w:eastAsia="Palatino Linotype" w:hAnsi="Palatino Linotype" w:cs="Palatino Linotype"/>
          <w:b/>
          <w:i/>
          <w:sz w:val="22"/>
          <w:szCs w:val="22"/>
        </w:rPr>
      </w:pPr>
    </w:p>
    <w:p w14:paraId="4A1BD191" w14:textId="77777777" w:rsidR="00CA0B3A" w:rsidRDefault="00F22D03">
      <w:pPr>
        <w:spacing w:line="360" w:lineRule="auto"/>
        <w:ind w:right="4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General de Archivos</w:t>
      </w:r>
    </w:p>
    <w:p w14:paraId="28438C3B"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Los sujetos obligados que cuenten con un sistema institucional de archivos, deberán elaborar un programa anual y publicarlo en su portal electrónico en los primeros treinta días naturales del ejercicio fiscal correspondiente.</w:t>
      </w:r>
    </w:p>
    <w:p w14:paraId="42678422" w14:textId="77777777" w:rsidR="00CA0B3A" w:rsidRDefault="00CA0B3A">
      <w:pPr>
        <w:ind w:left="851" w:right="899"/>
        <w:jc w:val="both"/>
        <w:rPr>
          <w:rFonts w:ascii="Palatino Linotype" w:eastAsia="Palatino Linotype" w:hAnsi="Palatino Linotype" w:cs="Palatino Linotype"/>
          <w:i/>
          <w:sz w:val="22"/>
          <w:szCs w:val="22"/>
        </w:rPr>
      </w:pPr>
    </w:p>
    <w:p w14:paraId="1844D7E2"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26.</w:t>
      </w:r>
      <w:r>
        <w:rPr>
          <w:rFonts w:ascii="Palatino Linotype" w:eastAsia="Palatino Linotype" w:hAnsi="Palatino Linotype" w:cs="Palatino Linotype"/>
          <w:i/>
          <w:sz w:val="22"/>
          <w:szCs w:val="22"/>
        </w:rPr>
        <w:t xml:space="preserve"> Los sujetos obligados deberán elaborar un informe anual detallando el cumplimiento del programa anual y publicarlo en su portal electrónico, a más tardar el último día del mes de enero del siguiente año de la ejecución de dicho programa.</w:t>
      </w:r>
    </w:p>
    <w:p w14:paraId="241AB02D" w14:textId="77777777" w:rsidR="00CA0B3A" w:rsidRDefault="00CA0B3A">
      <w:pPr>
        <w:ind w:left="851" w:right="899"/>
        <w:jc w:val="both"/>
        <w:rPr>
          <w:rFonts w:ascii="Palatino Linotype" w:eastAsia="Palatino Linotype" w:hAnsi="Palatino Linotype" w:cs="Palatino Linotype"/>
          <w:i/>
          <w:sz w:val="22"/>
          <w:szCs w:val="22"/>
        </w:rPr>
      </w:pPr>
    </w:p>
    <w:p w14:paraId="2EE5753B" w14:textId="77777777" w:rsidR="00CA0B3A" w:rsidRDefault="00F22D0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Archivos y Administración de Documentos del Estado de México y</w:t>
      </w:r>
    </w:p>
    <w:p w14:paraId="33CF2BD4" w14:textId="77777777" w:rsidR="00CA0B3A" w:rsidRDefault="00F22D03">
      <w:pPr>
        <w:ind w:left="851" w:right="89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Municipios</w:t>
      </w:r>
    </w:p>
    <w:p w14:paraId="2DD1443A"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Los Sujetos Obligados que cuenten con un Sistema Institucional, deberán elaborar un Programa Anual y publicarlo en su portal electrónico, informativo </w:t>
      </w:r>
      <w:proofErr w:type="spellStart"/>
      <w:r>
        <w:rPr>
          <w:rFonts w:ascii="Palatino Linotype" w:eastAsia="Palatino Linotype" w:hAnsi="Palatino Linotype" w:cs="Palatino Linotype"/>
          <w:i/>
          <w:sz w:val="22"/>
          <w:szCs w:val="22"/>
        </w:rPr>
        <w:t>u</w:t>
      </w:r>
      <w:proofErr w:type="spellEnd"/>
      <w:r>
        <w:rPr>
          <w:rFonts w:ascii="Palatino Linotype" w:eastAsia="Palatino Linotype" w:hAnsi="Palatino Linotype" w:cs="Palatino Linotype"/>
          <w:i/>
          <w:sz w:val="22"/>
          <w:szCs w:val="22"/>
        </w:rPr>
        <w:t xml:space="preserve"> homólogo en los primeros treinta días naturales del ejercicio fiscal correspondiente.</w:t>
      </w:r>
    </w:p>
    <w:p w14:paraId="5033213D" w14:textId="77777777" w:rsidR="00CA0B3A" w:rsidRDefault="00CA0B3A">
      <w:pPr>
        <w:ind w:left="851" w:right="899"/>
        <w:jc w:val="both"/>
        <w:rPr>
          <w:rFonts w:ascii="Palatino Linotype" w:eastAsia="Palatino Linotype" w:hAnsi="Palatino Linotype" w:cs="Palatino Linotype"/>
          <w:i/>
          <w:sz w:val="22"/>
          <w:szCs w:val="22"/>
        </w:rPr>
      </w:pPr>
    </w:p>
    <w:p w14:paraId="548EF587"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26.</w:t>
      </w:r>
      <w:r>
        <w:rPr>
          <w:rFonts w:ascii="Palatino Linotype" w:eastAsia="Palatino Linotype" w:hAnsi="Palatino Linotype" w:cs="Palatino Linotype"/>
          <w:i/>
          <w:sz w:val="22"/>
          <w:szCs w:val="22"/>
        </w:rPr>
        <w:t xml:space="preserve"> Los Sujetos Obligados deberán elaborar un informe anual detallando el cumplimiento del Programa Anual y publicarlo en su portal electrónico, informativo </w:t>
      </w:r>
      <w:proofErr w:type="spellStart"/>
      <w:r>
        <w:rPr>
          <w:rFonts w:ascii="Palatino Linotype" w:eastAsia="Palatino Linotype" w:hAnsi="Palatino Linotype" w:cs="Palatino Linotype"/>
          <w:i/>
          <w:sz w:val="22"/>
          <w:szCs w:val="22"/>
        </w:rPr>
        <w:t>u</w:t>
      </w:r>
      <w:proofErr w:type="spellEnd"/>
      <w:r>
        <w:rPr>
          <w:rFonts w:ascii="Palatino Linotype" w:eastAsia="Palatino Linotype" w:hAnsi="Palatino Linotype" w:cs="Palatino Linotype"/>
          <w:i/>
          <w:sz w:val="22"/>
          <w:szCs w:val="22"/>
        </w:rPr>
        <w:t xml:space="preserve"> homólogo, a más tardar el último día del mes de enero del siguiente año de la ejecución de dicho programa.</w:t>
      </w:r>
    </w:p>
    <w:p w14:paraId="0B6E2A1E" w14:textId="77777777" w:rsidR="00CA0B3A" w:rsidRDefault="00CA0B3A">
      <w:pPr>
        <w:ind w:left="851" w:right="899"/>
        <w:jc w:val="both"/>
        <w:rPr>
          <w:rFonts w:ascii="Palatino Linotype" w:eastAsia="Palatino Linotype" w:hAnsi="Palatino Linotype" w:cs="Palatino Linotype"/>
          <w:i/>
          <w:sz w:val="22"/>
          <w:szCs w:val="22"/>
        </w:rPr>
      </w:pPr>
    </w:p>
    <w:p w14:paraId="1C526DDC"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se desprende en lo que al caso interesa que:</w:t>
      </w:r>
    </w:p>
    <w:p w14:paraId="214D43CD" w14:textId="77777777" w:rsidR="00CA0B3A" w:rsidRDefault="00F22D03">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Programa anual de desarrollo archivístico, se debe publicar en el portal electrónico del Sujeto Obligado.</w:t>
      </w:r>
    </w:p>
    <w:p w14:paraId="2C2ECFC3" w14:textId="77777777" w:rsidR="00CA0B3A" w:rsidRDefault="00F22D03">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Dicha publicación debe acontecer a más tardar el treinta de enero de ese año.</w:t>
      </w:r>
    </w:p>
    <w:p w14:paraId="1AE53FD6" w14:textId="77777777" w:rsidR="00CA0B3A" w:rsidRDefault="00F22D03">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Informe del cumplimiento al referido PADA también debe ser publicado en el portal electrónico a más tardar el treinta y uno de enero del siguiente año a aquel de la ejecución del programa.</w:t>
      </w:r>
    </w:p>
    <w:p w14:paraId="67CEBFF8" w14:textId="77777777" w:rsidR="00CA0B3A" w:rsidRDefault="00CA0B3A">
      <w:pPr>
        <w:spacing w:line="360" w:lineRule="auto"/>
        <w:ind w:right="49"/>
        <w:jc w:val="both"/>
        <w:rPr>
          <w:rFonts w:ascii="Palatino Linotype" w:eastAsia="Palatino Linotype" w:hAnsi="Palatino Linotype" w:cs="Palatino Linotype"/>
        </w:rPr>
      </w:pPr>
    </w:p>
    <w:p w14:paraId="01A77506" w14:textId="77777777" w:rsidR="00CA0B3A" w:rsidRDefault="00F22D03">
      <w:pPr>
        <w:spacing w:line="360" w:lineRule="auto"/>
        <w:ind w:right="49"/>
        <w:jc w:val="both"/>
        <w:rPr>
          <w:rFonts w:ascii="Palatino Linotype" w:eastAsia="Palatino Linotype" w:hAnsi="Palatino Linotype" w:cs="Palatino Linotype"/>
        </w:rPr>
      </w:pPr>
      <w:bookmarkStart w:id="13" w:name="_heading=h.26in1rg" w:colFirst="0" w:colLast="0"/>
      <w:bookmarkEnd w:id="13"/>
      <w:r>
        <w:rPr>
          <w:rFonts w:ascii="Palatino Linotype" w:eastAsia="Palatino Linotype" w:hAnsi="Palatino Linotype" w:cs="Palatino Linotype"/>
        </w:rPr>
        <w:t xml:space="preserve">Ahora bien, siguiendo los pasos compartidos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trascribir en el buscador de internet el vínculo </w:t>
      </w:r>
      <w:hyperlink r:id="rId15">
        <w:r>
          <w:rPr>
            <w:rFonts w:ascii="Palatino Linotype" w:eastAsia="Palatino Linotype" w:hAnsi="Palatino Linotype" w:cs="Palatino Linotype"/>
            <w:color w:val="0563C1"/>
            <w:u w:val="single"/>
          </w:rPr>
          <w:t>https://smovilidad.edomex.gob.mx/gestion-documental-admon-archivos</w:t>
        </w:r>
      </w:hyperlink>
      <w:r>
        <w:rPr>
          <w:rFonts w:ascii="Palatino Linotype" w:eastAsia="Palatino Linotype" w:hAnsi="Palatino Linotype" w:cs="Palatino Linotype"/>
        </w:rPr>
        <w:t xml:space="preserve"> se visualiza la pantalla siguiente:</w:t>
      </w:r>
    </w:p>
    <w:p w14:paraId="10411830" w14:textId="77777777" w:rsidR="00CA0B3A" w:rsidRDefault="00F22D03">
      <w:pPr>
        <w:spacing w:line="360" w:lineRule="auto"/>
        <w:ind w:right="49"/>
        <w:jc w:val="both"/>
        <w:rPr>
          <w:rFonts w:ascii="Palatino Linotype" w:eastAsia="Palatino Linotype" w:hAnsi="Palatino Linotype" w:cs="Palatino Linotype"/>
        </w:rPr>
      </w:pPr>
      <w:r>
        <w:rPr>
          <w:noProof/>
        </w:rPr>
        <w:drawing>
          <wp:inline distT="0" distB="0" distL="0" distR="0" wp14:anchorId="7139B523" wp14:editId="4DE6E458">
            <wp:extent cx="6125001" cy="3489609"/>
            <wp:effectExtent l="0" t="0" r="0" b="0"/>
            <wp:docPr id="2123645627" name="image1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10;&#10;Descripción generada automáticamente"/>
                    <pic:cNvPicPr preferRelativeResize="0"/>
                  </pic:nvPicPr>
                  <pic:blipFill>
                    <a:blip r:embed="rId16"/>
                    <a:srcRect l="46107" t="3552" r="9650" b="28411"/>
                    <a:stretch>
                      <a:fillRect/>
                    </a:stretch>
                  </pic:blipFill>
                  <pic:spPr>
                    <a:xfrm>
                      <a:off x="0" y="0"/>
                      <a:ext cx="6125001" cy="3489609"/>
                    </a:xfrm>
                    <a:prstGeom prst="rect">
                      <a:avLst/>
                    </a:prstGeom>
                    <a:ln/>
                  </pic:spPr>
                </pic:pic>
              </a:graphicData>
            </a:graphic>
          </wp:inline>
        </w:drawing>
      </w:r>
      <w:r>
        <w:rPr>
          <w:rFonts w:ascii="Palatino Linotype" w:eastAsia="Palatino Linotype" w:hAnsi="Palatino Linotype" w:cs="Palatino Linotype"/>
        </w:rPr>
        <w:t xml:space="preserve"> </w:t>
      </w:r>
      <w:r>
        <w:rPr>
          <w:noProof/>
        </w:rPr>
        <mc:AlternateContent>
          <mc:Choice Requires="wpg">
            <w:drawing>
              <wp:anchor distT="0" distB="0" distL="114300" distR="114300" simplePos="0" relativeHeight="251660288" behindDoc="0" locked="0" layoutInCell="1" hidden="0" allowOverlap="1" wp14:anchorId="2DD2DBB6" wp14:editId="0D43A37F">
                <wp:simplePos x="0" y="0"/>
                <wp:positionH relativeFrom="column">
                  <wp:posOffset>2032000</wp:posOffset>
                </wp:positionH>
                <wp:positionV relativeFrom="paragraph">
                  <wp:posOffset>2095500</wp:posOffset>
                </wp:positionV>
                <wp:extent cx="4117975" cy="460375"/>
                <wp:effectExtent l="0" t="0" r="0" b="0"/>
                <wp:wrapNone/>
                <wp:docPr id="2123645624" name="Rectángulo 2123645624"/>
                <wp:cNvGraphicFramePr/>
                <a:graphic xmlns:a="http://schemas.openxmlformats.org/drawingml/2006/main">
                  <a:graphicData uri="http://schemas.microsoft.com/office/word/2010/wordprocessingShape">
                    <wps:wsp>
                      <wps:cNvSpPr/>
                      <wps:spPr>
                        <a:xfrm>
                          <a:off x="3293363" y="3556163"/>
                          <a:ext cx="4105275" cy="447675"/>
                        </a:xfrm>
                        <a:prstGeom prst="rect">
                          <a:avLst/>
                        </a:prstGeom>
                        <a:noFill/>
                        <a:ln w="12700" cap="flat" cmpd="sng">
                          <a:solidFill>
                            <a:srgbClr val="FF0000"/>
                          </a:solidFill>
                          <a:prstDash val="solid"/>
                          <a:miter lim="800000"/>
                          <a:headEnd type="none" w="sm" len="sm"/>
                          <a:tailEnd type="none" w="sm" len="sm"/>
                        </a:ln>
                      </wps:spPr>
                      <wps:txbx>
                        <w:txbxContent>
                          <w:p w14:paraId="3FC7DBE9"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2032000</wp:posOffset>
                </wp:positionH>
                <wp:positionV relativeFrom="paragraph">
                  <wp:posOffset>2095500</wp:posOffset>
                </wp:positionV>
                <wp:extent cx="4117975" cy="460375"/>
                <wp:effectExtent b="0" l="0" r="0" t="0"/>
                <wp:wrapNone/>
                <wp:docPr id="212364562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117975" cy="4603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6E3F276" wp14:editId="21D982F8">
                <wp:simplePos x="0" y="0"/>
                <wp:positionH relativeFrom="column">
                  <wp:posOffset>1498600</wp:posOffset>
                </wp:positionH>
                <wp:positionV relativeFrom="paragraph">
                  <wp:posOffset>2120900</wp:posOffset>
                </wp:positionV>
                <wp:extent cx="438150" cy="200025"/>
                <wp:effectExtent l="0" t="0" r="0" b="0"/>
                <wp:wrapNone/>
                <wp:docPr id="2123645619" name="Flecha derecha 2123645619"/>
                <wp:cNvGraphicFramePr/>
                <a:graphic xmlns:a="http://schemas.openxmlformats.org/drawingml/2006/main">
                  <a:graphicData uri="http://schemas.microsoft.com/office/word/2010/wordprocessingShape">
                    <wps:wsp>
                      <wps:cNvSpPr/>
                      <wps:spPr>
                        <a:xfrm>
                          <a:off x="5136450" y="3689513"/>
                          <a:ext cx="419100" cy="180975"/>
                        </a:xfrm>
                        <a:prstGeom prst="rightArrow">
                          <a:avLst>
                            <a:gd name="adj1" fmla="val 27778"/>
                            <a:gd name="adj2" fmla="val 83333"/>
                          </a:avLst>
                        </a:prstGeom>
                        <a:noFill/>
                        <a:ln w="19050" cap="flat" cmpd="sng">
                          <a:solidFill>
                            <a:srgbClr val="FF0000"/>
                          </a:solidFill>
                          <a:prstDash val="solid"/>
                          <a:miter lim="800000"/>
                          <a:headEnd type="none" w="sm" len="sm"/>
                          <a:tailEnd type="none" w="sm" len="sm"/>
                        </a:ln>
                      </wps:spPr>
                      <wps:txbx>
                        <w:txbxContent>
                          <w:p w14:paraId="197BDE97"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1498600</wp:posOffset>
                </wp:positionH>
                <wp:positionV relativeFrom="paragraph">
                  <wp:posOffset>2120900</wp:posOffset>
                </wp:positionV>
                <wp:extent cx="438150" cy="200025"/>
                <wp:effectExtent b="0" l="0" r="0" t="0"/>
                <wp:wrapNone/>
                <wp:docPr id="2123645619"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438150" cy="2000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0821F5D" wp14:editId="0AFA0044">
                <wp:simplePos x="0" y="0"/>
                <wp:positionH relativeFrom="column">
                  <wp:posOffset>1498600</wp:posOffset>
                </wp:positionH>
                <wp:positionV relativeFrom="paragraph">
                  <wp:posOffset>2387600</wp:posOffset>
                </wp:positionV>
                <wp:extent cx="438150" cy="200025"/>
                <wp:effectExtent l="0" t="0" r="0" b="0"/>
                <wp:wrapNone/>
                <wp:docPr id="2123645622" name="Flecha derecha 2123645622"/>
                <wp:cNvGraphicFramePr/>
                <a:graphic xmlns:a="http://schemas.openxmlformats.org/drawingml/2006/main">
                  <a:graphicData uri="http://schemas.microsoft.com/office/word/2010/wordprocessingShape">
                    <wps:wsp>
                      <wps:cNvSpPr/>
                      <wps:spPr>
                        <a:xfrm>
                          <a:off x="5136450" y="3689513"/>
                          <a:ext cx="419100" cy="180975"/>
                        </a:xfrm>
                        <a:prstGeom prst="rightArrow">
                          <a:avLst>
                            <a:gd name="adj1" fmla="val 27778"/>
                            <a:gd name="adj2" fmla="val 83333"/>
                          </a:avLst>
                        </a:prstGeom>
                        <a:noFill/>
                        <a:ln w="19050" cap="flat" cmpd="sng">
                          <a:solidFill>
                            <a:srgbClr val="FF0000"/>
                          </a:solidFill>
                          <a:prstDash val="solid"/>
                          <a:miter lim="800000"/>
                          <a:headEnd type="none" w="sm" len="sm"/>
                          <a:tailEnd type="none" w="sm" len="sm"/>
                        </a:ln>
                      </wps:spPr>
                      <wps:txbx>
                        <w:txbxContent>
                          <w:p w14:paraId="4EFB449E"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1498600</wp:posOffset>
                </wp:positionH>
                <wp:positionV relativeFrom="paragraph">
                  <wp:posOffset>2387600</wp:posOffset>
                </wp:positionV>
                <wp:extent cx="438150" cy="200025"/>
                <wp:effectExtent b="0" l="0" r="0" t="0"/>
                <wp:wrapNone/>
                <wp:docPr id="2123645622"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438150" cy="200025"/>
                        </a:xfrm>
                        <a:prstGeom prst="rect"/>
                        <a:ln/>
                      </pic:spPr>
                    </pic:pic>
                  </a:graphicData>
                </a:graphic>
              </wp:anchor>
            </w:drawing>
          </mc:Fallback>
        </mc:AlternateContent>
      </w:r>
    </w:p>
    <w:p w14:paraId="2C4994F9" w14:textId="77777777" w:rsidR="00CA0B3A" w:rsidRDefault="00CA0B3A">
      <w:pPr>
        <w:spacing w:line="360" w:lineRule="auto"/>
        <w:ind w:right="49"/>
        <w:jc w:val="both"/>
        <w:rPr>
          <w:rFonts w:ascii="Palatino Linotype" w:eastAsia="Palatino Linotype" w:hAnsi="Palatino Linotype" w:cs="Palatino Linotype"/>
        </w:rPr>
      </w:pPr>
    </w:p>
    <w:p w14:paraId="1DE4E7E4"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dar clic en los rubros de interés, se pueden advertir documentos en formato PDF.</w:t>
      </w:r>
    </w:p>
    <w:p w14:paraId="71A0E656" w14:textId="77777777" w:rsidR="00CA0B3A" w:rsidRDefault="00F22D03">
      <w:pPr>
        <w:spacing w:line="360" w:lineRule="auto"/>
        <w:ind w:right="49"/>
        <w:jc w:val="center"/>
        <w:rPr>
          <w:rFonts w:ascii="Palatino Linotype" w:eastAsia="Palatino Linotype" w:hAnsi="Palatino Linotype" w:cs="Palatino Linotype"/>
        </w:rPr>
      </w:pPr>
      <w:r>
        <w:rPr>
          <w:noProof/>
        </w:rPr>
        <w:lastRenderedPageBreak/>
        <w:drawing>
          <wp:inline distT="0" distB="0" distL="0" distR="0" wp14:anchorId="33E8DD23" wp14:editId="0778568B">
            <wp:extent cx="4770081" cy="1674661"/>
            <wp:effectExtent l="0" t="0" r="0" b="0"/>
            <wp:docPr id="2123645630" name="image14.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 Word&#10;&#10;Descripción generada automáticamente"/>
                    <pic:cNvPicPr preferRelativeResize="0"/>
                  </pic:nvPicPr>
                  <pic:blipFill>
                    <a:blip r:embed="rId20"/>
                    <a:srcRect l="60848" t="38185" r="10109" b="33962"/>
                    <a:stretch>
                      <a:fillRect/>
                    </a:stretch>
                  </pic:blipFill>
                  <pic:spPr>
                    <a:xfrm>
                      <a:off x="0" y="0"/>
                      <a:ext cx="4770081" cy="1674661"/>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14:anchorId="2E9CC945" wp14:editId="4FE22D70">
                <wp:simplePos x="0" y="0"/>
                <wp:positionH relativeFrom="column">
                  <wp:posOffset>-165099</wp:posOffset>
                </wp:positionH>
                <wp:positionV relativeFrom="paragraph">
                  <wp:posOffset>927100</wp:posOffset>
                </wp:positionV>
                <wp:extent cx="695325" cy="333375"/>
                <wp:effectExtent l="0" t="0" r="0" b="0"/>
                <wp:wrapNone/>
                <wp:docPr id="2123645621" name="Flecha derecha 2123645621"/>
                <wp:cNvGraphicFramePr/>
                <a:graphic xmlns:a="http://schemas.openxmlformats.org/drawingml/2006/main">
                  <a:graphicData uri="http://schemas.microsoft.com/office/word/2010/wordprocessingShape">
                    <wps:wsp>
                      <wps:cNvSpPr/>
                      <wps:spPr>
                        <a:xfrm>
                          <a:off x="5007863" y="3622838"/>
                          <a:ext cx="676275" cy="314325"/>
                        </a:xfrm>
                        <a:prstGeom prst="rightArrow">
                          <a:avLst>
                            <a:gd name="adj1" fmla="val 31818"/>
                            <a:gd name="adj2" fmla="val 62121"/>
                          </a:avLst>
                        </a:prstGeom>
                        <a:noFill/>
                        <a:ln w="19050" cap="flat" cmpd="sng">
                          <a:solidFill>
                            <a:srgbClr val="FF0000"/>
                          </a:solidFill>
                          <a:prstDash val="solid"/>
                          <a:miter lim="800000"/>
                          <a:headEnd type="none" w="sm" len="sm"/>
                          <a:tailEnd type="none" w="sm" len="sm"/>
                        </a:ln>
                      </wps:spPr>
                      <wps:txbx>
                        <w:txbxContent>
                          <w:p w14:paraId="22A5330F"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-165099</wp:posOffset>
                </wp:positionH>
                <wp:positionV relativeFrom="paragraph">
                  <wp:posOffset>927100</wp:posOffset>
                </wp:positionV>
                <wp:extent cx="695325" cy="333375"/>
                <wp:effectExtent b="0" l="0" r="0" t="0"/>
                <wp:wrapNone/>
                <wp:docPr id="2123645621"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695325" cy="333375"/>
                        </a:xfrm>
                        <a:prstGeom prst="rect"/>
                        <a:ln/>
                      </pic:spPr>
                    </pic:pic>
                  </a:graphicData>
                </a:graphic>
              </wp:anchor>
            </w:drawing>
          </mc:Fallback>
        </mc:AlternateContent>
      </w:r>
    </w:p>
    <w:p w14:paraId="44B164E5"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abrir dicho archivo, se puede observar el contenido</w:t>
      </w:r>
      <w:r>
        <w:t xml:space="preserve"> </w:t>
      </w:r>
      <w:r>
        <w:rPr>
          <w:rFonts w:ascii="Palatino Linotype" w:eastAsia="Palatino Linotype" w:hAnsi="Palatino Linotype" w:cs="Palatino Linotype"/>
        </w:rPr>
        <w:t>a manera de ilustración la página 1 de 10:</w:t>
      </w:r>
    </w:p>
    <w:p w14:paraId="647879C9" w14:textId="77777777" w:rsidR="00CA0B3A" w:rsidRDefault="00F22D03">
      <w:pPr>
        <w:spacing w:line="360" w:lineRule="auto"/>
        <w:ind w:right="49"/>
        <w:jc w:val="center"/>
        <w:rPr>
          <w:rFonts w:ascii="Palatino Linotype" w:eastAsia="Palatino Linotype" w:hAnsi="Palatino Linotype" w:cs="Palatino Linotype"/>
        </w:rPr>
      </w:pPr>
      <w:r>
        <w:rPr>
          <w:noProof/>
        </w:rPr>
        <w:drawing>
          <wp:inline distT="0" distB="0" distL="0" distR="0" wp14:anchorId="32F60591" wp14:editId="23406A63">
            <wp:extent cx="2618361" cy="2841201"/>
            <wp:effectExtent l="0" t="0" r="0" b="0"/>
            <wp:docPr id="2123645629" name="image1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10;&#10;Descripción generada automáticamente"/>
                    <pic:cNvPicPr preferRelativeResize="0"/>
                  </pic:nvPicPr>
                  <pic:blipFill>
                    <a:blip r:embed="rId22"/>
                    <a:srcRect l="62987" t="12578" r="13825" b="18688"/>
                    <a:stretch>
                      <a:fillRect/>
                    </a:stretch>
                  </pic:blipFill>
                  <pic:spPr>
                    <a:xfrm>
                      <a:off x="0" y="0"/>
                      <a:ext cx="2618361" cy="2841201"/>
                    </a:xfrm>
                    <a:prstGeom prst="rect">
                      <a:avLst/>
                    </a:prstGeom>
                    <a:ln/>
                  </pic:spPr>
                </pic:pic>
              </a:graphicData>
            </a:graphic>
          </wp:inline>
        </w:drawing>
      </w:r>
    </w:p>
    <w:p w14:paraId="7CE4F0A1"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Y respecto del PADA 2023, se observa el archivo PDF, de forma ilustrativa se expone página 1 de 19.</w:t>
      </w:r>
    </w:p>
    <w:p w14:paraId="75F03DCE" w14:textId="77777777" w:rsidR="00CA0B3A" w:rsidRDefault="00F22D03">
      <w:pPr>
        <w:spacing w:line="360" w:lineRule="auto"/>
        <w:ind w:right="49"/>
        <w:jc w:val="center"/>
        <w:rPr>
          <w:rFonts w:ascii="Palatino Linotype" w:eastAsia="Palatino Linotype" w:hAnsi="Palatino Linotype" w:cs="Palatino Linotype"/>
        </w:rPr>
      </w:pPr>
      <w:r>
        <w:rPr>
          <w:noProof/>
        </w:rPr>
        <w:drawing>
          <wp:inline distT="0" distB="0" distL="0" distR="0" wp14:anchorId="793E2237" wp14:editId="5FB39868">
            <wp:extent cx="5245571" cy="888594"/>
            <wp:effectExtent l="0" t="0" r="0" b="0"/>
            <wp:docPr id="2123645632" name="image1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Word&#10;&#10;Descripción generada automáticamente"/>
                    <pic:cNvPicPr preferRelativeResize="0"/>
                  </pic:nvPicPr>
                  <pic:blipFill>
                    <a:blip r:embed="rId23"/>
                    <a:srcRect l="60191" t="44025" r="9713" b="42048"/>
                    <a:stretch>
                      <a:fillRect/>
                    </a:stretch>
                  </pic:blipFill>
                  <pic:spPr>
                    <a:xfrm>
                      <a:off x="0" y="0"/>
                      <a:ext cx="5245571" cy="888594"/>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14:anchorId="07EAB483" wp14:editId="521BBA30">
                <wp:simplePos x="0" y="0"/>
                <wp:positionH relativeFrom="column">
                  <wp:posOffset>1</wp:posOffset>
                </wp:positionH>
                <wp:positionV relativeFrom="paragraph">
                  <wp:posOffset>571500</wp:posOffset>
                </wp:positionV>
                <wp:extent cx="428625" cy="209550"/>
                <wp:effectExtent l="0" t="0" r="0" b="0"/>
                <wp:wrapNone/>
                <wp:docPr id="2123645623" name="Flecha derecha 2123645623"/>
                <wp:cNvGraphicFramePr/>
                <a:graphic xmlns:a="http://schemas.openxmlformats.org/drawingml/2006/main">
                  <a:graphicData uri="http://schemas.microsoft.com/office/word/2010/wordprocessingShape">
                    <wps:wsp>
                      <wps:cNvSpPr/>
                      <wps:spPr>
                        <a:xfrm>
                          <a:off x="5141213" y="3684750"/>
                          <a:ext cx="409575" cy="190500"/>
                        </a:xfrm>
                        <a:prstGeom prst="rightArrow">
                          <a:avLst>
                            <a:gd name="adj1" fmla="val 31818"/>
                            <a:gd name="adj2" fmla="val 62121"/>
                          </a:avLst>
                        </a:prstGeom>
                        <a:noFill/>
                        <a:ln w="19050" cap="flat" cmpd="sng">
                          <a:solidFill>
                            <a:srgbClr val="FF0000"/>
                          </a:solidFill>
                          <a:prstDash val="solid"/>
                          <a:miter lim="800000"/>
                          <a:headEnd type="none" w="sm" len="sm"/>
                          <a:tailEnd type="none" w="sm" len="sm"/>
                        </a:ln>
                      </wps:spPr>
                      <wps:txbx>
                        <w:txbxContent>
                          <w:p w14:paraId="6386957C" w14:textId="77777777" w:rsidR="00CA0B3A" w:rsidRDefault="00CA0B3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571500</wp:posOffset>
                </wp:positionV>
                <wp:extent cx="428625" cy="209550"/>
                <wp:effectExtent b="0" l="0" r="0" t="0"/>
                <wp:wrapNone/>
                <wp:docPr id="2123645623"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428625" cy="209550"/>
                        </a:xfrm>
                        <a:prstGeom prst="rect"/>
                        <a:ln/>
                      </pic:spPr>
                    </pic:pic>
                  </a:graphicData>
                </a:graphic>
              </wp:anchor>
            </w:drawing>
          </mc:Fallback>
        </mc:AlternateContent>
      </w:r>
    </w:p>
    <w:p w14:paraId="1C8008A4" w14:textId="77777777" w:rsidR="00CA0B3A" w:rsidRDefault="00CA0B3A">
      <w:pPr>
        <w:spacing w:line="360" w:lineRule="auto"/>
        <w:ind w:right="49"/>
        <w:jc w:val="both"/>
        <w:rPr>
          <w:rFonts w:ascii="Palatino Linotype" w:eastAsia="Palatino Linotype" w:hAnsi="Palatino Linotype" w:cs="Palatino Linotype"/>
        </w:rPr>
      </w:pPr>
    </w:p>
    <w:p w14:paraId="76D83858" w14:textId="77777777" w:rsidR="00CA0B3A" w:rsidRDefault="00CA0B3A">
      <w:pPr>
        <w:spacing w:line="360" w:lineRule="auto"/>
        <w:ind w:right="49"/>
        <w:jc w:val="both"/>
        <w:rPr>
          <w:rFonts w:ascii="Palatino Linotype" w:eastAsia="Palatino Linotype" w:hAnsi="Palatino Linotype" w:cs="Palatino Linotype"/>
        </w:rPr>
      </w:pPr>
    </w:p>
    <w:p w14:paraId="5FF66DB8" w14:textId="77777777" w:rsidR="00CA0B3A" w:rsidRDefault="00F22D03">
      <w:pPr>
        <w:spacing w:line="360" w:lineRule="auto"/>
        <w:ind w:right="49"/>
        <w:jc w:val="center"/>
        <w:rPr>
          <w:rFonts w:ascii="Palatino Linotype" w:eastAsia="Palatino Linotype" w:hAnsi="Palatino Linotype" w:cs="Palatino Linotype"/>
        </w:rPr>
      </w:pPr>
      <w:r>
        <w:rPr>
          <w:noProof/>
        </w:rPr>
        <w:drawing>
          <wp:inline distT="0" distB="0" distL="0" distR="0" wp14:anchorId="0CC2B0E9" wp14:editId="24099C95">
            <wp:extent cx="3448050" cy="3907790"/>
            <wp:effectExtent l="0" t="0" r="0" b="0"/>
            <wp:docPr id="2123645631" name="image16.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Una captura de pantalla de una computadora&#10;&#10;Descripción generada automáticamente"/>
                    <pic:cNvPicPr preferRelativeResize="0"/>
                  </pic:nvPicPr>
                  <pic:blipFill>
                    <a:blip r:embed="rId25"/>
                    <a:srcRect l="63151" t="13927" r="14648" b="17339"/>
                    <a:stretch>
                      <a:fillRect/>
                    </a:stretch>
                  </pic:blipFill>
                  <pic:spPr>
                    <a:xfrm>
                      <a:off x="0" y="0"/>
                      <a:ext cx="3448050" cy="3907790"/>
                    </a:xfrm>
                    <a:prstGeom prst="rect">
                      <a:avLst/>
                    </a:prstGeom>
                    <a:ln/>
                  </pic:spPr>
                </pic:pic>
              </a:graphicData>
            </a:graphic>
          </wp:inline>
        </w:drawing>
      </w:r>
    </w:p>
    <w:p w14:paraId="0BDC1F76" w14:textId="77777777" w:rsidR="00CA0B3A" w:rsidRDefault="00CA0B3A">
      <w:pPr>
        <w:spacing w:line="360" w:lineRule="auto"/>
        <w:ind w:right="49"/>
        <w:jc w:val="both"/>
        <w:rPr>
          <w:rFonts w:ascii="Palatino Linotype" w:eastAsia="Palatino Linotype" w:hAnsi="Palatino Linotype" w:cs="Palatino Linotype"/>
        </w:rPr>
      </w:pPr>
    </w:p>
    <w:p w14:paraId="16AFAFC3"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revisado, podemos afirmar que efectivamente los vínculos proporcionados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conducen al Informe del Programa Anual de Desarrollo Archivístico 2022 y al Programa Anual de Desarrollo Archivístico 2023.</w:t>
      </w:r>
    </w:p>
    <w:p w14:paraId="6CF680A9" w14:textId="77777777" w:rsidR="00CA0B3A" w:rsidRDefault="00CA0B3A">
      <w:pPr>
        <w:spacing w:line="360" w:lineRule="auto"/>
        <w:ind w:right="49"/>
        <w:jc w:val="both"/>
        <w:rPr>
          <w:rFonts w:ascii="Palatino Linotype" w:eastAsia="Palatino Linotype" w:hAnsi="Palatino Linotype" w:cs="Palatino Linotype"/>
        </w:rPr>
      </w:pPr>
    </w:p>
    <w:p w14:paraId="47B2D5C5" w14:textId="77777777" w:rsidR="00CA0B3A" w:rsidRDefault="00F22D0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Pesé a lo anterior, de la solicitud de información se advierte que ésta fue requerida en formato abierto, por lo que para efecto de que este Órgano Garante se pronuncie del cumplimiento al Derecho de Acceso a la Información, es indispensable establecer que significa el formato abierto.</w:t>
      </w:r>
    </w:p>
    <w:p w14:paraId="32BFC281" w14:textId="77777777" w:rsidR="00CA0B3A" w:rsidRDefault="00F22D03">
      <w:pPr>
        <w:spacing w:line="360" w:lineRule="auto"/>
        <w:ind w:right="49"/>
        <w:jc w:val="both"/>
        <w:rPr>
          <w:rFonts w:ascii="Palatino Linotype" w:eastAsia="Palatino Linotype" w:hAnsi="Palatino Linotype" w:cs="Palatino Linotype"/>
          <w:b/>
          <w:smallCaps/>
        </w:rPr>
      </w:pPr>
      <w:r>
        <w:rPr>
          <w:rFonts w:ascii="Palatino Linotype" w:eastAsia="Palatino Linotype" w:hAnsi="Palatino Linotype" w:cs="Palatino Linotype"/>
          <w:b/>
          <w:smallCaps/>
        </w:rPr>
        <w:lastRenderedPageBreak/>
        <w:t>Formato abierto.</w:t>
      </w:r>
    </w:p>
    <w:p w14:paraId="0195A3D6" w14:textId="77777777" w:rsidR="00CA0B3A" w:rsidRDefault="00FB675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w:t>
      </w:r>
      <w:r w:rsidR="00F22D03">
        <w:rPr>
          <w:rFonts w:ascii="Palatino Linotype" w:eastAsia="Palatino Linotype" w:hAnsi="Palatino Linotype" w:cs="Palatino Linotype"/>
        </w:rPr>
        <w:t xml:space="preserve"> términos del artículo 3 fracción XVI de la Ley de Transparencia y Acceso a la Información Pública del Estado de México y Municipios, </w:t>
      </w:r>
      <w:r w:rsidR="00F22D03">
        <w:rPr>
          <w:rFonts w:ascii="Palatino Linotype" w:eastAsia="Palatino Linotype" w:hAnsi="Palatino Linotype" w:cs="Palatino Linotype"/>
          <w:b/>
        </w:rPr>
        <w:t>los formatos abiertos son</w:t>
      </w:r>
      <w:r w:rsidR="00F22D03">
        <w:rPr>
          <w:rFonts w:ascii="Palatino Linotype" w:eastAsia="Palatino Linotype" w:hAnsi="Palatino Linotype" w:cs="Palatino Linotype"/>
        </w:rPr>
        <w:t xml:space="preserve"> </w:t>
      </w:r>
      <w:r w:rsidR="00F22D03">
        <w:rPr>
          <w:rFonts w:ascii="Palatino Linotype" w:eastAsia="Palatino Linotype" w:hAnsi="Palatino Linotype" w:cs="Palatino Linotype"/>
          <w:i/>
        </w:rPr>
        <w:t xml:space="preserve">el conjunto de características técnicas y de presentación de la información que corresponden a la estructura lógica usada para almacenar datos de forma integral y </w:t>
      </w:r>
      <w:r w:rsidR="00F22D03">
        <w:rPr>
          <w:rFonts w:ascii="Palatino Linotype" w:eastAsia="Palatino Linotype" w:hAnsi="Palatino Linotype" w:cs="Palatino Linotype"/>
          <w:b/>
          <w:i/>
        </w:rPr>
        <w:t>facilitan su procesamiento digital</w:t>
      </w:r>
      <w:r w:rsidR="00F22D03">
        <w:rPr>
          <w:rFonts w:ascii="Palatino Linotype" w:eastAsia="Palatino Linotype" w:hAnsi="Palatino Linotype" w:cs="Palatino Linotype"/>
          <w:i/>
        </w:rPr>
        <w:t xml:space="preserve">, cuyas especificaciones están disponibles públicamente y que </w:t>
      </w:r>
      <w:r w:rsidR="00F22D03">
        <w:rPr>
          <w:rFonts w:ascii="Palatino Linotype" w:eastAsia="Palatino Linotype" w:hAnsi="Palatino Linotype" w:cs="Palatino Linotype"/>
          <w:b/>
          <w:i/>
        </w:rPr>
        <w:t>permiten el acceso sin restricción de uso</w:t>
      </w:r>
      <w:r w:rsidR="00F22D03">
        <w:rPr>
          <w:rFonts w:ascii="Palatino Linotype" w:eastAsia="Palatino Linotype" w:hAnsi="Palatino Linotype" w:cs="Palatino Linotype"/>
          <w:i/>
        </w:rPr>
        <w:t xml:space="preserve"> por parte de los usuarios.</w:t>
      </w:r>
    </w:p>
    <w:p w14:paraId="64BAFB77" w14:textId="77777777" w:rsidR="00CA0B3A" w:rsidRDefault="00CA0B3A">
      <w:pPr>
        <w:spacing w:line="360" w:lineRule="auto"/>
        <w:jc w:val="both"/>
        <w:rPr>
          <w:rFonts w:ascii="Palatino Linotype" w:eastAsia="Palatino Linotype" w:hAnsi="Palatino Linotype" w:cs="Palatino Linotype"/>
          <w:i/>
        </w:rPr>
      </w:pPr>
    </w:p>
    <w:p w14:paraId="744E034F" w14:textId="77777777" w:rsidR="00CA0B3A" w:rsidRDefault="00F22D0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el mismo tenor, el Diccionario de Transparencia y Acceso a la Información Pública del Instituto Nacional de Transparencia, Acceso a la Información y protección de Datos Personales, define:</w:t>
      </w:r>
    </w:p>
    <w:p w14:paraId="6FE1D566" w14:textId="77777777" w:rsidR="00CA0B3A" w:rsidRDefault="00CA0B3A">
      <w:pPr>
        <w:spacing w:line="360" w:lineRule="auto"/>
        <w:ind w:right="51"/>
        <w:jc w:val="both"/>
        <w:rPr>
          <w:rFonts w:ascii="Palatino Linotype" w:eastAsia="Palatino Linotype" w:hAnsi="Palatino Linotype" w:cs="Palatino Linotype"/>
        </w:rPr>
      </w:pPr>
    </w:p>
    <w:p w14:paraId="45C492E1" w14:textId="77777777" w:rsidR="00CA0B3A" w:rsidRDefault="00F22D03">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“Formato abierto</w:t>
      </w:r>
      <w:r>
        <w:rPr>
          <w:rFonts w:ascii="Palatino Linotype" w:eastAsia="Palatino Linotype" w:hAnsi="Palatino Linotype" w:cs="Palatino Linotype"/>
          <w:i/>
          <w:sz w:val="22"/>
          <w:szCs w:val="22"/>
        </w:rPr>
        <w:t xml:space="preserve"> </w:t>
      </w:r>
    </w:p>
    <w:p w14:paraId="2143A013" w14:textId="77777777" w:rsidR="00CA0B3A" w:rsidRDefault="00F22D03">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un sujeto obligado proporciona información pública de manera electrónica </w:t>
      </w:r>
      <w:r>
        <w:rPr>
          <w:rFonts w:ascii="Palatino Linotype" w:eastAsia="Palatino Linotype" w:hAnsi="Palatino Linotype" w:cs="Palatino Linotype"/>
          <w:b/>
          <w:i/>
          <w:sz w:val="22"/>
          <w:szCs w:val="22"/>
        </w:rPr>
        <w:t>es necesario garantizar su interoperabilidad</w:t>
      </w:r>
      <w:r>
        <w:rPr>
          <w:rFonts w:ascii="Palatino Linotype" w:eastAsia="Palatino Linotype" w:hAnsi="Palatino Linotype" w:cs="Palatino Linotype"/>
          <w:i/>
          <w:sz w:val="22"/>
          <w:szCs w:val="22"/>
        </w:rPr>
        <w:t xml:space="preserve">. Es decir, </w:t>
      </w:r>
      <w:r>
        <w:rPr>
          <w:rFonts w:ascii="Palatino Linotype" w:eastAsia="Palatino Linotype" w:hAnsi="Palatino Linotype" w:cs="Palatino Linotype"/>
          <w:b/>
          <w:i/>
          <w:sz w:val="22"/>
          <w:szCs w:val="22"/>
        </w:rPr>
        <w:t xml:space="preserve">que esta información </w:t>
      </w:r>
      <w:r>
        <w:rPr>
          <w:rFonts w:ascii="Palatino Linotype" w:eastAsia="Palatino Linotype" w:hAnsi="Palatino Linotype" w:cs="Palatino Linotype"/>
          <w:b/>
          <w:i/>
          <w:sz w:val="22"/>
          <w:szCs w:val="22"/>
          <w:u w:val="single"/>
        </w:rPr>
        <w:t>contenga datos en formatos y estándares abiertos para su reproducción y reutilización electrónica</w:t>
      </w:r>
      <w:r>
        <w:rPr>
          <w:rFonts w:ascii="Palatino Linotype" w:eastAsia="Palatino Linotype" w:hAnsi="Palatino Linotype" w:cs="Palatino Linotype"/>
          <w:b/>
          <w:i/>
          <w:sz w:val="22"/>
          <w:szCs w:val="22"/>
        </w:rPr>
        <w:t>; de manera libre, sin ninguna restricción, obligación o compensación</w:t>
      </w:r>
      <w:r>
        <w:rPr>
          <w:rFonts w:ascii="Palatino Linotype" w:eastAsia="Palatino Linotype" w:hAnsi="Palatino Linotype" w:cs="Palatino Linotype"/>
          <w:i/>
          <w:sz w:val="22"/>
          <w:szCs w:val="22"/>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w:t>
      </w:r>
      <w:r>
        <w:rPr>
          <w:rFonts w:ascii="Palatino Linotype" w:eastAsia="Palatino Linotype" w:hAnsi="Palatino Linotype" w:cs="Palatino Linotype"/>
          <w:i/>
          <w:sz w:val="22"/>
          <w:szCs w:val="22"/>
          <w:vertAlign w:val="superscript"/>
        </w:rPr>
        <w:footnoteReference w:id="9"/>
      </w:r>
      <w:r>
        <w:rPr>
          <w:rFonts w:ascii="Palatino Linotype" w:eastAsia="Palatino Linotype" w:hAnsi="Palatino Linotype" w:cs="Palatino Linotype"/>
          <w:i/>
          <w:sz w:val="22"/>
          <w:szCs w:val="22"/>
        </w:rPr>
        <w:t xml:space="preserve">” </w:t>
      </w:r>
    </w:p>
    <w:p w14:paraId="3A60C6AE" w14:textId="77777777" w:rsidR="00CA0B3A" w:rsidRDefault="00CA0B3A">
      <w:pPr>
        <w:spacing w:line="360" w:lineRule="auto"/>
        <w:ind w:left="567" w:right="616"/>
        <w:jc w:val="both"/>
        <w:rPr>
          <w:rFonts w:ascii="Palatino Linotype" w:eastAsia="Palatino Linotype" w:hAnsi="Palatino Linotype" w:cs="Palatino Linotype"/>
          <w:i/>
        </w:rPr>
      </w:pPr>
    </w:p>
    <w:p w14:paraId="2DB2C985" w14:textId="77777777" w:rsidR="00CA0B3A" w:rsidRDefault="00F22D0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Conforme al Diccionario de Archivos, del Instituto Nacional de Transparencia, Acceso a la Información y Protección de datos Personales, se advierte que el concepto Datos Abiertos:</w:t>
      </w:r>
    </w:p>
    <w:p w14:paraId="3EE9B1A8" w14:textId="77777777" w:rsidR="00CA0B3A" w:rsidRDefault="00F22D0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“En un sentido general, e</w:t>
      </w:r>
      <w:r>
        <w:rPr>
          <w:rFonts w:ascii="Palatino Linotype" w:eastAsia="Palatino Linotype" w:hAnsi="Palatino Linotype" w:cs="Palatino Linotype"/>
          <w:i/>
          <w:sz w:val="22"/>
          <w:szCs w:val="22"/>
        </w:rPr>
        <w:t xml:space="preserve">l término “datos abiertos” se refiere a los datos digitales que pueden usarse con libertad, por cualquier persona y para cualquier propósito, incluyendo su libre distribución y aprovechamiento (comercial o de otro tipo). </w:t>
      </w:r>
      <w:r>
        <w:rPr>
          <w:rFonts w:ascii="Palatino Linotype" w:eastAsia="Palatino Linotype" w:hAnsi="Palatino Linotype" w:cs="Palatino Linotype"/>
          <w:i/>
          <w:sz w:val="22"/>
          <w:szCs w:val="22"/>
          <w:u w:val="single"/>
        </w:rPr>
        <w:t>En un sentido más específico</w:t>
      </w:r>
      <w:r>
        <w:rPr>
          <w:rFonts w:ascii="Palatino Linotype" w:eastAsia="Palatino Linotype" w:hAnsi="Palatino Linotype" w:cs="Palatino Linotype"/>
          <w:i/>
          <w:sz w:val="22"/>
          <w:szCs w:val="22"/>
        </w:rPr>
        <w:t xml:space="preserve"> —y quizá más frecuente— se refiere a datos generados o compilados por actores políticos o gubernamentales (como los poderes públicos, los partidos políticos o las dependencias del gobierno) y que se ponen a disposición irrestricta y asequible de cualquier persona que desee consultarlos o usarlos. Ya sea en un sentido general o específico al ámbito político-gubernamental, los datos abiertos deben su nombre a una serie de atributos concretos.”</w:t>
      </w:r>
      <w:r>
        <w:rPr>
          <w:rFonts w:ascii="Palatino Linotype" w:eastAsia="Palatino Linotype" w:hAnsi="Palatino Linotype" w:cs="Palatino Linotype"/>
          <w:i/>
          <w:sz w:val="22"/>
          <w:szCs w:val="22"/>
          <w:vertAlign w:val="superscript"/>
        </w:rPr>
        <w:footnoteReference w:id="10"/>
      </w:r>
    </w:p>
    <w:p w14:paraId="265158AB" w14:textId="77777777" w:rsidR="00CA0B3A" w:rsidRDefault="00CA0B3A">
      <w:pPr>
        <w:spacing w:line="360" w:lineRule="auto"/>
        <w:ind w:right="51"/>
        <w:jc w:val="both"/>
      </w:pPr>
    </w:p>
    <w:p w14:paraId="19C35B69" w14:textId="77777777" w:rsidR="00CA0B3A" w:rsidRDefault="00CA0B3A">
      <w:pPr>
        <w:spacing w:line="360" w:lineRule="auto"/>
        <w:ind w:right="51"/>
        <w:jc w:val="both"/>
        <w:rPr>
          <w:rFonts w:ascii="Palatino Linotype" w:eastAsia="Palatino Linotype" w:hAnsi="Palatino Linotype" w:cs="Palatino Linotype"/>
        </w:rPr>
      </w:pPr>
    </w:p>
    <w:p w14:paraId="769682F7" w14:textId="77777777" w:rsidR="00CA0B3A" w:rsidRDefault="00F22D0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072B23F0" w14:textId="77777777" w:rsidR="00CA0B3A" w:rsidRDefault="00CA0B3A">
      <w:pPr>
        <w:spacing w:line="360" w:lineRule="auto"/>
        <w:ind w:right="51"/>
        <w:jc w:val="both"/>
        <w:rPr>
          <w:rFonts w:ascii="Palatino Linotype" w:eastAsia="Palatino Linotype" w:hAnsi="Palatino Linotype" w:cs="Palatino Linotype"/>
          <w:sz w:val="22"/>
          <w:szCs w:val="22"/>
        </w:rPr>
      </w:pPr>
    </w:p>
    <w:p w14:paraId="1D0E5860" w14:textId="77777777" w:rsidR="00CA0B3A" w:rsidRDefault="00F22D03">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A611877"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 Accesibles:</w:t>
      </w:r>
      <w:r>
        <w:rPr>
          <w:rFonts w:ascii="Palatino Linotype" w:eastAsia="Palatino Linotype" w:hAnsi="Palatino Linotype" w:cs="Palatino Linotype"/>
          <w:i/>
          <w:sz w:val="22"/>
          <w:szCs w:val="22"/>
        </w:rPr>
        <w:t xml:space="preserve"> Los datos están disponibles para la gama más amplia de usuarios, para cualquier propósito; </w:t>
      </w:r>
    </w:p>
    <w:p w14:paraId="09F472E9"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 Integrales</w:t>
      </w:r>
      <w:r>
        <w:rPr>
          <w:rFonts w:ascii="Palatino Linotype" w:eastAsia="Palatino Linotype" w:hAnsi="Palatino Linotype" w:cs="Palatino Linotype"/>
          <w:i/>
          <w:sz w:val="22"/>
          <w:szCs w:val="22"/>
        </w:rPr>
        <w:t xml:space="preserve">: Contienen el tema que describen a detalle y con los metadatos necesarios; </w:t>
      </w:r>
    </w:p>
    <w:p w14:paraId="01E91AC8"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 Gratuitos</w:t>
      </w:r>
      <w:r>
        <w:rPr>
          <w:rFonts w:ascii="Palatino Linotype" w:eastAsia="Palatino Linotype" w:hAnsi="Palatino Linotype" w:cs="Palatino Linotype"/>
          <w:i/>
          <w:sz w:val="22"/>
          <w:szCs w:val="22"/>
        </w:rPr>
        <w:t xml:space="preserve">: Se obtienen sin entregar a cambio contraprestación alguna; </w:t>
      </w:r>
    </w:p>
    <w:p w14:paraId="66B51EBB"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 No discriminatorios</w:t>
      </w:r>
      <w:r>
        <w:rPr>
          <w:rFonts w:ascii="Palatino Linotype" w:eastAsia="Palatino Linotype" w:hAnsi="Palatino Linotype" w:cs="Palatino Linotype"/>
          <w:i/>
          <w:sz w:val="22"/>
          <w:szCs w:val="22"/>
        </w:rPr>
        <w:t xml:space="preserve">: Los datos están disponibles para cualquier persona, sin necesidad de registro; </w:t>
      </w:r>
    </w:p>
    <w:p w14:paraId="4D68CEFE"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 Oportunos:</w:t>
      </w:r>
      <w:r>
        <w:rPr>
          <w:rFonts w:ascii="Palatino Linotype" w:eastAsia="Palatino Linotype" w:hAnsi="Palatino Linotype" w:cs="Palatino Linotype"/>
          <w:i/>
          <w:sz w:val="22"/>
          <w:szCs w:val="22"/>
        </w:rPr>
        <w:t xml:space="preserve"> Son actualizados, periódicamente, conforme se generen; </w:t>
      </w:r>
    </w:p>
    <w:p w14:paraId="48D9B5B2"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 Permanentes</w:t>
      </w:r>
      <w:r>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14:paraId="631C5C2E"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 Primarios:</w:t>
      </w:r>
      <w:r>
        <w:rPr>
          <w:rFonts w:ascii="Palatino Linotype" w:eastAsia="Palatino Linotype" w:hAnsi="Palatino Linotype" w:cs="Palatino Linotype"/>
          <w:i/>
          <w:sz w:val="22"/>
          <w:szCs w:val="22"/>
        </w:rPr>
        <w:t xml:space="preserve"> Provienen de la fuente de origen con el máximo nivel de desagregación posible; </w:t>
      </w:r>
    </w:p>
    <w:p w14:paraId="52094DD7"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 Legibles por máquinas</w:t>
      </w:r>
      <w:r>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14:paraId="49FC17FB"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En formatos abiertos</w:t>
      </w:r>
      <w:r>
        <w:rPr>
          <w:rFonts w:ascii="Palatino Linotype" w:eastAsia="Palatino Linotype" w:hAnsi="Palatino Linotype" w:cs="Palatino Linotype"/>
          <w:i/>
          <w:sz w:val="22"/>
          <w:szCs w:val="22"/>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6730E115" w14:textId="77777777" w:rsidR="00CA0B3A" w:rsidRDefault="00F22D03">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j) De libre uso</w:t>
      </w:r>
      <w:r>
        <w:rPr>
          <w:rFonts w:ascii="Palatino Linotype" w:eastAsia="Palatino Linotype" w:hAnsi="Palatino Linotype" w:cs="Palatino Linotype"/>
          <w:i/>
          <w:sz w:val="22"/>
          <w:szCs w:val="22"/>
        </w:rPr>
        <w:t>: Citan la fuente de origen como único requerimiento para ser utilizados libremente.”</w:t>
      </w:r>
    </w:p>
    <w:p w14:paraId="5937C7DB" w14:textId="77777777" w:rsidR="00CA0B3A" w:rsidRDefault="00CA0B3A">
      <w:pPr>
        <w:spacing w:line="360" w:lineRule="auto"/>
        <w:jc w:val="both"/>
        <w:rPr>
          <w:rFonts w:ascii="Palatino Linotype" w:eastAsia="Palatino Linotype" w:hAnsi="Palatino Linotype" w:cs="Palatino Linotype"/>
        </w:rPr>
      </w:pPr>
    </w:p>
    <w:p w14:paraId="4BFB059C" w14:textId="77777777" w:rsidR="00CA0B3A" w:rsidRDefault="00F22D0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rPr>
        <w:t>De lo anterior, se entiende que un dato es abierto cuando no se encuentran barreras para usarlo, reutilizarlo y redistribuirlo libremente, esto es se localice en formatos no propietarios, debe precisarse que los programas que requieren del pago para uso de una licencia no cumplen cabalmente con las características de los datos abiertos anunciadas.</w:t>
      </w:r>
    </w:p>
    <w:p w14:paraId="7812FE78" w14:textId="77777777" w:rsidR="00CA0B3A" w:rsidRDefault="00CA0B3A">
      <w:pPr>
        <w:spacing w:line="360" w:lineRule="auto"/>
        <w:jc w:val="both"/>
        <w:rPr>
          <w:rFonts w:ascii="Palatino Linotype" w:eastAsia="Palatino Linotype" w:hAnsi="Palatino Linotype" w:cs="Palatino Linotype"/>
          <w:sz w:val="22"/>
          <w:szCs w:val="22"/>
        </w:rPr>
      </w:pPr>
    </w:p>
    <w:p w14:paraId="0BB948C5"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dichos ordenamientos establecen que la información generada, obtenida, adquirida transformada o en posesión de los sujetos obligados es pública y accesible a cualquier persona, en los términos y condiciones establecidos en ellos. </w:t>
      </w:r>
    </w:p>
    <w:p w14:paraId="5E2954C1" w14:textId="77777777" w:rsidR="00CA0B3A" w:rsidRDefault="00CA0B3A">
      <w:pPr>
        <w:spacing w:line="360" w:lineRule="auto"/>
        <w:jc w:val="both"/>
        <w:rPr>
          <w:rFonts w:ascii="Palatino Linotype" w:eastAsia="Palatino Linotype" w:hAnsi="Palatino Linotype" w:cs="Palatino Linotype"/>
        </w:rPr>
      </w:pPr>
    </w:p>
    <w:p w14:paraId="72A549E0"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14:paraId="4A100771" w14:textId="77777777" w:rsidR="00CA0B3A" w:rsidRDefault="00CA0B3A">
      <w:pPr>
        <w:spacing w:line="360" w:lineRule="auto"/>
        <w:jc w:val="both"/>
        <w:rPr>
          <w:rFonts w:ascii="Palatino Linotype" w:eastAsia="Palatino Linotype" w:hAnsi="Palatino Linotype" w:cs="Palatino Linotype"/>
        </w:rPr>
      </w:pPr>
    </w:p>
    <w:p w14:paraId="63FA57A2"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de las formas como se garantiza ese derecho, es a través de la obligación a cargo de los Sujetos Obligados, de poner a disposición del público, de manera permanente y actualizada, la información conocida como </w:t>
      </w:r>
      <w:r>
        <w:rPr>
          <w:rFonts w:ascii="Palatino Linotype" w:eastAsia="Palatino Linotype" w:hAnsi="Palatino Linotype" w:cs="Palatino Linotype"/>
          <w:i/>
        </w:rPr>
        <w:t>“Obligaciones de Transparencia”,</w:t>
      </w:r>
      <w:r>
        <w:rPr>
          <w:rFonts w:ascii="Palatino Linotype" w:eastAsia="Palatino Linotype" w:hAnsi="Palatino Linotype" w:cs="Palatino Linotype"/>
        </w:rPr>
        <w:t xml:space="preserve"> que son todos y cada uno de los contenidos informativos que se listan en el Título Quinto, tanto de la Ley General de Transparencia, como en la Ley Local de Transparencia. </w:t>
      </w:r>
    </w:p>
    <w:p w14:paraId="1600DD09" w14:textId="77777777" w:rsidR="00CA0B3A" w:rsidRDefault="00CA0B3A">
      <w:pPr>
        <w:spacing w:line="360" w:lineRule="auto"/>
        <w:jc w:val="both"/>
        <w:rPr>
          <w:rFonts w:ascii="Palatino Linotype" w:eastAsia="Palatino Linotype" w:hAnsi="Palatino Linotype" w:cs="Palatino Linotype"/>
        </w:rPr>
      </w:pPr>
    </w:p>
    <w:p w14:paraId="3A2C6D6C"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se advierte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en adelante); son la normativa que regula el cumplimiento de las obligaciones de transparencia. </w:t>
      </w:r>
    </w:p>
    <w:p w14:paraId="556EA931" w14:textId="77777777" w:rsidR="00CA0B3A" w:rsidRDefault="00CA0B3A">
      <w:pPr>
        <w:spacing w:line="360" w:lineRule="auto"/>
        <w:jc w:val="both"/>
        <w:rPr>
          <w:rFonts w:ascii="Palatino Linotype" w:eastAsia="Palatino Linotype" w:hAnsi="Palatino Linotype" w:cs="Palatino Linotype"/>
        </w:rPr>
      </w:pPr>
    </w:p>
    <w:p w14:paraId="115D984B"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Entre los criterios sustantivos de contenido que los Lineamientos Técnicos Generales contemplan dentro de casi todos los formatos de las obligaciones de transparencia, se </w:t>
      </w:r>
      <w:r>
        <w:rPr>
          <w:rFonts w:ascii="Palatino Linotype" w:eastAsia="Palatino Linotype" w:hAnsi="Palatino Linotype" w:cs="Palatino Linotype"/>
        </w:rPr>
        <w:lastRenderedPageBreak/>
        <w:t>encuentra el relativo a publicar el propio documento fuente de la información, conforme a la obligación de transparencia de que se trate.</w:t>
      </w:r>
    </w:p>
    <w:p w14:paraId="4EA82067" w14:textId="77777777" w:rsidR="00CA0B3A" w:rsidRDefault="00CA0B3A">
      <w:pPr>
        <w:spacing w:line="360" w:lineRule="auto"/>
        <w:jc w:val="both"/>
        <w:rPr>
          <w:rFonts w:ascii="Palatino Linotype" w:eastAsia="Palatino Linotype" w:hAnsi="Palatino Linotype" w:cs="Palatino Linotype"/>
        </w:rPr>
      </w:pPr>
    </w:p>
    <w:p w14:paraId="22F0013C"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que nos ocupa, los Lineamientos Técnicos Generales en su numeral Décimo segundo, fracción VI refieren lo siguiente: </w:t>
      </w:r>
    </w:p>
    <w:p w14:paraId="6C6C3143" w14:textId="77777777" w:rsidR="00CA0B3A" w:rsidRDefault="00CA0B3A">
      <w:pPr>
        <w:spacing w:line="276" w:lineRule="auto"/>
        <w:jc w:val="both"/>
        <w:rPr>
          <w:rFonts w:ascii="Palatino Linotype" w:eastAsia="Palatino Linotype" w:hAnsi="Palatino Linotype" w:cs="Palatino Linotype"/>
          <w:sz w:val="22"/>
          <w:szCs w:val="22"/>
        </w:rPr>
      </w:pPr>
    </w:p>
    <w:p w14:paraId="0DAAC8B6" w14:textId="77777777" w:rsidR="00CA0B3A" w:rsidRDefault="00F22D0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“Décimo segundo. Las políticas para accesibilidad de la información son las siguientes: </w:t>
      </w:r>
    </w:p>
    <w:p w14:paraId="6BE29AD9" w14:textId="77777777" w:rsidR="00CA0B3A" w:rsidRDefault="00F22D0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F5B6187" w14:textId="77777777" w:rsidR="00CA0B3A" w:rsidRDefault="00F22D0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 información publicada por los sujetos obligados deberá ofrecerse en un formato que permita su reutilización por los usuarios y por las máquinas, es decir, presentarse </w:t>
      </w:r>
      <w:r>
        <w:rPr>
          <w:rFonts w:ascii="Palatino Linotype" w:eastAsia="Palatino Linotype" w:hAnsi="Palatino Linotype" w:cs="Palatino Linotype"/>
          <w:b/>
          <w:i/>
          <w:sz w:val="22"/>
          <w:szCs w:val="22"/>
        </w:rPr>
        <w:t>mediante el enfoque de datos abiertos</w:t>
      </w:r>
      <w:r>
        <w:rPr>
          <w:rFonts w:ascii="Palatino Linotype" w:eastAsia="Palatino Linotype" w:hAnsi="Palatino Linotype" w:cs="Palatino Linotype"/>
          <w:i/>
          <w:sz w:val="22"/>
          <w:szCs w:val="22"/>
        </w:rPr>
        <w:t xml:space="preserve">, lo cual implica facilitar la posibilidad de exportar el conjunto de datos publicados en formatos estructurados para facilitar el consumo e interpretación. Los formatos utilizados pueden ser, entre otros, CVS (por sus siglas en inglés </w:t>
      </w:r>
      <w:proofErr w:type="spellStart"/>
      <w:r>
        <w:rPr>
          <w:rFonts w:ascii="Palatino Linotype" w:eastAsia="Palatino Linotype" w:hAnsi="Palatino Linotype" w:cs="Palatino Linotype"/>
          <w:i/>
          <w:sz w:val="22"/>
          <w:szCs w:val="22"/>
        </w:rPr>
        <w:t>Comma-Separated</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Values</w:t>
      </w:r>
      <w:proofErr w:type="spellEnd"/>
      <w:r>
        <w:rPr>
          <w:rFonts w:ascii="Palatino Linotype" w:eastAsia="Palatino Linotype" w:hAnsi="Palatino Linotype" w:cs="Palatino Linotype"/>
          <w:i/>
          <w:sz w:val="22"/>
          <w:szCs w:val="22"/>
        </w:rPr>
        <w:t xml:space="preserve">) y de estándar abierto, según convenga, de acuerdo con cada conjunto de datos, ya sea XML, </w:t>
      </w:r>
      <w:proofErr w:type="spellStart"/>
      <w:r>
        <w:rPr>
          <w:rFonts w:ascii="Palatino Linotype" w:eastAsia="Palatino Linotype" w:hAnsi="Palatino Linotype" w:cs="Palatino Linotype"/>
          <w:i/>
          <w:sz w:val="22"/>
          <w:szCs w:val="22"/>
        </w:rPr>
        <w:t>JSon</w:t>
      </w:r>
      <w:proofErr w:type="spellEnd"/>
      <w:r>
        <w:rPr>
          <w:rFonts w:ascii="Palatino Linotype" w:eastAsia="Palatino Linotype" w:hAnsi="Palatino Linotype" w:cs="Palatino Linotype"/>
          <w:i/>
          <w:sz w:val="22"/>
          <w:szCs w:val="22"/>
        </w:rPr>
        <w:t xml:space="preserve">, RDF, </w:t>
      </w:r>
      <w:proofErr w:type="spellStart"/>
      <w:r>
        <w:rPr>
          <w:rFonts w:ascii="Palatino Linotype" w:eastAsia="Palatino Linotype" w:hAnsi="Palatino Linotype" w:cs="Palatino Linotype"/>
          <w:i/>
          <w:sz w:val="22"/>
          <w:szCs w:val="22"/>
        </w:rPr>
        <w:t>GEOJSon</w:t>
      </w:r>
      <w:proofErr w:type="spellEnd"/>
      <w:r>
        <w:rPr>
          <w:rFonts w:ascii="Palatino Linotype" w:eastAsia="Palatino Linotype" w:hAnsi="Palatino Linotype" w:cs="Palatino Linotype"/>
          <w:i/>
          <w:sz w:val="22"/>
          <w:szCs w:val="22"/>
        </w:rPr>
        <w:t>, KML, DBF y/o propietarios como SHP y XLSX. Cuando se trate de documentos que deben difundirse con firmas y son publicados en formato PDF, se deberá incluir, adicionalmente, una versión en un formato que permita utilizar o manejar nuevamente la información;” (Sic) (Énfasis añadido)</w:t>
      </w:r>
    </w:p>
    <w:p w14:paraId="1FB96B0F" w14:textId="77777777" w:rsidR="00CA0B3A" w:rsidRDefault="00CA0B3A">
      <w:pPr>
        <w:spacing w:line="360" w:lineRule="auto"/>
        <w:jc w:val="both"/>
        <w:rPr>
          <w:rFonts w:ascii="Palatino Linotype" w:eastAsia="Palatino Linotype" w:hAnsi="Palatino Linotype" w:cs="Palatino Linotype"/>
        </w:rPr>
      </w:pPr>
    </w:p>
    <w:p w14:paraId="274CF166"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anteriormente expuesto se advierte que, para la publicación de la información por parte de los sujetos obligados, deberá ofrecerse en un formato que permita su reutilización por los usuarios y por las máquinas, es decir, presentarse mediante el enfoque de datos abiertos, lo cual implica facilitar la posibilidad de exportar el conjunto de datos publicados en formatos estructurados para facilitar el consumo e interpretación.</w:t>
      </w:r>
    </w:p>
    <w:p w14:paraId="4DD58C74" w14:textId="77777777" w:rsidR="00CA0B3A" w:rsidRDefault="00CA0B3A">
      <w:pPr>
        <w:spacing w:line="360" w:lineRule="auto"/>
        <w:jc w:val="both"/>
        <w:rPr>
          <w:rFonts w:ascii="Palatino Linotype" w:eastAsia="Palatino Linotype" w:hAnsi="Palatino Linotype" w:cs="Palatino Linotype"/>
        </w:rPr>
      </w:pPr>
    </w:p>
    <w:p w14:paraId="147A130A" w14:textId="77777777" w:rsidR="00CA0B3A" w:rsidRDefault="00F22D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 accesibilidad de formatos y datos abiertos “es un ejercicio de transparencia que permite llamar a cuentas a los gobiernos. Los datos abiertos igualmente pueden facilitar el involucramiento de los ciudadanos y de las organizaciones de la sociedad civil en el análisis de los problemas y en la formulación de nuevas soluciones”</w:t>
      </w:r>
      <w:r>
        <w:rPr>
          <w:rFonts w:ascii="Palatino Linotype" w:eastAsia="Palatino Linotype" w:hAnsi="Palatino Linotype" w:cs="Palatino Linotype"/>
          <w:vertAlign w:val="superscript"/>
        </w:rPr>
        <w:footnoteReference w:id="11"/>
      </w:r>
      <w:r>
        <w:rPr>
          <w:rFonts w:ascii="Palatino Linotype" w:eastAsia="Palatino Linotype" w:hAnsi="Palatino Linotype" w:cs="Palatino Linotype"/>
        </w:rPr>
        <w:t>.</w:t>
      </w:r>
    </w:p>
    <w:p w14:paraId="2A391265" w14:textId="77777777" w:rsidR="00CA0B3A" w:rsidRDefault="00CA0B3A">
      <w:pPr>
        <w:spacing w:line="360" w:lineRule="auto"/>
        <w:jc w:val="both"/>
        <w:rPr>
          <w:rFonts w:ascii="Palatino Linotype" w:eastAsia="Palatino Linotype" w:hAnsi="Palatino Linotype" w:cs="Palatino Linotype"/>
        </w:rPr>
      </w:pPr>
    </w:p>
    <w:p w14:paraId="6A836329" w14:textId="77777777" w:rsidR="00CA0B3A" w:rsidRDefault="00F22D03">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lo hasta aquí expuesto, es de destacar que la información a la que remitió</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 xml:space="preserve">en los vínculos de su página electrónica, </w:t>
      </w:r>
      <w:r>
        <w:rPr>
          <w:rFonts w:ascii="Palatino Linotype" w:eastAsia="Palatino Linotype" w:hAnsi="Palatino Linotype" w:cs="Palatino Linotype"/>
          <w:b/>
          <w:u w:val="single"/>
        </w:rPr>
        <w:t>se encuentra en un formato PDF no reutilizable</w:t>
      </w:r>
      <w:r>
        <w:rPr>
          <w:rFonts w:ascii="Palatino Linotype" w:eastAsia="Palatino Linotype" w:hAnsi="Palatino Linotype" w:cs="Palatino Linotype"/>
        </w:rPr>
        <w:t>, es decir, el documento “Programa Anual de Desarrollo Archivístico 2023” se encuentra en imagen, lo que no permite su selección o copiado y el “Informe del Cumplimiento del Programa Anual de Desarrollo Archivístico 2022” si lo permite pero no de forma total, sin que sea posible su manipulación, no obstante;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basta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la información en el formato en el que lo generó o que obre en sus archivos que permita su reutilización, para tener por satisfecho el Derecho de acceso a la información. </w:t>
      </w:r>
    </w:p>
    <w:p w14:paraId="4D801E1F" w14:textId="77777777" w:rsidR="00CA0B3A" w:rsidRDefault="00CA0B3A">
      <w:pPr>
        <w:pBdr>
          <w:top w:val="nil"/>
          <w:left w:val="nil"/>
          <w:bottom w:val="nil"/>
          <w:right w:val="nil"/>
          <w:between w:val="nil"/>
        </w:pBdr>
        <w:spacing w:line="360" w:lineRule="auto"/>
        <w:jc w:val="both"/>
        <w:rPr>
          <w:rFonts w:ascii="Palatino Linotype" w:eastAsia="Palatino Linotype" w:hAnsi="Palatino Linotype" w:cs="Palatino Linotype"/>
        </w:rPr>
      </w:pPr>
    </w:p>
    <w:p w14:paraId="47105943" w14:textId="77777777" w:rsidR="00CA0B3A" w:rsidRDefault="00F22D03">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resultan fundadas las razones o motivos de inconformidad hechos valer por el Recurrente dentro del recurso de revisión en análisis, por lo que se Modifica la respuesta otorgada y se ordena sea entregada en formato abierto.</w:t>
      </w:r>
    </w:p>
    <w:p w14:paraId="593D3C8D" w14:textId="77777777" w:rsidR="00CA0B3A" w:rsidRDefault="00CA0B3A">
      <w:pPr>
        <w:pBdr>
          <w:top w:val="nil"/>
          <w:left w:val="nil"/>
          <w:bottom w:val="nil"/>
          <w:right w:val="nil"/>
          <w:between w:val="nil"/>
        </w:pBdr>
        <w:spacing w:line="360" w:lineRule="auto"/>
        <w:jc w:val="both"/>
        <w:rPr>
          <w:rFonts w:ascii="Palatino Linotype" w:eastAsia="Palatino Linotype" w:hAnsi="Palatino Linotype" w:cs="Palatino Linotype"/>
        </w:rPr>
      </w:pPr>
    </w:p>
    <w:p w14:paraId="1D48C591" w14:textId="77777777" w:rsidR="00CA0B3A" w:rsidRDefault="00F22D03">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similares términos se resolvió el Recurso 12509/INFOEM/IP/RR/2022.</w:t>
      </w:r>
    </w:p>
    <w:p w14:paraId="0BD00513" w14:textId="77777777" w:rsidR="00CA0B3A" w:rsidRDefault="00CA0B3A">
      <w:pPr>
        <w:spacing w:line="360" w:lineRule="auto"/>
        <w:ind w:right="49"/>
        <w:jc w:val="both"/>
        <w:rPr>
          <w:rFonts w:ascii="Palatino Linotype" w:eastAsia="Palatino Linotype" w:hAnsi="Palatino Linotype" w:cs="Palatino Linotype"/>
        </w:rPr>
      </w:pPr>
    </w:p>
    <w:p w14:paraId="465F629F" w14:textId="77777777" w:rsidR="00CA0B3A" w:rsidRDefault="00F22D03">
      <w:pPr>
        <w:tabs>
          <w:tab w:val="left" w:pos="709"/>
        </w:tabs>
        <w:spacing w:line="360" w:lineRule="auto"/>
        <w:ind w:right="49"/>
        <w:jc w:val="both"/>
        <w:rPr>
          <w:rFonts w:ascii="Palatino Linotype" w:eastAsia="Palatino Linotype" w:hAnsi="Palatino Linotype" w:cs="Palatino Linotype"/>
          <w:b/>
          <w:sz w:val="26"/>
          <w:szCs w:val="26"/>
        </w:rPr>
      </w:pPr>
      <w:bookmarkStart w:id="14" w:name="_heading=h.1t1bb8qur85" w:colFirst="0" w:colLast="0"/>
      <w:bookmarkEnd w:id="14"/>
      <w:r>
        <w:rPr>
          <w:rFonts w:ascii="Palatino Linotype" w:eastAsia="Palatino Linotype" w:hAnsi="Palatino Linotype" w:cs="Palatino Linotype"/>
        </w:rPr>
        <w:lastRenderedPageBreak/>
        <w:t>Por lo que,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local, este Pleno:</w:t>
      </w:r>
    </w:p>
    <w:p w14:paraId="4D5D0E0E" w14:textId="77777777" w:rsidR="00196344" w:rsidRDefault="00196344">
      <w:pPr>
        <w:spacing w:line="360" w:lineRule="auto"/>
        <w:jc w:val="center"/>
        <w:rPr>
          <w:rFonts w:ascii="Palatino Linotype" w:eastAsia="Palatino Linotype" w:hAnsi="Palatino Linotype" w:cs="Palatino Linotype"/>
          <w:b/>
        </w:rPr>
      </w:pPr>
    </w:p>
    <w:p w14:paraId="05F10C3A" w14:textId="77777777" w:rsidR="00CA0B3A" w:rsidRPr="00196344" w:rsidRDefault="00F22D03">
      <w:pPr>
        <w:spacing w:line="360" w:lineRule="auto"/>
        <w:jc w:val="center"/>
        <w:rPr>
          <w:rFonts w:ascii="Palatino Linotype" w:eastAsia="Palatino Linotype" w:hAnsi="Palatino Linotype" w:cs="Palatino Linotype"/>
          <w:b/>
          <w:sz w:val="28"/>
        </w:rPr>
      </w:pPr>
      <w:r w:rsidRPr="00196344">
        <w:rPr>
          <w:rFonts w:ascii="Palatino Linotype" w:eastAsia="Palatino Linotype" w:hAnsi="Palatino Linotype" w:cs="Palatino Linotype"/>
          <w:b/>
          <w:sz w:val="28"/>
        </w:rPr>
        <w:t>R</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E</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S</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U</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E</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L</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V</w:t>
      </w:r>
      <w:r w:rsidR="00196344" w:rsidRPr="00196344">
        <w:rPr>
          <w:rFonts w:ascii="Palatino Linotype" w:eastAsia="Palatino Linotype" w:hAnsi="Palatino Linotype" w:cs="Palatino Linotype"/>
          <w:b/>
          <w:sz w:val="28"/>
        </w:rPr>
        <w:t xml:space="preserve"> </w:t>
      </w:r>
      <w:r w:rsidRPr="00196344">
        <w:rPr>
          <w:rFonts w:ascii="Palatino Linotype" w:eastAsia="Palatino Linotype" w:hAnsi="Palatino Linotype" w:cs="Palatino Linotype"/>
          <w:b/>
          <w:sz w:val="28"/>
        </w:rPr>
        <w:t>E</w:t>
      </w:r>
    </w:p>
    <w:p w14:paraId="0B6EB815" w14:textId="77777777" w:rsidR="00196344" w:rsidRDefault="00196344">
      <w:pPr>
        <w:spacing w:line="360" w:lineRule="auto"/>
        <w:ind w:right="49"/>
        <w:jc w:val="both"/>
        <w:rPr>
          <w:rFonts w:ascii="Palatino Linotype" w:eastAsia="Palatino Linotype" w:hAnsi="Palatino Linotype" w:cs="Palatino Linotype"/>
          <w:b/>
        </w:rPr>
      </w:pPr>
    </w:p>
    <w:p w14:paraId="3198BB25" w14:textId="4D97EFE1"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Resultan </w:t>
      </w:r>
      <w:r>
        <w:rPr>
          <w:rFonts w:ascii="Palatino Linotype" w:eastAsia="Palatino Linotype" w:hAnsi="Palatino Linotype" w:cs="Palatino Linotype"/>
          <w:b/>
        </w:rPr>
        <w:t xml:space="preserve">FUNDADOS </w:t>
      </w:r>
      <w:r>
        <w:rPr>
          <w:rFonts w:ascii="Palatino Linotype" w:eastAsia="Palatino Linotype" w:hAnsi="Palatino Linotype" w:cs="Palatino Linotype"/>
        </w:rPr>
        <w:t xml:space="preserve">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39747D">
        <w:rPr>
          <w:rFonts w:ascii="Palatino Linotype" w:eastAsia="Palatino Linotype" w:hAnsi="Palatino Linotype" w:cs="Palatino Linotype"/>
          <w:b/>
        </w:rPr>
        <w:t>00847/INFOEM/IP/RR/2023</w:t>
      </w:r>
      <w:r>
        <w:rPr>
          <w:rFonts w:ascii="Palatino Linotype" w:eastAsia="Palatino Linotype" w:hAnsi="Palatino Linotype" w:cs="Palatino Linotype"/>
        </w:rPr>
        <w:t>.</w:t>
      </w:r>
    </w:p>
    <w:p w14:paraId="4B505927" w14:textId="77777777" w:rsidR="00CA0B3A" w:rsidRDefault="00CA0B3A">
      <w:pPr>
        <w:spacing w:line="360" w:lineRule="auto"/>
        <w:ind w:right="49"/>
        <w:jc w:val="center"/>
        <w:rPr>
          <w:rFonts w:ascii="Palatino Linotype" w:eastAsia="Palatino Linotype" w:hAnsi="Palatino Linotype" w:cs="Palatino Linotype"/>
        </w:rPr>
      </w:pPr>
    </w:p>
    <w:p w14:paraId="6478F76C" w14:textId="77777777"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Se MODIFICA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del Considerando </w:t>
      </w:r>
      <w:r w:rsidRPr="0039747D">
        <w:rPr>
          <w:rFonts w:ascii="Palatino Linotype" w:eastAsia="Palatino Linotype" w:hAnsi="Palatino Linotype" w:cs="Palatino Linotype"/>
          <w:b/>
          <w:bCs/>
        </w:rPr>
        <w:t>QUINTO</w:t>
      </w:r>
      <w:r>
        <w:rPr>
          <w:rFonts w:ascii="Palatino Linotype" w:eastAsia="Palatino Linotype" w:hAnsi="Palatino Linotype" w:cs="Palatino Linotype"/>
        </w:rPr>
        <w:t xml:space="preserve"> de esta resolución y se ordena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formato abierto o aquel en el que haya sido generado:</w:t>
      </w:r>
    </w:p>
    <w:p w14:paraId="0FB8C44D" w14:textId="77777777" w:rsidR="00CA0B3A" w:rsidRDefault="00CA0B3A">
      <w:pPr>
        <w:spacing w:line="360" w:lineRule="auto"/>
        <w:ind w:left="1211"/>
        <w:jc w:val="both"/>
        <w:rPr>
          <w:rFonts w:ascii="Palatino Linotype" w:eastAsia="Palatino Linotype" w:hAnsi="Palatino Linotype" w:cs="Palatino Linotype"/>
        </w:rPr>
      </w:pPr>
    </w:p>
    <w:p w14:paraId="3E4F7E30" w14:textId="77777777" w:rsidR="00CA0B3A" w:rsidRDefault="00F22D03">
      <w:pPr>
        <w:numPr>
          <w:ilvl w:val="0"/>
          <w:numId w:val="4"/>
        </w:numPr>
        <w:pBdr>
          <w:top w:val="nil"/>
          <w:left w:val="nil"/>
          <w:bottom w:val="nil"/>
          <w:right w:val="nil"/>
          <w:between w:val="nil"/>
        </w:pBdr>
        <w:ind w:left="851"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Informe del Programa Anual de Desarrollo Archivístico 2022.</w:t>
      </w:r>
    </w:p>
    <w:p w14:paraId="0AA8C478" w14:textId="77777777" w:rsidR="00CA0B3A" w:rsidRDefault="00F22D03">
      <w:pPr>
        <w:numPr>
          <w:ilvl w:val="0"/>
          <w:numId w:val="4"/>
        </w:numPr>
        <w:pBdr>
          <w:top w:val="nil"/>
          <w:left w:val="nil"/>
          <w:bottom w:val="nil"/>
          <w:right w:val="nil"/>
          <w:between w:val="nil"/>
        </w:pBdr>
        <w:ind w:left="851"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Programa Anual de Desarrollo Archivístico 2023.</w:t>
      </w:r>
    </w:p>
    <w:p w14:paraId="0785D895" w14:textId="77777777" w:rsidR="00CA0B3A" w:rsidRDefault="00CA0B3A">
      <w:pPr>
        <w:pBdr>
          <w:top w:val="nil"/>
          <w:left w:val="nil"/>
          <w:bottom w:val="nil"/>
          <w:right w:val="nil"/>
          <w:between w:val="nil"/>
        </w:pBdr>
        <w:ind w:left="720"/>
        <w:rPr>
          <w:rFonts w:ascii="Palatino Linotype" w:eastAsia="Palatino Linotype" w:hAnsi="Palatino Linotype" w:cs="Palatino Linotype"/>
          <w:color w:val="000000"/>
        </w:rPr>
      </w:pPr>
    </w:p>
    <w:p w14:paraId="34D28D51" w14:textId="77777777"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highlight w:val="white"/>
        </w:rPr>
        <w:t xml:space="preserve">la presente resolución al Titular de la Unidad de Transparencia </w:t>
      </w:r>
      <w:r>
        <w:rPr>
          <w:rFonts w:ascii="Palatino Linotype" w:eastAsia="Palatino Linotype" w:hAnsi="Palatino Linotype" w:cs="Palatino Linotype"/>
          <w:b/>
          <w:color w:val="000000"/>
          <w:highlight w:val="white"/>
        </w:rPr>
        <w:t>DEL SUJETO OBLIGADO</w:t>
      </w:r>
      <w:r>
        <w:rPr>
          <w:rFonts w:ascii="Palatino Linotype" w:eastAsia="Palatino Linotype" w:hAnsi="Palatino Linotype" w:cs="Palatino Linotype"/>
          <w:color w:val="000000"/>
          <w:highlight w:val="white"/>
        </w:rPr>
        <w:t xml:space="preserve">, para que conforme al artículo 186 último párrafo, 189 segundo párrafo y 194 de la Ley de </w:t>
      </w:r>
      <w:r>
        <w:rPr>
          <w:rFonts w:ascii="Palatino Linotype" w:eastAsia="Palatino Linotype" w:hAnsi="Palatino Linotype" w:cs="Palatino Linotype"/>
          <w:color w:val="000000"/>
        </w:rPr>
        <w:t xml:space="preserve">Transparencia local; dé cumplimiento a lo ordenado dentro del plazo de </w:t>
      </w:r>
      <w:r w:rsidRPr="0039747D">
        <w:rPr>
          <w:rFonts w:ascii="Palatino Linotype" w:eastAsia="Palatino Linotype" w:hAnsi="Palatino Linotype" w:cs="Palatino Linotype"/>
          <w:b/>
          <w:bCs/>
          <w:color w:val="000000"/>
        </w:rPr>
        <w:t>diez días hábiles</w:t>
      </w:r>
      <w:r>
        <w:rPr>
          <w:rFonts w:ascii="Palatino Linotype" w:eastAsia="Palatino Linotype" w:hAnsi="Palatino Linotype" w:cs="Palatino Linotype"/>
          <w:color w:val="000000"/>
        </w:rPr>
        <w:t xml:space="preserve">, e informe a este Instituto en un plazo de tres días hábiles siguientes sobre el cumplimiento dado a la presente y, se le apercibe que en caso de negarse a cumplir la presente resolución o hacerlo de manera parcial, se le </w:t>
      </w:r>
      <w:r>
        <w:rPr>
          <w:rFonts w:ascii="Palatino Linotype" w:eastAsia="Palatino Linotype" w:hAnsi="Palatino Linotype" w:cs="Palatino Linotype"/>
          <w:color w:val="000000"/>
        </w:rPr>
        <w:lastRenderedPageBreak/>
        <w:t>impondrá una medida de apremio de conformidad con lo previsto en los artículos 198, 200, fracción III; 214, 215 y 216 de la Ley de Transparencia</w:t>
      </w:r>
      <w:r>
        <w:rPr>
          <w:rFonts w:ascii="Palatino Linotype" w:eastAsia="Palatino Linotype" w:hAnsi="Palatino Linotype" w:cs="Palatino Linotype"/>
          <w:color w:val="000000"/>
          <w:highlight w:val="white"/>
        </w:rPr>
        <w:t xml:space="preserve"> local.</w:t>
      </w:r>
    </w:p>
    <w:p w14:paraId="0C843751" w14:textId="77777777" w:rsidR="00CA0B3A" w:rsidRDefault="00CA0B3A" w:rsidP="00A933C4">
      <w:pPr>
        <w:jc w:val="both"/>
        <w:rPr>
          <w:rFonts w:ascii="Palatino Linotype" w:eastAsia="Palatino Linotype" w:hAnsi="Palatino Linotype" w:cs="Palatino Linotype"/>
        </w:rPr>
      </w:pPr>
    </w:p>
    <w:p w14:paraId="474ADE90" w14:textId="77777777"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la presente resolución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1E4926BC" w14:textId="77777777" w:rsidR="00CA0B3A" w:rsidRDefault="00CA0B3A" w:rsidP="00A933C4">
      <w:pPr>
        <w:pBdr>
          <w:top w:val="nil"/>
          <w:left w:val="nil"/>
          <w:bottom w:val="nil"/>
          <w:right w:val="nil"/>
          <w:between w:val="nil"/>
        </w:pBdr>
        <w:ind w:left="720"/>
        <w:rPr>
          <w:rFonts w:ascii="Palatino Linotype" w:eastAsia="Palatino Linotype" w:hAnsi="Palatino Linotype" w:cs="Palatino Linotype"/>
          <w:color w:val="000000"/>
        </w:rPr>
      </w:pPr>
    </w:p>
    <w:p w14:paraId="775FCDC4" w14:textId="77777777"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Hágase del conocimiento al </w:t>
      </w:r>
      <w:r>
        <w:rPr>
          <w:rFonts w:ascii="Palatino Linotype" w:eastAsia="Palatino Linotype" w:hAnsi="Palatino Linotype" w:cs="Palatino Linotype"/>
          <w:b/>
        </w:rPr>
        <w:t>RECURRENTE</w:t>
      </w:r>
      <w:r>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 vía Juicio de Amparo en los términos de las leyes aplicables.</w:t>
      </w:r>
    </w:p>
    <w:p w14:paraId="3165BF61" w14:textId="77777777" w:rsidR="00CA0B3A" w:rsidRDefault="00CA0B3A">
      <w:pPr>
        <w:pBdr>
          <w:top w:val="nil"/>
          <w:left w:val="nil"/>
          <w:bottom w:val="nil"/>
          <w:right w:val="nil"/>
          <w:between w:val="nil"/>
        </w:pBdr>
        <w:ind w:left="720"/>
        <w:rPr>
          <w:rFonts w:ascii="Palatino Linotype" w:eastAsia="Palatino Linotype" w:hAnsi="Palatino Linotype" w:cs="Palatino Linotype"/>
          <w:color w:val="000000"/>
        </w:rPr>
      </w:pPr>
    </w:p>
    <w:p w14:paraId="276BCABA" w14:textId="77777777" w:rsidR="00CA0B3A" w:rsidRDefault="00F22D03">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CA97BCC" w14:textId="77777777" w:rsidR="00196344" w:rsidRDefault="00196344" w:rsidP="00A933C4">
      <w:pPr>
        <w:tabs>
          <w:tab w:val="left" w:pos="709"/>
        </w:tabs>
        <w:ind w:right="51"/>
        <w:jc w:val="both"/>
        <w:rPr>
          <w:rFonts w:ascii="Palatino Linotype" w:eastAsia="Palatino Linotype" w:hAnsi="Palatino Linotype" w:cs="Palatino Linotype"/>
        </w:rPr>
      </w:pPr>
    </w:p>
    <w:p w14:paraId="4CFF26A3" w14:textId="77777777" w:rsidR="00CA0B3A" w:rsidRDefault="00F22D03">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B6756">
        <w:rPr>
          <w:rFonts w:ascii="Palatino Linotype" w:eastAsia="Palatino Linotype" w:hAnsi="Palatino Linotype" w:cs="Palatino Linotype"/>
          <w:color w:val="000000"/>
          <w:sz w:val="22"/>
          <w:szCs w:val="22"/>
        </w:rPr>
        <w:t>SEXTA</w:t>
      </w:r>
      <w:r>
        <w:rPr>
          <w:rFonts w:ascii="Palatino Linotype" w:eastAsia="Palatino Linotype" w:hAnsi="Palatino Linotype" w:cs="Palatino Linotype"/>
          <w:color w:val="000000"/>
          <w:sz w:val="22"/>
          <w:szCs w:val="22"/>
        </w:rPr>
        <w:t xml:space="preserve"> SESIÓN ORDINARIA CELEBRADA EL </w:t>
      </w:r>
      <w:r w:rsidR="00FB6756">
        <w:rPr>
          <w:rFonts w:ascii="Palatino Linotype" w:eastAsia="Palatino Linotype" w:hAnsi="Palatino Linotype" w:cs="Palatino Linotype"/>
          <w:color w:val="000000"/>
          <w:sz w:val="22"/>
          <w:szCs w:val="22"/>
        </w:rPr>
        <w:t>VEINTIUNO</w:t>
      </w:r>
      <w:r>
        <w:rPr>
          <w:rFonts w:ascii="Palatino Linotype" w:eastAsia="Palatino Linotype" w:hAnsi="Palatino Linotype" w:cs="Palatino Linotype"/>
          <w:color w:val="000000"/>
          <w:sz w:val="22"/>
          <w:szCs w:val="22"/>
        </w:rPr>
        <w:t xml:space="preserve"> DE FEBRERO DE DOS MIL VEINTICUATRO, ANTE EL SECRETARIO TÉCNICO DEL PLENO, ALEXIS TAPIA RAMÍREZ. </w:t>
      </w:r>
    </w:p>
    <w:p w14:paraId="737A19C6" w14:textId="77777777" w:rsidR="00CA0B3A" w:rsidRDefault="00F22D03">
      <w:pPr>
        <w:widowControl w:val="0"/>
        <w:spacing w:after="16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SCMM/AGZ/DEMF/ESS</w:t>
      </w:r>
    </w:p>
    <w:p w14:paraId="4A573185" w14:textId="34D577E0" w:rsidR="00CA0B3A" w:rsidRDefault="00F22D03">
      <w:r>
        <w:br w:type="page"/>
      </w:r>
      <w:bookmarkStart w:id="15" w:name="_GoBack"/>
      <w:bookmarkEnd w:id="15"/>
    </w:p>
    <w:sectPr w:rsidR="00CA0B3A" w:rsidSect="00FB6756">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77FBB" w14:textId="77777777" w:rsidR="00A967A3" w:rsidRDefault="00A967A3">
      <w:r>
        <w:separator/>
      </w:r>
    </w:p>
  </w:endnote>
  <w:endnote w:type="continuationSeparator" w:id="0">
    <w:p w14:paraId="3BBDBE54" w14:textId="77777777" w:rsidR="00A967A3" w:rsidRDefault="00A9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1D945" w14:textId="77777777" w:rsidR="00CA0B3A" w:rsidRDefault="00F22D0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933C4">
      <w:rPr>
        <w:rFonts w:ascii="Palatino Linotype" w:eastAsia="Palatino Linotype" w:hAnsi="Palatino Linotype" w:cs="Palatino Linotype"/>
        <w:noProof/>
        <w:color w:val="000000"/>
        <w:sz w:val="22"/>
        <w:szCs w:val="22"/>
      </w:rPr>
      <w:t>13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933C4">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E6C99" w14:textId="77777777" w:rsidR="00CA0B3A" w:rsidRDefault="00F22D0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933C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933C4">
      <w:rPr>
        <w:rFonts w:ascii="Palatino Linotype" w:eastAsia="Palatino Linotype" w:hAnsi="Palatino Linotype" w:cs="Palatino Linotype"/>
        <w:noProof/>
        <w:color w:val="000000"/>
        <w:sz w:val="22"/>
        <w:szCs w:val="22"/>
      </w:rPr>
      <w:t>32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A43CE" w14:textId="77777777" w:rsidR="00A967A3" w:rsidRDefault="00A967A3">
      <w:r>
        <w:separator/>
      </w:r>
    </w:p>
  </w:footnote>
  <w:footnote w:type="continuationSeparator" w:id="0">
    <w:p w14:paraId="5E0B7D28" w14:textId="77777777" w:rsidR="00A967A3" w:rsidRDefault="00A967A3">
      <w:r>
        <w:continuationSeparator/>
      </w:r>
    </w:p>
  </w:footnote>
  <w:footnote w:id="1">
    <w:p w14:paraId="6448BE9F"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adelante, las fechas se entenderán referidas al año 2023, salvo precisión en contrario.</w:t>
      </w:r>
    </w:p>
  </w:footnote>
  <w:footnote w:id="2">
    <w:p w14:paraId="55C5CBF4"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el expediente formado con motivo de la presentación de la solicitud en análisis obra en electrónico en el SAIMEX como constancias que integran el expediente 00847/INFOEM/IP/RR/2023.</w:t>
      </w:r>
    </w:p>
  </w:footnote>
  <w:footnote w:id="3">
    <w:p w14:paraId="202E2297"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lo subsecuente, Ley de Transparencia local.</w:t>
      </w:r>
    </w:p>
  </w:footnote>
  <w:footnote w:id="4">
    <w:p w14:paraId="24F1B141" w14:textId="77777777" w:rsidR="00CA0B3A" w:rsidRDefault="00F22D03">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Visible en la Gaceta del Seminario Judicial de la Federación con el registro digital 205635.</w:t>
      </w:r>
    </w:p>
  </w:footnote>
  <w:footnote w:id="5">
    <w:p w14:paraId="6729DF81" w14:textId="77777777" w:rsidR="00CA0B3A" w:rsidRDefault="00F22D03">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Consultable en el Seminario Judicial de la Federación y su gaceta, con el registro digital 2002351.</w:t>
      </w:r>
    </w:p>
  </w:footnote>
  <w:footnote w:id="6">
    <w:p w14:paraId="4C705059" w14:textId="77777777" w:rsidR="00CA0B3A" w:rsidRDefault="00F22D03">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Visible en el Seminario Judicial de la Federación y su gaceta, con el registro digital 2002350.</w:t>
      </w:r>
    </w:p>
  </w:footnote>
  <w:footnote w:id="7">
    <w:p w14:paraId="0BC7432C"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68A47B"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77AF70D"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8">
    <w:p w14:paraId="336464A5" w14:textId="77777777" w:rsidR="00CA0B3A" w:rsidRDefault="00F22D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y lunes seis de febrero considerados como días inhábiles y de suspensión de actividades,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veintitrés.</w:t>
      </w:r>
    </w:p>
  </w:footnote>
  <w:footnote w:id="9">
    <w:p w14:paraId="2D75ED40" w14:textId="77777777" w:rsidR="00CA0B3A" w:rsidRDefault="00F22D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Diccionario de transparencia y acceso a la información pública, del Instituto Nacional de Transparencia, Acceso a la Información y Protección de Datos Personales, México, 2019, pág. 136-137. Descargable en: https://home.inai.org.mx/wp-content/documentos/Publicaciones/Documentos/DICCIONARIOARCHIVOS_digital.pdf</w:t>
      </w:r>
    </w:p>
  </w:footnote>
  <w:footnote w:id="10">
    <w:p w14:paraId="201B8BE4" w14:textId="77777777" w:rsidR="00CA0B3A" w:rsidRDefault="00F22D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Diccionario de Archivos, del Instituto Nacional de Transparencia, Acceso a la Información y Protección de datos Personales, México, 2021, pág. 65. Descargable en: </w:t>
      </w:r>
      <w:hyperlink r:id="rId1">
        <w:r>
          <w:rPr>
            <w:rFonts w:ascii="Calibri" w:eastAsia="Calibri" w:hAnsi="Calibri" w:cs="Calibri"/>
            <w:color w:val="0563C1"/>
            <w:sz w:val="20"/>
            <w:szCs w:val="20"/>
            <w:u w:val="single"/>
          </w:rPr>
          <w:t>https://home.inai.org.mx/wp-content/documentos/Publicaciones/Documentos/DICCIONARIOARCHIVOS_digital.pdf</w:t>
        </w:r>
      </w:hyperlink>
      <w:r>
        <w:rPr>
          <w:rFonts w:ascii="Calibri" w:eastAsia="Calibri" w:hAnsi="Calibri" w:cs="Calibri"/>
          <w:color w:val="000000"/>
          <w:sz w:val="20"/>
          <w:szCs w:val="20"/>
        </w:rPr>
        <w:t xml:space="preserve"> </w:t>
      </w:r>
    </w:p>
  </w:footnote>
  <w:footnote w:id="11">
    <w:p w14:paraId="5BD262EC" w14:textId="77777777" w:rsidR="00CA0B3A" w:rsidRDefault="00F22D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i/>
          <w:color w:val="000000"/>
          <w:sz w:val="20"/>
          <w:szCs w:val="20"/>
        </w:rPr>
        <w:t xml:space="preserve"> Ibidem</w:t>
      </w:r>
      <w:r>
        <w:rPr>
          <w:rFonts w:ascii="Calibri" w:eastAsia="Calibri" w:hAnsi="Calibri" w:cs="Calibri"/>
          <w:color w:val="000000"/>
          <w:sz w:val="20"/>
          <w:szCs w:val="20"/>
        </w:rPr>
        <w:t xml:space="preserve"> —mismo autor y distinta página— pág. 68.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8DCE4" w14:textId="77777777" w:rsidR="00CA0B3A" w:rsidRDefault="00A933C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84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FB89C" w14:textId="77777777" w:rsidR="00CA0B3A" w:rsidRDefault="00A933C4">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6DE7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
      <w:tblW w:w="9923" w:type="dxa"/>
      <w:tblInd w:w="-142" w:type="dxa"/>
      <w:tblLayout w:type="fixed"/>
      <w:tblLook w:val="0400" w:firstRow="0" w:lastRow="0" w:firstColumn="0" w:lastColumn="0" w:noHBand="0" w:noVBand="1"/>
    </w:tblPr>
    <w:tblGrid>
      <w:gridCol w:w="3290"/>
      <w:gridCol w:w="2574"/>
      <w:gridCol w:w="4059"/>
    </w:tblGrid>
    <w:tr w:rsidR="00CA0B3A" w14:paraId="0424F123" w14:textId="77777777" w:rsidTr="00196344">
      <w:trPr>
        <w:trHeight w:val="346"/>
      </w:trPr>
      <w:tc>
        <w:tcPr>
          <w:tcW w:w="3290" w:type="dxa"/>
          <w:vMerge w:val="restart"/>
        </w:tcPr>
        <w:p w14:paraId="017A2060"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1FF2B43E" wp14:editId="3CF9660C">
                <wp:extent cx="1692162" cy="852673"/>
                <wp:effectExtent l="0" t="0" r="0" b="0"/>
                <wp:docPr id="21236456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4538C556"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59" w:type="dxa"/>
          <w:shd w:val="clear" w:color="auto" w:fill="auto"/>
          <w:vAlign w:val="center"/>
        </w:tcPr>
        <w:p w14:paraId="2DF75281" w14:textId="77777777" w:rsidR="00CA0B3A" w:rsidRDefault="00F22D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00847/INFOEM/IP/RR/2023</w:t>
          </w:r>
        </w:p>
      </w:tc>
    </w:tr>
    <w:tr w:rsidR="00CA0B3A" w14:paraId="159ECD76" w14:textId="77777777" w:rsidTr="00196344">
      <w:trPr>
        <w:trHeight w:val="124"/>
      </w:trPr>
      <w:tc>
        <w:tcPr>
          <w:tcW w:w="3290" w:type="dxa"/>
          <w:vMerge/>
        </w:tcPr>
        <w:p w14:paraId="18439021" w14:textId="77777777" w:rsidR="00CA0B3A" w:rsidRDefault="00CA0B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72FCEF3E"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59" w:type="dxa"/>
          <w:shd w:val="clear" w:color="auto" w:fill="auto"/>
          <w:vAlign w:val="center"/>
        </w:tcPr>
        <w:p w14:paraId="6C7312A2" w14:textId="77777777" w:rsidR="00CA0B3A" w:rsidRDefault="00F22D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CA0B3A" w14:paraId="6AFD8B9E" w14:textId="77777777" w:rsidTr="00196344">
      <w:trPr>
        <w:trHeight w:val="683"/>
      </w:trPr>
      <w:tc>
        <w:tcPr>
          <w:tcW w:w="3290" w:type="dxa"/>
          <w:vMerge/>
        </w:tcPr>
        <w:p w14:paraId="083CDE0B" w14:textId="77777777" w:rsidR="00CA0B3A" w:rsidRDefault="00CA0B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221F0BFD"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59" w:type="dxa"/>
          <w:shd w:val="clear" w:color="auto" w:fill="auto"/>
        </w:tcPr>
        <w:p w14:paraId="1C1BA109" w14:textId="77777777" w:rsidR="00CA0B3A" w:rsidRDefault="00F22D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BE212D4" w14:textId="77777777" w:rsidR="00CA0B3A" w:rsidRDefault="00CA0B3A">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797B1" w14:textId="77777777" w:rsidR="00CA0B3A" w:rsidRDefault="00CA0B3A">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10471" w:type="dxa"/>
      <w:tblInd w:w="-833" w:type="dxa"/>
      <w:tblLayout w:type="fixed"/>
      <w:tblLook w:val="0400" w:firstRow="0" w:lastRow="0" w:firstColumn="0" w:lastColumn="0" w:noHBand="0" w:noVBand="1"/>
    </w:tblPr>
    <w:tblGrid>
      <w:gridCol w:w="3918"/>
      <w:gridCol w:w="2584"/>
      <w:gridCol w:w="3969"/>
    </w:tblGrid>
    <w:tr w:rsidR="00CA0B3A" w14:paraId="02B56391" w14:textId="77777777" w:rsidTr="00196344">
      <w:trPr>
        <w:trHeight w:val="407"/>
      </w:trPr>
      <w:tc>
        <w:tcPr>
          <w:tcW w:w="3919" w:type="dxa"/>
          <w:vMerge w:val="restart"/>
          <w:shd w:val="clear" w:color="auto" w:fill="auto"/>
        </w:tcPr>
        <w:p w14:paraId="6E634720" w14:textId="77777777" w:rsidR="00CA0B3A" w:rsidRDefault="00F22D0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46CCA4B0" wp14:editId="33D6D4F9">
                <wp:extent cx="1692162" cy="852673"/>
                <wp:effectExtent l="0" t="0" r="0" b="0"/>
                <wp:docPr id="21236456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71AC910E"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445BECD" w14:textId="77777777" w:rsidR="00CA0B3A" w:rsidRDefault="00F22D03">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00847/INFOEM/IP/RR/2023</w:t>
          </w:r>
        </w:p>
      </w:tc>
    </w:tr>
    <w:tr w:rsidR="00CA0B3A" w14:paraId="61FFB098" w14:textId="77777777" w:rsidTr="00196344">
      <w:trPr>
        <w:trHeight w:val="146"/>
      </w:trPr>
      <w:tc>
        <w:tcPr>
          <w:tcW w:w="3919" w:type="dxa"/>
          <w:vMerge/>
          <w:shd w:val="clear" w:color="auto" w:fill="auto"/>
        </w:tcPr>
        <w:p w14:paraId="03B961C9" w14:textId="77777777" w:rsidR="00CA0B3A" w:rsidRDefault="00CA0B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79E900A9"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ACB3D68" w14:textId="77777777" w:rsidR="00CA0B3A" w:rsidRDefault="00CA0B3A">
          <w:pPr>
            <w:ind w:left="-113" w:right="23"/>
            <w:jc w:val="both"/>
            <w:rPr>
              <w:rFonts w:ascii="Palatino Linotype" w:eastAsia="Palatino Linotype" w:hAnsi="Palatino Linotype" w:cs="Palatino Linotype"/>
              <w:b/>
              <w:i/>
              <w:sz w:val="22"/>
              <w:szCs w:val="22"/>
            </w:rPr>
          </w:pPr>
        </w:p>
      </w:tc>
    </w:tr>
    <w:tr w:rsidR="00CA0B3A" w14:paraId="102167CB" w14:textId="77777777" w:rsidTr="00196344">
      <w:trPr>
        <w:trHeight w:val="231"/>
      </w:trPr>
      <w:tc>
        <w:tcPr>
          <w:tcW w:w="3919" w:type="dxa"/>
          <w:vMerge/>
          <w:shd w:val="clear" w:color="auto" w:fill="auto"/>
        </w:tcPr>
        <w:p w14:paraId="2926B420" w14:textId="77777777" w:rsidR="00CA0B3A" w:rsidRDefault="00CA0B3A">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84" w:type="dxa"/>
          <w:shd w:val="clear" w:color="auto" w:fill="auto"/>
        </w:tcPr>
        <w:p w14:paraId="4CD90199"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3C1F197B" w14:textId="77777777" w:rsidR="00CA0B3A" w:rsidRDefault="00F22D03">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CA0B3A" w14:paraId="480B9464" w14:textId="77777777" w:rsidTr="00196344">
      <w:trPr>
        <w:trHeight w:val="146"/>
      </w:trPr>
      <w:tc>
        <w:tcPr>
          <w:tcW w:w="3919" w:type="dxa"/>
          <w:vMerge/>
          <w:shd w:val="clear" w:color="auto" w:fill="auto"/>
        </w:tcPr>
        <w:p w14:paraId="6C977DA2" w14:textId="77777777" w:rsidR="00CA0B3A" w:rsidRDefault="00CA0B3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0ABB941C" w14:textId="77777777" w:rsidR="00CA0B3A" w:rsidRDefault="00F22D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592DAB25" w14:textId="77777777" w:rsidR="00CA0B3A" w:rsidRDefault="00F22D03">
          <w:pPr>
            <w:ind w:left="-113"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Sharon Cristina Morales Martínez </w:t>
          </w:r>
        </w:p>
      </w:tc>
    </w:tr>
  </w:tbl>
  <w:p w14:paraId="7F489405" w14:textId="77777777" w:rsidR="00CA0B3A" w:rsidRDefault="00A933C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3B51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margin-left:0;margin-top:0;width:540pt;height:10in;z-index:-251658752;mso-position-horizontal:center;mso-position-horizontal-relative:margin;mso-position-vertical:center;mso-position-vertical-relative:margin">
          <v:imagedata r:id="rId2"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D5244"/>
    <w:multiLevelType w:val="multilevel"/>
    <w:tmpl w:val="A70CFE02"/>
    <w:lvl w:ilvl="0">
      <w:start w:val="1"/>
      <w:numFmt w:val="decimal"/>
      <w:lvlText w:val="%1."/>
      <w:lvlJc w:val="left"/>
      <w:pPr>
        <w:ind w:left="1211" w:hanging="360"/>
      </w:pPr>
      <w:rPr>
        <w:rFonts w:ascii="Palatino Linotype" w:eastAsia="Palatino Linotype" w:hAnsi="Palatino Linotype" w:cs="Palatino Linotype"/>
        <w:b/>
        <w:small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CE20F0D"/>
    <w:multiLevelType w:val="multilevel"/>
    <w:tmpl w:val="307694E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87F30D4"/>
    <w:multiLevelType w:val="multilevel"/>
    <w:tmpl w:val="D65AB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4593CF6"/>
    <w:multiLevelType w:val="multilevel"/>
    <w:tmpl w:val="FA02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CAB102A"/>
    <w:multiLevelType w:val="multilevel"/>
    <w:tmpl w:val="BDBC7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3A"/>
    <w:rsid w:val="00196344"/>
    <w:rsid w:val="0039747D"/>
    <w:rsid w:val="0075658F"/>
    <w:rsid w:val="00A933C4"/>
    <w:rsid w:val="00A967A3"/>
    <w:rsid w:val="00CA0B3A"/>
    <w:rsid w:val="00F22D03"/>
    <w:rsid w:val="00FB67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48EDE"/>
  <w15:docId w15:val="{56CA948D-843D-493F-A305-59958F30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68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603F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603FB"/>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603FB"/>
    <w:rPr>
      <w:vertAlign w:val="superscript"/>
    </w:rPr>
  </w:style>
  <w:style w:type="table" w:customStyle="1" w:styleId="2">
    <w:name w:val="2"/>
    <w:basedOn w:val="Tablanormal"/>
    <w:rsid w:val="001603FB"/>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1603FB"/>
    <w:rPr>
      <w:rFonts w:ascii="Arial" w:eastAsia="Arial" w:hAnsi="Arial" w:cs="Arial"/>
    </w:rPr>
    <w:tblPr>
      <w:tblStyleRowBandSize w:val="1"/>
      <w:tblStyleColBandSize w:val="1"/>
      <w:tblCellMar>
        <w:top w:w="100" w:type="dxa"/>
        <w:left w:w="115" w:type="dxa"/>
        <w:bottom w:w="100" w:type="dxa"/>
        <w:right w:w="115" w:type="dxa"/>
      </w:tblCellMar>
    </w:tblPr>
  </w:style>
  <w:style w:type="table" w:styleId="Tablaconcuadrcula">
    <w:name w:val="Table Grid"/>
    <w:basedOn w:val="Tablanormal"/>
    <w:uiPriority w:val="39"/>
    <w:rsid w:val="00160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1603FB"/>
    <w:pPr>
      <w:tabs>
        <w:tab w:val="center" w:pos="4419"/>
        <w:tab w:val="right" w:pos="8838"/>
      </w:tabs>
    </w:pPr>
  </w:style>
  <w:style w:type="character" w:customStyle="1" w:styleId="PiedepginaCar">
    <w:name w:val="Pie de página Car"/>
    <w:basedOn w:val="Fuentedeprrafopredeter"/>
    <w:link w:val="Piedepgina"/>
    <w:uiPriority w:val="99"/>
    <w:rsid w:val="001603FB"/>
    <w:rPr>
      <w:rFonts w:ascii="Times New Roman" w:eastAsia="Times New Roman" w:hAnsi="Times New Roman" w:cs="Times New Roman"/>
      <w:kern w:val="0"/>
      <w:sz w:val="24"/>
      <w:szCs w:val="24"/>
      <w:lang w:eastAsia="es-MX"/>
    </w:rPr>
  </w:style>
  <w:style w:type="paragraph" w:styleId="Prrafodelista">
    <w:name w:val="List Paragraph"/>
    <w:basedOn w:val="Normal"/>
    <w:uiPriority w:val="34"/>
    <w:qFormat/>
    <w:rsid w:val="00FF1AAA"/>
    <w:pPr>
      <w:ind w:left="720"/>
      <w:contextualSpacing/>
    </w:pPr>
  </w:style>
  <w:style w:type="character" w:styleId="Hipervnculo">
    <w:name w:val="Hyperlink"/>
    <w:basedOn w:val="Fuentedeprrafopredeter"/>
    <w:uiPriority w:val="99"/>
    <w:unhideWhenUsed/>
    <w:rsid w:val="00A179A4"/>
    <w:rPr>
      <w:color w:val="0563C1" w:themeColor="hyperlink"/>
      <w:u w:val="single"/>
    </w:rPr>
  </w:style>
  <w:style w:type="character" w:customStyle="1" w:styleId="Mencinsinresolver1">
    <w:name w:val="Mención sin resolver1"/>
    <w:basedOn w:val="Fuentedeprrafopredeter"/>
    <w:uiPriority w:val="99"/>
    <w:semiHidden/>
    <w:unhideWhenUsed/>
    <w:rsid w:val="00A179A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0">
    <w:basedOn w:val="TableNormal"/>
    <w:rPr>
      <w:rFonts w:ascii="Arial" w:eastAsia="Arial" w:hAnsi="Arial" w:cs="Arial"/>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18" Type="http://schemas.openxmlformats.org/officeDocument/2006/relationships/image" Target="media/image2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ovilidad.edomex.gob.mx/gestion-documental-admon-archivos" TargetMode="External"/><Relationship Id="rId24" Type="http://schemas.openxmlformats.org/officeDocument/2006/relationships/image" Target="media/image8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movilidad.edomex.gob.mx/gestion-documental-admon-archivos"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movilidad.edomex.gob.mx/gestion-documental-admon-archivo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home.inai.org.mx/wp-content/documentos/Publicaciones/Documentos/DICCIONARIOARCHIVOS_digit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WGXES9NJ/ZCBU559TDEua7t3A==">CgMxLjAyCGguZ2pkZ3hzMg5oLmlmdWozd3R4bTIxbDIJaC4zMGowemxsMgloLjFmb2I5dGUyCWguM3pueXNoNzIJaC4yZXQ5MnAwMghoLnR5amN3dDIOaC52azFobGJvZXZwM3IyCWguM2R5NnZrbTIJaC4xdDNoNXNmMgloLjRkMzRvZzgyCWguMnM4ZXlvMTIJaC4xN2RwOHZ1MgloLjNyZGNyam4yCWguMjZpbjFyZzINaC4xdDFiYjhxdXI4NTgAciExa3NDTjQ0Y1o3ZTFpMU5CUTdwbUYxbVhjOE9pZ3oyRl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429AB8-AA0E-44C5-93A6-D6ECCEA8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5792</Words>
  <Characters>31860</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Souza Santana</dc:creator>
  <cp:lastModifiedBy>infoem607b</cp:lastModifiedBy>
  <cp:revision>6</cp:revision>
  <cp:lastPrinted>2024-02-23T01:15:00Z</cp:lastPrinted>
  <dcterms:created xsi:type="dcterms:W3CDTF">2024-02-08T22:25:00Z</dcterms:created>
  <dcterms:modified xsi:type="dcterms:W3CDTF">2024-02-23T01:18:00Z</dcterms:modified>
</cp:coreProperties>
</file>