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EEAC" w14:textId="77777777" w:rsidR="00EB0024" w:rsidRDefault="00EB0024">
      <w:pPr>
        <w:widowControl w:val="0"/>
        <w:pBdr>
          <w:top w:val="nil"/>
          <w:left w:val="nil"/>
          <w:bottom w:val="nil"/>
          <w:right w:val="nil"/>
          <w:between w:val="nil"/>
        </w:pBdr>
        <w:spacing w:line="276" w:lineRule="auto"/>
      </w:pPr>
    </w:p>
    <w:p w14:paraId="20590757" w14:textId="77777777" w:rsidR="00EB0024" w:rsidRDefault="00243095">
      <w:pPr>
        <w:tabs>
          <w:tab w:val="left" w:pos="0"/>
        </w:tabs>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veintiuno (21) de noviembre de dos </w:t>
      </w:r>
      <w:proofErr w:type="gramStart"/>
      <w:r>
        <w:rPr>
          <w:rFonts w:ascii="Palatino Linotype" w:eastAsia="Palatino Linotype" w:hAnsi="Palatino Linotype" w:cs="Palatino Linotype"/>
        </w:rPr>
        <w:t>mil  veinticuatro</w:t>
      </w:r>
      <w:proofErr w:type="gramEnd"/>
      <w:r>
        <w:rPr>
          <w:rFonts w:ascii="Palatino Linotype" w:eastAsia="Palatino Linotype" w:hAnsi="Palatino Linotype" w:cs="Palatino Linotype"/>
        </w:rPr>
        <w:t xml:space="preserve">. </w:t>
      </w:r>
    </w:p>
    <w:p w14:paraId="127B59B1" w14:textId="77777777" w:rsidR="00EB0024" w:rsidRDefault="00EB0024">
      <w:pPr>
        <w:tabs>
          <w:tab w:val="left" w:pos="0"/>
        </w:tabs>
        <w:spacing w:line="360" w:lineRule="auto"/>
        <w:ind w:right="-734"/>
        <w:jc w:val="both"/>
        <w:rPr>
          <w:rFonts w:ascii="Palatino Linotype" w:eastAsia="Palatino Linotype" w:hAnsi="Palatino Linotype" w:cs="Palatino Linotype"/>
        </w:rPr>
      </w:pPr>
    </w:p>
    <w:p w14:paraId="212CA0E9" w14:textId="1DA80ADB" w:rsidR="00EB0024" w:rsidRDefault="00243095">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01588/INFOEM/IP/RR/2024, </w:t>
      </w:r>
      <w:r>
        <w:rPr>
          <w:rFonts w:ascii="Palatino Linotype" w:eastAsia="Palatino Linotype" w:hAnsi="Palatino Linotype" w:cs="Palatino Linotype"/>
        </w:rPr>
        <w:t xml:space="preserve">promovido por </w:t>
      </w:r>
      <w:r w:rsidR="000A60C7">
        <w:rPr>
          <w:rFonts w:ascii="Palatino Linotype" w:eastAsia="Palatino Linotype" w:hAnsi="Palatino Linotype" w:cs="Palatino Linotype"/>
          <w:b/>
        </w:rPr>
        <w:t xml:space="preserve">XXX </w:t>
      </w:r>
      <w:proofErr w:type="spellStart"/>
      <w:r w:rsidR="000A60C7">
        <w:rPr>
          <w:rFonts w:ascii="Palatino Linotype" w:eastAsia="Palatino Linotype" w:hAnsi="Palatino Linotype" w:cs="Palatino Linotype"/>
          <w:b/>
        </w:rPr>
        <w:t>XXX</w:t>
      </w:r>
      <w:proofErr w:type="spellEnd"/>
      <w:r>
        <w:rPr>
          <w:rFonts w:ascii="Palatino Linotype" w:eastAsia="Palatino Linotype" w:hAnsi="Palatino Linotype" w:cs="Palatino Linotype"/>
        </w:rPr>
        <w:t xml:space="preserve">, quien en lo sucesivo se le identificara como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Ayuntamiento de Tlalnepantla de Baz,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 </w:t>
      </w:r>
      <w:r>
        <w:rPr>
          <w:rFonts w:ascii="Palatino Linotype" w:eastAsia="Palatino Linotype" w:hAnsi="Palatino Linotype" w:cs="Palatino Linotype"/>
        </w:rPr>
        <w:t xml:space="preserve">se procede a dictar la presente resolución, con base en los siguientes: </w:t>
      </w:r>
    </w:p>
    <w:p w14:paraId="4825DAAB" w14:textId="77777777" w:rsidR="00EB0024" w:rsidRDefault="00EB0024">
      <w:pPr>
        <w:spacing w:line="360" w:lineRule="auto"/>
        <w:ind w:right="-734"/>
        <w:jc w:val="both"/>
        <w:rPr>
          <w:rFonts w:ascii="Palatino Linotype" w:eastAsia="Palatino Linotype" w:hAnsi="Palatino Linotype" w:cs="Palatino Linotype"/>
        </w:rPr>
      </w:pPr>
    </w:p>
    <w:p w14:paraId="6F42ABA8" w14:textId="77777777" w:rsidR="00EB0024" w:rsidRDefault="00243095">
      <w:pPr>
        <w:keepNext/>
        <w:keepLines/>
        <w:tabs>
          <w:tab w:val="left" w:pos="0"/>
        </w:tabs>
        <w:spacing w:line="360" w:lineRule="auto"/>
        <w:ind w:right="-734"/>
        <w:jc w:val="center"/>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A N T E C E D E N T E S</w:t>
      </w:r>
    </w:p>
    <w:p w14:paraId="6BC04E8E" w14:textId="77777777" w:rsidR="00EB0024" w:rsidRDefault="00EB0024">
      <w:pPr>
        <w:keepNext/>
        <w:keepLines/>
        <w:tabs>
          <w:tab w:val="left" w:pos="0"/>
        </w:tabs>
        <w:spacing w:line="360" w:lineRule="auto"/>
        <w:ind w:right="-734"/>
        <w:rPr>
          <w:rFonts w:ascii="Palatino Linotype" w:eastAsia="Palatino Linotype" w:hAnsi="Palatino Linotype" w:cs="Palatino Linotype"/>
          <w:b/>
        </w:rPr>
      </w:pPr>
    </w:p>
    <w:p w14:paraId="4B92879C" w14:textId="77777777" w:rsidR="00EB0024" w:rsidRDefault="00243095">
      <w:pPr>
        <w:numPr>
          <w:ilvl w:val="0"/>
          <w:numId w:val="2"/>
        </w:numPr>
        <w:tabs>
          <w:tab w:val="left" w:pos="0"/>
        </w:tabs>
        <w:spacing w:line="360" w:lineRule="auto"/>
        <w:ind w:left="0" w:right="-734" w:firstLine="0"/>
        <w:jc w:val="both"/>
      </w:pPr>
      <w:r>
        <w:rPr>
          <w:rFonts w:ascii="Palatino Linotype" w:eastAsia="Palatino Linotype" w:hAnsi="Palatino Linotype" w:cs="Palatino Linotype"/>
        </w:rPr>
        <w:t>El cuatro (04) de marzo de dos mil veinticuatro, el</w:t>
      </w:r>
      <w:r>
        <w:rPr>
          <w:rFonts w:ascii="Palatino Linotype" w:eastAsia="Palatino Linotype" w:hAnsi="Palatino Linotype" w:cs="Palatino Linotype"/>
          <w:b/>
        </w:rPr>
        <w:t xml:space="preserve"> </w:t>
      </w:r>
      <w:proofErr w:type="gramStart"/>
      <w:r>
        <w:rPr>
          <w:rFonts w:ascii="Palatino Linotype" w:eastAsia="Palatino Linotype" w:hAnsi="Palatino Linotype" w:cs="Palatino Linotype"/>
        </w:rPr>
        <w:t>solicitante</w:t>
      </w:r>
      <w:r>
        <w:rPr>
          <w:rFonts w:ascii="Palatino Linotype" w:eastAsia="Palatino Linotype" w:hAnsi="Palatino Linotype" w:cs="Palatino Linotype"/>
          <w:b/>
        </w:rPr>
        <w:t xml:space="preserve">  </w:t>
      </w:r>
      <w:r>
        <w:rPr>
          <w:rFonts w:ascii="Palatino Linotype" w:eastAsia="Palatino Linotype" w:hAnsi="Palatino Linotype" w:cs="Palatino Linotype"/>
        </w:rPr>
        <w:t>presentó</w:t>
      </w:r>
      <w:proofErr w:type="gramEnd"/>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través del Sistema de Acceso a la Información Mexiquense (SAIMEX), la solicitud de información pública registrada con el número </w:t>
      </w:r>
      <w:r>
        <w:rPr>
          <w:rFonts w:ascii="Palatino Linotype" w:eastAsia="Palatino Linotype" w:hAnsi="Palatino Linotype" w:cs="Palatino Linotype"/>
          <w:b/>
        </w:rPr>
        <w:t> 00224/TLALNEPA/IP/2024</w:t>
      </w:r>
      <w:r>
        <w:rPr>
          <w:rFonts w:ascii="Palatino Linotype" w:eastAsia="Palatino Linotype" w:hAnsi="Palatino Linotype" w:cs="Palatino Linotype"/>
        </w:rPr>
        <w:t>, en la que se solicitó:</w:t>
      </w:r>
    </w:p>
    <w:p w14:paraId="4F694669" w14:textId="77777777" w:rsidR="00EB0024" w:rsidRDefault="00EB0024">
      <w:pPr>
        <w:tabs>
          <w:tab w:val="left" w:pos="0"/>
        </w:tabs>
        <w:spacing w:line="360" w:lineRule="auto"/>
        <w:ind w:left="360" w:right="-734"/>
        <w:jc w:val="both"/>
        <w:rPr>
          <w:rFonts w:ascii="Palatino Linotype" w:eastAsia="Palatino Linotype" w:hAnsi="Palatino Linotype" w:cs="Palatino Linotype"/>
        </w:rPr>
      </w:pPr>
    </w:p>
    <w:p w14:paraId="14BF02B6" w14:textId="77777777" w:rsidR="00EB0024" w:rsidRDefault="00243095">
      <w:pPr>
        <w:tabs>
          <w:tab w:val="left" w:pos="0"/>
        </w:tabs>
        <w:spacing w:line="360" w:lineRule="auto"/>
        <w:ind w:left="567" w:right="-734"/>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color w:val="000000"/>
        </w:rPr>
        <w:t xml:space="preserve">del año 2022 de los temas Suministrar material eléctrico y electrónico para varias direcciones del Ayuntamiento de Tlalnepantla de Baz. Adquisición de mangueras luminosas. Suministrar “LOS BIENES” de conformidad con las necesidades que tenga el mismo. (Adquisición de material para operación del Departamento de Servicios Generales). Adquisición de productos de construcción hecho de hierro, acero, aluminio, cobre, zinc, bronce y otras aleaciones tales como lingotes, planchas, planchones, hojalatas, perfiles alambres, varillas, ventanas, puertas metálicas, </w:t>
      </w:r>
      <w:r>
        <w:rPr>
          <w:rFonts w:ascii="Palatino Linotype" w:eastAsia="Palatino Linotype" w:hAnsi="Palatino Linotype" w:cs="Palatino Linotype"/>
          <w:i/>
          <w:color w:val="000000"/>
        </w:rPr>
        <w:lastRenderedPageBreak/>
        <w:t xml:space="preserve">clavos, tornillos y tuercas de todo tipo, mallas ciclónicas y cercas metálicas Suministrar los siguientes bienes; partida I) impermeabilizante, </w:t>
      </w:r>
      <w:proofErr w:type="spellStart"/>
      <w:r>
        <w:rPr>
          <w:rFonts w:ascii="Palatino Linotype" w:eastAsia="Palatino Linotype" w:hAnsi="Palatino Linotype" w:cs="Palatino Linotype"/>
          <w:i/>
          <w:color w:val="000000"/>
        </w:rPr>
        <w:t>Resanador</w:t>
      </w:r>
      <w:proofErr w:type="spellEnd"/>
      <w:r>
        <w:rPr>
          <w:rFonts w:ascii="Palatino Linotype" w:eastAsia="Palatino Linotype" w:hAnsi="Palatino Linotype" w:cs="Palatino Linotype"/>
          <w:i/>
          <w:color w:val="000000"/>
        </w:rPr>
        <w:t xml:space="preserve"> para muros, sellador para muros, </w:t>
      </w:r>
      <w:proofErr w:type="spellStart"/>
      <w:r>
        <w:rPr>
          <w:rFonts w:ascii="Palatino Linotype" w:eastAsia="Palatino Linotype" w:hAnsi="Palatino Linotype" w:cs="Palatino Linotype"/>
          <w:i/>
          <w:color w:val="000000"/>
        </w:rPr>
        <w:t>thinner</w:t>
      </w:r>
      <w:proofErr w:type="spellEnd"/>
      <w:r>
        <w:rPr>
          <w:rFonts w:ascii="Palatino Linotype" w:eastAsia="Palatino Linotype" w:hAnsi="Palatino Linotype" w:cs="Palatino Linotype"/>
          <w:i/>
          <w:color w:val="000000"/>
        </w:rPr>
        <w:t>, primer, plaste, laca, pega yeso, mortero; partida II) taquetes de plástico, estopa, rodillos, extensión para rodillo, brochas, lijas, Resistol 5000, cepillo para impermeabilizar, barrotes, malla metálica, felpas y solventes Adquisición de pintura vinílica varios colores, pintura en aerosol, pintura esmalte en varios colores, pintura tráfico, pintura acrílica. Suministro de pintura termoplástica de color verde tráfico y blanco tráfico. Adquisición de 106 cubetas de pintura esmalte varios colores y 53 cubetas de pintura vinílica varios colores. Material para impermeabilizar. Suministrar "Toda clase de estructuras y manufacturas que se utilizan en la construcción, reconstrucción, ampliación, adaptación, mejora, conservación y mantenimiento de toda clase de muebles e inmuebles tales como postes, torres, ventanas, herrajes, puertas, cristales, tanques, lavabos, fregaderos, inodoros, tuberías y todo tipo de accesorios necesarios para los mismos fines…" solicito la evidencia legal suficiente, competente y relevante, que compruebe, justifique y acredite la entrega y/o aplicación de los bienes adquiridos; ello conforme a la Ley General de Contabilidad Gubernamental, el Código Financiero del Estado de México y Municipios y la Ley de Contratación Pública del Estado de México y Municipios.</w:t>
      </w:r>
      <w:r>
        <w:rPr>
          <w:rFonts w:ascii="Palatino Linotype" w:eastAsia="Palatino Linotype" w:hAnsi="Palatino Linotype" w:cs="Palatino Linotype"/>
          <w:i/>
        </w:rPr>
        <w:t>” (Sic)</w:t>
      </w:r>
    </w:p>
    <w:p w14:paraId="7ED7CE6A" w14:textId="77777777" w:rsidR="00EB0024" w:rsidRDefault="00EB0024">
      <w:pPr>
        <w:tabs>
          <w:tab w:val="left" w:pos="0"/>
        </w:tabs>
        <w:spacing w:line="360" w:lineRule="auto"/>
        <w:ind w:right="-734"/>
        <w:jc w:val="both"/>
        <w:rPr>
          <w:rFonts w:ascii="Palatino Linotype" w:eastAsia="Palatino Linotype" w:hAnsi="Palatino Linotype" w:cs="Palatino Linotype"/>
        </w:rPr>
      </w:pPr>
    </w:p>
    <w:p w14:paraId="3816B198" w14:textId="77777777" w:rsidR="00EB0024" w:rsidRDefault="00243095">
      <w:pPr>
        <w:numPr>
          <w:ilvl w:val="0"/>
          <w:numId w:val="2"/>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Se hace constar que se señaló como modalidad de entrega de la información a travé</w:t>
      </w:r>
      <w:r w:rsidR="006F4D97">
        <w:rPr>
          <w:rFonts w:ascii="Palatino Linotype" w:eastAsia="Palatino Linotype" w:hAnsi="Palatino Linotype" w:cs="Palatino Linotype"/>
          <w:color w:val="000000"/>
        </w:rPr>
        <w:t>s de SAIMEX</w:t>
      </w:r>
      <w:r>
        <w:rPr>
          <w:rFonts w:ascii="Palatino Linotype" w:eastAsia="Palatino Linotype" w:hAnsi="Palatino Linotype" w:cs="Palatino Linotype"/>
          <w:color w:val="000000"/>
        </w:rPr>
        <w:t xml:space="preserve">. </w:t>
      </w:r>
    </w:p>
    <w:p w14:paraId="59A7DC13" w14:textId="77777777" w:rsidR="00EB0024" w:rsidRDefault="00243095">
      <w:pPr>
        <w:numPr>
          <w:ilvl w:val="0"/>
          <w:numId w:val="2"/>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El veintidós (22) de marzo de dos mil veinticuatro, se realizó un requerimiento de información al servidor público habilitado. </w:t>
      </w:r>
    </w:p>
    <w:p w14:paraId="17B2A629" w14:textId="77777777" w:rsidR="00EB0024" w:rsidRDefault="00243095">
      <w:pPr>
        <w:numPr>
          <w:ilvl w:val="0"/>
          <w:numId w:val="2"/>
        </w:numPr>
        <w:tabs>
          <w:tab w:val="left" w:pos="0"/>
        </w:tabs>
        <w:spacing w:line="360" w:lineRule="auto"/>
        <w:ind w:left="0" w:right="-734" w:firstLine="0"/>
        <w:jc w:val="both"/>
        <w:rPr>
          <w:rFonts w:ascii="Palatino Linotype" w:eastAsia="Palatino Linotype" w:hAnsi="Palatino Linotype" w:cs="Palatino Linotype"/>
          <w:b/>
        </w:rPr>
      </w:pPr>
      <w:bookmarkStart w:id="1" w:name="_heading=h.30j0zll" w:colFirst="0" w:colLast="0"/>
      <w:bookmarkEnd w:id="1"/>
      <w:r>
        <w:rPr>
          <w:rFonts w:ascii="Palatino Linotype" w:eastAsia="Palatino Linotype" w:hAnsi="Palatino Linotype" w:cs="Palatino Linotype"/>
        </w:rPr>
        <w:t xml:space="preserve">El veintidós (22) de marzo de dos mil veinticuatro,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dio respuesta a la solicitud en el siguiente sentido:</w:t>
      </w:r>
    </w:p>
    <w:p w14:paraId="3B9D43E5" w14:textId="77777777" w:rsidR="00EB0024" w:rsidRDefault="00EB0024">
      <w:pPr>
        <w:tabs>
          <w:tab w:val="left" w:pos="0"/>
        </w:tabs>
        <w:spacing w:line="360" w:lineRule="auto"/>
        <w:ind w:right="-734"/>
        <w:jc w:val="both"/>
        <w:rPr>
          <w:rFonts w:ascii="Palatino Linotype" w:eastAsia="Palatino Linotype" w:hAnsi="Palatino Linotype" w:cs="Palatino Linotype"/>
          <w:b/>
        </w:rPr>
      </w:pPr>
    </w:p>
    <w:tbl>
      <w:tblPr>
        <w:tblStyle w:val="a"/>
        <w:tblW w:w="8595" w:type="dxa"/>
        <w:jc w:val="center"/>
        <w:tblInd w:w="0" w:type="dxa"/>
        <w:tblLayout w:type="fixed"/>
        <w:tblLook w:val="0400" w:firstRow="0" w:lastRow="0" w:firstColumn="0" w:lastColumn="0" w:noHBand="0" w:noVBand="1"/>
      </w:tblPr>
      <w:tblGrid>
        <w:gridCol w:w="8595"/>
      </w:tblGrid>
      <w:tr w:rsidR="00EB0024" w14:paraId="5DCBC962" w14:textId="77777777">
        <w:trPr>
          <w:trHeight w:val="617"/>
          <w:jc w:val="center"/>
        </w:trPr>
        <w:tc>
          <w:tcPr>
            <w:tcW w:w="8595" w:type="dxa"/>
            <w:vAlign w:val="center"/>
          </w:tcPr>
          <w:p w14:paraId="1B42693B" w14:textId="77777777" w:rsidR="00EB0024" w:rsidRDefault="00243095">
            <w:pPr>
              <w:ind w:left="-566" w:right="657"/>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Tlalnepantla de Baz, México a 22 de </w:t>
            </w:r>
            <w:proofErr w:type="gramStart"/>
            <w:r>
              <w:rPr>
                <w:rFonts w:ascii="Palatino Linotype" w:eastAsia="Palatino Linotype" w:hAnsi="Palatino Linotype" w:cs="Palatino Linotype"/>
                <w:i/>
                <w:sz w:val="22"/>
                <w:szCs w:val="22"/>
              </w:rPr>
              <w:t>Marzo</w:t>
            </w:r>
            <w:proofErr w:type="gramEnd"/>
            <w:r>
              <w:rPr>
                <w:rFonts w:ascii="Palatino Linotype" w:eastAsia="Palatino Linotype" w:hAnsi="Palatino Linotype" w:cs="Palatino Linotype"/>
                <w:i/>
                <w:sz w:val="22"/>
                <w:szCs w:val="22"/>
              </w:rPr>
              <w:t xml:space="preserve"> de 2024</w:t>
            </w:r>
          </w:p>
        </w:tc>
      </w:tr>
      <w:tr w:rsidR="00EB0024" w14:paraId="1CFC52A5" w14:textId="77777777">
        <w:trPr>
          <w:trHeight w:val="617"/>
          <w:jc w:val="center"/>
        </w:trPr>
        <w:tc>
          <w:tcPr>
            <w:tcW w:w="8595" w:type="dxa"/>
            <w:vAlign w:val="center"/>
          </w:tcPr>
          <w:p w14:paraId="6DF9A358" w14:textId="77777777" w:rsidR="00EB0024" w:rsidRDefault="00243095">
            <w:pPr>
              <w:ind w:left="-566" w:right="657"/>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EB0024" w14:paraId="3EA69440" w14:textId="77777777">
        <w:trPr>
          <w:trHeight w:val="617"/>
          <w:jc w:val="center"/>
        </w:trPr>
        <w:tc>
          <w:tcPr>
            <w:tcW w:w="8595" w:type="dxa"/>
            <w:vAlign w:val="center"/>
          </w:tcPr>
          <w:p w14:paraId="16FB382B" w14:textId="77777777" w:rsidR="00EB0024" w:rsidRDefault="00243095">
            <w:pPr>
              <w:ind w:left="-566" w:right="657"/>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00224/TLALNEPA/IP/2024</w:t>
            </w:r>
          </w:p>
        </w:tc>
      </w:tr>
      <w:tr w:rsidR="00EB0024" w14:paraId="5E8D0AB7" w14:textId="77777777">
        <w:trPr>
          <w:trHeight w:val="926"/>
          <w:jc w:val="center"/>
        </w:trPr>
        <w:tc>
          <w:tcPr>
            <w:tcW w:w="8595" w:type="dxa"/>
            <w:vAlign w:val="center"/>
          </w:tcPr>
          <w:p w14:paraId="179231CC" w14:textId="77777777" w:rsidR="00EB0024" w:rsidRDefault="00EB0024">
            <w:pPr>
              <w:ind w:left="-566" w:right="-443"/>
              <w:jc w:val="right"/>
              <w:rPr>
                <w:rFonts w:ascii="Palatino Linotype" w:eastAsia="Palatino Linotype" w:hAnsi="Palatino Linotype" w:cs="Palatino Linotype"/>
                <w:i/>
                <w:sz w:val="22"/>
                <w:szCs w:val="22"/>
              </w:rPr>
            </w:pPr>
          </w:p>
        </w:tc>
      </w:tr>
      <w:tr w:rsidR="00EB0024" w14:paraId="4A597421" w14:textId="77777777">
        <w:trPr>
          <w:trHeight w:val="308"/>
          <w:jc w:val="center"/>
        </w:trPr>
        <w:tc>
          <w:tcPr>
            <w:tcW w:w="8595" w:type="dxa"/>
            <w:vAlign w:val="center"/>
          </w:tcPr>
          <w:p w14:paraId="63E103BE" w14:textId="77777777" w:rsidR="00EB0024" w:rsidRDefault="00243095">
            <w:pPr>
              <w:ind w:left="283" w:right="91"/>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EB0024" w14:paraId="09C27F6B" w14:textId="77777777">
        <w:trPr>
          <w:trHeight w:val="308"/>
          <w:jc w:val="center"/>
        </w:trPr>
        <w:tc>
          <w:tcPr>
            <w:tcW w:w="8595" w:type="dxa"/>
            <w:vAlign w:val="center"/>
          </w:tcPr>
          <w:p w14:paraId="64C8E33D" w14:textId="77777777" w:rsidR="00EB0024" w:rsidRDefault="00243095">
            <w:pPr>
              <w:ind w:left="283" w:right="91"/>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ENVIO ARCHIVO ELETROCNICO CON RESPUESTA A LA SOLICITUD DE INFORMACIONCON NUMERO DE FOLIO SAIMEX 00224/TLALNEPA/IP/2024</w:t>
            </w:r>
          </w:p>
        </w:tc>
      </w:tr>
      <w:tr w:rsidR="00EB0024" w14:paraId="3B1EE8AD" w14:textId="77777777">
        <w:trPr>
          <w:trHeight w:val="308"/>
          <w:jc w:val="center"/>
        </w:trPr>
        <w:tc>
          <w:tcPr>
            <w:tcW w:w="8595" w:type="dxa"/>
            <w:vAlign w:val="center"/>
          </w:tcPr>
          <w:p w14:paraId="059EE0B3" w14:textId="77777777" w:rsidR="00EB0024" w:rsidRDefault="00EB0024">
            <w:pPr>
              <w:ind w:left="283" w:right="91"/>
              <w:rPr>
                <w:rFonts w:ascii="Palatino Linotype" w:eastAsia="Palatino Linotype" w:hAnsi="Palatino Linotype" w:cs="Palatino Linotype"/>
                <w:i/>
                <w:sz w:val="22"/>
                <w:szCs w:val="22"/>
              </w:rPr>
            </w:pPr>
          </w:p>
        </w:tc>
      </w:tr>
      <w:tr w:rsidR="00EB0024" w14:paraId="0E7DC3FE" w14:textId="77777777">
        <w:trPr>
          <w:trHeight w:val="308"/>
          <w:jc w:val="center"/>
        </w:trPr>
        <w:tc>
          <w:tcPr>
            <w:tcW w:w="8595" w:type="dxa"/>
            <w:vAlign w:val="center"/>
          </w:tcPr>
          <w:p w14:paraId="2BD110C9" w14:textId="77777777" w:rsidR="00EB0024" w:rsidRDefault="00243095">
            <w:pPr>
              <w:ind w:left="283" w:right="91"/>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EB0024" w14:paraId="3C24CAB7" w14:textId="77777777">
        <w:trPr>
          <w:trHeight w:val="463"/>
          <w:jc w:val="center"/>
        </w:trPr>
        <w:tc>
          <w:tcPr>
            <w:tcW w:w="8595" w:type="dxa"/>
            <w:vAlign w:val="center"/>
          </w:tcPr>
          <w:p w14:paraId="09D49A01" w14:textId="77777777" w:rsidR="00EB0024" w:rsidRDefault="00EB0024">
            <w:pPr>
              <w:ind w:left="283" w:right="91"/>
              <w:rPr>
                <w:rFonts w:ascii="Palatino Linotype" w:eastAsia="Palatino Linotype" w:hAnsi="Palatino Linotype" w:cs="Palatino Linotype"/>
                <w:i/>
                <w:sz w:val="22"/>
                <w:szCs w:val="22"/>
              </w:rPr>
            </w:pPr>
          </w:p>
        </w:tc>
      </w:tr>
      <w:tr w:rsidR="00EB0024" w14:paraId="0B7F1F53" w14:textId="77777777">
        <w:trPr>
          <w:trHeight w:val="308"/>
          <w:jc w:val="center"/>
        </w:trPr>
        <w:tc>
          <w:tcPr>
            <w:tcW w:w="8595" w:type="dxa"/>
            <w:vAlign w:val="center"/>
          </w:tcPr>
          <w:p w14:paraId="6A81AAB7" w14:textId="77777777" w:rsidR="00EB0024" w:rsidRDefault="00243095">
            <w:pPr>
              <w:ind w:left="283" w:right="91"/>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D.A.P. SALVADOR ALEJANDRO SALDÍVAR VÉLEZ</w:t>
            </w:r>
          </w:p>
        </w:tc>
      </w:tr>
    </w:tbl>
    <w:p w14:paraId="26E17BC2" w14:textId="77777777" w:rsidR="00EB0024" w:rsidRDefault="00EB0024">
      <w:pPr>
        <w:tabs>
          <w:tab w:val="left" w:pos="0"/>
        </w:tabs>
        <w:spacing w:line="360" w:lineRule="auto"/>
        <w:ind w:left="-566" w:right="-443"/>
        <w:jc w:val="both"/>
        <w:rPr>
          <w:rFonts w:ascii="Palatino Linotype" w:eastAsia="Palatino Linotype" w:hAnsi="Palatino Linotype" w:cs="Palatino Linotype"/>
          <w:sz w:val="22"/>
          <w:szCs w:val="22"/>
        </w:rPr>
      </w:pPr>
    </w:p>
    <w:p w14:paraId="33559BB1" w14:textId="77777777" w:rsidR="00EB0024" w:rsidRDefault="00243095">
      <w:pPr>
        <w:numPr>
          <w:ilvl w:val="0"/>
          <w:numId w:val="3"/>
        </w:numPr>
        <w:pBdr>
          <w:top w:val="nil"/>
          <w:left w:val="nil"/>
          <w:bottom w:val="nil"/>
          <w:right w:val="nil"/>
          <w:between w:val="nil"/>
        </w:pBdr>
        <w:tabs>
          <w:tab w:val="left" w:pos="0"/>
        </w:tabs>
        <w:spacing w:line="360" w:lineRule="auto"/>
        <w:ind w:left="0" w:right="257"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 la respuesta, el Sujeto Obligado adjuntó el archivo denominado </w:t>
      </w:r>
      <w:r>
        <w:rPr>
          <w:rFonts w:ascii="Palatino Linotype" w:eastAsia="Palatino Linotype" w:hAnsi="Palatino Linotype" w:cs="Palatino Linotype"/>
          <w:b/>
          <w:color w:val="000000"/>
          <w:sz w:val="22"/>
          <w:szCs w:val="22"/>
          <w:u w:val="single"/>
        </w:rPr>
        <w:t>RESPUESTA_SAIMEX_00224.Zzip,</w:t>
      </w:r>
      <w:r>
        <w:rPr>
          <w:rFonts w:ascii="Palatino Linotype" w:eastAsia="Palatino Linotype" w:hAnsi="Palatino Linotype" w:cs="Palatino Linotype"/>
          <w:color w:val="000000"/>
          <w:sz w:val="22"/>
          <w:szCs w:val="22"/>
        </w:rPr>
        <w:t xml:space="preserve"> en el que se advierten los documentos que se describen enseguida:</w:t>
      </w:r>
    </w:p>
    <w:p w14:paraId="7642A373" w14:textId="77777777" w:rsidR="00EB0024" w:rsidRDefault="00EB0024">
      <w:pPr>
        <w:pBdr>
          <w:top w:val="nil"/>
          <w:left w:val="nil"/>
          <w:bottom w:val="nil"/>
          <w:right w:val="nil"/>
          <w:between w:val="nil"/>
        </w:pBdr>
        <w:tabs>
          <w:tab w:val="left" w:pos="0"/>
        </w:tabs>
        <w:spacing w:line="360" w:lineRule="auto"/>
        <w:ind w:right="257"/>
        <w:jc w:val="both"/>
        <w:rPr>
          <w:rFonts w:ascii="Palatino Linotype" w:eastAsia="Palatino Linotype" w:hAnsi="Palatino Linotype" w:cs="Palatino Linotype"/>
          <w:b/>
          <w:color w:val="000000"/>
          <w:sz w:val="22"/>
          <w:szCs w:val="22"/>
        </w:rPr>
      </w:pPr>
    </w:p>
    <w:p w14:paraId="75855DEC" w14:textId="77777777" w:rsidR="00EB0024" w:rsidRDefault="00243095">
      <w:pPr>
        <w:numPr>
          <w:ilvl w:val="0"/>
          <w:numId w:val="4"/>
        </w:numPr>
        <w:pBdr>
          <w:top w:val="nil"/>
          <w:left w:val="nil"/>
          <w:bottom w:val="nil"/>
          <w:right w:val="nil"/>
          <w:between w:val="nil"/>
        </w:pBdr>
        <w:tabs>
          <w:tab w:val="left" w:pos="0"/>
        </w:tabs>
        <w:spacing w:line="360" w:lineRule="auto"/>
        <w:ind w:left="0" w:right="257"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u w:val="single"/>
        </w:rPr>
        <w:t>ACUERDO_ACUMULADO_SAIMEX_205.pdf</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Acuerdo del Comité de Transparencia en el que se acumulan diversas solicitudes de información y se reserva la información solicitada. </w:t>
      </w:r>
    </w:p>
    <w:p w14:paraId="18711D59" w14:textId="77777777" w:rsidR="00EB0024" w:rsidRDefault="00EB0024">
      <w:pPr>
        <w:pBdr>
          <w:top w:val="nil"/>
          <w:left w:val="nil"/>
          <w:bottom w:val="nil"/>
          <w:right w:val="nil"/>
          <w:between w:val="nil"/>
        </w:pBdr>
        <w:tabs>
          <w:tab w:val="left" w:pos="0"/>
        </w:tabs>
        <w:spacing w:line="360" w:lineRule="auto"/>
        <w:ind w:right="257"/>
        <w:jc w:val="both"/>
        <w:rPr>
          <w:rFonts w:ascii="Palatino Linotype" w:eastAsia="Palatino Linotype" w:hAnsi="Palatino Linotype" w:cs="Palatino Linotype"/>
          <w:b/>
          <w:color w:val="000000"/>
          <w:sz w:val="22"/>
          <w:szCs w:val="22"/>
        </w:rPr>
      </w:pPr>
    </w:p>
    <w:p w14:paraId="467FA77D" w14:textId="77777777" w:rsidR="00EB0024" w:rsidRDefault="00243095">
      <w:pPr>
        <w:numPr>
          <w:ilvl w:val="0"/>
          <w:numId w:val="4"/>
        </w:numPr>
        <w:pBdr>
          <w:top w:val="nil"/>
          <w:left w:val="nil"/>
          <w:bottom w:val="nil"/>
          <w:right w:val="nil"/>
          <w:between w:val="nil"/>
        </w:pBdr>
        <w:tabs>
          <w:tab w:val="left" w:pos="0"/>
        </w:tabs>
        <w:spacing w:line="360" w:lineRule="auto"/>
        <w:ind w:left="0" w:right="257"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u w:val="single"/>
        </w:rPr>
        <w:t>DA_0798_2024_SAIMEX_00224.pdf:</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oficio de respuesta emitido por el </w:t>
      </w:r>
      <w:proofErr w:type="gramStart"/>
      <w:r>
        <w:rPr>
          <w:rFonts w:ascii="Palatino Linotype" w:eastAsia="Palatino Linotype" w:hAnsi="Palatino Linotype" w:cs="Palatino Linotype"/>
          <w:color w:val="000000"/>
          <w:sz w:val="22"/>
          <w:szCs w:val="22"/>
        </w:rPr>
        <w:t>Director</w:t>
      </w:r>
      <w:proofErr w:type="gramEnd"/>
      <w:r>
        <w:rPr>
          <w:rFonts w:ascii="Palatino Linotype" w:eastAsia="Palatino Linotype" w:hAnsi="Palatino Linotype" w:cs="Palatino Linotype"/>
          <w:color w:val="000000"/>
          <w:sz w:val="22"/>
          <w:szCs w:val="22"/>
        </w:rPr>
        <w:t xml:space="preserve"> de Administración en el que señaló que, la Subdirectora de Recursos Materiales determinó que la información solicitada forma parte de los Informes Trimestrales de las Entidades Fiscalizables del Estado de México y se encuentra dentro de los supuestos de reserva.</w:t>
      </w:r>
      <w:r>
        <w:rPr>
          <w:rFonts w:ascii="Palatino Linotype" w:eastAsia="Palatino Linotype" w:hAnsi="Palatino Linotype" w:cs="Palatino Linotype"/>
          <w:b/>
          <w:color w:val="000000"/>
          <w:sz w:val="22"/>
          <w:szCs w:val="22"/>
        </w:rPr>
        <w:t xml:space="preserve"> </w:t>
      </w:r>
    </w:p>
    <w:p w14:paraId="2A493D2E" w14:textId="77777777" w:rsidR="00EB0024" w:rsidRDefault="00EB0024">
      <w:pPr>
        <w:tabs>
          <w:tab w:val="left" w:pos="0"/>
        </w:tabs>
        <w:spacing w:line="360" w:lineRule="auto"/>
        <w:ind w:right="257"/>
        <w:jc w:val="both"/>
        <w:rPr>
          <w:rFonts w:ascii="Palatino Linotype" w:eastAsia="Palatino Linotype" w:hAnsi="Palatino Linotype" w:cs="Palatino Linotype"/>
          <w:b/>
          <w:sz w:val="22"/>
          <w:szCs w:val="22"/>
        </w:rPr>
      </w:pPr>
    </w:p>
    <w:p w14:paraId="56BCCE39" w14:textId="77777777" w:rsidR="00EB0024" w:rsidRDefault="00243095">
      <w:pPr>
        <w:numPr>
          <w:ilvl w:val="0"/>
          <w:numId w:val="4"/>
        </w:numPr>
        <w:pBdr>
          <w:top w:val="nil"/>
          <w:left w:val="nil"/>
          <w:bottom w:val="nil"/>
          <w:right w:val="nil"/>
          <w:between w:val="nil"/>
        </w:pBdr>
        <w:tabs>
          <w:tab w:val="left" w:pos="0"/>
        </w:tabs>
        <w:spacing w:line="360" w:lineRule="auto"/>
        <w:ind w:left="0" w:right="257"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u w:val="single"/>
        </w:rPr>
        <w:t>DSP_0339_2024_SAIMEX_00224.pdf:</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documento suscrito por el </w:t>
      </w:r>
      <w:proofErr w:type="gramStart"/>
      <w:r>
        <w:rPr>
          <w:rFonts w:ascii="Palatino Linotype" w:eastAsia="Palatino Linotype" w:hAnsi="Palatino Linotype" w:cs="Palatino Linotype"/>
          <w:color w:val="000000"/>
          <w:sz w:val="22"/>
          <w:szCs w:val="22"/>
        </w:rPr>
        <w:t>Director</w:t>
      </w:r>
      <w:proofErr w:type="gramEnd"/>
      <w:r>
        <w:rPr>
          <w:rFonts w:ascii="Palatino Linotype" w:eastAsia="Palatino Linotype" w:hAnsi="Palatino Linotype" w:cs="Palatino Linotype"/>
          <w:color w:val="000000"/>
          <w:sz w:val="22"/>
          <w:szCs w:val="22"/>
        </w:rPr>
        <w:t xml:space="preserve"> de Servicios Públicos, en el que señaló que lo solicitado corresponde a la Dirección de Administración.</w:t>
      </w:r>
      <w:r>
        <w:rPr>
          <w:rFonts w:ascii="Palatino Linotype" w:eastAsia="Palatino Linotype" w:hAnsi="Palatino Linotype" w:cs="Palatino Linotype"/>
          <w:b/>
          <w:color w:val="000000"/>
          <w:sz w:val="22"/>
          <w:szCs w:val="22"/>
        </w:rPr>
        <w:t xml:space="preserve"> </w:t>
      </w:r>
    </w:p>
    <w:p w14:paraId="2440499C" w14:textId="77777777" w:rsidR="00EB0024" w:rsidRDefault="00EB0024">
      <w:pPr>
        <w:tabs>
          <w:tab w:val="left" w:pos="0"/>
        </w:tabs>
        <w:spacing w:line="360" w:lineRule="auto"/>
        <w:ind w:right="257"/>
        <w:jc w:val="both"/>
        <w:rPr>
          <w:rFonts w:ascii="Palatino Linotype" w:eastAsia="Palatino Linotype" w:hAnsi="Palatino Linotype" w:cs="Palatino Linotype"/>
          <w:b/>
          <w:sz w:val="22"/>
          <w:szCs w:val="22"/>
          <w:u w:val="single"/>
        </w:rPr>
      </w:pPr>
    </w:p>
    <w:p w14:paraId="5154A489" w14:textId="77777777" w:rsidR="00EB0024" w:rsidRDefault="00243095">
      <w:pPr>
        <w:numPr>
          <w:ilvl w:val="0"/>
          <w:numId w:val="4"/>
        </w:numPr>
        <w:pBdr>
          <w:top w:val="nil"/>
          <w:left w:val="nil"/>
          <w:bottom w:val="nil"/>
          <w:right w:val="nil"/>
          <w:between w:val="nil"/>
        </w:pBdr>
        <w:tabs>
          <w:tab w:val="left" w:pos="0"/>
        </w:tabs>
        <w:spacing w:line="360" w:lineRule="auto"/>
        <w:ind w:left="0" w:right="257"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u w:val="single"/>
        </w:rPr>
        <w:t>Inicio_auditoria_AIF-083_OSFEM.pdf:</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documento suscrito por el Auditor Especial de Cumplimiento Financiero</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e Inversión Física como requerimiento de información al </w:t>
      </w:r>
      <w:proofErr w:type="gramStart"/>
      <w:r>
        <w:rPr>
          <w:rFonts w:ascii="Palatino Linotype" w:eastAsia="Palatino Linotype" w:hAnsi="Palatino Linotype" w:cs="Palatino Linotype"/>
          <w:color w:val="000000"/>
          <w:sz w:val="22"/>
          <w:szCs w:val="22"/>
        </w:rPr>
        <w:t>Presidente</w:t>
      </w:r>
      <w:proofErr w:type="gramEnd"/>
      <w:r>
        <w:rPr>
          <w:rFonts w:ascii="Palatino Linotype" w:eastAsia="Palatino Linotype" w:hAnsi="Palatino Linotype" w:cs="Palatino Linotype"/>
          <w:color w:val="000000"/>
          <w:sz w:val="22"/>
          <w:szCs w:val="22"/>
        </w:rPr>
        <w:t xml:space="preserve"> Municipal de Tlalnepantla de Baz.</w:t>
      </w:r>
      <w:r>
        <w:rPr>
          <w:rFonts w:ascii="Palatino Linotype" w:eastAsia="Palatino Linotype" w:hAnsi="Palatino Linotype" w:cs="Palatino Linotype"/>
          <w:b/>
          <w:color w:val="000000"/>
          <w:sz w:val="22"/>
          <w:szCs w:val="22"/>
        </w:rPr>
        <w:t xml:space="preserve"> </w:t>
      </w:r>
    </w:p>
    <w:p w14:paraId="373904D2" w14:textId="77777777" w:rsidR="00EB0024" w:rsidRDefault="00EB0024">
      <w:pPr>
        <w:tabs>
          <w:tab w:val="left" w:pos="0"/>
        </w:tabs>
        <w:spacing w:line="360" w:lineRule="auto"/>
        <w:ind w:right="257"/>
        <w:jc w:val="both"/>
        <w:rPr>
          <w:rFonts w:ascii="Palatino Linotype" w:eastAsia="Palatino Linotype" w:hAnsi="Palatino Linotype" w:cs="Palatino Linotype"/>
          <w:b/>
          <w:sz w:val="22"/>
          <w:szCs w:val="22"/>
        </w:rPr>
      </w:pPr>
    </w:p>
    <w:p w14:paraId="217AB918" w14:textId="77777777" w:rsidR="00EB0024" w:rsidRDefault="00243095">
      <w:pPr>
        <w:numPr>
          <w:ilvl w:val="0"/>
          <w:numId w:val="4"/>
        </w:numPr>
        <w:pBdr>
          <w:top w:val="nil"/>
          <w:left w:val="nil"/>
          <w:bottom w:val="nil"/>
          <w:right w:val="nil"/>
          <w:between w:val="nil"/>
        </w:pBdr>
        <w:tabs>
          <w:tab w:val="left" w:pos="0"/>
        </w:tabs>
        <w:spacing w:line="360" w:lineRule="auto"/>
        <w:ind w:left="0" w:right="257"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u w:val="single"/>
        </w:rPr>
        <w:t>TM_805_2024_SAIMEX_ACUMULADO.pdf:</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Oficio TM/805/2024 suscrito por el Tesorero Municipal en el que solicitó la acumulación de diversas solicitudes de </w:t>
      </w:r>
      <w:proofErr w:type="gramStart"/>
      <w:r>
        <w:rPr>
          <w:rFonts w:ascii="Palatino Linotype" w:eastAsia="Palatino Linotype" w:hAnsi="Palatino Linotype" w:cs="Palatino Linotype"/>
          <w:color w:val="000000"/>
          <w:sz w:val="22"/>
          <w:szCs w:val="22"/>
        </w:rPr>
        <w:t>información</w:t>
      </w:r>
      <w:proofErr w:type="gramEnd"/>
      <w:r>
        <w:rPr>
          <w:rFonts w:ascii="Palatino Linotype" w:eastAsia="Palatino Linotype" w:hAnsi="Palatino Linotype" w:cs="Palatino Linotype"/>
          <w:color w:val="000000"/>
          <w:sz w:val="22"/>
          <w:szCs w:val="22"/>
        </w:rPr>
        <w:t xml:space="preserve"> así como la reserva de la información solicitada.</w:t>
      </w:r>
      <w:r>
        <w:rPr>
          <w:rFonts w:ascii="Palatino Linotype" w:eastAsia="Palatino Linotype" w:hAnsi="Palatino Linotype" w:cs="Palatino Linotype"/>
          <w:b/>
          <w:color w:val="000000"/>
          <w:sz w:val="22"/>
          <w:szCs w:val="22"/>
        </w:rPr>
        <w:t xml:space="preserve"> </w:t>
      </w:r>
    </w:p>
    <w:p w14:paraId="7C1B8829" w14:textId="77777777" w:rsidR="00EB0024" w:rsidRDefault="00EB0024">
      <w:pPr>
        <w:tabs>
          <w:tab w:val="left" w:pos="0"/>
        </w:tabs>
        <w:spacing w:line="360" w:lineRule="auto"/>
        <w:ind w:right="-734"/>
        <w:jc w:val="both"/>
        <w:rPr>
          <w:rFonts w:ascii="Palatino Linotype" w:eastAsia="Palatino Linotype" w:hAnsi="Palatino Linotype" w:cs="Palatino Linotype"/>
        </w:rPr>
      </w:pPr>
    </w:p>
    <w:p w14:paraId="474380CF" w14:textId="77777777" w:rsidR="00EB0024" w:rsidRDefault="00243095">
      <w:pPr>
        <w:numPr>
          <w:ilvl w:val="0"/>
          <w:numId w:val="2"/>
        </w:numPr>
        <w:pBdr>
          <w:top w:val="nil"/>
          <w:left w:val="nil"/>
          <w:bottom w:val="nil"/>
          <w:right w:val="nil"/>
          <w:between w:val="nil"/>
        </w:pBdr>
        <w:tabs>
          <w:tab w:val="left" w:pos="0"/>
        </w:tabs>
        <w:spacing w:line="360" w:lineRule="auto"/>
        <w:ind w:left="0"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En lo sucesivo el primero (01) de abril de dos mil </w:t>
      </w:r>
      <w:proofErr w:type="gramStart"/>
      <w:r>
        <w:rPr>
          <w:rFonts w:ascii="Palatino Linotype" w:eastAsia="Palatino Linotype" w:hAnsi="Palatino Linotype" w:cs="Palatino Linotype"/>
          <w:color w:val="000000"/>
        </w:rPr>
        <w:t>veinticuatro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el</w:t>
      </w:r>
      <w:proofErr w:type="gramEnd"/>
      <w:r>
        <w:rPr>
          <w:rFonts w:ascii="Palatino Linotype" w:eastAsia="Palatino Linotype" w:hAnsi="Palatino Linotype" w:cs="Palatino Linotype"/>
          <w:color w:val="000000"/>
        </w:rPr>
        <w:t xml:space="preserve"> solicitante interpuso el recurso de revisión, señalando como:</w:t>
      </w:r>
    </w:p>
    <w:p w14:paraId="03B15F0B" w14:textId="77777777" w:rsidR="00EB0024" w:rsidRDefault="00243095">
      <w:pPr>
        <w:numPr>
          <w:ilvl w:val="0"/>
          <w:numId w:val="1"/>
        </w:numPr>
        <w:tabs>
          <w:tab w:val="left" w:pos="851"/>
          <w:tab w:val="left" w:pos="8222"/>
        </w:tabs>
        <w:spacing w:line="360" w:lineRule="auto"/>
        <w:ind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w:t>
      </w:r>
      <w:r>
        <w:rPr>
          <w:rFonts w:ascii="Palatino Linotype" w:eastAsia="Palatino Linotype" w:hAnsi="Palatino Linotype" w:cs="Palatino Linotype"/>
          <w:i/>
          <w:color w:val="000000"/>
          <w:sz w:val="22"/>
          <w:szCs w:val="22"/>
        </w:rPr>
        <w:t>Respuesta”</w:t>
      </w:r>
      <w:r>
        <w:rPr>
          <w:rFonts w:ascii="Palatino Linotype" w:eastAsia="Palatino Linotype" w:hAnsi="Palatino Linotype" w:cs="Palatino Linotype"/>
          <w:i/>
          <w:sz w:val="22"/>
          <w:szCs w:val="22"/>
        </w:rPr>
        <w:t xml:space="preserve"> (Sic) </w:t>
      </w:r>
    </w:p>
    <w:p w14:paraId="4697D44E" w14:textId="77777777" w:rsidR="00EB0024" w:rsidRDefault="00243095">
      <w:pPr>
        <w:numPr>
          <w:ilvl w:val="0"/>
          <w:numId w:val="1"/>
        </w:numPr>
        <w:tabs>
          <w:tab w:val="left" w:pos="851"/>
        </w:tabs>
        <w:spacing w:line="360" w:lineRule="auto"/>
        <w:ind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Razones o Motivos de inconformidad: “</w:t>
      </w:r>
      <w:r>
        <w:rPr>
          <w:rFonts w:ascii="Palatino Linotype" w:eastAsia="Palatino Linotype" w:hAnsi="Palatino Linotype" w:cs="Palatino Linotype"/>
          <w:i/>
          <w:sz w:val="22"/>
          <w:szCs w:val="22"/>
        </w:rPr>
        <w:t>No remiten lo solicitado, mandan acuerdos mal hechos, solicitó les ordenen lo que solicite ya qué transparentan los recursos públicos y la rendición de cuentas” (sic)</w:t>
      </w:r>
    </w:p>
    <w:p w14:paraId="49B88DBA" w14:textId="77777777" w:rsidR="00EB0024" w:rsidRDefault="00EB0024">
      <w:pPr>
        <w:tabs>
          <w:tab w:val="left" w:pos="851"/>
        </w:tabs>
        <w:spacing w:line="360" w:lineRule="auto"/>
        <w:ind w:right="-734"/>
        <w:jc w:val="both"/>
        <w:rPr>
          <w:rFonts w:ascii="Palatino Linotype" w:eastAsia="Palatino Linotype" w:hAnsi="Palatino Linotype" w:cs="Palatino Linotype"/>
          <w:i/>
        </w:rPr>
      </w:pPr>
    </w:p>
    <w:p w14:paraId="4821E6CC" w14:textId="77777777" w:rsidR="00EB0024" w:rsidRDefault="00243095">
      <w:pPr>
        <w:numPr>
          <w:ilvl w:val="0"/>
          <w:numId w:val="5"/>
        </w:numPr>
        <w:spacing w:before="280" w:after="280" w:line="360" w:lineRule="auto"/>
        <w:ind w:right="257"/>
        <w:jc w:val="both"/>
        <w:rPr>
          <w:rFonts w:ascii="Palatino Linotype" w:eastAsia="Palatino Linotype" w:hAnsi="Palatino Linotype" w:cs="Palatino Linotype"/>
          <w:color w:val="333333"/>
          <w:sz w:val="22"/>
          <w:szCs w:val="22"/>
        </w:rPr>
      </w:pPr>
      <w:r>
        <w:rPr>
          <w:rFonts w:ascii="Palatino Linotype" w:eastAsia="Palatino Linotype" w:hAnsi="Palatino Linotype" w:cs="Palatino Linotype"/>
          <w:sz w:val="22"/>
          <w:szCs w:val="22"/>
        </w:rPr>
        <w:t xml:space="preserve">Al recurso de revisión se adjuntó el archivo denominado </w:t>
      </w:r>
      <w:hyperlink r:id="rId8">
        <w:r>
          <w:rPr>
            <w:rFonts w:ascii="Palatino Linotype" w:eastAsia="Palatino Linotype" w:hAnsi="Palatino Linotype" w:cs="Palatino Linotype"/>
            <w:b/>
            <w:color w:val="000000"/>
            <w:sz w:val="22"/>
            <w:szCs w:val="22"/>
            <w:u w:val="single"/>
          </w:rPr>
          <w:t>osfem tlane.pdf</w:t>
        </w:r>
      </w:hyperlink>
      <w:r>
        <w:rPr>
          <w:rFonts w:ascii="Palatino Linotype" w:eastAsia="Palatino Linotype" w:hAnsi="Palatino Linotype" w:cs="Palatino Linotype"/>
          <w:sz w:val="22"/>
          <w:szCs w:val="22"/>
        </w:rPr>
        <w:t xml:space="preserve">, en </w:t>
      </w:r>
      <w:r>
        <w:rPr>
          <w:rFonts w:ascii="Palatino Linotype" w:eastAsia="Palatino Linotype" w:hAnsi="Palatino Linotype" w:cs="Palatino Linotype"/>
          <w:color w:val="333333"/>
          <w:sz w:val="22"/>
          <w:szCs w:val="22"/>
        </w:rPr>
        <w:t xml:space="preserve">el que consta un documento denominado Montos observados respecto a la muestra fiscalizada. </w:t>
      </w:r>
    </w:p>
    <w:p w14:paraId="579FEBDC" w14:textId="77777777" w:rsidR="00EB0024" w:rsidRDefault="00243095">
      <w:pPr>
        <w:numPr>
          <w:ilvl w:val="0"/>
          <w:numId w:val="2"/>
        </w:numPr>
        <w:spacing w:line="360" w:lineRule="auto"/>
        <w:ind w:left="0" w:right="-734" w:firstLine="0"/>
        <w:jc w:val="both"/>
        <w:rPr>
          <w:color w:val="000000"/>
        </w:rPr>
      </w:pPr>
      <w:r>
        <w:rPr>
          <w:rFonts w:ascii="Palatino Linotype" w:eastAsia="Palatino Linotype" w:hAnsi="Palatino Linotype" w:cs="Palatino Linotype"/>
        </w:rPr>
        <w:lastRenderedPageBreak/>
        <w:t xml:space="preserve">Se registró el recurso de revisión bajo el número de expediente al rubro indicado, asimismo con fundamento en lo dispuesto por el artículo 185 fracción I de la Ley de Transparencia y Acceso a la Información Pública del Estado de México y Municipios se turna a la </w:t>
      </w:r>
      <w:r>
        <w:rPr>
          <w:rFonts w:ascii="Palatino Linotype" w:eastAsia="Palatino Linotype" w:hAnsi="Palatino Linotype" w:cs="Palatino Linotype"/>
          <w:b/>
        </w:rPr>
        <w:t>Comisionada María del Rosario Mejía Ayala,</w:t>
      </w:r>
      <w:r>
        <w:rPr>
          <w:rFonts w:ascii="Palatino Linotype" w:eastAsia="Palatino Linotype" w:hAnsi="Palatino Linotype" w:cs="Palatino Linotype"/>
        </w:rPr>
        <w:t xml:space="preserve"> para su análisis.</w:t>
      </w:r>
    </w:p>
    <w:p w14:paraId="2D284944" w14:textId="77777777" w:rsidR="00EB0024" w:rsidRDefault="00EB0024">
      <w:pPr>
        <w:spacing w:line="360" w:lineRule="auto"/>
        <w:ind w:right="-734"/>
        <w:jc w:val="both"/>
        <w:rPr>
          <w:rFonts w:ascii="Palatino Linotype" w:eastAsia="Palatino Linotype" w:hAnsi="Palatino Linotype" w:cs="Palatino Linotype"/>
          <w:i/>
          <w:color w:val="000000"/>
        </w:rPr>
      </w:pPr>
    </w:p>
    <w:p w14:paraId="7D8F7038" w14:textId="77777777" w:rsidR="00EB0024" w:rsidRDefault="00243095">
      <w:pPr>
        <w:numPr>
          <w:ilvl w:val="0"/>
          <w:numId w:val="2"/>
        </w:numPr>
        <w:spacing w:line="360" w:lineRule="auto"/>
        <w:ind w:left="0" w:right="-734" w:firstLine="0"/>
        <w:jc w:val="both"/>
        <w:rPr>
          <w:color w:val="000000"/>
        </w:rPr>
      </w:pPr>
      <w:r>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del dos (02) de abril de dos mil veinticuatro, puso a disposición de las partes el expediente electrónico vía Sistema de Acceso a la Información Mexiquense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presentará el Informe Justificado procedente.  </w:t>
      </w:r>
    </w:p>
    <w:p w14:paraId="02D10F3B" w14:textId="77777777" w:rsidR="00EB0024" w:rsidRDefault="00EB0024">
      <w:pPr>
        <w:spacing w:line="360" w:lineRule="auto"/>
        <w:ind w:right="-734"/>
        <w:jc w:val="both"/>
        <w:rPr>
          <w:rFonts w:ascii="Palatino Linotype" w:eastAsia="Palatino Linotype" w:hAnsi="Palatino Linotype" w:cs="Palatino Linotype"/>
          <w:i/>
          <w:color w:val="000000"/>
        </w:rPr>
      </w:pPr>
    </w:p>
    <w:p w14:paraId="2941F9B7" w14:textId="77777777" w:rsidR="00EB0024" w:rsidRDefault="00243095">
      <w:pPr>
        <w:numPr>
          <w:ilvl w:val="0"/>
          <w:numId w:val="2"/>
        </w:numPr>
        <w:spacing w:line="360" w:lineRule="auto"/>
        <w:ind w:left="0" w:right="-734" w:firstLine="0"/>
        <w:jc w:val="both"/>
        <w:rPr>
          <w:color w:val="000000"/>
        </w:rPr>
      </w:pPr>
      <w:r>
        <w:rPr>
          <w:rFonts w:ascii="Palatino Linotype" w:eastAsia="Palatino Linotype" w:hAnsi="Palatino Linotype" w:cs="Palatino Linotype"/>
        </w:rPr>
        <w:t xml:space="preserve">De las constancias que obran en el expediente electrónico SAIMEX, se advierte que, el particular no realizó manifestaciones que a su derecho conviniera; por su parte, el Sujeto Obligado entregó informe justificado el diez (10) de abril de dos mil veinticuatro, mismo que se puso a la vista del particular el doce (12) de noviembre del mismo año y que consta del archivo denominado </w:t>
      </w:r>
      <w:hyperlink r:id="rId9">
        <w:r>
          <w:rPr>
            <w:rFonts w:ascii="Palatino Linotype" w:eastAsia="Palatino Linotype" w:hAnsi="Palatino Linotype" w:cs="Palatino Linotype"/>
            <w:b/>
            <w:color w:val="000000"/>
            <w:u w:val="single"/>
          </w:rPr>
          <w:t>MANIFESTACIONES.zip</w:t>
        </w:r>
      </w:hyperlink>
      <w:r>
        <w:rPr>
          <w:rFonts w:ascii="Palatino Linotype" w:eastAsia="Palatino Linotype" w:hAnsi="Palatino Linotype" w:cs="Palatino Linotype"/>
        </w:rPr>
        <w:t>, en el que se advierten los archivos que se describen enseguida:</w:t>
      </w:r>
    </w:p>
    <w:p w14:paraId="6315AC8F" w14:textId="77777777" w:rsidR="00EB0024" w:rsidRDefault="00EB0024">
      <w:pPr>
        <w:spacing w:line="360" w:lineRule="auto"/>
        <w:ind w:right="-734"/>
        <w:jc w:val="both"/>
        <w:rPr>
          <w:rFonts w:ascii="Palatino Linotype" w:eastAsia="Palatino Linotype" w:hAnsi="Palatino Linotype" w:cs="Palatino Linotype"/>
          <w:b/>
        </w:rPr>
      </w:pPr>
    </w:p>
    <w:p w14:paraId="5189DAF1" w14:textId="77777777" w:rsidR="00EB0024" w:rsidRDefault="00243095">
      <w:pPr>
        <w:numPr>
          <w:ilvl w:val="0"/>
          <w:numId w:val="3"/>
        </w:numPr>
        <w:pBdr>
          <w:top w:val="nil"/>
          <w:left w:val="nil"/>
          <w:bottom w:val="nil"/>
          <w:right w:val="nil"/>
          <w:between w:val="nil"/>
        </w:pBdr>
        <w:spacing w:line="360" w:lineRule="auto"/>
        <w:ind w:right="11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u w:val="single"/>
        </w:rPr>
        <w:t>DSP_0424_2024_00224_TLALNEPANTLA_IP_2024.pdf</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oficio DSP/0424/2024 de fecha dos de abril de dos mil veinticuatro, suscrito por el </w:t>
      </w:r>
      <w:proofErr w:type="gramStart"/>
      <w:r>
        <w:rPr>
          <w:rFonts w:ascii="Palatino Linotype" w:eastAsia="Palatino Linotype" w:hAnsi="Palatino Linotype" w:cs="Palatino Linotype"/>
          <w:color w:val="000000"/>
          <w:sz w:val="22"/>
          <w:szCs w:val="22"/>
        </w:rPr>
        <w:t>Director</w:t>
      </w:r>
      <w:proofErr w:type="gramEnd"/>
      <w:r>
        <w:rPr>
          <w:rFonts w:ascii="Palatino Linotype" w:eastAsia="Palatino Linotype" w:hAnsi="Palatino Linotype" w:cs="Palatino Linotype"/>
          <w:color w:val="000000"/>
          <w:sz w:val="22"/>
          <w:szCs w:val="22"/>
        </w:rPr>
        <w:t xml:space="preserve"> de Servicios </w:t>
      </w:r>
      <w:r>
        <w:rPr>
          <w:rFonts w:ascii="Palatino Linotype" w:eastAsia="Palatino Linotype" w:hAnsi="Palatino Linotype" w:cs="Palatino Linotype"/>
          <w:color w:val="000000"/>
          <w:sz w:val="22"/>
          <w:szCs w:val="22"/>
        </w:rPr>
        <w:lastRenderedPageBreak/>
        <w:t xml:space="preserve">Públicos, en el que señaló que la información solicitada corresponde a la Dirección de Administración. </w:t>
      </w:r>
    </w:p>
    <w:p w14:paraId="30A12618" w14:textId="77777777" w:rsidR="00EB0024" w:rsidRDefault="00243095">
      <w:pPr>
        <w:numPr>
          <w:ilvl w:val="0"/>
          <w:numId w:val="3"/>
        </w:numPr>
        <w:pBdr>
          <w:top w:val="nil"/>
          <w:left w:val="nil"/>
          <w:bottom w:val="nil"/>
          <w:right w:val="nil"/>
          <w:between w:val="nil"/>
        </w:pBdr>
        <w:spacing w:line="360" w:lineRule="auto"/>
        <w:ind w:right="11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u w:val="single"/>
        </w:rPr>
        <w:t>RESP_D_ADMINISTRACION.pdf</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informe justificado con número de oficio DA/1124/2024 de fecha cuatro de abril de dos mil veinticuatro, suscrito por la </w:t>
      </w:r>
      <w:proofErr w:type="gramStart"/>
      <w:r>
        <w:rPr>
          <w:rFonts w:ascii="Palatino Linotype" w:eastAsia="Palatino Linotype" w:hAnsi="Palatino Linotype" w:cs="Palatino Linotype"/>
          <w:color w:val="000000"/>
          <w:sz w:val="22"/>
          <w:szCs w:val="22"/>
        </w:rPr>
        <w:t>Subdirectora</w:t>
      </w:r>
      <w:proofErr w:type="gramEnd"/>
      <w:r>
        <w:rPr>
          <w:rFonts w:ascii="Palatino Linotype" w:eastAsia="Palatino Linotype" w:hAnsi="Palatino Linotype" w:cs="Palatino Linotype"/>
          <w:color w:val="000000"/>
          <w:sz w:val="22"/>
          <w:szCs w:val="22"/>
        </w:rPr>
        <w:t xml:space="preserve"> de Recursos Materiales, en el que, de forma medular, ratificó su respuesta. </w:t>
      </w:r>
    </w:p>
    <w:p w14:paraId="313F38B1" w14:textId="77777777" w:rsidR="00EB0024" w:rsidRDefault="00EB0024">
      <w:pPr>
        <w:spacing w:line="360" w:lineRule="auto"/>
        <w:ind w:right="-734"/>
        <w:jc w:val="both"/>
        <w:rPr>
          <w:rFonts w:ascii="Palatino Linotype" w:eastAsia="Palatino Linotype" w:hAnsi="Palatino Linotype" w:cs="Palatino Linotype"/>
          <w:b/>
        </w:rPr>
      </w:pPr>
    </w:p>
    <w:p w14:paraId="616EAD33" w14:textId="77777777" w:rsidR="00EB0024" w:rsidRDefault="00243095">
      <w:pPr>
        <w:numPr>
          <w:ilvl w:val="0"/>
          <w:numId w:val="2"/>
        </w:numPr>
        <w:spacing w:line="360" w:lineRule="auto"/>
        <w:ind w:left="0" w:right="-734" w:firstLine="0"/>
        <w:jc w:val="both"/>
      </w:pPr>
      <w:r>
        <w:rPr>
          <w:rFonts w:ascii="Palatino Linotype" w:eastAsia="Palatino Linotype" w:hAnsi="Palatino Linotype" w:cs="Palatino Linotype"/>
        </w:rPr>
        <w:t xml:space="preserve">El trece (13) de marzo de dos mil veinticuatro, el Sujeto Obligado entregó informe justificado, mismo que fue puesto a la vista del particular </w:t>
      </w:r>
      <w:proofErr w:type="gramStart"/>
      <w:r>
        <w:rPr>
          <w:rFonts w:ascii="Palatino Linotype" w:eastAsia="Palatino Linotype" w:hAnsi="Palatino Linotype" w:cs="Palatino Linotype"/>
        </w:rPr>
        <w:t>e</w:t>
      </w:r>
      <w:proofErr w:type="gramEnd"/>
      <w:r>
        <w:rPr>
          <w:rFonts w:ascii="Palatino Linotype" w:eastAsia="Palatino Linotype" w:hAnsi="Palatino Linotype" w:cs="Palatino Linotype"/>
        </w:rPr>
        <w:t xml:space="preserve"> doce (12) de noviembre del mismo año y que consta del archivo que se describe enseguida:</w:t>
      </w:r>
    </w:p>
    <w:p w14:paraId="6DF761A1" w14:textId="77777777" w:rsidR="00EB0024" w:rsidRDefault="0059486C">
      <w:pPr>
        <w:numPr>
          <w:ilvl w:val="0"/>
          <w:numId w:val="9"/>
        </w:numPr>
        <w:pBdr>
          <w:top w:val="nil"/>
          <w:left w:val="nil"/>
          <w:bottom w:val="nil"/>
          <w:right w:val="nil"/>
          <w:between w:val="nil"/>
        </w:pBdr>
        <w:spacing w:line="360" w:lineRule="auto"/>
        <w:ind w:right="115"/>
        <w:jc w:val="both"/>
        <w:rPr>
          <w:rFonts w:ascii="Palatino Linotype" w:eastAsia="Palatino Linotype" w:hAnsi="Palatino Linotype" w:cs="Palatino Linotype"/>
          <w:color w:val="000000"/>
        </w:rPr>
      </w:pPr>
      <w:hyperlink r:id="rId10">
        <w:r w:rsidR="00243095">
          <w:rPr>
            <w:rFonts w:ascii="Palatino Linotype" w:eastAsia="Palatino Linotype" w:hAnsi="Palatino Linotype" w:cs="Palatino Linotype"/>
            <w:b/>
            <w:color w:val="000000"/>
            <w:sz w:val="22"/>
            <w:szCs w:val="22"/>
            <w:u w:val="single"/>
          </w:rPr>
          <w:t>manifestaciones.pdf</w:t>
        </w:r>
      </w:hyperlink>
      <w:r w:rsidR="00243095">
        <w:rPr>
          <w:rFonts w:ascii="Palatino Linotype" w:eastAsia="Palatino Linotype" w:hAnsi="Palatino Linotype" w:cs="Palatino Linotype"/>
          <w:color w:val="000000"/>
          <w:sz w:val="22"/>
          <w:szCs w:val="22"/>
        </w:rPr>
        <w:t xml:space="preserve">: documento suscrito por la Titular de la Unidad de Transparencia en el que, de forma medular, manifestó su inconformidad por la admisión del recurso y señaló que se debió desechar. </w:t>
      </w:r>
    </w:p>
    <w:p w14:paraId="4669511A" w14:textId="77777777" w:rsidR="00EB0024" w:rsidRDefault="00EB0024">
      <w:pPr>
        <w:spacing w:line="360" w:lineRule="auto"/>
        <w:ind w:right="-734"/>
        <w:jc w:val="both"/>
        <w:rPr>
          <w:rFonts w:ascii="Palatino Linotype" w:eastAsia="Palatino Linotype" w:hAnsi="Palatino Linotype" w:cs="Palatino Linotype"/>
        </w:rPr>
      </w:pPr>
    </w:p>
    <w:p w14:paraId="515936C6" w14:textId="77777777" w:rsidR="00EB0024" w:rsidRDefault="00243095">
      <w:pPr>
        <w:numPr>
          <w:ilvl w:val="0"/>
          <w:numId w:val="2"/>
        </w:numPr>
        <w:spacing w:line="360" w:lineRule="auto"/>
        <w:ind w:left="0" w:right="-734" w:firstLine="0"/>
        <w:jc w:val="both"/>
      </w:pPr>
      <w:r>
        <w:rPr>
          <w:rFonts w:ascii="Palatino Linotype" w:eastAsia="Palatino Linotype" w:hAnsi="Palatino Linotype" w:cs="Palatino Linotype"/>
        </w:rPr>
        <w:t xml:space="preserve">El siete (07) de junio de dos mil veinticuatro, se notificó acuerdo mediante el cual se aprobó la ampliación de plazo para emitir resolución. </w:t>
      </w:r>
    </w:p>
    <w:p w14:paraId="66972C15" w14:textId="77777777" w:rsidR="00EB0024" w:rsidRDefault="00EB0024">
      <w:pPr>
        <w:spacing w:line="360" w:lineRule="auto"/>
        <w:ind w:right="-734"/>
        <w:jc w:val="both"/>
        <w:rPr>
          <w:rFonts w:ascii="Palatino Linotype" w:eastAsia="Palatino Linotype" w:hAnsi="Palatino Linotype" w:cs="Palatino Linotype"/>
        </w:rPr>
      </w:pPr>
    </w:p>
    <w:p w14:paraId="50831FE2" w14:textId="77777777" w:rsidR="00EB0024" w:rsidRDefault="00243095">
      <w:pPr>
        <w:numPr>
          <w:ilvl w:val="0"/>
          <w:numId w:val="2"/>
        </w:numPr>
        <w:spacing w:line="360" w:lineRule="auto"/>
        <w:ind w:left="0" w:right="-734" w:firstLine="0"/>
        <w:jc w:val="both"/>
      </w:pPr>
      <w:r>
        <w:rPr>
          <w:rFonts w:ascii="Palatino Linotype" w:eastAsia="Palatino Linotype" w:hAnsi="Palatino Linotype" w:cs="Palatino Linotype"/>
        </w:rPr>
        <w:t xml:space="preserve">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w:t>
      </w:r>
      <w:r>
        <w:rPr>
          <w:rFonts w:ascii="Palatino Linotype" w:eastAsia="Palatino Linotype" w:hAnsi="Palatino Linotype" w:cs="Palatino Linotype"/>
        </w:rPr>
        <w:lastRenderedPageBreak/>
        <w:t>atípica que ha rebasado las capacidades técnicas y humanas del personal encargado de la proyección de las resoluciones a dichos medios de impugnación.</w:t>
      </w:r>
    </w:p>
    <w:p w14:paraId="516AFD6A" w14:textId="77777777" w:rsidR="00EB0024" w:rsidRDefault="00EB0024">
      <w:pPr>
        <w:spacing w:line="360" w:lineRule="auto"/>
        <w:ind w:right="-734"/>
        <w:jc w:val="both"/>
        <w:rPr>
          <w:rFonts w:ascii="Palatino Linotype" w:eastAsia="Palatino Linotype" w:hAnsi="Palatino Linotype" w:cs="Palatino Linotype"/>
        </w:rPr>
      </w:pPr>
    </w:p>
    <w:p w14:paraId="10889CF5" w14:textId="77777777" w:rsidR="00EB0024" w:rsidRDefault="00243095">
      <w:pPr>
        <w:numPr>
          <w:ilvl w:val="0"/>
          <w:numId w:val="2"/>
        </w:numPr>
        <w:pBdr>
          <w:top w:val="nil"/>
          <w:left w:val="nil"/>
          <w:bottom w:val="nil"/>
          <w:right w:val="nil"/>
          <w:between w:val="nil"/>
        </w:pBdr>
        <w:tabs>
          <w:tab w:val="left" w:pos="0"/>
        </w:tabs>
        <w:spacing w:line="360" w:lineRule="auto"/>
        <w:ind w:left="0" w:right="-734" w:firstLine="0"/>
        <w:jc w:val="both"/>
        <w:rPr>
          <w:color w:val="000000"/>
        </w:rPr>
      </w:pPr>
      <w:r>
        <w:rPr>
          <w:rFonts w:ascii="Palatino Linotype" w:eastAsia="Palatino Linotype" w:hAnsi="Palatino Linotype" w:cs="Palatino Linotype"/>
          <w:color w:val="000000"/>
        </w:rPr>
        <w:t xml:space="preserve">Por ello, es menester precisar </w:t>
      </w:r>
      <w:proofErr w:type="gramStart"/>
      <w:r>
        <w:rPr>
          <w:rFonts w:ascii="Palatino Linotype" w:eastAsia="Palatino Linotype" w:hAnsi="Palatino Linotype" w:cs="Palatino Linotype"/>
          <w:color w:val="000000"/>
        </w:rPr>
        <w:t>que</w:t>
      </w:r>
      <w:proofErr w:type="gramEnd"/>
      <w:r>
        <w:rPr>
          <w:rFonts w:ascii="Palatino Linotype" w:eastAsia="Palatino Linotype" w:hAnsi="Palatino Linotype" w:cs="Palatino Linotype"/>
          <w:color w:val="000000"/>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3FA277D" w14:textId="77777777" w:rsidR="00EB0024" w:rsidRDefault="00EB0024">
      <w:pPr>
        <w:pBdr>
          <w:top w:val="nil"/>
          <w:left w:val="nil"/>
          <w:bottom w:val="nil"/>
          <w:right w:val="nil"/>
          <w:between w:val="nil"/>
        </w:pBdr>
        <w:tabs>
          <w:tab w:val="left" w:pos="0"/>
        </w:tabs>
        <w:ind w:left="720" w:right="-734"/>
        <w:rPr>
          <w:rFonts w:ascii="Palatino Linotype" w:eastAsia="Palatino Linotype" w:hAnsi="Palatino Linotype" w:cs="Palatino Linotype"/>
          <w:color w:val="000000"/>
        </w:rPr>
      </w:pPr>
    </w:p>
    <w:p w14:paraId="0EC9C100" w14:textId="77777777" w:rsidR="00EB0024" w:rsidRDefault="00243095">
      <w:pPr>
        <w:numPr>
          <w:ilvl w:val="0"/>
          <w:numId w:val="2"/>
        </w:numPr>
        <w:tabs>
          <w:tab w:val="left" w:pos="0"/>
        </w:tabs>
        <w:spacing w:line="360" w:lineRule="auto"/>
        <w:ind w:left="0" w:right="-734" w:firstLine="0"/>
        <w:jc w:val="both"/>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CFDE7A0" w14:textId="77777777" w:rsidR="00EB0024" w:rsidRDefault="00EB0024">
      <w:pPr>
        <w:pBdr>
          <w:top w:val="nil"/>
          <w:left w:val="nil"/>
          <w:bottom w:val="nil"/>
          <w:right w:val="nil"/>
          <w:between w:val="nil"/>
        </w:pBdr>
        <w:tabs>
          <w:tab w:val="left" w:pos="0"/>
        </w:tabs>
        <w:ind w:left="720" w:right="-734"/>
        <w:rPr>
          <w:rFonts w:ascii="Palatino Linotype" w:eastAsia="Palatino Linotype" w:hAnsi="Palatino Linotype" w:cs="Palatino Linotype"/>
          <w:color w:val="000000"/>
        </w:rPr>
      </w:pPr>
    </w:p>
    <w:p w14:paraId="63ABE207" w14:textId="77777777" w:rsidR="00EB0024" w:rsidRDefault="00243095">
      <w:pPr>
        <w:numPr>
          <w:ilvl w:val="0"/>
          <w:numId w:val="2"/>
        </w:numPr>
        <w:tabs>
          <w:tab w:val="left" w:pos="0"/>
        </w:tabs>
        <w:spacing w:line="360" w:lineRule="auto"/>
        <w:ind w:left="0" w:right="-734" w:firstLine="0"/>
        <w:jc w:val="both"/>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40B1EF4" w14:textId="77777777" w:rsidR="00EB0024" w:rsidRDefault="00EB0024">
      <w:pPr>
        <w:pBdr>
          <w:top w:val="nil"/>
          <w:left w:val="nil"/>
          <w:bottom w:val="nil"/>
          <w:right w:val="nil"/>
          <w:between w:val="nil"/>
        </w:pBdr>
        <w:tabs>
          <w:tab w:val="left" w:pos="0"/>
        </w:tabs>
        <w:ind w:left="720" w:right="-734"/>
        <w:rPr>
          <w:rFonts w:ascii="Palatino Linotype" w:eastAsia="Palatino Linotype" w:hAnsi="Palatino Linotype" w:cs="Palatino Linotype"/>
          <w:color w:val="000000"/>
        </w:rPr>
      </w:pPr>
    </w:p>
    <w:p w14:paraId="49AF4C82" w14:textId="77777777" w:rsidR="00EB0024" w:rsidRDefault="00243095">
      <w:pPr>
        <w:numPr>
          <w:ilvl w:val="0"/>
          <w:numId w:val="2"/>
        </w:numPr>
        <w:tabs>
          <w:tab w:val="left" w:pos="0"/>
        </w:tabs>
        <w:spacing w:line="360" w:lineRule="auto"/>
        <w:ind w:left="0" w:right="-734" w:firstLine="0"/>
        <w:jc w:val="both"/>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6516F735" w14:textId="77777777" w:rsidR="00EB0024" w:rsidRDefault="00EB0024">
      <w:pPr>
        <w:tabs>
          <w:tab w:val="left" w:pos="0"/>
        </w:tabs>
        <w:spacing w:line="360" w:lineRule="auto"/>
        <w:ind w:right="-734"/>
        <w:jc w:val="both"/>
        <w:rPr>
          <w:rFonts w:ascii="Palatino Linotype" w:eastAsia="Palatino Linotype" w:hAnsi="Palatino Linotype" w:cs="Palatino Linotype"/>
        </w:rPr>
      </w:pPr>
    </w:p>
    <w:p w14:paraId="3D16A03E" w14:textId="77777777" w:rsidR="00EB0024" w:rsidRDefault="00243095">
      <w:pPr>
        <w:numPr>
          <w:ilvl w:val="0"/>
          <w:numId w:val="8"/>
        </w:numPr>
        <w:pBdr>
          <w:top w:val="nil"/>
          <w:left w:val="nil"/>
          <w:bottom w:val="nil"/>
          <w:right w:val="nil"/>
          <w:between w:val="nil"/>
        </w:pBdr>
        <w:tabs>
          <w:tab w:val="left" w:pos="0"/>
        </w:tabs>
        <w:spacing w:line="360" w:lineRule="auto"/>
        <w:ind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280E4B42" w14:textId="77777777" w:rsidR="00EB0024" w:rsidRDefault="00243095">
      <w:pPr>
        <w:numPr>
          <w:ilvl w:val="0"/>
          <w:numId w:val="8"/>
        </w:numPr>
        <w:pBdr>
          <w:top w:val="nil"/>
          <w:left w:val="nil"/>
          <w:bottom w:val="nil"/>
          <w:right w:val="nil"/>
          <w:between w:val="nil"/>
        </w:pBdr>
        <w:tabs>
          <w:tab w:val="left" w:pos="0"/>
        </w:tabs>
        <w:spacing w:line="360" w:lineRule="auto"/>
        <w:ind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4769E98F" w14:textId="77777777" w:rsidR="00EB0024" w:rsidRDefault="00243095">
      <w:pPr>
        <w:numPr>
          <w:ilvl w:val="0"/>
          <w:numId w:val="8"/>
        </w:numPr>
        <w:pBdr>
          <w:top w:val="nil"/>
          <w:left w:val="nil"/>
          <w:bottom w:val="nil"/>
          <w:right w:val="nil"/>
          <w:between w:val="nil"/>
        </w:pBdr>
        <w:tabs>
          <w:tab w:val="left" w:pos="0"/>
        </w:tabs>
        <w:spacing w:line="360" w:lineRule="auto"/>
        <w:ind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4531F0D6" w14:textId="77777777" w:rsidR="00EB0024" w:rsidRDefault="00243095">
      <w:pPr>
        <w:tabs>
          <w:tab w:val="left" w:pos="0"/>
        </w:tabs>
        <w:spacing w:line="360" w:lineRule="auto"/>
        <w:ind w:left="567" w:right="3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27F10C13" w14:textId="77777777" w:rsidR="00EB0024" w:rsidRDefault="00EB0024">
      <w:pPr>
        <w:tabs>
          <w:tab w:val="left" w:pos="0"/>
        </w:tabs>
        <w:spacing w:line="360" w:lineRule="auto"/>
        <w:ind w:right="-734"/>
        <w:rPr>
          <w:rFonts w:ascii="Palatino Linotype" w:eastAsia="Palatino Linotype" w:hAnsi="Palatino Linotype" w:cs="Palatino Linotype"/>
        </w:rPr>
      </w:pPr>
    </w:p>
    <w:p w14:paraId="6568EF92" w14:textId="77777777" w:rsidR="00EB0024" w:rsidRDefault="00243095">
      <w:pPr>
        <w:numPr>
          <w:ilvl w:val="0"/>
          <w:numId w:val="2"/>
        </w:numPr>
        <w:pBdr>
          <w:top w:val="nil"/>
          <w:left w:val="nil"/>
          <w:bottom w:val="nil"/>
          <w:right w:val="nil"/>
          <w:between w:val="nil"/>
        </w:pBdr>
        <w:tabs>
          <w:tab w:val="left" w:pos="0"/>
        </w:tabs>
        <w:spacing w:line="360" w:lineRule="auto"/>
        <w:ind w:left="0"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5BB9680" w14:textId="77777777" w:rsidR="00EB0024" w:rsidRDefault="00EB0024">
      <w:pPr>
        <w:tabs>
          <w:tab w:val="left" w:pos="0"/>
        </w:tabs>
        <w:spacing w:line="360" w:lineRule="auto"/>
        <w:ind w:right="-734"/>
        <w:jc w:val="both"/>
        <w:rPr>
          <w:rFonts w:ascii="Palatino Linotype" w:eastAsia="Palatino Linotype" w:hAnsi="Palatino Linotype" w:cs="Palatino Linotype"/>
          <w:b/>
        </w:rPr>
      </w:pPr>
    </w:p>
    <w:p w14:paraId="0889538B" w14:textId="77777777" w:rsidR="00EB0024" w:rsidRDefault="00243095">
      <w:pPr>
        <w:numPr>
          <w:ilvl w:val="0"/>
          <w:numId w:val="2"/>
        </w:numPr>
        <w:tabs>
          <w:tab w:val="left" w:pos="0"/>
        </w:tabs>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Argumento que encuentra sustento en la jurisprudencia P./J. 32/92 emitida por el Pleno de la Suprema Corte de Justicia de la Nación del rubro </w:t>
      </w:r>
      <w:r>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rPr>
        <w:t>, visible en la Gaceta del Semanario Judicial de la Federación con el registro digital 205635.</w:t>
      </w:r>
    </w:p>
    <w:p w14:paraId="1756A0F7" w14:textId="77777777" w:rsidR="00EB0024" w:rsidRDefault="00EB0024">
      <w:pPr>
        <w:tabs>
          <w:tab w:val="left" w:pos="0"/>
        </w:tabs>
        <w:spacing w:line="360" w:lineRule="auto"/>
        <w:ind w:right="-734"/>
        <w:rPr>
          <w:rFonts w:ascii="Palatino Linotype" w:eastAsia="Palatino Linotype" w:hAnsi="Palatino Linotype" w:cs="Palatino Linotype"/>
        </w:rPr>
      </w:pPr>
    </w:p>
    <w:p w14:paraId="7169D04F" w14:textId="77777777" w:rsidR="00EB0024" w:rsidRDefault="00243095">
      <w:pPr>
        <w:numPr>
          <w:ilvl w:val="0"/>
          <w:numId w:val="2"/>
        </w:numPr>
        <w:tabs>
          <w:tab w:val="left" w:pos="0"/>
        </w:tabs>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w:t>
      </w:r>
      <w:r>
        <w:rPr>
          <w:rFonts w:ascii="Palatino Linotype" w:eastAsia="Palatino Linotype" w:hAnsi="Palatino Linotype" w:cs="Palatino Linotype"/>
        </w:rPr>
        <w:lastRenderedPageBreak/>
        <w:t>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36969D4" w14:textId="77777777" w:rsidR="00EB0024" w:rsidRDefault="00EB0024">
      <w:pPr>
        <w:tabs>
          <w:tab w:val="left" w:pos="0"/>
        </w:tabs>
        <w:spacing w:line="360" w:lineRule="auto"/>
        <w:ind w:right="-734"/>
        <w:rPr>
          <w:rFonts w:ascii="Palatino Linotype" w:eastAsia="Palatino Linotype" w:hAnsi="Palatino Linotype" w:cs="Palatino Linotype"/>
        </w:rPr>
      </w:pPr>
    </w:p>
    <w:p w14:paraId="7E0D98B1" w14:textId="77777777" w:rsidR="00EB0024" w:rsidRDefault="00243095">
      <w:pPr>
        <w:numPr>
          <w:ilvl w:val="0"/>
          <w:numId w:val="2"/>
        </w:numPr>
        <w:tabs>
          <w:tab w:val="left" w:pos="0"/>
        </w:tabs>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6AA7C4B8" w14:textId="77777777" w:rsidR="00EB0024" w:rsidRDefault="00EB0024">
      <w:pPr>
        <w:tabs>
          <w:tab w:val="left" w:pos="0"/>
        </w:tabs>
        <w:spacing w:line="360" w:lineRule="auto"/>
        <w:ind w:right="-734"/>
        <w:rPr>
          <w:rFonts w:ascii="Palatino Linotype" w:eastAsia="Palatino Linotype" w:hAnsi="Palatino Linotype" w:cs="Palatino Linotype"/>
        </w:rPr>
      </w:pPr>
    </w:p>
    <w:p w14:paraId="4132C1F4" w14:textId="77777777" w:rsidR="00EB0024" w:rsidRDefault="00243095">
      <w:pPr>
        <w:numPr>
          <w:ilvl w:val="0"/>
          <w:numId w:val="2"/>
        </w:numPr>
        <w:tabs>
          <w:tab w:val="left" w:pos="0"/>
        </w:tabs>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34771D3" w14:textId="77777777" w:rsidR="00EB0024" w:rsidRDefault="00243095">
      <w:pPr>
        <w:tabs>
          <w:tab w:val="left" w:pos="0"/>
        </w:tabs>
        <w:spacing w:line="360" w:lineRule="auto"/>
        <w:ind w:left="851" w:right="11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Semanario Judicial de la Federación y su gaceta, con el registro digital 2002351.</w:t>
      </w:r>
    </w:p>
    <w:p w14:paraId="76E690BA" w14:textId="77777777" w:rsidR="00EB0024" w:rsidRDefault="00EB0024">
      <w:pPr>
        <w:tabs>
          <w:tab w:val="left" w:pos="0"/>
        </w:tabs>
        <w:spacing w:line="360" w:lineRule="auto"/>
        <w:ind w:left="851" w:right="115"/>
        <w:jc w:val="both"/>
        <w:rPr>
          <w:rFonts w:ascii="Palatino Linotype" w:eastAsia="Palatino Linotype" w:hAnsi="Palatino Linotype" w:cs="Palatino Linotype"/>
          <w:b/>
          <w:sz w:val="22"/>
          <w:szCs w:val="22"/>
        </w:rPr>
      </w:pPr>
    </w:p>
    <w:p w14:paraId="064B310D" w14:textId="77777777" w:rsidR="00EB0024" w:rsidRDefault="00243095">
      <w:pPr>
        <w:tabs>
          <w:tab w:val="left" w:pos="0"/>
        </w:tabs>
        <w:spacing w:line="360" w:lineRule="auto"/>
        <w:ind w:left="851" w:right="115"/>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Semanario Judicial de la Federación y su gaceta, con el registro digital 2002350.</w:t>
      </w:r>
    </w:p>
    <w:p w14:paraId="0DA56E68" w14:textId="77777777" w:rsidR="00EB0024" w:rsidRDefault="00EB0024">
      <w:pPr>
        <w:tabs>
          <w:tab w:val="left" w:pos="0"/>
        </w:tabs>
        <w:spacing w:line="360" w:lineRule="auto"/>
        <w:ind w:right="-734"/>
        <w:jc w:val="both"/>
        <w:rPr>
          <w:rFonts w:ascii="Palatino Linotype" w:eastAsia="Palatino Linotype" w:hAnsi="Palatino Linotype" w:cs="Palatino Linotype"/>
        </w:rPr>
      </w:pPr>
    </w:p>
    <w:p w14:paraId="1E89457A" w14:textId="77777777" w:rsidR="00EB0024" w:rsidRDefault="00243095">
      <w:pPr>
        <w:numPr>
          <w:ilvl w:val="0"/>
          <w:numId w:val="2"/>
        </w:numPr>
        <w:pBdr>
          <w:top w:val="nil"/>
          <w:left w:val="nil"/>
          <w:bottom w:val="nil"/>
          <w:right w:val="nil"/>
          <w:between w:val="nil"/>
        </w:pBdr>
        <w:tabs>
          <w:tab w:val="left" w:pos="0"/>
        </w:tabs>
        <w:spacing w:line="360" w:lineRule="auto"/>
        <w:ind w:left="0" w:right="-734" w:firstLine="0"/>
        <w:jc w:val="both"/>
        <w:rPr>
          <w:color w:val="000000"/>
        </w:rPr>
      </w:pPr>
      <w:r>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14:paraId="133B2DEB" w14:textId="77777777" w:rsidR="00EB0024" w:rsidRDefault="00EB0024">
      <w:pPr>
        <w:spacing w:line="360" w:lineRule="auto"/>
        <w:ind w:right="-734"/>
        <w:jc w:val="both"/>
        <w:rPr>
          <w:rFonts w:ascii="Palatino Linotype" w:eastAsia="Palatino Linotype" w:hAnsi="Palatino Linotype" w:cs="Palatino Linotype"/>
          <w:i/>
          <w:color w:val="000000"/>
        </w:rPr>
      </w:pPr>
    </w:p>
    <w:p w14:paraId="605D469E" w14:textId="77777777" w:rsidR="00EB0024" w:rsidRDefault="00243095">
      <w:pPr>
        <w:numPr>
          <w:ilvl w:val="0"/>
          <w:numId w:val="2"/>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La Comisionada Ponente decretó el cierre de instrucción mediante acuerdo del diecinueve (19) de noviembre de dos mil veinticuatro, por lo que, ordenó turnar el expediente a resolución, misma que a continuación se pronuncia.</w:t>
      </w:r>
    </w:p>
    <w:p w14:paraId="756B08B7" w14:textId="77777777" w:rsidR="00EB0024" w:rsidRDefault="00EB0024">
      <w:pPr>
        <w:spacing w:line="360" w:lineRule="auto"/>
        <w:ind w:right="-734"/>
        <w:jc w:val="both"/>
        <w:rPr>
          <w:rFonts w:ascii="Palatino Linotype" w:eastAsia="Palatino Linotype" w:hAnsi="Palatino Linotype" w:cs="Palatino Linotype"/>
          <w:b/>
        </w:rPr>
      </w:pPr>
    </w:p>
    <w:p w14:paraId="263A5536" w14:textId="77777777" w:rsidR="00EB0024" w:rsidRDefault="00243095">
      <w:pPr>
        <w:keepNext/>
        <w:keepLines/>
        <w:spacing w:line="360" w:lineRule="auto"/>
        <w:ind w:right="-734"/>
        <w:jc w:val="center"/>
        <w:rPr>
          <w:rFonts w:ascii="Palatino Linotype" w:eastAsia="Palatino Linotype" w:hAnsi="Palatino Linotype" w:cs="Palatino Linotype"/>
          <w:b/>
        </w:rPr>
      </w:pPr>
      <w:bookmarkStart w:id="2" w:name="_heading=h.1fob9te" w:colFirst="0" w:colLast="0"/>
      <w:bookmarkEnd w:id="2"/>
      <w:r>
        <w:rPr>
          <w:rFonts w:ascii="Palatino Linotype" w:eastAsia="Palatino Linotype" w:hAnsi="Palatino Linotype" w:cs="Palatino Linotype"/>
          <w:b/>
        </w:rPr>
        <w:t>C O N S I D E R A N D O</w:t>
      </w:r>
    </w:p>
    <w:p w14:paraId="26E3AE7E" w14:textId="77777777" w:rsidR="00EB0024" w:rsidRDefault="00EB0024">
      <w:pPr>
        <w:keepNext/>
        <w:keepLines/>
        <w:spacing w:line="360" w:lineRule="auto"/>
        <w:ind w:right="-734"/>
        <w:jc w:val="center"/>
        <w:rPr>
          <w:rFonts w:ascii="Palatino Linotype" w:eastAsia="Palatino Linotype" w:hAnsi="Palatino Linotype" w:cs="Palatino Linotype"/>
          <w:b/>
        </w:rPr>
      </w:pPr>
    </w:p>
    <w:p w14:paraId="07A9E242" w14:textId="77777777" w:rsidR="00EB0024" w:rsidRDefault="00243095">
      <w:pPr>
        <w:keepNext/>
        <w:keepLines/>
        <w:spacing w:line="360" w:lineRule="auto"/>
        <w:ind w:right="-734"/>
        <w:rPr>
          <w:rFonts w:ascii="Palatino Linotype" w:eastAsia="Palatino Linotype" w:hAnsi="Palatino Linotype" w:cs="Palatino Linotype"/>
          <w:b/>
        </w:rPr>
      </w:pPr>
      <w:bookmarkStart w:id="3" w:name="_heading=h.3znysh7" w:colFirst="0" w:colLast="0"/>
      <w:bookmarkEnd w:id="3"/>
      <w:r>
        <w:rPr>
          <w:rFonts w:ascii="Palatino Linotype" w:eastAsia="Palatino Linotype" w:hAnsi="Palatino Linotype" w:cs="Palatino Linotype"/>
          <w:b/>
        </w:rPr>
        <w:t>PRIMERO. De la competencia.</w:t>
      </w:r>
    </w:p>
    <w:p w14:paraId="1B59A039" w14:textId="77777777" w:rsidR="00EB0024" w:rsidRDefault="00243095">
      <w:pPr>
        <w:numPr>
          <w:ilvl w:val="0"/>
          <w:numId w:val="2"/>
        </w:numPr>
        <w:pBdr>
          <w:top w:val="nil"/>
          <w:left w:val="nil"/>
          <w:bottom w:val="nil"/>
          <w:right w:val="nil"/>
          <w:between w:val="nil"/>
        </w:pBdr>
        <w:spacing w:before="240" w:after="240" w:line="360" w:lineRule="auto"/>
        <w:ind w:left="0" w:right="-734" w:firstLine="0"/>
        <w:jc w:val="both"/>
        <w:rPr>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rPr>
        <w:t>Constitución Política de los Estados Unidos Mexicanos</w:t>
      </w:r>
      <w:r>
        <w:rPr>
          <w:rFonts w:ascii="Palatino Linotype" w:eastAsia="Palatino Linotype" w:hAnsi="Palatino Linotype" w:cs="Palatino Linotype"/>
          <w:color w:val="000000"/>
        </w:rPr>
        <w:t xml:space="preserve">; 5, párrafos trigésimo segundo y trigésimo tercero, fracciones IV y V, de la </w:t>
      </w:r>
      <w:r>
        <w:rPr>
          <w:rFonts w:ascii="Palatino Linotype" w:eastAsia="Palatino Linotype" w:hAnsi="Palatino Linotype" w:cs="Palatino Linotype"/>
          <w:b/>
          <w:color w:val="000000"/>
        </w:rPr>
        <w:t>Constitución Política del Estado Libre y Soberano de México</w:t>
      </w:r>
      <w:r>
        <w:rPr>
          <w:rFonts w:ascii="Palatino Linotype" w:eastAsia="Palatino Linotype" w:hAnsi="Palatino Linotype" w:cs="Palatino Linotype"/>
          <w:color w:val="000000"/>
        </w:rPr>
        <w:t xml:space="preserve">; artículos 1, 2 fracción II, 13, 29, 36 fracciones I y II, 176, 178, 179, 181 párrafo tercero y 185 de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y 7, 9 fracciones I y XXIII, y 11 del </w:t>
      </w:r>
      <w:r>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p>
    <w:p w14:paraId="58645E8E" w14:textId="77777777" w:rsidR="00EB0024" w:rsidRDefault="00243095">
      <w:pPr>
        <w:keepNext/>
        <w:keepLines/>
        <w:spacing w:line="360" w:lineRule="auto"/>
        <w:ind w:right="-734"/>
        <w:rPr>
          <w:rFonts w:ascii="Palatino Linotype" w:eastAsia="Palatino Linotype" w:hAnsi="Palatino Linotype" w:cs="Palatino Linotype"/>
          <w:b/>
        </w:rPr>
      </w:pPr>
      <w:bookmarkStart w:id="4" w:name="_heading=h.2et92p0" w:colFirst="0" w:colLast="0"/>
      <w:bookmarkEnd w:id="4"/>
      <w:r>
        <w:rPr>
          <w:rFonts w:ascii="Palatino Linotype" w:eastAsia="Palatino Linotype" w:hAnsi="Palatino Linotype" w:cs="Palatino Linotype"/>
          <w:b/>
        </w:rPr>
        <w:t>SEGUNDO. De la oportunidad y procedencia.</w:t>
      </w:r>
    </w:p>
    <w:p w14:paraId="1D8C621A" w14:textId="77777777" w:rsidR="00EB0024" w:rsidRDefault="00243095">
      <w:pPr>
        <w:numPr>
          <w:ilvl w:val="0"/>
          <w:numId w:val="2"/>
        </w:numPr>
        <w:spacing w:line="360" w:lineRule="auto"/>
        <w:ind w:left="0" w:right="-734" w:firstLine="0"/>
        <w:jc w:val="both"/>
      </w:pPr>
      <w:r>
        <w:rPr>
          <w:rFonts w:ascii="Palatino Linotype" w:eastAsia="Palatino Linotype" w:hAnsi="Palatino Linotype" w:cs="Palatino Linotype"/>
        </w:rPr>
        <w:t xml:space="preserve">El medio de impugnación fue presentado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 el día veintidós (22) de marzo de dos mil veinticuatro, de tal forma que el plazo </w:t>
      </w:r>
      <w:r>
        <w:rPr>
          <w:rFonts w:ascii="Palatino Linotype" w:eastAsia="Palatino Linotype" w:hAnsi="Palatino Linotype" w:cs="Palatino Linotype"/>
        </w:rPr>
        <w:lastRenderedPageBreak/>
        <w:t xml:space="preserve">para interponer el recurso transcurrió del primero (01) al diecinueve (19) de abril de dos mil veinticuatro, de acuerdo al calendario oficial del Instituto de Transparencia del Estado de México y Municipios; en consecuencia, si el particular presentó su inconformidad el día primero (01) de abril de dos mil veinticuatro, se encuentra dentro de los márgenes temporales previstos en el artículo 178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 xml:space="preserve">vigente.  </w:t>
      </w:r>
    </w:p>
    <w:p w14:paraId="2D9C443B" w14:textId="77777777" w:rsidR="00EB0024" w:rsidRDefault="00EB0024">
      <w:pPr>
        <w:spacing w:line="360" w:lineRule="auto"/>
        <w:ind w:right="-734"/>
        <w:jc w:val="both"/>
        <w:rPr>
          <w:rFonts w:ascii="Palatino Linotype" w:eastAsia="Palatino Linotype" w:hAnsi="Palatino Linotype" w:cs="Palatino Linotype"/>
        </w:rPr>
      </w:pPr>
    </w:p>
    <w:p w14:paraId="5EF25B88" w14:textId="77777777" w:rsidR="00EB0024" w:rsidRDefault="00243095">
      <w:pPr>
        <w:numPr>
          <w:ilvl w:val="0"/>
          <w:numId w:val="2"/>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2AE50EB" w14:textId="77777777" w:rsidR="00EB0024" w:rsidRDefault="00EB0024">
      <w:pPr>
        <w:spacing w:line="360" w:lineRule="auto"/>
        <w:ind w:right="-734"/>
        <w:jc w:val="both"/>
        <w:rPr>
          <w:rFonts w:ascii="Palatino Linotype" w:eastAsia="Palatino Linotype" w:hAnsi="Palatino Linotype" w:cs="Palatino Linotype"/>
          <w:b/>
        </w:rPr>
      </w:pPr>
    </w:p>
    <w:p w14:paraId="4462F90C" w14:textId="77777777" w:rsidR="00EB0024" w:rsidRDefault="00243095">
      <w:pPr>
        <w:keepNext/>
        <w:keepLines/>
        <w:spacing w:line="360" w:lineRule="auto"/>
        <w:ind w:right="-734"/>
        <w:rPr>
          <w:rFonts w:ascii="Palatino Linotype" w:eastAsia="Palatino Linotype" w:hAnsi="Palatino Linotype" w:cs="Palatino Linotype"/>
          <w:b/>
        </w:rPr>
      </w:pPr>
      <w:bookmarkStart w:id="5" w:name="_heading=h.tyjcwt" w:colFirst="0" w:colLast="0"/>
      <w:bookmarkEnd w:id="5"/>
      <w:r>
        <w:rPr>
          <w:rFonts w:ascii="Palatino Linotype" w:eastAsia="Palatino Linotype" w:hAnsi="Palatino Linotype" w:cs="Palatino Linotype"/>
          <w:b/>
        </w:rPr>
        <w:t>TERCERO. Planteamiento de la Litis.</w:t>
      </w:r>
    </w:p>
    <w:p w14:paraId="23F92B9C" w14:textId="77777777" w:rsidR="00EB0024" w:rsidRDefault="00243095">
      <w:pPr>
        <w:numPr>
          <w:ilvl w:val="0"/>
          <w:numId w:val="2"/>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El particular solicitó, del periodo correspondiente al año 2022, soporte documental donde conste la documentación que compruebe, justifique y acredite la entrega y aplicación de los siguientes materiales:</w:t>
      </w:r>
    </w:p>
    <w:p w14:paraId="290AC8E1" w14:textId="77777777" w:rsidR="00EB0024" w:rsidRDefault="00EB0024">
      <w:pPr>
        <w:pBdr>
          <w:top w:val="nil"/>
          <w:left w:val="nil"/>
          <w:bottom w:val="nil"/>
          <w:right w:val="nil"/>
          <w:between w:val="nil"/>
        </w:pBdr>
        <w:spacing w:line="360" w:lineRule="auto"/>
        <w:ind w:right="-734"/>
        <w:jc w:val="both"/>
        <w:rPr>
          <w:rFonts w:ascii="Palatino Linotype" w:eastAsia="Palatino Linotype" w:hAnsi="Palatino Linotype" w:cs="Palatino Linotype"/>
        </w:rPr>
      </w:pPr>
    </w:p>
    <w:p w14:paraId="1DC924F9" w14:textId="77777777" w:rsidR="00EB0024" w:rsidRDefault="00EB0024">
      <w:pPr>
        <w:pBdr>
          <w:top w:val="nil"/>
          <w:left w:val="nil"/>
          <w:bottom w:val="nil"/>
          <w:right w:val="nil"/>
          <w:between w:val="nil"/>
        </w:pBdr>
        <w:spacing w:line="360" w:lineRule="auto"/>
        <w:ind w:right="-734"/>
        <w:jc w:val="both"/>
        <w:rPr>
          <w:rFonts w:ascii="Palatino Linotype" w:eastAsia="Palatino Linotype" w:hAnsi="Palatino Linotype" w:cs="Palatino Linotype"/>
        </w:rPr>
      </w:pPr>
    </w:p>
    <w:p w14:paraId="489C3800" w14:textId="77777777" w:rsidR="00EB0024" w:rsidRDefault="00243095">
      <w:pPr>
        <w:numPr>
          <w:ilvl w:val="0"/>
          <w:numId w:val="9"/>
        </w:numPr>
        <w:pBdr>
          <w:top w:val="nil"/>
          <w:left w:val="nil"/>
          <w:bottom w:val="nil"/>
          <w:right w:val="nil"/>
          <w:between w:val="nil"/>
        </w:pBdr>
        <w:spacing w:line="360" w:lineRule="auto"/>
        <w:ind w:right="257"/>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sz w:val="22"/>
          <w:szCs w:val="22"/>
        </w:rPr>
        <w:t xml:space="preserve">Adquisición de mangueras luminosas. </w:t>
      </w:r>
    </w:p>
    <w:p w14:paraId="2C1D4625" w14:textId="77777777" w:rsidR="00EB0024" w:rsidRDefault="00243095">
      <w:pPr>
        <w:numPr>
          <w:ilvl w:val="0"/>
          <w:numId w:val="9"/>
        </w:numPr>
        <w:pBdr>
          <w:top w:val="nil"/>
          <w:left w:val="nil"/>
          <w:bottom w:val="nil"/>
          <w:right w:val="nil"/>
          <w:between w:val="nil"/>
        </w:pBdr>
        <w:spacing w:line="360" w:lineRule="auto"/>
        <w:ind w:right="257"/>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sz w:val="22"/>
          <w:szCs w:val="22"/>
        </w:rPr>
        <w:t xml:space="preserve">Suministrar “LOS BIENES” de conformidad con las necesidades que tenga el mismo. (Adquisición de material para operación del Departamento de Servicios Generales). </w:t>
      </w:r>
    </w:p>
    <w:p w14:paraId="7A18D3BA" w14:textId="77777777" w:rsidR="00EB0024" w:rsidRDefault="00243095">
      <w:pPr>
        <w:numPr>
          <w:ilvl w:val="0"/>
          <w:numId w:val="9"/>
        </w:numPr>
        <w:pBdr>
          <w:top w:val="nil"/>
          <w:left w:val="nil"/>
          <w:bottom w:val="nil"/>
          <w:right w:val="nil"/>
          <w:between w:val="nil"/>
        </w:pBdr>
        <w:spacing w:line="360" w:lineRule="auto"/>
        <w:ind w:right="257"/>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sz w:val="22"/>
          <w:szCs w:val="22"/>
        </w:rPr>
        <w:t xml:space="preserve">Adquisición de productos de construcción hecho de hierro, acero, aluminio, cobre, zinc, bronce y otras aleaciones tales como lingotes, planchas, planchones, hojalatas, </w:t>
      </w:r>
      <w:r>
        <w:rPr>
          <w:rFonts w:ascii="Palatino Linotype" w:eastAsia="Palatino Linotype" w:hAnsi="Palatino Linotype" w:cs="Palatino Linotype"/>
          <w:color w:val="000000"/>
          <w:sz w:val="22"/>
          <w:szCs w:val="22"/>
        </w:rPr>
        <w:lastRenderedPageBreak/>
        <w:t xml:space="preserve">perfiles alambres, varillas, ventanas, puertas metálicas, clavos, tornillos y tuercas de todo tipo, mallas ciclónicas y cercas metálicas </w:t>
      </w:r>
    </w:p>
    <w:p w14:paraId="257F820E" w14:textId="77777777" w:rsidR="00EB0024" w:rsidRDefault="00243095">
      <w:pPr>
        <w:numPr>
          <w:ilvl w:val="0"/>
          <w:numId w:val="9"/>
        </w:numPr>
        <w:pBdr>
          <w:top w:val="nil"/>
          <w:left w:val="nil"/>
          <w:bottom w:val="nil"/>
          <w:right w:val="nil"/>
          <w:between w:val="nil"/>
        </w:pBdr>
        <w:spacing w:line="360" w:lineRule="auto"/>
        <w:ind w:right="257"/>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sz w:val="22"/>
          <w:szCs w:val="22"/>
        </w:rPr>
        <w:t xml:space="preserve">Suministrar los siguientes bienes; partida I) impermeabilizante, </w:t>
      </w:r>
      <w:proofErr w:type="spellStart"/>
      <w:r>
        <w:rPr>
          <w:rFonts w:ascii="Palatino Linotype" w:eastAsia="Palatino Linotype" w:hAnsi="Palatino Linotype" w:cs="Palatino Linotype"/>
          <w:color w:val="000000"/>
          <w:sz w:val="22"/>
          <w:szCs w:val="22"/>
        </w:rPr>
        <w:t>resanador</w:t>
      </w:r>
      <w:proofErr w:type="spellEnd"/>
      <w:r>
        <w:rPr>
          <w:rFonts w:ascii="Palatino Linotype" w:eastAsia="Palatino Linotype" w:hAnsi="Palatino Linotype" w:cs="Palatino Linotype"/>
          <w:color w:val="000000"/>
          <w:sz w:val="22"/>
          <w:szCs w:val="22"/>
        </w:rPr>
        <w:t xml:space="preserve"> para muros, sellador para muros, </w:t>
      </w:r>
      <w:proofErr w:type="spellStart"/>
      <w:r>
        <w:rPr>
          <w:rFonts w:ascii="Palatino Linotype" w:eastAsia="Palatino Linotype" w:hAnsi="Palatino Linotype" w:cs="Palatino Linotype"/>
          <w:color w:val="000000"/>
          <w:sz w:val="22"/>
          <w:szCs w:val="22"/>
        </w:rPr>
        <w:t>thinner</w:t>
      </w:r>
      <w:proofErr w:type="spellEnd"/>
      <w:r>
        <w:rPr>
          <w:rFonts w:ascii="Palatino Linotype" w:eastAsia="Palatino Linotype" w:hAnsi="Palatino Linotype" w:cs="Palatino Linotype"/>
          <w:color w:val="000000"/>
          <w:sz w:val="22"/>
          <w:szCs w:val="22"/>
        </w:rPr>
        <w:t xml:space="preserve">, primer, plaste, laca, pega yeso, mortero; partida II) taquetes de plástico, estopa, rodillos, extensión para rodillo, brochas, lijas, Resistol 5000, cepillo para impermeabilizar, barrotes, malla metálica, felpas y solventes </w:t>
      </w:r>
    </w:p>
    <w:p w14:paraId="27AD13C0" w14:textId="77777777" w:rsidR="00EB0024" w:rsidRDefault="00243095">
      <w:pPr>
        <w:numPr>
          <w:ilvl w:val="0"/>
          <w:numId w:val="9"/>
        </w:numPr>
        <w:pBdr>
          <w:top w:val="nil"/>
          <w:left w:val="nil"/>
          <w:bottom w:val="nil"/>
          <w:right w:val="nil"/>
          <w:between w:val="nil"/>
        </w:pBdr>
        <w:spacing w:line="360" w:lineRule="auto"/>
        <w:ind w:right="257"/>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sz w:val="22"/>
          <w:szCs w:val="22"/>
        </w:rPr>
        <w:t xml:space="preserve">Adquisición de pintura vinílica varios colores, pintura en aerosol, pintura esmalte en varios colores, pintura tráfico, pintura acrílica. </w:t>
      </w:r>
    </w:p>
    <w:p w14:paraId="35DB7D39" w14:textId="77777777" w:rsidR="00EB0024" w:rsidRDefault="00243095">
      <w:pPr>
        <w:numPr>
          <w:ilvl w:val="0"/>
          <w:numId w:val="9"/>
        </w:numPr>
        <w:pBdr>
          <w:top w:val="nil"/>
          <w:left w:val="nil"/>
          <w:bottom w:val="nil"/>
          <w:right w:val="nil"/>
          <w:between w:val="nil"/>
        </w:pBdr>
        <w:spacing w:line="360" w:lineRule="auto"/>
        <w:ind w:right="257"/>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sz w:val="22"/>
          <w:szCs w:val="22"/>
        </w:rPr>
        <w:t xml:space="preserve">Suministro de pintura termoplástica de color verde tráfico y blanco tráfico. </w:t>
      </w:r>
    </w:p>
    <w:p w14:paraId="405FD0B1" w14:textId="77777777" w:rsidR="00EB0024" w:rsidRDefault="00243095">
      <w:pPr>
        <w:numPr>
          <w:ilvl w:val="0"/>
          <w:numId w:val="9"/>
        </w:numPr>
        <w:pBdr>
          <w:top w:val="nil"/>
          <w:left w:val="nil"/>
          <w:bottom w:val="nil"/>
          <w:right w:val="nil"/>
          <w:between w:val="nil"/>
        </w:pBdr>
        <w:spacing w:line="360" w:lineRule="auto"/>
        <w:ind w:right="257"/>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sz w:val="22"/>
          <w:szCs w:val="22"/>
        </w:rPr>
        <w:t xml:space="preserve">Adquisición de 106 cubetas de pintura esmalte varios colores y 53 cubetas de pintura </w:t>
      </w:r>
      <w:r>
        <w:rPr>
          <w:rFonts w:ascii="Palatino Linotype" w:eastAsia="Palatino Linotype" w:hAnsi="Palatino Linotype" w:cs="Palatino Linotype"/>
          <w:sz w:val="22"/>
          <w:szCs w:val="22"/>
        </w:rPr>
        <w:t>vinílica de varios</w:t>
      </w:r>
      <w:r>
        <w:rPr>
          <w:rFonts w:ascii="Palatino Linotype" w:eastAsia="Palatino Linotype" w:hAnsi="Palatino Linotype" w:cs="Palatino Linotype"/>
          <w:color w:val="000000"/>
          <w:sz w:val="22"/>
          <w:szCs w:val="22"/>
        </w:rPr>
        <w:t xml:space="preserve"> colores. </w:t>
      </w:r>
    </w:p>
    <w:p w14:paraId="36D6001A" w14:textId="77777777" w:rsidR="00EB0024" w:rsidRDefault="00243095">
      <w:pPr>
        <w:numPr>
          <w:ilvl w:val="0"/>
          <w:numId w:val="9"/>
        </w:numPr>
        <w:pBdr>
          <w:top w:val="nil"/>
          <w:left w:val="nil"/>
          <w:bottom w:val="nil"/>
          <w:right w:val="nil"/>
          <w:between w:val="nil"/>
        </w:pBdr>
        <w:spacing w:line="360" w:lineRule="auto"/>
        <w:ind w:right="257"/>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sz w:val="22"/>
          <w:szCs w:val="22"/>
        </w:rPr>
        <w:t xml:space="preserve">Material para impermeabilizar. </w:t>
      </w:r>
    </w:p>
    <w:p w14:paraId="4ACEAB34" w14:textId="77777777" w:rsidR="00EB0024" w:rsidRDefault="00243095">
      <w:pPr>
        <w:numPr>
          <w:ilvl w:val="0"/>
          <w:numId w:val="9"/>
        </w:numPr>
        <w:pBdr>
          <w:top w:val="nil"/>
          <w:left w:val="nil"/>
          <w:bottom w:val="nil"/>
          <w:right w:val="nil"/>
          <w:between w:val="nil"/>
        </w:pBdr>
        <w:spacing w:line="360" w:lineRule="auto"/>
        <w:ind w:right="257"/>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sz w:val="22"/>
          <w:szCs w:val="22"/>
        </w:rPr>
        <w:t xml:space="preserve">Suministrar "Toda clase de estructuras y manufacturas que se utilizan en la construcción, reconstrucción, ampliación, adaptación, mejora, conservación y mantenimiento de toda clase de muebles e inmuebles tales como postes, torres, ventanas, herrajes, puertas, cristales, tanques, lavabos, fregaderos, inodoros, tuberías y todo tipo de accesorios necesarios para los mismos fines. </w:t>
      </w:r>
    </w:p>
    <w:p w14:paraId="758AC7D9" w14:textId="77777777" w:rsidR="00EB0024" w:rsidRDefault="00243095">
      <w:pPr>
        <w:numPr>
          <w:ilvl w:val="0"/>
          <w:numId w:val="2"/>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En respuesta, el Tesorero </w:t>
      </w:r>
      <w:proofErr w:type="gramStart"/>
      <w:r>
        <w:rPr>
          <w:rFonts w:ascii="Palatino Linotype" w:eastAsia="Palatino Linotype" w:hAnsi="Palatino Linotype" w:cs="Palatino Linotype"/>
          <w:color w:val="000000"/>
        </w:rPr>
        <w:t>Municipal  señaló</w:t>
      </w:r>
      <w:proofErr w:type="gramEnd"/>
      <w:r>
        <w:rPr>
          <w:rFonts w:ascii="Palatino Linotype" w:eastAsia="Palatino Linotype" w:hAnsi="Palatino Linotype" w:cs="Palatino Linotype"/>
          <w:color w:val="000000"/>
        </w:rPr>
        <w:t xml:space="preserve"> que la información solicitada es reservada. Posteriormente, el particular interpuso recurso de revisión en el que señaló su inconformidad, de forma medular, por la negativa de la información.   </w:t>
      </w:r>
    </w:p>
    <w:p w14:paraId="6821C77E" w14:textId="77777777" w:rsidR="00EB0024" w:rsidRDefault="00EB0024">
      <w:pPr>
        <w:tabs>
          <w:tab w:val="left" w:pos="0"/>
        </w:tabs>
        <w:spacing w:line="360" w:lineRule="auto"/>
        <w:ind w:right="-734"/>
        <w:jc w:val="both"/>
        <w:rPr>
          <w:rFonts w:ascii="Palatino Linotype" w:eastAsia="Palatino Linotype" w:hAnsi="Palatino Linotype" w:cs="Palatino Linotype"/>
          <w:i/>
        </w:rPr>
      </w:pPr>
    </w:p>
    <w:p w14:paraId="72EF09C2" w14:textId="77777777" w:rsidR="00EB0024" w:rsidRDefault="00243095">
      <w:pPr>
        <w:numPr>
          <w:ilvl w:val="0"/>
          <w:numId w:val="2"/>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En consecuencia, la Litis a resolver en este recurso, se circunscribe a determinar si la respuesta colma con lo solicitado o si se actualiza la causal de procedencia prevista en el </w:t>
      </w:r>
      <w:r>
        <w:rPr>
          <w:rFonts w:ascii="Palatino Linotype" w:eastAsia="Palatino Linotype" w:hAnsi="Palatino Linotype" w:cs="Palatino Linotype"/>
          <w:color w:val="000000"/>
        </w:rPr>
        <w:lastRenderedPageBreak/>
        <w:t>artículo 179, fracción I de la Ley de Transparencia y Acceso a la Información Pública del Estado de México y Municipios; que establece la negativa de la información.</w:t>
      </w:r>
    </w:p>
    <w:p w14:paraId="57564146" w14:textId="77777777" w:rsidR="00EB0024" w:rsidRDefault="00EB0024">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2313068E" w14:textId="77777777" w:rsidR="00EB0024" w:rsidRDefault="00243095">
      <w:pPr>
        <w:pStyle w:val="Ttulo1"/>
        <w:spacing w:before="0" w:line="360" w:lineRule="auto"/>
        <w:ind w:right="-734"/>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CUARTO. Del estudio y resolución del recurso de revisión.</w:t>
      </w:r>
    </w:p>
    <w:p w14:paraId="2BEF2D2F" w14:textId="77777777" w:rsidR="00EB0024" w:rsidRDefault="00243095">
      <w:pPr>
        <w:pStyle w:val="Ttulo1"/>
        <w:spacing w:before="0" w:line="360" w:lineRule="auto"/>
        <w:ind w:right="-734"/>
        <w:rPr>
          <w:rFonts w:ascii="Palatino Linotype" w:eastAsia="Palatino Linotype" w:hAnsi="Palatino Linotype" w:cs="Palatino Linotype"/>
          <w:b/>
          <w:color w:val="000000"/>
          <w:sz w:val="24"/>
          <w:szCs w:val="24"/>
        </w:rPr>
      </w:pPr>
      <w:bookmarkStart w:id="7" w:name="_heading=h.4d34og8" w:colFirst="0" w:colLast="0"/>
      <w:bookmarkEnd w:id="7"/>
      <w:r>
        <w:rPr>
          <w:rFonts w:ascii="Palatino Linotype" w:eastAsia="Palatino Linotype" w:hAnsi="Palatino Linotype" w:cs="Palatino Linotype"/>
          <w:b/>
          <w:color w:val="000000"/>
          <w:sz w:val="24"/>
          <w:szCs w:val="24"/>
        </w:rPr>
        <w:t>De la información solicitada y la respuesta del Sujeto Obligado</w:t>
      </w:r>
    </w:p>
    <w:p w14:paraId="11A53560" w14:textId="77777777" w:rsidR="00EB0024" w:rsidRDefault="00243095">
      <w:pPr>
        <w:numPr>
          <w:ilvl w:val="0"/>
          <w:numId w:val="2"/>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09FD5A6D" w14:textId="77777777" w:rsidR="00EB0024" w:rsidRDefault="00EB0024">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5782C410" w14:textId="77777777" w:rsidR="00EB0024" w:rsidRDefault="00243095">
      <w:pPr>
        <w:numPr>
          <w:ilvl w:val="0"/>
          <w:numId w:val="2"/>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Primeramente, debemos recapitular que el particular solicitó del periodo correspondiente al año 2022, soporte documental donde conste la evidencia legal que compruebe, justifique y acredite la entrega y aplicación de los siguientes materiales:</w:t>
      </w:r>
    </w:p>
    <w:p w14:paraId="4EA88A0E" w14:textId="77777777" w:rsidR="00EB0024" w:rsidRDefault="00EB0024">
      <w:pPr>
        <w:pBdr>
          <w:top w:val="nil"/>
          <w:left w:val="nil"/>
          <w:bottom w:val="nil"/>
          <w:right w:val="nil"/>
          <w:between w:val="nil"/>
        </w:pBdr>
        <w:ind w:left="720" w:right="-734"/>
        <w:rPr>
          <w:rFonts w:ascii="Palatino Linotype" w:eastAsia="Palatino Linotype" w:hAnsi="Palatino Linotype" w:cs="Palatino Linotype"/>
        </w:rPr>
      </w:pPr>
    </w:p>
    <w:p w14:paraId="32C518AC" w14:textId="77777777" w:rsidR="00EB0024" w:rsidRDefault="00EB0024">
      <w:pPr>
        <w:pBdr>
          <w:top w:val="nil"/>
          <w:left w:val="nil"/>
          <w:bottom w:val="nil"/>
          <w:right w:val="nil"/>
          <w:between w:val="nil"/>
        </w:pBdr>
        <w:ind w:left="720" w:right="-734"/>
        <w:rPr>
          <w:rFonts w:ascii="Palatino Linotype" w:eastAsia="Palatino Linotype" w:hAnsi="Palatino Linotype" w:cs="Palatino Linotype"/>
        </w:rPr>
      </w:pPr>
    </w:p>
    <w:p w14:paraId="4E50534D" w14:textId="77777777" w:rsidR="00EB0024" w:rsidRDefault="00EB0024">
      <w:pPr>
        <w:pBdr>
          <w:top w:val="nil"/>
          <w:left w:val="nil"/>
          <w:bottom w:val="nil"/>
          <w:right w:val="nil"/>
          <w:between w:val="nil"/>
        </w:pBdr>
        <w:ind w:left="720" w:right="-734"/>
        <w:rPr>
          <w:rFonts w:ascii="Palatino Linotype" w:eastAsia="Palatino Linotype" w:hAnsi="Palatino Linotype" w:cs="Palatino Linotype"/>
        </w:rPr>
      </w:pPr>
    </w:p>
    <w:p w14:paraId="7A98A27C" w14:textId="77777777" w:rsidR="00EB0024" w:rsidRDefault="00243095">
      <w:pPr>
        <w:numPr>
          <w:ilvl w:val="0"/>
          <w:numId w:val="6"/>
        </w:numPr>
        <w:pBdr>
          <w:top w:val="nil"/>
          <w:left w:val="nil"/>
          <w:bottom w:val="nil"/>
          <w:right w:val="nil"/>
          <w:between w:val="nil"/>
        </w:pBdr>
        <w:spacing w:line="360" w:lineRule="auto"/>
        <w:ind w:left="851" w:right="-167"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Adquisición de mangueras luminosas;</w:t>
      </w:r>
    </w:p>
    <w:p w14:paraId="4C9E765E" w14:textId="77777777" w:rsidR="00EB0024" w:rsidRDefault="00243095">
      <w:pPr>
        <w:numPr>
          <w:ilvl w:val="0"/>
          <w:numId w:val="6"/>
        </w:numPr>
        <w:pBdr>
          <w:top w:val="nil"/>
          <w:left w:val="nil"/>
          <w:bottom w:val="nil"/>
          <w:right w:val="nil"/>
          <w:between w:val="nil"/>
        </w:pBdr>
        <w:spacing w:line="360" w:lineRule="auto"/>
        <w:ind w:left="851" w:right="-167"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Suministro y Adquisición de material para operación del Departamento de Servicios Generales;</w:t>
      </w:r>
    </w:p>
    <w:p w14:paraId="762FCFC8" w14:textId="77777777" w:rsidR="00EB0024" w:rsidRDefault="00243095">
      <w:pPr>
        <w:numPr>
          <w:ilvl w:val="0"/>
          <w:numId w:val="6"/>
        </w:numPr>
        <w:pBdr>
          <w:top w:val="nil"/>
          <w:left w:val="nil"/>
          <w:bottom w:val="nil"/>
          <w:right w:val="nil"/>
          <w:between w:val="nil"/>
        </w:pBdr>
        <w:spacing w:line="360" w:lineRule="auto"/>
        <w:ind w:left="851" w:right="-167"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Adquisición de productos de construcción hecho de hierro, acero, aluminio, cobre, zinc, bronce y otras aleaciones tales como lingotes, planchas, planchones, hojalatas, perfiles alambres, varillas, ventanas, puertas metálicas, clavos, tornillos y tuercas de todo tipo, mallas ciclónicas y cercas metálicas;</w:t>
      </w:r>
    </w:p>
    <w:p w14:paraId="2343317B" w14:textId="77777777" w:rsidR="00EB0024" w:rsidRDefault="00243095">
      <w:pPr>
        <w:numPr>
          <w:ilvl w:val="0"/>
          <w:numId w:val="6"/>
        </w:numPr>
        <w:pBdr>
          <w:top w:val="nil"/>
          <w:left w:val="nil"/>
          <w:bottom w:val="nil"/>
          <w:right w:val="nil"/>
          <w:between w:val="nil"/>
        </w:pBdr>
        <w:spacing w:line="360" w:lineRule="auto"/>
        <w:ind w:left="851" w:right="-167"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 xml:space="preserve">Suministro de impermeabilizante, </w:t>
      </w:r>
      <w:proofErr w:type="spellStart"/>
      <w:r>
        <w:rPr>
          <w:rFonts w:ascii="Palatino Linotype" w:eastAsia="Palatino Linotype" w:hAnsi="Palatino Linotype" w:cs="Palatino Linotype"/>
          <w:b/>
          <w:color w:val="000000"/>
          <w:sz w:val="22"/>
          <w:szCs w:val="22"/>
        </w:rPr>
        <w:t>resanador</w:t>
      </w:r>
      <w:proofErr w:type="spellEnd"/>
      <w:r>
        <w:rPr>
          <w:rFonts w:ascii="Palatino Linotype" w:eastAsia="Palatino Linotype" w:hAnsi="Palatino Linotype" w:cs="Palatino Linotype"/>
          <w:b/>
          <w:color w:val="000000"/>
          <w:sz w:val="22"/>
          <w:szCs w:val="22"/>
        </w:rPr>
        <w:t xml:space="preserve"> para muros, sellador para muros, </w:t>
      </w:r>
      <w:proofErr w:type="spellStart"/>
      <w:r>
        <w:rPr>
          <w:rFonts w:ascii="Palatino Linotype" w:eastAsia="Palatino Linotype" w:hAnsi="Palatino Linotype" w:cs="Palatino Linotype"/>
          <w:b/>
          <w:color w:val="000000"/>
          <w:sz w:val="22"/>
          <w:szCs w:val="22"/>
        </w:rPr>
        <w:t>thinner</w:t>
      </w:r>
      <w:proofErr w:type="spellEnd"/>
      <w:r>
        <w:rPr>
          <w:rFonts w:ascii="Palatino Linotype" w:eastAsia="Palatino Linotype" w:hAnsi="Palatino Linotype" w:cs="Palatino Linotype"/>
          <w:b/>
          <w:color w:val="000000"/>
          <w:sz w:val="22"/>
          <w:szCs w:val="22"/>
        </w:rPr>
        <w:t>, primer, plaste, laca, pega yeso, mortero, taquetes de plástico, estopa, rodillos, extensión para rodillo, brochas, lijas, Resistol 5000, cepillo para impermeabilizar, barrotes, malla metálica, felpas y solventes;</w:t>
      </w:r>
    </w:p>
    <w:p w14:paraId="63CDFF0B" w14:textId="77777777" w:rsidR="00EB0024" w:rsidRDefault="00243095">
      <w:pPr>
        <w:numPr>
          <w:ilvl w:val="0"/>
          <w:numId w:val="6"/>
        </w:numPr>
        <w:pBdr>
          <w:top w:val="nil"/>
          <w:left w:val="nil"/>
          <w:bottom w:val="nil"/>
          <w:right w:val="nil"/>
          <w:between w:val="nil"/>
        </w:pBdr>
        <w:spacing w:line="360" w:lineRule="auto"/>
        <w:ind w:left="851" w:right="-167"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Adquisición de pintura vinílica varios colores, pintura en aerosol, pintura esmalte en varios colores, pintura tráfico, pintura acrílica; </w:t>
      </w:r>
    </w:p>
    <w:p w14:paraId="70BE2E26" w14:textId="77777777" w:rsidR="00EB0024" w:rsidRDefault="00243095">
      <w:pPr>
        <w:numPr>
          <w:ilvl w:val="0"/>
          <w:numId w:val="6"/>
        </w:numPr>
        <w:pBdr>
          <w:top w:val="nil"/>
          <w:left w:val="nil"/>
          <w:bottom w:val="nil"/>
          <w:right w:val="nil"/>
          <w:between w:val="nil"/>
        </w:pBdr>
        <w:spacing w:line="360" w:lineRule="auto"/>
        <w:ind w:left="851" w:right="-167"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Suministro de pintura termoplástica de color verde tráfico y blanco tráfico;</w:t>
      </w:r>
    </w:p>
    <w:p w14:paraId="4AFD49E3" w14:textId="77777777" w:rsidR="00EB0024" w:rsidRDefault="00243095">
      <w:pPr>
        <w:numPr>
          <w:ilvl w:val="0"/>
          <w:numId w:val="6"/>
        </w:numPr>
        <w:pBdr>
          <w:top w:val="nil"/>
          <w:left w:val="nil"/>
          <w:bottom w:val="nil"/>
          <w:right w:val="nil"/>
          <w:between w:val="nil"/>
        </w:pBdr>
        <w:spacing w:line="360" w:lineRule="auto"/>
        <w:ind w:left="851" w:right="-167"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Adquisición de 106 cubetas de pintura esmalte varios colores y 53 cubetas de pintura vinílica varios colores;</w:t>
      </w:r>
    </w:p>
    <w:p w14:paraId="72085A76" w14:textId="77777777" w:rsidR="00EB0024" w:rsidRDefault="00243095">
      <w:pPr>
        <w:numPr>
          <w:ilvl w:val="0"/>
          <w:numId w:val="6"/>
        </w:numPr>
        <w:pBdr>
          <w:top w:val="nil"/>
          <w:left w:val="nil"/>
          <w:bottom w:val="nil"/>
          <w:right w:val="nil"/>
          <w:between w:val="nil"/>
        </w:pBdr>
        <w:spacing w:line="360" w:lineRule="auto"/>
        <w:ind w:left="851" w:right="-167"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Material para impermeabilizar;</w:t>
      </w:r>
    </w:p>
    <w:p w14:paraId="45834845" w14:textId="77777777" w:rsidR="00EB0024" w:rsidRDefault="00243095">
      <w:pPr>
        <w:numPr>
          <w:ilvl w:val="0"/>
          <w:numId w:val="6"/>
        </w:numPr>
        <w:pBdr>
          <w:top w:val="nil"/>
          <w:left w:val="nil"/>
          <w:bottom w:val="nil"/>
          <w:right w:val="nil"/>
          <w:between w:val="nil"/>
        </w:pBdr>
        <w:spacing w:line="360" w:lineRule="auto"/>
        <w:ind w:left="851" w:right="-167"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Suministro de toda clase de estructuras y manufacturas que se utilizan en la construcción, reconstrucción, ampliación, adaptación, mejora, conservación y mantenimiento de toda clase de muebles e inmuebles tales como postes, torres, ventanas, herrajes, puertas, cristales, tanques, lavabos, fregaderos, inodoros, tuberías y todo tipo de accesorios necesarios para los mismos fines. </w:t>
      </w:r>
    </w:p>
    <w:p w14:paraId="58784C04" w14:textId="77777777" w:rsidR="00EB0024" w:rsidRDefault="00EB0024">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1A092433" w14:textId="77777777" w:rsidR="00EB0024" w:rsidRDefault="00243095">
      <w:pPr>
        <w:numPr>
          <w:ilvl w:val="0"/>
          <w:numId w:val="2"/>
        </w:numPr>
        <w:spacing w:line="360" w:lineRule="auto"/>
        <w:ind w:left="0" w:right="-734" w:firstLine="0"/>
        <w:jc w:val="both"/>
      </w:pPr>
      <w:r>
        <w:rPr>
          <w:rFonts w:ascii="Palatino Linotype" w:eastAsia="Palatino Linotype" w:hAnsi="Palatino Linotype" w:cs="Palatino Linotype"/>
        </w:rPr>
        <w:t xml:space="preserve">Ahora bien, el acceso a la información es un derecho humano constitucional y convencionalmente reconocido y para tal efecto el párrafo tercero del artículo primero de la Constitución Política de los Estados Unidos Mexicanos establece el deber de todas las autoridades, </w:t>
      </w:r>
      <w:r>
        <w:rPr>
          <w:rFonts w:ascii="Palatino Linotype" w:eastAsia="Palatino Linotype" w:hAnsi="Palatino Linotype" w:cs="Palatino Linotype"/>
          <w:i/>
        </w:rPr>
        <w:t xml:space="preserve">en el ámbito de sus atribuciones, de promover, respetar, proteger y </w:t>
      </w:r>
      <w:r>
        <w:rPr>
          <w:rFonts w:ascii="Palatino Linotype" w:eastAsia="Palatino Linotype" w:hAnsi="Palatino Linotype" w:cs="Palatino Linotype"/>
          <w:b/>
          <w:i/>
        </w:rPr>
        <w:t>garantizar</w:t>
      </w:r>
      <w:r>
        <w:rPr>
          <w:rFonts w:ascii="Palatino Linotype" w:eastAsia="Palatino Linotype" w:hAnsi="Palatino Linotype" w:cs="Palatino Linotype"/>
          <w:i/>
        </w:rPr>
        <w:t xml:space="preserve"> los derechos humanos. </w:t>
      </w:r>
    </w:p>
    <w:p w14:paraId="6BBE7DD5" w14:textId="77777777" w:rsidR="00EB0024" w:rsidRDefault="00EB0024">
      <w:pPr>
        <w:pBdr>
          <w:top w:val="nil"/>
          <w:left w:val="nil"/>
          <w:bottom w:val="nil"/>
          <w:right w:val="nil"/>
          <w:between w:val="nil"/>
        </w:pBdr>
        <w:ind w:left="720" w:right="-734"/>
        <w:rPr>
          <w:rFonts w:ascii="Palatino Linotype" w:eastAsia="Palatino Linotype" w:hAnsi="Palatino Linotype" w:cs="Palatino Linotype"/>
          <w:color w:val="000000"/>
        </w:rPr>
      </w:pPr>
    </w:p>
    <w:p w14:paraId="05EE5542" w14:textId="77777777" w:rsidR="00EB0024" w:rsidRDefault="00243095">
      <w:pPr>
        <w:numPr>
          <w:ilvl w:val="0"/>
          <w:numId w:val="2"/>
        </w:numPr>
        <w:spacing w:line="360" w:lineRule="auto"/>
        <w:ind w:left="0" w:right="-734" w:firstLine="0"/>
        <w:jc w:val="both"/>
      </w:pPr>
      <w:r>
        <w:rPr>
          <w:rFonts w:ascii="Palatino Linotype" w:eastAsia="Palatino Linotype" w:hAnsi="Palatino Linotype" w:cs="Palatino Linotype"/>
        </w:rPr>
        <w:t>En cuanto al derecho de acceso a la información, la Ley de Transparencia y Acceso a la Información Pública del Estado de México y Municipios prevé establece que</w:t>
      </w:r>
      <w:r>
        <w:rPr>
          <w:rFonts w:ascii="Palatino Linotype" w:eastAsia="Palatino Linotype" w:hAnsi="Palatino Linotype" w:cs="Palatino Linotype"/>
          <w:b/>
          <w:i/>
        </w:rPr>
        <w:t xml:space="preserve"> e</w:t>
      </w:r>
      <w:r>
        <w:rPr>
          <w:rFonts w:ascii="Palatino Linotype" w:eastAsia="Palatino Linotype" w:hAnsi="Palatino Linotype" w:cs="Palatino Linotype"/>
          <w:i/>
        </w:rPr>
        <w:t xml:space="preserve">l procedimiento de acceso a la información es la garantía primaria del derecho en cuestión y se rige por los principios de simplicidad, rapidez y gratuidad del procedimiento, auxilio y orientación a los </w:t>
      </w:r>
      <w:r>
        <w:rPr>
          <w:rFonts w:ascii="Palatino Linotype" w:eastAsia="Palatino Linotype" w:hAnsi="Palatino Linotype" w:cs="Palatino Linotype"/>
          <w:i/>
        </w:rPr>
        <w:lastRenderedPageBreak/>
        <w:t>particulares</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i/>
        </w:rPr>
        <w:t xml:space="preserve">, </w:t>
      </w:r>
      <w:r>
        <w:rPr>
          <w:rFonts w:ascii="Palatino Linotype" w:eastAsia="Palatino Linotype" w:hAnsi="Palatino Linotype" w:cs="Palatino Linotype"/>
        </w:rPr>
        <w:t>asimismo establece</w:t>
      </w:r>
      <w:r>
        <w:rPr>
          <w:rFonts w:ascii="Palatino Linotype" w:eastAsia="Palatino Linotype" w:hAnsi="Palatino Linotype" w:cs="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234988A4" w14:textId="77777777" w:rsidR="00EB0024" w:rsidRDefault="00EB0024">
      <w:pPr>
        <w:pBdr>
          <w:top w:val="nil"/>
          <w:left w:val="nil"/>
          <w:bottom w:val="nil"/>
          <w:right w:val="nil"/>
          <w:between w:val="nil"/>
        </w:pBdr>
        <w:ind w:left="720" w:right="-734"/>
        <w:rPr>
          <w:rFonts w:ascii="Palatino Linotype" w:eastAsia="Palatino Linotype" w:hAnsi="Palatino Linotype" w:cs="Palatino Linotype"/>
          <w:color w:val="000000"/>
        </w:rPr>
      </w:pPr>
    </w:p>
    <w:p w14:paraId="570BAFE1" w14:textId="77777777" w:rsidR="00EB0024" w:rsidRDefault="00243095">
      <w:pPr>
        <w:numPr>
          <w:ilvl w:val="0"/>
          <w:numId w:val="2"/>
        </w:numPr>
        <w:spacing w:line="360" w:lineRule="auto"/>
        <w:ind w:left="0" w:right="-734" w:firstLine="0"/>
        <w:jc w:val="both"/>
      </w:pPr>
      <w:r>
        <w:rPr>
          <w:rFonts w:ascii="Palatino Linotype" w:eastAsia="Palatino Linotype" w:hAnsi="Palatino Linotype" w:cs="Palatino Linotype"/>
          <w:color w:val="000000"/>
        </w:rPr>
        <w:t xml:space="preserve">Resulta necesario referir que, el </w:t>
      </w:r>
      <w:r>
        <w:rPr>
          <w:rFonts w:ascii="Palatino Linotype" w:eastAsia="Palatino Linotype" w:hAnsi="Palatino Linotype" w:cs="Palatino Linotype"/>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Pr>
          <w:rFonts w:ascii="Palatino Linotype" w:eastAsia="Palatino Linotype" w:hAnsi="Palatino Linotype" w:cs="Palatino Linotype"/>
          <w:b/>
        </w:rPr>
        <w:t>los Sujetos Obligados deberán documentar todo acto que se derive del ejercicio de sus facultades, competencias o funciones,</w:t>
      </w:r>
      <w:r>
        <w:rPr>
          <w:rFonts w:ascii="Palatino Linotype" w:eastAsia="Palatino Linotype" w:hAnsi="Palatino Linotype" w:cs="Palatino Linotype"/>
        </w:rPr>
        <w:t xml:space="preserve"> considerando desde su origen la eventual publicidad y reutilización de la información que generen, posean o administren.</w:t>
      </w:r>
    </w:p>
    <w:p w14:paraId="76671C55" w14:textId="77777777" w:rsidR="00EB0024" w:rsidRDefault="00EB0024">
      <w:pPr>
        <w:pBdr>
          <w:top w:val="nil"/>
          <w:left w:val="nil"/>
          <w:bottom w:val="nil"/>
          <w:right w:val="nil"/>
          <w:between w:val="nil"/>
        </w:pBdr>
        <w:ind w:left="720" w:right="-734"/>
        <w:rPr>
          <w:rFonts w:ascii="Palatino Linotype" w:eastAsia="Palatino Linotype" w:hAnsi="Palatino Linotype" w:cs="Palatino Linotype"/>
          <w:color w:val="000000"/>
        </w:rPr>
      </w:pPr>
    </w:p>
    <w:p w14:paraId="6CB6E1A9" w14:textId="77777777" w:rsidR="00EB0024" w:rsidRDefault="00243095">
      <w:pPr>
        <w:numPr>
          <w:ilvl w:val="0"/>
          <w:numId w:val="2"/>
        </w:numPr>
        <w:spacing w:line="360" w:lineRule="auto"/>
        <w:ind w:left="0" w:right="-734" w:firstLine="0"/>
        <w:jc w:val="both"/>
      </w:pPr>
      <w:r>
        <w:rPr>
          <w:rFonts w:ascii="Palatino Linotype" w:eastAsia="Palatino Linotype" w:hAnsi="Palatino Linotype" w:cs="Palatino Linotype"/>
          <w:color w:val="000000"/>
        </w:rPr>
        <w:t>Además, debemos tomar en cuenta los artículos 4 y 12, de la Ley de Transparencia y Acceso a la Información Pública del Estado de México y Municipios, los cuales establecen lo siguiente:</w:t>
      </w:r>
    </w:p>
    <w:p w14:paraId="3EFC091B" w14:textId="77777777" w:rsidR="00EB0024" w:rsidRDefault="00243095">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 </w:t>
      </w:r>
      <w:r>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65F61C42" w14:textId="77777777" w:rsidR="00EB0024" w:rsidRDefault="00EB0024">
      <w:pPr>
        <w:spacing w:line="360" w:lineRule="auto"/>
        <w:ind w:left="567" w:right="115"/>
        <w:jc w:val="both"/>
        <w:rPr>
          <w:rFonts w:ascii="Palatino Linotype" w:eastAsia="Palatino Linotype" w:hAnsi="Palatino Linotype" w:cs="Palatino Linotype"/>
          <w:i/>
          <w:sz w:val="22"/>
          <w:szCs w:val="22"/>
        </w:rPr>
      </w:pPr>
    </w:p>
    <w:p w14:paraId="2DA70CCF" w14:textId="77777777" w:rsidR="00EB0024" w:rsidRDefault="00243095">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Toda la información generada, obtenida, adquirida, transformada, administrada o en posesión de los sujetos obligados es pública y accesible de manera permanente a cualquier persona, en los </w:t>
      </w:r>
      <w:r>
        <w:rPr>
          <w:rFonts w:ascii="Palatino Linotype" w:eastAsia="Palatino Linotype" w:hAnsi="Palatino Linotype" w:cs="Palatino Linotype"/>
          <w:i/>
          <w:sz w:val="22"/>
          <w:szCs w:val="22"/>
        </w:rPr>
        <w:lastRenderedPageBreak/>
        <w:t>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CA32C33" w14:textId="77777777" w:rsidR="00EB0024" w:rsidRDefault="00EB0024">
      <w:pPr>
        <w:spacing w:line="360" w:lineRule="auto"/>
        <w:ind w:left="567" w:right="115"/>
        <w:jc w:val="both"/>
        <w:rPr>
          <w:rFonts w:ascii="Palatino Linotype" w:eastAsia="Palatino Linotype" w:hAnsi="Palatino Linotype" w:cs="Palatino Linotype"/>
          <w:i/>
          <w:sz w:val="22"/>
          <w:szCs w:val="22"/>
        </w:rPr>
      </w:pPr>
    </w:p>
    <w:p w14:paraId="1AE399EA" w14:textId="77777777" w:rsidR="00EB0024" w:rsidRDefault="00243095">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28946360" w14:textId="77777777" w:rsidR="00EB0024" w:rsidRDefault="00EB0024">
      <w:pPr>
        <w:spacing w:line="360" w:lineRule="auto"/>
        <w:ind w:right="115"/>
        <w:jc w:val="both"/>
        <w:rPr>
          <w:rFonts w:ascii="Palatino Linotype" w:eastAsia="Palatino Linotype" w:hAnsi="Palatino Linotype" w:cs="Palatino Linotype"/>
          <w:i/>
          <w:color w:val="000000"/>
          <w:sz w:val="22"/>
          <w:szCs w:val="22"/>
        </w:rPr>
      </w:pPr>
    </w:p>
    <w:p w14:paraId="5FB52AA5" w14:textId="77777777" w:rsidR="00EB0024" w:rsidRDefault="00243095">
      <w:pPr>
        <w:spacing w:line="360" w:lineRule="auto"/>
        <w:ind w:left="567"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12. </w:t>
      </w:r>
      <w:r>
        <w:rPr>
          <w:rFonts w:ascii="Palatino Linotype" w:eastAsia="Palatino Linotype" w:hAnsi="Palatino Linotype" w:cs="Palatino Linotype"/>
          <w:i/>
          <w:sz w:val="22"/>
          <w:szCs w:val="22"/>
        </w:rPr>
        <w:t xml:space="preserve">Quienes generen, recopilen, administren, manejen, procesen, archiven o conserven información pública serán responsables de la misma en los términos de las disposiciones jurídicas aplicables. </w:t>
      </w:r>
    </w:p>
    <w:p w14:paraId="4431F4CD" w14:textId="77777777" w:rsidR="00EB0024" w:rsidRDefault="00EB0024">
      <w:pPr>
        <w:spacing w:line="360" w:lineRule="auto"/>
        <w:ind w:left="567" w:right="115"/>
        <w:jc w:val="both"/>
        <w:rPr>
          <w:rFonts w:ascii="Palatino Linotype" w:eastAsia="Palatino Linotype" w:hAnsi="Palatino Linotype" w:cs="Palatino Linotype"/>
          <w:i/>
          <w:sz w:val="22"/>
          <w:szCs w:val="22"/>
        </w:rPr>
      </w:pPr>
    </w:p>
    <w:p w14:paraId="4B8935C9" w14:textId="77777777" w:rsidR="00EB0024" w:rsidRDefault="00243095">
      <w:pPr>
        <w:spacing w:line="360" w:lineRule="auto"/>
        <w:ind w:left="567" w:right="115"/>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w:t>
      </w:r>
      <w:r>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69E14DA3" w14:textId="77777777" w:rsidR="00EB0024" w:rsidRDefault="00EB0024">
      <w:pPr>
        <w:spacing w:line="360" w:lineRule="auto"/>
        <w:ind w:left="567" w:right="-734"/>
        <w:jc w:val="both"/>
        <w:rPr>
          <w:rFonts w:ascii="Palatino Linotype" w:eastAsia="Palatino Linotype" w:hAnsi="Palatino Linotype" w:cs="Palatino Linotype"/>
          <w:i/>
        </w:rPr>
      </w:pPr>
    </w:p>
    <w:p w14:paraId="036C5C75" w14:textId="77777777" w:rsidR="00EB0024" w:rsidRDefault="00243095">
      <w:pPr>
        <w:numPr>
          <w:ilvl w:val="0"/>
          <w:numId w:val="2"/>
        </w:numPr>
        <w:pBdr>
          <w:top w:val="nil"/>
          <w:left w:val="nil"/>
          <w:bottom w:val="nil"/>
          <w:right w:val="nil"/>
          <w:between w:val="nil"/>
        </w:pBdr>
        <w:tabs>
          <w:tab w:val="left" w:pos="851"/>
        </w:tabs>
        <w:spacing w:line="360" w:lineRule="auto"/>
        <w:ind w:left="0" w:right="-734" w:firstLine="0"/>
        <w:jc w:val="both"/>
        <w:rPr>
          <w:color w:val="000000"/>
        </w:rPr>
      </w:pPr>
      <w:r>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vertAlign w:val="superscript"/>
        </w:rPr>
        <w:footnoteReference w:id="2"/>
      </w:r>
      <w:r>
        <w:rPr>
          <w:rFonts w:ascii="Palatino Linotype" w:eastAsia="Palatino Linotype" w:hAnsi="Palatino Linotype" w:cs="Palatino Linotype"/>
          <w:color w:val="000000"/>
        </w:rPr>
        <w:t xml:space="preserve"> y máxima publicidad, </w:t>
      </w:r>
      <w:r>
        <w:rPr>
          <w:rFonts w:ascii="Palatino Linotype" w:eastAsia="Palatino Linotype" w:hAnsi="Palatino Linotype" w:cs="Palatino Linotype"/>
          <w:color w:val="000000"/>
        </w:rPr>
        <w:lastRenderedPageBreak/>
        <w:t>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6F2399BE" w14:textId="77777777" w:rsidR="00EB0024" w:rsidRDefault="00EB0024">
      <w:pPr>
        <w:pBdr>
          <w:top w:val="nil"/>
          <w:left w:val="nil"/>
          <w:bottom w:val="nil"/>
          <w:right w:val="nil"/>
          <w:between w:val="nil"/>
        </w:pBdr>
        <w:tabs>
          <w:tab w:val="left" w:pos="851"/>
        </w:tabs>
        <w:spacing w:line="360" w:lineRule="auto"/>
        <w:ind w:right="-734"/>
        <w:jc w:val="both"/>
        <w:rPr>
          <w:rFonts w:ascii="Palatino Linotype" w:eastAsia="Palatino Linotype" w:hAnsi="Palatino Linotype" w:cs="Palatino Linotype"/>
          <w:color w:val="000000"/>
        </w:rPr>
      </w:pPr>
    </w:p>
    <w:p w14:paraId="43CDF26D" w14:textId="77777777" w:rsidR="00EB0024" w:rsidRDefault="00243095">
      <w:pPr>
        <w:numPr>
          <w:ilvl w:val="0"/>
          <w:numId w:val="2"/>
        </w:numPr>
        <w:pBdr>
          <w:top w:val="nil"/>
          <w:left w:val="nil"/>
          <w:bottom w:val="nil"/>
          <w:right w:val="nil"/>
          <w:between w:val="nil"/>
        </w:pBdr>
        <w:tabs>
          <w:tab w:val="left" w:pos="851"/>
        </w:tabs>
        <w:spacing w:line="360" w:lineRule="auto"/>
        <w:ind w:left="0" w:right="-734" w:firstLine="0"/>
        <w:jc w:val="both"/>
        <w:rPr>
          <w:color w:val="000000"/>
        </w:rPr>
      </w:pPr>
      <w:r>
        <w:rPr>
          <w:rFonts w:ascii="Palatino Linotype" w:eastAsia="Palatino Linotype" w:hAnsi="Palatino Linotype" w:cs="Palatino Linotype"/>
          <w:color w:val="000000"/>
        </w:rPr>
        <w:t>Robustece lo anterior la Tesis aislada identificada con la clave I.</w:t>
      </w:r>
      <w:proofErr w:type="gramStart"/>
      <w:r>
        <w:rPr>
          <w:rFonts w:ascii="Palatino Linotype" w:eastAsia="Palatino Linotype" w:hAnsi="Palatino Linotype" w:cs="Palatino Linotype"/>
          <w:color w:val="000000"/>
        </w:rPr>
        <w:t>4º.A.</w:t>
      </w:r>
      <w:proofErr w:type="gramEnd"/>
      <w:r>
        <w:rPr>
          <w:rFonts w:ascii="Palatino Linotype" w:eastAsia="Palatino Linotype" w:hAnsi="Palatino Linotype" w:cs="Palatino Linotype"/>
          <w:color w:val="000000"/>
        </w:rPr>
        <w:t>40 A del Cuarto Tribunal colegiado en Materia Administrativa del Primer Circuito, publicada en el Seminario Judicial de la Federación y su Gaceta en el libro XVIII, Marzo 2013, Página 1899.</w:t>
      </w:r>
    </w:p>
    <w:p w14:paraId="4EDA28B9" w14:textId="77777777" w:rsidR="00EB0024" w:rsidRDefault="00243095">
      <w:pPr>
        <w:pBdr>
          <w:top w:val="nil"/>
          <w:left w:val="nil"/>
          <w:bottom w:val="nil"/>
          <w:right w:val="nil"/>
          <w:between w:val="nil"/>
        </w:pBdr>
        <w:tabs>
          <w:tab w:val="left" w:pos="851"/>
        </w:tabs>
        <w:spacing w:line="360" w:lineRule="auto"/>
        <w:ind w:left="567"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w:t>
      </w:r>
      <w:r>
        <w:rPr>
          <w:rFonts w:ascii="Palatino Linotype" w:eastAsia="Palatino Linotype" w:hAnsi="Palatino Linotype" w:cs="Palatino Linotype"/>
          <w:i/>
          <w:color w:val="000000"/>
          <w:sz w:val="22"/>
          <w:szCs w:val="22"/>
        </w:rPr>
        <w:lastRenderedPageBreak/>
        <w:t xml:space="preserve">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225914FB" w14:textId="77777777" w:rsidR="00EB0024" w:rsidRDefault="00EB0024">
      <w:pPr>
        <w:pBdr>
          <w:top w:val="nil"/>
          <w:left w:val="nil"/>
          <w:bottom w:val="nil"/>
          <w:right w:val="nil"/>
          <w:between w:val="nil"/>
        </w:pBdr>
        <w:tabs>
          <w:tab w:val="left" w:pos="851"/>
        </w:tabs>
        <w:spacing w:line="360" w:lineRule="auto"/>
        <w:ind w:left="567" w:right="257"/>
        <w:jc w:val="both"/>
        <w:rPr>
          <w:rFonts w:ascii="Palatino Linotype" w:eastAsia="Palatino Linotype" w:hAnsi="Palatino Linotype" w:cs="Palatino Linotype"/>
          <w:i/>
          <w:color w:val="000000"/>
          <w:sz w:val="22"/>
          <w:szCs w:val="22"/>
        </w:rPr>
      </w:pPr>
    </w:p>
    <w:p w14:paraId="4E869782" w14:textId="77777777" w:rsidR="00EB0024" w:rsidRDefault="00243095">
      <w:pPr>
        <w:pBdr>
          <w:top w:val="nil"/>
          <w:left w:val="nil"/>
          <w:bottom w:val="nil"/>
          <w:right w:val="nil"/>
          <w:between w:val="nil"/>
        </w:pBdr>
        <w:tabs>
          <w:tab w:val="left" w:pos="851"/>
        </w:tabs>
        <w:spacing w:line="360" w:lineRule="auto"/>
        <w:ind w:left="567"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CUARTO TRIBUNAL COLEGIADO EN MATERIA ADMINISTRATIVA DEL PRIMER CIRCUITO. </w:t>
      </w:r>
    </w:p>
    <w:p w14:paraId="1C6F2428" w14:textId="77777777" w:rsidR="00EB0024" w:rsidRDefault="00EB0024">
      <w:pPr>
        <w:pBdr>
          <w:top w:val="nil"/>
          <w:left w:val="nil"/>
          <w:bottom w:val="nil"/>
          <w:right w:val="nil"/>
          <w:between w:val="nil"/>
        </w:pBdr>
        <w:tabs>
          <w:tab w:val="left" w:pos="851"/>
        </w:tabs>
        <w:spacing w:line="360" w:lineRule="auto"/>
        <w:ind w:left="567" w:right="257"/>
        <w:jc w:val="both"/>
        <w:rPr>
          <w:rFonts w:ascii="Palatino Linotype" w:eastAsia="Palatino Linotype" w:hAnsi="Palatino Linotype" w:cs="Palatino Linotype"/>
          <w:i/>
          <w:color w:val="000000"/>
          <w:sz w:val="22"/>
          <w:szCs w:val="22"/>
        </w:rPr>
      </w:pPr>
    </w:p>
    <w:p w14:paraId="6ECAC268" w14:textId="77777777" w:rsidR="00EB0024" w:rsidRDefault="00243095">
      <w:pPr>
        <w:pBdr>
          <w:top w:val="nil"/>
          <w:left w:val="nil"/>
          <w:bottom w:val="nil"/>
          <w:right w:val="nil"/>
          <w:between w:val="nil"/>
        </w:pBdr>
        <w:tabs>
          <w:tab w:val="left" w:pos="851"/>
        </w:tabs>
        <w:spacing w:line="360" w:lineRule="auto"/>
        <w:ind w:left="567"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en revisión 257/2012. Ruth Corona Muñoz. 6 de diciembre de 2012. Unanimidad de votos. Ponente: Jean Claude Tron Petit. Secretaria: Mayra Susana Martínez López.</w:t>
      </w:r>
    </w:p>
    <w:p w14:paraId="7391129A" w14:textId="77777777" w:rsidR="00EB0024" w:rsidRDefault="00EB0024">
      <w:pPr>
        <w:pBdr>
          <w:top w:val="nil"/>
          <w:left w:val="nil"/>
          <w:bottom w:val="nil"/>
          <w:right w:val="nil"/>
          <w:between w:val="nil"/>
        </w:pBdr>
        <w:spacing w:line="360" w:lineRule="auto"/>
        <w:ind w:left="720" w:right="257"/>
        <w:rPr>
          <w:rFonts w:ascii="Palatino Linotype" w:eastAsia="Palatino Linotype" w:hAnsi="Palatino Linotype" w:cs="Palatino Linotype"/>
          <w:color w:val="000000"/>
          <w:sz w:val="22"/>
          <w:szCs w:val="22"/>
        </w:rPr>
      </w:pPr>
    </w:p>
    <w:p w14:paraId="1F83A3D8" w14:textId="77777777" w:rsidR="00EB0024" w:rsidRDefault="00243095">
      <w:pPr>
        <w:numPr>
          <w:ilvl w:val="0"/>
          <w:numId w:val="2"/>
        </w:numPr>
        <w:pBdr>
          <w:top w:val="nil"/>
          <w:left w:val="nil"/>
          <w:bottom w:val="nil"/>
          <w:right w:val="nil"/>
          <w:between w:val="nil"/>
        </w:pBdr>
        <w:tabs>
          <w:tab w:val="left" w:pos="851"/>
        </w:tabs>
        <w:spacing w:after="240" w:line="360" w:lineRule="auto"/>
        <w:ind w:left="0" w:right="-734" w:firstLine="0"/>
        <w:jc w:val="both"/>
        <w:rPr>
          <w:color w:val="000000"/>
        </w:rPr>
      </w:pPr>
      <w:r>
        <w:rPr>
          <w:rFonts w:ascii="Palatino Linotype" w:eastAsia="Palatino Linotype" w:hAnsi="Palatino Linotype" w:cs="Palatino Linotype"/>
          <w:color w:val="000000"/>
        </w:rPr>
        <w:t xml:space="preserve">El derecho de acceso a la información encuentra su materia elemental en los documentos, y la Ley de Transparencia </w:t>
      </w:r>
      <w:proofErr w:type="gramStart"/>
      <w:r>
        <w:rPr>
          <w:rFonts w:ascii="Palatino Linotype" w:eastAsia="Palatino Linotype" w:hAnsi="Palatino Linotype" w:cs="Palatino Linotype"/>
          <w:color w:val="000000"/>
        </w:rPr>
        <w:t>local  nos</w:t>
      </w:r>
      <w:proofErr w:type="gramEnd"/>
      <w:r>
        <w:rPr>
          <w:rFonts w:ascii="Palatino Linotype" w:eastAsia="Palatino Linotype" w:hAnsi="Palatino Linotype" w:cs="Palatino Linotype"/>
          <w:color w:val="000000"/>
        </w:rPr>
        <w:t xml:space="preserve"> brinda el siguiente concepto, para darnos un mejor panorama:</w:t>
      </w:r>
    </w:p>
    <w:p w14:paraId="18315FBA" w14:textId="77777777" w:rsidR="00EB0024" w:rsidRDefault="00243095">
      <w:pPr>
        <w:spacing w:line="360" w:lineRule="auto"/>
        <w:ind w:left="567" w:right="39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Documento: </w:t>
      </w:r>
      <w:r>
        <w:rPr>
          <w:rFonts w:ascii="Palatino Linotype" w:eastAsia="Palatino Linotype" w:hAnsi="Palatino Linotype" w:cs="Palatino Linotype"/>
          <w:i/>
          <w:sz w:val="22"/>
          <w:szCs w:val="22"/>
        </w:rPr>
        <w:t xml:space="preserve">Los expedientes, reportes, estudios, actas, resoluciones, oficios, correspondencia, acuerdos, directivas, directrices, circulares, contratos, convenios, instructivos, notas, memorandos, estadísticas o bien, </w:t>
      </w:r>
      <w:r>
        <w:rPr>
          <w:rFonts w:ascii="Palatino Linotype" w:eastAsia="Palatino Linotype" w:hAnsi="Palatino Linotype" w:cs="Palatino Linotype"/>
          <w:b/>
          <w:i/>
          <w:sz w:val="22"/>
          <w:szCs w:val="22"/>
        </w:rPr>
        <w:t>cualquier otro registro</w:t>
      </w:r>
      <w:r>
        <w:rPr>
          <w:rFonts w:ascii="Palatino Linotype" w:eastAsia="Palatino Linotype" w:hAnsi="Palatino Linotype" w:cs="Palatino Linotype"/>
          <w:i/>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w:t>
      </w:r>
      <w:proofErr w:type="gramStart"/>
      <w:r>
        <w:rPr>
          <w:rFonts w:ascii="Palatino Linotype" w:eastAsia="Palatino Linotype" w:hAnsi="Palatino Linotype" w:cs="Palatino Linotype"/>
          <w:i/>
          <w:sz w:val="22"/>
          <w:szCs w:val="22"/>
        </w:rPr>
        <w:t>impreso,  sonoro</w:t>
      </w:r>
      <w:proofErr w:type="gramEnd"/>
      <w:r>
        <w:rPr>
          <w:rFonts w:ascii="Palatino Linotype" w:eastAsia="Palatino Linotype" w:hAnsi="Palatino Linotype" w:cs="Palatino Linotype"/>
          <w:i/>
          <w:sz w:val="22"/>
          <w:szCs w:val="22"/>
        </w:rPr>
        <w:t>, visual, electrónico, informático u holográfico;</w:t>
      </w:r>
    </w:p>
    <w:p w14:paraId="39321646" w14:textId="77777777" w:rsidR="00EB0024" w:rsidRDefault="00EB0024">
      <w:pPr>
        <w:pBdr>
          <w:top w:val="nil"/>
          <w:left w:val="nil"/>
          <w:bottom w:val="nil"/>
          <w:right w:val="nil"/>
          <w:between w:val="nil"/>
        </w:pBdr>
        <w:tabs>
          <w:tab w:val="left" w:pos="851"/>
        </w:tabs>
        <w:spacing w:line="360" w:lineRule="auto"/>
        <w:ind w:right="-734"/>
        <w:jc w:val="both"/>
        <w:rPr>
          <w:rFonts w:ascii="Palatino Linotype" w:eastAsia="Palatino Linotype" w:hAnsi="Palatino Linotype" w:cs="Palatino Linotype"/>
          <w:color w:val="000000"/>
        </w:rPr>
      </w:pPr>
    </w:p>
    <w:p w14:paraId="518D3BA4" w14:textId="77777777" w:rsidR="00EB0024" w:rsidRDefault="00243095">
      <w:pPr>
        <w:numPr>
          <w:ilvl w:val="0"/>
          <w:numId w:val="2"/>
        </w:numPr>
        <w:pBdr>
          <w:top w:val="nil"/>
          <w:left w:val="nil"/>
          <w:bottom w:val="nil"/>
          <w:right w:val="nil"/>
          <w:between w:val="nil"/>
        </w:pBdr>
        <w:tabs>
          <w:tab w:val="left" w:pos="851"/>
        </w:tabs>
        <w:spacing w:line="360" w:lineRule="auto"/>
        <w:ind w:left="0" w:right="-734" w:firstLine="0"/>
        <w:jc w:val="both"/>
        <w:rPr>
          <w:color w:val="000000"/>
        </w:rPr>
      </w:pPr>
      <w:r>
        <w:rPr>
          <w:rFonts w:ascii="Palatino Linotype" w:eastAsia="Palatino Linotype" w:hAnsi="Palatino Linotype" w:cs="Palatino Linotype"/>
          <w:color w:val="000000"/>
        </w:rPr>
        <w:lastRenderedPageBreak/>
        <w:t xml:space="preserve">Es así que, todos los actos de autoridad que realicen los Sujetos </w:t>
      </w:r>
      <w:r>
        <w:rPr>
          <w:rFonts w:ascii="Palatino Linotype" w:eastAsia="Palatino Linotype" w:hAnsi="Palatino Linotype" w:cs="Palatino Linotype"/>
          <w:b/>
          <w:color w:val="000000"/>
        </w:rPr>
        <w:t>Obligados deben estar documentados y, bajo el más alto estándar de transparencia</w:t>
      </w:r>
      <w:r>
        <w:rPr>
          <w:rFonts w:ascii="Palatino Linotype" w:eastAsia="Palatino Linotype" w:hAnsi="Palatino Linotype" w:cs="Palatino Linotype"/>
          <w:color w:val="000000"/>
        </w:rPr>
        <w:t xml:space="preserve"> deberán poner toda la información que se encuentre en su posesión, a disposición de los particulares que la soliciten.</w:t>
      </w:r>
    </w:p>
    <w:p w14:paraId="3235F5F8" w14:textId="77777777" w:rsidR="00EB0024" w:rsidRDefault="00EB0024">
      <w:pPr>
        <w:spacing w:line="360" w:lineRule="auto"/>
        <w:ind w:right="-734"/>
        <w:jc w:val="both"/>
        <w:rPr>
          <w:rFonts w:ascii="Palatino Linotype" w:eastAsia="Palatino Linotype" w:hAnsi="Palatino Linotype" w:cs="Palatino Linotype"/>
          <w:i/>
        </w:rPr>
      </w:pPr>
    </w:p>
    <w:p w14:paraId="5B29FA71" w14:textId="77777777" w:rsidR="00EB0024" w:rsidRDefault="00243095">
      <w:pPr>
        <w:numPr>
          <w:ilvl w:val="0"/>
          <w:numId w:val="2"/>
        </w:numPr>
        <w:spacing w:line="360" w:lineRule="auto"/>
        <w:ind w:left="0" w:right="-734" w:firstLine="0"/>
        <w:jc w:val="both"/>
      </w:pPr>
      <w:r>
        <w:rPr>
          <w:rFonts w:ascii="Palatino Linotype" w:eastAsia="Palatino Linotype" w:hAnsi="Palatino Linotype" w:cs="Palatino Linotype"/>
        </w:rPr>
        <w:t>En este sentido, podemos advertir que la información requerida por el Recurrente es relativa a las adquisiciones del periodo de 2022, por lo que se estima que es información pública de oficio y que debe poseer el Sujeto Obligado en el ejercicio de sus atribuciones y que debería estar publicada en su portal o página electrónica con el fin de transparentar los recursos públicos y promover la rendición de cuentas. Así, de conformidad con la Ley de Transparencia Local, el Sujeto Obligado debe atender a las obligaciones comunes de transparencia, tal cual lo señala el artículo 92, fracción XXIX, que a la letra dice:</w:t>
      </w:r>
    </w:p>
    <w:p w14:paraId="7479A899" w14:textId="77777777" w:rsidR="00EB0024" w:rsidRDefault="00EB0024">
      <w:pPr>
        <w:pBdr>
          <w:top w:val="nil"/>
          <w:left w:val="nil"/>
          <w:bottom w:val="nil"/>
          <w:right w:val="nil"/>
          <w:between w:val="nil"/>
        </w:pBdr>
        <w:ind w:left="720" w:right="-734"/>
        <w:rPr>
          <w:rFonts w:ascii="Palatino Linotype" w:eastAsia="Palatino Linotype" w:hAnsi="Palatino Linotype" w:cs="Palatino Linotype"/>
          <w:color w:val="000000"/>
        </w:rPr>
      </w:pPr>
    </w:p>
    <w:p w14:paraId="7A45F6D5" w14:textId="77777777" w:rsidR="00EB0024" w:rsidRDefault="00243095">
      <w:pPr>
        <w:spacing w:line="360" w:lineRule="auto"/>
        <w:ind w:left="141" w:right="3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691B2FF4" w14:textId="77777777" w:rsidR="00EB0024" w:rsidRDefault="00243095">
      <w:pPr>
        <w:spacing w:line="360" w:lineRule="auto"/>
        <w:ind w:left="141" w:right="399"/>
        <w:jc w:val="both"/>
        <w:rPr>
          <w:rFonts w:ascii="Palatino Linotype" w:eastAsia="Palatino Linotype" w:hAnsi="Palatino Linotype" w:cs="Palatino Linotype"/>
          <w:i/>
          <w:sz w:val="22"/>
          <w:szCs w:val="22"/>
        </w:rPr>
      </w:pPr>
      <w:proofErr w:type="spellStart"/>
      <w:r>
        <w:rPr>
          <w:rFonts w:ascii="Palatino Linotype" w:eastAsia="Palatino Linotype" w:hAnsi="Palatino Linotype" w:cs="Palatino Linotype"/>
          <w:i/>
          <w:sz w:val="22"/>
          <w:szCs w:val="22"/>
        </w:rPr>
        <w:t>I.La</w:t>
      </w:r>
      <w:proofErr w:type="spellEnd"/>
      <w:r>
        <w:rPr>
          <w:rFonts w:ascii="Palatino Linotype" w:eastAsia="Palatino Linotype" w:hAnsi="Palatino Linotype" w:cs="Palatino Linotype"/>
          <w:i/>
          <w:sz w:val="22"/>
          <w:szCs w:val="22"/>
        </w:rPr>
        <w:t xml:space="preserve">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w:t>
      </w:r>
    </w:p>
    <w:p w14:paraId="530B971B" w14:textId="77777777" w:rsidR="00EB0024" w:rsidRDefault="00243095">
      <w:pPr>
        <w:spacing w:line="360" w:lineRule="auto"/>
        <w:ind w:left="141" w:right="3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 … </w:t>
      </w:r>
    </w:p>
    <w:p w14:paraId="7EB0BD1F" w14:textId="77777777" w:rsidR="00EB0024" w:rsidRDefault="00243095">
      <w:pPr>
        <w:spacing w:line="360" w:lineRule="auto"/>
        <w:ind w:left="141" w:right="3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b) De las adjudicaciones directas: </w:t>
      </w:r>
    </w:p>
    <w:p w14:paraId="5D54580E" w14:textId="77777777" w:rsidR="00EB0024" w:rsidRDefault="00243095">
      <w:pPr>
        <w:spacing w:line="360" w:lineRule="auto"/>
        <w:ind w:left="141" w:right="3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 La propuesta enviada por el participante; </w:t>
      </w:r>
    </w:p>
    <w:p w14:paraId="07C2EC6D" w14:textId="77777777" w:rsidR="00EB0024" w:rsidRDefault="00243095">
      <w:pPr>
        <w:spacing w:line="360" w:lineRule="auto"/>
        <w:ind w:left="141" w:right="3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 Los motivos y fundamentos legales aplicados para llevarla a cabo; </w:t>
      </w:r>
    </w:p>
    <w:p w14:paraId="5BF4D52E" w14:textId="77777777" w:rsidR="00EB0024" w:rsidRDefault="00243095">
      <w:pPr>
        <w:spacing w:line="360" w:lineRule="auto"/>
        <w:ind w:left="141" w:right="3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3) La autorización del ejercicio de la opción; </w:t>
      </w:r>
    </w:p>
    <w:p w14:paraId="5AA33FC5" w14:textId="77777777" w:rsidR="00EB0024" w:rsidRDefault="00243095">
      <w:pPr>
        <w:spacing w:line="360" w:lineRule="auto"/>
        <w:ind w:left="141" w:right="3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4) En su caso, las cotizaciones consideradas, especificando los nombres de los proveedores y sus montos; </w:t>
      </w:r>
    </w:p>
    <w:p w14:paraId="43D23E49" w14:textId="77777777" w:rsidR="00EB0024" w:rsidRDefault="00243095">
      <w:pPr>
        <w:spacing w:line="360" w:lineRule="auto"/>
        <w:ind w:left="141" w:right="3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5) El nombre de la persona física o jurídica colectiva adjudicada; </w:t>
      </w:r>
    </w:p>
    <w:p w14:paraId="73AC4890" w14:textId="77777777" w:rsidR="00EB0024" w:rsidRDefault="00243095">
      <w:pPr>
        <w:spacing w:line="360" w:lineRule="auto"/>
        <w:ind w:left="141" w:right="3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6) La unidad administrativa solicitante y la responsable de su ejecución; </w:t>
      </w:r>
    </w:p>
    <w:p w14:paraId="3368B88B" w14:textId="77777777" w:rsidR="00EB0024" w:rsidRDefault="00243095">
      <w:pPr>
        <w:spacing w:line="360" w:lineRule="auto"/>
        <w:ind w:left="141" w:right="3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7) El número, fecha, el monto del contrato y el plazo de entrega o de ejecución de los servicios u obra; </w:t>
      </w:r>
    </w:p>
    <w:p w14:paraId="537C8CA1" w14:textId="77777777" w:rsidR="00EB0024" w:rsidRDefault="00243095">
      <w:pPr>
        <w:spacing w:line="360" w:lineRule="auto"/>
        <w:ind w:left="141" w:right="3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8) Los mecanismos de vigilancia y supervisión, incluyendo, en su caso, los estudios de impacto urbano y ambiental, según corresponda; </w:t>
      </w:r>
    </w:p>
    <w:p w14:paraId="6C2BD80C" w14:textId="77777777" w:rsidR="00EB0024" w:rsidRDefault="00243095">
      <w:pPr>
        <w:spacing w:line="360" w:lineRule="auto"/>
        <w:ind w:left="141" w:right="3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9) Los informes de avance sobre las obras o servicios contratados; </w:t>
      </w:r>
    </w:p>
    <w:p w14:paraId="690C4336" w14:textId="77777777" w:rsidR="00EB0024" w:rsidRDefault="00243095">
      <w:pPr>
        <w:spacing w:line="360" w:lineRule="auto"/>
        <w:ind w:left="141" w:right="3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10) El convenio de terminación; y </w:t>
      </w:r>
    </w:p>
    <w:p w14:paraId="167B5C64" w14:textId="77777777" w:rsidR="00EB0024" w:rsidRDefault="00243095">
      <w:pPr>
        <w:spacing w:line="360" w:lineRule="auto"/>
        <w:ind w:left="141" w:right="3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11) El finiquito.</w:t>
      </w:r>
    </w:p>
    <w:p w14:paraId="15941FC7" w14:textId="77777777" w:rsidR="00EB0024" w:rsidRDefault="00EB0024">
      <w:pPr>
        <w:spacing w:line="360" w:lineRule="auto"/>
        <w:ind w:left="851" w:right="-734"/>
        <w:jc w:val="both"/>
        <w:rPr>
          <w:rFonts w:ascii="Palatino Linotype" w:eastAsia="Palatino Linotype" w:hAnsi="Palatino Linotype" w:cs="Palatino Linotype"/>
          <w:i/>
        </w:rPr>
      </w:pPr>
    </w:p>
    <w:p w14:paraId="6E93D8A7" w14:textId="77777777" w:rsidR="00EB0024" w:rsidRDefault="00243095">
      <w:pPr>
        <w:numPr>
          <w:ilvl w:val="0"/>
          <w:numId w:val="2"/>
        </w:numPr>
        <w:spacing w:line="360" w:lineRule="auto"/>
        <w:ind w:left="0" w:right="-734" w:firstLine="0"/>
        <w:jc w:val="both"/>
      </w:pPr>
      <w:r>
        <w:rPr>
          <w:rFonts w:ascii="Palatino Linotype" w:eastAsia="Palatino Linotype" w:hAnsi="Palatino Linotype" w:cs="Palatino Linotype"/>
        </w:rPr>
        <w:t>Con fundamento en lo anterior, la Ley de Contratación Pública del Estado de México y Municipios, tiene por objeto regular los actos relativos a la planeación, programación, presupuestarían, ejecución y control de la adquisición, enajenación y arrendamiento de bienes, y la contratación de servicios de cualquier naturaleza.</w:t>
      </w:r>
    </w:p>
    <w:p w14:paraId="38EB63D2" w14:textId="77777777" w:rsidR="00EB0024" w:rsidRDefault="00EB0024">
      <w:pPr>
        <w:spacing w:line="360" w:lineRule="auto"/>
        <w:ind w:right="-734"/>
        <w:jc w:val="both"/>
        <w:rPr>
          <w:rFonts w:ascii="Palatino Linotype" w:eastAsia="Palatino Linotype" w:hAnsi="Palatino Linotype" w:cs="Palatino Linotype"/>
        </w:rPr>
      </w:pPr>
    </w:p>
    <w:p w14:paraId="39615185" w14:textId="77777777" w:rsidR="00EB0024" w:rsidRDefault="00243095">
      <w:pPr>
        <w:numPr>
          <w:ilvl w:val="0"/>
          <w:numId w:val="2"/>
        </w:numPr>
        <w:spacing w:line="360" w:lineRule="auto"/>
        <w:ind w:left="0" w:right="-734" w:firstLine="0"/>
        <w:jc w:val="both"/>
      </w:pPr>
      <w:r>
        <w:rPr>
          <w:rFonts w:ascii="Palatino Linotype" w:eastAsia="Palatino Linotype" w:hAnsi="Palatino Linotype" w:cs="Palatino Linotype"/>
        </w:rPr>
        <w:t>Por otro lado,  no pasa desapercibido para este Órgano Garante que, la Directora de Administración señaló que la información solicitada es reservada, es decir, no negó contar con la información solicitada, por el contrario asumió contar con ella, tan es así que señaló que se encuentran en un proceso de auditoría por el Órgano Superior de Fiscalización del Estado de México y la Auditoría Superior de Fiscalización, en razón de ello, adjuntó el Acta de la Quinta Sesión Extraordinaria del Comité de Transparencia, en la que se aprobó dicha clasificación como reservada de la información.</w:t>
      </w:r>
    </w:p>
    <w:p w14:paraId="65813A2C" w14:textId="77777777" w:rsidR="00EB0024" w:rsidRDefault="00EB0024">
      <w:pPr>
        <w:spacing w:line="360" w:lineRule="auto"/>
        <w:ind w:right="-734"/>
        <w:jc w:val="both"/>
        <w:rPr>
          <w:rFonts w:ascii="Palatino Linotype" w:eastAsia="Palatino Linotype" w:hAnsi="Palatino Linotype" w:cs="Palatino Linotype"/>
        </w:rPr>
      </w:pPr>
    </w:p>
    <w:p w14:paraId="29A1A88A" w14:textId="77777777" w:rsidR="00EB0024" w:rsidRDefault="00243095">
      <w:pPr>
        <w:numPr>
          <w:ilvl w:val="0"/>
          <w:numId w:val="2"/>
        </w:numPr>
        <w:spacing w:line="360" w:lineRule="auto"/>
        <w:ind w:left="0" w:right="-734" w:firstLine="0"/>
        <w:jc w:val="both"/>
      </w:pPr>
      <w:r>
        <w:rPr>
          <w:rFonts w:ascii="Palatino Linotype" w:eastAsia="Palatino Linotype" w:hAnsi="Palatino Linotype" w:cs="Palatino Linotype"/>
        </w:rPr>
        <w:lastRenderedPageBreak/>
        <w:t>En otras palabras, la clasificación y la inexistencia se excluyen entre sí, por tanto, si en el presente caso, el Sujeto Obligado negó la entrega de la información, está reconociendo implícitamente que los mismos obran en sus archivos. Tiene aplicación al respecto, el criterio 29/10 sostenido por el Instituto Nacional de Transparencia, Acceso a la Información y Protección de Datos Personales, mismo que se señala lo siguiente:</w:t>
      </w:r>
    </w:p>
    <w:p w14:paraId="39CB87F5" w14:textId="77777777" w:rsidR="00EB0024" w:rsidRDefault="00243095">
      <w:pPr>
        <w:pBdr>
          <w:top w:val="nil"/>
          <w:left w:val="nil"/>
          <w:bottom w:val="nil"/>
          <w:right w:val="nil"/>
          <w:between w:val="nil"/>
        </w:pBdr>
        <w:spacing w:line="276" w:lineRule="auto"/>
        <w:ind w:left="851"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La clasificación y la inexistencia de información son conceptos que no pueden coexistir. </w:t>
      </w:r>
      <w:r>
        <w:rPr>
          <w:rFonts w:ascii="Palatino Linotype" w:eastAsia="Palatino Linotype" w:hAnsi="Palatino Linotype" w:cs="Palatino Linotype"/>
          <w:i/>
          <w:color w:val="000000"/>
          <w:sz w:val="22"/>
          <w:szCs w:val="22"/>
        </w:rPr>
        <w:t xml:space="preserve">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w:t>
      </w:r>
      <w:proofErr w:type="gramStart"/>
      <w:r>
        <w:rPr>
          <w:rFonts w:ascii="Palatino Linotype" w:eastAsia="Palatino Linotype" w:hAnsi="Palatino Linotype" w:cs="Palatino Linotype"/>
          <w:i/>
          <w:color w:val="000000"/>
          <w:sz w:val="22"/>
          <w:szCs w:val="22"/>
        </w:rPr>
        <w:t>contenida  en</w:t>
      </w:r>
      <w:proofErr w:type="gramEnd"/>
      <w:r>
        <w:rPr>
          <w:rFonts w:ascii="Palatino Linotype" w:eastAsia="Palatino Linotype" w:hAnsi="Palatino Linotype" w:cs="Palatino Linotype"/>
          <w:i/>
          <w:color w:val="000000"/>
          <w:sz w:val="22"/>
          <w:szCs w:val="22"/>
        </w:rPr>
        <w:t xml:space="preserve">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p>
    <w:p w14:paraId="502B82F7" w14:textId="77777777" w:rsidR="00EB0024" w:rsidRDefault="00EB0024">
      <w:pPr>
        <w:pBdr>
          <w:top w:val="nil"/>
          <w:left w:val="nil"/>
          <w:bottom w:val="nil"/>
          <w:right w:val="nil"/>
          <w:between w:val="nil"/>
        </w:pBdr>
        <w:spacing w:line="360" w:lineRule="auto"/>
        <w:ind w:right="-734"/>
        <w:jc w:val="both"/>
        <w:rPr>
          <w:rFonts w:ascii="Palatino Linotype" w:eastAsia="Palatino Linotype" w:hAnsi="Palatino Linotype" w:cs="Palatino Linotype"/>
          <w:i/>
          <w:color w:val="000000"/>
        </w:rPr>
      </w:pPr>
    </w:p>
    <w:p w14:paraId="304C2A14" w14:textId="77777777" w:rsidR="00EB0024" w:rsidRDefault="00243095">
      <w:pPr>
        <w:numPr>
          <w:ilvl w:val="0"/>
          <w:numId w:val="2"/>
        </w:numPr>
        <w:spacing w:line="360" w:lineRule="auto"/>
        <w:ind w:left="0" w:right="-734" w:firstLine="0"/>
        <w:jc w:val="both"/>
      </w:pPr>
      <w:r>
        <w:rPr>
          <w:rFonts w:ascii="Palatino Linotype" w:eastAsia="Palatino Linotype" w:hAnsi="Palatino Linotype" w:cs="Palatino Linotype"/>
        </w:rPr>
        <w:t xml:space="preserve">Ahora bien, en razón de la pretendida clasificación de la información por parte del Sujeto Obligado, es importante señalar que la clasificación total o parcial de la información requerida mediante solicitud de acceso a la información pública, constituye una restricción al derecho humano de acceso a la información. </w:t>
      </w:r>
    </w:p>
    <w:p w14:paraId="74F70DC4" w14:textId="77777777" w:rsidR="00EB0024" w:rsidRDefault="00EB0024">
      <w:pPr>
        <w:spacing w:line="360" w:lineRule="auto"/>
        <w:ind w:right="-734"/>
        <w:jc w:val="both"/>
        <w:rPr>
          <w:rFonts w:ascii="Palatino Linotype" w:eastAsia="Palatino Linotype" w:hAnsi="Palatino Linotype" w:cs="Palatino Linotype"/>
        </w:rPr>
      </w:pPr>
    </w:p>
    <w:p w14:paraId="44D80380" w14:textId="77777777" w:rsidR="00EB0024" w:rsidRDefault="00243095">
      <w:pPr>
        <w:numPr>
          <w:ilvl w:val="0"/>
          <w:numId w:val="2"/>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Así, en los artículos 122, 128 y 130 de la Ley de la materia, se prevé que </w:t>
      </w:r>
      <w:r>
        <w:rPr>
          <w:rFonts w:ascii="Palatino Linotype" w:eastAsia="Palatino Linotype" w:hAnsi="Palatino Linotype" w:cs="Palatino Linotype"/>
          <w:b/>
          <w:color w:val="000000"/>
        </w:rPr>
        <w:t xml:space="preserve">la clasificación </w:t>
      </w:r>
      <w:r>
        <w:rPr>
          <w:rFonts w:ascii="Palatino Linotype" w:eastAsia="Palatino Linotype" w:hAnsi="Palatino Linotype" w:cs="Palatino Linotype"/>
          <w:color w:val="000000"/>
        </w:rPr>
        <w:t xml:space="preserve">es el proceso mediante el cual el Sujeto Obligado determina que la información en su poder, actualiza alguno de los supuestos de reserva o confidencialidad. Además, que dichos entes </w:t>
      </w:r>
      <w:r>
        <w:rPr>
          <w:rFonts w:ascii="Palatino Linotype" w:eastAsia="Palatino Linotype" w:hAnsi="Palatino Linotype" w:cs="Palatino Linotype"/>
          <w:color w:val="000000"/>
        </w:rPr>
        <w:lastRenderedPageBreak/>
        <w:t xml:space="preserve">deberán aplicar de manera restrictiva y limitada, las excepciones al derecho de acceso a la información, por lo que, tendrán que acreditar la procedencia. </w:t>
      </w:r>
    </w:p>
    <w:p w14:paraId="2E0B2389" w14:textId="77777777" w:rsidR="00EB0024" w:rsidRDefault="00EB0024">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7C5F1708" w14:textId="77777777" w:rsidR="00EB0024" w:rsidRDefault="00243095">
      <w:pPr>
        <w:numPr>
          <w:ilvl w:val="0"/>
          <w:numId w:val="2"/>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Asimismo, en los casos en que se niegue el acceso a la información, por actualizarse alguno de los supuestos de clasificación, </w:t>
      </w:r>
      <w:r>
        <w:rPr>
          <w:rFonts w:ascii="Palatino Linotype" w:eastAsia="Palatino Linotype" w:hAnsi="Palatino Linotype" w:cs="Palatino Linotype"/>
          <w:b/>
          <w:color w:val="000000"/>
        </w:rPr>
        <w:t xml:space="preserve">el Comité de Transparencia deberá confirmar, modificar o revocar la decisión; </w:t>
      </w:r>
      <w:r>
        <w:rPr>
          <w:rFonts w:ascii="Palatino Linotype" w:eastAsia="Palatino Linotype" w:hAnsi="Palatino Linotype" w:cs="Palatino Linotype"/>
          <w:color w:val="000000"/>
        </w:rPr>
        <w:t>por lo que deberá motivar la confirmación de dicha situación, señalando las razones, motivos o circunstancias especiales que llevaron al sujeto obligado a concluir que en el caso particular se ajusta al supuesto previsto por la norma legal invocada como fundamento.</w:t>
      </w:r>
    </w:p>
    <w:p w14:paraId="67038D0F" w14:textId="77777777" w:rsidR="00EB0024" w:rsidRDefault="00EB0024">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0E475BBC" w14:textId="77777777" w:rsidR="00EB0024" w:rsidRDefault="00243095">
      <w:pPr>
        <w:numPr>
          <w:ilvl w:val="0"/>
          <w:numId w:val="2"/>
        </w:numPr>
        <w:spacing w:line="360" w:lineRule="auto"/>
        <w:ind w:left="0" w:right="-734" w:firstLine="0"/>
        <w:jc w:val="both"/>
      </w:pPr>
      <w:r>
        <w:rPr>
          <w:rFonts w:ascii="Palatino Linotype" w:eastAsia="Palatino Linotype" w:hAnsi="Palatino Linotype" w:cs="Palatino Linotype"/>
        </w:rPr>
        <w:t>En los artículos 131 y 105 segundo párrafo de la Ley Estatal y de la Ley General respectivamente, y el lineamiento sexagésimo segundo de los Lineamientos Generales, establecen que la carga de la prueba, para justificar las restricciones, corresponde a los sujetos obligados, por lo que deberán fundar y motivar debidamente la clasificación.</w:t>
      </w:r>
    </w:p>
    <w:p w14:paraId="6296E242" w14:textId="77777777" w:rsidR="00EB0024" w:rsidRDefault="00EB0024">
      <w:pPr>
        <w:spacing w:line="360" w:lineRule="auto"/>
        <w:ind w:right="-734"/>
        <w:jc w:val="both"/>
        <w:rPr>
          <w:rFonts w:ascii="Palatino Linotype" w:eastAsia="Palatino Linotype" w:hAnsi="Palatino Linotype" w:cs="Palatino Linotype"/>
        </w:rPr>
      </w:pPr>
    </w:p>
    <w:p w14:paraId="5172E933" w14:textId="77777777" w:rsidR="00EB0024" w:rsidRDefault="00243095">
      <w:pPr>
        <w:numPr>
          <w:ilvl w:val="0"/>
          <w:numId w:val="2"/>
        </w:numPr>
        <w:spacing w:line="360" w:lineRule="auto"/>
        <w:ind w:left="0" w:right="-734" w:firstLine="0"/>
        <w:jc w:val="both"/>
      </w:pPr>
      <w:r>
        <w:rPr>
          <w:rFonts w:ascii="Palatino Linotype" w:eastAsia="Palatino Linotype" w:hAnsi="Palatino Linotype" w:cs="Palatino Linotype"/>
        </w:rPr>
        <w:t>De lo anterior, se desprende que, para una correcta clasificación total o parcial,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0692098" w14:textId="77777777" w:rsidR="00EB0024" w:rsidRDefault="00EB0024">
      <w:pPr>
        <w:pBdr>
          <w:top w:val="nil"/>
          <w:left w:val="nil"/>
          <w:bottom w:val="nil"/>
          <w:right w:val="nil"/>
          <w:between w:val="nil"/>
        </w:pBdr>
        <w:ind w:left="720" w:right="-734"/>
        <w:rPr>
          <w:rFonts w:ascii="Palatino Linotype" w:eastAsia="Palatino Linotype" w:hAnsi="Palatino Linotype" w:cs="Palatino Linotype"/>
          <w:color w:val="000000"/>
        </w:rPr>
      </w:pPr>
    </w:p>
    <w:p w14:paraId="1C14439C" w14:textId="77777777" w:rsidR="00EB0024" w:rsidRDefault="00243095">
      <w:pPr>
        <w:numPr>
          <w:ilvl w:val="0"/>
          <w:numId w:val="2"/>
        </w:numPr>
        <w:spacing w:line="360" w:lineRule="auto"/>
        <w:ind w:left="0" w:right="-734" w:firstLine="0"/>
        <w:jc w:val="both"/>
      </w:pPr>
      <w:r>
        <w:rPr>
          <w:rFonts w:ascii="Palatino Linotype" w:eastAsia="Palatino Linotype" w:hAnsi="Palatino Linotype" w:cs="Palatino Linotype"/>
        </w:rPr>
        <w:t>Por su parte, el intérprete judicial del país ha establecido una jurisprudencia respecto a qué debe entenderse por fundamentación y motivación, en los siguientes términos:</w:t>
      </w:r>
    </w:p>
    <w:p w14:paraId="507269B9" w14:textId="77777777" w:rsidR="00EB0024" w:rsidRDefault="00243095">
      <w:pPr>
        <w:spacing w:line="360" w:lineRule="auto"/>
        <w:ind w:left="851"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FUNDAMENTACIÓN Y MOTIVACIÓN.</w:t>
      </w:r>
      <w:r>
        <w:rPr>
          <w:rFonts w:ascii="Palatino Linotype" w:eastAsia="Palatino Linotype" w:hAnsi="Palatino Linotype" w:cs="Palatino Linotype"/>
          <w:i/>
          <w:color w:val="000000"/>
          <w:sz w:val="22"/>
          <w:szCs w:val="22"/>
        </w:rPr>
        <w:t xml:space="preserve"> “La </w:t>
      </w:r>
      <w:r>
        <w:rPr>
          <w:rFonts w:ascii="Palatino Linotype" w:eastAsia="Palatino Linotype" w:hAnsi="Palatino Linotype" w:cs="Palatino Linotype"/>
          <w:i/>
          <w:color w:val="000000"/>
          <w:sz w:val="22"/>
          <w:szCs w:val="22"/>
          <w:u w:val="single"/>
        </w:rPr>
        <w:t xml:space="preserve">debida fundamentación y motivación legal, deben entenderse, por lo primero, la cita del precepto legal aplicable al caso, y por lo segundo, las razones, motivos o circunstancias especiales que llevaron a la autoridad a </w:t>
      </w:r>
      <w:r>
        <w:rPr>
          <w:rFonts w:ascii="Palatino Linotype" w:eastAsia="Palatino Linotype" w:hAnsi="Palatino Linotype" w:cs="Palatino Linotype"/>
          <w:i/>
          <w:color w:val="000000"/>
          <w:sz w:val="22"/>
          <w:szCs w:val="22"/>
          <w:u w:val="single"/>
        </w:rPr>
        <w:lastRenderedPageBreak/>
        <w:t>concluir que el caso particular encuadra en el supuesto previsto por la norma legal invocada como fundamento</w:t>
      </w:r>
      <w:r>
        <w:rPr>
          <w:rFonts w:ascii="Palatino Linotype" w:eastAsia="Palatino Linotype" w:hAnsi="Palatino Linotype" w:cs="Palatino Linotype"/>
          <w:i/>
          <w:color w:val="000000"/>
          <w:sz w:val="22"/>
          <w:szCs w:val="22"/>
        </w:rPr>
        <w:t>.”</w:t>
      </w:r>
    </w:p>
    <w:p w14:paraId="504EC4EF" w14:textId="77777777" w:rsidR="00EB0024" w:rsidRDefault="00243095">
      <w:pPr>
        <w:spacing w:line="360" w:lineRule="auto"/>
        <w:ind w:left="851"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SEGUNDO TRIBUNAL COLEGIADO DEL SEXTO CIRCUITO.</w:t>
      </w:r>
    </w:p>
    <w:p w14:paraId="78E5DFC9" w14:textId="77777777" w:rsidR="00EB0024" w:rsidRDefault="00243095">
      <w:pPr>
        <w:spacing w:line="360" w:lineRule="auto"/>
        <w:ind w:left="851"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directo 194/88. Bufete Industrial Construcciones, S.A. de C.V. 28 de junio de 1988. Unanimidad de votos. Ponente: Gustavo Calvillo Rangel. Secretario: Jorge Alberto González Álvarez.</w:t>
      </w:r>
    </w:p>
    <w:p w14:paraId="25C70F7E" w14:textId="77777777" w:rsidR="00EB0024" w:rsidRDefault="00243095">
      <w:pPr>
        <w:spacing w:line="360" w:lineRule="auto"/>
        <w:ind w:left="851"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Revisión fiscal 103/88. Instituto Mexicano del Seguro Social. 18 de octubre de 1988. Unanimidad de votos. Ponente: Arnoldo Nájera Virgen. Secretario: Alejandro Esponda Rincón.</w:t>
      </w:r>
    </w:p>
    <w:p w14:paraId="60AA16C9" w14:textId="77777777" w:rsidR="00EB0024" w:rsidRDefault="00243095">
      <w:pPr>
        <w:spacing w:line="360" w:lineRule="auto"/>
        <w:ind w:left="851"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en revisión 333/88. Adilia Romero. 26 de octubre de 1988. Unanimidad de votos. Ponente: Arnoldo Nájera Virgen. Secretario: Enrique Crispín Campos Ramírez.</w:t>
      </w:r>
    </w:p>
    <w:p w14:paraId="7838F7D4" w14:textId="77777777" w:rsidR="00EB0024" w:rsidRDefault="00243095">
      <w:pPr>
        <w:spacing w:line="360" w:lineRule="auto"/>
        <w:ind w:left="851"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en revisión 597/95. Emilio Maurer Bretón. 15 de noviembre de 1995. Unanimidad de votos. Ponente: Clementina Ramírez Moguel Goyzueta. Secretario: Gonzalo Carrera Molina.</w:t>
      </w:r>
    </w:p>
    <w:p w14:paraId="3C8885EA" w14:textId="77777777" w:rsidR="00EB0024" w:rsidRDefault="00243095">
      <w:pPr>
        <w:spacing w:line="360" w:lineRule="auto"/>
        <w:ind w:left="851"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Amparo directo 7/96. Pedro Vicente López Miro. 21 de febrero de 1996. Unanimidad de votos. Ponente: María Eugenia Estela Martínez Cardiel. Secretario: Enrique </w:t>
      </w:r>
      <w:proofErr w:type="spellStart"/>
      <w:r>
        <w:rPr>
          <w:rFonts w:ascii="Palatino Linotype" w:eastAsia="Palatino Linotype" w:hAnsi="Palatino Linotype" w:cs="Palatino Linotype"/>
          <w:i/>
          <w:color w:val="000000"/>
          <w:sz w:val="22"/>
          <w:szCs w:val="22"/>
        </w:rPr>
        <w:t>Baigts</w:t>
      </w:r>
      <w:proofErr w:type="spellEnd"/>
      <w:r>
        <w:rPr>
          <w:rFonts w:ascii="Palatino Linotype" w:eastAsia="Palatino Linotype" w:hAnsi="Palatino Linotype" w:cs="Palatino Linotype"/>
          <w:i/>
          <w:color w:val="000000"/>
          <w:sz w:val="22"/>
          <w:szCs w:val="22"/>
        </w:rPr>
        <w:t xml:space="preserve"> Muñoz.</w:t>
      </w:r>
    </w:p>
    <w:p w14:paraId="5C862C43" w14:textId="77777777" w:rsidR="00EB0024" w:rsidRDefault="00EB0024">
      <w:pPr>
        <w:pBdr>
          <w:top w:val="nil"/>
          <w:left w:val="nil"/>
          <w:bottom w:val="nil"/>
          <w:right w:val="nil"/>
          <w:between w:val="nil"/>
        </w:pBdr>
        <w:spacing w:line="360" w:lineRule="auto"/>
        <w:ind w:left="720" w:right="-734"/>
        <w:rPr>
          <w:rFonts w:ascii="Palatino Linotype" w:eastAsia="Palatino Linotype" w:hAnsi="Palatino Linotype" w:cs="Palatino Linotype"/>
          <w:color w:val="000000"/>
        </w:rPr>
      </w:pPr>
    </w:p>
    <w:p w14:paraId="225CE068" w14:textId="77777777" w:rsidR="00EB0024" w:rsidRDefault="00243095">
      <w:pPr>
        <w:numPr>
          <w:ilvl w:val="0"/>
          <w:numId w:val="2"/>
        </w:numPr>
        <w:pBdr>
          <w:top w:val="nil"/>
          <w:left w:val="nil"/>
          <w:bottom w:val="nil"/>
          <w:right w:val="nil"/>
          <w:between w:val="nil"/>
        </w:pBdr>
        <w:tabs>
          <w:tab w:val="left" w:pos="0"/>
        </w:tabs>
        <w:spacing w:line="360" w:lineRule="auto"/>
        <w:ind w:left="0" w:right="-734" w:firstLine="0"/>
        <w:jc w:val="both"/>
        <w:rPr>
          <w:color w:val="000000"/>
        </w:rPr>
      </w:pPr>
      <w:r>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6019B5FE" w14:textId="77777777" w:rsidR="00EB0024" w:rsidRDefault="00EB0024">
      <w:pPr>
        <w:pBdr>
          <w:top w:val="nil"/>
          <w:left w:val="nil"/>
          <w:bottom w:val="nil"/>
          <w:right w:val="nil"/>
          <w:between w:val="nil"/>
        </w:pBdr>
        <w:tabs>
          <w:tab w:val="left" w:pos="0"/>
        </w:tabs>
        <w:spacing w:line="360" w:lineRule="auto"/>
        <w:ind w:right="-734"/>
        <w:jc w:val="both"/>
        <w:rPr>
          <w:rFonts w:ascii="Palatino Linotype" w:eastAsia="Palatino Linotype" w:hAnsi="Palatino Linotype" w:cs="Palatino Linotype"/>
          <w:color w:val="000000"/>
        </w:rPr>
      </w:pPr>
    </w:p>
    <w:p w14:paraId="5567C4A9" w14:textId="77777777" w:rsidR="00EB0024" w:rsidRDefault="00243095">
      <w:pPr>
        <w:numPr>
          <w:ilvl w:val="0"/>
          <w:numId w:val="2"/>
        </w:numPr>
        <w:pBdr>
          <w:top w:val="nil"/>
          <w:left w:val="nil"/>
          <w:bottom w:val="nil"/>
          <w:right w:val="nil"/>
          <w:between w:val="nil"/>
        </w:pBdr>
        <w:tabs>
          <w:tab w:val="left" w:pos="0"/>
        </w:tabs>
        <w:spacing w:line="360" w:lineRule="auto"/>
        <w:ind w:left="0" w:right="-734" w:firstLine="0"/>
        <w:jc w:val="both"/>
        <w:rPr>
          <w:color w:val="000000"/>
        </w:rPr>
      </w:pPr>
      <w:r>
        <w:rPr>
          <w:rFonts w:ascii="Palatino Linotype" w:eastAsia="Palatino Linotype" w:hAnsi="Palatino Linotype" w:cs="Palatino Linotype"/>
          <w:color w:val="000000"/>
        </w:rPr>
        <w:t xml:space="preserve">En consecuencia, la fundamentación y motivación implica que, en el acto de autoridad, además de contenerse los supuestos jurídicos aplicables se expliquen claramente por qué a </w:t>
      </w:r>
      <w:r>
        <w:rPr>
          <w:rFonts w:ascii="Palatino Linotype" w:eastAsia="Palatino Linotype" w:hAnsi="Palatino Linotype" w:cs="Palatino Linotype"/>
          <w:color w:val="000000"/>
        </w:rPr>
        <w:lastRenderedPageBreak/>
        <w:t>través de la utilización de la norma se emitió el acto. De este modo, la persona que se sienta afectada pueda impugnar la decisión, permitiéndole una real y auténtica defensa.</w:t>
      </w:r>
    </w:p>
    <w:p w14:paraId="08F07D1C" w14:textId="77777777" w:rsidR="00EB0024" w:rsidRDefault="00EB0024">
      <w:pPr>
        <w:pBdr>
          <w:top w:val="nil"/>
          <w:left w:val="nil"/>
          <w:bottom w:val="nil"/>
          <w:right w:val="nil"/>
          <w:between w:val="nil"/>
        </w:pBdr>
        <w:tabs>
          <w:tab w:val="left" w:pos="0"/>
        </w:tabs>
        <w:spacing w:line="360" w:lineRule="auto"/>
        <w:ind w:right="-734"/>
        <w:jc w:val="both"/>
        <w:rPr>
          <w:rFonts w:ascii="Palatino Linotype" w:eastAsia="Palatino Linotype" w:hAnsi="Palatino Linotype" w:cs="Palatino Linotype"/>
          <w:color w:val="000000"/>
        </w:rPr>
      </w:pPr>
    </w:p>
    <w:p w14:paraId="0CFC5C5D" w14:textId="77777777" w:rsidR="00EB0024" w:rsidRDefault="00243095">
      <w:pPr>
        <w:numPr>
          <w:ilvl w:val="0"/>
          <w:numId w:val="2"/>
        </w:numPr>
        <w:pBdr>
          <w:top w:val="nil"/>
          <w:left w:val="nil"/>
          <w:bottom w:val="nil"/>
          <w:right w:val="nil"/>
          <w:between w:val="nil"/>
        </w:pBdr>
        <w:tabs>
          <w:tab w:val="left" w:pos="0"/>
        </w:tabs>
        <w:spacing w:line="360" w:lineRule="auto"/>
        <w:ind w:left="0" w:right="-734" w:firstLine="0"/>
        <w:jc w:val="both"/>
        <w:rPr>
          <w:color w:val="000000"/>
        </w:rPr>
      </w:pPr>
      <w:r>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 Por su parte, los artículos 128 segundo párrafo y 103 segundo párrafo de las leyes estatal y general, respectivamente, señalan que, en el caso de la información reservada, se debe de señalar las razones, motivos o circunstancias especiales que llevan a concluir que el caso fáctico se corresponde con la norma. Por esta razón, la motivación del acto, el juicio de subsunción, para acreditar la estricta correspondencia entre el supuesto de hecho y la hipótesis normativa, deberá señalar las razones, motivos o circunstancias que lo justifiquen, lo que no es lo mismo que repetir el supuesto de hecho y la hipótesis normativa, sino que se debe generar un juicio demostrativo.</w:t>
      </w:r>
    </w:p>
    <w:p w14:paraId="4870104F" w14:textId="77777777" w:rsidR="00EB0024" w:rsidRDefault="00EB0024">
      <w:pPr>
        <w:pBdr>
          <w:top w:val="nil"/>
          <w:left w:val="nil"/>
          <w:bottom w:val="nil"/>
          <w:right w:val="nil"/>
          <w:between w:val="nil"/>
        </w:pBdr>
        <w:tabs>
          <w:tab w:val="left" w:pos="0"/>
        </w:tabs>
        <w:spacing w:line="360" w:lineRule="auto"/>
        <w:ind w:right="-734"/>
        <w:jc w:val="both"/>
        <w:rPr>
          <w:rFonts w:ascii="Palatino Linotype" w:eastAsia="Palatino Linotype" w:hAnsi="Palatino Linotype" w:cs="Palatino Linotype"/>
          <w:color w:val="000000"/>
        </w:rPr>
      </w:pPr>
    </w:p>
    <w:p w14:paraId="0E2E8D34" w14:textId="77777777" w:rsidR="00EB0024" w:rsidRDefault="00243095">
      <w:pPr>
        <w:numPr>
          <w:ilvl w:val="0"/>
          <w:numId w:val="2"/>
        </w:numPr>
        <w:spacing w:line="360" w:lineRule="auto"/>
        <w:ind w:left="0" w:right="-734" w:firstLine="0"/>
        <w:jc w:val="both"/>
        <w:rPr>
          <w:color w:val="000000"/>
        </w:rPr>
      </w:pPr>
      <w:r>
        <w:rPr>
          <w:rFonts w:ascii="Palatino Linotype" w:eastAsia="Palatino Linotype" w:hAnsi="Palatino Linotype" w:cs="Palatino Linotype"/>
          <w:color w:val="000000"/>
        </w:rPr>
        <w:t xml:space="preserve">Las mismas disposiciones referidas en el párrafo anterior precisan que, además de señalar las razones, motivos o circunstancias, se deberá aplicar la prueba de daño.  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sino de cada uno de los documentos que lo integran, lo </w:t>
      </w:r>
      <w:r>
        <w:rPr>
          <w:rFonts w:ascii="Palatino Linotype" w:eastAsia="Palatino Linotype" w:hAnsi="Palatino Linotype" w:cs="Palatino Linotype"/>
          <w:color w:val="000000"/>
        </w:rPr>
        <w:lastRenderedPageBreak/>
        <w:t xml:space="preserve">que en este caso no sucedió, pues el Sujeto Obligado realizó una clasificación de forma general. </w:t>
      </w:r>
    </w:p>
    <w:p w14:paraId="2AEBC9F3" w14:textId="77777777" w:rsidR="00EB0024" w:rsidRDefault="00EB0024">
      <w:pPr>
        <w:spacing w:line="360" w:lineRule="auto"/>
        <w:ind w:right="-734"/>
        <w:jc w:val="both"/>
        <w:rPr>
          <w:rFonts w:ascii="Palatino Linotype" w:eastAsia="Palatino Linotype" w:hAnsi="Palatino Linotype" w:cs="Palatino Linotype"/>
          <w:color w:val="000000"/>
        </w:rPr>
      </w:pPr>
    </w:p>
    <w:p w14:paraId="32AF42C0" w14:textId="77777777" w:rsidR="00EB0024" w:rsidRDefault="00243095">
      <w:pPr>
        <w:numPr>
          <w:ilvl w:val="0"/>
          <w:numId w:val="2"/>
        </w:numPr>
        <w:spacing w:line="360" w:lineRule="auto"/>
        <w:ind w:left="0" w:right="-734" w:firstLine="0"/>
        <w:jc w:val="both"/>
        <w:rPr>
          <w:color w:val="000000"/>
        </w:rPr>
      </w:pPr>
      <w:r>
        <w:rPr>
          <w:rFonts w:ascii="Palatino Linotype" w:eastAsia="Palatino Linotype" w:hAnsi="Palatino Linotype" w:cs="Palatino Linotype"/>
          <w:color w:val="000000"/>
        </w:rPr>
        <w:t>Para aplicar la prueba de daño, se deberán de precisar las razones objetivas por las que la apertura genera una afectación, acreditando que:</w:t>
      </w:r>
    </w:p>
    <w:p w14:paraId="08A08091" w14:textId="77777777" w:rsidR="00EB0024" w:rsidRDefault="00243095">
      <w:pPr>
        <w:widowControl w:val="0"/>
        <w:tabs>
          <w:tab w:val="left" w:pos="8222"/>
        </w:tabs>
        <w:spacing w:after="240" w:line="360" w:lineRule="auto"/>
        <w:ind w:left="851"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La divulgación de la información representa un riesgo real, demostrable e identificable del perjuicio significativo al interés público o a la seguridad pública; </w:t>
      </w:r>
    </w:p>
    <w:p w14:paraId="1070F2BA" w14:textId="77777777" w:rsidR="00EB0024" w:rsidRDefault="00243095">
      <w:pPr>
        <w:widowControl w:val="0"/>
        <w:tabs>
          <w:tab w:val="left" w:pos="8222"/>
        </w:tabs>
        <w:spacing w:after="240" w:line="360" w:lineRule="auto"/>
        <w:ind w:left="851"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El riesgo de perjuicio que supondría la divulgación supera el interés público general de que se difunda; y </w:t>
      </w:r>
    </w:p>
    <w:p w14:paraId="581C77F3" w14:textId="77777777" w:rsidR="00EB0024" w:rsidRDefault="00243095">
      <w:pPr>
        <w:widowControl w:val="0"/>
        <w:tabs>
          <w:tab w:val="left" w:pos="8222"/>
        </w:tabs>
        <w:spacing w:after="240" w:line="360" w:lineRule="auto"/>
        <w:ind w:left="851"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La limitación se adecua al principio de proporcionalidad y representa el medio menos restrictivo disponible para evitar el perjuicio. </w:t>
      </w:r>
    </w:p>
    <w:p w14:paraId="57328FD3" w14:textId="77777777" w:rsidR="00EB0024" w:rsidRDefault="00243095">
      <w:pPr>
        <w:numPr>
          <w:ilvl w:val="0"/>
          <w:numId w:val="2"/>
        </w:numPr>
        <w:shd w:val="clear" w:color="auto" w:fill="FFFFFF"/>
        <w:spacing w:before="240" w:line="360" w:lineRule="auto"/>
        <w:ind w:left="0" w:right="-734" w:firstLine="0"/>
        <w:jc w:val="both"/>
        <w:rPr>
          <w:color w:val="000000"/>
        </w:rPr>
      </w:pPr>
      <w:r>
        <w:rPr>
          <w:rFonts w:ascii="Palatino Linotype" w:eastAsia="Palatino Linotype" w:hAnsi="Palatino Linotype" w:cs="Palatino Linotype"/>
          <w:color w:val="000000"/>
        </w:rPr>
        <w:t xml:space="preserve">Los elementos que brevemente se han señalado son todos los que deben de integrar el proceso de clasificación total o parcial de la información para, especialmente, responder a las solicitudes. La falta de cualquiera de ellos puede provocar que el acto que limita o restringe el acceso a la información sea considerada infundado y se proceda a ordenar la desclasificación de la información por el incumplimiento de las formalidades, es decir, por vicios de legalidad o a la reposición del acto.  </w:t>
      </w:r>
    </w:p>
    <w:p w14:paraId="49C476BB" w14:textId="77777777" w:rsidR="00EB0024" w:rsidRDefault="00EB0024">
      <w:pPr>
        <w:spacing w:line="360" w:lineRule="auto"/>
        <w:ind w:right="-734"/>
        <w:jc w:val="both"/>
        <w:rPr>
          <w:rFonts w:ascii="Palatino Linotype" w:eastAsia="Palatino Linotype" w:hAnsi="Palatino Linotype" w:cs="Palatino Linotype"/>
        </w:rPr>
      </w:pPr>
    </w:p>
    <w:p w14:paraId="110BBF0D" w14:textId="77777777" w:rsidR="00EB0024" w:rsidRDefault="00243095">
      <w:pPr>
        <w:numPr>
          <w:ilvl w:val="0"/>
          <w:numId w:val="2"/>
        </w:numPr>
        <w:spacing w:line="360" w:lineRule="auto"/>
        <w:ind w:left="0" w:right="-734" w:firstLine="0"/>
        <w:jc w:val="both"/>
      </w:pPr>
      <w:r>
        <w:rPr>
          <w:rFonts w:ascii="Palatino Linotype" w:eastAsia="Palatino Linotype" w:hAnsi="Palatino Linotype" w:cs="Palatino Linotype"/>
        </w:rPr>
        <w:t xml:space="preserve">En el presente caso, no se advierte que el Sujeto Obligado haya realizado una prueba de daño, por lo tanto, no hay un riesgo real, demostrable e identificable que impida la publicación de la información, pues el Sujeto </w:t>
      </w:r>
      <w:proofErr w:type="gramStart"/>
      <w:r>
        <w:rPr>
          <w:rFonts w:ascii="Palatino Linotype" w:eastAsia="Palatino Linotype" w:hAnsi="Palatino Linotype" w:cs="Palatino Linotype"/>
        </w:rPr>
        <w:t>Obligado,  únicamente</w:t>
      </w:r>
      <w:proofErr w:type="gramEnd"/>
      <w:r>
        <w:rPr>
          <w:rFonts w:ascii="Palatino Linotype" w:eastAsia="Palatino Linotype" w:hAnsi="Palatino Linotype" w:cs="Palatino Linotype"/>
        </w:rPr>
        <w:t xml:space="preserve"> señaló que la información solicitada se encuentra en trámite de auditoría y fiscalización y que su divulgación pone en riesgo las actividades de inspección, supervisión y vigilancia. </w:t>
      </w:r>
    </w:p>
    <w:p w14:paraId="0AAD0468" w14:textId="77777777" w:rsidR="00EB0024" w:rsidRDefault="00EB0024">
      <w:pPr>
        <w:pBdr>
          <w:top w:val="nil"/>
          <w:left w:val="nil"/>
          <w:bottom w:val="nil"/>
          <w:right w:val="nil"/>
          <w:between w:val="nil"/>
        </w:pBdr>
        <w:ind w:left="720" w:right="-734"/>
        <w:rPr>
          <w:rFonts w:ascii="Palatino Linotype" w:eastAsia="Palatino Linotype" w:hAnsi="Palatino Linotype" w:cs="Palatino Linotype"/>
          <w:color w:val="000000"/>
        </w:rPr>
      </w:pPr>
    </w:p>
    <w:p w14:paraId="2A8EC37A" w14:textId="77777777" w:rsidR="00EB0024" w:rsidRDefault="00243095">
      <w:pPr>
        <w:numPr>
          <w:ilvl w:val="0"/>
          <w:numId w:val="2"/>
        </w:numPr>
        <w:spacing w:line="360" w:lineRule="auto"/>
        <w:ind w:left="0" w:right="-734" w:firstLine="0"/>
        <w:jc w:val="both"/>
      </w:pPr>
      <w:r>
        <w:rPr>
          <w:rFonts w:ascii="Palatino Linotype" w:eastAsia="Palatino Linotype" w:hAnsi="Palatino Linotype" w:cs="Palatino Linotype"/>
        </w:rPr>
        <w:t xml:space="preserve">No </w:t>
      </w:r>
      <w:proofErr w:type="gramStart"/>
      <w:r>
        <w:rPr>
          <w:rFonts w:ascii="Palatino Linotype" w:eastAsia="Palatino Linotype" w:hAnsi="Palatino Linotype" w:cs="Palatino Linotype"/>
        </w:rPr>
        <w:t>obstante</w:t>
      </w:r>
      <w:proofErr w:type="gramEnd"/>
      <w:r>
        <w:rPr>
          <w:rFonts w:ascii="Palatino Linotype" w:eastAsia="Palatino Linotype" w:hAnsi="Palatino Linotype" w:cs="Palatino Linotype"/>
        </w:rPr>
        <w:t xml:space="preserve"> aun y cuando estuviera en proceso una auditoría como refiere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no se advierte que con su entrega se vulnere algún procedimiento de fiscalización o auditoría no es impedimento para que puedan ser entregados pues se trata de </w:t>
      </w:r>
      <w:r>
        <w:rPr>
          <w:rFonts w:ascii="Palatino Linotype" w:eastAsia="Palatino Linotype" w:hAnsi="Palatino Linotype" w:cs="Palatino Linotype"/>
          <w:b/>
        </w:rPr>
        <w:t>documentos definitivos</w:t>
      </w:r>
      <w:r>
        <w:rPr>
          <w:rFonts w:ascii="Palatino Linotype" w:eastAsia="Palatino Linotype" w:hAnsi="Palatino Linotype" w:cs="Palatino Linotype"/>
        </w:rPr>
        <w:t>, que son aquellos que han alcanzado una versión final, oficial o concluyente, y que no están sujetos a modificaciones adicionales.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Luego entonces, al tratarse de documentos definitivos, el Sujeto Obligado al momento de desarrollar una prueba de daño específica, no podría acreditar las circunstancias analizadas como se pretende en los acuerdos remitidos.</w:t>
      </w:r>
    </w:p>
    <w:p w14:paraId="41EDF3EA" w14:textId="77777777" w:rsidR="00EB0024" w:rsidRDefault="00EB0024">
      <w:pPr>
        <w:spacing w:line="360" w:lineRule="auto"/>
        <w:ind w:right="-734"/>
        <w:jc w:val="both"/>
        <w:rPr>
          <w:rFonts w:ascii="Palatino Linotype" w:eastAsia="Palatino Linotype" w:hAnsi="Palatino Linotype" w:cs="Palatino Linotype"/>
        </w:rPr>
      </w:pPr>
    </w:p>
    <w:p w14:paraId="60B3349E" w14:textId="77777777" w:rsidR="00EB0024" w:rsidRDefault="00243095">
      <w:pPr>
        <w:numPr>
          <w:ilvl w:val="0"/>
          <w:numId w:val="2"/>
        </w:numPr>
        <w:spacing w:line="360" w:lineRule="auto"/>
        <w:ind w:left="0" w:right="-734" w:firstLine="0"/>
        <w:jc w:val="both"/>
      </w:pPr>
      <w:r>
        <w:rPr>
          <w:rFonts w:ascii="Palatino Linotype" w:eastAsia="Palatino Linotype" w:hAnsi="Palatino Linotype" w:cs="Palatino Linotype"/>
        </w:rPr>
        <w:t xml:space="preserve">Reiterando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por tratarse de documentos definitivos, la entrega de la información garantiza la Transparencia y rendición de cuentas, en virtud que los documentos definitivos, deben ser accesibles para que los ciudadanos y otras partes interesadas puedan supervisar el uso de los recursos públicos, las decisiones gubernamentales y el cumplimiento de los procedimientos legales, garantizando que los ciudadanos tengan el derecho de conocer la información relacionada con la administración pública.</w:t>
      </w:r>
    </w:p>
    <w:p w14:paraId="55F67EB8" w14:textId="77777777" w:rsidR="00EB0024" w:rsidRDefault="00EB0024">
      <w:pPr>
        <w:spacing w:line="360" w:lineRule="auto"/>
        <w:ind w:right="-734"/>
        <w:jc w:val="both"/>
        <w:rPr>
          <w:rFonts w:ascii="Palatino Linotype" w:eastAsia="Palatino Linotype" w:hAnsi="Palatino Linotype" w:cs="Palatino Linotype"/>
        </w:rPr>
      </w:pPr>
    </w:p>
    <w:p w14:paraId="6C683334" w14:textId="77777777" w:rsidR="00EB0024" w:rsidRDefault="00243095">
      <w:pPr>
        <w:numPr>
          <w:ilvl w:val="0"/>
          <w:numId w:val="2"/>
        </w:numPr>
        <w:spacing w:line="360" w:lineRule="auto"/>
        <w:ind w:left="0" w:right="-734" w:firstLine="0"/>
        <w:jc w:val="both"/>
      </w:pPr>
      <w:r>
        <w:rPr>
          <w:rFonts w:ascii="Palatino Linotype" w:eastAsia="Palatino Linotype" w:hAnsi="Palatino Linotype" w:cs="Palatino Linotype"/>
        </w:rPr>
        <w:t xml:space="preserve">Por otro lado, mantener los documentos definitivos accesibles ayuda a prevenir la corrupción, si los documentos finales fueran reservados, se permitiría encubrir decisiones o contrataciones irregulares aun y cuando estas ya fueron consumadas, por lo que </w:t>
      </w:r>
      <w:proofErr w:type="gramStart"/>
      <w:r>
        <w:rPr>
          <w:rFonts w:ascii="Palatino Linotype" w:eastAsia="Palatino Linotype" w:hAnsi="Palatino Linotype" w:cs="Palatino Linotype"/>
        </w:rPr>
        <w:t>los documentos finales aumenta</w:t>
      </w:r>
      <w:proofErr w:type="gramEnd"/>
      <w:r>
        <w:rPr>
          <w:rFonts w:ascii="Palatino Linotype" w:eastAsia="Palatino Linotype" w:hAnsi="Palatino Linotype" w:cs="Palatino Linotype"/>
        </w:rPr>
        <w:t xml:space="preserve"> la confianza de los ciudadanos en las instituciones, ya que se demuestra que las decisiones se han tomado de manera abierta y conforme a la ley.</w:t>
      </w:r>
    </w:p>
    <w:p w14:paraId="74815457" w14:textId="77777777" w:rsidR="00EB0024" w:rsidRDefault="00EB0024">
      <w:pPr>
        <w:pBdr>
          <w:top w:val="nil"/>
          <w:left w:val="nil"/>
          <w:bottom w:val="nil"/>
          <w:right w:val="nil"/>
          <w:between w:val="nil"/>
        </w:pBdr>
        <w:ind w:left="720" w:right="-734"/>
        <w:rPr>
          <w:rFonts w:ascii="Palatino Linotype" w:eastAsia="Palatino Linotype" w:hAnsi="Palatino Linotype" w:cs="Palatino Linotype"/>
          <w:color w:val="000000"/>
        </w:rPr>
      </w:pPr>
    </w:p>
    <w:p w14:paraId="208D7097" w14:textId="77777777" w:rsidR="00EB0024" w:rsidRDefault="00243095">
      <w:pPr>
        <w:numPr>
          <w:ilvl w:val="0"/>
          <w:numId w:val="2"/>
        </w:numPr>
        <w:spacing w:line="360" w:lineRule="auto"/>
        <w:ind w:left="0" w:right="-734" w:firstLine="0"/>
        <w:jc w:val="both"/>
      </w:pPr>
      <w:r>
        <w:rPr>
          <w:rFonts w:ascii="Palatino Linotype" w:eastAsia="Palatino Linotype" w:hAnsi="Palatino Linotype" w:cs="Palatino Linotype"/>
        </w:rPr>
        <w:t xml:space="preserve">En ese sentido, se colige que la información solicitada por el particular no puede ser clasificada, es decir, que procede su entrega, en consecuencia, una vez analizadas las </w:t>
      </w:r>
      <w:r>
        <w:rPr>
          <w:rFonts w:ascii="Palatino Linotype" w:eastAsia="Palatino Linotype" w:hAnsi="Palatino Linotype" w:cs="Palatino Linotype"/>
        </w:rPr>
        <w:lastRenderedPageBreak/>
        <w:t xml:space="preserve">constancias que integran el expediente electrónico, y en mérito de lo expuesto en líneas anteriores, resultan parcialmente fundadas las razones o motivos de inconformidad hechos valer por 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dentro del recurso de revisión </w:t>
      </w:r>
      <w:r>
        <w:rPr>
          <w:rFonts w:ascii="Palatino Linotype" w:eastAsia="Palatino Linotype" w:hAnsi="Palatino Linotype" w:cs="Palatino Linotype"/>
          <w:b/>
        </w:rPr>
        <w:t>01588/INFOEM/IP/RR/2024</w:t>
      </w:r>
      <w:r>
        <w:rPr>
          <w:rFonts w:ascii="Palatino Linotype" w:eastAsia="Palatino Linotype" w:hAnsi="Palatino Linotype" w:cs="Palatino Linotype"/>
        </w:rPr>
        <w:t xml:space="preserve">; por ello, y con fundamento en la fracción III del numeral 186 de la Ley de Transparencia y Acceso a la Información Pública del Estado de México y Municipios, se </w:t>
      </w:r>
      <w:r>
        <w:rPr>
          <w:rFonts w:ascii="Palatino Linotype" w:eastAsia="Palatino Linotype" w:hAnsi="Palatino Linotype" w:cs="Palatino Linotype"/>
          <w:b/>
        </w:rPr>
        <w:t>REVOCA</w:t>
      </w:r>
      <w:r>
        <w:rPr>
          <w:rFonts w:ascii="Palatino Linotype" w:eastAsia="Palatino Linotype" w:hAnsi="Palatino Linotype" w:cs="Palatino Linotype"/>
        </w:rPr>
        <w:t xml:space="preserve"> la respuesta del Sujeto Obligado. </w:t>
      </w:r>
    </w:p>
    <w:p w14:paraId="6D250261" w14:textId="77777777" w:rsidR="00EB0024" w:rsidRDefault="00243095">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b/>
          <w:color w:val="000000"/>
        </w:rPr>
      </w:pPr>
      <w:bookmarkStart w:id="8" w:name="_heading=h.2s8eyo1" w:colFirst="0" w:colLast="0"/>
      <w:bookmarkEnd w:id="8"/>
      <w:r>
        <w:rPr>
          <w:rFonts w:ascii="Palatino Linotype" w:eastAsia="Palatino Linotype" w:hAnsi="Palatino Linotype" w:cs="Palatino Linotype"/>
          <w:b/>
          <w:color w:val="000000"/>
        </w:rPr>
        <w:t>QUINTO. De la versión pública.</w:t>
      </w:r>
    </w:p>
    <w:p w14:paraId="3FD945EA" w14:textId="77777777" w:rsidR="00EB0024" w:rsidRDefault="00243095">
      <w:pPr>
        <w:numPr>
          <w:ilvl w:val="0"/>
          <w:numId w:val="2"/>
        </w:numPr>
        <w:pBdr>
          <w:top w:val="nil"/>
          <w:left w:val="nil"/>
          <w:bottom w:val="nil"/>
          <w:right w:val="nil"/>
          <w:between w:val="nil"/>
        </w:pBdr>
        <w:tabs>
          <w:tab w:val="left" w:pos="426"/>
        </w:tabs>
        <w:spacing w:line="360" w:lineRule="auto"/>
        <w:ind w:left="0" w:right="-734" w:firstLine="0"/>
        <w:jc w:val="both"/>
        <w:rPr>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0D5BF375" w14:textId="77777777" w:rsidR="00EB0024" w:rsidRDefault="00EB0024">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color w:val="000000"/>
        </w:rPr>
      </w:pPr>
    </w:p>
    <w:p w14:paraId="1B9793FE" w14:textId="77777777" w:rsidR="00EB0024" w:rsidRDefault="00243095">
      <w:pPr>
        <w:numPr>
          <w:ilvl w:val="0"/>
          <w:numId w:val="2"/>
        </w:numPr>
        <w:pBdr>
          <w:top w:val="nil"/>
          <w:left w:val="nil"/>
          <w:bottom w:val="nil"/>
          <w:right w:val="nil"/>
          <w:between w:val="nil"/>
        </w:pBdr>
        <w:tabs>
          <w:tab w:val="left" w:pos="426"/>
        </w:tabs>
        <w:spacing w:line="360" w:lineRule="auto"/>
        <w:ind w:left="0" w:right="-734" w:firstLine="0"/>
        <w:jc w:val="both"/>
        <w:rPr>
          <w:color w:val="000000"/>
        </w:rPr>
      </w:pPr>
      <w:r>
        <w:rPr>
          <w:rFonts w:ascii="Palatino Linotype" w:eastAsia="Palatino Linotype" w:hAnsi="Palatino Linotype" w:cs="Palatino Linotype"/>
          <w:color w:val="000000"/>
        </w:rPr>
        <w:t>La clasificación total o parcial de la información requerida, mediante solicitud de acceso a la información pública, constituye una restricción al derecho humano de acceso a la información, por lo que es menester reiterar los mismos:</w:t>
      </w:r>
    </w:p>
    <w:p w14:paraId="21152B80" w14:textId="77777777" w:rsidR="00EB0024" w:rsidRDefault="00EB0024">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color w:val="000000"/>
        </w:rPr>
      </w:pPr>
    </w:p>
    <w:tbl>
      <w:tblPr>
        <w:tblStyle w:val="a0"/>
        <w:tblW w:w="9840"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055"/>
        <w:gridCol w:w="7785"/>
      </w:tblGrid>
      <w:tr w:rsidR="00EB0024" w14:paraId="1E2FB68B" w14:textId="77777777" w:rsidTr="00EB0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tcPr>
          <w:p w14:paraId="44329821" w14:textId="77777777" w:rsidR="00EB0024" w:rsidRDefault="00243095">
            <w:pPr>
              <w:spacing w:line="360" w:lineRule="auto"/>
              <w:ind w:right="2"/>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a) Requisitos previos.</w:t>
            </w:r>
          </w:p>
        </w:tc>
        <w:tc>
          <w:tcPr>
            <w:tcW w:w="7785" w:type="dxa"/>
          </w:tcPr>
          <w:p w14:paraId="64030087" w14:textId="77777777" w:rsidR="00EB0024" w:rsidRDefault="00243095">
            <w:pPr>
              <w:spacing w:line="360" w:lineRule="auto"/>
              <w:ind w:right="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100 y 122 de la Ley Estatal y de la Ley General, respectivamente, señalan </w:t>
            </w:r>
            <w:proofErr w:type="gramStart"/>
            <w:r>
              <w:rPr>
                <w:rFonts w:ascii="Palatino Linotype" w:eastAsia="Palatino Linotype" w:hAnsi="Palatino Linotype" w:cs="Palatino Linotype"/>
                <w:sz w:val="20"/>
                <w:szCs w:val="20"/>
              </w:rPr>
              <w:t>que</w:t>
            </w:r>
            <w:proofErr w:type="gramEnd"/>
            <w:r>
              <w:rPr>
                <w:rFonts w:ascii="Palatino Linotype" w:eastAsia="Palatino Linotype" w:hAnsi="Palatino Linotype" w:cs="Palatino Linotype"/>
                <w:sz w:val="20"/>
                <w:szCs w:val="20"/>
              </w:rPr>
              <w:t xml:space="preserve"> si los </w:t>
            </w:r>
            <w:r>
              <w:rPr>
                <w:rFonts w:ascii="Palatino Linotype" w:eastAsia="Palatino Linotype" w:hAnsi="Palatino Linotype" w:cs="Palatino Linotype"/>
                <w:b w:val="0"/>
                <w:sz w:val="20"/>
                <w:szCs w:val="20"/>
              </w:rPr>
              <w:t>Sujetos Obligados</w:t>
            </w:r>
            <w:r>
              <w:rPr>
                <w:rFonts w:ascii="Palatino Linotype" w:eastAsia="Palatino Linotype" w:hAnsi="Palatino Linotype" w:cs="Palatino Linotype"/>
                <w:sz w:val="20"/>
                <w:szCs w:val="20"/>
              </w:rPr>
              <w:t xml:space="preserve"> determinan que la información actualiza alguno de los supuestos de clasificación, es deber de los titulares de las áreas proponer su clasificación y no del Comité de Transparencia. </w:t>
            </w:r>
          </w:p>
          <w:p w14:paraId="62383360" w14:textId="77777777" w:rsidR="00EB0024" w:rsidRDefault="00243095">
            <w:pPr>
              <w:spacing w:line="360" w:lineRule="auto"/>
              <w:ind w:right="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14:paraId="2117DF24" w14:textId="77777777" w:rsidR="00EB0024" w:rsidRDefault="00243095">
            <w:pPr>
              <w:spacing w:line="360" w:lineRule="auto"/>
              <w:ind w:right="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Además, se debe señalar el procedimiento, de los tres que establecen los artículos 132 y 106 de la Ley Estatal y General, respectivamente.</w:t>
            </w:r>
          </w:p>
          <w:p w14:paraId="2BD825D2" w14:textId="77777777" w:rsidR="00EB0024" w:rsidRDefault="00243095">
            <w:pPr>
              <w:spacing w:line="360" w:lineRule="auto"/>
              <w:ind w:right="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b w:val="0"/>
                <w:sz w:val="20"/>
                <w:szCs w:val="20"/>
                <w:u w:val="single"/>
              </w:rPr>
              <w:t xml:space="preserve">no se puede hacer un acuerdo para clasificar de manera general todos los documentos de un expediente o </w:t>
            </w:r>
            <w:proofErr w:type="gramStart"/>
            <w:r>
              <w:rPr>
                <w:rFonts w:ascii="Palatino Linotype" w:eastAsia="Palatino Linotype" w:hAnsi="Palatino Linotype" w:cs="Palatino Linotype"/>
                <w:b w:val="0"/>
                <w:sz w:val="20"/>
                <w:szCs w:val="20"/>
                <w:u w:val="single"/>
              </w:rPr>
              <w:t xml:space="preserve">área,  </w:t>
            </w:r>
            <w:r>
              <w:rPr>
                <w:rFonts w:ascii="Palatino Linotype" w:eastAsia="Palatino Linotype" w:hAnsi="Palatino Linotype" w:cs="Palatino Linotype"/>
                <w:sz w:val="20"/>
                <w:szCs w:val="20"/>
              </w:rPr>
              <w:t>sin</w:t>
            </w:r>
            <w:proofErr w:type="gramEnd"/>
            <w:r>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 datos, por ejemplo, susceptibles de ser clasificados.</w:t>
            </w:r>
          </w:p>
        </w:tc>
      </w:tr>
      <w:tr w:rsidR="00EB0024" w14:paraId="6131EE59" w14:textId="77777777" w:rsidTr="00EB0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tcPr>
          <w:p w14:paraId="277AB064" w14:textId="77777777" w:rsidR="00EB0024" w:rsidRDefault="00243095">
            <w:pPr>
              <w:spacing w:line="360" w:lineRule="auto"/>
              <w:ind w:right="2"/>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lastRenderedPageBreak/>
              <w:t>b) Supuestos de clasificación.</w:t>
            </w:r>
          </w:p>
        </w:tc>
        <w:tc>
          <w:tcPr>
            <w:tcW w:w="7785" w:type="dxa"/>
          </w:tcPr>
          <w:p w14:paraId="28CDA128" w14:textId="77777777" w:rsidR="00EB0024" w:rsidRDefault="00243095">
            <w:pPr>
              <w:spacing w:line="360" w:lineRule="auto"/>
              <w:ind w:right="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73AC312D" w14:textId="77777777" w:rsidR="00EB0024" w:rsidRDefault="00243095">
            <w:pPr>
              <w:spacing w:line="360" w:lineRule="auto"/>
              <w:ind w:right="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FE78DA6" w14:textId="77777777" w:rsidR="00EB0024" w:rsidRDefault="00243095">
            <w:pPr>
              <w:spacing w:line="360" w:lineRule="auto"/>
              <w:ind w:right="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r>
              <w:rPr>
                <w:rFonts w:ascii="Palatino Linotype" w:eastAsia="Palatino Linotype" w:hAnsi="Palatino Linotype" w:cs="Palatino Linotype"/>
                <w:b/>
                <w:sz w:val="20"/>
                <w:szCs w:val="20"/>
              </w:rPr>
              <w:t>SUJETO OBLIGADO</w:t>
            </w:r>
            <w:r>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B0024" w14:paraId="15BE8040" w14:textId="77777777" w:rsidTr="00EB0024">
        <w:tc>
          <w:tcPr>
            <w:cnfStyle w:val="001000000000" w:firstRow="0" w:lastRow="0" w:firstColumn="1" w:lastColumn="0" w:oddVBand="0" w:evenVBand="0" w:oddHBand="0" w:evenHBand="0" w:firstRowFirstColumn="0" w:firstRowLastColumn="0" w:lastRowFirstColumn="0" w:lastRowLastColumn="0"/>
            <w:tcW w:w="2055" w:type="dxa"/>
          </w:tcPr>
          <w:p w14:paraId="5391AC64" w14:textId="77777777" w:rsidR="00EB0024" w:rsidRDefault="00243095">
            <w:pPr>
              <w:spacing w:line="360" w:lineRule="auto"/>
              <w:ind w:right="2"/>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c) Formalidades para emitir el acuerdo de clasificación.</w:t>
            </w:r>
          </w:p>
        </w:tc>
        <w:tc>
          <w:tcPr>
            <w:tcW w:w="7785" w:type="dxa"/>
          </w:tcPr>
          <w:p w14:paraId="168F4CED" w14:textId="77777777" w:rsidR="00EB0024" w:rsidRDefault="00243095">
            <w:pPr>
              <w:spacing w:line="360" w:lineRule="auto"/>
              <w:ind w:right="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14:paraId="1286D659" w14:textId="77777777" w:rsidR="00EB0024" w:rsidRDefault="00243095">
            <w:pPr>
              <w:spacing w:line="360" w:lineRule="auto"/>
              <w:ind w:right="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Es necesario que </w:t>
            </w:r>
            <w:r>
              <w:rPr>
                <w:rFonts w:ascii="Palatino Linotype" w:eastAsia="Palatino Linotype" w:hAnsi="Palatino Linotype" w:cs="Palatino Linotype"/>
                <w:b/>
                <w:sz w:val="20"/>
                <w:szCs w:val="20"/>
                <w:u w:val="single"/>
              </w:rPr>
              <w:t>el acto reúna con los requisitos elementales</w:t>
            </w:r>
            <w:r>
              <w:rPr>
                <w:rFonts w:ascii="Palatino Linotype" w:eastAsia="Palatino Linotype" w:hAnsi="Palatino Linotype" w:cs="Palatino Linotype"/>
                <w:sz w:val="20"/>
                <w:szCs w:val="20"/>
              </w:rPr>
              <w:t>, entre ellos, que la autoridad que va a emitir el acto de autoridad sea la legalmente facultada para ello.</w:t>
            </w:r>
          </w:p>
          <w:p w14:paraId="59D9DB4A" w14:textId="77777777" w:rsidR="00EB0024" w:rsidRDefault="00243095">
            <w:pPr>
              <w:spacing w:line="360" w:lineRule="auto"/>
              <w:ind w:right="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La decisión de aprobar, modificar o revocar la clasificación deberá de asentarse en un documento que registre la determinación a la que se llegue después de un análisis </w:t>
            </w:r>
            <w:r>
              <w:rPr>
                <w:rFonts w:ascii="Palatino Linotype" w:eastAsia="Palatino Linotype" w:hAnsi="Palatino Linotype" w:cs="Palatino Linotype"/>
                <w:sz w:val="20"/>
                <w:szCs w:val="20"/>
              </w:rPr>
              <w:lastRenderedPageBreak/>
              <w:t>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B0024" w14:paraId="56194FBA" w14:textId="77777777" w:rsidTr="00EB0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tcPr>
          <w:p w14:paraId="484ACCF9" w14:textId="77777777" w:rsidR="00EB0024" w:rsidRDefault="00EB0024">
            <w:pPr>
              <w:spacing w:line="360" w:lineRule="auto"/>
              <w:ind w:right="2"/>
              <w:rPr>
                <w:rFonts w:ascii="Palatino Linotype" w:eastAsia="Palatino Linotype" w:hAnsi="Palatino Linotype" w:cs="Palatino Linotype"/>
                <w:sz w:val="20"/>
                <w:szCs w:val="20"/>
              </w:rPr>
            </w:pPr>
          </w:p>
          <w:p w14:paraId="78A64F5C" w14:textId="77777777" w:rsidR="00EB0024" w:rsidRDefault="00243095">
            <w:pPr>
              <w:spacing w:line="360" w:lineRule="auto"/>
              <w:ind w:right="2"/>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 xml:space="preserve">d) Requisitos de fondo del acuerdo de clasificación. </w:t>
            </w:r>
          </w:p>
        </w:tc>
        <w:tc>
          <w:tcPr>
            <w:tcW w:w="7785" w:type="dxa"/>
          </w:tcPr>
          <w:p w14:paraId="1F3F73A3" w14:textId="77777777" w:rsidR="00EB0024" w:rsidRDefault="00243095">
            <w:pPr>
              <w:spacing w:line="360" w:lineRule="auto"/>
              <w:ind w:right="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sz w:val="20"/>
                <w:szCs w:val="20"/>
              </w:rPr>
              <w:t>Sujetos Obligados</w:t>
            </w:r>
            <w:r>
              <w:rPr>
                <w:rFonts w:ascii="Palatino Linotype" w:eastAsia="Palatino Linotype" w:hAnsi="Palatino Linotype" w:cs="Palatino Linotype"/>
                <w:sz w:val="20"/>
                <w:szCs w:val="20"/>
              </w:rPr>
              <w:t xml:space="preserve">, por lo que deberán fundar y motivar debidamente la clasificación. </w:t>
            </w:r>
          </w:p>
          <w:p w14:paraId="6043E764" w14:textId="77777777" w:rsidR="00EB0024" w:rsidRDefault="00243095">
            <w:pPr>
              <w:spacing w:line="360" w:lineRule="auto"/>
              <w:ind w:right="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 lo anterior, se desprende </w:t>
            </w:r>
            <w:proofErr w:type="gramStart"/>
            <w:r>
              <w:rPr>
                <w:rFonts w:ascii="Palatino Linotype" w:eastAsia="Palatino Linotype" w:hAnsi="Palatino Linotype" w:cs="Palatino Linotype"/>
                <w:sz w:val="20"/>
                <w:szCs w:val="20"/>
              </w:rPr>
              <w:t>que</w:t>
            </w:r>
            <w:proofErr w:type="gramEnd"/>
            <w:r>
              <w:rPr>
                <w:rFonts w:ascii="Palatino Linotype" w:eastAsia="Palatino Linotype" w:hAnsi="Palatino Linotype" w:cs="Palatino Linotype"/>
                <w:sz w:val="20"/>
                <w:szCs w:val="20"/>
              </w:rPr>
              <w:t xml:space="preserve"> para una correcta </w:t>
            </w:r>
            <w:r>
              <w:rPr>
                <w:rFonts w:ascii="Palatino Linotype" w:eastAsia="Palatino Linotype" w:hAnsi="Palatino Linotype" w:cs="Palatino Linotype"/>
                <w:b/>
                <w:sz w:val="20"/>
                <w:szCs w:val="20"/>
              </w:rPr>
              <w:t>clasificación total o parcial</w:t>
            </w:r>
            <w:r>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810C37E" w14:textId="77777777" w:rsidR="00EB0024" w:rsidRDefault="00243095">
            <w:pPr>
              <w:spacing w:line="360" w:lineRule="auto"/>
              <w:ind w:right="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6287C49" w14:textId="77777777" w:rsidR="00EB0024" w:rsidRDefault="00243095">
            <w:pPr>
              <w:spacing w:line="360" w:lineRule="auto"/>
              <w:ind w:right="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14:paraId="7A34C93E" w14:textId="77777777" w:rsidR="00EB0024" w:rsidRDefault="00243095">
            <w:pPr>
              <w:spacing w:line="360" w:lineRule="auto"/>
              <w:ind w:right="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Ahora bien, </w:t>
            </w:r>
            <w:r>
              <w:rPr>
                <w:rFonts w:ascii="Palatino Linotype" w:eastAsia="Palatino Linotype" w:hAnsi="Palatino Linotype" w:cs="Palatino Linotype"/>
                <w:b/>
                <w:sz w:val="20"/>
                <w:szCs w:val="20"/>
                <w:u w:val="single"/>
              </w:rPr>
              <w:t>para cada caso además de fundar y motivar</w:t>
            </w:r>
            <w:r>
              <w:rPr>
                <w:rFonts w:ascii="Palatino Linotype" w:eastAsia="Palatino Linotype" w:hAnsi="Palatino Linotype" w:cs="Palatino Linotype"/>
                <w:sz w:val="20"/>
                <w:szCs w:val="20"/>
              </w:rPr>
              <w:t xml:space="preserve">, se debe identificar con claridad que datos contenidos en las documentales que son susceptibles de suprimirse, por ejemplo; Clave Única de Registro de Población (CURP), Registro Federal de Contribuyentes (R.F.C.), claves de seguros, préstamos o descuentos personales, </w:t>
            </w:r>
            <w:r>
              <w:rPr>
                <w:rFonts w:ascii="Palatino Linotype" w:eastAsia="Palatino Linotype" w:hAnsi="Palatino Linotype" w:cs="Palatino Linotype"/>
                <w:sz w:val="20"/>
                <w:szCs w:val="20"/>
              </w:rPr>
              <w:lastRenderedPageBreak/>
              <w:t>secretos bancario, fiduciario, industrial, comercial, fiscal, bursátil y postal, cuya titularidad corresponda a particulares, entre otros.</w:t>
            </w:r>
          </w:p>
        </w:tc>
      </w:tr>
      <w:tr w:rsidR="00EB0024" w14:paraId="111B3452" w14:textId="77777777" w:rsidTr="00EB0024">
        <w:tc>
          <w:tcPr>
            <w:cnfStyle w:val="001000000000" w:firstRow="0" w:lastRow="0" w:firstColumn="1" w:lastColumn="0" w:oddVBand="0" w:evenVBand="0" w:oddHBand="0" w:evenHBand="0" w:firstRowFirstColumn="0" w:firstRowLastColumn="0" w:lastRowFirstColumn="0" w:lastRowLastColumn="0"/>
            <w:tcW w:w="2055" w:type="dxa"/>
          </w:tcPr>
          <w:p w14:paraId="24146452" w14:textId="77777777" w:rsidR="00EB0024" w:rsidRDefault="00243095">
            <w:pPr>
              <w:spacing w:line="360" w:lineRule="auto"/>
              <w:ind w:right="2"/>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lastRenderedPageBreak/>
              <w:t xml:space="preserve">e) Condiciones especiales de la clasificación de la información como confidencial. </w:t>
            </w:r>
          </w:p>
          <w:p w14:paraId="3D5957C9" w14:textId="77777777" w:rsidR="00EB0024" w:rsidRDefault="00EB0024">
            <w:pPr>
              <w:spacing w:line="360" w:lineRule="auto"/>
              <w:ind w:right="2"/>
              <w:rPr>
                <w:rFonts w:ascii="Palatino Linotype" w:eastAsia="Palatino Linotype" w:hAnsi="Palatino Linotype" w:cs="Palatino Linotype"/>
                <w:sz w:val="20"/>
                <w:szCs w:val="20"/>
              </w:rPr>
            </w:pPr>
          </w:p>
        </w:tc>
        <w:tc>
          <w:tcPr>
            <w:tcW w:w="7785" w:type="dxa"/>
          </w:tcPr>
          <w:p w14:paraId="27898420" w14:textId="77777777" w:rsidR="00EB0024" w:rsidRDefault="00243095">
            <w:pPr>
              <w:spacing w:line="360" w:lineRule="auto"/>
              <w:ind w:right="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148 y 120 de la Ley Estatal y de la Ley General, respectivamente, establecen </w:t>
            </w:r>
            <w:proofErr w:type="gramStart"/>
            <w:r>
              <w:rPr>
                <w:rFonts w:ascii="Palatino Linotype" w:eastAsia="Palatino Linotype" w:hAnsi="Palatino Linotype" w:cs="Palatino Linotype"/>
                <w:sz w:val="20"/>
                <w:szCs w:val="20"/>
              </w:rPr>
              <w:t>que</w:t>
            </w:r>
            <w:proofErr w:type="gramEnd"/>
            <w:r>
              <w:rPr>
                <w:rFonts w:ascii="Palatino Linotype" w:eastAsia="Palatino Linotype" w:hAnsi="Palatino Linotype" w:cs="Palatino Linotype"/>
                <w:sz w:val="20"/>
                <w:szCs w:val="20"/>
              </w:rPr>
              <w:t xml:space="preserve"> aun tratándose de datos personales, se podrán proporcionar, incluso sin solicitar el consentimiento de su titular. </w:t>
            </w:r>
          </w:p>
          <w:p w14:paraId="619E8BC0" w14:textId="77777777" w:rsidR="00EB0024" w:rsidRDefault="00243095">
            <w:pPr>
              <w:spacing w:line="360" w:lineRule="auto"/>
              <w:ind w:right="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A643392" w14:textId="77777777" w:rsidR="00EB0024" w:rsidRDefault="00243095">
            <w:pPr>
              <w:spacing w:line="360" w:lineRule="auto"/>
              <w:ind w:right="2"/>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BB2DDD1" w14:textId="77777777" w:rsidR="00EB0024" w:rsidRDefault="00EB0024">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color w:val="000000"/>
        </w:rPr>
      </w:pPr>
    </w:p>
    <w:p w14:paraId="77F48552" w14:textId="77777777" w:rsidR="00EB0024" w:rsidRDefault="00243095">
      <w:pPr>
        <w:numPr>
          <w:ilvl w:val="0"/>
          <w:numId w:val="2"/>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7AAB984A" w14:textId="77777777" w:rsidR="00EB0024" w:rsidRDefault="00EB0024">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23FE58AE" w14:textId="77777777" w:rsidR="00EB0024" w:rsidRDefault="00243095">
      <w:pPr>
        <w:keepNext/>
        <w:keepLines/>
        <w:spacing w:line="360" w:lineRule="auto"/>
        <w:ind w:right="-734"/>
        <w:jc w:val="center"/>
        <w:rPr>
          <w:rFonts w:ascii="Palatino Linotype" w:eastAsia="Palatino Linotype" w:hAnsi="Palatino Linotype" w:cs="Palatino Linotype"/>
          <w:b/>
          <w:color w:val="000000"/>
        </w:rPr>
      </w:pPr>
      <w:bookmarkStart w:id="9" w:name="_heading=h.17dp8vu" w:colFirst="0" w:colLast="0"/>
      <w:bookmarkEnd w:id="9"/>
      <w:r>
        <w:rPr>
          <w:rFonts w:ascii="Palatino Linotype" w:eastAsia="Palatino Linotype" w:hAnsi="Palatino Linotype" w:cs="Palatino Linotype"/>
          <w:b/>
          <w:color w:val="000000"/>
        </w:rPr>
        <w:t>R E S O L U T I V O S</w:t>
      </w:r>
    </w:p>
    <w:p w14:paraId="6F9CC02F" w14:textId="77777777" w:rsidR="00EB0024" w:rsidRDefault="00EB0024">
      <w:pPr>
        <w:keepNext/>
        <w:keepLines/>
        <w:spacing w:line="360" w:lineRule="auto"/>
        <w:ind w:right="-734"/>
        <w:jc w:val="center"/>
        <w:rPr>
          <w:rFonts w:ascii="Palatino Linotype" w:eastAsia="Palatino Linotype" w:hAnsi="Palatino Linotype" w:cs="Palatino Linotype"/>
          <w:b/>
          <w:color w:val="000000"/>
        </w:rPr>
      </w:pPr>
    </w:p>
    <w:p w14:paraId="6B85B505" w14:textId="77777777" w:rsidR="00EB0024" w:rsidRDefault="00243095">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 xml:space="preserve">01588/INFOEM/IP/RR/2024, </w:t>
      </w:r>
      <w:r>
        <w:rPr>
          <w:rFonts w:ascii="Palatino Linotype" w:eastAsia="Palatino Linotype" w:hAnsi="Palatino Linotype" w:cs="Palatino Linotype"/>
        </w:rPr>
        <w:t xml:space="preserve">en términos del </w:t>
      </w:r>
      <w:r>
        <w:rPr>
          <w:rFonts w:ascii="Palatino Linotype" w:eastAsia="Palatino Linotype" w:hAnsi="Palatino Linotype" w:cs="Palatino Linotype"/>
          <w:b/>
        </w:rPr>
        <w:t>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CUARTO y </w:t>
      </w:r>
      <w:proofErr w:type="gramStart"/>
      <w:r>
        <w:rPr>
          <w:rFonts w:ascii="Palatino Linotype" w:eastAsia="Palatino Linotype" w:hAnsi="Palatino Linotype" w:cs="Palatino Linotype"/>
          <w:b/>
        </w:rPr>
        <w:t xml:space="preserve">QUINTO  </w:t>
      </w:r>
      <w:r>
        <w:rPr>
          <w:rFonts w:ascii="Palatino Linotype" w:eastAsia="Palatino Linotype" w:hAnsi="Palatino Linotype" w:cs="Palatino Linotype"/>
        </w:rPr>
        <w:t>de</w:t>
      </w:r>
      <w:proofErr w:type="gramEnd"/>
      <w:r>
        <w:rPr>
          <w:rFonts w:ascii="Palatino Linotype" w:eastAsia="Palatino Linotype" w:hAnsi="Palatino Linotype" w:cs="Palatino Linotype"/>
        </w:rPr>
        <w:t xml:space="preserve"> la presente resolución.</w:t>
      </w:r>
    </w:p>
    <w:p w14:paraId="037E7B07" w14:textId="77777777" w:rsidR="00EB0024" w:rsidRDefault="00EB0024">
      <w:pPr>
        <w:spacing w:line="360" w:lineRule="auto"/>
        <w:ind w:right="-734"/>
        <w:jc w:val="both"/>
        <w:rPr>
          <w:rFonts w:ascii="Palatino Linotype" w:eastAsia="Palatino Linotype" w:hAnsi="Palatino Linotype" w:cs="Palatino Linotype"/>
        </w:rPr>
      </w:pPr>
    </w:p>
    <w:p w14:paraId="264278E9" w14:textId="77777777" w:rsidR="00EB0024" w:rsidRDefault="00243095">
      <w:pPr>
        <w:spacing w:line="360" w:lineRule="auto"/>
        <w:ind w:right="-734"/>
        <w:jc w:val="both"/>
        <w:rPr>
          <w:rFonts w:ascii="Palatino Linotype" w:eastAsia="Palatino Linotype" w:hAnsi="Palatino Linotype" w:cs="Palatino Linotype"/>
        </w:rPr>
      </w:pPr>
      <w:bookmarkStart w:id="10" w:name="_heading=h.3rdcrjn" w:colFirst="0" w:colLast="0"/>
      <w:bookmarkEnd w:id="10"/>
      <w:r>
        <w:rPr>
          <w:rFonts w:ascii="Palatino Linotype" w:eastAsia="Palatino Linotype" w:hAnsi="Palatino Linotype" w:cs="Palatino Linotype"/>
          <w:b/>
        </w:rPr>
        <w:t>SEGUNDO.</w:t>
      </w:r>
      <w:r>
        <w:rPr>
          <w:rFonts w:ascii="Palatino Linotype" w:eastAsia="Palatino Linotype" w:hAnsi="Palatino Linotype" w:cs="Palatino Linotype"/>
          <w:color w:val="2F5496"/>
        </w:rPr>
        <w:t xml:space="preserve"> </w:t>
      </w:r>
      <w:r>
        <w:rPr>
          <w:rFonts w:ascii="Palatino Linotype" w:eastAsia="Palatino Linotype" w:hAnsi="Palatino Linotype" w:cs="Palatino Linotype"/>
        </w:rPr>
        <w:t>Se</w:t>
      </w:r>
      <w:r>
        <w:rPr>
          <w:rFonts w:ascii="Palatino Linotype" w:eastAsia="Palatino Linotype" w:hAnsi="Palatino Linotype" w:cs="Palatino Linotype"/>
          <w:b/>
        </w:rPr>
        <w:t xml:space="preserve"> REVOCA </w:t>
      </w:r>
      <w:r>
        <w:rPr>
          <w:rFonts w:ascii="Palatino Linotype" w:eastAsia="Palatino Linotype" w:hAnsi="Palatino Linotype" w:cs="Palatino Linotype"/>
        </w:rPr>
        <w:t xml:space="preserve">la respuesta emitida por el </w:t>
      </w:r>
      <w:r>
        <w:rPr>
          <w:rFonts w:ascii="Palatino Linotype" w:eastAsia="Palatino Linotype" w:hAnsi="Palatino Linotype" w:cs="Palatino Linotype"/>
          <w:b/>
        </w:rPr>
        <w:t xml:space="preserve">Ayuntamiento de Tlalnepantla de Baz </w:t>
      </w:r>
      <w:r>
        <w:rPr>
          <w:rFonts w:ascii="Palatino Linotype" w:eastAsia="Palatino Linotype" w:hAnsi="Palatino Linotype" w:cs="Palatino Linotype"/>
        </w:rPr>
        <w:t>y se</w:t>
      </w:r>
      <w:r>
        <w:rPr>
          <w:rFonts w:ascii="Palatino Linotype" w:eastAsia="Palatino Linotype" w:hAnsi="Palatino Linotype" w:cs="Palatino Linotype"/>
          <w:b/>
        </w:rPr>
        <w:t xml:space="preserve"> ORDENA </w:t>
      </w:r>
      <w:r>
        <w:rPr>
          <w:rFonts w:ascii="Palatino Linotype" w:eastAsia="Palatino Linotype" w:hAnsi="Palatino Linotype" w:cs="Palatino Linotype"/>
        </w:rPr>
        <w:t xml:space="preserve">entregar vía Sistema de Accesos a la Información Mexiquense (SAIMEX), de </w:t>
      </w:r>
      <w:r>
        <w:rPr>
          <w:rFonts w:ascii="Palatino Linotype" w:eastAsia="Palatino Linotype" w:hAnsi="Palatino Linotype" w:cs="Palatino Linotype"/>
        </w:rPr>
        <w:lastRenderedPageBreak/>
        <w:t>ser procedente en versión pública, correspondiente al ejercicio fiscal 2022, la siguiente información:</w:t>
      </w:r>
    </w:p>
    <w:p w14:paraId="5F25536A" w14:textId="77777777" w:rsidR="00EB0024" w:rsidRDefault="00EB0024">
      <w:pPr>
        <w:spacing w:line="360" w:lineRule="auto"/>
        <w:ind w:right="-734"/>
        <w:jc w:val="both"/>
        <w:rPr>
          <w:rFonts w:ascii="Palatino Linotype" w:eastAsia="Palatino Linotype" w:hAnsi="Palatino Linotype" w:cs="Palatino Linotype"/>
        </w:rPr>
      </w:pPr>
    </w:p>
    <w:p w14:paraId="35FE025E" w14:textId="77777777" w:rsidR="00EB0024" w:rsidRDefault="00243095">
      <w:pPr>
        <w:numPr>
          <w:ilvl w:val="2"/>
          <w:numId w:val="7"/>
        </w:numPr>
        <w:pBdr>
          <w:top w:val="nil"/>
          <w:left w:val="nil"/>
          <w:bottom w:val="nil"/>
          <w:right w:val="nil"/>
          <w:between w:val="nil"/>
        </w:pBdr>
        <w:spacing w:line="360" w:lineRule="auto"/>
        <w:ind w:left="851"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El o los documentos donde conste la evidencia que compruebe, justifique y acredite la entrega y aplicación de los bienes adquiridos y relacionados con lo siguiente:</w:t>
      </w:r>
    </w:p>
    <w:p w14:paraId="6CADA976" w14:textId="77777777" w:rsidR="00EB0024" w:rsidRDefault="00EB0024">
      <w:pPr>
        <w:pBdr>
          <w:top w:val="nil"/>
          <w:left w:val="nil"/>
          <w:bottom w:val="nil"/>
          <w:right w:val="nil"/>
          <w:between w:val="nil"/>
        </w:pBdr>
        <w:spacing w:line="360" w:lineRule="auto"/>
        <w:ind w:left="851" w:right="-734"/>
        <w:jc w:val="both"/>
        <w:rPr>
          <w:rFonts w:ascii="Palatino Linotype" w:eastAsia="Palatino Linotype" w:hAnsi="Palatino Linotype" w:cs="Palatino Linotype"/>
          <w:b/>
          <w:color w:val="000000"/>
        </w:rPr>
      </w:pPr>
    </w:p>
    <w:p w14:paraId="5D4B017C" w14:textId="77777777" w:rsidR="00EB0024" w:rsidRDefault="00243095">
      <w:pPr>
        <w:numPr>
          <w:ilvl w:val="3"/>
          <w:numId w:val="2"/>
        </w:numPr>
        <w:pBdr>
          <w:top w:val="nil"/>
          <w:left w:val="nil"/>
          <w:bottom w:val="nil"/>
          <w:right w:val="nil"/>
          <w:between w:val="nil"/>
        </w:pBdr>
        <w:spacing w:line="360" w:lineRule="auto"/>
        <w:ind w:left="1134"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Adquisición de mangueras luminosas;</w:t>
      </w:r>
    </w:p>
    <w:p w14:paraId="2184E85C" w14:textId="77777777" w:rsidR="00EB0024" w:rsidRDefault="00243095">
      <w:pPr>
        <w:numPr>
          <w:ilvl w:val="3"/>
          <w:numId w:val="2"/>
        </w:numPr>
        <w:pBdr>
          <w:top w:val="nil"/>
          <w:left w:val="nil"/>
          <w:bottom w:val="nil"/>
          <w:right w:val="nil"/>
          <w:between w:val="nil"/>
        </w:pBdr>
        <w:spacing w:line="360" w:lineRule="auto"/>
        <w:ind w:left="1134"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Suministro y Adquisición de material para operación del Departamento de Servicios Generales;</w:t>
      </w:r>
    </w:p>
    <w:p w14:paraId="02D2E3FF" w14:textId="77777777" w:rsidR="00EB0024" w:rsidRDefault="00243095">
      <w:pPr>
        <w:numPr>
          <w:ilvl w:val="3"/>
          <w:numId w:val="2"/>
        </w:numPr>
        <w:pBdr>
          <w:top w:val="nil"/>
          <w:left w:val="nil"/>
          <w:bottom w:val="nil"/>
          <w:right w:val="nil"/>
          <w:between w:val="nil"/>
        </w:pBdr>
        <w:spacing w:line="360" w:lineRule="auto"/>
        <w:ind w:left="1134"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Adquisición de productos de construcción hecho de hierro, acero, aluminio, cobre, zinc, bronce y otras aleaciones tales como lingotes, planchas, planchones, hojalatas, perfiles alambres, varillas, ventanas, puertas metálicas, clavos, tornillos y tuercas de todo tipo, mallas ciclónicas y cercas metálicas;</w:t>
      </w:r>
    </w:p>
    <w:p w14:paraId="6F81678E" w14:textId="77777777" w:rsidR="00EB0024" w:rsidRDefault="00243095">
      <w:pPr>
        <w:numPr>
          <w:ilvl w:val="3"/>
          <w:numId w:val="2"/>
        </w:numPr>
        <w:pBdr>
          <w:top w:val="nil"/>
          <w:left w:val="nil"/>
          <w:bottom w:val="nil"/>
          <w:right w:val="nil"/>
          <w:between w:val="nil"/>
        </w:pBdr>
        <w:spacing w:line="360" w:lineRule="auto"/>
        <w:ind w:left="1134"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Suministro de impermeabilizante, </w:t>
      </w:r>
      <w:proofErr w:type="spellStart"/>
      <w:r>
        <w:rPr>
          <w:rFonts w:ascii="Palatino Linotype" w:eastAsia="Palatino Linotype" w:hAnsi="Palatino Linotype" w:cs="Palatino Linotype"/>
          <w:b/>
          <w:color w:val="000000"/>
        </w:rPr>
        <w:t>resanador</w:t>
      </w:r>
      <w:proofErr w:type="spellEnd"/>
      <w:r>
        <w:rPr>
          <w:rFonts w:ascii="Palatino Linotype" w:eastAsia="Palatino Linotype" w:hAnsi="Palatino Linotype" w:cs="Palatino Linotype"/>
          <w:b/>
          <w:color w:val="000000"/>
        </w:rPr>
        <w:t xml:space="preserve"> para muros, sellador para muros, </w:t>
      </w:r>
      <w:proofErr w:type="spellStart"/>
      <w:r>
        <w:rPr>
          <w:rFonts w:ascii="Palatino Linotype" w:eastAsia="Palatino Linotype" w:hAnsi="Palatino Linotype" w:cs="Palatino Linotype"/>
          <w:b/>
          <w:color w:val="000000"/>
        </w:rPr>
        <w:t>thinner</w:t>
      </w:r>
      <w:proofErr w:type="spellEnd"/>
      <w:r>
        <w:rPr>
          <w:rFonts w:ascii="Palatino Linotype" w:eastAsia="Palatino Linotype" w:hAnsi="Palatino Linotype" w:cs="Palatino Linotype"/>
          <w:b/>
          <w:color w:val="000000"/>
        </w:rPr>
        <w:t>, primer, plaste, laca, pega yeso, mortero, taquetes de plástico, estopa, rodillos, extensión para rodillo, brochas, lijas, Resistol 5000, cepillo para impermeabilizar, barrotes, malla metálica, felpas y solventes;</w:t>
      </w:r>
    </w:p>
    <w:p w14:paraId="526E9C16" w14:textId="77777777" w:rsidR="00EB0024" w:rsidRDefault="00243095">
      <w:pPr>
        <w:numPr>
          <w:ilvl w:val="3"/>
          <w:numId w:val="2"/>
        </w:numPr>
        <w:pBdr>
          <w:top w:val="nil"/>
          <w:left w:val="nil"/>
          <w:bottom w:val="nil"/>
          <w:right w:val="nil"/>
          <w:between w:val="nil"/>
        </w:pBdr>
        <w:spacing w:line="360" w:lineRule="auto"/>
        <w:ind w:left="1134"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Adquisición de pintura vinílica varios colores, pintura en aerosol, pintura esmalte en varios colores, pintura tráfico, pintura acrílica; </w:t>
      </w:r>
    </w:p>
    <w:p w14:paraId="7866DF51" w14:textId="77777777" w:rsidR="00EB0024" w:rsidRDefault="00243095">
      <w:pPr>
        <w:numPr>
          <w:ilvl w:val="3"/>
          <w:numId w:val="2"/>
        </w:numPr>
        <w:pBdr>
          <w:top w:val="nil"/>
          <w:left w:val="nil"/>
          <w:bottom w:val="nil"/>
          <w:right w:val="nil"/>
          <w:between w:val="nil"/>
        </w:pBdr>
        <w:spacing w:line="360" w:lineRule="auto"/>
        <w:ind w:left="1134" w:right="-734" w:firstLine="0"/>
        <w:jc w:val="both"/>
        <w:rPr>
          <w:rFonts w:ascii="Palatino Linotype" w:eastAsia="Palatino Linotype" w:hAnsi="Palatino Linotype" w:cs="Palatino Linotype"/>
          <w:b/>
          <w:color w:val="000000"/>
        </w:rPr>
      </w:pPr>
      <w:bookmarkStart w:id="11" w:name="_heading=h.26in1rg" w:colFirst="0" w:colLast="0"/>
      <w:bookmarkEnd w:id="11"/>
      <w:r>
        <w:rPr>
          <w:rFonts w:ascii="Palatino Linotype" w:eastAsia="Palatino Linotype" w:hAnsi="Palatino Linotype" w:cs="Palatino Linotype"/>
          <w:b/>
          <w:color w:val="000000"/>
        </w:rPr>
        <w:t>Suministro de pintura termoplástica de color verde tráfico y blanco tráfico;</w:t>
      </w:r>
    </w:p>
    <w:p w14:paraId="1D9212C6" w14:textId="77777777" w:rsidR="00EB0024" w:rsidRDefault="00243095">
      <w:pPr>
        <w:numPr>
          <w:ilvl w:val="3"/>
          <w:numId w:val="2"/>
        </w:numPr>
        <w:pBdr>
          <w:top w:val="nil"/>
          <w:left w:val="nil"/>
          <w:bottom w:val="nil"/>
          <w:right w:val="nil"/>
          <w:between w:val="nil"/>
        </w:pBdr>
        <w:spacing w:line="360" w:lineRule="auto"/>
        <w:ind w:left="1134"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Adquisición de 106 cubetas de pintura esmalte varios colores y 53 cubetas de pintura vinílica varios colores;</w:t>
      </w:r>
    </w:p>
    <w:p w14:paraId="07E70296" w14:textId="77777777" w:rsidR="00EB0024" w:rsidRDefault="00243095">
      <w:pPr>
        <w:numPr>
          <w:ilvl w:val="3"/>
          <w:numId w:val="2"/>
        </w:numPr>
        <w:pBdr>
          <w:top w:val="nil"/>
          <w:left w:val="nil"/>
          <w:bottom w:val="nil"/>
          <w:right w:val="nil"/>
          <w:between w:val="nil"/>
        </w:pBdr>
        <w:spacing w:line="360" w:lineRule="auto"/>
        <w:ind w:left="1134"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Material para impermeabilizar;</w:t>
      </w:r>
    </w:p>
    <w:p w14:paraId="445AE100" w14:textId="77777777" w:rsidR="00EB0024" w:rsidRDefault="00243095">
      <w:pPr>
        <w:numPr>
          <w:ilvl w:val="3"/>
          <w:numId w:val="2"/>
        </w:numPr>
        <w:pBdr>
          <w:top w:val="nil"/>
          <w:left w:val="nil"/>
          <w:bottom w:val="nil"/>
          <w:right w:val="nil"/>
          <w:between w:val="nil"/>
        </w:pBdr>
        <w:spacing w:line="360" w:lineRule="auto"/>
        <w:ind w:left="1134"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 xml:space="preserve">Suministro de toda clase de estructuras y manufacturas que se utilizan en la construcción, reconstrucción, ampliación, adaptación, mejora, conservación y mantenimiento de toda clase de muebles e inmuebles tales como postes, torres, ventanas, herrajes, puertas, cristales, tanques, lavabos, fregaderos, inodoros, tuberías y todo tipo de accesorios necesarios para los mismos fines. </w:t>
      </w:r>
    </w:p>
    <w:p w14:paraId="6D7692CA" w14:textId="77777777" w:rsidR="00EB0024" w:rsidRDefault="00EB0024">
      <w:pPr>
        <w:spacing w:line="360" w:lineRule="auto"/>
        <w:ind w:right="-734"/>
        <w:jc w:val="both"/>
        <w:rPr>
          <w:rFonts w:ascii="Palatino Linotype" w:eastAsia="Palatino Linotype" w:hAnsi="Palatino Linotype" w:cs="Palatino Linotype"/>
          <w:b/>
          <w:color w:val="000000"/>
        </w:rPr>
      </w:pPr>
    </w:p>
    <w:p w14:paraId="78EA4EC2" w14:textId="77777777" w:rsidR="00EB0024" w:rsidRDefault="00243095">
      <w:pPr>
        <w:tabs>
          <w:tab w:val="left" w:pos="8080"/>
        </w:tabs>
        <w:spacing w:line="360" w:lineRule="auto"/>
        <w:ind w:right="-734"/>
        <w:jc w:val="both"/>
        <w:rPr>
          <w:rFonts w:ascii="Palatino Linotype" w:eastAsia="Palatino Linotype" w:hAnsi="Palatino Linotype" w:cs="Palatino Linotype"/>
          <w:b/>
        </w:rPr>
      </w:pPr>
      <w:r>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Pr>
          <w:rFonts w:ascii="Palatino Linotype" w:eastAsia="Palatino Linotype" w:hAnsi="Palatino Linotype" w:cs="Palatino Linotype"/>
          <w:b/>
        </w:rPr>
        <w:t xml:space="preserve"> RECURRENTE.</w:t>
      </w:r>
    </w:p>
    <w:p w14:paraId="4FDC6096" w14:textId="77777777" w:rsidR="00EB0024" w:rsidRDefault="00EB0024">
      <w:pPr>
        <w:tabs>
          <w:tab w:val="left" w:pos="8080"/>
        </w:tabs>
        <w:spacing w:line="360" w:lineRule="auto"/>
        <w:ind w:right="-734"/>
        <w:jc w:val="both"/>
        <w:rPr>
          <w:rFonts w:ascii="Palatino Linotype" w:eastAsia="Palatino Linotype" w:hAnsi="Palatino Linotype" w:cs="Palatino Linotype"/>
          <w:b/>
        </w:rPr>
      </w:pPr>
    </w:p>
    <w:p w14:paraId="54723AED" w14:textId="77777777" w:rsidR="00EB0024" w:rsidRDefault="00243095">
      <w:pPr>
        <w:tabs>
          <w:tab w:val="left" w:pos="8080"/>
        </w:tabs>
        <w:spacing w:line="360" w:lineRule="auto"/>
        <w:ind w:right="-734"/>
        <w:jc w:val="both"/>
        <w:rPr>
          <w:rFonts w:ascii="Palatino Linotype" w:eastAsia="Palatino Linotype" w:hAnsi="Palatino Linotype" w:cs="Palatino Linotype"/>
          <w:color w:val="222222"/>
          <w:highlight w:val="white"/>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dé cumplimiento a lo ordenado dentro del plazo de diez días hábiles,</w:t>
      </w:r>
      <w:r>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D4B672C" w14:textId="77777777" w:rsidR="00EB0024" w:rsidRDefault="00EB0024">
      <w:pPr>
        <w:tabs>
          <w:tab w:val="left" w:pos="8080"/>
        </w:tabs>
        <w:spacing w:line="360" w:lineRule="auto"/>
        <w:ind w:right="-734"/>
        <w:jc w:val="both"/>
        <w:rPr>
          <w:rFonts w:ascii="Palatino Linotype" w:eastAsia="Palatino Linotype" w:hAnsi="Palatino Linotype" w:cs="Palatino Linotype"/>
          <w:color w:val="222222"/>
          <w:highlight w:val="white"/>
        </w:rPr>
      </w:pPr>
    </w:p>
    <w:p w14:paraId="10C1CAFE" w14:textId="77777777" w:rsidR="00EB0024" w:rsidRDefault="00243095">
      <w:pPr>
        <w:shd w:val="clear" w:color="auto" w:fill="FFFFFF"/>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CUARTO. Notifíquese al RECURRENTE</w:t>
      </w:r>
      <w:r>
        <w:rPr>
          <w:rFonts w:ascii="Palatino Linotype" w:eastAsia="Palatino Linotype" w:hAnsi="Palatino Linotype" w:cs="Palatino Linotype"/>
        </w:rPr>
        <w:t xml:space="preserve"> la presente resolución vía SAIMEX.</w:t>
      </w:r>
    </w:p>
    <w:p w14:paraId="75953B1A" w14:textId="77777777" w:rsidR="00EB0024" w:rsidRDefault="00EB0024">
      <w:pPr>
        <w:shd w:val="clear" w:color="auto" w:fill="FFFFFF"/>
        <w:spacing w:line="360" w:lineRule="auto"/>
        <w:ind w:right="-734"/>
        <w:jc w:val="both"/>
        <w:rPr>
          <w:rFonts w:ascii="Palatino Linotype" w:eastAsia="Palatino Linotype" w:hAnsi="Palatino Linotype" w:cs="Palatino Linotype"/>
        </w:rPr>
      </w:pPr>
    </w:p>
    <w:p w14:paraId="79094390" w14:textId="77777777" w:rsidR="00EB0024" w:rsidRDefault="00243095">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Se hace del conocimiento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7371D389" w14:textId="77777777" w:rsidR="00EB0024" w:rsidRDefault="00EB0024">
      <w:pPr>
        <w:spacing w:line="360" w:lineRule="auto"/>
        <w:ind w:right="-734"/>
        <w:jc w:val="both"/>
        <w:rPr>
          <w:rFonts w:ascii="Palatino Linotype" w:eastAsia="Palatino Linotype" w:hAnsi="Palatino Linotype" w:cs="Palatino Linotype"/>
          <w:color w:val="000000"/>
          <w:highlight w:val="white"/>
        </w:rPr>
      </w:pPr>
    </w:p>
    <w:p w14:paraId="70CD2215" w14:textId="77777777" w:rsidR="00EB0024" w:rsidRDefault="00243095">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xml:space="preserve">SEXTO. </w:t>
      </w:r>
      <w:r>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8A16E74" w14:textId="77777777" w:rsidR="00EB0024" w:rsidRDefault="00EB0024">
      <w:pPr>
        <w:shd w:val="clear" w:color="auto" w:fill="FFFFFF"/>
        <w:spacing w:line="360" w:lineRule="auto"/>
        <w:ind w:right="-734"/>
        <w:jc w:val="both"/>
        <w:rPr>
          <w:rFonts w:ascii="Palatino Linotype" w:eastAsia="Palatino Linotype" w:hAnsi="Palatino Linotype" w:cs="Palatino Linotype"/>
        </w:rPr>
      </w:pPr>
    </w:p>
    <w:p w14:paraId="3416FE21" w14:textId="77777777" w:rsidR="000D0283" w:rsidRPr="003C7186" w:rsidRDefault="000D0283" w:rsidP="000D0283">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w:t>
      </w:r>
      <w:r w:rsidRPr="003C7186">
        <w:rPr>
          <w:rFonts w:ascii="Palatino Linotype" w:hAnsi="Palatino Linotype"/>
        </w:rPr>
        <w:t xml:space="preserve">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NOVIEMBRE</w:t>
      </w:r>
      <w:r w:rsidRPr="003C7186">
        <w:rPr>
          <w:rFonts w:ascii="Palatino Linotype" w:hAnsi="Palatino Linotype"/>
        </w:rPr>
        <w:t xml:space="preserve"> DE DOS MIL VEINTICUATRO, ANTE EL SECRETARIO TÉCNICO DEL PLENO ALEXIS TAPIA RAMÍREZ. </w:t>
      </w:r>
    </w:p>
    <w:p w14:paraId="71201559" w14:textId="77777777" w:rsidR="00EB0024" w:rsidRDefault="00EB0024">
      <w:pPr>
        <w:spacing w:line="360" w:lineRule="auto"/>
        <w:ind w:right="-734"/>
        <w:rPr>
          <w:rFonts w:ascii="Palatino Linotype" w:eastAsia="Palatino Linotype" w:hAnsi="Palatino Linotype" w:cs="Palatino Linotype"/>
        </w:rPr>
      </w:pPr>
    </w:p>
    <w:p w14:paraId="76DFDD9B" w14:textId="77777777" w:rsidR="00F35819" w:rsidRDefault="00F35819">
      <w:pPr>
        <w:rPr>
          <w:rFonts w:ascii="Palatino Linotype" w:eastAsia="Palatino Linotype" w:hAnsi="Palatino Linotype" w:cs="Palatino Linotype"/>
        </w:rPr>
      </w:pPr>
      <w:r>
        <w:rPr>
          <w:rFonts w:ascii="Palatino Linotype" w:eastAsia="Palatino Linotype" w:hAnsi="Palatino Linotype" w:cs="Palatino Linotype"/>
        </w:rPr>
        <w:br w:type="page"/>
      </w:r>
    </w:p>
    <w:p w14:paraId="05458144" w14:textId="77777777" w:rsidR="00EB0024" w:rsidRDefault="00EB0024">
      <w:pPr>
        <w:ind w:right="-734"/>
        <w:rPr>
          <w:rFonts w:ascii="Palatino Linotype" w:eastAsia="Palatino Linotype" w:hAnsi="Palatino Linotype" w:cs="Palatino Linotype"/>
        </w:rPr>
      </w:pPr>
    </w:p>
    <w:p w14:paraId="567CCE37" w14:textId="77777777" w:rsidR="00EB0024" w:rsidRDefault="00EB0024">
      <w:pPr>
        <w:ind w:right="-734"/>
        <w:rPr>
          <w:rFonts w:ascii="Palatino Linotype" w:eastAsia="Palatino Linotype" w:hAnsi="Palatino Linotype" w:cs="Palatino Linotype"/>
        </w:rPr>
      </w:pPr>
    </w:p>
    <w:p w14:paraId="0CFFFCE2" w14:textId="77777777" w:rsidR="00EB0024" w:rsidRDefault="00EB0024">
      <w:pPr>
        <w:ind w:right="-734"/>
        <w:rPr>
          <w:rFonts w:ascii="Palatino Linotype" w:eastAsia="Palatino Linotype" w:hAnsi="Palatino Linotype" w:cs="Palatino Linotype"/>
        </w:rPr>
      </w:pPr>
    </w:p>
    <w:p w14:paraId="539528F7" w14:textId="77777777" w:rsidR="00EB0024" w:rsidRDefault="00EB0024">
      <w:pPr>
        <w:ind w:right="-734"/>
        <w:rPr>
          <w:rFonts w:ascii="Palatino Linotype" w:eastAsia="Palatino Linotype" w:hAnsi="Palatino Linotype" w:cs="Palatino Linotype"/>
        </w:rPr>
      </w:pPr>
    </w:p>
    <w:p w14:paraId="1C5174C8" w14:textId="77777777" w:rsidR="00EB0024" w:rsidRDefault="00EB0024">
      <w:pPr>
        <w:ind w:right="-734"/>
        <w:rPr>
          <w:rFonts w:ascii="Palatino Linotype" w:eastAsia="Palatino Linotype" w:hAnsi="Palatino Linotype" w:cs="Palatino Linotype"/>
        </w:rPr>
      </w:pPr>
    </w:p>
    <w:p w14:paraId="7BF9E974" w14:textId="77777777" w:rsidR="00EB0024" w:rsidRDefault="00EB0024">
      <w:pPr>
        <w:ind w:right="-734"/>
      </w:pPr>
    </w:p>
    <w:p w14:paraId="3D7E0E50" w14:textId="77777777" w:rsidR="00EB0024" w:rsidRDefault="00EB0024">
      <w:pPr>
        <w:ind w:right="-734"/>
      </w:pPr>
    </w:p>
    <w:sectPr w:rsidR="00EB0024">
      <w:headerReference w:type="even" r:id="rId11"/>
      <w:headerReference w:type="default" r:id="rId12"/>
      <w:footerReference w:type="default" r:id="rId13"/>
      <w:headerReference w:type="first" r:id="rId14"/>
      <w:footerReference w:type="first" r:id="rId15"/>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E2837" w14:textId="77777777" w:rsidR="0059486C" w:rsidRDefault="0059486C">
      <w:r>
        <w:separator/>
      </w:r>
    </w:p>
  </w:endnote>
  <w:endnote w:type="continuationSeparator" w:id="0">
    <w:p w14:paraId="42342F29" w14:textId="77777777" w:rsidR="0059486C" w:rsidRDefault="0059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8D8C" w14:textId="77777777" w:rsidR="00EB0024" w:rsidRDefault="0024309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04322B">
      <w:rPr>
        <w:b/>
        <w:noProof/>
        <w:color w:val="000000"/>
      </w:rPr>
      <w:t>32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04322B">
      <w:rPr>
        <w:b/>
        <w:noProof/>
        <w:color w:val="000000"/>
      </w:rPr>
      <w:t>34</w:t>
    </w:r>
    <w:r>
      <w:rPr>
        <w:b/>
        <w:color w:val="000000"/>
      </w:rPr>
      <w:fldChar w:fldCharType="end"/>
    </w:r>
  </w:p>
  <w:p w14:paraId="0B8A0D1A" w14:textId="77777777" w:rsidR="00EB0024" w:rsidRDefault="00EB002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473E" w14:textId="77777777" w:rsidR="00EB0024" w:rsidRDefault="0024309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04322B">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04322B">
      <w:rPr>
        <w:b/>
        <w:noProof/>
        <w:color w:val="000000"/>
      </w:rPr>
      <w:t>34</w:t>
    </w:r>
    <w:r>
      <w:rPr>
        <w:b/>
        <w:color w:val="000000"/>
      </w:rPr>
      <w:fldChar w:fldCharType="end"/>
    </w:r>
  </w:p>
  <w:p w14:paraId="3D6BF5BB" w14:textId="77777777" w:rsidR="00EB0024" w:rsidRDefault="00EB002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5C06" w14:textId="77777777" w:rsidR="0059486C" w:rsidRDefault="0059486C">
      <w:r>
        <w:separator/>
      </w:r>
    </w:p>
  </w:footnote>
  <w:footnote w:type="continuationSeparator" w:id="0">
    <w:p w14:paraId="6B44F0EC" w14:textId="77777777" w:rsidR="0059486C" w:rsidRDefault="0059486C">
      <w:r>
        <w:continuationSeparator/>
      </w:r>
    </w:p>
  </w:footnote>
  <w:footnote w:id="1">
    <w:p w14:paraId="39A665DD" w14:textId="77777777" w:rsidR="00EB0024" w:rsidRDefault="0024309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14:paraId="3F9E9C3D" w14:textId="77777777" w:rsidR="00EB0024" w:rsidRDefault="00243095">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2">
    <w:p w14:paraId="42DC988B" w14:textId="77777777" w:rsidR="00EB0024" w:rsidRDefault="0024309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Ley de Transparencia y Acceso a la Información Pública del Estado de México y Municipios. Artículo 9. …</w:t>
      </w:r>
    </w:p>
    <w:p w14:paraId="23D4D1CF" w14:textId="77777777" w:rsidR="00EB0024" w:rsidRDefault="00243095">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II. Eficacia: Obligación del Instituto para tutelar, de manera efectiva, el derecho de acceso a la información;</w:t>
      </w:r>
    </w:p>
    <w:p w14:paraId="3681A65A" w14:textId="77777777" w:rsidR="00EB0024" w:rsidRDefault="00243095">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1FA8" w14:textId="77777777" w:rsidR="00EB0024" w:rsidRDefault="0059486C">
    <w:pPr>
      <w:pBdr>
        <w:top w:val="nil"/>
        <w:left w:val="nil"/>
        <w:bottom w:val="nil"/>
        <w:right w:val="nil"/>
        <w:between w:val="nil"/>
      </w:pBdr>
      <w:tabs>
        <w:tab w:val="center" w:pos="4419"/>
        <w:tab w:val="right" w:pos="8838"/>
      </w:tabs>
      <w:rPr>
        <w:color w:val="000000"/>
      </w:rPr>
    </w:pPr>
    <w:r>
      <w:rPr>
        <w:color w:val="000000"/>
      </w:rPr>
      <w:pict w14:anchorId="1A473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39DF" w14:textId="77777777" w:rsidR="00EB0024" w:rsidRDefault="00EB0024">
    <w:pPr>
      <w:widowControl w:val="0"/>
      <w:pBdr>
        <w:top w:val="nil"/>
        <w:left w:val="nil"/>
        <w:bottom w:val="nil"/>
        <w:right w:val="nil"/>
        <w:between w:val="nil"/>
      </w:pBdr>
      <w:spacing w:line="276" w:lineRule="auto"/>
      <w:rPr>
        <w:color w:val="000000"/>
      </w:rPr>
    </w:pPr>
  </w:p>
  <w:tbl>
    <w:tblPr>
      <w:tblStyle w:val="a1"/>
      <w:tblW w:w="9214" w:type="dxa"/>
      <w:tblInd w:w="0" w:type="dxa"/>
      <w:tblLayout w:type="fixed"/>
      <w:tblLook w:val="0400" w:firstRow="0" w:lastRow="0" w:firstColumn="0" w:lastColumn="0" w:noHBand="0" w:noVBand="1"/>
    </w:tblPr>
    <w:tblGrid>
      <w:gridCol w:w="2268"/>
      <w:gridCol w:w="6946"/>
    </w:tblGrid>
    <w:tr w:rsidR="00EB0024" w14:paraId="0FBCCABB" w14:textId="77777777">
      <w:trPr>
        <w:trHeight w:val="1435"/>
      </w:trPr>
      <w:tc>
        <w:tcPr>
          <w:tcW w:w="2268" w:type="dxa"/>
          <w:shd w:val="clear" w:color="auto" w:fill="auto"/>
        </w:tcPr>
        <w:p w14:paraId="5386D669" w14:textId="77777777" w:rsidR="00EB0024" w:rsidRDefault="00EB0024">
          <w:pPr>
            <w:tabs>
              <w:tab w:val="right" w:pos="4273"/>
            </w:tabs>
            <w:rPr>
              <w:rFonts w:ascii="Garamond" w:eastAsia="Garamond" w:hAnsi="Garamond" w:cs="Garamond"/>
              <w:sz w:val="16"/>
              <w:szCs w:val="16"/>
            </w:rPr>
          </w:pPr>
        </w:p>
      </w:tc>
      <w:tc>
        <w:tcPr>
          <w:tcW w:w="6946" w:type="dxa"/>
          <w:shd w:val="clear" w:color="auto" w:fill="auto"/>
        </w:tcPr>
        <w:p w14:paraId="76DC4F09" w14:textId="77777777" w:rsidR="00EB0024" w:rsidRDefault="00EB0024"/>
        <w:tbl>
          <w:tblPr>
            <w:tblStyle w:val="a2"/>
            <w:tblW w:w="6660" w:type="dxa"/>
            <w:tblInd w:w="40" w:type="dxa"/>
            <w:tblLayout w:type="fixed"/>
            <w:tblLook w:val="0400" w:firstRow="0" w:lastRow="0" w:firstColumn="0" w:lastColumn="0" w:noHBand="0" w:noVBand="1"/>
          </w:tblPr>
          <w:tblGrid>
            <w:gridCol w:w="3632"/>
            <w:gridCol w:w="3028"/>
          </w:tblGrid>
          <w:tr w:rsidR="00EB0024" w14:paraId="791F1236" w14:textId="77777777">
            <w:trPr>
              <w:trHeight w:val="281"/>
            </w:trPr>
            <w:tc>
              <w:tcPr>
                <w:tcW w:w="3632" w:type="dxa"/>
                <w:shd w:val="clear" w:color="auto" w:fill="auto"/>
              </w:tcPr>
              <w:p w14:paraId="7CD104C0" w14:textId="77777777" w:rsidR="00EB0024" w:rsidRDefault="00243095">
                <w:pPr>
                  <w:tabs>
                    <w:tab w:val="right" w:pos="8838"/>
                  </w:tabs>
                  <w:ind w:left="992"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028" w:type="dxa"/>
                <w:shd w:val="clear" w:color="auto" w:fill="auto"/>
              </w:tcPr>
              <w:p w14:paraId="79B03CF2" w14:textId="77777777" w:rsidR="00EB0024" w:rsidRDefault="00243095">
                <w:pPr>
                  <w:ind w:right="-134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01588/INFOEM/IP/RR/2024</w:t>
                </w:r>
              </w:p>
            </w:tc>
          </w:tr>
          <w:tr w:rsidR="00EB0024" w14:paraId="73BC0B9F" w14:textId="77777777">
            <w:trPr>
              <w:trHeight w:val="295"/>
            </w:trPr>
            <w:tc>
              <w:tcPr>
                <w:tcW w:w="3632" w:type="dxa"/>
                <w:shd w:val="clear" w:color="auto" w:fill="auto"/>
              </w:tcPr>
              <w:p w14:paraId="380A9D06" w14:textId="77777777" w:rsidR="00EB0024" w:rsidRDefault="00243095">
                <w:pPr>
                  <w:tabs>
                    <w:tab w:val="right" w:pos="8838"/>
                  </w:tabs>
                  <w:ind w:left="992"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028" w:type="dxa"/>
                <w:shd w:val="clear" w:color="auto" w:fill="auto"/>
              </w:tcPr>
              <w:p w14:paraId="0A36CF51" w14:textId="77777777" w:rsidR="00EB0024" w:rsidRDefault="00243095">
                <w:pPr>
                  <w:tabs>
                    <w:tab w:val="left" w:pos="2834"/>
                  </w:tabs>
                  <w:ind w:right="-134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Tlalnepantla de Baz</w:t>
                </w:r>
              </w:p>
            </w:tc>
          </w:tr>
          <w:tr w:rsidR="00EB0024" w14:paraId="23EE18AB" w14:textId="77777777">
            <w:trPr>
              <w:trHeight w:val="295"/>
            </w:trPr>
            <w:tc>
              <w:tcPr>
                <w:tcW w:w="3632" w:type="dxa"/>
                <w:shd w:val="clear" w:color="auto" w:fill="auto"/>
              </w:tcPr>
              <w:p w14:paraId="1016D19E" w14:textId="77777777" w:rsidR="00EB0024" w:rsidRDefault="00243095">
                <w:pPr>
                  <w:tabs>
                    <w:tab w:val="right" w:pos="8838"/>
                  </w:tabs>
                  <w:ind w:left="992"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028" w:type="dxa"/>
                <w:shd w:val="clear" w:color="auto" w:fill="auto"/>
              </w:tcPr>
              <w:p w14:paraId="567461CE" w14:textId="77777777" w:rsidR="00EB0024" w:rsidRDefault="00243095">
                <w:pPr>
                  <w:ind w:right="-134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49D8F9A5" w14:textId="77777777" w:rsidR="00EB0024" w:rsidRDefault="00EB0024">
                <w:pPr>
                  <w:ind w:right="-1348"/>
                  <w:rPr>
                    <w:rFonts w:ascii="Palatino Linotype" w:eastAsia="Palatino Linotype" w:hAnsi="Palatino Linotype" w:cs="Palatino Linotype"/>
                    <w:b/>
                    <w:sz w:val="22"/>
                    <w:szCs w:val="22"/>
                  </w:rPr>
                </w:pPr>
              </w:p>
            </w:tc>
          </w:tr>
        </w:tbl>
        <w:p w14:paraId="003516EA" w14:textId="77777777" w:rsidR="00EB0024" w:rsidRDefault="00EB0024">
          <w:pPr>
            <w:tabs>
              <w:tab w:val="right" w:pos="8838"/>
            </w:tabs>
            <w:ind w:left="-28"/>
            <w:jc w:val="both"/>
            <w:rPr>
              <w:rFonts w:ascii="Arial" w:eastAsia="Arial" w:hAnsi="Arial" w:cs="Arial"/>
              <w:b/>
              <w:sz w:val="22"/>
              <w:szCs w:val="22"/>
            </w:rPr>
          </w:pPr>
        </w:p>
      </w:tc>
    </w:tr>
  </w:tbl>
  <w:p w14:paraId="58BA127E" w14:textId="77777777" w:rsidR="00EB0024" w:rsidRDefault="0059486C">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384E6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264B" w14:textId="77777777" w:rsidR="00EB0024" w:rsidRDefault="00EB0024">
    <w:pPr>
      <w:widowControl w:val="0"/>
      <w:pBdr>
        <w:top w:val="nil"/>
        <w:left w:val="nil"/>
        <w:bottom w:val="nil"/>
        <w:right w:val="nil"/>
        <w:between w:val="nil"/>
      </w:pBdr>
      <w:spacing w:line="276" w:lineRule="auto"/>
      <w:rPr>
        <w:color w:val="000000"/>
        <w:sz w:val="14"/>
        <w:szCs w:val="14"/>
      </w:rPr>
    </w:pPr>
  </w:p>
  <w:tbl>
    <w:tblPr>
      <w:tblStyle w:val="a3"/>
      <w:tblW w:w="10005" w:type="dxa"/>
      <w:tblInd w:w="0" w:type="dxa"/>
      <w:tblLayout w:type="fixed"/>
      <w:tblLook w:val="0400" w:firstRow="0" w:lastRow="0" w:firstColumn="0" w:lastColumn="0" w:noHBand="0" w:noVBand="1"/>
    </w:tblPr>
    <w:tblGrid>
      <w:gridCol w:w="2265"/>
      <w:gridCol w:w="7740"/>
    </w:tblGrid>
    <w:tr w:rsidR="00EB0024" w14:paraId="1D90F3C4" w14:textId="77777777">
      <w:trPr>
        <w:trHeight w:val="1435"/>
      </w:trPr>
      <w:tc>
        <w:tcPr>
          <w:tcW w:w="2265" w:type="dxa"/>
          <w:shd w:val="clear" w:color="auto" w:fill="auto"/>
        </w:tcPr>
        <w:p w14:paraId="7EB9D678" w14:textId="77777777" w:rsidR="00EB0024" w:rsidRDefault="00EB0024">
          <w:pPr>
            <w:tabs>
              <w:tab w:val="right" w:pos="4273"/>
            </w:tabs>
            <w:rPr>
              <w:rFonts w:ascii="Garamond" w:eastAsia="Garamond" w:hAnsi="Garamond" w:cs="Garamond"/>
              <w:sz w:val="22"/>
              <w:szCs w:val="22"/>
            </w:rPr>
          </w:pPr>
        </w:p>
      </w:tc>
      <w:tc>
        <w:tcPr>
          <w:tcW w:w="7740" w:type="dxa"/>
          <w:shd w:val="clear" w:color="auto" w:fill="auto"/>
        </w:tcPr>
        <w:p w14:paraId="3A65C7E2" w14:textId="77777777" w:rsidR="00EB0024" w:rsidRDefault="00EB0024">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4"/>
            <w:tblW w:w="7440" w:type="dxa"/>
            <w:tblInd w:w="40" w:type="dxa"/>
            <w:tblLayout w:type="fixed"/>
            <w:tblLook w:val="0400" w:firstRow="0" w:lastRow="0" w:firstColumn="0" w:lastColumn="0" w:noHBand="0" w:noVBand="1"/>
          </w:tblPr>
          <w:tblGrid>
            <w:gridCol w:w="3375"/>
            <w:gridCol w:w="4065"/>
          </w:tblGrid>
          <w:tr w:rsidR="00EB0024" w14:paraId="00C68CC0" w14:textId="77777777">
            <w:trPr>
              <w:trHeight w:val="144"/>
            </w:trPr>
            <w:tc>
              <w:tcPr>
                <w:tcW w:w="3375" w:type="dxa"/>
                <w:shd w:val="clear" w:color="auto" w:fill="auto"/>
              </w:tcPr>
              <w:p w14:paraId="6DB2008A" w14:textId="77777777" w:rsidR="00EB0024" w:rsidRDefault="00243095">
                <w:pPr>
                  <w:tabs>
                    <w:tab w:val="right" w:pos="8838"/>
                  </w:tabs>
                  <w:ind w:left="850"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65" w:type="dxa"/>
                <w:shd w:val="clear" w:color="auto" w:fill="auto"/>
              </w:tcPr>
              <w:p w14:paraId="60CBAD5C" w14:textId="77777777" w:rsidR="00EB0024" w:rsidRDefault="00243095">
                <w:pPr>
                  <w:ind w:left="-115" w:right="-137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01588/INFOEM/IP/RR/2024</w:t>
                </w:r>
              </w:p>
            </w:tc>
          </w:tr>
          <w:tr w:rsidR="00EB0024" w14:paraId="4FEFF8FB" w14:textId="77777777">
            <w:trPr>
              <w:trHeight w:val="144"/>
            </w:trPr>
            <w:tc>
              <w:tcPr>
                <w:tcW w:w="3375" w:type="dxa"/>
                <w:shd w:val="clear" w:color="auto" w:fill="auto"/>
              </w:tcPr>
              <w:p w14:paraId="5C124B8F" w14:textId="77777777" w:rsidR="00EB0024" w:rsidRDefault="00243095">
                <w:pPr>
                  <w:tabs>
                    <w:tab w:val="right" w:pos="8838"/>
                  </w:tabs>
                  <w:ind w:left="850"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065" w:type="dxa"/>
                <w:shd w:val="clear" w:color="auto" w:fill="auto"/>
              </w:tcPr>
              <w:p w14:paraId="44E9946D" w14:textId="5230D93B" w:rsidR="00EB0024" w:rsidRDefault="000A60C7">
                <w:pPr>
                  <w:tabs>
                    <w:tab w:val="left" w:pos="3122"/>
                    <w:tab w:val="right" w:pos="8838"/>
                  </w:tabs>
                  <w:ind w:left="-115" w:right="-137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EB0024" w14:paraId="356BABCB" w14:textId="77777777">
            <w:trPr>
              <w:trHeight w:val="283"/>
            </w:trPr>
            <w:tc>
              <w:tcPr>
                <w:tcW w:w="3375" w:type="dxa"/>
                <w:shd w:val="clear" w:color="auto" w:fill="auto"/>
              </w:tcPr>
              <w:p w14:paraId="442F97CA" w14:textId="77777777" w:rsidR="00EB0024" w:rsidRDefault="00243095">
                <w:pPr>
                  <w:tabs>
                    <w:tab w:val="right" w:pos="8838"/>
                  </w:tabs>
                  <w:ind w:left="850"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65" w:type="dxa"/>
                <w:shd w:val="clear" w:color="auto" w:fill="auto"/>
              </w:tcPr>
              <w:p w14:paraId="70DEFBB8" w14:textId="77777777" w:rsidR="00EB0024" w:rsidRDefault="00243095">
                <w:pPr>
                  <w:tabs>
                    <w:tab w:val="left" w:pos="2834"/>
                    <w:tab w:val="right" w:pos="8838"/>
                  </w:tabs>
                  <w:ind w:left="-115" w:right="-137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Tlalnepantla de Baz</w:t>
                </w:r>
              </w:p>
            </w:tc>
          </w:tr>
          <w:tr w:rsidR="00EB0024" w14:paraId="55E5120D" w14:textId="77777777">
            <w:trPr>
              <w:trHeight w:val="283"/>
            </w:trPr>
            <w:tc>
              <w:tcPr>
                <w:tcW w:w="3375" w:type="dxa"/>
                <w:shd w:val="clear" w:color="auto" w:fill="auto"/>
              </w:tcPr>
              <w:p w14:paraId="7EAA5E96" w14:textId="77777777" w:rsidR="00EB0024" w:rsidRDefault="00243095">
                <w:pPr>
                  <w:tabs>
                    <w:tab w:val="right" w:pos="8838"/>
                  </w:tabs>
                  <w:ind w:left="850"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65" w:type="dxa"/>
                <w:shd w:val="clear" w:color="auto" w:fill="auto"/>
              </w:tcPr>
              <w:p w14:paraId="68FBAA82" w14:textId="77777777" w:rsidR="00EB0024" w:rsidRDefault="00243095">
                <w:pPr>
                  <w:tabs>
                    <w:tab w:val="right" w:pos="8838"/>
                  </w:tabs>
                  <w:ind w:left="-115" w:right="-137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19C92D8C" w14:textId="77777777" w:rsidR="00EB0024" w:rsidRDefault="00EB0024">
                <w:pPr>
                  <w:tabs>
                    <w:tab w:val="right" w:pos="8838"/>
                  </w:tabs>
                  <w:ind w:left="-115" w:right="-1375"/>
                  <w:jc w:val="both"/>
                  <w:rPr>
                    <w:rFonts w:ascii="Palatino Linotype" w:eastAsia="Palatino Linotype" w:hAnsi="Palatino Linotype" w:cs="Palatino Linotype"/>
                    <w:b/>
                    <w:sz w:val="22"/>
                    <w:szCs w:val="22"/>
                  </w:rPr>
                </w:pPr>
              </w:p>
            </w:tc>
          </w:tr>
        </w:tbl>
        <w:p w14:paraId="4FF24D6B" w14:textId="77777777" w:rsidR="00EB0024" w:rsidRDefault="00EB0024">
          <w:pPr>
            <w:tabs>
              <w:tab w:val="right" w:pos="8838"/>
            </w:tabs>
            <w:ind w:left="-28"/>
            <w:jc w:val="both"/>
            <w:rPr>
              <w:rFonts w:ascii="Arial" w:eastAsia="Arial" w:hAnsi="Arial" w:cs="Arial"/>
              <w:b/>
              <w:sz w:val="22"/>
              <w:szCs w:val="22"/>
            </w:rPr>
          </w:pPr>
        </w:p>
      </w:tc>
    </w:tr>
  </w:tbl>
  <w:p w14:paraId="5CE45D46" w14:textId="77777777" w:rsidR="00EB0024" w:rsidRDefault="0059486C">
    <w:pPr>
      <w:pBdr>
        <w:top w:val="nil"/>
        <w:left w:val="nil"/>
        <w:bottom w:val="nil"/>
        <w:right w:val="nil"/>
        <w:between w:val="nil"/>
      </w:pBdr>
      <w:tabs>
        <w:tab w:val="center" w:pos="4419"/>
        <w:tab w:val="right" w:pos="8838"/>
      </w:tabs>
      <w:rPr>
        <w:color w:val="000000"/>
        <w:sz w:val="2"/>
        <w:szCs w:val="2"/>
      </w:rPr>
    </w:pPr>
    <w:r>
      <w:rPr>
        <w:color w:val="000000"/>
        <w:sz w:val="2"/>
        <w:szCs w:val="2"/>
      </w:rPr>
      <w:pict w14:anchorId="32C7E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2AE3"/>
    <w:multiLevelType w:val="multilevel"/>
    <w:tmpl w:val="22C0757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A1230E"/>
    <w:multiLevelType w:val="multilevel"/>
    <w:tmpl w:val="ED243A9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D41710B"/>
    <w:multiLevelType w:val="multilevel"/>
    <w:tmpl w:val="FE8A793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B82B13"/>
    <w:multiLevelType w:val="multilevel"/>
    <w:tmpl w:val="4156EA12"/>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4" w15:restartNumberingAfterBreak="0">
    <w:nsid w:val="29485BDA"/>
    <w:multiLevelType w:val="multilevel"/>
    <w:tmpl w:val="0AC21AA2"/>
    <w:lvl w:ilvl="0">
      <w:start w:val="1"/>
      <w:numFmt w:val="decimal"/>
      <w:lvlText w:val="%1."/>
      <w:lvlJc w:val="left"/>
      <w:pPr>
        <w:ind w:left="36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upperLetter"/>
      <w:lvlText w:val="%3."/>
      <w:lvlJc w:val="left"/>
      <w:pPr>
        <w:ind w:left="2340" w:hanging="360"/>
      </w:pPr>
      <w:rPr>
        <w:color w:val="00000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7B23D6"/>
    <w:multiLevelType w:val="multilevel"/>
    <w:tmpl w:val="02F6F3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72B6DB8"/>
    <w:multiLevelType w:val="multilevel"/>
    <w:tmpl w:val="D3E0C6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6156730A"/>
    <w:multiLevelType w:val="multilevel"/>
    <w:tmpl w:val="2DA8D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2D2E4A"/>
    <w:multiLevelType w:val="multilevel"/>
    <w:tmpl w:val="EF984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32227353">
    <w:abstractNumId w:val="7"/>
  </w:num>
  <w:num w:numId="2" w16cid:durableId="818158400">
    <w:abstractNumId w:val="0"/>
  </w:num>
  <w:num w:numId="3" w16cid:durableId="1882396167">
    <w:abstractNumId w:val="8"/>
  </w:num>
  <w:num w:numId="4" w16cid:durableId="359860109">
    <w:abstractNumId w:val="6"/>
  </w:num>
  <w:num w:numId="5" w16cid:durableId="1374619177">
    <w:abstractNumId w:val="5"/>
  </w:num>
  <w:num w:numId="6" w16cid:durableId="2002417650">
    <w:abstractNumId w:val="3"/>
  </w:num>
  <w:num w:numId="7" w16cid:durableId="1281063779">
    <w:abstractNumId w:val="4"/>
  </w:num>
  <w:num w:numId="8" w16cid:durableId="530385365">
    <w:abstractNumId w:val="1"/>
  </w:num>
  <w:num w:numId="9" w16cid:durableId="1581332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024"/>
    <w:rsid w:val="0004322B"/>
    <w:rsid w:val="000A60C7"/>
    <w:rsid w:val="000D0283"/>
    <w:rsid w:val="00243095"/>
    <w:rsid w:val="0059486C"/>
    <w:rsid w:val="006F4D97"/>
    <w:rsid w:val="00B234A3"/>
    <w:rsid w:val="00EB0024"/>
    <w:rsid w:val="00ED77D0"/>
    <w:rsid w:val="00EF7766"/>
    <w:rsid w:val="00F358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A71CD"/>
  <w15:docId w15:val="{091DFA63-3EFA-444A-A121-F74A18B9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96E"/>
  </w:style>
  <w:style w:type="paragraph" w:styleId="Ttulo1">
    <w:name w:val="heading 1"/>
    <w:basedOn w:val="Normal"/>
    <w:next w:val="Normal"/>
    <w:link w:val="Ttulo1Car"/>
    <w:uiPriority w:val="9"/>
    <w:qFormat/>
    <w:rsid w:val="00ED09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ED096E"/>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ED096E"/>
    <w:pPr>
      <w:tabs>
        <w:tab w:val="center" w:pos="4419"/>
        <w:tab w:val="right" w:pos="8838"/>
      </w:tabs>
    </w:pPr>
  </w:style>
  <w:style w:type="character" w:customStyle="1" w:styleId="EncabezadoCar">
    <w:name w:val="Encabezado Car"/>
    <w:basedOn w:val="Fuentedeprrafopredeter"/>
    <w:link w:val="Encabezado"/>
    <w:uiPriority w:val="99"/>
    <w:rsid w:val="00ED096E"/>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ED096E"/>
    <w:pPr>
      <w:tabs>
        <w:tab w:val="center" w:pos="4419"/>
        <w:tab w:val="right" w:pos="8838"/>
      </w:tabs>
    </w:pPr>
  </w:style>
  <w:style w:type="character" w:customStyle="1" w:styleId="PiedepginaCar">
    <w:name w:val="Pie de página Car"/>
    <w:basedOn w:val="Fuentedeprrafopredeter"/>
    <w:link w:val="Piedepgina"/>
    <w:uiPriority w:val="99"/>
    <w:rsid w:val="00ED096E"/>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D096E"/>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D096E"/>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ED096E"/>
    <w:rPr>
      <w:color w:val="0563C1"/>
      <w:u w:val="single"/>
    </w:rPr>
  </w:style>
  <w:style w:type="table" w:styleId="Tablaconcuadrcula6concolores">
    <w:name w:val="Grid Table 6 Colorful"/>
    <w:basedOn w:val="Tablanormal"/>
    <w:uiPriority w:val="51"/>
    <w:rsid w:val="00ED096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D096E"/>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D096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ED096E"/>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52998.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imex.org.mx/saimex/solicitud/downloadAttach/2043441.page" TargetMode="External"/><Relationship Id="rId4" Type="http://schemas.openxmlformats.org/officeDocument/2006/relationships/settings" Target="settings.xml"/><Relationship Id="rId9" Type="http://schemas.openxmlformats.org/officeDocument/2006/relationships/hyperlink" Target="https://saimex.org.mx/saimex/solicitud/downloadAttach/2064030.pag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1eJDPCRG9em8rWX3Dc7WRZrbxw==">CgMxLjAyCGguZ2pkZ3hzMgloLjMwajB6bGwyCWguMWZvYjl0ZTIJaC4zem55c2g3MgloLjJldDkycDAyCGgudHlqY3d0MgloLjNkeTZ2a20yCWguNGQzNG9nODIJaC4yczhleW8xMgloLjE3ZHA4dnUyCWguM3JkY3JqbjIJaC4yNmluMXJnOAByITFJYlY0S1dqU3hxVXJOc3c4QVRQVXktSUhkNVdiOExObA==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8248</Words>
  <Characters>45370</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inf03m612@outlook.com</cp:lastModifiedBy>
  <cp:revision>8</cp:revision>
  <cp:lastPrinted>2024-11-25T18:12:00Z</cp:lastPrinted>
  <dcterms:created xsi:type="dcterms:W3CDTF">2024-11-19T17:24:00Z</dcterms:created>
  <dcterms:modified xsi:type="dcterms:W3CDTF">2024-12-05T00:04:00Z</dcterms:modified>
</cp:coreProperties>
</file>