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DD11" w14:textId="77777777" w:rsidR="00932C55" w:rsidRPr="00E95235" w:rsidRDefault="00932C55" w:rsidP="00932C55">
      <w:pPr>
        <w:spacing w:line="360" w:lineRule="auto"/>
        <w:jc w:val="both"/>
        <w:rPr>
          <w:rFonts w:ascii="Palatino Linotype" w:eastAsiaTheme="minorEastAsia" w:hAnsi="Palatino Linotype"/>
          <w:lang w:val="es-ES_tradnl" w:eastAsia="es-ES"/>
        </w:rPr>
      </w:pPr>
      <w:r w:rsidRPr="00E95235">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w:t>
      </w:r>
      <w:r w:rsidR="006A2BCA">
        <w:rPr>
          <w:rFonts w:ascii="Palatino Linotype" w:eastAsiaTheme="minorEastAsia" w:hAnsi="Palatino Linotype"/>
          <w:lang w:val="es-ES_tradnl" w:eastAsia="es-ES"/>
        </w:rPr>
        <w:t xml:space="preserve"> de México; del veintiocho (28) de agosto de dos mil veinticuatro</w:t>
      </w:r>
      <w:r>
        <w:rPr>
          <w:rFonts w:ascii="Palatino Linotype" w:eastAsiaTheme="minorEastAsia" w:hAnsi="Palatino Linotype"/>
          <w:lang w:val="es-ES_tradnl" w:eastAsia="es-ES"/>
        </w:rPr>
        <w:t xml:space="preserve">. </w:t>
      </w:r>
    </w:p>
    <w:p w14:paraId="26DEDD12" w14:textId="77777777" w:rsidR="00932C55" w:rsidRPr="00E95235" w:rsidRDefault="00932C55" w:rsidP="00932C55">
      <w:pPr>
        <w:spacing w:line="360" w:lineRule="auto"/>
        <w:jc w:val="both"/>
        <w:rPr>
          <w:rFonts w:ascii="Palatino Linotype" w:eastAsiaTheme="minorEastAsia" w:hAnsi="Palatino Linotype"/>
          <w:lang w:val="es-ES_tradnl" w:eastAsia="es-ES"/>
        </w:rPr>
      </w:pPr>
    </w:p>
    <w:p w14:paraId="26DEDD13" w14:textId="3A63E37C" w:rsidR="00932C55" w:rsidRPr="00E95235" w:rsidRDefault="00932C55" w:rsidP="00932C55">
      <w:pPr>
        <w:spacing w:line="360" w:lineRule="auto"/>
        <w:jc w:val="both"/>
        <w:rPr>
          <w:rFonts w:ascii="Palatino Linotype" w:hAnsi="Palatino Linotype"/>
        </w:rPr>
      </w:pPr>
      <w:r w:rsidRPr="00E95235">
        <w:rPr>
          <w:rFonts w:ascii="Palatino Linotype" w:hAnsi="Palatino Linotype"/>
          <w:b/>
        </w:rPr>
        <w:t>VISTO</w:t>
      </w:r>
      <w:r w:rsidRPr="00E95235">
        <w:rPr>
          <w:rFonts w:ascii="Palatino Linotype" w:hAnsi="Palatino Linotype"/>
        </w:rPr>
        <w:t xml:space="preserve"> el expediente electrónico formado con motivo del recurso de revisión </w:t>
      </w:r>
      <w:r w:rsidR="006A2BCA">
        <w:rPr>
          <w:rFonts w:ascii="Palatino Linotype" w:hAnsi="Palatino Linotype"/>
          <w:b/>
        </w:rPr>
        <w:t>07893/INFOEM/IP/RR/2023</w:t>
      </w:r>
      <w:r w:rsidRPr="00E95235">
        <w:rPr>
          <w:rFonts w:ascii="Palatino Linotype" w:hAnsi="Palatino Linotype"/>
          <w:b/>
        </w:rPr>
        <w:t>,</w:t>
      </w:r>
      <w:r w:rsidRPr="00E95235">
        <w:rPr>
          <w:rFonts w:ascii="Palatino Linotype" w:hAnsi="Palatino Linotype" w:cs="Arial"/>
          <w:b/>
          <w:bCs/>
        </w:rPr>
        <w:t xml:space="preserve"> </w:t>
      </w:r>
      <w:r w:rsidRPr="00E95235">
        <w:rPr>
          <w:rFonts w:ascii="Palatino Linotype" w:eastAsiaTheme="minorEastAsia" w:hAnsi="Palatino Linotype"/>
          <w:lang w:val="es-ES_tradnl" w:eastAsia="es-ES"/>
        </w:rPr>
        <w:t xml:space="preserve">promovido </w:t>
      </w:r>
      <w:r w:rsidR="001E5ACF">
        <w:rPr>
          <w:rFonts w:ascii="Palatino Linotype" w:eastAsiaTheme="minorEastAsia" w:hAnsi="Palatino Linotype"/>
          <w:b/>
          <w:bCs/>
          <w:lang w:eastAsia="es-ES"/>
        </w:rPr>
        <w:t xml:space="preserve">XXX </w:t>
      </w:r>
      <w:proofErr w:type="spellStart"/>
      <w:r w:rsidR="001E5ACF">
        <w:rPr>
          <w:rFonts w:ascii="Palatino Linotype" w:eastAsiaTheme="minorEastAsia" w:hAnsi="Palatino Linotype"/>
          <w:b/>
          <w:bCs/>
          <w:lang w:eastAsia="es-ES"/>
        </w:rPr>
        <w:t>XXX</w:t>
      </w:r>
      <w:proofErr w:type="spellEnd"/>
      <w:r>
        <w:rPr>
          <w:rFonts w:ascii="Palatino Linotype" w:eastAsiaTheme="minorEastAsia" w:hAnsi="Palatino Linotype"/>
          <w:b/>
          <w:lang w:val="es-ES_tradnl" w:eastAsia="es-ES"/>
        </w:rPr>
        <w:t>,</w:t>
      </w:r>
      <w:r w:rsidRPr="00E95235">
        <w:rPr>
          <w:rFonts w:ascii="Palatino Linotype" w:hAnsi="Palatino Linotype"/>
        </w:rPr>
        <w:t xml:space="preserve"> quien en lo sucesivo se identificará como </w:t>
      </w:r>
      <w:r w:rsidRPr="00E95235">
        <w:rPr>
          <w:rFonts w:ascii="Palatino Linotype" w:hAnsi="Palatino Linotype"/>
          <w:b/>
        </w:rPr>
        <w:t xml:space="preserve">EL </w:t>
      </w:r>
      <w:r w:rsidRPr="00E95235">
        <w:rPr>
          <w:rFonts w:ascii="Palatino Linotype" w:hAnsi="Palatino Linotype" w:cs="Arial"/>
          <w:b/>
        </w:rPr>
        <w:t>RECURRENTE</w:t>
      </w:r>
      <w:r w:rsidRPr="00E95235">
        <w:rPr>
          <w:rFonts w:ascii="Palatino Linotype" w:hAnsi="Palatino Linotype" w:cs="Arial"/>
        </w:rPr>
        <w:t xml:space="preserve">, en contra de la respuesta del </w:t>
      </w:r>
      <w:r w:rsidR="006A2BCA" w:rsidRPr="006A2BCA">
        <w:rPr>
          <w:rFonts w:ascii="Palatino Linotype" w:hAnsi="Palatino Linotype" w:cs="Arial"/>
          <w:b/>
          <w:bCs/>
        </w:rPr>
        <w:t>Ayuntamiento de Naucalpan de Juárez</w:t>
      </w:r>
      <w:r>
        <w:rPr>
          <w:rFonts w:ascii="Palatino Linotype" w:hAnsi="Palatino Linotype" w:cs="Arial"/>
          <w:b/>
        </w:rPr>
        <w:t>,</w:t>
      </w:r>
      <w:r w:rsidRPr="00E95235">
        <w:rPr>
          <w:rFonts w:ascii="Palatino Linotype" w:hAnsi="Palatino Linotype"/>
          <w:b/>
        </w:rPr>
        <w:t xml:space="preserve"> </w:t>
      </w:r>
      <w:r w:rsidRPr="00E95235">
        <w:rPr>
          <w:rFonts w:ascii="Palatino Linotype" w:hAnsi="Palatino Linotype"/>
        </w:rPr>
        <w:t>en lo sucesivo el</w:t>
      </w:r>
      <w:r w:rsidRPr="00E95235">
        <w:rPr>
          <w:rFonts w:ascii="Palatino Linotype" w:hAnsi="Palatino Linotype"/>
          <w:b/>
        </w:rPr>
        <w:t xml:space="preserve"> SUJETO OBLIGADO</w:t>
      </w:r>
      <w:r w:rsidRPr="00E95235">
        <w:rPr>
          <w:rFonts w:ascii="Palatino Linotype" w:hAnsi="Palatino Linotype"/>
        </w:rPr>
        <w:t>, por lo que se procede a dictar la presente resolución, con base en los siguientes:</w:t>
      </w:r>
    </w:p>
    <w:p w14:paraId="26DEDD14" w14:textId="77777777" w:rsidR="00932C55" w:rsidRPr="00E95235" w:rsidRDefault="00932C55" w:rsidP="00932C55">
      <w:pPr>
        <w:spacing w:line="360" w:lineRule="auto"/>
        <w:jc w:val="both"/>
        <w:rPr>
          <w:rFonts w:ascii="Palatino Linotype" w:hAnsi="Palatino Linotype"/>
          <w:b/>
        </w:rPr>
      </w:pPr>
    </w:p>
    <w:p w14:paraId="26DEDD15" w14:textId="77777777" w:rsidR="00932C55" w:rsidRPr="00E95235" w:rsidRDefault="00932C55" w:rsidP="00932C55">
      <w:pPr>
        <w:keepNext/>
        <w:keepLines/>
        <w:spacing w:line="360" w:lineRule="auto"/>
        <w:jc w:val="center"/>
        <w:outlineLvl w:val="0"/>
        <w:rPr>
          <w:rFonts w:ascii="Palatino Linotype" w:eastAsiaTheme="majorEastAsia" w:hAnsi="Palatino Linotype" w:cstheme="majorBidi"/>
          <w:b/>
        </w:rPr>
      </w:pPr>
      <w:bookmarkStart w:id="0" w:name="_Toc66992241"/>
      <w:r w:rsidRPr="00E95235">
        <w:rPr>
          <w:rFonts w:ascii="Palatino Linotype" w:eastAsiaTheme="majorEastAsia" w:hAnsi="Palatino Linotype" w:cstheme="majorBidi"/>
          <w:b/>
        </w:rPr>
        <w:t>ANTECEDENTES</w:t>
      </w:r>
      <w:bookmarkEnd w:id="0"/>
    </w:p>
    <w:p w14:paraId="26DEDD16" w14:textId="77777777" w:rsidR="00932C55" w:rsidRPr="00E95235" w:rsidRDefault="00932C55" w:rsidP="00932C55">
      <w:pPr>
        <w:spacing w:line="360" w:lineRule="auto"/>
        <w:rPr>
          <w:rFonts w:ascii="Palatino Linotype" w:eastAsiaTheme="minorEastAsia" w:hAnsi="Palatino Linotype"/>
        </w:rPr>
      </w:pPr>
    </w:p>
    <w:p w14:paraId="26DEDD17" w14:textId="77777777" w:rsidR="00932C55" w:rsidRPr="00E95235" w:rsidRDefault="00932C55" w:rsidP="00932C55">
      <w:pPr>
        <w:pStyle w:val="Prrafodelista"/>
        <w:numPr>
          <w:ilvl w:val="0"/>
          <w:numId w:val="1"/>
        </w:numPr>
        <w:spacing w:line="360" w:lineRule="auto"/>
        <w:ind w:left="0" w:firstLine="0"/>
        <w:jc w:val="both"/>
        <w:rPr>
          <w:rFonts w:ascii="Palatino Linotype" w:hAnsi="Palatino Linotype" w:cs="Arial"/>
          <w:sz w:val="24"/>
          <w:lang w:val="es-ES" w:eastAsia="es-ES"/>
        </w:rPr>
      </w:pPr>
      <w:r>
        <w:rPr>
          <w:rFonts w:ascii="Palatino Linotype" w:eastAsia="Calibri" w:hAnsi="Palatino Linotype" w:cs="Arial"/>
          <w:sz w:val="24"/>
          <w:lang w:val="es-ES" w:eastAsia="es-ES"/>
        </w:rPr>
        <w:t xml:space="preserve">El </w:t>
      </w:r>
      <w:r w:rsidR="006A2BCA">
        <w:rPr>
          <w:rFonts w:ascii="Palatino Linotype" w:eastAsia="Calibri" w:hAnsi="Palatino Linotype" w:cs="Arial"/>
          <w:sz w:val="24"/>
          <w:lang w:val="es-ES" w:eastAsia="es-ES"/>
        </w:rPr>
        <w:t>nueve (09) de octubre</w:t>
      </w:r>
      <w:r>
        <w:rPr>
          <w:rFonts w:ascii="Palatino Linotype" w:eastAsia="Calibri" w:hAnsi="Palatino Linotype" w:cs="Arial"/>
          <w:sz w:val="24"/>
          <w:lang w:val="es-ES" w:eastAsia="es-ES"/>
        </w:rPr>
        <w:t xml:space="preserve"> de dos mil veintitrés</w:t>
      </w:r>
      <w:r w:rsidRPr="00E95235">
        <w:rPr>
          <w:rFonts w:ascii="Palatino Linotype" w:eastAsia="Calibri" w:hAnsi="Palatino Linotype" w:cs="Arial"/>
          <w:sz w:val="24"/>
          <w:lang w:val="es-ES" w:eastAsia="es-ES"/>
        </w:rPr>
        <w:t>,</w:t>
      </w:r>
      <w:r w:rsidRPr="00E95235">
        <w:rPr>
          <w:rFonts w:ascii="Palatino Linotype" w:eastAsia="Calibri" w:hAnsi="Palatino Linotype"/>
          <w:sz w:val="24"/>
          <w:lang w:val="es-ES" w:eastAsia="es-ES"/>
        </w:rPr>
        <w:t xml:space="preserve"> </w:t>
      </w:r>
      <w:r w:rsidRPr="00E95235">
        <w:rPr>
          <w:rFonts w:ascii="Palatino Linotype" w:eastAsia="Calibri" w:hAnsi="Palatino Linotype"/>
          <w:b/>
          <w:sz w:val="24"/>
          <w:lang w:val="es-ES" w:eastAsia="es-ES"/>
        </w:rPr>
        <w:t>EL RECURRENTE</w:t>
      </w:r>
      <w:r w:rsidRPr="00E95235">
        <w:rPr>
          <w:rFonts w:ascii="Palatino Linotype" w:eastAsiaTheme="minorEastAsia" w:hAnsi="Palatino Linotype"/>
          <w:b/>
          <w:sz w:val="24"/>
          <w:lang w:val="es-ES_tradnl" w:eastAsia="es-ES"/>
        </w:rPr>
        <w:t>,</w:t>
      </w:r>
      <w:r w:rsidRPr="00E95235">
        <w:rPr>
          <w:rFonts w:ascii="Palatino Linotype" w:eastAsia="Calibri" w:hAnsi="Palatino Linotype" w:cs="Arial"/>
          <w:sz w:val="24"/>
          <w:lang w:val="es-ES" w:eastAsia="es-ES"/>
        </w:rPr>
        <w:t xml:space="preserve"> ante el </w:t>
      </w:r>
      <w:r w:rsidRPr="00E95235">
        <w:rPr>
          <w:rFonts w:ascii="Palatino Linotype" w:eastAsia="Calibri" w:hAnsi="Palatino Linotype" w:cs="Arial"/>
          <w:b/>
          <w:sz w:val="24"/>
          <w:lang w:val="es-ES" w:eastAsia="es-ES"/>
        </w:rPr>
        <w:t>SUJETO OBLIGADO</w:t>
      </w:r>
      <w:r w:rsidRPr="00E95235">
        <w:rPr>
          <w:rFonts w:ascii="Palatino Linotype" w:eastAsia="Calibri" w:hAnsi="Palatino Linotype" w:cs="Arial"/>
          <w:sz w:val="24"/>
          <w:lang w:val="es-ES_tradnl" w:eastAsia="es-ES"/>
        </w:rPr>
        <w:t xml:space="preserve"> vía </w:t>
      </w:r>
      <w:r w:rsidRPr="00E95235">
        <w:rPr>
          <w:rFonts w:ascii="Palatino Linotype" w:eastAsia="Calibri" w:hAnsi="Palatino Linotype" w:cs="Arial"/>
          <w:sz w:val="24"/>
          <w:lang w:val="es-ES" w:eastAsia="es-ES"/>
        </w:rPr>
        <w:t>Sistema de Acceso a la Información Mexiquense (</w:t>
      </w:r>
      <w:r w:rsidRPr="00E95235">
        <w:rPr>
          <w:rFonts w:ascii="Palatino Linotype" w:eastAsia="Calibri" w:hAnsi="Palatino Linotype" w:cs="Arial"/>
          <w:b/>
          <w:sz w:val="24"/>
          <w:lang w:val="es-ES" w:eastAsia="es-ES"/>
        </w:rPr>
        <w:t>SAIMEX)</w:t>
      </w:r>
      <w:r w:rsidRPr="00E95235">
        <w:rPr>
          <w:rFonts w:ascii="Palatino Linotype" w:eastAsia="Calibri" w:hAnsi="Palatino Linotype" w:cs="Arial"/>
          <w:sz w:val="24"/>
          <w:lang w:val="es-ES" w:eastAsia="es-ES"/>
        </w:rPr>
        <w:t xml:space="preserve">, presentó una solicitud de información registrada con el número </w:t>
      </w:r>
      <w:r w:rsidR="006A2BCA" w:rsidRPr="006A2BCA">
        <w:rPr>
          <w:rFonts w:ascii="Palatino Linotype" w:hAnsi="Palatino Linotype"/>
          <w:b/>
          <w:bCs/>
          <w:sz w:val="24"/>
        </w:rPr>
        <w:t>00569/NAUCALPA/IP/2023</w:t>
      </w:r>
      <w:r w:rsidRPr="00E95235">
        <w:rPr>
          <w:rFonts w:ascii="Palatino Linotype" w:eastAsiaTheme="minorEastAsia" w:hAnsi="Palatino Linotype"/>
          <w:b/>
          <w:sz w:val="24"/>
          <w:lang w:val="es-ES_tradnl" w:eastAsia="es-ES"/>
        </w:rPr>
        <w:t xml:space="preserve">, </w:t>
      </w:r>
      <w:r w:rsidRPr="00E95235">
        <w:rPr>
          <w:rFonts w:ascii="Palatino Linotype" w:eastAsia="Calibri" w:hAnsi="Palatino Linotype" w:cs="Arial"/>
          <w:sz w:val="24"/>
          <w:lang w:val="es-ES" w:eastAsia="es-ES"/>
        </w:rPr>
        <w:t>mediante la cual solicitó lo siguiente:</w:t>
      </w:r>
    </w:p>
    <w:p w14:paraId="26DEDD18" w14:textId="77777777" w:rsidR="00932C55" w:rsidRPr="00E95235" w:rsidRDefault="00932C55" w:rsidP="00932C55">
      <w:pPr>
        <w:pStyle w:val="Prrafodelista"/>
        <w:spacing w:line="360" w:lineRule="auto"/>
        <w:ind w:left="0"/>
        <w:jc w:val="both"/>
        <w:rPr>
          <w:rFonts w:ascii="Palatino Linotype" w:hAnsi="Palatino Linotype" w:cs="Arial"/>
          <w:szCs w:val="22"/>
          <w:lang w:val="es-ES" w:eastAsia="es-ES"/>
        </w:rPr>
      </w:pPr>
    </w:p>
    <w:p w14:paraId="26DEDD19" w14:textId="0C04EB87" w:rsidR="00932C55" w:rsidRDefault="00932C55" w:rsidP="00932C55">
      <w:pPr>
        <w:pStyle w:val="Prrafodelista"/>
        <w:spacing w:line="360" w:lineRule="auto"/>
        <w:ind w:right="567"/>
        <w:jc w:val="both"/>
        <w:rPr>
          <w:rFonts w:ascii="Palatino Linotype" w:hAnsi="Palatino Linotype"/>
          <w:i/>
          <w:color w:val="000000"/>
          <w:szCs w:val="22"/>
        </w:rPr>
      </w:pPr>
      <w:r w:rsidRPr="00E95235">
        <w:rPr>
          <w:rFonts w:ascii="Palatino Linotype" w:hAnsi="Palatino Linotype"/>
          <w:i/>
          <w:color w:val="000000"/>
          <w:szCs w:val="22"/>
        </w:rPr>
        <w:t>“</w:t>
      </w:r>
      <w:r w:rsidR="006A2BCA" w:rsidRPr="006A2BCA">
        <w:rPr>
          <w:rFonts w:ascii="Palatino Linotype" w:hAnsi="Palatino Linotype"/>
          <w:i/>
          <w:color w:val="000000"/>
          <w:szCs w:val="22"/>
        </w:rPr>
        <w:t xml:space="preserve">Licencia de uso de suelo 050/2020 emitida a favor de </w:t>
      </w:r>
      <w:r w:rsidR="001C3DEC">
        <w:rPr>
          <w:rFonts w:ascii="Palatino Linotype" w:hAnsi="Palatino Linotype"/>
          <w:i/>
          <w:color w:val="000000"/>
          <w:szCs w:val="22"/>
        </w:rPr>
        <w:t xml:space="preserve">XXX </w:t>
      </w:r>
      <w:proofErr w:type="spellStart"/>
      <w:r w:rsidR="001C3DEC">
        <w:rPr>
          <w:rFonts w:ascii="Palatino Linotype" w:hAnsi="Palatino Linotype"/>
          <w:i/>
          <w:color w:val="000000"/>
          <w:szCs w:val="22"/>
        </w:rPr>
        <w:t>XXX</w:t>
      </w:r>
      <w:proofErr w:type="spellEnd"/>
      <w:r w:rsidR="006A2BCA" w:rsidRPr="006A2BCA">
        <w:rPr>
          <w:rFonts w:ascii="Palatino Linotype" w:hAnsi="Palatino Linotype"/>
          <w:i/>
          <w:color w:val="000000"/>
          <w:szCs w:val="22"/>
        </w:rPr>
        <w:t xml:space="preserve"> en </w:t>
      </w:r>
      <w:r w:rsidR="001C3DEC">
        <w:rPr>
          <w:rFonts w:ascii="Palatino Linotype" w:hAnsi="Palatino Linotype"/>
          <w:i/>
          <w:color w:val="000000"/>
          <w:szCs w:val="22"/>
        </w:rPr>
        <w:t xml:space="preserve">XXX </w:t>
      </w:r>
      <w:proofErr w:type="spellStart"/>
      <w:r w:rsidR="001C3DEC">
        <w:rPr>
          <w:rFonts w:ascii="Palatino Linotype" w:hAnsi="Palatino Linotype"/>
          <w:i/>
          <w:color w:val="000000"/>
          <w:szCs w:val="22"/>
        </w:rPr>
        <w:t>XXX</w:t>
      </w:r>
      <w:proofErr w:type="spellEnd"/>
      <w:r w:rsidR="001C3DEC">
        <w:rPr>
          <w:rFonts w:ascii="Palatino Linotype" w:hAnsi="Palatino Linotype"/>
          <w:i/>
          <w:color w:val="000000"/>
          <w:szCs w:val="22"/>
        </w:rPr>
        <w:t xml:space="preserve"> </w:t>
      </w:r>
      <w:proofErr w:type="spellStart"/>
      <w:r w:rsidR="001C3DEC">
        <w:rPr>
          <w:rFonts w:ascii="Palatino Linotype" w:hAnsi="Palatino Linotype"/>
          <w:i/>
          <w:color w:val="000000"/>
          <w:szCs w:val="22"/>
        </w:rPr>
        <w:t>XXX</w:t>
      </w:r>
      <w:proofErr w:type="spellEnd"/>
      <w:r w:rsidR="006A2BCA" w:rsidRPr="006A2BCA">
        <w:rPr>
          <w:rFonts w:ascii="Palatino Linotype" w:hAnsi="Palatino Linotype"/>
          <w:i/>
          <w:color w:val="000000"/>
          <w:szCs w:val="22"/>
        </w:rPr>
        <w:t xml:space="preserve">. </w:t>
      </w:r>
      <w:proofErr w:type="spellStart"/>
      <w:r w:rsidR="006A2BCA" w:rsidRPr="006A2BCA">
        <w:rPr>
          <w:rFonts w:ascii="Palatino Linotype" w:hAnsi="Palatino Linotype"/>
          <w:i/>
          <w:color w:val="000000"/>
          <w:szCs w:val="22"/>
        </w:rPr>
        <w:t>Documentaciòn</w:t>
      </w:r>
      <w:proofErr w:type="spellEnd"/>
      <w:r w:rsidR="006A2BCA" w:rsidRPr="006A2BCA">
        <w:rPr>
          <w:rFonts w:ascii="Palatino Linotype" w:hAnsi="Palatino Linotype"/>
          <w:i/>
          <w:color w:val="000000"/>
          <w:szCs w:val="22"/>
        </w:rPr>
        <w:t xml:space="preserve"> base para su </w:t>
      </w:r>
      <w:proofErr w:type="spellStart"/>
      <w:r w:rsidR="006A2BCA" w:rsidRPr="006A2BCA">
        <w:rPr>
          <w:rFonts w:ascii="Palatino Linotype" w:hAnsi="Palatino Linotype"/>
          <w:i/>
          <w:color w:val="000000"/>
          <w:szCs w:val="22"/>
        </w:rPr>
        <w:t>expediciòn</w:t>
      </w:r>
      <w:proofErr w:type="spellEnd"/>
      <w:r w:rsidR="006A2BCA" w:rsidRPr="006A2BCA">
        <w:rPr>
          <w:rFonts w:ascii="Palatino Linotype" w:hAnsi="Palatino Linotype"/>
          <w:i/>
          <w:color w:val="000000"/>
          <w:szCs w:val="22"/>
        </w:rPr>
        <w:t xml:space="preserve">. </w:t>
      </w:r>
      <w:proofErr w:type="spellStart"/>
      <w:r w:rsidR="006A2BCA" w:rsidRPr="006A2BCA">
        <w:rPr>
          <w:rFonts w:ascii="Palatino Linotype" w:hAnsi="Palatino Linotype"/>
          <w:i/>
          <w:color w:val="000000"/>
          <w:szCs w:val="22"/>
        </w:rPr>
        <w:t>Sesiòn</w:t>
      </w:r>
      <w:proofErr w:type="spellEnd"/>
      <w:r w:rsidR="006A2BCA" w:rsidRPr="006A2BCA">
        <w:rPr>
          <w:rFonts w:ascii="Palatino Linotype" w:hAnsi="Palatino Linotype"/>
          <w:i/>
          <w:color w:val="000000"/>
          <w:szCs w:val="22"/>
        </w:rPr>
        <w:t xml:space="preserve"> de COPLADEMUN en que fue aprobada</w:t>
      </w:r>
      <w:r w:rsidRPr="00E95235">
        <w:rPr>
          <w:rFonts w:ascii="Palatino Linotype" w:hAnsi="Palatino Linotype"/>
          <w:i/>
          <w:color w:val="000000"/>
          <w:szCs w:val="22"/>
        </w:rPr>
        <w:t xml:space="preserve">” (Sic) </w:t>
      </w:r>
    </w:p>
    <w:p w14:paraId="26DEDD1A" w14:textId="77777777" w:rsidR="00932C55" w:rsidRPr="002527E8" w:rsidRDefault="00932C55" w:rsidP="00932C55">
      <w:pPr>
        <w:pStyle w:val="Prrafodelista"/>
        <w:spacing w:line="360" w:lineRule="auto"/>
        <w:ind w:left="0"/>
        <w:jc w:val="both"/>
        <w:rPr>
          <w:rFonts w:ascii="Palatino Linotype" w:hAnsi="Palatino Linotype" w:cs="Arial"/>
          <w:sz w:val="24"/>
          <w:szCs w:val="22"/>
          <w:lang w:val="es-ES" w:eastAsia="es-ES"/>
        </w:rPr>
      </w:pPr>
    </w:p>
    <w:p w14:paraId="26DEDD1B" w14:textId="77777777" w:rsidR="006A2BCA" w:rsidRDefault="006A2BCA" w:rsidP="00932C55">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hAnsi="Palatino Linotype" w:cs="Arial"/>
          <w:sz w:val="24"/>
          <w:szCs w:val="22"/>
          <w:lang w:val="es-ES" w:eastAsia="es-ES"/>
        </w:rPr>
        <w:t xml:space="preserve">Se solicitó la entrega de la información en copias simples con costo. </w:t>
      </w:r>
    </w:p>
    <w:p w14:paraId="26DEDD1C" w14:textId="77777777" w:rsidR="006A2BCA" w:rsidRDefault="006A2BCA" w:rsidP="006A2BCA">
      <w:pPr>
        <w:pStyle w:val="Prrafodelista"/>
        <w:spacing w:line="360" w:lineRule="auto"/>
        <w:ind w:left="0"/>
        <w:jc w:val="both"/>
        <w:rPr>
          <w:rFonts w:ascii="Palatino Linotype" w:hAnsi="Palatino Linotype" w:cs="Arial"/>
          <w:sz w:val="24"/>
          <w:szCs w:val="22"/>
          <w:lang w:val="es-ES" w:eastAsia="es-ES"/>
        </w:rPr>
      </w:pPr>
    </w:p>
    <w:p w14:paraId="26DEDD1D" w14:textId="77777777" w:rsidR="00932C55" w:rsidRDefault="00932C55" w:rsidP="00932C55">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hAnsi="Palatino Linotype" w:cs="Arial"/>
          <w:sz w:val="24"/>
          <w:szCs w:val="22"/>
          <w:lang w:val="es-ES" w:eastAsia="es-ES"/>
        </w:rPr>
        <w:t xml:space="preserve">El </w:t>
      </w:r>
      <w:r w:rsidR="006A2BCA">
        <w:rPr>
          <w:rFonts w:ascii="Palatino Linotype" w:hAnsi="Palatino Linotype" w:cs="Arial"/>
          <w:sz w:val="24"/>
          <w:szCs w:val="22"/>
          <w:lang w:val="es-ES" w:eastAsia="es-ES"/>
        </w:rPr>
        <w:t>nueve (09) de octubre</w:t>
      </w:r>
      <w:r>
        <w:rPr>
          <w:rFonts w:ascii="Palatino Linotype" w:hAnsi="Palatino Linotype" w:cs="Arial"/>
          <w:sz w:val="24"/>
          <w:szCs w:val="22"/>
          <w:lang w:val="es-ES" w:eastAsia="es-ES"/>
        </w:rPr>
        <w:t xml:space="preserve"> de dos mil veintitrés, se realizó un requerimiento al servidor público habilitado.</w:t>
      </w:r>
    </w:p>
    <w:p w14:paraId="26DEDD1E" w14:textId="77777777" w:rsidR="006A2BCA" w:rsidRPr="006A2BCA" w:rsidRDefault="006A2BCA" w:rsidP="006A2BCA">
      <w:pPr>
        <w:pStyle w:val="Prrafodelista"/>
        <w:rPr>
          <w:rFonts w:ascii="Palatino Linotype" w:hAnsi="Palatino Linotype" w:cs="Arial"/>
          <w:sz w:val="24"/>
          <w:szCs w:val="22"/>
          <w:lang w:val="es-ES" w:eastAsia="es-ES"/>
        </w:rPr>
      </w:pPr>
    </w:p>
    <w:p w14:paraId="26DEDD1F" w14:textId="77777777" w:rsidR="006A2BCA" w:rsidRDefault="006A2BCA" w:rsidP="00932C55">
      <w:pPr>
        <w:pStyle w:val="Prrafodelista"/>
        <w:numPr>
          <w:ilvl w:val="0"/>
          <w:numId w:val="1"/>
        </w:numPr>
        <w:spacing w:line="360" w:lineRule="auto"/>
        <w:ind w:left="0" w:firstLine="0"/>
        <w:jc w:val="both"/>
        <w:rPr>
          <w:rFonts w:ascii="Palatino Linotype" w:hAnsi="Palatino Linotype" w:cs="Arial"/>
          <w:sz w:val="24"/>
          <w:szCs w:val="22"/>
          <w:lang w:val="es-ES" w:eastAsia="es-ES"/>
        </w:rPr>
      </w:pPr>
      <w:r>
        <w:rPr>
          <w:rFonts w:ascii="Palatino Linotype" w:hAnsi="Palatino Linotype" w:cs="Arial"/>
          <w:sz w:val="24"/>
          <w:szCs w:val="22"/>
          <w:lang w:val="es-ES" w:eastAsia="es-ES"/>
        </w:rPr>
        <w:t>El treinta (30) de octubre de dos mil veintitrés, se notificó una respuesta para emitir respuesta a la solicitud de información en el siguiente sentido:</w:t>
      </w:r>
    </w:p>
    <w:p w14:paraId="26DEDD20" w14:textId="77777777" w:rsidR="006A2BCA" w:rsidRPr="006A2BCA" w:rsidRDefault="006A2BCA" w:rsidP="006A2BCA">
      <w:pPr>
        <w:pStyle w:val="Prrafodelista"/>
        <w:rPr>
          <w:rFonts w:ascii="Palatino Linotype" w:hAnsi="Palatino Linotype" w:cs="Arial"/>
          <w:sz w:val="24"/>
          <w:szCs w:val="22"/>
          <w:lang w:val="es-ES" w:eastAsia="es-ES"/>
        </w:rPr>
      </w:pPr>
    </w:p>
    <w:tbl>
      <w:tblPr>
        <w:tblW w:w="7660" w:type="dxa"/>
        <w:jc w:val="center"/>
        <w:tblCellSpacing w:w="0" w:type="dxa"/>
        <w:tblCellMar>
          <w:left w:w="0" w:type="dxa"/>
          <w:right w:w="0" w:type="dxa"/>
        </w:tblCellMar>
        <w:tblLook w:val="04A0" w:firstRow="1" w:lastRow="0" w:firstColumn="1" w:lastColumn="0" w:noHBand="0" w:noVBand="1"/>
      </w:tblPr>
      <w:tblGrid>
        <w:gridCol w:w="7660"/>
      </w:tblGrid>
      <w:tr w:rsidR="006A2BCA" w:rsidRPr="006A2BCA" w14:paraId="26DEDD22" w14:textId="77777777" w:rsidTr="006A2BCA">
        <w:trPr>
          <w:trHeight w:val="337"/>
          <w:tblCellSpacing w:w="0" w:type="dxa"/>
          <w:jc w:val="center"/>
        </w:trPr>
        <w:tc>
          <w:tcPr>
            <w:tcW w:w="0" w:type="auto"/>
            <w:vAlign w:val="center"/>
            <w:hideMark/>
          </w:tcPr>
          <w:p w14:paraId="26DEDD21" w14:textId="77777777" w:rsidR="006A2BCA" w:rsidRPr="006A2BCA" w:rsidRDefault="006A2BCA" w:rsidP="006A2BCA">
            <w:pPr>
              <w:jc w:val="right"/>
              <w:rPr>
                <w:rFonts w:ascii="Palatino Linotype" w:hAnsi="Palatino Linotype"/>
                <w:i/>
                <w:sz w:val="22"/>
              </w:rPr>
            </w:pPr>
            <w:r>
              <w:rPr>
                <w:rFonts w:ascii="Palatino Linotype" w:hAnsi="Palatino Linotype"/>
                <w:i/>
                <w:sz w:val="22"/>
                <w:szCs w:val="15"/>
              </w:rPr>
              <w:t>“</w:t>
            </w:r>
            <w:r w:rsidRPr="006A2BCA">
              <w:rPr>
                <w:rFonts w:ascii="Palatino Linotype" w:hAnsi="Palatino Linotype"/>
                <w:i/>
                <w:sz w:val="22"/>
                <w:szCs w:val="15"/>
              </w:rPr>
              <w:t>Naucalpan de Juárez, México a 30 de Octubre de 2023</w:t>
            </w:r>
          </w:p>
        </w:tc>
      </w:tr>
      <w:tr w:rsidR="006A2BCA" w:rsidRPr="006A2BCA" w14:paraId="26DEDD24" w14:textId="77777777" w:rsidTr="006A2BCA">
        <w:trPr>
          <w:trHeight w:val="337"/>
          <w:tblCellSpacing w:w="0" w:type="dxa"/>
          <w:jc w:val="center"/>
        </w:trPr>
        <w:tc>
          <w:tcPr>
            <w:tcW w:w="0" w:type="auto"/>
            <w:vAlign w:val="center"/>
            <w:hideMark/>
          </w:tcPr>
          <w:p w14:paraId="26DEDD23" w14:textId="77777777" w:rsidR="006A2BCA" w:rsidRPr="006A2BCA" w:rsidRDefault="006A2BCA" w:rsidP="006A2BCA">
            <w:pPr>
              <w:jc w:val="right"/>
              <w:rPr>
                <w:rFonts w:ascii="Palatino Linotype" w:hAnsi="Palatino Linotype"/>
                <w:i/>
                <w:sz w:val="22"/>
              </w:rPr>
            </w:pPr>
            <w:r w:rsidRPr="006A2BCA">
              <w:rPr>
                <w:rFonts w:ascii="Palatino Linotype" w:hAnsi="Palatino Linotype"/>
                <w:i/>
                <w:sz w:val="22"/>
                <w:szCs w:val="15"/>
              </w:rPr>
              <w:t>Nombre del solicitante: C. Solicitante</w:t>
            </w:r>
          </w:p>
        </w:tc>
      </w:tr>
      <w:tr w:rsidR="006A2BCA" w:rsidRPr="006A2BCA" w14:paraId="26DEDD26" w14:textId="77777777" w:rsidTr="006A2BCA">
        <w:trPr>
          <w:trHeight w:val="337"/>
          <w:tblCellSpacing w:w="0" w:type="dxa"/>
          <w:jc w:val="center"/>
        </w:trPr>
        <w:tc>
          <w:tcPr>
            <w:tcW w:w="0" w:type="auto"/>
            <w:vAlign w:val="center"/>
            <w:hideMark/>
          </w:tcPr>
          <w:p w14:paraId="26DEDD25" w14:textId="77777777" w:rsidR="006A2BCA" w:rsidRPr="006A2BCA" w:rsidRDefault="006A2BCA" w:rsidP="006A2BCA">
            <w:pPr>
              <w:jc w:val="right"/>
              <w:rPr>
                <w:rFonts w:ascii="Palatino Linotype" w:hAnsi="Palatino Linotype"/>
                <w:i/>
                <w:sz w:val="22"/>
              </w:rPr>
            </w:pPr>
            <w:r w:rsidRPr="006A2BCA">
              <w:rPr>
                <w:rFonts w:ascii="Palatino Linotype" w:hAnsi="Palatino Linotype"/>
                <w:i/>
                <w:sz w:val="22"/>
                <w:szCs w:val="15"/>
              </w:rPr>
              <w:t>Folio de la solicitud: 00569/NAUCALPA/IP/2023</w:t>
            </w:r>
          </w:p>
        </w:tc>
      </w:tr>
      <w:tr w:rsidR="006A2BCA" w:rsidRPr="006A2BCA" w14:paraId="26DEDD28" w14:textId="77777777" w:rsidTr="006A2BCA">
        <w:trPr>
          <w:trHeight w:val="506"/>
          <w:tblCellSpacing w:w="0" w:type="dxa"/>
          <w:jc w:val="center"/>
        </w:trPr>
        <w:tc>
          <w:tcPr>
            <w:tcW w:w="0" w:type="auto"/>
            <w:vAlign w:val="center"/>
            <w:hideMark/>
          </w:tcPr>
          <w:p w14:paraId="26DEDD27" w14:textId="77777777" w:rsidR="006A2BCA" w:rsidRPr="006A2BCA" w:rsidRDefault="006A2BCA" w:rsidP="006A2BCA">
            <w:pPr>
              <w:jc w:val="right"/>
              <w:rPr>
                <w:rFonts w:ascii="Palatino Linotype" w:hAnsi="Palatino Linotype"/>
                <w:i/>
                <w:sz w:val="22"/>
              </w:rPr>
            </w:pPr>
          </w:p>
        </w:tc>
      </w:tr>
      <w:tr w:rsidR="006A2BCA" w:rsidRPr="006A2BCA" w14:paraId="26DEDD2A" w14:textId="77777777" w:rsidTr="006A2BCA">
        <w:trPr>
          <w:trHeight w:val="168"/>
          <w:tblCellSpacing w:w="0" w:type="dxa"/>
          <w:jc w:val="center"/>
        </w:trPr>
        <w:tc>
          <w:tcPr>
            <w:tcW w:w="0" w:type="auto"/>
            <w:vAlign w:val="center"/>
            <w:hideMark/>
          </w:tcPr>
          <w:p w14:paraId="26DEDD29" w14:textId="77777777" w:rsidR="006A2BCA" w:rsidRPr="006A2BCA" w:rsidRDefault="006A2BCA" w:rsidP="006A2BCA">
            <w:pPr>
              <w:rPr>
                <w:rFonts w:ascii="Palatino Linotype" w:hAnsi="Palatino Linotype"/>
                <w:i/>
                <w:sz w:val="22"/>
              </w:rPr>
            </w:pPr>
            <w:r w:rsidRPr="006A2BCA">
              <w:rPr>
                <w:rFonts w:ascii="Palatino Linotype" w:hAnsi="Palatino Linotype"/>
                <w:i/>
                <w:sz w:val="22"/>
                <w:szCs w:val="15"/>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6A2BCA" w:rsidRPr="006A2BCA" w14:paraId="26DEDD2C" w14:textId="77777777" w:rsidTr="006A2BCA">
        <w:trPr>
          <w:trHeight w:val="422"/>
          <w:tblCellSpacing w:w="0" w:type="dxa"/>
          <w:jc w:val="center"/>
        </w:trPr>
        <w:tc>
          <w:tcPr>
            <w:tcW w:w="0" w:type="auto"/>
            <w:vAlign w:val="center"/>
            <w:hideMark/>
          </w:tcPr>
          <w:p w14:paraId="26DEDD2B" w14:textId="77777777" w:rsidR="006A2BCA" w:rsidRPr="006A2BCA" w:rsidRDefault="006A2BCA" w:rsidP="006A2BCA">
            <w:pPr>
              <w:rPr>
                <w:rFonts w:ascii="Palatino Linotype" w:hAnsi="Palatino Linotype"/>
                <w:i/>
                <w:sz w:val="22"/>
              </w:rPr>
            </w:pPr>
          </w:p>
        </w:tc>
      </w:tr>
      <w:tr w:rsidR="006A2BCA" w:rsidRPr="006A2BCA" w14:paraId="26DEDD2E" w14:textId="77777777" w:rsidTr="006A2BCA">
        <w:trPr>
          <w:trHeight w:val="168"/>
          <w:tblCellSpacing w:w="0" w:type="dxa"/>
          <w:jc w:val="center"/>
        </w:trPr>
        <w:tc>
          <w:tcPr>
            <w:tcW w:w="0" w:type="auto"/>
            <w:vAlign w:val="center"/>
            <w:hideMark/>
          </w:tcPr>
          <w:p w14:paraId="26DEDD2D" w14:textId="77777777" w:rsidR="006A2BCA" w:rsidRPr="006A2BCA" w:rsidRDefault="006A2BCA" w:rsidP="006A2BCA">
            <w:pPr>
              <w:rPr>
                <w:rFonts w:ascii="Palatino Linotype" w:hAnsi="Palatino Linotype"/>
                <w:i/>
                <w:sz w:val="22"/>
              </w:rPr>
            </w:pPr>
            <w:r w:rsidRPr="006A2BCA">
              <w:rPr>
                <w:rFonts w:ascii="Palatino Linotype" w:hAnsi="Palatino Linotype"/>
                <w:i/>
                <w:sz w:val="22"/>
                <w:szCs w:val="15"/>
              </w:rPr>
              <w:t xml:space="preserve">Derivado de la complejidad en la búsqueda de la información, se </w:t>
            </w:r>
            <w:proofErr w:type="spellStart"/>
            <w:r w:rsidRPr="006A2BCA">
              <w:rPr>
                <w:rFonts w:ascii="Palatino Linotype" w:hAnsi="Palatino Linotype"/>
                <w:i/>
                <w:sz w:val="22"/>
                <w:szCs w:val="15"/>
              </w:rPr>
              <w:t>amplia</w:t>
            </w:r>
            <w:proofErr w:type="spellEnd"/>
            <w:r w:rsidRPr="006A2BCA">
              <w:rPr>
                <w:rFonts w:ascii="Palatino Linotype" w:hAnsi="Palatino Linotype"/>
                <w:i/>
                <w:sz w:val="22"/>
                <w:szCs w:val="15"/>
              </w:rPr>
              <w:t xml:space="preserve"> el plazo por un 7 días adicionales</w:t>
            </w:r>
          </w:p>
        </w:tc>
      </w:tr>
      <w:tr w:rsidR="006A2BCA" w:rsidRPr="006A2BCA" w14:paraId="26DEDD30" w14:textId="77777777" w:rsidTr="006A2BCA">
        <w:trPr>
          <w:trHeight w:val="422"/>
          <w:tblCellSpacing w:w="0" w:type="dxa"/>
          <w:jc w:val="center"/>
        </w:trPr>
        <w:tc>
          <w:tcPr>
            <w:tcW w:w="0" w:type="auto"/>
            <w:vAlign w:val="center"/>
            <w:hideMark/>
          </w:tcPr>
          <w:p w14:paraId="26DEDD2F" w14:textId="77777777" w:rsidR="006A2BCA" w:rsidRPr="006A2BCA" w:rsidRDefault="006A2BCA" w:rsidP="006A2BCA">
            <w:pPr>
              <w:rPr>
                <w:rFonts w:ascii="Palatino Linotype" w:hAnsi="Palatino Linotype"/>
                <w:i/>
                <w:sz w:val="22"/>
              </w:rPr>
            </w:pPr>
          </w:p>
        </w:tc>
      </w:tr>
      <w:tr w:rsidR="006A2BCA" w:rsidRPr="006A2BCA" w14:paraId="26DEDD32" w14:textId="77777777" w:rsidTr="006A2BCA">
        <w:trPr>
          <w:trHeight w:val="168"/>
          <w:tblCellSpacing w:w="0" w:type="dxa"/>
          <w:jc w:val="center"/>
        </w:trPr>
        <w:tc>
          <w:tcPr>
            <w:tcW w:w="0" w:type="auto"/>
            <w:vAlign w:val="center"/>
            <w:hideMark/>
          </w:tcPr>
          <w:p w14:paraId="26DEDD31" w14:textId="77777777" w:rsidR="006A2BCA" w:rsidRPr="006A2BCA" w:rsidRDefault="006A2BCA" w:rsidP="006A2BCA">
            <w:pPr>
              <w:jc w:val="center"/>
              <w:rPr>
                <w:rFonts w:ascii="Palatino Linotype" w:hAnsi="Palatino Linotype"/>
                <w:i/>
                <w:sz w:val="22"/>
                <w:szCs w:val="20"/>
              </w:rPr>
            </w:pPr>
          </w:p>
        </w:tc>
      </w:tr>
      <w:tr w:rsidR="006A2BCA" w:rsidRPr="006A2BCA" w14:paraId="26DEDD34" w14:textId="77777777" w:rsidTr="006A2BCA">
        <w:trPr>
          <w:trHeight w:val="168"/>
          <w:tblCellSpacing w:w="0" w:type="dxa"/>
          <w:jc w:val="center"/>
        </w:trPr>
        <w:tc>
          <w:tcPr>
            <w:tcW w:w="0" w:type="auto"/>
            <w:vAlign w:val="center"/>
            <w:hideMark/>
          </w:tcPr>
          <w:p w14:paraId="26DEDD33" w14:textId="77777777" w:rsidR="006A2BCA" w:rsidRPr="006A2BCA" w:rsidRDefault="006A2BCA" w:rsidP="006A2BCA">
            <w:pPr>
              <w:rPr>
                <w:rFonts w:ascii="Palatino Linotype" w:hAnsi="Palatino Linotype"/>
                <w:i/>
                <w:sz w:val="22"/>
              </w:rPr>
            </w:pPr>
            <w:r w:rsidRPr="006A2BCA">
              <w:rPr>
                <w:rFonts w:ascii="Palatino Linotype" w:hAnsi="Palatino Linotype"/>
                <w:i/>
                <w:sz w:val="22"/>
                <w:szCs w:val="15"/>
              </w:rPr>
              <w:t>LIC. NAXHIELI TORRES GARCÍA</w:t>
            </w:r>
          </w:p>
        </w:tc>
      </w:tr>
      <w:tr w:rsidR="006A2BCA" w:rsidRPr="006A2BCA" w14:paraId="26DEDD36" w14:textId="77777777" w:rsidTr="006A2BCA">
        <w:trPr>
          <w:trHeight w:val="168"/>
          <w:tblCellSpacing w:w="0" w:type="dxa"/>
          <w:jc w:val="center"/>
        </w:trPr>
        <w:tc>
          <w:tcPr>
            <w:tcW w:w="0" w:type="auto"/>
            <w:vAlign w:val="center"/>
            <w:hideMark/>
          </w:tcPr>
          <w:p w14:paraId="26DEDD35" w14:textId="77777777" w:rsidR="006A2BCA" w:rsidRPr="006A2BCA" w:rsidRDefault="006A2BCA" w:rsidP="006A2BCA">
            <w:pPr>
              <w:rPr>
                <w:rFonts w:ascii="Palatino Linotype" w:hAnsi="Palatino Linotype"/>
                <w:i/>
                <w:sz w:val="22"/>
              </w:rPr>
            </w:pPr>
            <w:r w:rsidRPr="006A2BCA">
              <w:rPr>
                <w:rFonts w:ascii="Palatino Linotype" w:hAnsi="Palatino Linotype"/>
                <w:b/>
                <w:bCs/>
                <w:i/>
                <w:sz w:val="22"/>
                <w:szCs w:val="15"/>
              </w:rPr>
              <w:t>Responsable de la Unidad de Transparencia</w:t>
            </w:r>
            <w:r>
              <w:rPr>
                <w:rFonts w:ascii="Palatino Linotype" w:hAnsi="Palatino Linotype"/>
                <w:b/>
                <w:bCs/>
                <w:i/>
                <w:sz w:val="22"/>
                <w:szCs w:val="15"/>
              </w:rPr>
              <w:t>”</w:t>
            </w:r>
          </w:p>
        </w:tc>
      </w:tr>
    </w:tbl>
    <w:p w14:paraId="26DEDD37" w14:textId="77777777" w:rsidR="00932C55" w:rsidRDefault="00932C55" w:rsidP="00932C55">
      <w:pPr>
        <w:pStyle w:val="Prrafodelista"/>
        <w:spacing w:line="360" w:lineRule="auto"/>
        <w:ind w:left="0"/>
        <w:jc w:val="both"/>
        <w:rPr>
          <w:rFonts w:ascii="Palatino Linotype" w:hAnsi="Palatino Linotype" w:cs="Arial"/>
          <w:sz w:val="24"/>
          <w:szCs w:val="22"/>
          <w:lang w:val="es-ES" w:eastAsia="es-ES"/>
        </w:rPr>
      </w:pPr>
    </w:p>
    <w:p w14:paraId="26DEDD38" w14:textId="77777777" w:rsidR="006A2BCA" w:rsidRPr="00DF6C28" w:rsidRDefault="006A2BCA" w:rsidP="00932C55">
      <w:pPr>
        <w:pStyle w:val="Prrafodelista"/>
        <w:spacing w:line="360" w:lineRule="auto"/>
        <w:ind w:left="0"/>
        <w:jc w:val="both"/>
      </w:pPr>
    </w:p>
    <w:p w14:paraId="26DEDD39" w14:textId="77777777" w:rsidR="00932C55" w:rsidRPr="00E95235" w:rsidRDefault="00932C55" w:rsidP="00932C55">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eastAsiaTheme="minorEastAsia" w:hAnsi="Palatino Linotype"/>
          <w:sz w:val="24"/>
          <w:szCs w:val="22"/>
          <w:lang w:val="es-ES_tradnl" w:eastAsia="es-ES"/>
        </w:rPr>
        <w:t xml:space="preserve">El </w:t>
      </w:r>
      <w:r w:rsidR="006A2BCA">
        <w:rPr>
          <w:rFonts w:ascii="Palatino Linotype" w:eastAsiaTheme="minorEastAsia" w:hAnsi="Palatino Linotype"/>
          <w:sz w:val="24"/>
          <w:szCs w:val="22"/>
          <w:lang w:val="es-ES_tradnl" w:eastAsia="es-ES"/>
        </w:rPr>
        <w:t>ocho (08) de noviembre</w:t>
      </w:r>
      <w:r>
        <w:rPr>
          <w:rFonts w:ascii="Palatino Linotype" w:eastAsiaTheme="minorEastAsia" w:hAnsi="Palatino Linotype"/>
          <w:sz w:val="24"/>
          <w:szCs w:val="22"/>
          <w:lang w:val="es-ES_tradnl" w:eastAsia="es-ES"/>
        </w:rPr>
        <w:t xml:space="preserve"> de dos mil veintitrés</w:t>
      </w:r>
      <w:r w:rsidRPr="00E95235">
        <w:rPr>
          <w:rFonts w:ascii="Palatino Linotype" w:eastAsiaTheme="minorEastAsia" w:hAnsi="Palatino Linotype"/>
          <w:sz w:val="24"/>
          <w:szCs w:val="22"/>
          <w:lang w:val="es-ES_tradnl" w:eastAsia="es-ES"/>
        </w:rPr>
        <w:t xml:space="preserve">, </w:t>
      </w:r>
      <w:r w:rsidRPr="00E95235">
        <w:rPr>
          <w:rFonts w:ascii="Palatino Linotype" w:eastAsia="Calibri" w:hAnsi="Palatino Linotype"/>
          <w:sz w:val="24"/>
          <w:szCs w:val="22"/>
          <w:lang w:val="es-ES" w:eastAsia="es-ES"/>
        </w:rPr>
        <w:t xml:space="preserve">el </w:t>
      </w:r>
      <w:r w:rsidRPr="00E95235">
        <w:rPr>
          <w:rFonts w:ascii="Palatino Linotype" w:eastAsia="Calibri" w:hAnsi="Palatino Linotype" w:cs="Arial"/>
          <w:b/>
          <w:sz w:val="24"/>
          <w:szCs w:val="22"/>
          <w:lang w:val="es-AR" w:eastAsia="es-ES"/>
        </w:rPr>
        <w:t>SUJETO OBLIGADO</w:t>
      </w:r>
      <w:r w:rsidRPr="00E95235">
        <w:rPr>
          <w:rFonts w:ascii="Palatino Linotype" w:eastAsia="Calibri" w:hAnsi="Palatino Linotype" w:cs="Arial"/>
          <w:b/>
          <w:i/>
          <w:sz w:val="24"/>
          <w:szCs w:val="22"/>
          <w:lang w:val="es-AR" w:eastAsia="es-ES"/>
        </w:rPr>
        <w:t xml:space="preserve"> </w:t>
      </w:r>
      <w:r w:rsidRPr="00E95235">
        <w:rPr>
          <w:rFonts w:ascii="Palatino Linotype" w:hAnsi="Palatino Linotype" w:cs="Arial"/>
          <w:sz w:val="24"/>
          <w:szCs w:val="22"/>
          <w:lang w:val="es-ES" w:eastAsia="es-ES"/>
        </w:rPr>
        <w:t>dio respuesta a la solicitud de información en los siguientes términos:</w:t>
      </w:r>
    </w:p>
    <w:p w14:paraId="26DEDD3A" w14:textId="77777777" w:rsidR="00932C55" w:rsidRDefault="00932C55" w:rsidP="00932C55">
      <w:pPr>
        <w:spacing w:line="360" w:lineRule="auto"/>
        <w:jc w:val="both"/>
        <w:rPr>
          <w:rFonts w:ascii="Palatino Linotype" w:hAnsi="Palatino Linotype" w:cs="Arial"/>
          <w:szCs w:val="22"/>
          <w:lang w:val="es-ES" w:eastAsia="es-ES"/>
        </w:rPr>
      </w:pPr>
    </w:p>
    <w:tbl>
      <w:tblPr>
        <w:tblW w:w="7526" w:type="dxa"/>
        <w:jc w:val="center"/>
        <w:tblCellSpacing w:w="0" w:type="dxa"/>
        <w:tblCellMar>
          <w:left w:w="0" w:type="dxa"/>
          <w:right w:w="0" w:type="dxa"/>
        </w:tblCellMar>
        <w:tblLook w:val="04A0" w:firstRow="1" w:lastRow="0" w:firstColumn="1" w:lastColumn="0" w:noHBand="0" w:noVBand="1"/>
      </w:tblPr>
      <w:tblGrid>
        <w:gridCol w:w="7526"/>
      </w:tblGrid>
      <w:tr w:rsidR="006A2BCA" w:rsidRPr="006A2BCA" w14:paraId="26DEDD3C" w14:textId="77777777" w:rsidTr="006A2BCA">
        <w:trPr>
          <w:trHeight w:val="684"/>
          <w:tblCellSpacing w:w="0" w:type="dxa"/>
          <w:jc w:val="center"/>
        </w:trPr>
        <w:tc>
          <w:tcPr>
            <w:tcW w:w="0" w:type="auto"/>
            <w:vAlign w:val="center"/>
            <w:hideMark/>
          </w:tcPr>
          <w:p w14:paraId="26DEDD3B" w14:textId="77777777" w:rsidR="006A2BCA" w:rsidRPr="006A2BCA" w:rsidRDefault="006A2BCA" w:rsidP="006A2BCA">
            <w:pPr>
              <w:jc w:val="right"/>
              <w:rPr>
                <w:rFonts w:ascii="Palatino Linotype" w:hAnsi="Palatino Linotype"/>
                <w:i/>
                <w:sz w:val="22"/>
              </w:rPr>
            </w:pPr>
            <w:r w:rsidRPr="006A2BCA">
              <w:rPr>
                <w:rFonts w:ascii="Palatino Linotype" w:hAnsi="Palatino Linotype"/>
                <w:i/>
                <w:sz w:val="22"/>
                <w:szCs w:val="18"/>
              </w:rPr>
              <w:t>Naucalpan de Juárez, México a 08 de Noviembre de 2023</w:t>
            </w:r>
          </w:p>
        </w:tc>
      </w:tr>
      <w:tr w:rsidR="006A2BCA" w:rsidRPr="006A2BCA" w14:paraId="26DEDD3E" w14:textId="77777777" w:rsidTr="006A2BCA">
        <w:trPr>
          <w:trHeight w:val="684"/>
          <w:tblCellSpacing w:w="0" w:type="dxa"/>
          <w:jc w:val="center"/>
        </w:trPr>
        <w:tc>
          <w:tcPr>
            <w:tcW w:w="0" w:type="auto"/>
            <w:vAlign w:val="center"/>
            <w:hideMark/>
          </w:tcPr>
          <w:p w14:paraId="26DEDD3D" w14:textId="77777777" w:rsidR="006A2BCA" w:rsidRPr="006A2BCA" w:rsidRDefault="006A2BCA" w:rsidP="006A2BCA">
            <w:pPr>
              <w:jc w:val="right"/>
              <w:rPr>
                <w:rFonts w:ascii="Palatino Linotype" w:hAnsi="Palatino Linotype"/>
                <w:i/>
                <w:sz w:val="22"/>
              </w:rPr>
            </w:pPr>
            <w:r w:rsidRPr="006A2BCA">
              <w:rPr>
                <w:rFonts w:ascii="Palatino Linotype" w:hAnsi="Palatino Linotype"/>
                <w:i/>
                <w:sz w:val="22"/>
                <w:szCs w:val="18"/>
              </w:rPr>
              <w:t>Nombre del solicitante: C. Solicitante</w:t>
            </w:r>
          </w:p>
        </w:tc>
      </w:tr>
      <w:tr w:rsidR="006A2BCA" w:rsidRPr="006A2BCA" w14:paraId="26DEDD40" w14:textId="77777777" w:rsidTr="006A2BCA">
        <w:trPr>
          <w:trHeight w:val="684"/>
          <w:tblCellSpacing w:w="0" w:type="dxa"/>
          <w:jc w:val="center"/>
        </w:trPr>
        <w:tc>
          <w:tcPr>
            <w:tcW w:w="0" w:type="auto"/>
            <w:vAlign w:val="center"/>
            <w:hideMark/>
          </w:tcPr>
          <w:p w14:paraId="26DEDD3F" w14:textId="77777777" w:rsidR="006A2BCA" w:rsidRPr="006A2BCA" w:rsidRDefault="006A2BCA" w:rsidP="006A2BCA">
            <w:pPr>
              <w:jc w:val="right"/>
              <w:rPr>
                <w:rFonts w:ascii="Palatino Linotype" w:hAnsi="Palatino Linotype"/>
                <w:i/>
                <w:sz w:val="22"/>
              </w:rPr>
            </w:pPr>
            <w:r w:rsidRPr="006A2BCA">
              <w:rPr>
                <w:rFonts w:ascii="Palatino Linotype" w:hAnsi="Palatino Linotype"/>
                <w:i/>
                <w:sz w:val="22"/>
                <w:szCs w:val="18"/>
              </w:rPr>
              <w:t>Folio de la solicitud: 00569/NAUCALPA/IP/2023</w:t>
            </w:r>
          </w:p>
        </w:tc>
      </w:tr>
      <w:tr w:rsidR="006A2BCA" w:rsidRPr="006A2BCA" w14:paraId="26DEDD42" w14:textId="77777777" w:rsidTr="006A2BCA">
        <w:trPr>
          <w:trHeight w:val="342"/>
          <w:tblCellSpacing w:w="0" w:type="dxa"/>
          <w:jc w:val="center"/>
        </w:trPr>
        <w:tc>
          <w:tcPr>
            <w:tcW w:w="0" w:type="auto"/>
            <w:vAlign w:val="center"/>
            <w:hideMark/>
          </w:tcPr>
          <w:p w14:paraId="26DEDD41" w14:textId="77777777" w:rsidR="006A2BCA" w:rsidRPr="006A2BCA" w:rsidRDefault="006A2BCA" w:rsidP="006A2BCA">
            <w:pPr>
              <w:jc w:val="both"/>
              <w:rPr>
                <w:rFonts w:ascii="Palatino Linotype" w:hAnsi="Palatino Linotype"/>
                <w:i/>
                <w:sz w:val="22"/>
              </w:rPr>
            </w:pPr>
            <w:r w:rsidRPr="006A2BCA">
              <w:rPr>
                <w:rFonts w:ascii="Palatino Linotype" w:hAnsi="Palatino Linotype"/>
                <w:i/>
                <w:sz w:val="22"/>
                <w:szCs w:val="18"/>
              </w:rPr>
              <w:t xml:space="preserve">En respuesta a la solicitud recibida, nos permitimos hacer de su conocimiento que con fundamento en el artículo 53, Fracciones: II, V y VI de la Ley de Transparencia y </w:t>
            </w:r>
            <w:r w:rsidRPr="006A2BCA">
              <w:rPr>
                <w:rFonts w:ascii="Palatino Linotype" w:hAnsi="Palatino Linotype"/>
                <w:i/>
                <w:sz w:val="22"/>
                <w:szCs w:val="18"/>
              </w:rPr>
              <w:lastRenderedPageBreak/>
              <w:t>Acceso a la Información Pública del Estado de México y Municipios, le contestamos que:</w:t>
            </w:r>
          </w:p>
        </w:tc>
      </w:tr>
      <w:tr w:rsidR="006A2BCA" w:rsidRPr="006A2BCA" w14:paraId="26DEDD44" w14:textId="77777777" w:rsidTr="006A2BCA">
        <w:trPr>
          <w:trHeight w:val="342"/>
          <w:tblCellSpacing w:w="0" w:type="dxa"/>
          <w:jc w:val="center"/>
        </w:trPr>
        <w:tc>
          <w:tcPr>
            <w:tcW w:w="0" w:type="auto"/>
            <w:vAlign w:val="center"/>
            <w:hideMark/>
          </w:tcPr>
          <w:p w14:paraId="26DEDD43" w14:textId="77777777" w:rsidR="006A2BCA" w:rsidRPr="006A2BCA" w:rsidRDefault="006A2BCA" w:rsidP="006A2BCA">
            <w:pPr>
              <w:jc w:val="both"/>
              <w:rPr>
                <w:rFonts w:ascii="Palatino Linotype" w:hAnsi="Palatino Linotype"/>
                <w:i/>
                <w:sz w:val="22"/>
              </w:rPr>
            </w:pPr>
            <w:r w:rsidRPr="006A2BCA">
              <w:rPr>
                <w:rFonts w:ascii="Palatino Linotype" w:hAnsi="Palatino Linotype"/>
                <w:i/>
                <w:sz w:val="22"/>
                <w:szCs w:val="18"/>
              </w:rPr>
              <w:lastRenderedPageBreak/>
              <w:t>En atención a la solicitud de acceso a la información pública ingresada mediante el Sistema de Acceso a la Información Mexiquense (SAIMEX), Al respecto y con fundamento en lo dispuesto por los artículo 6 de la Constitución Política de los Estados Unidos Mexicanos; 5 de la Constitución Política del Estado Libre y Soberano de México; 1, 2 fracciones II, V, y VIII, 3, 4, 11, 41 y 46 de la Ley de Transparencia y Acceso a la Información Pública del Estado de México; me permito informarle lo siguiente: mediante oficio DGDU/SOU/III/35/2023 signado por la Encargada de Despacho de la Subdirección de Operación Urbana informa que vista la petición se realizó la búsqueda en los archivos del departamento de uso de suelo a cargo de esta subdirección de Operación Urbana se localizó el registro del expediente que contine la Licencia de Uso de Suelo número LUS/050/2020 la cual se anexa en versión pública aprobada por el comité de Transparencia en la Cuadragésima sesión extraordinaria con el número de acuerdo CT/NAU/ACTA-EXT-0040/2023/192</w:t>
            </w:r>
          </w:p>
        </w:tc>
      </w:tr>
      <w:tr w:rsidR="006A2BCA" w:rsidRPr="006A2BCA" w14:paraId="26DEDD46" w14:textId="77777777" w:rsidTr="006A2BCA">
        <w:trPr>
          <w:trHeight w:val="342"/>
          <w:tblCellSpacing w:w="0" w:type="dxa"/>
          <w:jc w:val="center"/>
        </w:trPr>
        <w:tc>
          <w:tcPr>
            <w:tcW w:w="0" w:type="auto"/>
            <w:vAlign w:val="center"/>
            <w:hideMark/>
          </w:tcPr>
          <w:p w14:paraId="26DEDD45" w14:textId="77777777" w:rsidR="006A2BCA" w:rsidRPr="006A2BCA" w:rsidRDefault="006A2BCA" w:rsidP="006A2BCA">
            <w:pPr>
              <w:rPr>
                <w:rFonts w:ascii="Palatino Linotype" w:hAnsi="Palatino Linotype"/>
                <w:i/>
                <w:sz w:val="22"/>
                <w:szCs w:val="20"/>
              </w:rPr>
            </w:pPr>
          </w:p>
        </w:tc>
      </w:tr>
      <w:tr w:rsidR="006A2BCA" w:rsidRPr="006A2BCA" w14:paraId="26DEDD48" w14:textId="77777777" w:rsidTr="006A2BCA">
        <w:trPr>
          <w:trHeight w:val="342"/>
          <w:tblCellSpacing w:w="0" w:type="dxa"/>
          <w:jc w:val="center"/>
        </w:trPr>
        <w:tc>
          <w:tcPr>
            <w:tcW w:w="0" w:type="auto"/>
            <w:vAlign w:val="center"/>
            <w:hideMark/>
          </w:tcPr>
          <w:p w14:paraId="26DEDD47" w14:textId="77777777" w:rsidR="006A2BCA" w:rsidRPr="006A2BCA" w:rsidRDefault="006A2BCA" w:rsidP="006A2BCA">
            <w:pPr>
              <w:rPr>
                <w:rFonts w:ascii="Palatino Linotype" w:hAnsi="Palatino Linotype"/>
                <w:i/>
                <w:sz w:val="22"/>
              </w:rPr>
            </w:pPr>
            <w:r w:rsidRPr="006A2BCA">
              <w:rPr>
                <w:rFonts w:ascii="Palatino Linotype" w:hAnsi="Palatino Linotype"/>
                <w:i/>
                <w:sz w:val="22"/>
                <w:szCs w:val="18"/>
              </w:rPr>
              <w:t>ATENTAMENTE</w:t>
            </w:r>
          </w:p>
        </w:tc>
      </w:tr>
      <w:tr w:rsidR="006A2BCA" w:rsidRPr="006A2BCA" w14:paraId="26DEDD4A" w14:textId="77777777" w:rsidTr="006A2BCA">
        <w:trPr>
          <w:trHeight w:val="513"/>
          <w:tblCellSpacing w:w="0" w:type="dxa"/>
          <w:jc w:val="center"/>
        </w:trPr>
        <w:tc>
          <w:tcPr>
            <w:tcW w:w="0" w:type="auto"/>
            <w:vAlign w:val="center"/>
            <w:hideMark/>
          </w:tcPr>
          <w:p w14:paraId="26DEDD49" w14:textId="77777777" w:rsidR="006A2BCA" w:rsidRPr="006A2BCA" w:rsidRDefault="006A2BCA" w:rsidP="006A2BCA">
            <w:pPr>
              <w:rPr>
                <w:rFonts w:ascii="Palatino Linotype" w:hAnsi="Palatino Linotype"/>
                <w:i/>
                <w:sz w:val="22"/>
              </w:rPr>
            </w:pPr>
          </w:p>
        </w:tc>
      </w:tr>
      <w:tr w:rsidR="006A2BCA" w:rsidRPr="006A2BCA" w14:paraId="26DEDD4C" w14:textId="77777777" w:rsidTr="006A2BCA">
        <w:trPr>
          <w:trHeight w:val="342"/>
          <w:tblCellSpacing w:w="0" w:type="dxa"/>
          <w:jc w:val="center"/>
        </w:trPr>
        <w:tc>
          <w:tcPr>
            <w:tcW w:w="0" w:type="auto"/>
            <w:vAlign w:val="center"/>
            <w:hideMark/>
          </w:tcPr>
          <w:p w14:paraId="26DEDD4B" w14:textId="77777777" w:rsidR="006A2BCA" w:rsidRPr="006A2BCA" w:rsidRDefault="006A2BCA" w:rsidP="006A2BCA">
            <w:pPr>
              <w:rPr>
                <w:rFonts w:ascii="Palatino Linotype" w:hAnsi="Palatino Linotype"/>
                <w:i/>
                <w:sz w:val="22"/>
              </w:rPr>
            </w:pPr>
            <w:r w:rsidRPr="006A2BCA">
              <w:rPr>
                <w:rFonts w:ascii="Palatino Linotype" w:hAnsi="Palatino Linotype"/>
                <w:i/>
                <w:sz w:val="22"/>
                <w:szCs w:val="18"/>
              </w:rPr>
              <w:t>LIC. NAXHIELI TORRES GARCÍA</w:t>
            </w:r>
          </w:p>
        </w:tc>
      </w:tr>
    </w:tbl>
    <w:p w14:paraId="26DEDD4D" w14:textId="77777777" w:rsidR="00932C55" w:rsidRPr="002527E8" w:rsidRDefault="00932C55" w:rsidP="00932C55">
      <w:pPr>
        <w:spacing w:line="360" w:lineRule="auto"/>
        <w:jc w:val="both"/>
        <w:rPr>
          <w:rFonts w:ascii="Palatino Linotype" w:hAnsi="Palatino Linotype" w:cs="Arial"/>
          <w:szCs w:val="22"/>
          <w:lang w:val="es-ES" w:eastAsia="es-ES"/>
        </w:rPr>
      </w:pPr>
    </w:p>
    <w:p w14:paraId="26DEDD4E" w14:textId="77777777" w:rsidR="00932C55" w:rsidRDefault="00932C55" w:rsidP="00932C55">
      <w:pPr>
        <w:spacing w:line="360" w:lineRule="auto"/>
        <w:jc w:val="both"/>
        <w:rPr>
          <w:rFonts w:ascii="Palatino Linotype" w:hAnsi="Palatino Linotype" w:cs="Arial"/>
          <w:szCs w:val="22"/>
          <w:lang w:val="es-ES" w:eastAsia="es-ES"/>
        </w:rPr>
      </w:pPr>
      <w:r>
        <w:rPr>
          <w:rFonts w:ascii="Palatino Linotype" w:hAnsi="Palatino Linotype" w:cs="Arial"/>
          <w:szCs w:val="22"/>
          <w:lang w:val="es-ES" w:eastAsia="es-ES"/>
        </w:rPr>
        <w:t>A la respuesta se adjuntaron los archivos que se describen enseguida:</w:t>
      </w:r>
    </w:p>
    <w:p w14:paraId="26DEDD4F" w14:textId="77777777" w:rsidR="00932C55" w:rsidRDefault="00932C55" w:rsidP="00CD4BB5">
      <w:pPr>
        <w:spacing w:line="360" w:lineRule="auto"/>
        <w:jc w:val="both"/>
        <w:rPr>
          <w:rFonts w:ascii="Palatino Linotype" w:hAnsi="Palatino Linotype" w:cs="Arial"/>
          <w:szCs w:val="22"/>
          <w:lang w:val="es-ES" w:eastAsia="es-ES"/>
        </w:rPr>
      </w:pPr>
    </w:p>
    <w:p w14:paraId="26DEDD50" w14:textId="77777777" w:rsidR="006A2BCA" w:rsidRDefault="00E50E79" w:rsidP="00CD4BB5">
      <w:pPr>
        <w:pStyle w:val="Prrafodelista"/>
        <w:numPr>
          <w:ilvl w:val="0"/>
          <w:numId w:val="4"/>
        </w:numPr>
        <w:spacing w:line="360" w:lineRule="auto"/>
        <w:jc w:val="both"/>
        <w:rPr>
          <w:rFonts w:ascii="Palatino Linotype" w:hAnsi="Palatino Linotype"/>
          <w:szCs w:val="22"/>
        </w:rPr>
      </w:pPr>
      <w:hyperlink r:id="rId7" w:tgtFrame="_blank" w:history="1">
        <w:r w:rsidR="006A2BCA" w:rsidRPr="006A2BCA">
          <w:rPr>
            <w:rStyle w:val="Hipervnculo"/>
            <w:rFonts w:ascii="Palatino Linotype" w:eastAsiaTheme="majorEastAsia" w:hAnsi="Palatino Linotype" w:cs="Arial"/>
            <w:b/>
            <w:bCs/>
            <w:color w:val="auto"/>
            <w:szCs w:val="22"/>
          </w:rPr>
          <w:t>saimex 569_Censurado.pdf</w:t>
        </w:r>
      </w:hyperlink>
      <w:r w:rsidR="006A2BCA">
        <w:rPr>
          <w:rFonts w:ascii="Palatino Linotype" w:hAnsi="Palatino Linotype"/>
          <w:szCs w:val="22"/>
        </w:rPr>
        <w:t xml:space="preserve">: </w:t>
      </w:r>
      <w:r w:rsidR="00CD4BB5">
        <w:rPr>
          <w:rFonts w:ascii="Palatino Linotype" w:hAnsi="Palatino Linotype"/>
          <w:szCs w:val="22"/>
        </w:rPr>
        <w:t xml:space="preserve">oficio DGDU/SOU/III/35/2023 de fecha veintitrés de octubre de dos mil veintitrés, suscrito por la Encargada de Despacho de la Subdirección de Operación Urbana, en el que señaló que de la búsqueda en los archivos del Departamento de Uso de Suelo, se localizó la licencia de uso de suelo número 050/2020, la cual se anexa en copia simple para los efectos legales que correspondan; asimismo, se adjuntó </w:t>
      </w:r>
      <w:r w:rsidR="001F49E1">
        <w:rPr>
          <w:rFonts w:ascii="Palatino Linotype" w:hAnsi="Palatino Linotype"/>
          <w:szCs w:val="22"/>
        </w:rPr>
        <w:t>la licencia de uso de suelo 50/2020.</w:t>
      </w:r>
    </w:p>
    <w:p w14:paraId="26DEDD51" w14:textId="77777777" w:rsidR="006A2BCA" w:rsidRPr="006A2BCA" w:rsidRDefault="006A2BCA" w:rsidP="00CD4BB5">
      <w:pPr>
        <w:pStyle w:val="Prrafodelista"/>
        <w:spacing w:line="360" w:lineRule="auto"/>
        <w:jc w:val="both"/>
        <w:rPr>
          <w:rFonts w:ascii="Palatino Linotype" w:hAnsi="Palatino Linotype"/>
          <w:szCs w:val="22"/>
        </w:rPr>
      </w:pPr>
    </w:p>
    <w:p w14:paraId="26DEDD52" w14:textId="77777777" w:rsidR="006A2BCA" w:rsidRPr="001F49E1" w:rsidRDefault="00E50E79" w:rsidP="00932C55">
      <w:pPr>
        <w:pStyle w:val="Prrafodelista"/>
        <w:numPr>
          <w:ilvl w:val="0"/>
          <w:numId w:val="4"/>
        </w:numPr>
        <w:spacing w:line="360" w:lineRule="auto"/>
        <w:jc w:val="both"/>
        <w:rPr>
          <w:rFonts w:ascii="Palatino Linotype" w:hAnsi="Palatino Linotype"/>
          <w:szCs w:val="22"/>
        </w:rPr>
      </w:pPr>
      <w:hyperlink r:id="rId8" w:tgtFrame="_blank" w:history="1">
        <w:r w:rsidR="006A2BCA" w:rsidRPr="006A2BCA">
          <w:rPr>
            <w:rStyle w:val="Hipervnculo"/>
            <w:rFonts w:ascii="Palatino Linotype" w:eastAsiaTheme="majorEastAsia" w:hAnsi="Palatino Linotype" w:cs="Arial"/>
            <w:b/>
            <w:bCs/>
            <w:color w:val="auto"/>
            <w:szCs w:val="22"/>
          </w:rPr>
          <w:t>Cuadragésima Sesión Extraordinaria. Punto 4. Sol_00569_2023.pdf</w:t>
        </w:r>
      </w:hyperlink>
      <w:r w:rsidR="006A2BCA">
        <w:rPr>
          <w:rFonts w:ascii="Palatino Linotype" w:hAnsi="Palatino Linotype"/>
          <w:szCs w:val="22"/>
        </w:rPr>
        <w:t xml:space="preserve">: </w:t>
      </w:r>
      <w:r w:rsidR="001F49E1">
        <w:rPr>
          <w:rFonts w:ascii="Palatino Linotype" w:hAnsi="Palatino Linotype"/>
          <w:szCs w:val="22"/>
        </w:rPr>
        <w:t xml:space="preserve">acta de la cuadragésima sesión extraordinaria 2023 en la que se clasificó como confidencial los datos personales contenidos en la licencia de uso de suelo. </w:t>
      </w:r>
    </w:p>
    <w:p w14:paraId="26DEDD53" w14:textId="77777777" w:rsidR="00932C55" w:rsidRPr="00E95235" w:rsidRDefault="00932C55" w:rsidP="00932C55">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eastAsia="Calibri" w:hAnsi="Palatino Linotype" w:cs="Arial"/>
          <w:sz w:val="24"/>
          <w:szCs w:val="22"/>
          <w:lang w:val="es-AR" w:eastAsia="es-ES"/>
        </w:rPr>
        <w:t xml:space="preserve">El </w:t>
      </w:r>
      <w:r w:rsidR="001F49E1">
        <w:rPr>
          <w:rFonts w:ascii="Palatino Linotype" w:eastAsia="Calibri" w:hAnsi="Palatino Linotype" w:cs="Arial"/>
          <w:sz w:val="24"/>
          <w:szCs w:val="22"/>
          <w:lang w:val="es-AR" w:eastAsia="es-ES"/>
        </w:rPr>
        <w:t>doce (12) de noviembre</w:t>
      </w:r>
      <w:r>
        <w:rPr>
          <w:rFonts w:ascii="Palatino Linotype" w:eastAsia="Calibri" w:hAnsi="Palatino Linotype" w:cs="Arial"/>
          <w:sz w:val="24"/>
          <w:szCs w:val="22"/>
          <w:lang w:val="es-AR" w:eastAsia="es-ES"/>
        </w:rPr>
        <w:t xml:space="preserve">  de dos mil veintitrés</w:t>
      </w:r>
      <w:r w:rsidRPr="00E95235">
        <w:rPr>
          <w:rFonts w:ascii="Palatino Linotype" w:hAnsi="Palatino Linotype" w:cs="Arial"/>
          <w:sz w:val="24"/>
          <w:szCs w:val="22"/>
          <w:lang w:val="es-ES" w:eastAsia="es-ES"/>
        </w:rPr>
        <w:t xml:space="preserve">, </w:t>
      </w:r>
      <w:r w:rsidRPr="00E95235">
        <w:rPr>
          <w:rFonts w:ascii="Palatino Linotype" w:eastAsiaTheme="minorEastAsia" w:hAnsi="Palatino Linotype"/>
          <w:b/>
          <w:sz w:val="24"/>
          <w:szCs w:val="22"/>
          <w:lang w:val="es-ES_tradnl" w:eastAsia="es-ES"/>
        </w:rPr>
        <w:t>EL RECURRENTE</w:t>
      </w:r>
      <w:r w:rsidRPr="00E95235">
        <w:rPr>
          <w:rFonts w:ascii="Palatino Linotype" w:hAnsi="Palatino Linotype" w:cs="Arial"/>
          <w:sz w:val="24"/>
          <w:szCs w:val="22"/>
          <w:lang w:val="es-ES" w:eastAsia="es-ES"/>
        </w:rPr>
        <w:t xml:space="preserve"> interpuso el recurso de revisión, en contra de la respuesta, señalando como:</w:t>
      </w:r>
    </w:p>
    <w:p w14:paraId="26DEDD54" w14:textId="77777777" w:rsidR="00932C55" w:rsidRPr="00E95235" w:rsidRDefault="00932C55" w:rsidP="00932C55">
      <w:pPr>
        <w:pStyle w:val="Prrafodelista"/>
        <w:spacing w:line="360" w:lineRule="auto"/>
        <w:ind w:left="0"/>
        <w:jc w:val="both"/>
        <w:rPr>
          <w:rFonts w:ascii="Palatino Linotype" w:hAnsi="Palatino Linotype" w:cs="Arial"/>
          <w:szCs w:val="22"/>
          <w:lang w:val="es-ES" w:eastAsia="es-ES"/>
        </w:rPr>
      </w:pPr>
    </w:p>
    <w:p w14:paraId="26DEDD55" w14:textId="77777777" w:rsidR="00932C55" w:rsidRPr="00E95235" w:rsidRDefault="00932C55" w:rsidP="00932C55">
      <w:pPr>
        <w:spacing w:line="360" w:lineRule="auto"/>
        <w:ind w:left="567" w:right="567"/>
        <w:contextualSpacing/>
        <w:jc w:val="both"/>
        <w:rPr>
          <w:rFonts w:ascii="Palatino Linotype" w:eastAsia="Calibri" w:hAnsi="Palatino Linotype" w:cs="Arial"/>
          <w:i/>
          <w:sz w:val="22"/>
          <w:szCs w:val="22"/>
          <w:lang w:val="es-ES" w:eastAsia="es-ES"/>
        </w:rPr>
      </w:pPr>
      <w:r w:rsidRPr="00E95235">
        <w:rPr>
          <w:rFonts w:ascii="Palatino Linotype" w:eastAsiaTheme="minorEastAsia" w:hAnsi="Palatino Linotype"/>
          <w:b/>
          <w:sz w:val="22"/>
          <w:szCs w:val="22"/>
          <w:lang w:val="es-ES_tradnl" w:eastAsia="es-ES"/>
        </w:rPr>
        <w:t>Acto impugnado</w:t>
      </w:r>
      <w:r w:rsidRPr="00E95235">
        <w:rPr>
          <w:rFonts w:ascii="Palatino Linotype" w:eastAsiaTheme="minorEastAsia" w:hAnsi="Palatino Linotype"/>
          <w:b/>
          <w:i/>
          <w:sz w:val="22"/>
          <w:szCs w:val="22"/>
          <w:lang w:val="es-ES_tradnl" w:eastAsia="es-ES"/>
        </w:rPr>
        <w:t>:</w:t>
      </w:r>
      <w:r w:rsidRPr="00E95235">
        <w:rPr>
          <w:rFonts w:ascii="Palatino Linotype" w:hAnsi="Palatino Linotype"/>
          <w:i/>
          <w:color w:val="000000"/>
          <w:sz w:val="22"/>
          <w:szCs w:val="22"/>
        </w:rPr>
        <w:t xml:space="preserve"> “</w:t>
      </w:r>
      <w:r w:rsidR="001F49E1" w:rsidRPr="001F49E1">
        <w:rPr>
          <w:rFonts w:ascii="Palatino Linotype" w:hAnsi="Palatino Linotype"/>
          <w:i/>
          <w:color w:val="000000"/>
          <w:sz w:val="22"/>
          <w:szCs w:val="22"/>
        </w:rPr>
        <w:t xml:space="preserve">Solo señalan el número de licencia de uso de suelo que ya </w:t>
      </w:r>
      <w:proofErr w:type="spellStart"/>
      <w:r w:rsidR="001F49E1" w:rsidRPr="001F49E1">
        <w:rPr>
          <w:rFonts w:ascii="Palatino Linotype" w:hAnsi="Palatino Linotype"/>
          <w:i/>
          <w:color w:val="000000"/>
          <w:sz w:val="22"/>
          <w:szCs w:val="22"/>
        </w:rPr>
        <w:t>conociamos</w:t>
      </w:r>
      <w:proofErr w:type="spellEnd"/>
      <w:r w:rsidR="001F49E1" w:rsidRPr="001F49E1">
        <w:rPr>
          <w:rFonts w:ascii="Palatino Linotype" w:hAnsi="Palatino Linotype"/>
          <w:i/>
          <w:color w:val="000000"/>
          <w:sz w:val="22"/>
          <w:szCs w:val="22"/>
        </w:rPr>
        <w:t xml:space="preserve"> y lo que solicitamos fue se nos informara con base en qué se otorgó el cambio de uso de suelo y copia simple de los documentos presentados para ello.</w:t>
      </w:r>
      <w:r w:rsidRPr="00E95235">
        <w:rPr>
          <w:rFonts w:ascii="Palatino Linotype" w:hAnsi="Palatino Linotype"/>
          <w:i/>
          <w:color w:val="000000"/>
          <w:sz w:val="22"/>
          <w:szCs w:val="22"/>
        </w:rPr>
        <w:t>" (Sic)</w:t>
      </w:r>
    </w:p>
    <w:p w14:paraId="26DEDD56" w14:textId="77777777" w:rsidR="00932C55" w:rsidRPr="00E95235" w:rsidRDefault="00932C55" w:rsidP="00932C55">
      <w:pPr>
        <w:spacing w:line="360" w:lineRule="auto"/>
        <w:ind w:left="567" w:right="567"/>
        <w:contextualSpacing/>
        <w:jc w:val="both"/>
        <w:rPr>
          <w:rFonts w:ascii="Palatino Linotype" w:eastAsia="Calibri" w:hAnsi="Palatino Linotype" w:cs="Arial"/>
          <w:sz w:val="22"/>
          <w:szCs w:val="22"/>
          <w:lang w:val="es-ES" w:eastAsia="es-ES"/>
        </w:rPr>
      </w:pPr>
    </w:p>
    <w:p w14:paraId="26DEDD57" w14:textId="510AB20A" w:rsidR="00932C55" w:rsidRDefault="00932C55" w:rsidP="001F49E1">
      <w:pPr>
        <w:spacing w:line="360" w:lineRule="auto"/>
        <w:ind w:left="567" w:right="567"/>
        <w:contextualSpacing/>
        <w:jc w:val="both"/>
        <w:rPr>
          <w:rFonts w:ascii="Palatino Linotype" w:hAnsi="Palatino Linotype"/>
          <w:i/>
          <w:color w:val="000000"/>
          <w:sz w:val="36"/>
          <w:szCs w:val="22"/>
        </w:rPr>
      </w:pPr>
      <w:r w:rsidRPr="00E95235">
        <w:rPr>
          <w:rFonts w:ascii="Palatino Linotype" w:eastAsiaTheme="minorEastAsia" w:hAnsi="Palatino Linotype"/>
          <w:b/>
          <w:sz w:val="22"/>
          <w:szCs w:val="22"/>
          <w:lang w:val="es-ES_tradnl" w:eastAsia="es-ES"/>
        </w:rPr>
        <w:t>Raz</w:t>
      </w:r>
      <w:r>
        <w:rPr>
          <w:rFonts w:ascii="Palatino Linotype" w:eastAsiaTheme="minorEastAsia" w:hAnsi="Palatino Linotype"/>
          <w:b/>
          <w:sz w:val="22"/>
          <w:szCs w:val="22"/>
          <w:lang w:val="es-ES_tradnl" w:eastAsia="es-ES"/>
        </w:rPr>
        <w:t>ones o Motivos de inconformidad: “</w:t>
      </w:r>
      <w:r w:rsidR="001F49E1" w:rsidRPr="001F49E1">
        <w:rPr>
          <w:rFonts w:ascii="Palatino Linotype" w:hAnsi="Palatino Linotype"/>
          <w:i/>
          <w:color w:val="000000"/>
          <w:sz w:val="22"/>
          <w:szCs w:val="14"/>
        </w:rPr>
        <w:t xml:space="preserve">El uso de suelo de Jardines de San Mateo es en general exclusivamente habitacional y en lo particular la calle de los </w:t>
      </w:r>
      <w:r w:rsidR="001C3DEC">
        <w:rPr>
          <w:rFonts w:ascii="Palatino Linotype" w:hAnsi="Palatino Linotype"/>
          <w:i/>
          <w:color w:val="000000"/>
          <w:sz w:val="22"/>
          <w:szCs w:val="14"/>
        </w:rPr>
        <w:t xml:space="preserve">XXX </w:t>
      </w:r>
      <w:proofErr w:type="spellStart"/>
      <w:r w:rsidR="001C3DEC">
        <w:rPr>
          <w:rFonts w:ascii="Palatino Linotype" w:hAnsi="Palatino Linotype"/>
          <w:i/>
          <w:color w:val="000000"/>
          <w:sz w:val="22"/>
          <w:szCs w:val="14"/>
        </w:rPr>
        <w:t>XXX</w:t>
      </w:r>
      <w:proofErr w:type="spellEnd"/>
      <w:r w:rsidR="001F49E1" w:rsidRPr="001F49E1">
        <w:rPr>
          <w:rFonts w:ascii="Palatino Linotype" w:hAnsi="Palatino Linotype"/>
          <w:i/>
          <w:color w:val="000000"/>
          <w:sz w:val="22"/>
          <w:szCs w:val="14"/>
        </w:rPr>
        <w:t xml:space="preserve"> es exclusivamente habitacional. Al señalar solamente en que sesión se otorgó el cambio de uso de suelo no nos </w:t>
      </w:r>
      <w:proofErr w:type="spellStart"/>
      <w:r w:rsidR="001F49E1" w:rsidRPr="001F49E1">
        <w:rPr>
          <w:rFonts w:ascii="Palatino Linotype" w:hAnsi="Palatino Linotype"/>
          <w:i/>
          <w:color w:val="000000"/>
          <w:sz w:val="22"/>
          <w:szCs w:val="14"/>
        </w:rPr>
        <w:t>nos</w:t>
      </w:r>
      <w:proofErr w:type="spellEnd"/>
      <w:r w:rsidR="001F49E1" w:rsidRPr="001F49E1">
        <w:rPr>
          <w:rFonts w:ascii="Palatino Linotype" w:hAnsi="Palatino Linotype"/>
          <w:i/>
          <w:color w:val="000000"/>
          <w:sz w:val="22"/>
          <w:szCs w:val="14"/>
        </w:rPr>
        <w:t xml:space="preserve"> da los elementos para conocer si el cambio de uso de suelo autorizado cumple con todos los requisitos de </w:t>
      </w:r>
      <w:proofErr w:type="gramStart"/>
      <w:r w:rsidR="001F49E1" w:rsidRPr="001F49E1">
        <w:rPr>
          <w:rFonts w:ascii="Palatino Linotype" w:hAnsi="Palatino Linotype"/>
          <w:i/>
          <w:color w:val="000000"/>
          <w:sz w:val="22"/>
          <w:szCs w:val="14"/>
        </w:rPr>
        <w:t>ley..</w:t>
      </w:r>
      <w:proofErr w:type="gramEnd"/>
      <w:r>
        <w:rPr>
          <w:rFonts w:ascii="Palatino Linotype" w:hAnsi="Palatino Linotype"/>
          <w:i/>
          <w:color w:val="000000"/>
          <w:sz w:val="22"/>
          <w:szCs w:val="14"/>
        </w:rPr>
        <w:t>” (Sic)</w:t>
      </w:r>
      <w:r>
        <w:rPr>
          <w:rFonts w:ascii="Palatino Linotype" w:hAnsi="Palatino Linotype" w:cs="Arial"/>
          <w:sz w:val="22"/>
          <w:szCs w:val="22"/>
        </w:rPr>
        <w:t xml:space="preserve">. </w:t>
      </w:r>
    </w:p>
    <w:p w14:paraId="26DEDD58" w14:textId="77777777" w:rsidR="001F49E1" w:rsidRPr="00646849" w:rsidRDefault="001F49E1" w:rsidP="001F49E1">
      <w:pPr>
        <w:spacing w:line="360" w:lineRule="auto"/>
        <w:ind w:left="567" w:right="567"/>
        <w:contextualSpacing/>
        <w:jc w:val="both"/>
        <w:rPr>
          <w:rFonts w:ascii="Palatino Linotype" w:hAnsi="Palatino Linotype"/>
          <w:i/>
          <w:color w:val="000000"/>
          <w:sz w:val="36"/>
          <w:szCs w:val="22"/>
        </w:rPr>
      </w:pPr>
    </w:p>
    <w:p w14:paraId="26DEDD59" w14:textId="77777777" w:rsidR="00932C55" w:rsidRPr="00E95235" w:rsidRDefault="00932C55" w:rsidP="00932C55">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hAnsi="Palatino Linotype" w:cs="Arial"/>
          <w:sz w:val="24"/>
          <w:lang w:val="es-ES" w:eastAsia="es-ES"/>
        </w:rPr>
        <w:t xml:space="preserve">Se registró el recurso de revisión bajo el número de expediente </w:t>
      </w:r>
      <w:r w:rsidRPr="00E95235">
        <w:rPr>
          <w:rFonts w:ascii="Palatino Linotype" w:eastAsiaTheme="minorEastAsia" w:hAnsi="Palatino Linotype" w:cs="Arial"/>
          <w:bCs/>
          <w:sz w:val="24"/>
          <w:lang w:val="es-ES_tradnl" w:eastAsia="es-ES"/>
        </w:rPr>
        <w:t xml:space="preserve">al rubro indicado, asimismo con fundamento en lo dispuesto por el </w:t>
      </w:r>
      <w:r w:rsidRPr="00E95235">
        <w:rPr>
          <w:rFonts w:ascii="Palatino Linotype" w:eastAsia="Calibri" w:hAnsi="Palatino Linotype" w:cs="Arial"/>
          <w:sz w:val="24"/>
          <w:lang w:val="es-ES" w:eastAsia="es-ES"/>
        </w:rPr>
        <w:t xml:space="preserve">artículo 185 fracción I de la </w:t>
      </w:r>
      <w:r w:rsidRPr="00E95235">
        <w:rPr>
          <w:rFonts w:ascii="Palatino Linotype" w:eastAsia="Calibri" w:hAnsi="Palatino Linotype" w:cs="Arial"/>
          <w:b/>
          <w:sz w:val="24"/>
          <w:lang w:val="es-ES" w:eastAsia="es-ES"/>
        </w:rPr>
        <w:t xml:space="preserve">Ley de Transparencia y Acceso a la Información Pública del Estado de México y Municipios </w:t>
      </w:r>
      <w:r w:rsidRPr="00E95235">
        <w:rPr>
          <w:rFonts w:ascii="Palatino Linotype" w:hAnsi="Palatino Linotype" w:cs="Arial"/>
          <w:sz w:val="24"/>
          <w:lang w:val="es-ES" w:eastAsia="es-ES"/>
        </w:rPr>
        <w:t xml:space="preserve">se turnó a la </w:t>
      </w:r>
      <w:r w:rsidRPr="00E95235">
        <w:rPr>
          <w:rFonts w:ascii="Palatino Linotype" w:hAnsi="Palatino Linotype" w:cs="Arial"/>
          <w:b/>
          <w:sz w:val="24"/>
          <w:lang w:val="es-ES" w:eastAsia="es-ES"/>
        </w:rPr>
        <w:t xml:space="preserve">Comisionada María del Rosario Mejía Ayala, </w:t>
      </w:r>
      <w:r w:rsidRPr="00E95235">
        <w:rPr>
          <w:rFonts w:ascii="Palatino Linotype" w:hAnsi="Palatino Linotype" w:cs="Arial"/>
          <w:sz w:val="24"/>
          <w:lang w:val="es-ES" w:eastAsia="es-ES"/>
        </w:rPr>
        <w:t xml:space="preserve">con el objeto de </w:t>
      </w:r>
      <w:r w:rsidRPr="00E95235">
        <w:rPr>
          <w:rFonts w:ascii="Palatino Linotype" w:hAnsi="Palatino Linotype" w:cs="Arial"/>
          <w:sz w:val="24"/>
          <w:lang w:eastAsia="es-ES"/>
        </w:rPr>
        <w:t xml:space="preserve">su análisis. </w:t>
      </w:r>
    </w:p>
    <w:p w14:paraId="26DEDD5A" w14:textId="77777777" w:rsidR="00932C55" w:rsidRPr="00E95235" w:rsidRDefault="00932C55" w:rsidP="00932C55">
      <w:pPr>
        <w:pStyle w:val="Prrafodelista"/>
        <w:spacing w:line="360" w:lineRule="auto"/>
        <w:ind w:left="0"/>
        <w:jc w:val="both"/>
        <w:rPr>
          <w:rFonts w:ascii="Palatino Linotype" w:hAnsi="Palatino Linotype" w:cs="Arial"/>
          <w:sz w:val="24"/>
          <w:szCs w:val="22"/>
          <w:lang w:val="es-ES" w:eastAsia="es-ES"/>
        </w:rPr>
      </w:pPr>
    </w:p>
    <w:p w14:paraId="26DEDD5B" w14:textId="77777777" w:rsidR="00932C55" w:rsidRPr="004370C5" w:rsidRDefault="00932C55" w:rsidP="00932C55">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95235">
        <w:rPr>
          <w:rFonts w:ascii="Palatino Linotype" w:eastAsia="Calibri" w:hAnsi="Palatino Linotype" w:cs="Arial"/>
          <w:sz w:val="24"/>
          <w:lang w:val="es-ES" w:eastAsia="es-ES"/>
        </w:rPr>
        <w:t>El Comisionado Ponente con fundamento en lo dispuesto por el artículo 185 fracción II de la ley de la materia, a tr</w:t>
      </w:r>
      <w:r w:rsidR="001F49E1">
        <w:rPr>
          <w:rFonts w:ascii="Palatino Linotype" w:eastAsia="Calibri" w:hAnsi="Palatino Linotype" w:cs="Arial"/>
          <w:sz w:val="24"/>
          <w:lang w:val="es-ES" w:eastAsia="es-ES"/>
        </w:rPr>
        <w:t xml:space="preserve">avés del acuerdo de admisión del catorce (14) de </w:t>
      </w:r>
      <w:r w:rsidR="001F49E1">
        <w:rPr>
          <w:rFonts w:ascii="Palatino Linotype" w:eastAsia="Calibri" w:hAnsi="Palatino Linotype" w:cs="Arial"/>
          <w:sz w:val="24"/>
          <w:lang w:val="es-ES" w:eastAsia="es-ES"/>
        </w:rPr>
        <w:lastRenderedPageBreak/>
        <w:t xml:space="preserve">noviembre </w:t>
      </w:r>
      <w:r>
        <w:rPr>
          <w:rFonts w:ascii="Palatino Linotype" w:eastAsia="Calibri" w:hAnsi="Palatino Linotype" w:cs="Arial"/>
          <w:sz w:val="24"/>
          <w:lang w:val="es-ES" w:eastAsia="es-ES"/>
        </w:rPr>
        <w:t>de dos mil veintitrés</w:t>
      </w:r>
      <w:r w:rsidRPr="00E95235">
        <w:rPr>
          <w:rFonts w:ascii="Palatino Linotype" w:eastAsia="Calibri" w:hAnsi="Palatino Linotype" w:cs="Arial"/>
          <w:sz w:val="24"/>
          <w:lang w:val="es-ES" w:eastAsia="es-ES"/>
        </w:rPr>
        <w:t xml:space="preserve">, puso a disposición de las partes el expediente electrónico </w:t>
      </w:r>
      <w:r w:rsidRPr="00E95235">
        <w:rPr>
          <w:rFonts w:ascii="Palatino Linotype" w:eastAsia="Calibri" w:hAnsi="Palatino Linotype" w:cs="Arial"/>
          <w:sz w:val="24"/>
          <w:lang w:val="es-ES_tradnl" w:eastAsia="es-ES"/>
        </w:rPr>
        <w:t xml:space="preserve">vía </w:t>
      </w:r>
      <w:r w:rsidRPr="00E95235">
        <w:rPr>
          <w:rFonts w:ascii="Palatino Linotype" w:eastAsia="Calibri" w:hAnsi="Palatino Linotype" w:cs="Arial"/>
          <w:b/>
          <w:sz w:val="24"/>
          <w:lang w:val="es-ES" w:eastAsia="es-ES"/>
        </w:rPr>
        <w:t xml:space="preserve">SAIMEX </w:t>
      </w:r>
      <w:r w:rsidRPr="00E95235">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Pr="00E95235">
        <w:rPr>
          <w:rFonts w:ascii="Palatino Linotype" w:eastAsia="Calibri" w:hAnsi="Palatino Linotype" w:cs="Arial"/>
          <w:b/>
          <w:sz w:val="24"/>
          <w:lang w:val="es-ES" w:eastAsia="es-ES"/>
        </w:rPr>
        <w:t>SUJETO OBLIGADO</w:t>
      </w:r>
      <w:r w:rsidRPr="00E95235">
        <w:rPr>
          <w:rFonts w:ascii="Palatino Linotype" w:eastAsia="Calibri" w:hAnsi="Palatino Linotype" w:cs="Arial"/>
          <w:sz w:val="24"/>
          <w:lang w:val="es-ES" w:eastAsia="es-ES"/>
        </w:rPr>
        <w:t xml:space="preserve"> presentara el informe justificado procedente. De las constancias que obran en el expediente electrónico SAIMEX el partic</w:t>
      </w:r>
      <w:r>
        <w:rPr>
          <w:rFonts w:ascii="Palatino Linotype" w:eastAsia="Calibri" w:hAnsi="Palatino Linotype" w:cs="Arial"/>
          <w:sz w:val="24"/>
          <w:lang w:val="es-ES" w:eastAsia="es-ES"/>
        </w:rPr>
        <w:t xml:space="preserve">ular no realizó manifestaciones. </w:t>
      </w:r>
    </w:p>
    <w:p w14:paraId="26DEDD5C" w14:textId="77777777" w:rsidR="00932C55" w:rsidRPr="004370C5" w:rsidRDefault="00932C55" w:rsidP="00932C55">
      <w:pPr>
        <w:pStyle w:val="Prrafodelista"/>
        <w:spacing w:line="360" w:lineRule="auto"/>
        <w:ind w:left="0"/>
        <w:jc w:val="both"/>
        <w:rPr>
          <w:rFonts w:ascii="Palatino Linotype" w:hAnsi="Palatino Linotype" w:cs="Arial"/>
          <w:sz w:val="24"/>
          <w:szCs w:val="22"/>
          <w:lang w:val="es-ES" w:eastAsia="es-ES"/>
        </w:rPr>
      </w:pPr>
    </w:p>
    <w:p w14:paraId="26DEDD5D" w14:textId="77777777" w:rsidR="00932C55" w:rsidRPr="0043458B" w:rsidRDefault="00932C55" w:rsidP="001F49E1">
      <w:pPr>
        <w:pStyle w:val="Prrafodelista"/>
        <w:numPr>
          <w:ilvl w:val="0"/>
          <w:numId w:val="1"/>
        </w:numPr>
        <w:spacing w:line="360" w:lineRule="auto"/>
        <w:ind w:left="0" w:firstLine="0"/>
        <w:jc w:val="both"/>
        <w:rPr>
          <w:rFonts w:ascii="Palatino Linotype" w:eastAsia="Calibri" w:hAnsi="Palatino Linotype" w:cs="Arial"/>
          <w:sz w:val="24"/>
          <w:lang w:val="es-ES" w:eastAsia="es-ES"/>
        </w:rPr>
      </w:pPr>
      <w:r w:rsidRPr="0043458B">
        <w:rPr>
          <w:rFonts w:ascii="Palatino Linotype" w:eastAsia="Calibri" w:hAnsi="Palatino Linotype" w:cs="Arial"/>
          <w:sz w:val="24"/>
          <w:lang w:val="es-ES" w:eastAsia="es-ES"/>
        </w:rPr>
        <w:t xml:space="preserve">Por su parte el Sujeto Obligado remitió informe justificado </w:t>
      </w:r>
      <w:r w:rsidR="001F49E1" w:rsidRPr="0043458B">
        <w:rPr>
          <w:rFonts w:ascii="Palatino Linotype" w:eastAsia="Calibri" w:hAnsi="Palatino Linotype" w:cs="Arial"/>
          <w:sz w:val="24"/>
          <w:lang w:val="es-ES" w:eastAsia="es-ES"/>
        </w:rPr>
        <w:t xml:space="preserve">el veintinueve (29) de noviembre de dos mil veintitrés y fue puesto a la </w:t>
      </w:r>
      <w:r w:rsidR="008B592E" w:rsidRPr="0043458B">
        <w:rPr>
          <w:rFonts w:ascii="Palatino Linotype" w:eastAsia="Calibri" w:hAnsi="Palatino Linotype" w:cs="Arial"/>
          <w:sz w:val="24"/>
          <w:lang w:val="es-ES" w:eastAsia="es-ES"/>
        </w:rPr>
        <w:t>v</w:t>
      </w:r>
      <w:r w:rsidR="0043458B" w:rsidRPr="0043458B">
        <w:rPr>
          <w:rFonts w:ascii="Palatino Linotype" w:eastAsia="Calibri" w:hAnsi="Palatino Linotype" w:cs="Arial"/>
          <w:sz w:val="24"/>
          <w:lang w:val="es-ES" w:eastAsia="es-ES"/>
        </w:rPr>
        <w:t>ista del particular el veintidós</w:t>
      </w:r>
      <w:r w:rsidR="008B592E" w:rsidRPr="0043458B">
        <w:rPr>
          <w:rFonts w:ascii="Palatino Linotype" w:eastAsia="Calibri" w:hAnsi="Palatino Linotype" w:cs="Arial"/>
          <w:sz w:val="24"/>
          <w:lang w:val="es-ES" w:eastAsia="es-ES"/>
        </w:rPr>
        <w:t xml:space="preserve"> de agosto de dos mil veinticuatro, a través del archivo denominado </w:t>
      </w:r>
      <w:r w:rsidR="008B592E" w:rsidRPr="0043458B">
        <w:rPr>
          <w:rFonts w:ascii="Palatino Linotype" w:eastAsia="Calibri" w:hAnsi="Palatino Linotype" w:cs="Arial"/>
          <w:b/>
          <w:sz w:val="24"/>
          <w:lang w:val="es-ES" w:eastAsia="es-ES"/>
        </w:rPr>
        <w:t>DGDU-SJ-III-143-2023.pdf</w:t>
      </w:r>
      <w:r w:rsidR="008B592E" w:rsidRPr="0043458B">
        <w:rPr>
          <w:rFonts w:ascii="Palatino Linotype" w:eastAsia="Calibri" w:hAnsi="Palatino Linotype" w:cs="Arial"/>
          <w:sz w:val="24"/>
          <w:lang w:val="es-ES" w:eastAsia="es-ES"/>
        </w:rPr>
        <w:t xml:space="preserve"> en el que, de forma medular se ratificó la respuesta y se señaló que los motivos de inconformidad son referentes a nuevos requerimientos.</w:t>
      </w:r>
    </w:p>
    <w:p w14:paraId="26DEDD5E" w14:textId="77777777" w:rsidR="00932C55" w:rsidRPr="0043458B" w:rsidRDefault="00932C55" w:rsidP="00932C55">
      <w:pPr>
        <w:pStyle w:val="Prrafodelista"/>
        <w:spacing w:line="360" w:lineRule="auto"/>
        <w:ind w:left="0"/>
        <w:jc w:val="both"/>
        <w:rPr>
          <w:rFonts w:ascii="Palatino Linotype" w:hAnsi="Palatino Linotype" w:cs="Arial"/>
          <w:sz w:val="24"/>
          <w:szCs w:val="22"/>
          <w:lang w:val="es-ES" w:eastAsia="es-ES"/>
        </w:rPr>
      </w:pPr>
    </w:p>
    <w:p w14:paraId="26DEDD5F" w14:textId="77777777" w:rsidR="00932C55" w:rsidRPr="0043458B" w:rsidRDefault="00932C55" w:rsidP="00932C55">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43458B">
        <w:rPr>
          <w:rFonts w:ascii="Palatino Linotype" w:eastAsiaTheme="minorEastAsia" w:hAnsi="Palatino Linotype"/>
          <w:sz w:val="24"/>
          <w:lang w:val="es-ES_tradnl" w:eastAsia="es-ES"/>
        </w:rPr>
        <w:t>El Comisionado Ponente decretó el cierre de instrucción</w:t>
      </w:r>
      <w:r w:rsidRPr="0043458B">
        <w:rPr>
          <w:rFonts w:ascii="Palatino Linotype" w:eastAsiaTheme="minorEastAsia" w:hAnsi="Palatino Linotype" w:cs="Arial"/>
          <w:sz w:val="24"/>
          <w:lang w:val="es-ES_tradnl" w:eastAsia="es-ES"/>
        </w:rPr>
        <w:t xml:space="preserve"> </w:t>
      </w:r>
      <w:r w:rsidRPr="0043458B">
        <w:rPr>
          <w:rFonts w:ascii="Palatino Linotype" w:eastAsiaTheme="minorEastAsia" w:hAnsi="Palatino Linotype"/>
          <w:sz w:val="24"/>
          <w:lang w:val="es-ES_tradnl" w:eastAsia="es-ES"/>
        </w:rPr>
        <w:t xml:space="preserve">mediante el acuerdo de fecha </w:t>
      </w:r>
      <w:r w:rsidR="0043458B" w:rsidRPr="0043458B">
        <w:rPr>
          <w:rFonts w:ascii="Palatino Linotype" w:eastAsiaTheme="minorEastAsia" w:hAnsi="Palatino Linotype"/>
          <w:sz w:val="24"/>
          <w:lang w:val="es-ES_tradnl" w:eastAsia="es-ES"/>
        </w:rPr>
        <w:t>veintiocho (28) de agosto</w:t>
      </w:r>
      <w:r w:rsidRPr="0043458B">
        <w:rPr>
          <w:rFonts w:ascii="Palatino Linotype" w:eastAsiaTheme="minorEastAsia" w:hAnsi="Palatino Linotype"/>
          <w:sz w:val="24"/>
          <w:lang w:val="es-ES_tradnl" w:eastAsia="es-ES"/>
        </w:rPr>
        <w:t xml:space="preserve"> de dos mil </w:t>
      </w:r>
      <w:r w:rsidR="0043458B" w:rsidRPr="0043458B">
        <w:rPr>
          <w:rFonts w:ascii="Palatino Linotype" w:eastAsiaTheme="minorEastAsia" w:hAnsi="Palatino Linotype"/>
          <w:sz w:val="24"/>
          <w:lang w:val="es-ES_tradnl" w:eastAsia="es-ES"/>
        </w:rPr>
        <w:t>veinticuatro</w:t>
      </w:r>
      <w:r w:rsidRPr="0043458B">
        <w:rPr>
          <w:rFonts w:ascii="Palatino Linotype" w:eastAsiaTheme="minorEastAsia" w:hAnsi="Palatino Linotype"/>
          <w:sz w:val="24"/>
          <w:lang w:val="es-ES_tradnl" w:eastAsia="es-ES"/>
        </w:rPr>
        <w:t>.</w:t>
      </w:r>
    </w:p>
    <w:p w14:paraId="26DEDD60" w14:textId="77777777" w:rsidR="00932C55" w:rsidRPr="00E95235" w:rsidRDefault="00932C55" w:rsidP="00932C55">
      <w:pPr>
        <w:spacing w:line="360" w:lineRule="auto"/>
        <w:jc w:val="both"/>
        <w:rPr>
          <w:rFonts w:ascii="Palatino Linotype" w:hAnsi="Palatino Linotype" w:cs="Arial"/>
          <w:szCs w:val="22"/>
          <w:lang w:val="es-ES" w:eastAsia="es-ES"/>
        </w:rPr>
      </w:pPr>
    </w:p>
    <w:p w14:paraId="26DEDD61" w14:textId="77777777" w:rsidR="00932C55" w:rsidRPr="00E95235" w:rsidRDefault="00932C55" w:rsidP="00932C55">
      <w:pPr>
        <w:spacing w:line="360" w:lineRule="auto"/>
        <w:jc w:val="center"/>
        <w:rPr>
          <w:rFonts w:ascii="Palatino Linotype" w:hAnsi="Palatino Linotype" w:cs="Arial"/>
          <w:lang w:eastAsia="es-ES"/>
        </w:rPr>
      </w:pPr>
      <w:bookmarkStart w:id="1" w:name="_Toc66992242"/>
      <w:r w:rsidRPr="00E95235">
        <w:rPr>
          <w:rFonts w:ascii="Palatino Linotype" w:hAnsi="Palatino Linotype" w:cs="Arial"/>
          <w:b/>
          <w:lang w:eastAsia="es-ES"/>
        </w:rPr>
        <w:t>CONSIDERANDO</w:t>
      </w:r>
      <w:bookmarkEnd w:id="1"/>
    </w:p>
    <w:p w14:paraId="26DEDD62" w14:textId="77777777" w:rsidR="00932C55" w:rsidRPr="00E95235" w:rsidRDefault="00932C55" w:rsidP="00932C55">
      <w:pPr>
        <w:spacing w:line="360" w:lineRule="auto"/>
        <w:jc w:val="both"/>
        <w:rPr>
          <w:rFonts w:ascii="Palatino Linotype" w:hAnsi="Palatino Linotype" w:cs="Arial"/>
          <w:lang w:eastAsia="es-ES"/>
        </w:rPr>
      </w:pPr>
    </w:p>
    <w:p w14:paraId="26DEDD63" w14:textId="77777777" w:rsidR="00932C55" w:rsidRPr="00E95235" w:rsidRDefault="00932C55" w:rsidP="00932C55">
      <w:pPr>
        <w:spacing w:line="360" w:lineRule="auto"/>
        <w:jc w:val="both"/>
        <w:rPr>
          <w:rFonts w:ascii="Palatino Linotype" w:hAnsi="Palatino Linotype" w:cs="Arial"/>
          <w:b/>
          <w:lang w:eastAsia="es-ES"/>
        </w:rPr>
      </w:pPr>
      <w:bookmarkStart w:id="2" w:name="_Toc66992243"/>
      <w:r w:rsidRPr="00E95235">
        <w:rPr>
          <w:rFonts w:ascii="Palatino Linotype" w:hAnsi="Palatino Linotype" w:cs="Arial"/>
          <w:b/>
          <w:lang w:eastAsia="es-ES"/>
        </w:rPr>
        <w:t>PRIMERO. De la competencia</w:t>
      </w:r>
      <w:bookmarkEnd w:id="2"/>
    </w:p>
    <w:p w14:paraId="26DEDD64" w14:textId="77777777" w:rsidR="00932C55" w:rsidRPr="00E95235" w:rsidRDefault="00932C55" w:rsidP="00932C55">
      <w:pPr>
        <w:spacing w:line="360" w:lineRule="auto"/>
        <w:jc w:val="both"/>
        <w:rPr>
          <w:rFonts w:ascii="Palatino Linotype" w:hAnsi="Palatino Linotype" w:cs="Arial"/>
          <w:lang w:val="es-ES" w:eastAsia="es-ES"/>
        </w:rPr>
      </w:pPr>
    </w:p>
    <w:p w14:paraId="26DEDD65" w14:textId="77777777" w:rsidR="00932C55" w:rsidRPr="000C422B" w:rsidRDefault="00932C55" w:rsidP="00932C55">
      <w:pPr>
        <w:pStyle w:val="Prrafodelista"/>
        <w:numPr>
          <w:ilvl w:val="0"/>
          <w:numId w:val="1"/>
        </w:numPr>
        <w:spacing w:line="360" w:lineRule="auto"/>
        <w:ind w:left="0" w:firstLine="0"/>
        <w:jc w:val="both"/>
        <w:rPr>
          <w:rFonts w:ascii="Palatino Linotype" w:hAnsi="Palatino Linotype"/>
          <w:sz w:val="24"/>
        </w:rPr>
      </w:pPr>
      <w:r w:rsidRPr="000C422B">
        <w:rPr>
          <w:rFonts w:ascii="Palatino Linotype" w:hAnsi="Palatino Linotype"/>
          <w:sz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w:t>
      </w:r>
      <w:r w:rsidRPr="000C422B">
        <w:rPr>
          <w:rFonts w:ascii="Palatino Linotype" w:hAnsi="Palatino Linotype"/>
          <w:sz w:val="24"/>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6DEDD66" w14:textId="77777777" w:rsidR="00932C55" w:rsidRPr="00E95235" w:rsidRDefault="00932C55" w:rsidP="00932C55">
      <w:pPr>
        <w:pStyle w:val="Prrafodelista"/>
        <w:spacing w:line="360" w:lineRule="auto"/>
        <w:ind w:left="0"/>
        <w:jc w:val="both"/>
        <w:rPr>
          <w:rFonts w:ascii="Palatino Linotype" w:hAnsi="Palatino Linotype" w:cs="Arial"/>
          <w:sz w:val="24"/>
          <w:lang w:val="es-ES" w:eastAsia="es-ES"/>
        </w:rPr>
      </w:pPr>
    </w:p>
    <w:p w14:paraId="26DEDD67" w14:textId="77777777" w:rsidR="00932C55" w:rsidRPr="00E95235" w:rsidRDefault="00932C55" w:rsidP="00932C55">
      <w:pPr>
        <w:keepNext/>
        <w:keepLines/>
        <w:spacing w:line="360" w:lineRule="auto"/>
        <w:outlineLvl w:val="1"/>
        <w:rPr>
          <w:rFonts w:ascii="Palatino Linotype" w:eastAsiaTheme="majorEastAsia" w:hAnsi="Palatino Linotype" w:cstheme="majorBidi"/>
          <w:b/>
        </w:rPr>
      </w:pPr>
      <w:bookmarkStart w:id="3" w:name="_Toc66992244"/>
      <w:r w:rsidRPr="00E95235">
        <w:rPr>
          <w:rFonts w:ascii="Palatino Linotype" w:eastAsiaTheme="majorEastAsia" w:hAnsi="Palatino Linotype" w:cstheme="majorBidi"/>
          <w:b/>
        </w:rPr>
        <w:t>SEGUNDO. De la oportunidad y procedencia.</w:t>
      </w:r>
      <w:bookmarkEnd w:id="3"/>
    </w:p>
    <w:p w14:paraId="26DEDD68" w14:textId="77777777" w:rsidR="00932C55" w:rsidRPr="00E95235" w:rsidRDefault="00932C55" w:rsidP="00932C55">
      <w:pPr>
        <w:pStyle w:val="Prrafodelista"/>
        <w:spacing w:line="360" w:lineRule="auto"/>
        <w:ind w:left="0"/>
        <w:jc w:val="both"/>
        <w:rPr>
          <w:rFonts w:ascii="Palatino Linotype" w:hAnsi="Palatino Linotype" w:cs="Arial"/>
          <w:sz w:val="24"/>
          <w:lang w:val="es-ES" w:eastAsia="es-ES"/>
        </w:rPr>
      </w:pPr>
    </w:p>
    <w:p w14:paraId="26DEDD69" w14:textId="77777777" w:rsidR="00932C55" w:rsidRPr="00E95235" w:rsidRDefault="00932C55" w:rsidP="00932C55">
      <w:pPr>
        <w:pStyle w:val="Prrafodelista"/>
        <w:numPr>
          <w:ilvl w:val="0"/>
          <w:numId w:val="1"/>
        </w:numPr>
        <w:spacing w:line="360" w:lineRule="auto"/>
        <w:ind w:left="0" w:firstLine="0"/>
        <w:jc w:val="both"/>
        <w:rPr>
          <w:rFonts w:ascii="Palatino Linotype" w:hAnsi="Palatino Linotype" w:cs="Arial"/>
          <w:sz w:val="24"/>
          <w:lang w:val="es-ES" w:eastAsia="es-ES"/>
        </w:rPr>
      </w:pPr>
      <w:r w:rsidRPr="00E95235">
        <w:rPr>
          <w:rFonts w:ascii="Palatino Linotype" w:eastAsia="Calibri" w:hAnsi="Palatino Linotype" w:cs="Arial"/>
          <w:sz w:val="24"/>
          <w:lang w:val="es-ES_tradnl" w:eastAsia="es-ES"/>
        </w:rPr>
        <w:t xml:space="preserve">El medio de impugnación fue presentado a través del </w:t>
      </w:r>
      <w:r w:rsidRPr="00E95235">
        <w:rPr>
          <w:rFonts w:ascii="Palatino Linotype" w:eastAsia="Calibri" w:hAnsi="Palatino Linotype" w:cs="Arial"/>
          <w:b/>
          <w:sz w:val="24"/>
          <w:lang w:val="es-ES_tradnl" w:eastAsia="es-ES"/>
        </w:rPr>
        <w:t>SAIMEX,</w:t>
      </w:r>
      <w:r w:rsidRPr="00E95235">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E95235">
        <w:rPr>
          <w:rFonts w:ascii="Palatino Linotype" w:eastAsia="Calibri" w:hAnsi="Palatino Linotype" w:cs="Arial"/>
          <w:b/>
          <w:sz w:val="24"/>
          <w:lang w:val="es-ES_tradnl" w:eastAsia="es-ES"/>
        </w:rPr>
        <w:t>SUJETO OBLIGADO</w:t>
      </w:r>
      <w:r w:rsidRPr="00E95235">
        <w:rPr>
          <w:rFonts w:ascii="Palatino Linotype" w:eastAsia="Calibri" w:hAnsi="Palatino Linotype" w:cs="Arial"/>
          <w:sz w:val="24"/>
          <w:lang w:val="es-ES_tradnl" w:eastAsia="es-ES"/>
        </w:rPr>
        <w:t xml:space="preserve"> entregó respuesta a la solicitud el día </w:t>
      </w:r>
      <w:r w:rsidR="008B592E">
        <w:rPr>
          <w:rFonts w:ascii="Palatino Linotype" w:eastAsia="Calibri" w:hAnsi="Palatino Linotype" w:cs="Arial"/>
          <w:sz w:val="24"/>
          <w:lang w:val="es-ES_tradnl" w:eastAsia="es-ES"/>
        </w:rPr>
        <w:t>ocho (08) de noviembre</w:t>
      </w:r>
      <w:r>
        <w:rPr>
          <w:rFonts w:ascii="Palatino Linotype" w:eastAsia="Calibri" w:hAnsi="Palatino Linotype" w:cs="Arial"/>
          <w:sz w:val="24"/>
          <w:lang w:val="es-ES_tradnl" w:eastAsia="es-ES"/>
        </w:rPr>
        <w:t xml:space="preserve"> de dos mil veintitrés</w:t>
      </w:r>
      <w:r w:rsidRPr="00E95235">
        <w:rPr>
          <w:rFonts w:ascii="Palatino Linotype" w:eastAsia="Calibri" w:hAnsi="Palatino Linotype" w:cs="Arial"/>
          <w:sz w:val="24"/>
          <w:lang w:val="es-ES_tradnl" w:eastAsia="es-ES"/>
        </w:rPr>
        <w:t xml:space="preserve">, </w:t>
      </w:r>
      <w:r w:rsidRPr="00E95235">
        <w:rPr>
          <w:rFonts w:ascii="Palatino Linotype" w:eastAsiaTheme="minorEastAsia" w:hAnsi="Palatino Linotype" w:cs="Arial"/>
          <w:sz w:val="24"/>
          <w:lang w:val="es-ES_tradnl" w:eastAsia="es-ES"/>
        </w:rPr>
        <w:t xml:space="preserve">de tal forma que el plazo para interponer el recurso de revisión transcurrió del </w:t>
      </w:r>
      <w:r w:rsidR="008B592E">
        <w:rPr>
          <w:rFonts w:ascii="Palatino Linotype" w:eastAsiaTheme="minorEastAsia" w:hAnsi="Palatino Linotype" w:cs="Arial"/>
          <w:sz w:val="24"/>
          <w:lang w:val="es-ES_tradnl" w:eastAsia="es-ES"/>
        </w:rPr>
        <w:t xml:space="preserve">nueve (09) al treinta (30) de noviembre </w:t>
      </w:r>
      <w:r>
        <w:rPr>
          <w:rFonts w:ascii="Palatino Linotype" w:eastAsiaTheme="minorEastAsia" w:hAnsi="Palatino Linotype" w:cs="Arial"/>
          <w:sz w:val="24"/>
          <w:lang w:val="es-ES_tradnl" w:eastAsia="es-ES"/>
        </w:rPr>
        <w:t>de dos mil veintitrés</w:t>
      </w:r>
      <w:r w:rsidRPr="00E95235">
        <w:rPr>
          <w:rFonts w:ascii="Palatino Linotype" w:eastAsiaTheme="minorEastAsia" w:hAnsi="Palatino Linotype" w:cs="Arial"/>
          <w:sz w:val="24"/>
          <w:lang w:val="es-ES_tradnl" w:eastAsia="es-ES"/>
        </w:rPr>
        <w:t xml:space="preserve">; en consecuencia, presentó su inconformidad </w:t>
      </w:r>
      <w:r>
        <w:rPr>
          <w:rFonts w:ascii="Palatino Linotype" w:eastAsiaTheme="minorEastAsia" w:hAnsi="Palatino Linotype" w:cs="Arial"/>
          <w:sz w:val="24"/>
          <w:lang w:val="es-ES_tradnl" w:eastAsia="es-ES"/>
        </w:rPr>
        <w:t xml:space="preserve">el día </w:t>
      </w:r>
      <w:r w:rsidR="008B592E">
        <w:rPr>
          <w:rFonts w:ascii="Palatino Linotype" w:eastAsiaTheme="minorEastAsia" w:hAnsi="Palatino Linotype" w:cs="Arial"/>
          <w:sz w:val="24"/>
          <w:lang w:val="es-ES_tradnl" w:eastAsia="es-ES"/>
        </w:rPr>
        <w:t>doce (12) de noviembre</w:t>
      </w:r>
      <w:r>
        <w:rPr>
          <w:rFonts w:ascii="Palatino Linotype" w:eastAsiaTheme="minorEastAsia" w:hAnsi="Palatino Linotype" w:cs="Arial"/>
          <w:sz w:val="24"/>
          <w:lang w:val="es-ES_tradnl" w:eastAsia="es-ES"/>
        </w:rPr>
        <w:t xml:space="preserve"> de dos mil veintitrés</w:t>
      </w:r>
      <w:r w:rsidRPr="00E95235">
        <w:rPr>
          <w:rFonts w:ascii="Palatino Linotype" w:eastAsiaTheme="minorEastAsia" w:hAnsi="Palatino Linotype" w:cs="Arial"/>
          <w:sz w:val="24"/>
          <w:lang w:val="es-ES_tradnl" w:eastAsia="es-ES"/>
        </w:rPr>
        <w:t xml:space="preserve">, por lo que se encuentra dentro de los márgenes temporales previstos en el artículo 178 de la </w:t>
      </w:r>
      <w:r w:rsidRPr="00E95235">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E95235">
        <w:rPr>
          <w:rFonts w:ascii="Palatino Linotype" w:eastAsiaTheme="minorEastAsia" w:hAnsi="Palatino Linotype" w:cs="Arial"/>
          <w:sz w:val="24"/>
          <w:lang w:val="es-ES_tradnl" w:eastAsia="es-ES"/>
        </w:rPr>
        <w:t>vigente.</w:t>
      </w:r>
    </w:p>
    <w:p w14:paraId="26DEDD6A" w14:textId="77777777" w:rsidR="00932C55" w:rsidRPr="005F7806" w:rsidRDefault="00932C55" w:rsidP="00932C55">
      <w:pPr>
        <w:spacing w:line="360" w:lineRule="auto"/>
        <w:rPr>
          <w:rFonts w:ascii="Palatino Linotype" w:eastAsia="Calibri" w:hAnsi="Palatino Linotype" w:cs="Arial"/>
          <w:lang w:val="es-ES_tradnl" w:eastAsia="es-ES"/>
        </w:rPr>
      </w:pPr>
    </w:p>
    <w:p w14:paraId="26DEDD6B" w14:textId="77777777" w:rsidR="00932C55" w:rsidRPr="009E2F91" w:rsidRDefault="00932C55" w:rsidP="00932C55">
      <w:pPr>
        <w:pStyle w:val="Prrafodelista"/>
        <w:numPr>
          <w:ilvl w:val="0"/>
          <w:numId w:val="1"/>
        </w:numPr>
        <w:spacing w:line="360" w:lineRule="auto"/>
        <w:ind w:left="0" w:firstLine="0"/>
        <w:jc w:val="both"/>
        <w:rPr>
          <w:rFonts w:ascii="Palatino Linotype" w:hAnsi="Palatino Linotype" w:cs="Arial"/>
          <w:sz w:val="24"/>
          <w:lang w:val="es-ES" w:eastAsia="es-ES"/>
        </w:rPr>
      </w:pPr>
      <w:r w:rsidRPr="00E95235">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6DEDD6C" w14:textId="77777777" w:rsidR="00932C55" w:rsidRPr="006A5C31" w:rsidRDefault="00932C55" w:rsidP="00932C55">
      <w:pPr>
        <w:keepNext/>
        <w:keepLines/>
        <w:spacing w:before="240" w:line="360" w:lineRule="auto"/>
        <w:outlineLvl w:val="0"/>
        <w:rPr>
          <w:rFonts w:ascii="Palatino Linotype" w:eastAsiaTheme="majorEastAsia" w:hAnsi="Palatino Linotype" w:cstheme="majorBidi"/>
          <w:b/>
          <w:szCs w:val="32"/>
        </w:rPr>
      </w:pPr>
      <w:bookmarkStart w:id="4" w:name="_Toc82017149"/>
      <w:bookmarkStart w:id="5" w:name="_Toc497905366"/>
      <w:bookmarkStart w:id="6" w:name="_Toc495427547"/>
      <w:bookmarkStart w:id="7" w:name="_Toc466377653"/>
      <w:bookmarkStart w:id="8" w:name="_Toc466371865"/>
      <w:r w:rsidRPr="00C81126">
        <w:rPr>
          <w:rFonts w:ascii="Palatino Linotype" w:eastAsiaTheme="majorEastAsia" w:hAnsi="Palatino Linotype" w:cstheme="majorBidi"/>
          <w:b/>
          <w:szCs w:val="32"/>
        </w:rPr>
        <w:lastRenderedPageBreak/>
        <w:t>TERCERO. De las causales del sobreseimiento.</w:t>
      </w:r>
      <w:bookmarkEnd w:id="4"/>
    </w:p>
    <w:p w14:paraId="26DEDD6D" w14:textId="77777777" w:rsidR="00932C55" w:rsidRPr="0050481C" w:rsidRDefault="00932C55" w:rsidP="00932C55">
      <w:pPr>
        <w:pStyle w:val="Prrafodelista"/>
        <w:numPr>
          <w:ilvl w:val="0"/>
          <w:numId w:val="1"/>
        </w:numPr>
        <w:tabs>
          <w:tab w:val="left" w:pos="284"/>
          <w:tab w:val="left" w:pos="426"/>
        </w:tabs>
        <w:spacing w:before="240" w:after="240" w:line="360" w:lineRule="auto"/>
        <w:ind w:left="0" w:right="49" w:firstLine="0"/>
        <w:jc w:val="both"/>
        <w:rPr>
          <w:rFonts w:ascii="Palatino Linotype" w:hAnsi="Palatino Linotype" w:cs="Arial"/>
          <w:sz w:val="24"/>
        </w:rPr>
      </w:pPr>
      <w:r w:rsidRPr="0050481C">
        <w:rPr>
          <w:rFonts w:ascii="Palatino Linotype" w:hAnsi="Palatino Linotype" w:cs="Arial"/>
          <w:sz w:val="24"/>
          <w:szCs w:val="23"/>
        </w:rPr>
        <w:t xml:space="preserve">El recurso revisión tiene como finalidad reparar cualquier posible afectación al Derecho de Acceso a la Información Pública en términos del Título Octavo de la Ley de </w:t>
      </w:r>
      <w:r w:rsidRPr="0050481C">
        <w:rPr>
          <w:rFonts w:ascii="Palatino Linotype" w:eastAsia="Calibri" w:hAnsi="Palatino Linotype" w:cs="Arial"/>
          <w:sz w:val="24"/>
        </w:rPr>
        <w:t>Transparencia, Acceso a la Información Pública del Estado de México y Municipios</w:t>
      </w:r>
      <w:r w:rsidRPr="0050481C">
        <w:rPr>
          <w:rFonts w:ascii="Palatino Linotype" w:hAnsi="Palatino Linotype" w:cs="Arial"/>
          <w:sz w:val="24"/>
          <w:szCs w:val="23"/>
        </w:rPr>
        <w:t xml:space="preserve">, y determinar la confirmación; revocación o modificación; </w:t>
      </w:r>
      <w:proofErr w:type="spellStart"/>
      <w:r w:rsidRPr="0050481C">
        <w:rPr>
          <w:rFonts w:ascii="Palatino Linotype" w:hAnsi="Palatino Linotype" w:cs="Arial"/>
          <w:sz w:val="24"/>
          <w:szCs w:val="23"/>
        </w:rPr>
        <w:t>desechamiento</w:t>
      </w:r>
      <w:proofErr w:type="spellEnd"/>
      <w:r w:rsidRPr="0050481C">
        <w:rPr>
          <w:rFonts w:ascii="Palatino Linotype" w:hAnsi="Palatino Linotype" w:cs="Arial"/>
          <w:sz w:val="24"/>
          <w:szCs w:val="23"/>
        </w:rPr>
        <w:t xml:space="preserve"> o </w:t>
      </w:r>
      <w:r w:rsidRPr="0050481C">
        <w:rPr>
          <w:rFonts w:ascii="Palatino Linotype" w:hAnsi="Palatino Linotype" w:cs="Arial"/>
          <w:b/>
          <w:sz w:val="24"/>
          <w:szCs w:val="23"/>
          <w:u w:val="single"/>
        </w:rPr>
        <w:t>sobreseimiento</w:t>
      </w:r>
      <w:r w:rsidRPr="0050481C">
        <w:rPr>
          <w:rFonts w:ascii="Palatino Linotype" w:hAnsi="Palatino Linotype" w:cs="Arial"/>
          <w:sz w:val="24"/>
          <w:szCs w:val="23"/>
        </w:rPr>
        <w:t xml:space="preserve">; y, en su caso, ordenar la entrega de la información respecto a la falta de respuesta por parte del </w:t>
      </w:r>
      <w:r w:rsidRPr="0050481C">
        <w:rPr>
          <w:rFonts w:ascii="Palatino Linotype" w:hAnsi="Palatino Linotype" w:cs="Arial"/>
          <w:b/>
          <w:sz w:val="24"/>
          <w:szCs w:val="23"/>
        </w:rPr>
        <w:t>SUJETO</w:t>
      </w:r>
      <w:r w:rsidRPr="0050481C">
        <w:rPr>
          <w:rFonts w:ascii="Palatino Linotype" w:hAnsi="Palatino Linotype" w:cs="Arial"/>
          <w:sz w:val="24"/>
          <w:szCs w:val="23"/>
        </w:rPr>
        <w:t xml:space="preserve"> </w:t>
      </w:r>
      <w:r w:rsidRPr="0050481C">
        <w:rPr>
          <w:rFonts w:ascii="Palatino Linotype" w:hAnsi="Palatino Linotype" w:cs="Arial"/>
          <w:b/>
          <w:sz w:val="24"/>
          <w:szCs w:val="23"/>
        </w:rPr>
        <w:t>OBLIGADO</w:t>
      </w:r>
      <w:r w:rsidRPr="0050481C">
        <w:rPr>
          <w:rFonts w:ascii="Palatino Linotype" w:hAnsi="Palatino Linotype" w:cs="Arial"/>
          <w:sz w:val="24"/>
          <w:szCs w:val="23"/>
        </w:rPr>
        <w:t>.</w:t>
      </w:r>
    </w:p>
    <w:p w14:paraId="26DEDD6E" w14:textId="77777777" w:rsidR="00932C55" w:rsidRPr="00B501F5" w:rsidRDefault="00932C55" w:rsidP="00932C55">
      <w:pPr>
        <w:pStyle w:val="Prrafodelista"/>
        <w:spacing w:line="360" w:lineRule="auto"/>
        <w:ind w:left="0"/>
        <w:jc w:val="both"/>
        <w:rPr>
          <w:rFonts w:ascii="Palatino Linotype" w:hAnsi="Palatino Linotype" w:cs="Arial"/>
          <w:sz w:val="28"/>
        </w:rPr>
      </w:pPr>
    </w:p>
    <w:p w14:paraId="26DEDD6F" w14:textId="40641CBA" w:rsidR="00932C55" w:rsidRPr="006A5C31" w:rsidRDefault="00932C55" w:rsidP="00932C55">
      <w:pPr>
        <w:pStyle w:val="Prrafodelista"/>
        <w:numPr>
          <w:ilvl w:val="0"/>
          <w:numId w:val="1"/>
        </w:numPr>
        <w:spacing w:before="240" w:after="360" w:line="360" w:lineRule="auto"/>
        <w:ind w:left="0" w:firstLine="0"/>
        <w:jc w:val="both"/>
        <w:rPr>
          <w:rFonts w:ascii="Palatino Linotype" w:eastAsia="Calibri" w:hAnsi="Palatino Linotype"/>
          <w:color w:val="000000"/>
          <w:sz w:val="24"/>
        </w:rPr>
      </w:pPr>
      <w:r w:rsidRPr="00B501F5">
        <w:rPr>
          <w:rFonts w:ascii="Palatino Linotype" w:eastAsia="MS Mincho" w:hAnsi="Palatino Linotype" w:cs="Arial"/>
          <w:sz w:val="24"/>
        </w:rPr>
        <w:t xml:space="preserve">Así, de la lectura a la solicitud </w:t>
      </w:r>
      <w:bookmarkStart w:id="9" w:name="_Toc84264165"/>
      <w:r w:rsidR="008B592E">
        <w:rPr>
          <w:rFonts w:ascii="Palatino Linotype" w:eastAsia="MS Mincho" w:hAnsi="Palatino Linotype" w:cs="Arial"/>
          <w:sz w:val="24"/>
        </w:rPr>
        <w:t xml:space="preserve">la </w:t>
      </w:r>
      <w:r w:rsidR="008B592E" w:rsidRPr="008B592E">
        <w:rPr>
          <w:rFonts w:ascii="Palatino Linotype" w:eastAsia="MS Mincho" w:hAnsi="Palatino Linotype" w:cs="Arial"/>
          <w:sz w:val="24"/>
        </w:rPr>
        <w:t xml:space="preserve">Licencia de uso de suelo 050/2020 emitida a favor de </w:t>
      </w:r>
      <w:r w:rsidR="001C3DEC">
        <w:rPr>
          <w:rFonts w:ascii="Palatino Linotype" w:eastAsia="MS Mincho" w:hAnsi="Palatino Linotype" w:cs="Arial"/>
          <w:sz w:val="24"/>
          <w:highlight w:val="yellow"/>
        </w:rPr>
        <w:t xml:space="preserve">XXX </w:t>
      </w:r>
      <w:proofErr w:type="spellStart"/>
      <w:r w:rsidR="001C3DEC">
        <w:rPr>
          <w:rFonts w:ascii="Palatino Linotype" w:eastAsia="MS Mincho" w:hAnsi="Palatino Linotype" w:cs="Arial"/>
          <w:sz w:val="24"/>
          <w:highlight w:val="yellow"/>
        </w:rPr>
        <w:t>XXX</w:t>
      </w:r>
      <w:proofErr w:type="spellEnd"/>
      <w:r w:rsidR="001C3DEC">
        <w:rPr>
          <w:rFonts w:ascii="Palatino Linotype" w:eastAsia="MS Mincho" w:hAnsi="Palatino Linotype" w:cs="Arial"/>
          <w:sz w:val="24"/>
          <w:highlight w:val="yellow"/>
        </w:rPr>
        <w:t xml:space="preserve"> </w:t>
      </w:r>
      <w:r w:rsidR="008B592E" w:rsidRPr="001E5ACF">
        <w:rPr>
          <w:rFonts w:ascii="Palatino Linotype" w:eastAsia="MS Mincho" w:hAnsi="Palatino Linotype" w:cs="Arial"/>
          <w:sz w:val="24"/>
          <w:highlight w:val="yellow"/>
        </w:rPr>
        <w:t xml:space="preserve">en </w:t>
      </w:r>
      <w:r w:rsidR="001C3DEC">
        <w:rPr>
          <w:rFonts w:ascii="Palatino Linotype" w:eastAsia="MS Mincho" w:hAnsi="Palatino Linotype" w:cs="Arial"/>
          <w:sz w:val="24"/>
        </w:rPr>
        <w:t xml:space="preserve">XXXX XXX </w:t>
      </w:r>
      <w:proofErr w:type="spellStart"/>
      <w:r w:rsidR="001C3DEC">
        <w:rPr>
          <w:rFonts w:ascii="Palatino Linotype" w:eastAsia="MS Mincho" w:hAnsi="Palatino Linotype" w:cs="Arial"/>
          <w:sz w:val="24"/>
        </w:rPr>
        <w:t>XXX</w:t>
      </w:r>
      <w:proofErr w:type="spellEnd"/>
      <w:r w:rsidR="008B592E">
        <w:rPr>
          <w:rFonts w:ascii="Palatino Linotype" w:eastAsia="MS Mincho" w:hAnsi="Palatino Linotype" w:cs="Arial"/>
          <w:sz w:val="24"/>
        </w:rPr>
        <w:t>, la d</w:t>
      </w:r>
      <w:r w:rsidR="008B592E" w:rsidRPr="008B592E">
        <w:rPr>
          <w:rFonts w:ascii="Palatino Linotype" w:eastAsia="MS Mincho" w:hAnsi="Palatino Linotype" w:cs="Arial"/>
          <w:sz w:val="24"/>
        </w:rPr>
        <w:t>ocume</w:t>
      </w:r>
      <w:r w:rsidR="008B592E">
        <w:rPr>
          <w:rFonts w:ascii="Palatino Linotype" w:eastAsia="MS Mincho" w:hAnsi="Palatino Linotype" w:cs="Arial"/>
          <w:sz w:val="24"/>
        </w:rPr>
        <w:t>ntación base para su expedición y la s</w:t>
      </w:r>
      <w:r w:rsidR="008B592E" w:rsidRPr="008B592E">
        <w:rPr>
          <w:rFonts w:ascii="Palatino Linotype" w:eastAsia="MS Mincho" w:hAnsi="Palatino Linotype" w:cs="Arial"/>
          <w:sz w:val="24"/>
        </w:rPr>
        <w:t>esión de COPLADEMUN en que fue aprobada</w:t>
      </w:r>
      <w:r w:rsidR="008B592E">
        <w:rPr>
          <w:rFonts w:ascii="Palatino Linotype" w:eastAsia="MS Mincho" w:hAnsi="Palatino Linotype" w:cs="Arial"/>
          <w:sz w:val="24"/>
        </w:rPr>
        <w:t>.</w:t>
      </w:r>
    </w:p>
    <w:p w14:paraId="26DEDD70" w14:textId="77777777" w:rsidR="00932C55" w:rsidRPr="009B4B64" w:rsidRDefault="00932C55" w:rsidP="00932C55">
      <w:pPr>
        <w:numPr>
          <w:ilvl w:val="0"/>
          <w:numId w:val="1"/>
        </w:numPr>
        <w:tabs>
          <w:tab w:val="left" w:pos="0"/>
        </w:tabs>
        <w:spacing w:before="240" w:after="240" w:line="360" w:lineRule="auto"/>
        <w:ind w:left="0" w:right="49" w:firstLine="0"/>
        <w:contextualSpacing/>
        <w:jc w:val="both"/>
        <w:rPr>
          <w:rFonts w:ascii="Palatino Linotype" w:eastAsia="MS Mincho" w:hAnsi="Palatino Linotype" w:cs="Arial"/>
        </w:rPr>
      </w:pPr>
      <w:r w:rsidRPr="009B4B64">
        <w:rPr>
          <w:rFonts w:ascii="Palatino Linotype" w:eastAsia="MS Mincho" w:hAnsi="Palatino Linotype" w:cs="Arial"/>
          <w:color w:val="000000"/>
          <w:lang w:val="es-ES_tradnl"/>
        </w:rPr>
        <w:t>Así las cosas, este Instituto de Transparencia, de conformidad con los principios de eficacia y profesionalismo</w:t>
      </w:r>
      <w:r w:rsidRPr="009B4B64">
        <w:rPr>
          <w:rStyle w:val="Refdenotaalpie"/>
          <w:rFonts w:ascii="Palatino Linotype" w:eastAsia="MS Mincho" w:hAnsi="Palatino Linotype" w:cs="Arial"/>
          <w:color w:val="000000"/>
          <w:lang w:val="es-ES_tradnl"/>
        </w:rPr>
        <w:footnoteReference w:id="1"/>
      </w:r>
      <w:r w:rsidRPr="009B4B64">
        <w:rPr>
          <w:rFonts w:ascii="Palatino Linotype" w:eastAsia="MS Mincho" w:hAnsi="Palatino Linotype" w:cs="Arial"/>
          <w:color w:val="000000"/>
          <w:lang w:val="es-ES_tradnl"/>
        </w:rPr>
        <w:t xml:space="preserve">, procederá a verificar la información remitida por el </w:t>
      </w:r>
      <w:r w:rsidRPr="009B4B64">
        <w:rPr>
          <w:rFonts w:ascii="Palatino Linotype" w:eastAsia="MS Mincho" w:hAnsi="Palatino Linotype" w:cs="Arial"/>
          <w:b/>
          <w:color w:val="000000"/>
          <w:lang w:val="es-ES_tradnl"/>
        </w:rPr>
        <w:t>SUJETO OBLIGADO y</w:t>
      </w:r>
      <w:r w:rsidRPr="009B4B64">
        <w:rPr>
          <w:rFonts w:ascii="Palatino Linotype" w:eastAsia="MS Mincho" w:hAnsi="Palatino Linotype" w:cs="Arial"/>
          <w:color w:val="000000"/>
          <w:lang w:val="es-ES_tradnl"/>
        </w:rPr>
        <w:t xml:space="preserve"> las manifestaciones realizadas por el </w:t>
      </w:r>
      <w:r w:rsidRPr="009B4B64">
        <w:rPr>
          <w:rFonts w:ascii="Palatino Linotype" w:eastAsia="MS Mincho" w:hAnsi="Palatino Linotype" w:cs="Arial"/>
          <w:b/>
          <w:color w:val="000000"/>
          <w:lang w:val="es-ES_tradnl"/>
        </w:rPr>
        <w:t xml:space="preserve">SOLICTANTE </w:t>
      </w:r>
      <w:r w:rsidRPr="009B4B64">
        <w:rPr>
          <w:rFonts w:ascii="Palatino Linotype" w:eastAsia="MS Mincho" w:hAnsi="Palatino Linotype" w:cs="Arial"/>
          <w:color w:val="000000"/>
          <w:lang w:val="es-ES_tradnl"/>
        </w:rPr>
        <w:t xml:space="preserve">a efecto de determinar </w:t>
      </w:r>
      <w:bookmarkEnd w:id="9"/>
      <w:r w:rsidRPr="009B4B64">
        <w:rPr>
          <w:rFonts w:ascii="Palatino Linotype" w:eastAsia="MS Mincho" w:hAnsi="Palatino Linotype" w:cs="Arial"/>
          <w:color w:val="000000"/>
          <w:lang w:val="es-ES_tradnl"/>
        </w:rPr>
        <w:t xml:space="preserve">si la información remitida se encuentra apegada a lo que establece la Ley en materia de transparencia. </w:t>
      </w:r>
    </w:p>
    <w:p w14:paraId="26DEDD71" w14:textId="77777777" w:rsidR="00932C55" w:rsidRPr="009B4B64" w:rsidRDefault="00932C55" w:rsidP="00932C55">
      <w:pPr>
        <w:spacing w:line="360" w:lineRule="auto"/>
        <w:rPr>
          <w:rFonts w:ascii="Palatino Linotype" w:hAnsi="Palatino Linotype"/>
          <w:lang w:eastAsia="en-US"/>
        </w:rPr>
      </w:pPr>
    </w:p>
    <w:p w14:paraId="26DEDD72" w14:textId="77777777" w:rsidR="00361093" w:rsidRPr="00361093" w:rsidRDefault="00932C55" w:rsidP="00361093">
      <w:pPr>
        <w:pStyle w:val="Prrafodelista"/>
        <w:numPr>
          <w:ilvl w:val="0"/>
          <w:numId w:val="1"/>
        </w:numPr>
        <w:spacing w:after="160" w:line="360" w:lineRule="auto"/>
        <w:ind w:left="0" w:firstLine="0"/>
        <w:jc w:val="both"/>
        <w:rPr>
          <w:rFonts w:ascii="Palatino Linotype" w:eastAsia="MS Mincho" w:hAnsi="Palatino Linotype" w:cs="Arial"/>
          <w:i/>
          <w:sz w:val="24"/>
        </w:rPr>
      </w:pPr>
      <w:r w:rsidRPr="00B501F5">
        <w:rPr>
          <w:rFonts w:ascii="Palatino Linotype" w:eastAsia="MS Mincho" w:hAnsi="Palatino Linotype" w:cs="Arial"/>
          <w:sz w:val="24"/>
        </w:rPr>
        <w:t xml:space="preserve">En tal contexto, el </w:t>
      </w:r>
      <w:r w:rsidRPr="00B501F5">
        <w:rPr>
          <w:rFonts w:ascii="Palatino Linotype" w:eastAsia="MS Mincho" w:hAnsi="Palatino Linotype" w:cs="Arial"/>
          <w:b/>
          <w:sz w:val="24"/>
        </w:rPr>
        <w:t>SUJETO OBLIGADO</w:t>
      </w:r>
      <w:r w:rsidR="008B592E">
        <w:rPr>
          <w:rFonts w:ascii="Palatino Linotype" w:eastAsia="MS Mincho" w:hAnsi="Palatino Linotype" w:cs="Arial"/>
          <w:b/>
          <w:sz w:val="24"/>
        </w:rPr>
        <w:t xml:space="preserve"> </w:t>
      </w:r>
      <w:r w:rsidR="008B592E">
        <w:rPr>
          <w:rFonts w:ascii="Palatino Linotype" w:eastAsia="MS Mincho" w:hAnsi="Palatino Linotype" w:cs="Arial"/>
          <w:sz w:val="24"/>
        </w:rPr>
        <w:t xml:space="preserve">señaló que derivado de la búsqueda se localizó la licencia de uso de suelo 50/2020, la cual fue </w:t>
      </w:r>
      <w:r w:rsidR="00361093">
        <w:rPr>
          <w:rFonts w:ascii="Palatino Linotype" w:eastAsia="MS Mincho" w:hAnsi="Palatino Linotype" w:cs="Arial"/>
          <w:sz w:val="24"/>
        </w:rPr>
        <w:t xml:space="preserve">anexada a la respuesta. </w:t>
      </w:r>
      <w:r w:rsidRPr="00361093">
        <w:rPr>
          <w:rFonts w:ascii="Palatino Linotype" w:eastAsiaTheme="minorEastAsia" w:hAnsi="Palatino Linotype" w:cs="Arial"/>
          <w:sz w:val="24"/>
          <w:lang w:val="es-ES_tradnl"/>
        </w:rPr>
        <w:lastRenderedPageBreak/>
        <w:t xml:space="preserve">Subsecuentemente, inconforme con la respuesta, el particular presentó el Recurso de Revisión de mérito, en el que señaló </w:t>
      </w:r>
      <w:r w:rsidR="00361093">
        <w:rPr>
          <w:rFonts w:ascii="Palatino Linotype" w:eastAsiaTheme="minorEastAsia" w:hAnsi="Palatino Linotype" w:cs="Arial"/>
          <w:sz w:val="24"/>
          <w:lang w:val="es-ES_tradnl"/>
        </w:rPr>
        <w:t>lo siguiente:</w:t>
      </w:r>
    </w:p>
    <w:p w14:paraId="26DEDD73" w14:textId="77777777" w:rsidR="00361093" w:rsidRPr="00361093" w:rsidRDefault="00361093" w:rsidP="00361093">
      <w:pPr>
        <w:pStyle w:val="Prrafodelista"/>
        <w:rPr>
          <w:rFonts w:ascii="Palatino Linotype" w:hAnsi="Palatino Linotype" w:cs="Arial"/>
          <w:szCs w:val="22"/>
        </w:rPr>
      </w:pPr>
    </w:p>
    <w:p w14:paraId="26DEDD74" w14:textId="77777777" w:rsidR="00361093" w:rsidRPr="00E95235" w:rsidRDefault="00932C55" w:rsidP="00361093">
      <w:pPr>
        <w:spacing w:line="360" w:lineRule="auto"/>
        <w:ind w:left="567" w:right="567"/>
        <w:contextualSpacing/>
        <w:jc w:val="both"/>
        <w:rPr>
          <w:rFonts w:ascii="Palatino Linotype" w:eastAsia="Calibri" w:hAnsi="Palatino Linotype" w:cs="Arial"/>
          <w:i/>
          <w:sz w:val="22"/>
          <w:szCs w:val="22"/>
          <w:lang w:val="es-ES" w:eastAsia="es-ES"/>
        </w:rPr>
      </w:pPr>
      <w:r w:rsidRPr="00361093">
        <w:rPr>
          <w:rFonts w:ascii="Palatino Linotype" w:hAnsi="Palatino Linotype" w:cs="Arial"/>
          <w:szCs w:val="22"/>
        </w:rPr>
        <w:t xml:space="preserve"> </w:t>
      </w:r>
      <w:r w:rsidR="00361093" w:rsidRPr="00E95235">
        <w:rPr>
          <w:rFonts w:ascii="Palatino Linotype" w:eastAsiaTheme="minorEastAsia" w:hAnsi="Palatino Linotype"/>
          <w:b/>
          <w:sz w:val="22"/>
          <w:szCs w:val="22"/>
          <w:lang w:val="es-ES_tradnl" w:eastAsia="es-ES"/>
        </w:rPr>
        <w:t>Acto impugnado</w:t>
      </w:r>
      <w:r w:rsidR="00361093" w:rsidRPr="00E95235">
        <w:rPr>
          <w:rFonts w:ascii="Palatino Linotype" w:eastAsiaTheme="minorEastAsia" w:hAnsi="Palatino Linotype"/>
          <w:b/>
          <w:i/>
          <w:sz w:val="22"/>
          <w:szCs w:val="22"/>
          <w:lang w:val="es-ES_tradnl" w:eastAsia="es-ES"/>
        </w:rPr>
        <w:t>:</w:t>
      </w:r>
      <w:r w:rsidR="00361093" w:rsidRPr="00E95235">
        <w:rPr>
          <w:rFonts w:ascii="Palatino Linotype" w:hAnsi="Palatino Linotype"/>
          <w:i/>
          <w:color w:val="000000"/>
          <w:sz w:val="22"/>
          <w:szCs w:val="22"/>
        </w:rPr>
        <w:t xml:space="preserve"> “</w:t>
      </w:r>
      <w:r w:rsidR="00361093" w:rsidRPr="001F49E1">
        <w:rPr>
          <w:rFonts w:ascii="Palatino Linotype" w:hAnsi="Palatino Linotype"/>
          <w:i/>
          <w:color w:val="000000"/>
          <w:sz w:val="22"/>
          <w:szCs w:val="22"/>
        </w:rPr>
        <w:t xml:space="preserve">Solo señalan el número de licencia de uso de suelo que ya </w:t>
      </w:r>
      <w:proofErr w:type="spellStart"/>
      <w:r w:rsidR="00361093" w:rsidRPr="001F49E1">
        <w:rPr>
          <w:rFonts w:ascii="Palatino Linotype" w:hAnsi="Palatino Linotype"/>
          <w:i/>
          <w:color w:val="000000"/>
          <w:sz w:val="22"/>
          <w:szCs w:val="22"/>
        </w:rPr>
        <w:t>conociamos</w:t>
      </w:r>
      <w:proofErr w:type="spellEnd"/>
      <w:r w:rsidR="00361093" w:rsidRPr="001F49E1">
        <w:rPr>
          <w:rFonts w:ascii="Palatino Linotype" w:hAnsi="Palatino Linotype"/>
          <w:i/>
          <w:color w:val="000000"/>
          <w:sz w:val="22"/>
          <w:szCs w:val="22"/>
        </w:rPr>
        <w:t xml:space="preserve"> y lo que solicitamos fue se nos informara con base en qué se otorgó el cambio de uso de suelo y copia simple de los documentos presentados para ello.</w:t>
      </w:r>
      <w:r w:rsidR="00361093" w:rsidRPr="00E95235">
        <w:rPr>
          <w:rFonts w:ascii="Palatino Linotype" w:hAnsi="Palatino Linotype"/>
          <w:i/>
          <w:color w:val="000000"/>
          <w:sz w:val="22"/>
          <w:szCs w:val="22"/>
        </w:rPr>
        <w:t>" (Sic)</w:t>
      </w:r>
    </w:p>
    <w:p w14:paraId="26DEDD75" w14:textId="77777777" w:rsidR="00361093" w:rsidRPr="00E95235" w:rsidRDefault="00361093" w:rsidP="00361093">
      <w:pPr>
        <w:spacing w:line="360" w:lineRule="auto"/>
        <w:ind w:left="567" w:right="567"/>
        <w:contextualSpacing/>
        <w:jc w:val="both"/>
        <w:rPr>
          <w:rFonts w:ascii="Palatino Linotype" w:eastAsia="Calibri" w:hAnsi="Palatino Linotype" w:cs="Arial"/>
          <w:sz w:val="22"/>
          <w:szCs w:val="22"/>
          <w:lang w:val="es-ES" w:eastAsia="es-ES"/>
        </w:rPr>
      </w:pPr>
    </w:p>
    <w:p w14:paraId="26DEDD76" w14:textId="1900AC80" w:rsidR="00932C55" w:rsidRPr="00361093" w:rsidRDefault="00361093" w:rsidP="00361093">
      <w:pPr>
        <w:spacing w:line="360" w:lineRule="auto"/>
        <w:ind w:left="567" w:right="567"/>
        <w:contextualSpacing/>
        <w:jc w:val="both"/>
        <w:rPr>
          <w:rFonts w:ascii="Palatino Linotype" w:hAnsi="Palatino Linotype"/>
          <w:i/>
          <w:color w:val="000000"/>
          <w:sz w:val="36"/>
          <w:szCs w:val="22"/>
        </w:rPr>
      </w:pPr>
      <w:r w:rsidRPr="00E95235">
        <w:rPr>
          <w:rFonts w:ascii="Palatino Linotype" w:eastAsiaTheme="minorEastAsia" w:hAnsi="Palatino Linotype"/>
          <w:b/>
          <w:sz w:val="22"/>
          <w:szCs w:val="22"/>
          <w:lang w:val="es-ES_tradnl" w:eastAsia="es-ES"/>
        </w:rPr>
        <w:t>Raz</w:t>
      </w:r>
      <w:r>
        <w:rPr>
          <w:rFonts w:ascii="Palatino Linotype" w:eastAsiaTheme="minorEastAsia" w:hAnsi="Palatino Linotype"/>
          <w:b/>
          <w:sz w:val="22"/>
          <w:szCs w:val="22"/>
          <w:lang w:val="es-ES_tradnl" w:eastAsia="es-ES"/>
        </w:rPr>
        <w:t>ones o Motivos de inconformidad: “</w:t>
      </w:r>
      <w:r w:rsidRPr="001F49E1">
        <w:rPr>
          <w:rFonts w:ascii="Palatino Linotype" w:hAnsi="Palatino Linotype"/>
          <w:i/>
          <w:color w:val="000000"/>
          <w:sz w:val="22"/>
          <w:szCs w:val="14"/>
        </w:rPr>
        <w:t xml:space="preserve">El uso de suelo de Jardines de San Mateo es en general exclusivamente habitacional y en lo particular la calle de </w:t>
      </w:r>
      <w:r w:rsidR="001C3DEC">
        <w:rPr>
          <w:rFonts w:ascii="Palatino Linotype" w:hAnsi="Palatino Linotype"/>
          <w:i/>
          <w:color w:val="000000"/>
          <w:sz w:val="22"/>
          <w:szCs w:val="14"/>
        </w:rPr>
        <w:t xml:space="preserve">XXX </w:t>
      </w:r>
      <w:proofErr w:type="spellStart"/>
      <w:r w:rsidR="001C3DEC">
        <w:rPr>
          <w:rFonts w:ascii="Palatino Linotype" w:hAnsi="Palatino Linotype"/>
          <w:i/>
          <w:color w:val="000000"/>
          <w:sz w:val="22"/>
          <w:szCs w:val="14"/>
        </w:rPr>
        <w:t>XXX</w:t>
      </w:r>
      <w:proofErr w:type="spellEnd"/>
      <w:r w:rsidRPr="001F49E1">
        <w:rPr>
          <w:rFonts w:ascii="Palatino Linotype" w:hAnsi="Palatino Linotype"/>
          <w:i/>
          <w:color w:val="000000"/>
          <w:sz w:val="22"/>
          <w:szCs w:val="14"/>
        </w:rPr>
        <w:t xml:space="preserve"> es exclusivamente habitacional. Al señalar solamente en que sesión se otorgó el cambio de uso de suelo no nos </w:t>
      </w:r>
      <w:proofErr w:type="spellStart"/>
      <w:r w:rsidRPr="001F49E1">
        <w:rPr>
          <w:rFonts w:ascii="Palatino Linotype" w:hAnsi="Palatino Linotype"/>
          <w:i/>
          <w:color w:val="000000"/>
          <w:sz w:val="22"/>
          <w:szCs w:val="14"/>
        </w:rPr>
        <w:t>nos</w:t>
      </w:r>
      <w:proofErr w:type="spellEnd"/>
      <w:r w:rsidRPr="001F49E1">
        <w:rPr>
          <w:rFonts w:ascii="Palatino Linotype" w:hAnsi="Palatino Linotype"/>
          <w:i/>
          <w:color w:val="000000"/>
          <w:sz w:val="22"/>
          <w:szCs w:val="14"/>
        </w:rPr>
        <w:t xml:space="preserve"> da los elementos para conocer si el cambio de uso de suelo autorizado cumple con todos los requisitos de </w:t>
      </w:r>
      <w:proofErr w:type="gramStart"/>
      <w:r w:rsidRPr="001F49E1">
        <w:rPr>
          <w:rFonts w:ascii="Palatino Linotype" w:hAnsi="Palatino Linotype"/>
          <w:i/>
          <w:color w:val="000000"/>
          <w:sz w:val="22"/>
          <w:szCs w:val="14"/>
        </w:rPr>
        <w:t>ley..</w:t>
      </w:r>
      <w:proofErr w:type="gramEnd"/>
      <w:r>
        <w:rPr>
          <w:rFonts w:ascii="Palatino Linotype" w:hAnsi="Palatino Linotype"/>
          <w:i/>
          <w:color w:val="000000"/>
          <w:sz w:val="22"/>
          <w:szCs w:val="14"/>
        </w:rPr>
        <w:t>” (Sic)</w:t>
      </w:r>
      <w:r>
        <w:rPr>
          <w:rFonts w:ascii="Palatino Linotype" w:hAnsi="Palatino Linotype" w:cs="Arial"/>
          <w:sz w:val="22"/>
          <w:szCs w:val="22"/>
        </w:rPr>
        <w:t xml:space="preserve">. </w:t>
      </w:r>
    </w:p>
    <w:p w14:paraId="26DEDD77" w14:textId="77777777" w:rsidR="00932C55" w:rsidRDefault="00932C55" w:rsidP="00932C55">
      <w:pPr>
        <w:pStyle w:val="Prrafodelista"/>
        <w:spacing w:line="360" w:lineRule="auto"/>
        <w:ind w:left="0" w:right="49"/>
        <w:jc w:val="both"/>
        <w:rPr>
          <w:rFonts w:ascii="Palatino Linotype" w:hAnsi="Palatino Linotype" w:cs="Arial"/>
          <w:color w:val="000000"/>
        </w:rPr>
      </w:pPr>
    </w:p>
    <w:p w14:paraId="26DEDD78" w14:textId="77777777" w:rsidR="00932C55" w:rsidRDefault="00932C55" w:rsidP="00932C55">
      <w:pPr>
        <w:pStyle w:val="Prrafodelista"/>
        <w:numPr>
          <w:ilvl w:val="0"/>
          <w:numId w:val="1"/>
        </w:numPr>
        <w:spacing w:line="360" w:lineRule="auto"/>
        <w:ind w:left="0" w:right="49" w:firstLine="0"/>
        <w:jc w:val="both"/>
        <w:rPr>
          <w:rFonts w:ascii="Palatino Linotype" w:hAnsi="Palatino Linotype" w:cs="Arial"/>
          <w:color w:val="000000"/>
          <w:sz w:val="24"/>
        </w:rPr>
      </w:pPr>
      <w:r>
        <w:rPr>
          <w:rFonts w:ascii="Palatino Linotype" w:hAnsi="Palatino Linotype" w:cs="Arial"/>
          <w:color w:val="000000"/>
          <w:sz w:val="24"/>
        </w:rPr>
        <w:t>En consecuencia</w:t>
      </w:r>
      <w:r w:rsidRPr="00626A56">
        <w:rPr>
          <w:rFonts w:ascii="Palatino Linotype" w:hAnsi="Palatino Linotype" w:cs="Arial"/>
          <w:color w:val="000000"/>
          <w:sz w:val="24"/>
        </w:rPr>
        <w:t xml:space="preserve">, </w:t>
      </w:r>
      <w:r w:rsidR="00361093">
        <w:rPr>
          <w:rFonts w:ascii="Palatino Linotype" w:hAnsi="Palatino Linotype" w:cs="Arial"/>
          <w:color w:val="000000"/>
          <w:sz w:val="24"/>
        </w:rPr>
        <w:t xml:space="preserve"> en un primer momento </w:t>
      </w:r>
      <w:r w:rsidRPr="00626A56">
        <w:rPr>
          <w:rFonts w:ascii="Palatino Linotype" w:hAnsi="Palatino Linotype" w:cs="Arial"/>
          <w:color w:val="000000"/>
          <w:sz w:val="24"/>
        </w:rPr>
        <w:t xml:space="preserve">se advierte que los motivos o razones de inconformidad no guardan relación con la respuesta emitida por el Sujeto </w:t>
      </w:r>
      <w:r>
        <w:rPr>
          <w:rFonts w:ascii="Palatino Linotype" w:hAnsi="Palatino Linotype" w:cs="Arial"/>
          <w:color w:val="000000"/>
          <w:sz w:val="24"/>
        </w:rPr>
        <w:t xml:space="preserve">Obligado, </w:t>
      </w:r>
      <w:r w:rsidR="00361093">
        <w:rPr>
          <w:rFonts w:ascii="Palatino Linotype" w:hAnsi="Palatino Linotype" w:cs="Arial"/>
          <w:color w:val="000000"/>
          <w:sz w:val="24"/>
        </w:rPr>
        <w:t>pues el Recurrente señaló “…</w:t>
      </w:r>
      <w:r w:rsidR="00361093" w:rsidRPr="00361093">
        <w:rPr>
          <w:rFonts w:ascii="Palatino Linotype" w:hAnsi="Palatino Linotype" w:cs="Arial"/>
          <w:i/>
          <w:color w:val="000000"/>
          <w:sz w:val="24"/>
        </w:rPr>
        <w:t>Al señalar solamente en que sesión se otorgó el cambio de uso de suelo</w:t>
      </w:r>
      <w:r w:rsidR="00361093">
        <w:rPr>
          <w:rFonts w:ascii="Palatino Linotype" w:hAnsi="Palatino Linotype" w:cs="Arial"/>
          <w:i/>
          <w:color w:val="000000"/>
          <w:sz w:val="24"/>
        </w:rPr>
        <w:t xml:space="preserve">…”, </w:t>
      </w:r>
      <w:r w:rsidR="00361093">
        <w:rPr>
          <w:rFonts w:ascii="Palatino Linotype" w:hAnsi="Palatino Linotype" w:cs="Arial"/>
          <w:color w:val="000000"/>
          <w:sz w:val="24"/>
        </w:rPr>
        <w:t xml:space="preserve">lo cual no ocurrió ya que en ninguna parte de la respuesta se le indicó que se había aprobado en una sesión. </w:t>
      </w:r>
    </w:p>
    <w:p w14:paraId="26DEDD79" w14:textId="77777777" w:rsidR="00932C55" w:rsidRPr="005B2779" w:rsidRDefault="00932C55" w:rsidP="00932C55">
      <w:pPr>
        <w:pStyle w:val="Prrafodelista"/>
        <w:spacing w:line="360" w:lineRule="auto"/>
        <w:ind w:left="0" w:right="49"/>
        <w:jc w:val="both"/>
        <w:rPr>
          <w:rFonts w:ascii="Palatino Linotype" w:hAnsi="Palatino Linotype" w:cs="Arial"/>
          <w:color w:val="000000"/>
          <w:sz w:val="24"/>
        </w:rPr>
      </w:pPr>
    </w:p>
    <w:p w14:paraId="26DEDD7A" w14:textId="77777777" w:rsidR="00932C55" w:rsidRPr="004E0B02" w:rsidRDefault="00932C55" w:rsidP="00932C55">
      <w:pPr>
        <w:pStyle w:val="Prrafodelista"/>
        <w:numPr>
          <w:ilvl w:val="0"/>
          <w:numId w:val="1"/>
        </w:numPr>
        <w:spacing w:line="360" w:lineRule="auto"/>
        <w:ind w:left="0" w:right="49" w:firstLine="0"/>
        <w:jc w:val="both"/>
        <w:rPr>
          <w:rFonts w:ascii="Palatino Linotype" w:hAnsi="Palatino Linotype" w:cs="Arial"/>
          <w:color w:val="000000"/>
          <w:sz w:val="24"/>
        </w:rPr>
      </w:pPr>
      <w:r>
        <w:rPr>
          <w:rFonts w:ascii="Palatino Linotype" w:hAnsi="Palatino Linotype" w:cs="Arial"/>
          <w:color w:val="000000"/>
          <w:sz w:val="24"/>
        </w:rPr>
        <w:t xml:space="preserve">Puntualizado lo anterior, es necesario traer a contexto </w:t>
      </w:r>
      <w:r w:rsidRPr="004E0B02">
        <w:rPr>
          <w:rFonts w:ascii="Palatino Linotype" w:hAnsi="Palatino Linotype"/>
          <w:color w:val="000000"/>
          <w:sz w:val="24"/>
        </w:rPr>
        <w:t>la Jurisprudencia No. 29 visible a foja 19 del Apéndice al Semanario Judicial de la Federación 1917-1995, Torno VI, Materia Común, Primera Parte, Tesis de la Suprema Corte de Justicia, que contiene:</w:t>
      </w:r>
    </w:p>
    <w:p w14:paraId="26DEDD7B" w14:textId="77777777" w:rsidR="00932C55" w:rsidRDefault="00932C55" w:rsidP="00932C55">
      <w:pPr>
        <w:shd w:val="clear" w:color="auto" w:fill="FFFFFF"/>
        <w:spacing w:before="240" w:after="240" w:line="360" w:lineRule="atLeast"/>
        <w:ind w:left="851" w:right="567"/>
        <w:jc w:val="both"/>
        <w:rPr>
          <w:rFonts w:ascii="Palatino Linotype" w:hAnsi="Palatino Linotype"/>
          <w:i/>
          <w:iCs/>
          <w:color w:val="000000"/>
          <w:sz w:val="22"/>
          <w:szCs w:val="22"/>
        </w:rPr>
      </w:pPr>
      <w:r w:rsidRPr="00B9068E">
        <w:rPr>
          <w:rFonts w:ascii="Palatino Linotype" w:hAnsi="Palatino Linotype"/>
          <w:b/>
          <w:bCs/>
          <w:i/>
          <w:iCs/>
          <w:color w:val="000000"/>
          <w:sz w:val="22"/>
          <w:szCs w:val="22"/>
        </w:rPr>
        <w:t>AGRAVIOS EN LA REVISION. DEBEN ESTAR EN RELACION DIRECTA CON LOS FUNDAMENTOS Y CONSIDERACIONES DE LA SENTENCIA</w:t>
      </w:r>
      <w:r w:rsidRPr="00B9068E">
        <w:rPr>
          <w:rFonts w:ascii="Palatino Linotype" w:hAnsi="Palatino Linotype"/>
          <w:i/>
          <w:iCs/>
          <w:color w:val="000000"/>
          <w:sz w:val="22"/>
          <w:szCs w:val="22"/>
        </w:rPr>
        <w:t xml:space="preserve">.- Los agravios deben estar en relación directa e inmediata con los fundamentos contenidos </w:t>
      </w:r>
      <w:r w:rsidRPr="00B9068E">
        <w:rPr>
          <w:rFonts w:ascii="Palatino Linotype" w:hAnsi="Palatino Linotype"/>
          <w:i/>
          <w:iCs/>
          <w:color w:val="000000"/>
          <w:sz w:val="22"/>
          <w:szCs w:val="22"/>
        </w:rPr>
        <w:lastRenderedPageBreak/>
        <w:t xml:space="preserve">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14:paraId="26DEDD7C" w14:textId="77777777" w:rsidR="00932C55" w:rsidRPr="00F06E5B" w:rsidRDefault="00932C55" w:rsidP="00932C55">
      <w:pPr>
        <w:pStyle w:val="Prrafodelista"/>
        <w:rPr>
          <w:rFonts w:ascii="Palatino Linotype" w:hAnsi="Palatino Linotype" w:cs="Arial"/>
          <w:color w:val="000000"/>
        </w:rPr>
      </w:pPr>
    </w:p>
    <w:p w14:paraId="26DEDD7D" w14:textId="77777777" w:rsidR="00932C55" w:rsidRPr="006A5C31" w:rsidRDefault="00932C55" w:rsidP="00932C55">
      <w:pPr>
        <w:pStyle w:val="Prrafodelista"/>
        <w:numPr>
          <w:ilvl w:val="0"/>
          <w:numId w:val="1"/>
        </w:numPr>
        <w:spacing w:line="360" w:lineRule="auto"/>
        <w:ind w:left="0" w:right="49" w:firstLine="0"/>
        <w:jc w:val="both"/>
        <w:rPr>
          <w:rFonts w:ascii="Palatino Linotype" w:hAnsi="Palatino Linotype" w:cs="Arial"/>
          <w:color w:val="000000"/>
          <w:sz w:val="24"/>
        </w:rPr>
      </w:pPr>
      <w:r w:rsidRPr="006A5C31">
        <w:rPr>
          <w:rFonts w:ascii="Palatino Linotype" w:hAnsi="Palatino Linotype" w:cs="Arial"/>
          <w:color w:val="000000"/>
          <w:sz w:val="24"/>
        </w:rPr>
        <w:t>Ahora bien, una vez analizado lo anteriormente referido, se determina que el recurso de revisión no actualizan ninguna causal de procedencia que se relacione con la respuesta. En consecuencia, l</w:t>
      </w:r>
      <w:r w:rsidRPr="006A5C31">
        <w:rPr>
          <w:rFonts w:ascii="Palatino Linotype" w:eastAsia="Calibri" w:hAnsi="Palatino Linotype" w:cs="Arial"/>
          <w:sz w:val="24"/>
        </w:rPr>
        <w:t>a falta de actualización de causal de procedencia, trae consigo que el recurso de revisión sea desechado por improcedente, de acuerdo al artículo 191 de la citada ley:</w:t>
      </w:r>
    </w:p>
    <w:p w14:paraId="26DEDD7E" w14:textId="77777777" w:rsidR="00932C55" w:rsidRDefault="00932C55" w:rsidP="00932C55">
      <w:pPr>
        <w:pStyle w:val="Prrafodelista"/>
        <w:tabs>
          <w:tab w:val="left" w:pos="567"/>
        </w:tabs>
        <w:spacing w:line="360" w:lineRule="auto"/>
        <w:ind w:left="0"/>
        <w:jc w:val="both"/>
        <w:rPr>
          <w:rFonts w:ascii="Palatino Linotype" w:eastAsia="Calibri" w:hAnsi="Palatino Linotype" w:cs="Arial"/>
        </w:rPr>
      </w:pPr>
    </w:p>
    <w:p w14:paraId="26DEDD7F" w14:textId="77777777" w:rsidR="00932C55" w:rsidRPr="00DA1A2F" w:rsidRDefault="00932C55" w:rsidP="00932C55">
      <w:pPr>
        <w:pStyle w:val="Prrafodelista"/>
        <w:tabs>
          <w:tab w:val="left" w:pos="567"/>
        </w:tabs>
        <w:spacing w:line="360" w:lineRule="auto"/>
        <w:ind w:left="567" w:right="822"/>
        <w:jc w:val="both"/>
        <w:rPr>
          <w:rFonts w:ascii="Palatino Linotype" w:hAnsi="Palatino Linotype"/>
          <w:i/>
        </w:rPr>
      </w:pPr>
      <w:r>
        <w:rPr>
          <w:rFonts w:ascii="Palatino Linotype" w:hAnsi="Palatino Linotype"/>
          <w:i/>
        </w:rPr>
        <w:t>“</w:t>
      </w:r>
      <w:r w:rsidRPr="00DA1A2F">
        <w:rPr>
          <w:rFonts w:ascii="Palatino Linotype" w:hAnsi="Palatino Linotype"/>
          <w:i/>
        </w:rPr>
        <w:t>Artículo 191. El recurso será desechado por improcedente cuando:</w:t>
      </w:r>
    </w:p>
    <w:p w14:paraId="26DEDD80" w14:textId="77777777" w:rsidR="00932C55" w:rsidRPr="00DA1A2F" w:rsidRDefault="00932C55" w:rsidP="00932C55">
      <w:pPr>
        <w:pStyle w:val="Prrafodelista"/>
        <w:tabs>
          <w:tab w:val="left" w:pos="567"/>
        </w:tabs>
        <w:spacing w:line="360" w:lineRule="auto"/>
        <w:ind w:left="567" w:right="822"/>
        <w:jc w:val="both"/>
        <w:rPr>
          <w:rFonts w:ascii="Palatino Linotype" w:hAnsi="Palatino Linotype"/>
          <w:i/>
        </w:rPr>
      </w:pPr>
      <w:r>
        <w:rPr>
          <w:rFonts w:ascii="Palatino Linotype" w:hAnsi="Palatino Linotype"/>
          <w:i/>
        </w:rPr>
        <w:t>…</w:t>
      </w:r>
    </w:p>
    <w:p w14:paraId="26DEDD81" w14:textId="77777777" w:rsidR="00932C55" w:rsidRDefault="00932C55" w:rsidP="00932C55">
      <w:pPr>
        <w:pStyle w:val="Prrafodelista"/>
        <w:tabs>
          <w:tab w:val="left" w:pos="567"/>
        </w:tabs>
        <w:spacing w:line="360" w:lineRule="auto"/>
        <w:ind w:left="567" w:right="822"/>
        <w:jc w:val="both"/>
        <w:rPr>
          <w:rFonts w:ascii="Palatino Linotype" w:hAnsi="Palatino Linotype"/>
          <w:b/>
          <w:i/>
        </w:rPr>
      </w:pPr>
      <w:r w:rsidRPr="00DA1A2F">
        <w:rPr>
          <w:rFonts w:ascii="Palatino Linotype" w:hAnsi="Palatino Linotype"/>
          <w:b/>
          <w:i/>
        </w:rPr>
        <w:t xml:space="preserve">III. No actualice alguno de los supuestos previstos en la presente Ley; </w:t>
      </w:r>
    </w:p>
    <w:p w14:paraId="26DEDD82" w14:textId="77777777" w:rsidR="00932C55" w:rsidRPr="00DA1A2F" w:rsidRDefault="00932C55" w:rsidP="00932C55">
      <w:pPr>
        <w:pStyle w:val="Prrafodelista"/>
        <w:tabs>
          <w:tab w:val="left" w:pos="567"/>
        </w:tabs>
        <w:spacing w:line="360" w:lineRule="auto"/>
        <w:ind w:left="567" w:right="822"/>
        <w:jc w:val="both"/>
        <w:rPr>
          <w:rFonts w:ascii="Palatino Linotype" w:hAnsi="Palatino Linotype"/>
          <w:b/>
          <w:i/>
        </w:rPr>
      </w:pPr>
      <w:r>
        <w:rPr>
          <w:rFonts w:ascii="Palatino Linotype" w:hAnsi="Palatino Linotype"/>
          <w:b/>
          <w:i/>
        </w:rPr>
        <w:t>…”</w:t>
      </w:r>
    </w:p>
    <w:p w14:paraId="26DEDD83" w14:textId="77777777" w:rsidR="00932C55" w:rsidRDefault="00932C55" w:rsidP="00932C55">
      <w:pPr>
        <w:pStyle w:val="Prrafodelista"/>
        <w:tabs>
          <w:tab w:val="left" w:pos="567"/>
        </w:tabs>
        <w:spacing w:line="360" w:lineRule="auto"/>
        <w:ind w:left="0"/>
        <w:jc w:val="both"/>
      </w:pPr>
    </w:p>
    <w:p w14:paraId="26DEDD84" w14:textId="77777777" w:rsidR="005663C2" w:rsidRPr="005663C2" w:rsidRDefault="00932C55" w:rsidP="00932C55">
      <w:pPr>
        <w:pStyle w:val="Prrafodelista"/>
        <w:numPr>
          <w:ilvl w:val="0"/>
          <w:numId w:val="1"/>
        </w:numPr>
        <w:tabs>
          <w:tab w:val="left" w:pos="567"/>
        </w:tabs>
        <w:spacing w:line="360" w:lineRule="auto"/>
        <w:ind w:left="0" w:firstLine="0"/>
        <w:jc w:val="both"/>
        <w:rPr>
          <w:rFonts w:ascii="Palatino Linotype" w:eastAsia="Calibri" w:hAnsi="Palatino Linotype" w:cs="Arial"/>
          <w:sz w:val="24"/>
        </w:rPr>
      </w:pPr>
      <w:r w:rsidRPr="00D23039">
        <w:rPr>
          <w:rFonts w:ascii="Palatino Linotype" w:eastAsia="Calibri" w:hAnsi="Palatino Linotype" w:cs="Arial"/>
          <w:sz w:val="24"/>
        </w:rPr>
        <w:t>Asimismo,</w:t>
      </w:r>
      <w:r w:rsidRPr="00361093">
        <w:rPr>
          <w:rFonts w:ascii="Palatino Linotype" w:eastAsia="Calibri" w:hAnsi="Palatino Linotype" w:cs="Arial"/>
          <w:sz w:val="24"/>
        </w:rPr>
        <w:t xml:space="preserve"> </w:t>
      </w:r>
      <w:r w:rsidRPr="00361093">
        <w:rPr>
          <w:rFonts w:ascii="Palatino Linotype" w:eastAsia="MS Mincho" w:hAnsi="Palatino Linotype" w:cstheme="majorBidi"/>
          <w:b/>
          <w:sz w:val="24"/>
          <w:lang w:val="es-ES_tradnl" w:eastAsia="es-ES"/>
        </w:rPr>
        <w:t>del recurso de revisión se desprenden nuevos requerimientos</w:t>
      </w:r>
      <w:r w:rsidRPr="00D23039">
        <w:rPr>
          <w:rFonts w:ascii="Palatino Linotype" w:eastAsia="MS Mincho" w:hAnsi="Palatino Linotype" w:cstheme="majorBidi"/>
          <w:b/>
          <w:sz w:val="24"/>
          <w:lang w:val="es-ES_tradnl" w:eastAsia="es-ES"/>
        </w:rPr>
        <w:t xml:space="preserve"> </w:t>
      </w:r>
      <w:r w:rsidRPr="00D23039">
        <w:rPr>
          <w:rFonts w:ascii="Palatino Linotype" w:eastAsia="MS Mincho" w:hAnsi="Palatino Linotype" w:cstheme="majorBidi"/>
          <w:b/>
          <w:i/>
          <w:sz w:val="24"/>
          <w:lang w:val="es-ES_tradnl" w:eastAsia="es-ES"/>
        </w:rPr>
        <w:t>(“…</w:t>
      </w:r>
      <w:r w:rsidR="00361093" w:rsidRPr="00361093">
        <w:rPr>
          <w:rFonts w:ascii="Palatino Linotype" w:eastAsia="MS Mincho" w:hAnsi="Palatino Linotype" w:cstheme="majorBidi"/>
          <w:b/>
          <w:i/>
          <w:sz w:val="24"/>
          <w:lang w:eastAsia="es-ES"/>
        </w:rPr>
        <w:t>y lo que solicitamos fue se nos informara con base en qué se otorgó el cambio de uso de suelo y copia simple de los d</w:t>
      </w:r>
      <w:r w:rsidR="00361093">
        <w:rPr>
          <w:rFonts w:ascii="Palatino Linotype" w:eastAsia="MS Mincho" w:hAnsi="Palatino Linotype" w:cstheme="majorBidi"/>
          <w:b/>
          <w:i/>
          <w:sz w:val="24"/>
          <w:lang w:eastAsia="es-ES"/>
        </w:rPr>
        <w:t>ocumentos presentados para ello</w:t>
      </w:r>
      <w:r w:rsidR="00361093" w:rsidRPr="00361093">
        <w:rPr>
          <w:rFonts w:ascii="Palatino Linotype" w:eastAsia="MS Mincho" w:hAnsi="Palatino Linotype" w:cstheme="majorBidi"/>
          <w:b/>
          <w:i/>
          <w:sz w:val="24"/>
          <w:lang w:eastAsia="es-ES"/>
        </w:rPr>
        <w:t>"</w:t>
      </w:r>
      <w:r w:rsidRPr="00D23039">
        <w:rPr>
          <w:rFonts w:ascii="Palatino Linotype" w:eastAsia="MS Mincho" w:hAnsi="Palatino Linotype" w:cstheme="majorBidi"/>
          <w:b/>
          <w:i/>
          <w:sz w:val="24"/>
          <w:lang w:eastAsia="es-ES"/>
        </w:rPr>
        <w:t>)</w:t>
      </w:r>
      <w:r w:rsidRPr="00D23039">
        <w:rPr>
          <w:rFonts w:ascii="Palatino Linotype" w:eastAsia="MS Mincho" w:hAnsi="Palatino Linotype" w:cstheme="majorBidi"/>
          <w:b/>
          <w:sz w:val="24"/>
          <w:lang w:val="es-ES_tradnl" w:eastAsia="es-ES"/>
        </w:rPr>
        <w:t xml:space="preserve">, mismos que no pueden ser atendidos dado que no fueron solicitados inicialmente, a lo que se le conoce también como plus </w:t>
      </w:r>
      <w:proofErr w:type="spellStart"/>
      <w:r w:rsidRPr="00D23039">
        <w:rPr>
          <w:rFonts w:ascii="Palatino Linotype" w:eastAsia="MS Mincho" w:hAnsi="Palatino Linotype" w:cstheme="majorBidi"/>
          <w:b/>
          <w:sz w:val="24"/>
          <w:lang w:val="es-ES_tradnl" w:eastAsia="es-ES"/>
        </w:rPr>
        <w:t>petitio</w:t>
      </w:r>
      <w:proofErr w:type="spellEnd"/>
      <w:r w:rsidRPr="00D23039">
        <w:rPr>
          <w:rFonts w:ascii="Palatino Linotype" w:eastAsia="MS Mincho" w:hAnsi="Palatino Linotype" w:cstheme="majorBidi"/>
          <w:b/>
          <w:sz w:val="24"/>
          <w:lang w:val="es-ES_tradnl" w:eastAsia="es-ES"/>
        </w:rPr>
        <w:t xml:space="preserve">. </w:t>
      </w:r>
    </w:p>
    <w:p w14:paraId="26DEDD85" w14:textId="77777777" w:rsidR="005663C2" w:rsidRPr="005663C2" w:rsidRDefault="005663C2" w:rsidP="005663C2">
      <w:pPr>
        <w:pStyle w:val="Prrafodelista"/>
        <w:tabs>
          <w:tab w:val="left" w:pos="567"/>
        </w:tabs>
        <w:spacing w:line="360" w:lineRule="auto"/>
        <w:ind w:left="0"/>
        <w:jc w:val="both"/>
        <w:rPr>
          <w:rFonts w:ascii="Palatino Linotype" w:eastAsia="Calibri" w:hAnsi="Palatino Linotype" w:cs="Arial"/>
          <w:sz w:val="24"/>
        </w:rPr>
      </w:pPr>
    </w:p>
    <w:p w14:paraId="26DEDD86" w14:textId="77777777" w:rsidR="005663C2" w:rsidRDefault="005663C2" w:rsidP="00932C55">
      <w:pPr>
        <w:pStyle w:val="Prrafodelista"/>
        <w:numPr>
          <w:ilvl w:val="0"/>
          <w:numId w:val="1"/>
        </w:numPr>
        <w:tabs>
          <w:tab w:val="left" w:pos="567"/>
        </w:tabs>
        <w:spacing w:line="360" w:lineRule="auto"/>
        <w:ind w:left="0" w:firstLine="0"/>
        <w:jc w:val="both"/>
        <w:rPr>
          <w:rFonts w:ascii="Palatino Linotype" w:eastAsia="Calibri" w:hAnsi="Palatino Linotype" w:cs="Arial"/>
          <w:sz w:val="24"/>
        </w:rPr>
      </w:pPr>
      <w:r>
        <w:rPr>
          <w:rFonts w:ascii="Palatino Linotype" w:eastAsia="Calibri" w:hAnsi="Palatino Linotype" w:cs="Arial"/>
          <w:sz w:val="24"/>
        </w:rPr>
        <w:t xml:space="preserve">En ese sentido, es procedente señalar que el hoy Recurrente en un inicio solicitó únicamente información sobre una licencia de uso de suelo, y posteriormente, requirió </w:t>
      </w:r>
      <w:r>
        <w:rPr>
          <w:rFonts w:ascii="Palatino Linotype" w:eastAsia="Calibri" w:hAnsi="Palatino Linotype" w:cs="Arial"/>
          <w:sz w:val="24"/>
        </w:rPr>
        <w:lastRenderedPageBreak/>
        <w:t xml:space="preserve">información referente a la licencia de cambio de uso de suelo, información que corresponde a trámites diferente, como se observa con las siguientes imágenes, correspondientes a las cédulas de información de trámites del Sujeto Obligado: </w:t>
      </w:r>
    </w:p>
    <w:p w14:paraId="26DEDD87" w14:textId="77777777" w:rsidR="005663C2" w:rsidRPr="005663C2" w:rsidRDefault="005663C2" w:rsidP="005663C2">
      <w:pPr>
        <w:pStyle w:val="Prrafodelista"/>
        <w:tabs>
          <w:tab w:val="left" w:pos="567"/>
        </w:tabs>
        <w:spacing w:line="360" w:lineRule="auto"/>
        <w:ind w:left="0"/>
        <w:jc w:val="both"/>
        <w:rPr>
          <w:rFonts w:ascii="Palatino Linotype" w:eastAsia="Calibri" w:hAnsi="Palatino Linotype" w:cs="Arial"/>
          <w:sz w:val="24"/>
        </w:rPr>
      </w:pPr>
    </w:p>
    <w:p w14:paraId="26DEDD88" w14:textId="77777777" w:rsidR="005663C2" w:rsidRDefault="005663C2" w:rsidP="005663C2">
      <w:pPr>
        <w:pStyle w:val="Prrafodelista"/>
        <w:tabs>
          <w:tab w:val="left" w:pos="567"/>
        </w:tabs>
        <w:spacing w:line="360" w:lineRule="auto"/>
        <w:ind w:left="0"/>
        <w:jc w:val="center"/>
        <w:rPr>
          <w:rFonts w:ascii="Palatino Linotype" w:eastAsia="Calibri" w:hAnsi="Palatino Linotype" w:cs="Arial"/>
          <w:sz w:val="24"/>
        </w:rPr>
      </w:pPr>
      <w:r w:rsidRPr="005663C2">
        <w:rPr>
          <w:rFonts w:ascii="Palatino Linotype" w:eastAsia="Calibri" w:hAnsi="Palatino Linotype" w:cs="Arial"/>
          <w:noProof/>
          <w:sz w:val="24"/>
        </w:rPr>
        <w:drawing>
          <wp:inline distT="0" distB="0" distL="0" distR="0" wp14:anchorId="26DEDDF3" wp14:editId="26DEDDF4">
            <wp:extent cx="4533900" cy="286301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0706" cy="2867312"/>
                    </a:xfrm>
                    <a:prstGeom prst="rect">
                      <a:avLst/>
                    </a:prstGeom>
                  </pic:spPr>
                </pic:pic>
              </a:graphicData>
            </a:graphic>
          </wp:inline>
        </w:drawing>
      </w:r>
    </w:p>
    <w:p w14:paraId="26DEDD89" w14:textId="77777777" w:rsidR="005663C2" w:rsidRDefault="005663C2" w:rsidP="005663C2">
      <w:pPr>
        <w:pStyle w:val="Prrafodelista"/>
        <w:tabs>
          <w:tab w:val="left" w:pos="567"/>
        </w:tabs>
        <w:spacing w:line="360" w:lineRule="auto"/>
        <w:ind w:left="0"/>
        <w:jc w:val="both"/>
        <w:rPr>
          <w:rFonts w:ascii="Palatino Linotype" w:eastAsia="Calibri" w:hAnsi="Palatino Linotype" w:cs="Arial"/>
          <w:sz w:val="24"/>
        </w:rPr>
      </w:pPr>
    </w:p>
    <w:p w14:paraId="26DEDD8A" w14:textId="77777777" w:rsidR="005663C2" w:rsidRDefault="005663C2" w:rsidP="005663C2">
      <w:pPr>
        <w:pStyle w:val="Prrafodelista"/>
        <w:tabs>
          <w:tab w:val="left" w:pos="567"/>
        </w:tabs>
        <w:spacing w:line="360" w:lineRule="auto"/>
        <w:ind w:left="0"/>
        <w:jc w:val="center"/>
        <w:rPr>
          <w:rFonts w:ascii="Palatino Linotype" w:eastAsia="Calibri" w:hAnsi="Palatino Linotype" w:cs="Arial"/>
          <w:sz w:val="24"/>
        </w:rPr>
      </w:pPr>
      <w:r w:rsidRPr="005663C2">
        <w:rPr>
          <w:rFonts w:ascii="Palatino Linotype" w:eastAsia="Calibri" w:hAnsi="Palatino Linotype" w:cs="Arial"/>
          <w:noProof/>
          <w:sz w:val="24"/>
        </w:rPr>
        <w:drawing>
          <wp:inline distT="0" distB="0" distL="0" distR="0" wp14:anchorId="26DEDDF5" wp14:editId="26DEDDF6">
            <wp:extent cx="4516626" cy="2752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3581" cy="2756964"/>
                    </a:xfrm>
                    <a:prstGeom prst="rect">
                      <a:avLst/>
                    </a:prstGeom>
                  </pic:spPr>
                </pic:pic>
              </a:graphicData>
            </a:graphic>
          </wp:inline>
        </w:drawing>
      </w:r>
    </w:p>
    <w:p w14:paraId="26DEDD8B" w14:textId="77777777" w:rsidR="005663C2" w:rsidRPr="005663C2" w:rsidRDefault="005663C2" w:rsidP="005663C2">
      <w:pPr>
        <w:pStyle w:val="Prrafodelista"/>
        <w:tabs>
          <w:tab w:val="left" w:pos="567"/>
        </w:tabs>
        <w:spacing w:line="360" w:lineRule="auto"/>
        <w:ind w:left="0"/>
        <w:jc w:val="center"/>
        <w:rPr>
          <w:rFonts w:ascii="Palatino Linotype" w:eastAsia="Calibri" w:hAnsi="Palatino Linotype" w:cs="Arial"/>
          <w:sz w:val="24"/>
        </w:rPr>
      </w:pPr>
    </w:p>
    <w:p w14:paraId="26DEDD8C" w14:textId="77777777" w:rsidR="00932C55" w:rsidRPr="006D7304" w:rsidRDefault="005663C2" w:rsidP="006D7304">
      <w:pPr>
        <w:pStyle w:val="Prrafodelista"/>
        <w:numPr>
          <w:ilvl w:val="0"/>
          <w:numId w:val="1"/>
        </w:numPr>
        <w:tabs>
          <w:tab w:val="left" w:pos="567"/>
        </w:tabs>
        <w:spacing w:line="360" w:lineRule="auto"/>
        <w:ind w:left="0" w:firstLine="0"/>
        <w:jc w:val="both"/>
        <w:rPr>
          <w:rFonts w:ascii="Palatino Linotype" w:eastAsia="Calibri" w:hAnsi="Palatino Linotype" w:cs="Arial"/>
          <w:sz w:val="24"/>
        </w:rPr>
      </w:pPr>
      <w:r>
        <w:rPr>
          <w:rFonts w:ascii="Palatino Linotype" w:eastAsia="Calibri" w:hAnsi="Palatino Linotype" w:cs="Arial"/>
          <w:sz w:val="24"/>
        </w:rPr>
        <w:lastRenderedPageBreak/>
        <w:t>En ese contexto, como ya fue señalado, la información requerida a través del Recurso de revisión, se trata de nuevos requerimientos</w:t>
      </w:r>
      <w:r w:rsidR="006D7304">
        <w:rPr>
          <w:rFonts w:ascii="Palatino Linotype" w:eastAsia="Calibri" w:hAnsi="Palatino Linotype" w:cs="Arial"/>
          <w:sz w:val="24"/>
        </w:rPr>
        <w:t>,</w:t>
      </w:r>
      <w:r>
        <w:rPr>
          <w:rFonts w:ascii="Palatino Linotype" w:eastAsia="Calibri" w:hAnsi="Palatino Linotype" w:cs="Arial"/>
          <w:sz w:val="24"/>
        </w:rPr>
        <w:t xml:space="preserve"> </w:t>
      </w:r>
      <w:r w:rsidR="006D7304">
        <w:rPr>
          <w:rFonts w:ascii="Palatino Linotype" w:eastAsia="Calibri" w:hAnsi="Palatino Linotype" w:cs="Arial"/>
          <w:sz w:val="24"/>
        </w:rPr>
        <w:t xml:space="preserve">los cuales no pueden ser atendidos por no haber sido requeridos en la solicitud primigenia. </w:t>
      </w:r>
      <w:r>
        <w:rPr>
          <w:rFonts w:ascii="Palatino Linotype" w:eastAsia="Calibri" w:hAnsi="Palatino Linotype" w:cs="Arial"/>
          <w:sz w:val="24"/>
        </w:rPr>
        <w:t xml:space="preserve"> </w:t>
      </w:r>
      <w:r w:rsidR="00932C55" w:rsidRPr="006D7304">
        <w:rPr>
          <w:rFonts w:ascii="Palatino Linotype" w:hAnsi="Palatino Linotype" w:cs="Arial"/>
          <w:color w:val="000000"/>
          <w:sz w:val="24"/>
          <w:lang w:val="es-ES" w:eastAsia="es-ES"/>
        </w:rPr>
        <w:t>Sirve de apoyo a lo anterior por analogía, la Jurisprudencia No. 29 visible a foja 19 del Apéndice al Semanario Judicial de la Federación 1917-1995, Torno VI, Materia Común, Primera Parte, Tesis de la Suprema Corte de Justicia, que enseña:</w:t>
      </w:r>
    </w:p>
    <w:p w14:paraId="26DEDD8D" w14:textId="77777777" w:rsidR="00932C55" w:rsidRPr="00D23039" w:rsidRDefault="00932C55" w:rsidP="00932C55">
      <w:pPr>
        <w:pStyle w:val="Prrafodelista"/>
        <w:tabs>
          <w:tab w:val="left" w:pos="567"/>
        </w:tabs>
        <w:spacing w:line="360" w:lineRule="auto"/>
        <w:ind w:left="0"/>
        <w:jc w:val="both"/>
        <w:rPr>
          <w:rFonts w:ascii="Palatino Linotype" w:eastAsia="Calibri" w:hAnsi="Palatino Linotype" w:cs="Arial"/>
          <w:sz w:val="24"/>
        </w:rPr>
      </w:pPr>
    </w:p>
    <w:p w14:paraId="26DEDD8E" w14:textId="77777777" w:rsidR="00932C55" w:rsidRDefault="00932C55" w:rsidP="00932C55">
      <w:pPr>
        <w:pStyle w:val="Prrafodelista"/>
        <w:spacing w:before="240" w:after="240" w:line="360" w:lineRule="auto"/>
        <w:ind w:right="901"/>
        <w:jc w:val="both"/>
        <w:rPr>
          <w:rFonts w:ascii="Palatino Linotype" w:hAnsi="Palatino Linotype" w:cs="Arial"/>
          <w:b/>
          <w:color w:val="000000"/>
          <w:lang w:val="es-ES" w:eastAsia="es-ES"/>
        </w:rPr>
      </w:pPr>
      <w:r w:rsidRPr="00D23039">
        <w:rPr>
          <w:rFonts w:ascii="Palatino Linotype" w:hAnsi="Palatino Linotype" w:cs="Arial"/>
          <w:b/>
          <w:color w:val="000000"/>
          <w:lang w:val="es-ES" w:eastAsia="es-ES"/>
        </w:rPr>
        <w:t>"</w:t>
      </w:r>
      <w:r w:rsidRPr="00D23039">
        <w:rPr>
          <w:rFonts w:ascii="Palatino Linotype" w:hAnsi="Palatino Linotype" w:cs="Arial"/>
          <w:i/>
          <w:color w:val="000000"/>
          <w:lang w:val="es-ES" w:eastAsia="es-ES"/>
        </w:rPr>
        <w:t>AGRAVIOS EN LA REVISION. DEBEN ESTAR EN RELACION DIRECTA CON LOS FUNDAMENTOS Y CONSIDERACIONES DE LA SENTENCIA.-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sidRPr="00D23039">
        <w:rPr>
          <w:rFonts w:ascii="Palatino Linotype" w:hAnsi="Palatino Linotype" w:cs="Arial"/>
          <w:b/>
          <w:color w:val="000000"/>
          <w:lang w:val="es-ES" w:eastAsia="es-ES"/>
        </w:rPr>
        <w:t>"</w:t>
      </w:r>
    </w:p>
    <w:p w14:paraId="26DEDD8F" w14:textId="77777777" w:rsidR="00932C55" w:rsidRPr="00D23039" w:rsidRDefault="00932C55" w:rsidP="00932C55">
      <w:pPr>
        <w:pStyle w:val="Prrafodelista"/>
        <w:spacing w:before="240" w:after="240" w:line="360" w:lineRule="auto"/>
        <w:ind w:right="901"/>
        <w:jc w:val="both"/>
        <w:rPr>
          <w:rFonts w:ascii="Palatino Linotype" w:hAnsi="Palatino Linotype" w:cs="Arial"/>
          <w:color w:val="000000"/>
          <w:lang w:val="es-ES" w:eastAsia="es-ES"/>
        </w:rPr>
      </w:pPr>
    </w:p>
    <w:p w14:paraId="26DEDD90" w14:textId="77777777" w:rsidR="00932C55" w:rsidRPr="00D23039" w:rsidRDefault="00932C55" w:rsidP="00932C55">
      <w:pPr>
        <w:pStyle w:val="Prrafodelista"/>
        <w:numPr>
          <w:ilvl w:val="0"/>
          <w:numId w:val="1"/>
        </w:numPr>
        <w:spacing w:before="240" w:after="240" w:line="360" w:lineRule="auto"/>
        <w:ind w:left="0" w:firstLine="0"/>
        <w:jc w:val="both"/>
        <w:rPr>
          <w:rFonts w:ascii="Palatino Linotype" w:hAnsi="Palatino Linotype" w:cs="Arial"/>
          <w:color w:val="000000"/>
          <w:sz w:val="24"/>
          <w:lang w:val="es-ES" w:eastAsia="es-ES"/>
        </w:rPr>
      </w:pPr>
      <w:r w:rsidRPr="00D23039">
        <w:rPr>
          <w:rFonts w:ascii="Palatino Linotype" w:hAnsi="Palatino Linotype" w:cs="Arial"/>
          <w:color w:val="000000"/>
          <w:sz w:val="24"/>
          <w:lang w:val="es-ES" w:eastAsia="es-ES"/>
        </w:rPr>
        <w:t>Asimismo, cabe por analogía en el presente asunto el fallo emitido por el Segundo Tribunal Colegiado del Cuarto Circuito, recaído en el amparo directo 277/88, que establece:</w:t>
      </w:r>
    </w:p>
    <w:p w14:paraId="26DEDD91" w14:textId="77777777" w:rsidR="00932C55" w:rsidRPr="00D23039" w:rsidRDefault="00932C55" w:rsidP="00932C55">
      <w:pPr>
        <w:pStyle w:val="Prrafodelista"/>
        <w:spacing w:before="240" w:after="240" w:line="360" w:lineRule="auto"/>
        <w:jc w:val="both"/>
        <w:rPr>
          <w:rFonts w:ascii="Palatino Linotype" w:hAnsi="Palatino Linotype" w:cs="Arial"/>
          <w:color w:val="000000"/>
          <w:lang w:val="es-ES" w:eastAsia="es-ES"/>
        </w:rPr>
      </w:pPr>
    </w:p>
    <w:p w14:paraId="26DEDD92" w14:textId="77777777" w:rsidR="00932C55" w:rsidRDefault="00932C55" w:rsidP="00932C55">
      <w:pPr>
        <w:pStyle w:val="Prrafodelista"/>
        <w:spacing w:before="240" w:after="240" w:line="360" w:lineRule="auto"/>
        <w:ind w:right="901"/>
        <w:jc w:val="both"/>
        <w:rPr>
          <w:rFonts w:ascii="Palatino Linotype" w:hAnsi="Palatino Linotype" w:cs="Arial"/>
          <w:b/>
          <w:color w:val="000000"/>
          <w:lang w:val="es-ES" w:eastAsia="es-ES"/>
        </w:rPr>
      </w:pPr>
      <w:r w:rsidRPr="00D23039">
        <w:rPr>
          <w:rFonts w:ascii="Palatino Linotype" w:hAnsi="Palatino Linotype" w:cs="Arial"/>
          <w:b/>
          <w:color w:val="000000"/>
          <w:lang w:val="es-ES" w:eastAsia="es-ES"/>
        </w:rPr>
        <w:t>“</w:t>
      </w:r>
      <w:r w:rsidRPr="00D23039">
        <w:rPr>
          <w:rFonts w:ascii="Palatino Linotype" w:hAnsi="Palatino Linotype" w:cs="Arial"/>
          <w:i/>
          <w:color w:val="000000"/>
          <w:lang w:val="es-ES" w:eastAsia="es-ES"/>
        </w:rPr>
        <w:t xml:space="preserve">JUICIO DE NULIDAD LITIS EN EL. Interpretación de los artículos 215 y 237 DEL CÓDIGO FISCAL DE LA FEDERACIÓN.- El actual Código Fiscal de la Federación no contempla literalmente la hipótesis legal regulada en el artículo 219 del Código Fiscal de 1967, en el que se estima que la resolución impugnada deberá ser </w:t>
      </w:r>
      <w:r w:rsidRPr="00D23039">
        <w:rPr>
          <w:rFonts w:ascii="Palatino Linotype" w:hAnsi="Palatino Linotype" w:cs="Arial"/>
          <w:i/>
          <w:color w:val="000000"/>
          <w:lang w:val="es-ES" w:eastAsia="es-ES"/>
        </w:rPr>
        <w:lastRenderedPageBreak/>
        <w:t>apreciada en los términos en que lo fue ante la autoridad administrativa; sin embargo el artículo 237 de dicho ordenamiento en vigor establece que las sentencias del Tribunal Fiscal de la Federación se fundarán en derecho y examinarán todos y cada uno de los puntos controvertidos, del acto impugnado de donde se sigue que, interpretando conjuntamente los artículos 215 y 237, del Código Fiscal vigente, la autoridad en su contestación a la demanda no podrá cambiar los fundamentos de derecho dados en la resolución y, por su parte, la actora no podrá introducir en su demanda cuestiones diversas a las planteadas originalmente ante la autoridad administrativa, pues de seguirse un criterio contrario, el juzgador tendría que analizar el acto combatido a la luz de argumentos que no fueron del conocimiento de la autoridad o, en su caso, de aquéllos que no fueron expuestos en la propia resolución, con lo cual no se examinarían todos y cada uno de los hechos y puntos controvertidos del acto impugnado, tal como establece el artículo 237 mencionado. Por último cabe señalar que dicha regla admite la excepción relativa a cuestiones y pruebas supervenientes- Visible en el S.J.F., Octava Época, Tomo VII, enero de 1991, pág. 294.</w:t>
      </w:r>
      <w:r w:rsidRPr="00D23039">
        <w:rPr>
          <w:rFonts w:ascii="Palatino Linotype" w:hAnsi="Palatino Linotype" w:cs="Arial"/>
          <w:b/>
          <w:color w:val="000000"/>
          <w:lang w:val="es-ES" w:eastAsia="es-ES"/>
        </w:rPr>
        <w:t>”</w:t>
      </w:r>
    </w:p>
    <w:p w14:paraId="26DEDD93" w14:textId="77777777" w:rsidR="00932C55" w:rsidRPr="00D23039" w:rsidRDefault="00932C55" w:rsidP="00932C55">
      <w:pPr>
        <w:pStyle w:val="Prrafodelista"/>
        <w:spacing w:before="240" w:after="240"/>
        <w:ind w:right="901"/>
        <w:jc w:val="both"/>
        <w:rPr>
          <w:rFonts w:ascii="Palatino Linotype" w:hAnsi="Palatino Linotype" w:cs="Arial"/>
          <w:b/>
          <w:color w:val="000000"/>
          <w:lang w:val="es-ES" w:eastAsia="es-ES"/>
        </w:rPr>
      </w:pPr>
    </w:p>
    <w:p w14:paraId="26DEDD94" w14:textId="77777777" w:rsidR="00932C55" w:rsidRPr="00D23039" w:rsidRDefault="00932C55" w:rsidP="00932C55">
      <w:pPr>
        <w:pStyle w:val="Prrafodelista"/>
        <w:numPr>
          <w:ilvl w:val="0"/>
          <w:numId w:val="1"/>
        </w:numPr>
        <w:spacing w:before="240" w:after="240" w:line="360" w:lineRule="auto"/>
        <w:ind w:left="0" w:firstLine="0"/>
        <w:jc w:val="both"/>
        <w:rPr>
          <w:rFonts w:ascii="Palatino Linotype" w:hAnsi="Palatino Linotype" w:cs="Arial"/>
          <w:color w:val="000000"/>
          <w:sz w:val="24"/>
          <w:lang w:val="es-ES" w:eastAsia="es-ES"/>
        </w:rPr>
      </w:pPr>
      <w:r w:rsidRPr="00D23039">
        <w:rPr>
          <w:rFonts w:ascii="Palatino Linotype" w:hAnsi="Palatino Linotype" w:cs="Arial"/>
          <w:color w:val="000000"/>
          <w:sz w:val="24"/>
          <w:lang w:val="es-ES" w:eastAsia="es-ES"/>
        </w:rPr>
        <w:t xml:space="preserve">Por lo anterior, se establece que, el recurso de revisión presentado por </w:t>
      </w:r>
      <w:r w:rsidRPr="00D23039">
        <w:rPr>
          <w:rFonts w:ascii="Palatino Linotype" w:hAnsi="Palatino Linotype" w:cs="Arial"/>
          <w:b/>
          <w:color w:val="000000"/>
          <w:sz w:val="24"/>
          <w:lang w:val="es-ES" w:eastAsia="es-ES"/>
        </w:rPr>
        <w:t>EL RECURRENTE</w:t>
      </w:r>
      <w:r w:rsidRPr="00D23039">
        <w:rPr>
          <w:rFonts w:ascii="Palatino Linotype" w:hAnsi="Palatino Linotype" w:cs="Arial"/>
          <w:color w:val="000000"/>
          <w:sz w:val="24"/>
          <w:lang w:val="es-ES" w:eastAsia="es-ES"/>
        </w:rPr>
        <w:t xml:space="preserve"> no debe variar el fondo de la litis, de tal manera que, los argumentos planteados por </w:t>
      </w:r>
      <w:r w:rsidRPr="00D23039">
        <w:rPr>
          <w:rFonts w:ascii="Palatino Linotype" w:hAnsi="Palatino Linotype" w:cs="Arial"/>
          <w:b/>
          <w:color w:val="000000"/>
          <w:sz w:val="24"/>
          <w:lang w:val="es-ES" w:eastAsia="es-ES"/>
        </w:rPr>
        <w:t>EL RECURRENTE</w:t>
      </w:r>
      <w:r w:rsidRPr="00D23039">
        <w:rPr>
          <w:rFonts w:ascii="Palatino Linotype" w:hAnsi="Palatino Linotype" w:cs="Arial"/>
          <w:color w:val="000000"/>
          <w:sz w:val="24"/>
          <w:lang w:val="es-ES" w:eastAsia="es-ES"/>
        </w:rPr>
        <w:t xml:space="preserve"> en su inconformidad respecto de los puntos materia del presente análisis, resultan notoriamente improcedentes, pues este Órgano Garante se encuentra imposibilitado para satisfacer requerimientos que no fueron formulados en tiempo y forma.</w:t>
      </w:r>
    </w:p>
    <w:p w14:paraId="26DEDD95" w14:textId="77777777" w:rsidR="00932C55" w:rsidRPr="00D23039" w:rsidRDefault="00932C55" w:rsidP="00932C55">
      <w:pPr>
        <w:pStyle w:val="Prrafodelista"/>
        <w:spacing w:before="240" w:after="240" w:line="360" w:lineRule="auto"/>
        <w:ind w:left="0"/>
        <w:jc w:val="both"/>
        <w:rPr>
          <w:rFonts w:ascii="Palatino Linotype" w:hAnsi="Palatino Linotype" w:cs="Arial"/>
          <w:color w:val="000000"/>
          <w:sz w:val="24"/>
          <w:lang w:val="es-ES" w:eastAsia="es-ES"/>
        </w:rPr>
      </w:pPr>
    </w:p>
    <w:p w14:paraId="26DEDD96" w14:textId="77777777" w:rsidR="00932C55" w:rsidRPr="00D23039" w:rsidRDefault="00932C55" w:rsidP="00932C55">
      <w:pPr>
        <w:pStyle w:val="Prrafodelista"/>
        <w:numPr>
          <w:ilvl w:val="0"/>
          <w:numId w:val="1"/>
        </w:numPr>
        <w:shd w:val="clear" w:color="auto" w:fill="FFFFFF"/>
        <w:spacing w:before="240" w:after="240" w:line="360" w:lineRule="auto"/>
        <w:ind w:left="0" w:firstLine="0"/>
        <w:jc w:val="both"/>
        <w:rPr>
          <w:rFonts w:ascii="Palatino Linotype" w:hAnsi="Palatino Linotype" w:cs="Arial"/>
          <w:color w:val="000000"/>
          <w:sz w:val="24"/>
          <w:lang w:val="es-ES" w:eastAsia="es-ES"/>
        </w:rPr>
      </w:pPr>
      <w:r w:rsidRPr="00D23039">
        <w:rPr>
          <w:rFonts w:ascii="Palatino Linotype" w:hAnsi="Palatino Linotype" w:cs="Arial"/>
          <w:color w:val="000000"/>
          <w:sz w:val="24"/>
          <w:lang w:val="es-ES" w:eastAsia="es-ES"/>
        </w:rPr>
        <w:t xml:space="preserve">Tiene aplicación al respecto por analogía, la tesis aislada número I.8o.A.136 A, de la Novena Época, publicada en el Semanario Oficial de la Federación y su Gaceta </w:t>
      </w:r>
      <w:r w:rsidRPr="00D23039">
        <w:rPr>
          <w:rFonts w:ascii="Palatino Linotype" w:hAnsi="Palatino Linotype" w:cs="Arial"/>
          <w:color w:val="000000"/>
          <w:sz w:val="24"/>
          <w:lang w:val="es-ES" w:eastAsia="es-ES"/>
        </w:rPr>
        <w:lastRenderedPageBreak/>
        <w:t>Tomo XXIX, Marzo de 2009, página 2887, con número de registro 167607, que lleva por rubro y texto los siguientes:</w:t>
      </w:r>
    </w:p>
    <w:p w14:paraId="26DEDD97" w14:textId="77777777" w:rsidR="00932C55" w:rsidRPr="00D23039" w:rsidRDefault="00932C55" w:rsidP="00932C55">
      <w:pPr>
        <w:pStyle w:val="Prrafodelista"/>
        <w:shd w:val="clear" w:color="auto" w:fill="FFFFFF"/>
        <w:spacing w:before="240" w:after="240" w:line="360" w:lineRule="auto"/>
        <w:ind w:left="0"/>
        <w:jc w:val="both"/>
        <w:rPr>
          <w:rFonts w:ascii="Palatino Linotype" w:hAnsi="Palatino Linotype" w:cs="Arial"/>
          <w:color w:val="000000"/>
          <w:lang w:val="es-ES" w:eastAsia="es-ES"/>
        </w:rPr>
      </w:pPr>
    </w:p>
    <w:p w14:paraId="26DEDD98" w14:textId="77777777" w:rsidR="00932C55" w:rsidRDefault="00932C55" w:rsidP="00932C55">
      <w:pPr>
        <w:pStyle w:val="Prrafodelista"/>
        <w:shd w:val="clear" w:color="auto" w:fill="FFFFFF"/>
        <w:spacing w:line="360" w:lineRule="auto"/>
        <w:ind w:left="851" w:right="822"/>
        <w:jc w:val="both"/>
        <w:rPr>
          <w:rFonts w:ascii="Palatino Linotype" w:hAnsi="Palatino Linotype" w:cs="Arial"/>
          <w:b/>
          <w:i/>
          <w:iCs/>
          <w:color w:val="000000"/>
          <w:lang w:val="es-ES" w:eastAsia="es-ES"/>
        </w:rPr>
      </w:pPr>
      <w:r w:rsidRPr="00D23039">
        <w:rPr>
          <w:rFonts w:ascii="Palatino Linotype" w:hAnsi="Palatino Linotype" w:cs="Arial"/>
          <w:b/>
          <w:bCs/>
          <w:i/>
          <w:iCs/>
          <w:color w:val="000000"/>
          <w:lang w:val="es-ES" w:eastAsia="es-ES"/>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 </w:t>
      </w:r>
      <w:r w:rsidRPr="00D23039">
        <w:rPr>
          <w:rFonts w:ascii="Palatino Linotype" w:hAnsi="Palatino Linotype" w:cs="Arial"/>
          <w:i/>
          <w:iCs/>
          <w:color w:val="000000"/>
          <w:lang w:val="es-ES" w:eastAsia="es-ES"/>
        </w:rPr>
        <w:t>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r w:rsidRPr="00D23039">
        <w:rPr>
          <w:rFonts w:ascii="Palatino Linotype" w:hAnsi="Palatino Linotype" w:cs="Arial"/>
          <w:i/>
          <w:iCs/>
          <w:color w:val="000000"/>
          <w:lang w:val="es-ES" w:eastAsia="es-ES"/>
        </w:rPr>
        <w:br/>
      </w:r>
      <w:r w:rsidRPr="00D23039">
        <w:rPr>
          <w:rFonts w:ascii="Palatino Linotype" w:hAnsi="Palatino Linotype" w:cs="Arial"/>
          <w:i/>
          <w:iCs/>
          <w:color w:val="000000"/>
          <w:lang w:val="es-ES" w:eastAsia="es-ES"/>
        </w:rPr>
        <w:lastRenderedPageBreak/>
        <w:t>OCTAVO TRIBUNAL COLEGIADO EN MATERIA ADMINISTRATIVA DEL PRIMER CIRCUITO.</w:t>
      </w:r>
      <w:r w:rsidRPr="00D23039">
        <w:rPr>
          <w:rFonts w:ascii="Palatino Linotype" w:hAnsi="Palatino Linotype" w:cs="Arial"/>
          <w:b/>
          <w:i/>
          <w:iCs/>
          <w:color w:val="000000"/>
          <w:lang w:val="es-ES" w:eastAsia="es-ES"/>
        </w:rPr>
        <w:t>”</w:t>
      </w:r>
    </w:p>
    <w:p w14:paraId="26DEDD99" w14:textId="77777777" w:rsidR="00932C55" w:rsidRPr="00D23039" w:rsidRDefault="00932C55" w:rsidP="00932C55">
      <w:pPr>
        <w:pStyle w:val="Prrafodelista"/>
        <w:shd w:val="clear" w:color="auto" w:fill="FFFFFF"/>
        <w:spacing w:line="276" w:lineRule="auto"/>
        <w:ind w:left="851" w:right="822"/>
        <w:jc w:val="both"/>
        <w:rPr>
          <w:rFonts w:ascii="Palatino Linotype" w:hAnsi="Palatino Linotype" w:cs="Arial"/>
          <w:b/>
          <w:color w:val="000000"/>
          <w:lang w:val="es-ES" w:eastAsia="es-ES"/>
        </w:rPr>
      </w:pPr>
    </w:p>
    <w:p w14:paraId="26DEDD9A" w14:textId="77777777" w:rsidR="00932C55" w:rsidRPr="00D23039" w:rsidRDefault="00932C55" w:rsidP="00932C55">
      <w:pPr>
        <w:pStyle w:val="Prrafodelista"/>
        <w:numPr>
          <w:ilvl w:val="0"/>
          <w:numId w:val="1"/>
        </w:numPr>
        <w:shd w:val="clear" w:color="auto" w:fill="FFFFFF"/>
        <w:spacing w:before="240" w:after="240" w:line="360" w:lineRule="auto"/>
        <w:ind w:left="0" w:firstLine="0"/>
        <w:jc w:val="both"/>
        <w:rPr>
          <w:rFonts w:ascii="Palatino Linotype" w:hAnsi="Palatino Linotype" w:cs="Arial"/>
          <w:color w:val="000000"/>
          <w:sz w:val="24"/>
          <w:lang w:val="es-ES" w:eastAsia="es-ES"/>
        </w:rPr>
      </w:pPr>
      <w:r w:rsidRPr="00D23039">
        <w:rPr>
          <w:rFonts w:ascii="Palatino Linotype" w:hAnsi="Palatino Linotype" w:cs="Arial"/>
          <w:color w:val="000000"/>
          <w:sz w:val="24"/>
          <w:lang w:val="es-ES" w:eastAsia="es-ES"/>
        </w:rPr>
        <w:t xml:space="preserve">Así mismo ha sido criterio del Instituto Nacional de Transparencia, Acceso a la Información y Protección de Datos Personales bajo el número 27/10, que </w:t>
      </w:r>
      <w:r w:rsidRPr="00D23039">
        <w:rPr>
          <w:rFonts w:ascii="Palatino Linotype" w:hAnsi="Palatino Linotype" w:cs="Arial"/>
          <w:bCs/>
          <w:color w:val="000000"/>
          <w:sz w:val="24"/>
          <w:u w:val="single"/>
          <w:lang w:val="es-ES" w:eastAsia="es-ES"/>
        </w:rPr>
        <w:t>resulta improcedente ampliar las solicitudes de información pública</w:t>
      </w:r>
      <w:r w:rsidRPr="00D23039">
        <w:rPr>
          <w:rFonts w:ascii="Palatino Linotype" w:hAnsi="Palatino Linotype" w:cs="Arial"/>
          <w:color w:val="000000"/>
          <w:sz w:val="24"/>
          <w:u w:val="single"/>
          <w:lang w:val="es-ES" w:eastAsia="es-ES"/>
        </w:rPr>
        <w:t xml:space="preserve"> o de datos personales a través de la interposición del recurso de revisión</w:t>
      </w:r>
      <w:r w:rsidRPr="00D23039">
        <w:rPr>
          <w:rFonts w:ascii="Palatino Linotype" w:hAnsi="Palatino Linotype" w:cs="Arial"/>
          <w:color w:val="000000"/>
          <w:sz w:val="24"/>
          <w:lang w:val="es-ES" w:eastAsia="es-ES"/>
        </w:rPr>
        <w:t xml:space="preserve">, como se estima acontece en el presente asunto, al aumentar datos a la solicitud inicial, </w:t>
      </w:r>
      <w:r w:rsidRPr="00D23039">
        <w:rPr>
          <w:rFonts w:ascii="Palatino Linotype" w:hAnsi="Palatino Linotype" w:cs="Arial"/>
          <w:b/>
          <w:bCs/>
          <w:color w:val="000000"/>
          <w:sz w:val="24"/>
          <w:lang w:val="es-ES" w:eastAsia="es-ES"/>
        </w:rPr>
        <w:t>por lo que se insiste no se puede entrar al estudio de la información novedosa</w:t>
      </w:r>
      <w:r w:rsidRPr="00D23039">
        <w:rPr>
          <w:rFonts w:ascii="Palatino Linotype" w:hAnsi="Palatino Linotype" w:cs="Arial"/>
          <w:color w:val="000000"/>
          <w:sz w:val="24"/>
          <w:lang w:val="es-ES" w:eastAsia="es-ES"/>
        </w:rPr>
        <w:t>, criterio que es de la literalidad siguiente:</w:t>
      </w:r>
    </w:p>
    <w:p w14:paraId="26DEDD9B" w14:textId="77777777" w:rsidR="00932C55" w:rsidRPr="00D23039" w:rsidRDefault="00932C55" w:rsidP="00932C55">
      <w:pPr>
        <w:pStyle w:val="Prrafodelista"/>
        <w:shd w:val="clear" w:color="auto" w:fill="FFFFFF"/>
        <w:spacing w:before="240" w:after="240" w:line="360" w:lineRule="auto"/>
        <w:jc w:val="both"/>
        <w:rPr>
          <w:rFonts w:ascii="Palatino Linotype" w:hAnsi="Palatino Linotype" w:cs="Arial"/>
          <w:color w:val="000000"/>
          <w:lang w:val="es-ES" w:eastAsia="es-ES"/>
        </w:rPr>
      </w:pPr>
    </w:p>
    <w:p w14:paraId="26DEDD9C" w14:textId="77777777" w:rsidR="00932C55" w:rsidRPr="00D23039" w:rsidRDefault="00932C55" w:rsidP="00932C55">
      <w:pPr>
        <w:pStyle w:val="Prrafodelista"/>
        <w:shd w:val="clear" w:color="auto" w:fill="FFFFFF"/>
        <w:spacing w:before="240" w:after="240" w:line="360" w:lineRule="auto"/>
        <w:ind w:left="851" w:right="822"/>
        <w:jc w:val="both"/>
        <w:rPr>
          <w:rFonts w:ascii="Palatino Linotype" w:hAnsi="Palatino Linotype" w:cs="Arial"/>
          <w:color w:val="000000"/>
          <w:lang w:val="es-ES" w:eastAsia="es-ES"/>
        </w:rPr>
      </w:pPr>
      <w:r w:rsidRPr="00D23039">
        <w:rPr>
          <w:rFonts w:ascii="Palatino Linotype" w:hAnsi="Palatino Linotype" w:cs="Arial"/>
          <w:b/>
          <w:bCs/>
          <w:i/>
          <w:iCs/>
          <w:color w:val="000000"/>
          <w:lang w:val="es-ES" w:eastAsia="es-ES"/>
        </w:rPr>
        <w:t>“Es improcedente ampliar las solicitudes de acceso a información pública o datos personales, a través de la interposición del recurso de revisión.</w:t>
      </w:r>
      <w:r w:rsidRPr="00D23039">
        <w:rPr>
          <w:rFonts w:ascii="Palatino Linotype" w:hAnsi="Palatino Linotype" w:cs="Arial"/>
          <w:i/>
          <w:iCs/>
          <w:color w:val="000000"/>
          <w:lang w:val="es-ES" w:eastAsia="es-ES"/>
        </w:rPr>
        <w:t> En aquellos casos en los que los recurrentes amplíen los alcances de su solicitud de información o acceso a datos personales a través de su recurso de revisión, esta ampliación no podrá constituir materia del procedimiento a sustanciarse por el Instituto Federal de Acceso a la Información y Protección de Datos. Lo anterior, sin perjuicio de que los recurrentes puedan ejercer su derecho a realizar una nueva solicitud en términos de la Ley de la materia.</w:t>
      </w:r>
    </w:p>
    <w:p w14:paraId="26DEDD9D" w14:textId="77777777" w:rsidR="00932C55" w:rsidRDefault="00932C55" w:rsidP="00932C55">
      <w:pPr>
        <w:pStyle w:val="Prrafodelista"/>
        <w:shd w:val="clear" w:color="auto" w:fill="FFFFFF"/>
        <w:spacing w:before="240" w:after="240" w:line="360" w:lineRule="auto"/>
        <w:ind w:left="851" w:right="822"/>
        <w:jc w:val="both"/>
        <w:rPr>
          <w:rFonts w:ascii="Palatino Linotype" w:hAnsi="Palatino Linotype" w:cs="Arial"/>
          <w:b/>
          <w:i/>
          <w:iCs/>
          <w:color w:val="000000"/>
          <w:lang w:val="es-ES" w:eastAsia="es-ES"/>
        </w:rPr>
      </w:pPr>
      <w:r w:rsidRPr="00D23039">
        <w:rPr>
          <w:rFonts w:ascii="Palatino Linotype" w:hAnsi="Palatino Linotype" w:cs="Arial"/>
          <w:i/>
          <w:iCs/>
          <w:color w:val="000000"/>
          <w:lang w:val="es-ES" w:eastAsia="es-ES"/>
        </w:rPr>
        <w:t xml:space="preserve">Expedientes: 5871/08 Secretaría de Educación Pública – Alonso Gómez-Robledo Verduzco 3468/09 Instituto de Seguridad y Servicios Sociales de los Trabajadores del Estado - Ángel Trinidad Zaldívar 5417/09 Procuraduría General de la República - María </w:t>
      </w:r>
      <w:proofErr w:type="spellStart"/>
      <w:r w:rsidRPr="00D23039">
        <w:rPr>
          <w:rFonts w:ascii="Palatino Linotype" w:hAnsi="Palatino Linotype" w:cs="Arial"/>
          <w:i/>
          <w:iCs/>
          <w:color w:val="000000"/>
          <w:lang w:val="es-ES" w:eastAsia="es-ES"/>
        </w:rPr>
        <w:t>Marván</w:t>
      </w:r>
      <w:proofErr w:type="spellEnd"/>
      <w:r w:rsidRPr="00D23039">
        <w:rPr>
          <w:rFonts w:ascii="Palatino Linotype" w:hAnsi="Palatino Linotype" w:cs="Arial"/>
          <w:i/>
          <w:iCs/>
          <w:color w:val="000000"/>
          <w:lang w:val="es-ES" w:eastAsia="es-ES"/>
        </w:rPr>
        <w:t xml:space="preserve"> Laborde1523 1006/10 Instituto Mexicano del Seguro Social – Sigrid </w:t>
      </w:r>
      <w:proofErr w:type="spellStart"/>
      <w:r w:rsidRPr="00D23039">
        <w:rPr>
          <w:rFonts w:ascii="Palatino Linotype" w:hAnsi="Palatino Linotype" w:cs="Arial"/>
          <w:i/>
          <w:iCs/>
          <w:color w:val="000000"/>
          <w:lang w:val="es-ES" w:eastAsia="es-ES"/>
        </w:rPr>
        <w:t>Arzt</w:t>
      </w:r>
      <w:proofErr w:type="spellEnd"/>
      <w:r w:rsidRPr="00D23039">
        <w:rPr>
          <w:rFonts w:ascii="Palatino Linotype" w:hAnsi="Palatino Linotype" w:cs="Arial"/>
          <w:i/>
          <w:iCs/>
          <w:color w:val="000000"/>
          <w:lang w:val="es-ES" w:eastAsia="es-ES"/>
        </w:rPr>
        <w:t xml:space="preserve"> Colunga 1378/10 Instituto de Seguridad y Servicios Sociales de los Trabajadores del Estado – María Elena Pérez-Jaén Zermeño.</w:t>
      </w:r>
      <w:r w:rsidRPr="00D23039">
        <w:rPr>
          <w:rFonts w:ascii="Palatino Linotype" w:hAnsi="Palatino Linotype" w:cs="Arial"/>
          <w:b/>
          <w:i/>
          <w:iCs/>
          <w:color w:val="000000"/>
          <w:lang w:val="es-ES" w:eastAsia="es-ES"/>
        </w:rPr>
        <w:t>”</w:t>
      </w:r>
    </w:p>
    <w:p w14:paraId="26DEDD9E" w14:textId="77777777" w:rsidR="00932C55" w:rsidRPr="00D23039" w:rsidRDefault="00932C55" w:rsidP="00932C55">
      <w:pPr>
        <w:pStyle w:val="Prrafodelista"/>
        <w:shd w:val="clear" w:color="auto" w:fill="FFFFFF"/>
        <w:spacing w:before="240" w:after="240"/>
        <w:ind w:right="899"/>
        <w:jc w:val="both"/>
        <w:rPr>
          <w:rFonts w:ascii="Palatino Linotype" w:hAnsi="Palatino Linotype" w:cs="Arial"/>
          <w:b/>
          <w:color w:val="000000"/>
          <w:sz w:val="24"/>
          <w:lang w:val="es-ES" w:eastAsia="es-ES"/>
        </w:rPr>
      </w:pPr>
    </w:p>
    <w:p w14:paraId="26DEDD9F" w14:textId="77777777" w:rsidR="00932C55" w:rsidRPr="00D23039" w:rsidRDefault="00932C55" w:rsidP="00932C55">
      <w:pPr>
        <w:pStyle w:val="Prrafodelista"/>
        <w:numPr>
          <w:ilvl w:val="0"/>
          <w:numId w:val="1"/>
        </w:numPr>
        <w:spacing w:before="240" w:after="240" w:line="360" w:lineRule="auto"/>
        <w:ind w:left="0" w:firstLine="0"/>
        <w:jc w:val="both"/>
        <w:rPr>
          <w:rFonts w:ascii="Palatino Linotype" w:hAnsi="Palatino Linotype" w:cs="Arial"/>
          <w:color w:val="000000"/>
          <w:sz w:val="24"/>
          <w:lang w:val="es-ES" w:eastAsia="es-ES"/>
        </w:rPr>
      </w:pPr>
      <w:r w:rsidRPr="00D23039">
        <w:rPr>
          <w:rFonts w:ascii="Palatino Linotype" w:hAnsi="Palatino Linotype" w:cs="Arial"/>
          <w:color w:val="000000"/>
          <w:sz w:val="24"/>
          <w:lang w:val="es-ES" w:eastAsia="es-ES"/>
        </w:rPr>
        <w:lastRenderedPageBreak/>
        <w:t xml:space="preserve">En tal virtud, resulta procedente </w:t>
      </w:r>
      <w:r w:rsidRPr="00D23039">
        <w:rPr>
          <w:rFonts w:ascii="Palatino Linotype" w:hAnsi="Palatino Linotype" w:cs="Arial"/>
          <w:b/>
          <w:color w:val="000000"/>
          <w:sz w:val="24"/>
          <w:lang w:val="es-ES" w:eastAsia="es-ES"/>
        </w:rPr>
        <w:t>DESECHAR</w:t>
      </w:r>
      <w:r w:rsidRPr="00D23039">
        <w:rPr>
          <w:rFonts w:ascii="Palatino Linotype" w:hAnsi="Palatino Linotype" w:cs="Arial"/>
          <w:color w:val="000000"/>
          <w:sz w:val="24"/>
          <w:lang w:val="es-ES" w:eastAsia="es-ES"/>
        </w:rPr>
        <w:t xml:space="preserve"> el presente recurso, en términos del artículo 191, fracción VII de la de la Ley de Transparencia y Acceso a la Información Pública del Estado de México y Municipios, que literalmente establece:</w:t>
      </w:r>
    </w:p>
    <w:p w14:paraId="26DEDDA0" w14:textId="77777777" w:rsidR="00932C55" w:rsidRPr="00D23039" w:rsidRDefault="00932C55" w:rsidP="00932C55">
      <w:pPr>
        <w:pStyle w:val="Prrafodelista"/>
        <w:spacing w:before="240" w:after="240" w:line="360" w:lineRule="auto"/>
        <w:jc w:val="both"/>
        <w:rPr>
          <w:rFonts w:ascii="Palatino Linotype" w:hAnsi="Palatino Linotype" w:cs="Arial"/>
          <w:color w:val="000000"/>
          <w:lang w:val="es-ES" w:eastAsia="es-ES"/>
        </w:rPr>
      </w:pPr>
    </w:p>
    <w:p w14:paraId="26DEDDA1" w14:textId="77777777" w:rsidR="00932C55" w:rsidRDefault="00932C55" w:rsidP="00932C55">
      <w:pPr>
        <w:pStyle w:val="Prrafodelista"/>
        <w:spacing w:before="240" w:after="240" w:line="360" w:lineRule="auto"/>
        <w:ind w:right="901"/>
        <w:jc w:val="both"/>
        <w:rPr>
          <w:rFonts w:ascii="Palatino Linotype" w:hAnsi="Palatino Linotype" w:cs="Arial"/>
          <w:i/>
          <w:lang w:val="es-ES" w:eastAsia="es-ES"/>
        </w:rPr>
      </w:pPr>
      <w:r w:rsidRPr="00D23039">
        <w:rPr>
          <w:rFonts w:ascii="Palatino Linotype" w:hAnsi="Palatino Linotype" w:cs="Arial"/>
          <w:b/>
          <w:i/>
          <w:lang w:val="es-ES" w:eastAsia="es-ES"/>
        </w:rPr>
        <w:t xml:space="preserve">“Artículo 191. </w:t>
      </w:r>
      <w:r w:rsidRPr="00D23039">
        <w:rPr>
          <w:rFonts w:ascii="Palatino Linotype" w:hAnsi="Palatino Linotype" w:cs="Arial"/>
          <w:i/>
          <w:lang w:val="es-ES" w:eastAsia="es-ES"/>
        </w:rPr>
        <w:t>El recurso será desechado por improcedente cuando:</w:t>
      </w:r>
    </w:p>
    <w:p w14:paraId="26DEDDA2" w14:textId="77777777" w:rsidR="00932C55" w:rsidRPr="00D23039" w:rsidRDefault="00932C55" w:rsidP="00932C55">
      <w:pPr>
        <w:pStyle w:val="Prrafodelista"/>
        <w:spacing w:before="240" w:after="240" w:line="360" w:lineRule="auto"/>
        <w:ind w:right="901"/>
        <w:jc w:val="both"/>
        <w:rPr>
          <w:rFonts w:ascii="Palatino Linotype" w:hAnsi="Palatino Linotype" w:cs="Arial"/>
          <w:i/>
          <w:lang w:val="es-ES" w:eastAsia="es-ES"/>
        </w:rPr>
      </w:pPr>
      <w:r>
        <w:rPr>
          <w:rFonts w:ascii="Palatino Linotype" w:hAnsi="Palatino Linotype" w:cs="Arial"/>
          <w:b/>
          <w:i/>
          <w:lang w:val="es-ES" w:eastAsia="es-ES"/>
        </w:rPr>
        <w:t>…</w:t>
      </w:r>
    </w:p>
    <w:p w14:paraId="26DEDDA3" w14:textId="77777777" w:rsidR="00932C55" w:rsidRDefault="00932C55" w:rsidP="00932C55">
      <w:pPr>
        <w:pStyle w:val="Prrafodelista"/>
        <w:spacing w:before="240" w:after="240" w:line="360" w:lineRule="auto"/>
        <w:ind w:right="901"/>
        <w:jc w:val="both"/>
        <w:rPr>
          <w:rFonts w:ascii="Palatino Linotype" w:hAnsi="Palatino Linotype" w:cs="Arial"/>
          <w:i/>
          <w:lang w:val="es-ES" w:eastAsia="es-ES"/>
        </w:rPr>
      </w:pPr>
      <w:r w:rsidRPr="00D23039">
        <w:rPr>
          <w:rFonts w:ascii="Palatino Linotype" w:hAnsi="Palatino Linotype" w:cs="Arial"/>
          <w:b/>
          <w:i/>
          <w:lang w:val="es-ES" w:eastAsia="es-ES"/>
        </w:rPr>
        <w:t xml:space="preserve">VII. </w:t>
      </w:r>
      <w:r w:rsidRPr="00D23039">
        <w:rPr>
          <w:rFonts w:ascii="Palatino Linotype" w:hAnsi="Palatino Linotype" w:cs="Arial"/>
          <w:i/>
          <w:lang w:val="es-ES" w:eastAsia="es-ES"/>
        </w:rPr>
        <w:t>El recurrente amplíe su solicitud en el recurso de revisión, únicamente respecto de los nuevos contenidos.</w:t>
      </w:r>
    </w:p>
    <w:p w14:paraId="26DEDDA4" w14:textId="77777777" w:rsidR="00932C55" w:rsidRPr="00361093" w:rsidRDefault="00932C55" w:rsidP="00361093">
      <w:pPr>
        <w:pStyle w:val="Prrafodelista"/>
        <w:spacing w:before="240" w:after="240" w:line="360" w:lineRule="auto"/>
        <w:ind w:right="901"/>
        <w:jc w:val="both"/>
        <w:rPr>
          <w:rFonts w:ascii="Palatino Linotype" w:hAnsi="Palatino Linotype" w:cs="Arial"/>
          <w:b/>
          <w:i/>
          <w:lang w:val="es-ES" w:eastAsia="es-ES"/>
        </w:rPr>
      </w:pPr>
      <w:r>
        <w:rPr>
          <w:rFonts w:ascii="Palatino Linotype" w:hAnsi="Palatino Linotype" w:cs="Arial"/>
          <w:b/>
          <w:i/>
          <w:lang w:val="es-ES" w:eastAsia="es-ES"/>
        </w:rPr>
        <w:t>…</w:t>
      </w:r>
      <w:r w:rsidRPr="00D23039">
        <w:rPr>
          <w:rFonts w:ascii="Palatino Linotype" w:hAnsi="Palatino Linotype" w:cs="Arial"/>
          <w:b/>
          <w:i/>
          <w:lang w:val="es-ES" w:eastAsia="es-ES"/>
        </w:rPr>
        <w:t>”</w:t>
      </w:r>
    </w:p>
    <w:p w14:paraId="26DEDDA5" w14:textId="77777777" w:rsidR="00932C55" w:rsidRPr="00D23039" w:rsidRDefault="00932C55" w:rsidP="00932C55">
      <w:pPr>
        <w:pStyle w:val="Prrafodelista"/>
        <w:spacing w:before="240" w:after="240"/>
        <w:ind w:right="901"/>
        <w:jc w:val="both"/>
        <w:rPr>
          <w:rFonts w:ascii="Palatino Linotype" w:hAnsi="Palatino Linotype" w:cs="Arial"/>
          <w:i/>
          <w:lang w:val="es-ES" w:eastAsia="es-ES"/>
        </w:rPr>
      </w:pPr>
    </w:p>
    <w:p w14:paraId="26DEDDA6" w14:textId="77777777" w:rsidR="00932C55" w:rsidRPr="00D23039" w:rsidRDefault="00932C55" w:rsidP="00932C55">
      <w:pPr>
        <w:pStyle w:val="Prrafodelista"/>
        <w:numPr>
          <w:ilvl w:val="0"/>
          <w:numId w:val="1"/>
        </w:numPr>
        <w:spacing w:before="240" w:after="240" w:line="360" w:lineRule="auto"/>
        <w:ind w:left="0" w:firstLine="0"/>
        <w:jc w:val="both"/>
        <w:rPr>
          <w:rFonts w:ascii="Palatino Linotype" w:hAnsi="Palatino Linotype" w:cs="Arial"/>
          <w:color w:val="000000"/>
          <w:sz w:val="24"/>
          <w:lang w:val="es-ES" w:eastAsia="es-ES"/>
        </w:rPr>
      </w:pPr>
      <w:r w:rsidRPr="00D23039">
        <w:rPr>
          <w:rFonts w:ascii="Palatino Linotype" w:hAnsi="Palatino Linotype" w:cs="Arial"/>
          <w:color w:val="000000"/>
          <w:sz w:val="24"/>
          <w:lang w:val="es-ES" w:eastAsia="es-ES"/>
        </w:rPr>
        <w:t>No obstante lo anterior, se dejan a salvo los derechos del</w:t>
      </w:r>
      <w:r w:rsidRPr="00D23039">
        <w:rPr>
          <w:rFonts w:ascii="Palatino Linotype" w:hAnsi="Palatino Linotype" w:cs="Arial"/>
          <w:b/>
          <w:color w:val="000000"/>
          <w:sz w:val="24"/>
          <w:lang w:val="es-ES" w:eastAsia="es-ES"/>
        </w:rPr>
        <w:t xml:space="preserve"> RECURRENTE </w:t>
      </w:r>
      <w:r w:rsidRPr="00D23039">
        <w:rPr>
          <w:rFonts w:ascii="Palatino Linotype" w:hAnsi="Palatino Linotype" w:cs="Arial"/>
          <w:color w:val="000000"/>
          <w:sz w:val="24"/>
          <w:lang w:val="es-ES" w:eastAsia="es-ES"/>
        </w:rPr>
        <w:t>para ejercitar su derecho de acceso a la información pública, realizando una nueva solicitud respecto de la información requerida mediante el recurso de revisión.</w:t>
      </w:r>
    </w:p>
    <w:p w14:paraId="26DEDDA7" w14:textId="77777777" w:rsidR="00932C55" w:rsidRDefault="00932C55" w:rsidP="00932C55">
      <w:pPr>
        <w:pStyle w:val="Prrafodelista"/>
        <w:tabs>
          <w:tab w:val="left" w:pos="567"/>
        </w:tabs>
        <w:spacing w:line="360" w:lineRule="auto"/>
        <w:ind w:left="0"/>
        <w:jc w:val="both"/>
        <w:rPr>
          <w:rFonts w:ascii="Palatino Linotype" w:eastAsia="Calibri" w:hAnsi="Palatino Linotype" w:cs="Arial"/>
          <w:sz w:val="24"/>
        </w:rPr>
      </w:pPr>
    </w:p>
    <w:p w14:paraId="26DEDDA8" w14:textId="77777777" w:rsidR="00932C55" w:rsidRPr="004E0B02" w:rsidRDefault="00932C55" w:rsidP="00932C55">
      <w:pPr>
        <w:pStyle w:val="Prrafodelista"/>
        <w:numPr>
          <w:ilvl w:val="0"/>
          <w:numId w:val="1"/>
        </w:numPr>
        <w:tabs>
          <w:tab w:val="left" w:pos="567"/>
        </w:tabs>
        <w:spacing w:line="360" w:lineRule="auto"/>
        <w:ind w:left="0" w:firstLine="0"/>
        <w:jc w:val="both"/>
        <w:rPr>
          <w:rFonts w:ascii="Palatino Linotype" w:eastAsia="Calibri" w:hAnsi="Palatino Linotype" w:cs="Arial"/>
          <w:sz w:val="24"/>
        </w:rPr>
      </w:pPr>
      <w:r w:rsidRPr="004E0B02">
        <w:rPr>
          <w:rFonts w:ascii="Palatino Linotype" w:eastAsia="Calibri" w:hAnsi="Palatino Linotype" w:cs="Arial"/>
          <w:sz w:val="24"/>
        </w:rPr>
        <w:t>Al no actualizar ninguna causal de procedencia, el recurso de revisión deben ser desechados por improcedentes; sin embargo, una vez admitido, procederá el sobreseimiento de acuerdo a lo que establece el artículo 192 fracción IV, de la multicitada Ley de Transparencia:</w:t>
      </w:r>
    </w:p>
    <w:p w14:paraId="26DEDDA9" w14:textId="77777777" w:rsidR="00932C55" w:rsidRDefault="00932C55" w:rsidP="00932C55">
      <w:pPr>
        <w:pStyle w:val="Prrafodelista"/>
        <w:tabs>
          <w:tab w:val="left" w:pos="567"/>
        </w:tabs>
        <w:spacing w:line="360" w:lineRule="auto"/>
        <w:ind w:left="0"/>
        <w:jc w:val="both"/>
        <w:rPr>
          <w:rFonts w:ascii="Palatino Linotype" w:eastAsia="Calibri" w:hAnsi="Palatino Linotype" w:cs="Arial"/>
        </w:rPr>
      </w:pPr>
    </w:p>
    <w:p w14:paraId="26DEDDAA" w14:textId="77777777" w:rsidR="00932C55" w:rsidRPr="00DA1A2F" w:rsidRDefault="00932C55" w:rsidP="00932C55">
      <w:pPr>
        <w:pStyle w:val="Prrafodelista"/>
        <w:tabs>
          <w:tab w:val="left" w:pos="567"/>
        </w:tabs>
        <w:spacing w:line="360" w:lineRule="auto"/>
        <w:ind w:left="567" w:right="822"/>
        <w:jc w:val="both"/>
        <w:rPr>
          <w:rFonts w:ascii="Palatino Linotype" w:eastAsia="Calibri" w:hAnsi="Palatino Linotype" w:cs="Arial"/>
          <w:i/>
        </w:rPr>
      </w:pPr>
      <w:r w:rsidRPr="00DA1A2F">
        <w:rPr>
          <w:rFonts w:ascii="Palatino Linotype" w:hAnsi="Palatino Linotype"/>
          <w:i/>
        </w:rPr>
        <w:t>Artículo 192. El recurso será sobreseído, en todo o en parte, cuando una vez admitido, se actualicen alguno de los siguientes supuestos:</w:t>
      </w:r>
    </w:p>
    <w:p w14:paraId="26DEDDAB" w14:textId="77777777" w:rsidR="00932C55" w:rsidRPr="00DA1A2F" w:rsidRDefault="00932C55" w:rsidP="00932C55">
      <w:pPr>
        <w:pStyle w:val="Prrafodelista"/>
        <w:tabs>
          <w:tab w:val="left" w:pos="567"/>
        </w:tabs>
        <w:spacing w:line="360" w:lineRule="auto"/>
        <w:ind w:left="567" w:right="822"/>
        <w:jc w:val="both"/>
        <w:rPr>
          <w:rFonts w:ascii="Palatino Linotype" w:hAnsi="Palatino Linotype"/>
          <w:i/>
        </w:rPr>
      </w:pPr>
      <w:r w:rsidRPr="00DA1A2F">
        <w:rPr>
          <w:rFonts w:ascii="Palatino Linotype" w:hAnsi="Palatino Linotype"/>
          <w:i/>
        </w:rPr>
        <w:t xml:space="preserve">I. El recurrente se desista expresamente del recurso; </w:t>
      </w:r>
    </w:p>
    <w:p w14:paraId="26DEDDAC" w14:textId="77777777" w:rsidR="00932C55" w:rsidRPr="00DA1A2F" w:rsidRDefault="00932C55" w:rsidP="00932C55">
      <w:pPr>
        <w:pStyle w:val="Prrafodelista"/>
        <w:tabs>
          <w:tab w:val="left" w:pos="567"/>
        </w:tabs>
        <w:spacing w:line="360" w:lineRule="auto"/>
        <w:ind w:left="567" w:right="822"/>
        <w:jc w:val="both"/>
        <w:rPr>
          <w:rFonts w:ascii="Palatino Linotype" w:hAnsi="Palatino Linotype"/>
          <w:i/>
        </w:rPr>
      </w:pPr>
      <w:r w:rsidRPr="00DA1A2F">
        <w:rPr>
          <w:rFonts w:ascii="Palatino Linotype" w:hAnsi="Palatino Linotype"/>
          <w:i/>
        </w:rPr>
        <w:t xml:space="preserve">II. El recurrente fallezca o, tratándose de personas jurídicas colectivas, se disuelva; </w:t>
      </w:r>
    </w:p>
    <w:p w14:paraId="26DEDDAD" w14:textId="77777777" w:rsidR="00932C55" w:rsidRPr="00DA1A2F" w:rsidRDefault="00932C55" w:rsidP="00932C55">
      <w:pPr>
        <w:pStyle w:val="Prrafodelista"/>
        <w:tabs>
          <w:tab w:val="left" w:pos="567"/>
        </w:tabs>
        <w:spacing w:line="360" w:lineRule="auto"/>
        <w:ind w:left="567" w:right="822"/>
        <w:jc w:val="both"/>
        <w:rPr>
          <w:rFonts w:ascii="Palatino Linotype" w:hAnsi="Palatino Linotype"/>
          <w:i/>
        </w:rPr>
      </w:pPr>
      <w:r w:rsidRPr="00DA1A2F">
        <w:rPr>
          <w:rFonts w:ascii="Palatino Linotype" w:hAnsi="Palatino Linotype"/>
          <w:i/>
        </w:rPr>
        <w:t xml:space="preserve">III. El sujeto obligado responsable del acto lo modifique o revoque de tal manera que el recurso de revisión quede sin materia; </w:t>
      </w:r>
    </w:p>
    <w:p w14:paraId="26DEDDAE" w14:textId="77777777" w:rsidR="00932C55" w:rsidRPr="00DA1A2F" w:rsidRDefault="00932C55" w:rsidP="00932C55">
      <w:pPr>
        <w:pStyle w:val="Prrafodelista"/>
        <w:tabs>
          <w:tab w:val="left" w:pos="567"/>
        </w:tabs>
        <w:spacing w:line="360" w:lineRule="auto"/>
        <w:ind w:left="567" w:right="822"/>
        <w:jc w:val="both"/>
        <w:rPr>
          <w:rFonts w:ascii="Palatino Linotype" w:hAnsi="Palatino Linotype"/>
          <w:b/>
          <w:i/>
        </w:rPr>
      </w:pPr>
      <w:r w:rsidRPr="00DA1A2F">
        <w:rPr>
          <w:rFonts w:ascii="Palatino Linotype" w:hAnsi="Palatino Linotype"/>
          <w:b/>
          <w:i/>
        </w:rPr>
        <w:lastRenderedPageBreak/>
        <w:t xml:space="preserve">IV. Admitido el recurso de revisión, aparezca alguna causal de improcedencia en los términos de la presente Ley; y </w:t>
      </w:r>
    </w:p>
    <w:p w14:paraId="26DEDDAF" w14:textId="77777777" w:rsidR="00932C55" w:rsidRPr="00DA1A2F" w:rsidRDefault="00932C55" w:rsidP="00932C55">
      <w:pPr>
        <w:pStyle w:val="Prrafodelista"/>
        <w:tabs>
          <w:tab w:val="left" w:pos="567"/>
        </w:tabs>
        <w:spacing w:line="360" w:lineRule="auto"/>
        <w:ind w:left="567" w:right="822"/>
        <w:jc w:val="both"/>
        <w:rPr>
          <w:rFonts w:ascii="Palatino Linotype" w:eastAsia="Calibri" w:hAnsi="Palatino Linotype" w:cs="Arial"/>
          <w:i/>
        </w:rPr>
      </w:pPr>
      <w:r w:rsidRPr="00DA1A2F">
        <w:rPr>
          <w:rFonts w:ascii="Palatino Linotype" w:hAnsi="Palatino Linotype"/>
          <w:i/>
        </w:rPr>
        <w:t>V. Cuando por cualquier motivo quede sin materia el recurso.</w:t>
      </w:r>
    </w:p>
    <w:p w14:paraId="26DEDDB0" w14:textId="77777777" w:rsidR="00932C55" w:rsidRDefault="00932C55" w:rsidP="00932C55">
      <w:pPr>
        <w:pStyle w:val="Prrafodelista"/>
        <w:tabs>
          <w:tab w:val="left" w:pos="567"/>
        </w:tabs>
        <w:spacing w:line="360" w:lineRule="auto"/>
        <w:ind w:left="0"/>
        <w:jc w:val="both"/>
        <w:rPr>
          <w:rFonts w:ascii="Palatino Linotype" w:eastAsia="Calibri" w:hAnsi="Palatino Linotype" w:cs="Arial"/>
        </w:rPr>
      </w:pPr>
    </w:p>
    <w:p w14:paraId="26DEDDB1" w14:textId="77777777" w:rsidR="00932C55" w:rsidRPr="004E0B02" w:rsidRDefault="00932C55" w:rsidP="00932C55">
      <w:pPr>
        <w:pStyle w:val="Prrafodelista"/>
        <w:numPr>
          <w:ilvl w:val="0"/>
          <w:numId w:val="1"/>
        </w:numPr>
        <w:tabs>
          <w:tab w:val="left" w:pos="567"/>
        </w:tabs>
        <w:spacing w:line="360" w:lineRule="auto"/>
        <w:ind w:left="0" w:firstLine="0"/>
        <w:jc w:val="both"/>
        <w:rPr>
          <w:rFonts w:ascii="Palatino Linotype" w:eastAsia="Calibri" w:hAnsi="Palatino Linotype" w:cs="Arial"/>
          <w:sz w:val="24"/>
        </w:rPr>
      </w:pPr>
      <w:r w:rsidRPr="004E0B02">
        <w:rPr>
          <w:rFonts w:ascii="Palatino Linotype" w:eastAsia="Calibri" w:hAnsi="Palatino Linotype" w:cs="Arial"/>
          <w:sz w:val="24"/>
        </w:rPr>
        <w:t>Es así que, el recurso de revisión actualiza la causal de sobreseimiento establecida en la fracción IV del artículo 192, en rela</w:t>
      </w:r>
      <w:r>
        <w:rPr>
          <w:rFonts w:ascii="Palatino Linotype" w:eastAsia="Calibri" w:hAnsi="Palatino Linotype" w:cs="Arial"/>
          <w:sz w:val="24"/>
        </w:rPr>
        <w:t xml:space="preserve">ción a las fracciones III </w:t>
      </w:r>
      <w:r w:rsidRPr="004E0B02">
        <w:rPr>
          <w:rFonts w:ascii="Palatino Linotype" w:eastAsia="Calibri" w:hAnsi="Palatino Linotype" w:cs="Arial"/>
          <w:sz w:val="24"/>
        </w:rPr>
        <w:t>del artículo 191, ambos de la Ley de Transparencia y Acceso a la Información Pública del Estado de México y Municipios.</w:t>
      </w:r>
    </w:p>
    <w:p w14:paraId="26DEDDB2" w14:textId="77777777" w:rsidR="00932C55" w:rsidRPr="004E0B02" w:rsidRDefault="00932C55" w:rsidP="00932C55">
      <w:pPr>
        <w:pStyle w:val="Prrafodelista"/>
        <w:spacing w:line="360" w:lineRule="auto"/>
        <w:ind w:left="0"/>
        <w:jc w:val="both"/>
        <w:rPr>
          <w:rFonts w:ascii="Palatino Linotype" w:hAnsi="Palatino Linotype" w:cs="Arial"/>
          <w:sz w:val="24"/>
        </w:rPr>
      </w:pPr>
    </w:p>
    <w:p w14:paraId="26DEDDB3" w14:textId="77777777" w:rsidR="00932C55" w:rsidRPr="0053542C" w:rsidRDefault="00932C55" w:rsidP="00932C55">
      <w:pPr>
        <w:pStyle w:val="Prrafodelista"/>
        <w:numPr>
          <w:ilvl w:val="0"/>
          <w:numId w:val="1"/>
        </w:numPr>
        <w:spacing w:line="360" w:lineRule="auto"/>
        <w:ind w:left="0" w:firstLine="0"/>
        <w:jc w:val="both"/>
        <w:rPr>
          <w:rFonts w:ascii="Palatino Linotype" w:hAnsi="Palatino Linotype" w:cs="Arial"/>
          <w:sz w:val="24"/>
        </w:rPr>
      </w:pPr>
      <w:r w:rsidRPr="0053542C">
        <w:rPr>
          <w:rFonts w:ascii="Palatino Linotype" w:hAnsi="Palatino Linotype" w:cs="Arial"/>
          <w:color w:val="222222"/>
          <w:sz w:val="24"/>
          <w:lang w:val="es-ES_tradnl"/>
        </w:rPr>
        <w:t xml:space="preserve">Por lo anteriormente expuesto y fundado, este </w:t>
      </w:r>
      <w:r w:rsidRPr="0053542C">
        <w:rPr>
          <w:rFonts w:ascii="Palatino Linotype" w:hAnsi="Palatino Linotype" w:cs="Arial"/>
          <w:b/>
          <w:bCs/>
          <w:color w:val="222222"/>
          <w:sz w:val="24"/>
          <w:lang w:val="es-ES_tradnl"/>
        </w:rPr>
        <w:t>ÓRGANO GARANTE</w:t>
      </w:r>
      <w:r w:rsidRPr="0053542C">
        <w:rPr>
          <w:rFonts w:ascii="Palatino Linotype" w:hAnsi="Palatino Linotype" w:cs="Arial"/>
          <w:color w:val="222222"/>
          <w:sz w:val="24"/>
          <w:lang w:val="es-ES_tradnl"/>
        </w:rPr>
        <w:t xml:space="preserve"> emite los siguientes:</w:t>
      </w:r>
    </w:p>
    <w:p w14:paraId="26DEDDB4" w14:textId="77777777" w:rsidR="00932C55" w:rsidRDefault="00932C55" w:rsidP="00932C55">
      <w:pPr>
        <w:pStyle w:val="Prrafodelista"/>
        <w:tabs>
          <w:tab w:val="left" w:pos="426"/>
        </w:tabs>
        <w:spacing w:before="240" w:after="240" w:line="360" w:lineRule="auto"/>
        <w:ind w:left="0" w:right="49"/>
        <w:jc w:val="both"/>
        <w:rPr>
          <w:rFonts w:ascii="Palatino Linotype" w:eastAsia="MS Mincho" w:hAnsi="Palatino Linotype"/>
          <w:color w:val="000000"/>
        </w:rPr>
      </w:pPr>
    </w:p>
    <w:p w14:paraId="26DEDDB5" w14:textId="77777777" w:rsidR="00932C55" w:rsidRPr="005B2779" w:rsidRDefault="00932C55" w:rsidP="00932C55">
      <w:pPr>
        <w:pStyle w:val="Ttulo1"/>
        <w:spacing w:line="360" w:lineRule="auto"/>
        <w:jc w:val="center"/>
        <w:rPr>
          <w:rFonts w:ascii="Palatino Linotype" w:hAnsi="Palatino Linotype"/>
          <w:b/>
          <w:color w:val="000000" w:themeColor="text1"/>
          <w:sz w:val="28"/>
          <w:szCs w:val="24"/>
        </w:rPr>
      </w:pPr>
      <w:bookmarkStart w:id="10" w:name="_Toc61470701"/>
      <w:r w:rsidRPr="005B2779">
        <w:rPr>
          <w:rFonts w:ascii="Palatino Linotype" w:hAnsi="Palatino Linotype"/>
          <w:b/>
          <w:color w:val="000000" w:themeColor="text1"/>
          <w:sz w:val="28"/>
          <w:szCs w:val="24"/>
        </w:rPr>
        <w:t>R E S O L U T I V O S</w:t>
      </w:r>
      <w:bookmarkEnd w:id="5"/>
      <w:bookmarkEnd w:id="6"/>
      <w:bookmarkEnd w:id="7"/>
      <w:bookmarkEnd w:id="8"/>
      <w:bookmarkEnd w:id="10"/>
    </w:p>
    <w:p w14:paraId="26DEDDB6" w14:textId="77777777" w:rsidR="00932C55" w:rsidRDefault="00932C55" w:rsidP="00932C55">
      <w:pPr>
        <w:rPr>
          <w:lang w:eastAsia="en-US"/>
        </w:rPr>
      </w:pPr>
    </w:p>
    <w:p w14:paraId="26DEDDB7" w14:textId="391DF677" w:rsidR="00932C55" w:rsidRPr="0053542C" w:rsidRDefault="00932C55" w:rsidP="00932C55">
      <w:pPr>
        <w:spacing w:after="240" w:line="360" w:lineRule="auto"/>
        <w:jc w:val="both"/>
        <w:rPr>
          <w:rFonts w:ascii="Palatino Linotype" w:hAnsi="Palatino Linotype"/>
          <w:lang w:val="es-ES" w:eastAsia="es-ES"/>
        </w:rPr>
      </w:pPr>
      <w:r w:rsidRPr="0053542C">
        <w:rPr>
          <w:rFonts w:ascii="Palatino Linotype" w:hAnsi="Palatino Linotype"/>
          <w:b/>
          <w:lang w:val="es-ES" w:eastAsia="es-ES"/>
        </w:rPr>
        <w:t>PRIMERO.</w:t>
      </w:r>
      <w:r w:rsidRPr="0053542C">
        <w:rPr>
          <w:rFonts w:ascii="Palatino Linotype" w:hAnsi="Palatino Linotype"/>
          <w:lang w:val="es-ES" w:eastAsia="es-ES"/>
        </w:rPr>
        <w:t xml:space="preserve"> Se </w:t>
      </w:r>
      <w:r w:rsidRPr="0053542C">
        <w:rPr>
          <w:rFonts w:ascii="Palatino Linotype" w:hAnsi="Palatino Linotype"/>
          <w:b/>
          <w:lang w:val="es-ES" w:eastAsia="es-ES"/>
        </w:rPr>
        <w:t xml:space="preserve">SOBRESEE el </w:t>
      </w:r>
      <w:r w:rsidRPr="0053542C">
        <w:rPr>
          <w:rFonts w:ascii="Palatino Linotype" w:hAnsi="Palatino Linotype"/>
          <w:lang w:val="es-ES" w:eastAsia="es-ES"/>
        </w:rPr>
        <w:t xml:space="preserve">recurso de revisión número </w:t>
      </w:r>
      <w:r w:rsidR="00361093">
        <w:rPr>
          <w:rFonts w:ascii="Palatino Linotype" w:hAnsi="Palatino Linotype"/>
          <w:b/>
          <w:lang w:val="es-ES" w:eastAsia="es-ES"/>
        </w:rPr>
        <w:t>07893/INFOEM/IP/RR/2023</w:t>
      </w:r>
      <w:r w:rsidRPr="0053542C">
        <w:rPr>
          <w:rFonts w:ascii="Palatino Linotype" w:hAnsi="Palatino Linotype"/>
          <w:lang w:val="es-ES" w:eastAsia="es-ES"/>
        </w:rPr>
        <w:t xml:space="preserve">, conforme al artículo </w:t>
      </w:r>
      <w:r w:rsidRPr="0053542C">
        <w:rPr>
          <w:rFonts w:ascii="Palatino Linotype" w:hAnsi="Palatino Linotype"/>
          <w:b/>
          <w:lang w:val="es-ES" w:eastAsia="es-ES"/>
        </w:rPr>
        <w:t>192</w:t>
      </w:r>
      <w:r w:rsidR="007B1974">
        <w:rPr>
          <w:rFonts w:ascii="Palatino Linotype" w:hAnsi="Palatino Linotype"/>
          <w:b/>
          <w:lang w:val="es-ES" w:eastAsia="es-ES"/>
        </w:rPr>
        <w:t>,</w:t>
      </w:r>
      <w:r w:rsidRPr="0053542C">
        <w:rPr>
          <w:rFonts w:ascii="Palatino Linotype" w:hAnsi="Palatino Linotype"/>
          <w:b/>
          <w:lang w:val="es-ES" w:eastAsia="es-ES"/>
        </w:rPr>
        <w:t xml:space="preserve"> fracción IV</w:t>
      </w:r>
      <w:r w:rsidRPr="0053542C">
        <w:rPr>
          <w:rFonts w:ascii="Palatino Linotype" w:hAnsi="Palatino Linotype"/>
          <w:lang w:val="es-ES" w:eastAsia="es-ES"/>
        </w:rPr>
        <w:t xml:space="preserve">, de la Ley de Transparencia y Acceso a la Información Pública del Estado de México y Municipios, en términos del </w:t>
      </w:r>
      <w:r w:rsidRPr="0053542C">
        <w:rPr>
          <w:rFonts w:ascii="Palatino Linotype" w:hAnsi="Palatino Linotype"/>
          <w:b/>
          <w:lang w:val="es-ES" w:eastAsia="es-ES"/>
        </w:rPr>
        <w:t>Considerando TERCERO</w:t>
      </w:r>
      <w:r w:rsidRPr="0053542C">
        <w:rPr>
          <w:rFonts w:ascii="Palatino Linotype" w:hAnsi="Palatino Linotype"/>
          <w:lang w:val="es-ES" w:eastAsia="es-ES"/>
        </w:rPr>
        <w:t xml:space="preserve"> de la presente resolución.</w:t>
      </w:r>
    </w:p>
    <w:p w14:paraId="26DEDDB8" w14:textId="77777777" w:rsidR="00932C55" w:rsidRPr="0053542C" w:rsidRDefault="00932C55" w:rsidP="00932C55">
      <w:pPr>
        <w:pStyle w:val="Sinespaciado"/>
        <w:spacing w:after="240" w:line="360" w:lineRule="auto"/>
        <w:jc w:val="both"/>
        <w:rPr>
          <w:rFonts w:ascii="Palatino Linotype" w:eastAsia="Calibri" w:hAnsi="Palatino Linotype" w:cs="Arial"/>
          <w:b/>
          <w:bCs/>
          <w:lang w:val="es-ES"/>
        </w:rPr>
      </w:pPr>
      <w:r w:rsidRPr="0053542C">
        <w:rPr>
          <w:rFonts w:ascii="Palatino Linotype" w:eastAsia="Calibri" w:hAnsi="Palatino Linotype" w:cs="Arial"/>
          <w:b/>
          <w:bCs/>
          <w:lang w:val="es-ES"/>
        </w:rPr>
        <w:t xml:space="preserve">SEGUNDO. REMÍTASE </w:t>
      </w:r>
      <w:r w:rsidRPr="0053542C">
        <w:rPr>
          <w:rFonts w:ascii="Palatino Linotype" w:eastAsia="Calibri" w:hAnsi="Palatino Linotype" w:cs="Arial"/>
          <w:bCs/>
          <w:lang w:val="es-ES"/>
        </w:rPr>
        <w:t xml:space="preserve">a través del Sistema de Acceso a la Información Mexiquense </w:t>
      </w:r>
      <w:r w:rsidRPr="0053542C">
        <w:rPr>
          <w:rFonts w:ascii="Palatino Linotype" w:eastAsia="Calibri" w:hAnsi="Palatino Linotype" w:cs="Arial"/>
          <w:b/>
          <w:bCs/>
          <w:lang w:val="es-ES"/>
        </w:rPr>
        <w:t xml:space="preserve">(SAIMEX) </w:t>
      </w:r>
      <w:r w:rsidRPr="0053542C">
        <w:rPr>
          <w:rFonts w:ascii="Palatino Linotype" w:eastAsia="Calibri" w:hAnsi="Palatino Linotype" w:cs="Arial"/>
          <w:bCs/>
          <w:lang w:val="es-ES"/>
        </w:rPr>
        <w:t>la presente resolución al Titular de la Unidad de Transparencia del</w:t>
      </w:r>
      <w:r w:rsidRPr="0053542C">
        <w:rPr>
          <w:rFonts w:ascii="Palatino Linotype" w:eastAsia="Calibri" w:hAnsi="Palatino Linotype" w:cs="Arial"/>
          <w:b/>
          <w:bCs/>
          <w:lang w:val="es-ES"/>
        </w:rPr>
        <w:t xml:space="preserve"> SUJETO OBLIGADO. </w:t>
      </w:r>
    </w:p>
    <w:p w14:paraId="26DEDDB9" w14:textId="77777777" w:rsidR="00932C55" w:rsidRPr="0053542C" w:rsidRDefault="00932C55" w:rsidP="00932C55">
      <w:pPr>
        <w:pStyle w:val="Sinespaciado"/>
        <w:spacing w:after="240" w:line="360" w:lineRule="auto"/>
        <w:jc w:val="both"/>
        <w:rPr>
          <w:rFonts w:ascii="Palatino Linotype" w:hAnsi="Palatino Linotype"/>
          <w:color w:val="222222"/>
          <w:lang w:val="es-ES" w:eastAsia="es-MX"/>
        </w:rPr>
      </w:pPr>
      <w:r w:rsidRPr="0053542C">
        <w:rPr>
          <w:rFonts w:ascii="Palatino Linotype" w:hAnsi="Palatino Linotype" w:cs="Arial"/>
          <w:b/>
        </w:rPr>
        <w:t xml:space="preserve">TERCERO. </w:t>
      </w:r>
      <w:r w:rsidRPr="0053542C">
        <w:rPr>
          <w:rFonts w:ascii="Palatino Linotype" w:hAnsi="Palatino Linotype"/>
          <w:b/>
          <w:bCs/>
          <w:lang w:val="es-ES"/>
        </w:rPr>
        <w:t>Notifíquese al RECURRENTE</w:t>
      </w:r>
      <w:r w:rsidRPr="0053542C">
        <w:rPr>
          <w:rFonts w:ascii="Palatino Linotype" w:hAnsi="Palatino Linotype"/>
          <w:b/>
        </w:rPr>
        <w:t xml:space="preserve"> </w:t>
      </w:r>
      <w:r w:rsidRPr="0053542C">
        <w:rPr>
          <w:rFonts w:ascii="Palatino Linotype" w:hAnsi="Palatino Linotype"/>
          <w:color w:val="222222"/>
          <w:lang w:val="es-ES" w:eastAsia="es-MX"/>
        </w:rPr>
        <w:t>la presente resolución</w:t>
      </w:r>
      <w:r w:rsidR="00361093">
        <w:rPr>
          <w:rFonts w:ascii="Palatino Linotype" w:hAnsi="Palatino Linotype"/>
          <w:color w:val="222222"/>
          <w:lang w:val="es-ES" w:eastAsia="es-MX"/>
        </w:rPr>
        <w:t xml:space="preserve"> vía </w:t>
      </w:r>
      <w:r w:rsidR="00361093" w:rsidRPr="00361093">
        <w:rPr>
          <w:rFonts w:ascii="Palatino Linotype" w:hAnsi="Palatino Linotype"/>
          <w:b/>
          <w:color w:val="222222"/>
          <w:lang w:val="es-ES" w:eastAsia="es-MX"/>
        </w:rPr>
        <w:t>SAIMEX</w:t>
      </w:r>
      <w:r w:rsidRPr="0053542C">
        <w:rPr>
          <w:rFonts w:ascii="Palatino Linotype" w:hAnsi="Palatino Linotype"/>
          <w:color w:val="222222"/>
          <w:lang w:val="es-ES" w:eastAsia="es-MX"/>
        </w:rPr>
        <w:t>.</w:t>
      </w:r>
    </w:p>
    <w:p w14:paraId="26DEDDBA" w14:textId="77777777" w:rsidR="00932C55" w:rsidRPr="0053542C" w:rsidRDefault="00932C55" w:rsidP="00932C55">
      <w:pPr>
        <w:pStyle w:val="Prrafodelista"/>
        <w:spacing w:after="240" w:line="360" w:lineRule="auto"/>
        <w:ind w:left="0"/>
        <w:jc w:val="both"/>
        <w:rPr>
          <w:rFonts w:ascii="Palatino Linotype" w:eastAsia="MS Mincho" w:hAnsi="Palatino Linotype"/>
          <w:sz w:val="24"/>
          <w:lang w:val="es-ES" w:eastAsia="es-ES"/>
        </w:rPr>
      </w:pPr>
      <w:r w:rsidRPr="0053542C">
        <w:rPr>
          <w:rFonts w:ascii="Palatino Linotype" w:eastAsia="MS Mincho" w:hAnsi="Palatino Linotype"/>
          <w:b/>
          <w:sz w:val="24"/>
        </w:rPr>
        <w:lastRenderedPageBreak/>
        <w:t>CUARTO.</w:t>
      </w:r>
      <w:r w:rsidRPr="0053542C">
        <w:rPr>
          <w:rFonts w:ascii="Palatino Linotype" w:eastAsia="MS Mincho" w:hAnsi="Palatino Linotype"/>
          <w:sz w:val="24"/>
        </w:rPr>
        <w:t xml:space="preserve"> </w:t>
      </w:r>
      <w:r w:rsidRPr="0053542C">
        <w:rPr>
          <w:rFonts w:ascii="Palatino Linotype" w:eastAsia="MS Mincho" w:hAnsi="Palatino Linotype"/>
          <w:sz w:val="24"/>
          <w:lang w:val="es-ES"/>
        </w:rPr>
        <w:t xml:space="preserve">Se hace del conocimiento del </w:t>
      </w:r>
      <w:r w:rsidRPr="0053542C">
        <w:rPr>
          <w:rFonts w:ascii="Palatino Linotype" w:hAnsi="Palatino Linotype"/>
          <w:b/>
          <w:sz w:val="24"/>
        </w:rPr>
        <w:t xml:space="preserve">RECURRENTE </w:t>
      </w:r>
      <w:r w:rsidRPr="0053542C">
        <w:rPr>
          <w:rFonts w:ascii="Palatino Linotype" w:eastAsia="MS Mincho" w:hAnsi="Palatino Linotype"/>
          <w:sz w:val="24"/>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53542C">
        <w:rPr>
          <w:rFonts w:ascii="Palatino Linotype" w:eastAsia="MS Mincho" w:hAnsi="Palatino Linotype"/>
          <w:bCs/>
          <w:sz w:val="24"/>
          <w:lang w:val="es-ES"/>
        </w:rPr>
        <w:t xml:space="preserve">vía juicio de amparo </w:t>
      </w:r>
      <w:r w:rsidRPr="0053542C">
        <w:rPr>
          <w:rFonts w:ascii="Palatino Linotype" w:eastAsia="MS Mincho" w:hAnsi="Palatino Linotype"/>
          <w:sz w:val="24"/>
          <w:lang w:val="es-ES"/>
        </w:rPr>
        <w:t>en los términos de las leyes aplicables.</w:t>
      </w:r>
    </w:p>
    <w:p w14:paraId="47D133A9" w14:textId="77777777" w:rsidR="000D4247" w:rsidRPr="00E37AF3" w:rsidRDefault="000D4247" w:rsidP="000D4247">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hAnsi="Palatino Linotype"/>
        </w:rPr>
        <w:t>TRIGÉSIMA</w:t>
      </w:r>
      <w:r w:rsidRPr="00E37AF3">
        <w:rPr>
          <w:rFonts w:ascii="Palatino Linotype" w:hAnsi="Palatino Linotype"/>
        </w:rPr>
        <w:t xml:space="preserve"> SESIÓN ORDINARIA CELEBRADA EL </w:t>
      </w:r>
      <w:r>
        <w:rPr>
          <w:rFonts w:ascii="Palatino Linotype" w:hAnsi="Palatino Linotype"/>
        </w:rPr>
        <w:t>VEINTIOCHO</w:t>
      </w:r>
      <w:r w:rsidRPr="00E37AF3">
        <w:rPr>
          <w:rFonts w:ascii="Palatino Linotype" w:hAnsi="Palatino Linotype"/>
        </w:rPr>
        <w:t xml:space="preserve"> (</w:t>
      </w:r>
      <w:r>
        <w:rPr>
          <w:rFonts w:ascii="Palatino Linotype" w:hAnsi="Palatino Linotype"/>
        </w:rPr>
        <w:t>28</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26DEDDBC" w14:textId="77777777" w:rsidR="00932C55" w:rsidRPr="000D4247" w:rsidRDefault="00932C55" w:rsidP="00932C55">
      <w:pPr>
        <w:pStyle w:val="Prrafodelista"/>
        <w:spacing w:line="360" w:lineRule="auto"/>
        <w:ind w:left="0"/>
        <w:jc w:val="both"/>
        <w:rPr>
          <w:rFonts w:ascii="Palatino Linotype" w:hAnsi="Palatino Linotype" w:cs="Arial"/>
          <w:sz w:val="24"/>
          <w:lang w:eastAsia="es-ES"/>
        </w:rPr>
      </w:pPr>
    </w:p>
    <w:p w14:paraId="26DEDDBD" w14:textId="77777777" w:rsidR="00932C55" w:rsidRPr="00E95235" w:rsidRDefault="00932C55" w:rsidP="00932C55">
      <w:pPr>
        <w:pStyle w:val="Prrafodelista"/>
        <w:spacing w:line="360" w:lineRule="auto"/>
        <w:ind w:left="0"/>
        <w:jc w:val="both"/>
        <w:rPr>
          <w:rFonts w:ascii="Palatino Linotype" w:hAnsi="Palatino Linotype" w:cs="Arial"/>
          <w:sz w:val="24"/>
          <w:lang w:val="es-ES" w:eastAsia="es-ES"/>
        </w:rPr>
      </w:pPr>
    </w:p>
    <w:p w14:paraId="26DEDDBE" w14:textId="77777777" w:rsidR="00932C55" w:rsidRPr="00E95235" w:rsidRDefault="00932C55" w:rsidP="00932C55">
      <w:pPr>
        <w:spacing w:line="360" w:lineRule="auto"/>
        <w:ind w:right="49"/>
        <w:jc w:val="both"/>
        <w:rPr>
          <w:rFonts w:ascii="Palatino Linotype" w:eastAsiaTheme="minorEastAsia" w:hAnsi="Palatino Linotype" w:cs="Arial"/>
          <w:sz w:val="22"/>
          <w:szCs w:val="22"/>
          <w:lang w:val="es-ES_tradnl" w:eastAsia="es-ES"/>
        </w:rPr>
      </w:pPr>
    </w:p>
    <w:p w14:paraId="26DEDDBF" w14:textId="77777777" w:rsidR="00932C55" w:rsidRPr="00E95235" w:rsidRDefault="00932C55" w:rsidP="00932C55">
      <w:pPr>
        <w:spacing w:line="360" w:lineRule="auto"/>
        <w:ind w:right="49"/>
        <w:jc w:val="both"/>
        <w:rPr>
          <w:rFonts w:ascii="Palatino Linotype" w:eastAsiaTheme="minorEastAsia" w:hAnsi="Palatino Linotype" w:cs="Arial"/>
          <w:sz w:val="22"/>
          <w:szCs w:val="22"/>
          <w:lang w:val="es-ES_tradnl" w:eastAsia="es-ES"/>
        </w:rPr>
      </w:pPr>
    </w:p>
    <w:p w14:paraId="26DEDDC0" w14:textId="77777777" w:rsidR="00932C55" w:rsidRPr="00E95235" w:rsidRDefault="00932C55" w:rsidP="00932C55">
      <w:pPr>
        <w:spacing w:line="360" w:lineRule="auto"/>
        <w:ind w:right="49"/>
        <w:jc w:val="both"/>
        <w:rPr>
          <w:rFonts w:ascii="Palatino Linotype" w:eastAsiaTheme="minorEastAsia" w:hAnsi="Palatino Linotype" w:cs="Arial"/>
          <w:sz w:val="22"/>
          <w:szCs w:val="22"/>
          <w:lang w:val="es-ES_tradnl" w:eastAsia="es-ES"/>
        </w:rPr>
      </w:pPr>
    </w:p>
    <w:p w14:paraId="26DEDDC1" w14:textId="77777777" w:rsidR="00932C55" w:rsidRPr="00E95235" w:rsidRDefault="00932C55" w:rsidP="00932C55">
      <w:pPr>
        <w:spacing w:line="360" w:lineRule="auto"/>
        <w:rPr>
          <w:rFonts w:ascii="Palatino Linotype" w:hAnsi="Palatino Linotype"/>
          <w:sz w:val="22"/>
          <w:szCs w:val="22"/>
        </w:rPr>
      </w:pPr>
    </w:p>
    <w:p w14:paraId="26DEDDC2" w14:textId="77777777" w:rsidR="00932C55" w:rsidRPr="00E95235" w:rsidRDefault="00932C55" w:rsidP="00932C55">
      <w:pPr>
        <w:spacing w:line="360" w:lineRule="auto"/>
        <w:rPr>
          <w:rFonts w:ascii="Palatino Linotype" w:hAnsi="Palatino Linotype"/>
          <w:sz w:val="22"/>
          <w:szCs w:val="22"/>
        </w:rPr>
      </w:pPr>
    </w:p>
    <w:p w14:paraId="26DEDDC3" w14:textId="77777777" w:rsidR="00932C55" w:rsidRPr="00E95235" w:rsidRDefault="00932C55" w:rsidP="00932C55">
      <w:pPr>
        <w:spacing w:line="360" w:lineRule="auto"/>
        <w:rPr>
          <w:rFonts w:ascii="Palatino Linotype" w:hAnsi="Palatino Linotype"/>
          <w:sz w:val="22"/>
          <w:szCs w:val="22"/>
        </w:rPr>
      </w:pPr>
    </w:p>
    <w:p w14:paraId="26DEDDC4" w14:textId="77777777" w:rsidR="00932C55" w:rsidRPr="00E95235" w:rsidRDefault="00932C55" w:rsidP="00932C55">
      <w:pPr>
        <w:spacing w:line="360" w:lineRule="auto"/>
        <w:rPr>
          <w:rFonts w:ascii="Palatino Linotype" w:hAnsi="Palatino Linotype"/>
          <w:sz w:val="22"/>
          <w:szCs w:val="22"/>
        </w:rPr>
      </w:pPr>
    </w:p>
    <w:p w14:paraId="26DEDDC5" w14:textId="77777777" w:rsidR="00932C55" w:rsidRPr="00E95235" w:rsidRDefault="00932C55" w:rsidP="00932C55">
      <w:pPr>
        <w:spacing w:line="360" w:lineRule="auto"/>
        <w:rPr>
          <w:rFonts w:ascii="Palatino Linotype" w:hAnsi="Palatino Linotype"/>
          <w:sz w:val="22"/>
          <w:szCs w:val="22"/>
        </w:rPr>
      </w:pPr>
    </w:p>
    <w:p w14:paraId="26DEDDC6" w14:textId="77777777" w:rsidR="00932C55" w:rsidRPr="00E95235" w:rsidRDefault="00932C55" w:rsidP="00932C55">
      <w:pPr>
        <w:spacing w:line="360" w:lineRule="auto"/>
        <w:rPr>
          <w:rFonts w:ascii="Palatino Linotype" w:hAnsi="Palatino Linotype"/>
          <w:sz w:val="22"/>
          <w:szCs w:val="22"/>
        </w:rPr>
      </w:pPr>
    </w:p>
    <w:p w14:paraId="26DEDDC7" w14:textId="77777777" w:rsidR="00932C55" w:rsidRPr="00E95235" w:rsidRDefault="00932C55" w:rsidP="00932C55">
      <w:pPr>
        <w:spacing w:line="360" w:lineRule="auto"/>
        <w:rPr>
          <w:rFonts w:ascii="Palatino Linotype" w:hAnsi="Palatino Linotype"/>
          <w:sz w:val="22"/>
          <w:szCs w:val="22"/>
        </w:rPr>
      </w:pPr>
    </w:p>
    <w:p w14:paraId="26DEDDC8" w14:textId="77777777" w:rsidR="00932C55" w:rsidRPr="00E95235" w:rsidRDefault="00932C55" w:rsidP="00932C55">
      <w:pPr>
        <w:spacing w:line="360" w:lineRule="auto"/>
        <w:rPr>
          <w:rFonts w:ascii="Palatino Linotype" w:hAnsi="Palatino Linotype"/>
          <w:sz w:val="22"/>
          <w:szCs w:val="22"/>
        </w:rPr>
      </w:pPr>
    </w:p>
    <w:p w14:paraId="26DEDDC9" w14:textId="77777777" w:rsidR="00932C55" w:rsidRPr="00E95235" w:rsidRDefault="00932C55" w:rsidP="00932C55">
      <w:pPr>
        <w:spacing w:line="360" w:lineRule="auto"/>
        <w:rPr>
          <w:rFonts w:ascii="Palatino Linotype" w:hAnsi="Palatino Linotype"/>
          <w:sz w:val="22"/>
          <w:szCs w:val="22"/>
        </w:rPr>
      </w:pPr>
    </w:p>
    <w:p w14:paraId="26DEDDCA" w14:textId="77777777" w:rsidR="00932C55" w:rsidRPr="00E95235" w:rsidRDefault="00932C55" w:rsidP="00932C55">
      <w:pPr>
        <w:spacing w:line="360" w:lineRule="auto"/>
        <w:rPr>
          <w:rFonts w:ascii="Palatino Linotype" w:hAnsi="Palatino Linotype"/>
          <w:sz w:val="22"/>
          <w:szCs w:val="22"/>
        </w:rPr>
      </w:pPr>
    </w:p>
    <w:p w14:paraId="26DEDDCB" w14:textId="77777777" w:rsidR="00932C55" w:rsidRPr="00E95235" w:rsidRDefault="00932C55" w:rsidP="00932C55">
      <w:pPr>
        <w:spacing w:line="360" w:lineRule="auto"/>
        <w:rPr>
          <w:rFonts w:ascii="Palatino Linotype" w:hAnsi="Palatino Linotype"/>
          <w:sz w:val="22"/>
          <w:szCs w:val="22"/>
        </w:rPr>
      </w:pPr>
    </w:p>
    <w:p w14:paraId="26DEDDCC" w14:textId="77777777" w:rsidR="00932C55" w:rsidRPr="00E95235" w:rsidRDefault="00932C55" w:rsidP="00932C55">
      <w:pPr>
        <w:spacing w:line="360" w:lineRule="auto"/>
        <w:rPr>
          <w:rFonts w:ascii="Palatino Linotype" w:hAnsi="Palatino Linotype"/>
          <w:sz w:val="22"/>
          <w:szCs w:val="22"/>
        </w:rPr>
      </w:pPr>
    </w:p>
    <w:p w14:paraId="26DEDDCD" w14:textId="77777777" w:rsidR="00932C55" w:rsidRPr="00E95235" w:rsidRDefault="00932C55" w:rsidP="00932C55">
      <w:pPr>
        <w:spacing w:line="360" w:lineRule="auto"/>
        <w:rPr>
          <w:rFonts w:ascii="Palatino Linotype" w:hAnsi="Palatino Linotype"/>
          <w:sz w:val="22"/>
          <w:szCs w:val="22"/>
        </w:rPr>
      </w:pPr>
    </w:p>
    <w:p w14:paraId="26DEDDCE" w14:textId="77777777" w:rsidR="00932C55" w:rsidRPr="00E95235" w:rsidRDefault="00932C55" w:rsidP="00932C55">
      <w:pPr>
        <w:spacing w:line="360" w:lineRule="auto"/>
        <w:rPr>
          <w:rFonts w:ascii="Palatino Linotype" w:hAnsi="Palatino Linotype"/>
          <w:sz w:val="22"/>
          <w:szCs w:val="22"/>
        </w:rPr>
      </w:pPr>
    </w:p>
    <w:p w14:paraId="26DEDDCF" w14:textId="77777777" w:rsidR="00932C55" w:rsidRPr="00E95235" w:rsidRDefault="00932C55" w:rsidP="00932C55">
      <w:pPr>
        <w:spacing w:line="360" w:lineRule="auto"/>
        <w:rPr>
          <w:rFonts w:ascii="Palatino Linotype" w:hAnsi="Palatino Linotype"/>
          <w:sz w:val="22"/>
          <w:szCs w:val="22"/>
        </w:rPr>
      </w:pPr>
    </w:p>
    <w:p w14:paraId="26DEDDD0" w14:textId="77777777" w:rsidR="00932C55" w:rsidRPr="00E95235" w:rsidRDefault="00932C55" w:rsidP="00932C55">
      <w:pPr>
        <w:spacing w:line="360" w:lineRule="auto"/>
        <w:rPr>
          <w:rFonts w:ascii="Palatino Linotype" w:hAnsi="Palatino Linotype"/>
          <w:sz w:val="22"/>
          <w:szCs w:val="22"/>
        </w:rPr>
      </w:pPr>
    </w:p>
    <w:p w14:paraId="26DEDDD1" w14:textId="77777777" w:rsidR="00932C55" w:rsidRPr="00E95235" w:rsidRDefault="00932C55" w:rsidP="00932C55">
      <w:pPr>
        <w:spacing w:line="360" w:lineRule="auto"/>
        <w:rPr>
          <w:rFonts w:ascii="Palatino Linotype" w:hAnsi="Palatino Linotype"/>
          <w:sz w:val="22"/>
          <w:szCs w:val="22"/>
        </w:rPr>
      </w:pPr>
    </w:p>
    <w:p w14:paraId="26DEDDD2" w14:textId="77777777" w:rsidR="00932C55" w:rsidRPr="00E95235" w:rsidRDefault="00932C55" w:rsidP="00932C55">
      <w:pPr>
        <w:spacing w:line="360" w:lineRule="auto"/>
        <w:rPr>
          <w:rFonts w:ascii="Palatino Linotype" w:hAnsi="Palatino Linotype"/>
          <w:sz w:val="22"/>
          <w:szCs w:val="22"/>
        </w:rPr>
      </w:pPr>
    </w:p>
    <w:p w14:paraId="26DEDDD3" w14:textId="77777777" w:rsidR="00932C55" w:rsidRPr="00E95235" w:rsidRDefault="00932C55" w:rsidP="00932C55">
      <w:pPr>
        <w:spacing w:line="360" w:lineRule="auto"/>
        <w:rPr>
          <w:rFonts w:ascii="Palatino Linotype" w:hAnsi="Palatino Linotype"/>
          <w:sz w:val="22"/>
          <w:szCs w:val="22"/>
        </w:rPr>
      </w:pPr>
    </w:p>
    <w:p w14:paraId="26DEDDD4" w14:textId="77777777" w:rsidR="00932C55" w:rsidRPr="00E95235" w:rsidRDefault="00932C55" w:rsidP="00932C55">
      <w:pPr>
        <w:spacing w:line="360" w:lineRule="auto"/>
        <w:rPr>
          <w:rFonts w:ascii="Palatino Linotype" w:hAnsi="Palatino Linotype"/>
          <w:sz w:val="22"/>
          <w:szCs w:val="22"/>
        </w:rPr>
      </w:pPr>
    </w:p>
    <w:p w14:paraId="26DEDDD5" w14:textId="77777777" w:rsidR="00932C55" w:rsidRPr="00E95235" w:rsidRDefault="00932C55" w:rsidP="00932C55">
      <w:pPr>
        <w:spacing w:line="360" w:lineRule="auto"/>
        <w:rPr>
          <w:rFonts w:ascii="Palatino Linotype" w:hAnsi="Palatino Linotype"/>
          <w:sz w:val="22"/>
          <w:szCs w:val="22"/>
        </w:rPr>
      </w:pPr>
    </w:p>
    <w:p w14:paraId="26DEDDD6" w14:textId="77777777" w:rsidR="00932C55" w:rsidRPr="00E95235" w:rsidRDefault="00932C55" w:rsidP="00932C55">
      <w:pPr>
        <w:spacing w:line="360" w:lineRule="auto"/>
        <w:rPr>
          <w:rFonts w:ascii="Palatino Linotype" w:hAnsi="Palatino Linotype"/>
          <w:sz w:val="22"/>
          <w:szCs w:val="22"/>
        </w:rPr>
      </w:pPr>
    </w:p>
    <w:p w14:paraId="26DEDDD7" w14:textId="77777777" w:rsidR="00932C55" w:rsidRPr="00E95235" w:rsidRDefault="00932C55" w:rsidP="00932C55">
      <w:pPr>
        <w:spacing w:line="360" w:lineRule="auto"/>
        <w:rPr>
          <w:rFonts w:ascii="Palatino Linotype" w:hAnsi="Palatino Linotype"/>
          <w:sz w:val="22"/>
          <w:szCs w:val="22"/>
        </w:rPr>
      </w:pPr>
    </w:p>
    <w:p w14:paraId="26DEDDD8" w14:textId="77777777" w:rsidR="00932C55" w:rsidRPr="00E95235" w:rsidRDefault="00932C55" w:rsidP="00932C55">
      <w:pPr>
        <w:spacing w:line="360" w:lineRule="auto"/>
        <w:rPr>
          <w:rFonts w:ascii="Palatino Linotype" w:hAnsi="Palatino Linotype"/>
          <w:sz w:val="22"/>
          <w:szCs w:val="22"/>
        </w:rPr>
      </w:pPr>
    </w:p>
    <w:p w14:paraId="26DEDDD9" w14:textId="77777777" w:rsidR="00932C55" w:rsidRPr="00E95235" w:rsidRDefault="00932C55" w:rsidP="00932C55">
      <w:pPr>
        <w:spacing w:line="360" w:lineRule="auto"/>
        <w:rPr>
          <w:rFonts w:ascii="Palatino Linotype" w:hAnsi="Palatino Linotype"/>
          <w:sz w:val="22"/>
          <w:szCs w:val="22"/>
        </w:rPr>
      </w:pPr>
    </w:p>
    <w:p w14:paraId="26DEDDDA" w14:textId="77777777" w:rsidR="00932C55" w:rsidRPr="00E95235" w:rsidRDefault="00932C55" w:rsidP="00932C55">
      <w:pPr>
        <w:spacing w:line="360" w:lineRule="auto"/>
        <w:rPr>
          <w:rFonts w:ascii="Palatino Linotype" w:hAnsi="Palatino Linotype"/>
          <w:sz w:val="22"/>
          <w:szCs w:val="22"/>
        </w:rPr>
      </w:pPr>
    </w:p>
    <w:p w14:paraId="26DEDDDB" w14:textId="77777777" w:rsidR="00932C55" w:rsidRPr="00E95235" w:rsidRDefault="00932C55" w:rsidP="00932C55">
      <w:pPr>
        <w:spacing w:line="360" w:lineRule="auto"/>
        <w:rPr>
          <w:rFonts w:ascii="Palatino Linotype" w:hAnsi="Palatino Linotype"/>
          <w:sz w:val="22"/>
          <w:szCs w:val="22"/>
        </w:rPr>
      </w:pPr>
    </w:p>
    <w:p w14:paraId="26DEDDDC" w14:textId="77777777" w:rsidR="00932C55" w:rsidRPr="00E95235" w:rsidRDefault="00932C55" w:rsidP="00932C55">
      <w:pPr>
        <w:spacing w:line="360" w:lineRule="auto"/>
        <w:rPr>
          <w:rFonts w:ascii="Palatino Linotype" w:hAnsi="Palatino Linotype"/>
          <w:sz w:val="22"/>
          <w:szCs w:val="22"/>
        </w:rPr>
      </w:pPr>
    </w:p>
    <w:p w14:paraId="26DEDDDD" w14:textId="77777777" w:rsidR="00932C55" w:rsidRPr="00E95235" w:rsidRDefault="00932C55" w:rsidP="00932C55">
      <w:pPr>
        <w:spacing w:line="360" w:lineRule="auto"/>
        <w:rPr>
          <w:rFonts w:ascii="Palatino Linotype" w:hAnsi="Palatino Linotype"/>
          <w:sz w:val="22"/>
          <w:szCs w:val="22"/>
        </w:rPr>
      </w:pPr>
    </w:p>
    <w:p w14:paraId="26DEDDDE" w14:textId="77777777" w:rsidR="00932C55" w:rsidRPr="00E95235" w:rsidRDefault="00932C55" w:rsidP="00932C55">
      <w:pPr>
        <w:spacing w:line="360" w:lineRule="auto"/>
        <w:rPr>
          <w:rFonts w:ascii="Palatino Linotype" w:hAnsi="Palatino Linotype"/>
          <w:sz w:val="22"/>
          <w:szCs w:val="22"/>
        </w:rPr>
      </w:pPr>
    </w:p>
    <w:p w14:paraId="26DEDDE4" w14:textId="77777777" w:rsidR="00932C55" w:rsidRPr="00E95235" w:rsidRDefault="00932C55" w:rsidP="00932C55">
      <w:pPr>
        <w:spacing w:line="360" w:lineRule="auto"/>
        <w:rPr>
          <w:rFonts w:ascii="Palatino Linotype" w:hAnsi="Palatino Linotype"/>
          <w:sz w:val="22"/>
          <w:szCs w:val="22"/>
        </w:rPr>
      </w:pPr>
    </w:p>
    <w:p w14:paraId="4420BE2F" w14:textId="527ED632" w:rsidR="00E45094" w:rsidRPr="001919FD" w:rsidRDefault="00E45094" w:rsidP="001919FD">
      <w:pPr>
        <w:tabs>
          <w:tab w:val="left" w:pos="2940"/>
        </w:tabs>
      </w:pPr>
    </w:p>
    <w:sectPr w:rsidR="00E45094" w:rsidRPr="001919FD" w:rsidSect="00CD4BB5">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B410" w14:textId="77777777" w:rsidR="00E50E79" w:rsidRDefault="00E50E79" w:rsidP="00932C55">
      <w:r>
        <w:separator/>
      </w:r>
    </w:p>
  </w:endnote>
  <w:endnote w:type="continuationSeparator" w:id="0">
    <w:p w14:paraId="5A24CAFF" w14:textId="77777777" w:rsidR="00E50E79" w:rsidRDefault="00E50E79" w:rsidP="0093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DE0B" w14:textId="77777777" w:rsidR="00CD4BB5" w:rsidRDefault="00CD4BB5">
    <w:pPr>
      <w:pStyle w:val="Piedepgina"/>
      <w:jc w:val="right"/>
    </w:pPr>
    <w:r>
      <w:rPr>
        <w:lang w:val="es-ES"/>
      </w:rPr>
      <w:t xml:space="preserve">Página </w:t>
    </w:r>
    <w:r>
      <w:rPr>
        <w:b/>
        <w:bCs/>
      </w:rPr>
      <w:fldChar w:fldCharType="begin"/>
    </w:r>
    <w:r>
      <w:rPr>
        <w:b/>
        <w:bCs/>
      </w:rPr>
      <w:instrText>PAGE</w:instrText>
    </w:r>
    <w:r>
      <w:rPr>
        <w:b/>
        <w:bCs/>
      </w:rPr>
      <w:fldChar w:fldCharType="separate"/>
    </w:r>
    <w:r w:rsidR="001919FD">
      <w:rPr>
        <w:b/>
        <w:bCs/>
        <w:noProof/>
      </w:rPr>
      <w:t>18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919FD">
      <w:rPr>
        <w:b/>
        <w:bCs/>
        <w:noProof/>
      </w:rPr>
      <w:t>18</w:t>
    </w:r>
    <w:r>
      <w:rPr>
        <w:b/>
        <w:bCs/>
      </w:rPr>
      <w:fldChar w:fldCharType="end"/>
    </w:r>
  </w:p>
  <w:p w14:paraId="26DEDE0C" w14:textId="77777777" w:rsidR="00CD4BB5" w:rsidRDefault="00CD4B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DE1E" w14:textId="77777777" w:rsidR="00CD4BB5" w:rsidRDefault="00CD4BB5">
    <w:pPr>
      <w:pStyle w:val="Piedepgina"/>
      <w:jc w:val="right"/>
    </w:pPr>
    <w:r>
      <w:rPr>
        <w:lang w:val="es-ES"/>
      </w:rPr>
      <w:t xml:space="preserve">Página </w:t>
    </w:r>
    <w:r>
      <w:rPr>
        <w:b/>
        <w:bCs/>
      </w:rPr>
      <w:fldChar w:fldCharType="begin"/>
    </w:r>
    <w:r>
      <w:rPr>
        <w:b/>
        <w:bCs/>
      </w:rPr>
      <w:instrText>PAGE</w:instrText>
    </w:r>
    <w:r>
      <w:rPr>
        <w:b/>
        <w:bCs/>
      </w:rPr>
      <w:fldChar w:fldCharType="separate"/>
    </w:r>
    <w:r w:rsidR="001919FD">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919FD">
      <w:rPr>
        <w:b/>
        <w:bCs/>
        <w:noProof/>
      </w:rPr>
      <w:t>18</w:t>
    </w:r>
    <w:r>
      <w:rPr>
        <w:b/>
        <w:bCs/>
      </w:rPr>
      <w:fldChar w:fldCharType="end"/>
    </w:r>
  </w:p>
  <w:p w14:paraId="26DEDE1F" w14:textId="77777777" w:rsidR="00CD4BB5" w:rsidRDefault="00CD4B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F6D4" w14:textId="77777777" w:rsidR="00E50E79" w:rsidRDefault="00E50E79" w:rsidP="00932C55">
      <w:r>
        <w:separator/>
      </w:r>
    </w:p>
  </w:footnote>
  <w:footnote w:type="continuationSeparator" w:id="0">
    <w:p w14:paraId="644DB30E" w14:textId="77777777" w:rsidR="00E50E79" w:rsidRDefault="00E50E79" w:rsidP="00932C55">
      <w:r>
        <w:continuationSeparator/>
      </w:r>
    </w:p>
  </w:footnote>
  <w:footnote w:id="1">
    <w:p w14:paraId="26DEDE23" w14:textId="77777777" w:rsidR="00CD4BB5" w:rsidRPr="00777397" w:rsidRDefault="00CD4BB5" w:rsidP="00932C55">
      <w:pPr>
        <w:pStyle w:val="Textonotapie"/>
        <w:jc w:val="both"/>
        <w:rPr>
          <w:rFonts w:ascii="Palatino Linotype" w:hAnsi="Palatino Linotype"/>
          <w:sz w:val="18"/>
        </w:rPr>
      </w:pPr>
      <w:r w:rsidRPr="00F5102E">
        <w:rPr>
          <w:rStyle w:val="Refdenotaalpie"/>
          <w:rFonts w:ascii="Palatino Linotype" w:hAnsi="Palatino Linotype"/>
        </w:rPr>
        <w:footnoteRef/>
      </w:r>
      <w:r w:rsidRPr="00F5102E">
        <w:rPr>
          <w:rFonts w:ascii="Palatino Linotype" w:hAnsi="Palatino Linotype"/>
        </w:rPr>
        <w:t xml:space="preserve"> </w:t>
      </w:r>
      <w:r w:rsidRPr="00777397">
        <w:rPr>
          <w:rFonts w:ascii="Palatino Linotype" w:hAnsi="Palatino Linotype"/>
          <w:b/>
          <w:sz w:val="18"/>
        </w:rPr>
        <w:t>Artículo 9.</w:t>
      </w:r>
      <w:r w:rsidRPr="00777397">
        <w:rPr>
          <w:rFonts w:ascii="Palatino Linotype" w:hAnsi="Palatino Linotype"/>
          <w:sz w:val="18"/>
        </w:rPr>
        <w:t xml:space="preserve"> El Instituto deberá regir su funcionamiento de acuerdo a los siguientes principios:</w:t>
      </w:r>
    </w:p>
    <w:p w14:paraId="26DEDE24" w14:textId="77777777" w:rsidR="00CD4BB5" w:rsidRPr="00777397" w:rsidRDefault="00CD4BB5" w:rsidP="00932C55">
      <w:pPr>
        <w:pStyle w:val="Textonotapie"/>
        <w:jc w:val="both"/>
        <w:rPr>
          <w:rFonts w:ascii="Palatino Linotype" w:hAnsi="Palatino Linotype"/>
          <w:sz w:val="18"/>
        </w:rPr>
      </w:pPr>
      <w:r w:rsidRPr="00777397">
        <w:rPr>
          <w:rFonts w:ascii="Palatino Linotype" w:hAnsi="Palatino Linotype"/>
          <w:sz w:val="18"/>
        </w:rPr>
        <w:t>(…)</w:t>
      </w:r>
    </w:p>
    <w:p w14:paraId="26DEDE25" w14:textId="77777777" w:rsidR="00CD4BB5" w:rsidRPr="00777397" w:rsidRDefault="00CD4BB5" w:rsidP="00932C55">
      <w:pPr>
        <w:pStyle w:val="Textonotapie"/>
        <w:jc w:val="both"/>
        <w:rPr>
          <w:rFonts w:ascii="Palatino Linotype" w:hAnsi="Palatino Linotype"/>
          <w:sz w:val="18"/>
          <w:lang w:val="es-ES"/>
        </w:rPr>
      </w:pPr>
      <w:r w:rsidRPr="00777397">
        <w:rPr>
          <w:rFonts w:ascii="Palatino Linotype" w:hAnsi="Palatino Linotype"/>
          <w:b/>
          <w:sz w:val="18"/>
          <w:lang w:val="es-ES"/>
        </w:rPr>
        <w:t>II. Eficacia:</w:t>
      </w:r>
      <w:r w:rsidRPr="00777397">
        <w:rPr>
          <w:rFonts w:ascii="Palatino Linotype" w:hAnsi="Palatino Linotype"/>
          <w:sz w:val="18"/>
          <w:lang w:val="es-ES"/>
        </w:rPr>
        <w:t xml:space="preserve"> Obligación del Instituto para tutelar, de manera efectiva, el derecho de acceso a la información</w:t>
      </w:r>
    </w:p>
    <w:p w14:paraId="26DEDE26" w14:textId="77777777" w:rsidR="00CD4BB5" w:rsidRPr="00777397" w:rsidRDefault="00CD4BB5" w:rsidP="00932C55">
      <w:pPr>
        <w:pStyle w:val="Textonotapie"/>
        <w:jc w:val="both"/>
        <w:rPr>
          <w:rFonts w:ascii="Palatino Linotype" w:hAnsi="Palatino Linotype"/>
          <w:sz w:val="18"/>
          <w:lang w:val="es-ES"/>
        </w:rPr>
      </w:pPr>
      <w:r w:rsidRPr="00777397">
        <w:rPr>
          <w:rFonts w:ascii="Palatino Linotype" w:hAnsi="Palatino Linotype"/>
          <w:sz w:val="18"/>
          <w:lang w:val="es-ES"/>
        </w:rPr>
        <w:t>(…)</w:t>
      </w:r>
    </w:p>
    <w:p w14:paraId="26DEDE27" w14:textId="77777777" w:rsidR="00CD4BB5" w:rsidRDefault="00CD4BB5" w:rsidP="00932C55">
      <w:pPr>
        <w:pStyle w:val="Textonotapie"/>
        <w:jc w:val="both"/>
      </w:pPr>
      <w:r w:rsidRPr="00777397">
        <w:rPr>
          <w:rFonts w:ascii="Palatino Linotype" w:hAnsi="Palatino Linotype"/>
          <w:b/>
          <w:sz w:val="18"/>
          <w:lang w:val="es-ES"/>
        </w:rPr>
        <w:t>IX. Profesionalismo:</w:t>
      </w:r>
      <w:r w:rsidRPr="00777397">
        <w:rPr>
          <w:rFonts w:ascii="Palatino Linotype" w:hAnsi="Palatino Linotype"/>
          <w:sz w:val="18"/>
          <w:lang w:val="es-ES"/>
        </w:rPr>
        <w:t xml:space="preserve"> Los servidores públicos que laboren en el Instituto deberán sujetar su actuación a conocimientos técnicos, teóricos y metodológicos que garanticen un desempeño eficiente y eficaz en el ejercicio de la función pública que tienen encomendada; 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DDFB" w14:textId="77777777" w:rsidR="00CD4BB5" w:rsidRDefault="00E50E79">
    <w:pPr>
      <w:pStyle w:val="Encabezado"/>
    </w:pPr>
    <w:r>
      <w:rPr>
        <w:noProof/>
      </w:rPr>
      <w:pict w14:anchorId="26DED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CD4BB5" w:rsidRPr="005C106F" w14:paraId="26DEDE09" w14:textId="77777777" w:rsidTr="00CD4BB5">
      <w:trPr>
        <w:trHeight w:val="1435"/>
      </w:trPr>
      <w:tc>
        <w:tcPr>
          <w:tcW w:w="2268" w:type="dxa"/>
          <w:shd w:val="clear" w:color="auto" w:fill="auto"/>
        </w:tcPr>
        <w:p w14:paraId="26DEDDFC" w14:textId="77777777" w:rsidR="00CD4BB5" w:rsidRPr="005C106F" w:rsidRDefault="00CD4BB5" w:rsidP="00CD4BB5">
          <w:pPr>
            <w:tabs>
              <w:tab w:val="right" w:pos="4273"/>
            </w:tabs>
            <w:rPr>
              <w:rFonts w:ascii="Garamond" w:eastAsia="Calibri" w:hAnsi="Garamond"/>
              <w:sz w:val="16"/>
              <w:szCs w:val="16"/>
              <w:lang w:eastAsia="en-US"/>
            </w:rPr>
          </w:pPr>
        </w:p>
      </w:tc>
      <w:tc>
        <w:tcPr>
          <w:tcW w:w="6946" w:type="dxa"/>
          <w:shd w:val="clear" w:color="auto" w:fill="auto"/>
        </w:tcPr>
        <w:p w14:paraId="26DEDDFD" w14:textId="77777777" w:rsidR="00CD4BB5" w:rsidRDefault="00CD4BB5" w:rsidP="00CD4BB5"/>
        <w:tbl>
          <w:tblPr>
            <w:tblW w:w="6662" w:type="dxa"/>
            <w:tblInd w:w="40" w:type="dxa"/>
            <w:tblLayout w:type="fixed"/>
            <w:tblLook w:val="0420" w:firstRow="1" w:lastRow="0" w:firstColumn="0" w:lastColumn="0" w:noHBand="0" w:noVBand="1"/>
          </w:tblPr>
          <w:tblGrid>
            <w:gridCol w:w="2551"/>
            <w:gridCol w:w="4111"/>
          </w:tblGrid>
          <w:tr w:rsidR="00CD4BB5" w14:paraId="26DEDE00" w14:textId="77777777" w:rsidTr="00CD4BB5">
            <w:trPr>
              <w:trHeight w:val="150"/>
            </w:trPr>
            <w:tc>
              <w:tcPr>
                <w:tcW w:w="2551" w:type="dxa"/>
                <w:shd w:val="clear" w:color="auto" w:fill="auto"/>
              </w:tcPr>
              <w:p w14:paraId="26DEDDFE" w14:textId="77777777" w:rsidR="00CD4BB5" w:rsidRPr="00020E73" w:rsidRDefault="00CD4BB5" w:rsidP="00CD4BB5">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26DEDDFF" w14:textId="77777777" w:rsidR="00CD4BB5" w:rsidRPr="00020E73" w:rsidRDefault="00CD4BB5" w:rsidP="00CD4BB5">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07893/INFOEM/IP/RR/2023</w:t>
                </w:r>
                <w:r w:rsidRPr="009E7B0A">
                  <w:rPr>
                    <w:rFonts w:ascii="Palatino Linotype" w:eastAsia="Calibri" w:hAnsi="Palatino Linotype" w:cs="Tahoma"/>
                    <w:b/>
                    <w:bCs/>
                    <w:sz w:val="22"/>
                    <w:szCs w:val="22"/>
                    <w:lang w:eastAsia="en-US"/>
                  </w:rPr>
                  <w:t xml:space="preserve"> </w:t>
                </w:r>
              </w:p>
            </w:tc>
          </w:tr>
          <w:tr w:rsidR="00CD4BB5" w14:paraId="26DEDE03" w14:textId="77777777" w:rsidTr="00CD4BB5">
            <w:trPr>
              <w:trHeight w:val="295"/>
            </w:trPr>
            <w:tc>
              <w:tcPr>
                <w:tcW w:w="2551" w:type="dxa"/>
                <w:shd w:val="clear" w:color="auto" w:fill="auto"/>
              </w:tcPr>
              <w:p w14:paraId="26DEDE01" w14:textId="77777777" w:rsidR="00CD4BB5" w:rsidRPr="00020E73" w:rsidRDefault="00CD4BB5" w:rsidP="00CD4BB5">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26DEDE02" w14:textId="77777777" w:rsidR="00CD4BB5" w:rsidRPr="006A2BCA" w:rsidRDefault="00CD4BB5" w:rsidP="00CD4BB5">
                <w:pPr>
                  <w:tabs>
                    <w:tab w:val="left" w:pos="2834"/>
                    <w:tab w:val="right" w:pos="8838"/>
                  </w:tabs>
                  <w:ind w:left="-108" w:right="-102"/>
                  <w:jc w:val="both"/>
                  <w:rPr>
                    <w:rFonts w:ascii="Palatino Linotype" w:eastAsia="Calibri" w:hAnsi="Palatino Linotype" w:cs="Tahoma"/>
                    <w:sz w:val="22"/>
                    <w:szCs w:val="22"/>
                    <w:lang w:val="es-ES" w:eastAsia="en-US"/>
                  </w:rPr>
                </w:pPr>
                <w:r w:rsidRPr="006A2BCA">
                  <w:rPr>
                    <w:rFonts w:ascii="Palatino Linotype" w:eastAsia="Calibri" w:hAnsi="Palatino Linotype" w:cs="Tahoma"/>
                    <w:bCs/>
                    <w:sz w:val="22"/>
                    <w:szCs w:val="22"/>
                    <w:lang w:eastAsia="en-US"/>
                  </w:rPr>
                  <w:t>Ayuntamiento de Naucalpan de Juárez</w:t>
                </w:r>
              </w:p>
            </w:tc>
          </w:tr>
          <w:tr w:rsidR="00CD4BB5" w14:paraId="26DEDE07" w14:textId="77777777" w:rsidTr="00CD4BB5">
            <w:trPr>
              <w:trHeight w:val="295"/>
            </w:trPr>
            <w:tc>
              <w:tcPr>
                <w:tcW w:w="2551" w:type="dxa"/>
                <w:shd w:val="clear" w:color="auto" w:fill="auto"/>
              </w:tcPr>
              <w:p w14:paraId="26DEDE04" w14:textId="77777777" w:rsidR="00CD4BB5" w:rsidRPr="00020E73" w:rsidRDefault="00CD4BB5" w:rsidP="00CD4BB5">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26DEDE05" w14:textId="77777777" w:rsidR="00CD4BB5" w:rsidRPr="00020E73" w:rsidRDefault="00CD4BB5" w:rsidP="00CD4BB5">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26DEDE06" w14:textId="77777777" w:rsidR="00CD4BB5" w:rsidRPr="00020E73" w:rsidRDefault="00CD4BB5" w:rsidP="00CD4BB5">
                <w:pPr>
                  <w:tabs>
                    <w:tab w:val="right" w:pos="8838"/>
                  </w:tabs>
                  <w:ind w:left="-108" w:right="171"/>
                  <w:jc w:val="both"/>
                  <w:rPr>
                    <w:rFonts w:ascii="Palatino Linotype" w:eastAsia="Calibri" w:hAnsi="Palatino Linotype" w:cs="Tahoma"/>
                    <w:b/>
                    <w:sz w:val="22"/>
                    <w:szCs w:val="22"/>
                    <w:lang w:val="es-ES" w:eastAsia="en-US"/>
                  </w:rPr>
                </w:pPr>
              </w:p>
            </w:tc>
          </w:tr>
        </w:tbl>
        <w:p w14:paraId="26DEDE08" w14:textId="77777777" w:rsidR="00CD4BB5" w:rsidRPr="005C106F" w:rsidRDefault="00CD4BB5" w:rsidP="00CD4BB5">
          <w:pPr>
            <w:tabs>
              <w:tab w:val="right" w:pos="8838"/>
            </w:tabs>
            <w:ind w:left="-28"/>
            <w:jc w:val="both"/>
            <w:rPr>
              <w:rFonts w:ascii="Arial" w:eastAsia="Calibri" w:hAnsi="Arial" w:cs="Arial"/>
              <w:b/>
              <w:sz w:val="22"/>
              <w:szCs w:val="22"/>
              <w:lang w:eastAsia="en-US"/>
            </w:rPr>
          </w:pPr>
        </w:p>
      </w:tc>
    </w:tr>
  </w:tbl>
  <w:p w14:paraId="26DEDE0A" w14:textId="77777777" w:rsidR="00CD4BB5" w:rsidRPr="00443C6B" w:rsidRDefault="00E50E79" w:rsidP="00CD4BB5">
    <w:pPr>
      <w:pStyle w:val="Encabezado"/>
      <w:rPr>
        <w:sz w:val="14"/>
      </w:rPr>
    </w:pPr>
    <w:r>
      <w:rPr>
        <w:noProof/>
        <w:sz w:val="14"/>
      </w:rPr>
      <w:pict w14:anchorId="26DED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CD4BB5" w:rsidRPr="00330DA7" w14:paraId="26DEDE1C" w14:textId="77777777" w:rsidTr="00CD4BB5">
      <w:trPr>
        <w:trHeight w:val="1435"/>
      </w:trPr>
      <w:tc>
        <w:tcPr>
          <w:tcW w:w="2268" w:type="dxa"/>
          <w:shd w:val="clear" w:color="auto" w:fill="auto"/>
        </w:tcPr>
        <w:p w14:paraId="26DEDE0D" w14:textId="77777777" w:rsidR="00CD4BB5" w:rsidRPr="00330DA7" w:rsidRDefault="00CD4BB5" w:rsidP="00CD4BB5">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CD4BB5" w:rsidRPr="00330DA7" w14:paraId="26DEDE10" w14:textId="77777777" w:rsidTr="00CD4BB5">
            <w:trPr>
              <w:trHeight w:val="144"/>
            </w:trPr>
            <w:tc>
              <w:tcPr>
                <w:tcW w:w="2444" w:type="dxa"/>
                <w:shd w:val="clear" w:color="auto" w:fill="auto"/>
              </w:tcPr>
              <w:p w14:paraId="26DEDE0E" w14:textId="77777777" w:rsidR="00CD4BB5" w:rsidRPr="00020E73" w:rsidRDefault="00CD4BB5" w:rsidP="00CD4BB5">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26DEDE0F" w14:textId="77777777" w:rsidR="00CD4BB5" w:rsidRPr="00020E73" w:rsidRDefault="00CD4BB5" w:rsidP="00CD4BB5">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07893/INFOEM/IP/RR/2023</w:t>
                </w:r>
              </w:p>
            </w:tc>
          </w:tr>
          <w:tr w:rsidR="00CD4BB5" w:rsidRPr="00330DA7" w14:paraId="26DEDE13" w14:textId="77777777" w:rsidTr="00CD4BB5">
            <w:trPr>
              <w:trHeight w:val="144"/>
            </w:trPr>
            <w:tc>
              <w:tcPr>
                <w:tcW w:w="2444" w:type="dxa"/>
                <w:shd w:val="clear" w:color="auto" w:fill="auto"/>
              </w:tcPr>
              <w:p w14:paraId="26DEDE11" w14:textId="77777777" w:rsidR="00CD4BB5" w:rsidRPr="00020E73" w:rsidRDefault="00CD4BB5" w:rsidP="00CD4BB5">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26DEDE12" w14:textId="47814155" w:rsidR="00CD4BB5" w:rsidRPr="00932C55" w:rsidRDefault="001E5ACF" w:rsidP="00CD4BB5">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CD4BB5" w:rsidRPr="00330DA7" w14:paraId="26DEDE16" w14:textId="77777777" w:rsidTr="00CD4BB5">
            <w:trPr>
              <w:trHeight w:val="283"/>
            </w:trPr>
            <w:tc>
              <w:tcPr>
                <w:tcW w:w="2444" w:type="dxa"/>
                <w:shd w:val="clear" w:color="auto" w:fill="auto"/>
              </w:tcPr>
              <w:p w14:paraId="26DEDE14" w14:textId="77777777" w:rsidR="00CD4BB5" w:rsidRPr="00020E73" w:rsidRDefault="00CD4BB5" w:rsidP="00CD4BB5">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26DEDE15" w14:textId="77777777" w:rsidR="00CD4BB5" w:rsidRPr="006A2BCA" w:rsidRDefault="00CD4BB5" w:rsidP="00CD4BB5">
                <w:pPr>
                  <w:tabs>
                    <w:tab w:val="left" w:pos="2834"/>
                    <w:tab w:val="right" w:pos="8838"/>
                  </w:tabs>
                  <w:ind w:left="-74" w:right="-105"/>
                  <w:jc w:val="both"/>
                  <w:rPr>
                    <w:rFonts w:ascii="Palatino Linotype" w:eastAsia="Calibri" w:hAnsi="Palatino Linotype" w:cs="Tahoma"/>
                    <w:sz w:val="22"/>
                    <w:szCs w:val="22"/>
                    <w:lang w:val="es-ES" w:eastAsia="en-US"/>
                  </w:rPr>
                </w:pPr>
                <w:r w:rsidRPr="006A2BCA">
                  <w:rPr>
                    <w:rFonts w:ascii="Palatino Linotype" w:eastAsia="Calibri" w:hAnsi="Palatino Linotype" w:cs="Tahoma"/>
                    <w:bCs/>
                    <w:sz w:val="22"/>
                    <w:szCs w:val="22"/>
                    <w:lang w:eastAsia="en-US"/>
                  </w:rPr>
                  <w:t>Ayuntamiento de Naucalpan de Juárez</w:t>
                </w:r>
              </w:p>
            </w:tc>
          </w:tr>
          <w:tr w:rsidR="00CD4BB5" w:rsidRPr="00330DA7" w14:paraId="26DEDE1A" w14:textId="77777777" w:rsidTr="00CD4BB5">
            <w:trPr>
              <w:trHeight w:val="283"/>
            </w:trPr>
            <w:tc>
              <w:tcPr>
                <w:tcW w:w="2444" w:type="dxa"/>
                <w:shd w:val="clear" w:color="auto" w:fill="auto"/>
              </w:tcPr>
              <w:p w14:paraId="26DEDE17" w14:textId="77777777" w:rsidR="00CD4BB5" w:rsidRPr="00020E73" w:rsidRDefault="00CD4BB5" w:rsidP="00CD4BB5">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26DEDE18" w14:textId="77777777" w:rsidR="00CD4BB5" w:rsidRPr="00020E73" w:rsidRDefault="00CD4BB5" w:rsidP="00CD4BB5">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26DEDE19" w14:textId="77777777" w:rsidR="00CD4BB5" w:rsidRPr="00020E73" w:rsidRDefault="00CD4BB5" w:rsidP="00CD4BB5">
                <w:pPr>
                  <w:tabs>
                    <w:tab w:val="right" w:pos="8838"/>
                  </w:tabs>
                  <w:ind w:left="-74" w:right="-105"/>
                  <w:jc w:val="both"/>
                  <w:rPr>
                    <w:rFonts w:ascii="Palatino Linotype" w:eastAsia="Calibri" w:hAnsi="Palatino Linotype" w:cs="Tahoma"/>
                    <w:b/>
                    <w:sz w:val="22"/>
                    <w:szCs w:val="22"/>
                    <w:lang w:val="es-ES" w:eastAsia="en-US"/>
                  </w:rPr>
                </w:pPr>
              </w:p>
            </w:tc>
          </w:tr>
        </w:tbl>
        <w:p w14:paraId="26DEDE1B" w14:textId="77777777" w:rsidR="00CD4BB5" w:rsidRPr="00330DA7" w:rsidRDefault="00CD4BB5" w:rsidP="00CD4BB5">
          <w:pPr>
            <w:tabs>
              <w:tab w:val="right" w:pos="8838"/>
            </w:tabs>
            <w:ind w:left="-28"/>
            <w:jc w:val="both"/>
            <w:rPr>
              <w:rFonts w:ascii="Arial" w:eastAsia="Calibri" w:hAnsi="Arial" w:cs="Arial"/>
              <w:b/>
              <w:sz w:val="22"/>
              <w:szCs w:val="22"/>
              <w:lang w:eastAsia="en-US"/>
            </w:rPr>
          </w:pPr>
        </w:p>
      </w:tc>
    </w:tr>
  </w:tbl>
  <w:p w14:paraId="26DEDE1D" w14:textId="77777777" w:rsidR="00CD4BB5" w:rsidRPr="00827FA0" w:rsidRDefault="00E50E79" w:rsidP="00CD4BB5">
    <w:pPr>
      <w:pStyle w:val="Encabezado"/>
      <w:rPr>
        <w:sz w:val="2"/>
        <w:szCs w:val="22"/>
      </w:rPr>
    </w:pPr>
    <w:r>
      <w:rPr>
        <w:noProof/>
        <w:sz w:val="2"/>
        <w:szCs w:val="22"/>
      </w:rPr>
      <w:pict w14:anchorId="26DE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270"/>
    <w:multiLevelType w:val="hybridMultilevel"/>
    <w:tmpl w:val="0AD00E2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E44C03"/>
    <w:multiLevelType w:val="hybridMultilevel"/>
    <w:tmpl w:val="BD7234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C71646"/>
    <w:multiLevelType w:val="hybridMultilevel"/>
    <w:tmpl w:val="78E8C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F8567F1"/>
    <w:multiLevelType w:val="hybridMultilevel"/>
    <w:tmpl w:val="C6867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4924550">
    <w:abstractNumId w:val="0"/>
  </w:num>
  <w:num w:numId="2" w16cid:durableId="1899898465">
    <w:abstractNumId w:val="2"/>
  </w:num>
  <w:num w:numId="3" w16cid:durableId="1136724283">
    <w:abstractNumId w:val="1"/>
  </w:num>
  <w:num w:numId="4" w16cid:durableId="1363703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55"/>
    <w:rsid w:val="000D4247"/>
    <w:rsid w:val="001919FD"/>
    <w:rsid w:val="001C3DEC"/>
    <w:rsid w:val="001E5ACF"/>
    <w:rsid w:val="001F49E1"/>
    <w:rsid w:val="00361093"/>
    <w:rsid w:val="0043458B"/>
    <w:rsid w:val="004358C3"/>
    <w:rsid w:val="00456877"/>
    <w:rsid w:val="005663C2"/>
    <w:rsid w:val="006A2BCA"/>
    <w:rsid w:val="006D7304"/>
    <w:rsid w:val="007B1974"/>
    <w:rsid w:val="008B592E"/>
    <w:rsid w:val="00917D5A"/>
    <w:rsid w:val="00932C55"/>
    <w:rsid w:val="00AC05F5"/>
    <w:rsid w:val="00B360F0"/>
    <w:rsid w:val="00B902F9"/>
    <w:rsid w:val="00BC3AD7"/>
    <w:rsid w:val="00CD4BB5"/>
    <w:rsid w:val="00E45094"/>
    <w:rsid w:val="00E50E79"/>
    <w:rsid w:val="00F53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EDD11"/>
  <w15:chartTrackingRefBased/>
  <w15:docId w15:val="{8ACCC1E6-8B9C-41BC-8C38-764CCE62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55"/>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932C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2C55"/>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932C55"/>
    <w:pPr>
      <w:tabs>
        <w:tab w:val="center" w:pos="4419"/>
        <w:tab w:val="right" w:pos="8838"/>
      </w:tabs>
    </w:pPr>
  </w:style>
  <w:style w:type="character" w:customStyle="1" w:styleId="EncabezadoCar">
    <w:name w:val="Encabezado Car"/>
    <w:basedOn w:val="Fuentedeprrafopredeter"/>
    <w:link w:val="Encabezado"/>
    <w:uiPriority w:val="99"/>
    <w:rsid w:val="00932C5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932C55"/>
    <w:pPr>
      <w:tabs>
        <w:tab w:val="center" w:pos="4419"/>
        <w:tab w:val="right" w:pos="8838"/>
      </w:tabs>
    </w:pPr>
  </w:style>
  <w:style w:type="character" w:customStyle="1" w:styleId="PiedepginaCar">
    <w:name w:val="Pie de página Car"/>
    <w:basedOn w:val="Fuentedeprrafopredeter"/>
    <w:link w:val="Piedepgina"/>
    <w:uiPriority w:val="99"/>
    <w:rsid w:val="00932C5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32C5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932C5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932C55"/>
    <w:rPr>
      <w:color w:val="0563C1"/>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uiPriority w:val="99"/>
    <w:unhideWhenUsed/>
    <w:qFormat/>
    <w:rsid w:val="00932C55"/>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932C55"/>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qFormat/>
    <w:rsid w:val="00932C55"/>
    <w:rPr>
      <w:rFonts w:ascii="Calibri" w:eastAsia="Calibri" w:hAnsi="Calibri" w:cs="Times New Roman"/>
      <w:sz w:val="24"/>
      <w:szCs w:val="24"/>
    </w:rPr>
  </w:style>
  <w:style w:type="paragraph" w:styleId="Sinespaciado">
    <w:name w:val="No Spacing"/>
    <w:aliases w:val="Francesa,INAI"/>
    <w:link w:val="SinespaciadoCar"/>
    <w:uiPriority w:val="1"/>
    <w:qFormat/>
    <w:rsid w:val="00932C5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32C5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1020">
      <w:bodyDiv w:val="1"/>
      <w:marLeft w:val="0"/>
      <w:marRight w:val="0"/>
      <w:marTop w:val="0"/>
      <w:marBottom w:val="0"/>
      <w:divBdr>
        <w:top w:val="none" w:sz="0" w:space="0" w:color="auto"/>
        <w:left w:val="none" w:sz="0" w:space="0" w:color="auto"/>
        <w:bottom w:val="none" w:sz="0" w:space="0" w:color="auto"/>
        <w:right w:val="none" w:sz="0" w:space="0" w:color="auto"/>
      </w:divBdr>
    </w:div>
    <w:div w:id="18309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49484.p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imex.org.mx/saimex/solicitud/downloadAttach/1947970.pag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18</Pages>
  <Words>3666</Words>
  <Characters>20168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9</cp:revision>
  <cp:lastPrinted>2024-08-29T20:40:00Z</cp:lastPrinted>
  <dcterms:created xsi:type="dcterms:W3CDTF">2024-08-22T02:03:00Z</dcterms:created>
  <dcterms:modified xsi:type="dcterms:W3CDTF">2024-09-10T17:26:00Z</dcterms:modified>
</cp:coreProperties>
</file>