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360" w:lineRule="auto"/>
        <w:jc w:val="both"/>
        <w:rPr>
          <w:rFonts w:ascii="Palatino Linotype" w:cs="Palatino Linotype" w:eastAsia="Palatino Linotype" w:hAnsi="Palatino Linotype"/>
          <w:sz w:val="22"/>
          <w:szCs w:val="22"/>
        </w:rPr>
      </w:pPr>
      <w:bookmarkStart w:colFirst="0" w:colLast="0" w:name="_heading=h.1fob9te" w:id="0"/>
      <w:bookmarkEnd w:id="0"/>
      <w:r w:rsidDel="00000000" w:rsidR="00000000" w:rsidRPr="00000000">
        <w:rPr>
          <w:rFonts w:ascii="Palatino Linotype" w:cs="Palatino Linotype" w:eastAsia="Palatino Linotype" w:hAnsi="Palatino Linotype"/>
          <w:sz w:val="22"/>
          <w:szCs w:val="22"/>
          <w:rtl w:val="0"/>
        </w:rPr>
        <w:t xml:space="preserve">Resolución del Pleno del Instituto de Transparencia, Acceso a la Información Pública y Protección de Datos Personales del Estado de México y Municipios, con domicilio en Metepec, Estado de México, a </w:t>
      </w:r>
      <w:r w:rsidDel="00000000" w:rsidR="00000000" w:rsidRPr="00000000">
        <w:rPr>
          <w:rFonts w:ascii="Palatino Linotype" w:cs="Palatino Linotype" w:eastAsia="Palatino Linotype" w:hAnsi="Palatino Linotype"/>
          <w:b w:val="1"/>
          <w:sz w:val="22"/>
          <w:szCs w:val="22"/>
          <w:rtl w:val="0"/>
        </w:rPr>
        <w:t xml:space="preserve">veintiuno de noviembre de dos mil veinticuatro</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02">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Visto</w:t>
      </w:r>
      <w:r w:rsidDel="00000000" w:rsidR="00000000" w:rsidRPr="00000000">
        <w:rPr>
          <w:rFonts w:ascii="Palatino Linotype" w:cs="Palatino Linotype" w:eastAsia="Palatino Linotype" w:hAnsi="Palatino Linotype"/>
          <w:sz w:val="22"/>
          <w:szCs w:val="22"/>
          <w:rtl w:val="0"/>
        </w:rPr>
        <w:t xml:space="preserve"> el expediente formado con motivo del recurso de revisión </w:t>
      </w:r>
      <w:r w:rsidDel="00000000" w:rsidR="00000000" w:rsidRPr="00000000">
        <w:rPr>
          <w:rFonts w:ascii="Palatino Linotype" w:cs="Palatino Linotype" w:eastAsia="Palatino Linotype" w:hAnsi="Palatino Linotype"/>
          <w:b w:val="1"/>
          <w:sz w:val="22"/>
          <w:szCs w:val="22"/>
          <w:rtl w:val="0"/>
        </w:rPr>
        <w:t xml:space="preserve">06229/INFOEM/IP/RR/2024</w:t>
      </w:r>
      <w:r w:rsidDel="00000000" w:rsidR="00000000" w:rsidRPr="00000000">
        <w:rPr>
          <w:rFonts w:ascii="Palatino Linotype" w:cs="Palatino Linotype" w:eastAsia="Palatino Linotype" w:hAnsi="Palatino Linotype"/>
          <w:sz w:val="22"/>
          <w:szCs w:val="22"/>
          <w:rtl w:val="0"/>
        </w:rPr>
        <w:t xml:space="preserve">, interpuesto por</w:t>
      </w:r>
      <w:r w:rsidDel="00000000" w:rsidR="00000000" w:rsidRPr="00000000">
        <w:rPr>
          <w:rFonts w:ascii="Palatino Linotype" w:cs="Palatino Linotype" w:eastAsia="Palatino Linotype" w:hAnsi="Palatino Linotype"/>
          <w:b w:val="1"/>
          <w:sz w:val="22"/>
          <w:szCs w:val="22"/>
          <w:rtl w:val="0"/>
        </w:rPr>
        <w:t xml:space="preserve"> XXXXX XXXX XXXXXX,</w:t>
      </w:r>
      <w:r w:rsidDel="00000000" w:rsidR="00000000" w:rsidRPr="00000000">
        <w:rPr>
          <w:rFonts w:ascii="Palatino Linotype" w:cs="Palatino Linotype" w:eastAsia="Palatino Linotype" w:hAnsi="Palatino Linotype"/>
          <w:sz w:val="22"/>
          <w:szCs w:val="22"/>
          <w:rtl w:val="0"/>
        </w:rPr>
        <w:t xml:space="preserve"> en lo sucesivo</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en contra de la respuesta a su solicitud por parte del</w:t>
      </w:r>
      <w:r w:rsidDel="00000000" w:rsidR="00000000" w:rsidRPr="00000000">
        <w:rPr>
          <w:rFonts w:ascii="Palatino Linotype" w:cs="Palatino Linotype" w:eastAsia="Palatino Linotype" w:hAnsi="Palatino Linotype"/>
          <w:b w:val="1"/>
          <w:sz w:val="22"/>
          <w:szCs w:val="22"/>
          <w:rtl w:val="0"/>
        </w:rPr>
        <w:t xml:space="preserve"> Junta de Caminos del Estado de México, </w:t>
      </w:r>
      <w:r w:rsidDel="00000000" w:rsidR="00000000" w:rsidRPr="00000000">
        <w:rPr>
          <w:rFonts w:ascii="Palatino Linotype" w:cs="Palatino Linotype" w:eastAsia="Palatino Linotype" w:hAnsi="Palatino Linotype"/>
          <w:sz w:val="22"/>
          <w:szCs w:val="22"/>
          <w:rtl w:val="0"/>
        </w:rPr>
        <w:t xml:space="preserve">en lo sucesivo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se procede a dictar la presente resolución con base en los siguientes: </w:t>
      </w:r>
    </w:p>
    <w:p w:rsidR="00000000" w:rsidDel="00000000" w:rsidP="00000000" w:rsidRDefault="00000000" w:rsidRPr="00000000" w14:paraId="00000003">
      <w:pPr>
        <w:spacing w:after="240" w:before="240" w:line="360" w:lineRule="auto"/>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I. A N T E C E D E N T E S</w:t>
      </w:r>
    </w:p>
    <w:p w:rsidR="00000000" w:rsidDel="00000000" w:rsidP="00000000" w:rsidRDefault="00000000" w:rsidRPr="00000000" w14:paraId="00000004">
      <w:pPr>
        <w:spacing w:after="240" w:before="240"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1. Solicitud de acceso a la información.</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sz w:val="22"/>
          <w:szCs w:val="22"/>
          <w:rtl w:val="0"/>
        </w:rPr>
        <w:t xml:space="preserve">diez de septiembre de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dos mil veinticuatro,</w:t>
      </w:r>
      <w:r w:rsidDel="00000000" w:rsidR="00000000" w:rsidRPr="00000000">
        <w:rPr>
          <w:rFonts w:ascii="Palatino Linotype" w:cs="Palatino Linotype" w:eastAsia="Palatino Linotype" w:hAnsi="Palatino Linotype"/>
          <w:sz w:val="22"/>
          <w:szCs w:val="22"/>
          <w:rtl w:val="0"/>
        </w:rPr>
        <w:t xml:space="preserve"> la parte </w:t>
      </w:r>
      <w:r w:rsidDel="00000000" w:rsidR="00000000" w:rsidRPr="00000000">
        <w:rPr>
          <w:rFonts w:ascii="Palatino Linotype" w:cs="Palatino Linotype" w:eastAsia="Palatino Linotype" w:hAnsi="Palatino Linotype"/>
          <w:b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presentó, a través del Sistema de Acceso a la Información Mexiquense, en lo subsecuente el </w:t>
      </w:r>
      <w:r w:rsidDel="00000000" w:rsidR="00000000" w:rsidRPr="00000000">
        <w:rPr>
          <w:rFonts w:ascii="Palatino Linotype" w:cs="Palatino Linotype" w:eastAsia="Palatino Linotype" w:hAnsi="Palatino Linotype"/>
          <w:b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 ante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la solicitud de acceso a la información pública, a la que se le asignó el número</w:t>
      </w:r>
      <w:r w:rsidDel="00000000" w:rsidR="00000000" w:rsidRPr="00000000">
        <w:rPr>
          <w:rFonts w:ascii="Palatino Linotype" w:cs="Palatino Linotype" w:eastAsia="Palatino Linotype" w:hAnsi="Palatino Linotype"/>
          <w:b w:val="1"/>
          <w:sz w:val="22"/>
          <w:szCs w:val="22"/>
          <w:rtl w:val="0"/>
        </w:rPr>
        <w:t xml:space="preserve"> 00178/JC/IP/2024, </w:t>
      </w:r>
      <w:r w:rsidDel="00000000" w:rsidR="00000000" w:rsidRPr="00000000">
        <w:rPr>
          <w:rFonts w:ascii="Palatino Linotype" w:cs="Palatino Linotype" w:eastAsia="Palatino Linotype" w:hAnsi="Palatino Linotype"/>
          <w:sz w:val="22"/>
          <w:szCs w:val="22"/>
          <w:rtl w:val="0"/>
        </w:rPr>
        <w:t xml:space="preserve">mediante la cual requirió la información siguiente: </w:t>
      </w:r>
      <w:r w:rsidDel="00000000" w:rsidR="00000000" w:rsidRPr="00000000">
        <w:rPr>
          <w:rtl w:val="0"/>
        </w:rPr>
      </w:r>
    </w:p>
    <w:p w:rsidR="00000000" w:rsidDel="00000000" w:rsidP="00000000" w:rsidRDefault="00000000" w:rsidRPr="00000000" w14:paraId="00000005">
      <w:pPr>
        <w:spacing w:after="240" w:before="240" w:lineRule="auto"/>
        <w:ind w:left="851" w:right="616" w:firstLine="0"/>
        <w:jc w:val="both"/>
        <w:rPr>
          <w:rFonts w:ascii="Palatino Linotype" w:cs="Palatino Linotype" w:eastAsia="Palatino Linotype" w:hAnsi="Palatino Linotype"/>
          <w:b w:val="1"/>
          <w:i w:val="1"/>
          <w:sz w:val="22"/>
          <w:szCs w:val="22"/>
        </w:rPr>
      </w:pPr>
      <w:bookmarkStart w:colFirst="0" w:colLast="0" w:name="_heading=h.gjdgxs" w:id="1"/>
      <w:bookmarkEnd w:id="1"/>
      <w:r w:rsidDel="00000000" w:rsidR="00000000" w:rsidRPr="00000000">
        <w:rPr>
          <w:rFonts w:ascii="Palatino Linotype" w:cs="Palatino Linotype" w:eastAsia="Palatino Linotype" w:hAnsi="Palatino Linotype"/>
          <w:i w:val="1"/>
          <w:sz w:val="22"/>
          <w:szCs w:val="22"/>
          <w:rtl w:val="0"/>
        </w:rPr>
        <w:t xml:space="preserve">“recibos de nómina de todo el porsonal adscrito al ORGANO DE CONTROL EN LA JUNTA DE CAMINOS DEL ESTADO DE MEXICO. de enero a la fecha 2024” (Sic) </w:t>
      </w:r>
      <w:r w:rsidDel="00000000" w:rsidR="00000000" w:rsidRPr="00000000">
        <w:rPr>
          <w:rtl w:val="0"/>
        </w:rPr>
      </w:r>
    </w:p>
    <w:p w:rsidR="00000000" w:rsidDel="00000000" w:rsidP="00000000" w:rsidRDefault="00000000" w:rsidRPr="00000000" w14:paraId="00000006">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Modalidad de Entrega:</w:t>
      </w:r>
      <w:r w:rsidDel="00000000" w:rsidR="00000000" w:rsidRPr="00000000">
        <w:rPr>
          <w:rFonts w:ascii="Palatino Linotype" w:cs="Palatino Linotype" w:eastAsia="Palatino Linotype" w:hAnsi="Palatino Linotype"/>
          <w:sz w:val="22"/>
          <w:szCs w:val="22"/>
          <w:rtl w:val="0"/>
        </w:rPr>
        <w:t xml:space="preserve"> A través del </w:t>
      </w:r>
      <w:r w:rsidDel="00000000" w:rsidR="00000000" w:rsidRPr="00000000">
        <w:rPr>
          <w:rFonts w:ascii="Palatino Linotype" w:cs="Palatino Linotype" w:eastAsia="Palatino Linotype" w:hAnsi="Palatino Linotype"/>
          <w:b w:val="1"/>
          <w:sz w:val="22"/>
          <w:szCs w:val="22"/>
          <w:rtl w:val="0"/>
        </w:rPr>
        <w:t xml:space="preserve">SAIMEX</w:t>
      </w:r>
      <w:r w:rsidDel="00000000" w:rsidR="00000000" w:rsidRPr="00000000">
        <w:rPr>
          <w:rtl w:val="0"/>
        </w:rPr>
      </w:r>
    </w:p>
    <w:p w:rsidR="00000000" w:rsidDel="00000000" w:rsidP="00000000" w:rsidRDefault="00000000" w:rsidRPr="00000000" w14:paraId="00000007">
      <w:pPr>
        <w:spacing w:after="240" w:before="240" w:line="360" w:lineRule="auto"/>
        <w:jc w:val="both"/>
        <w:rPr>
          <w:rFonts w:ascii="Palatino Linotype" w:cs="Palatino Linotype" w:eastAsia="Palatino Linotype" w:hAnsi="Palatino Linotype"/>
          <w:sz w:val="22"/>
          <w:szCs w:val="22"/>
        </w:rPr>
      </w:pPr>
      <w:bookmarkStart w:colFirst="0" w:colLast="0" w:name="_heading=h.3dy6vkm" w:id="2"/>
      <w:bookmarkEnd w:id="2"/>
      <w:r w:rsidDel="00000000" w:rsidR="00000000" w:rsidRPr="00000000">
        <w:rPr>
          <w:rFonts w:ascii="Palatino Linotype" w:cs="Palatino Linotype" w:eastAsia="Palatino Linotype" w:hAnsi="Palatino Linotype"/>
          <w:b w:val="1"/>
          <w:sz w:val="22"/>
          <w:szCs w:val="22"/>
          <w:rtl w:val="0"/>
        </w:rPr>
        <w:t xml:space="preserve">2. Respuesta. </w:t>
      </w:r>
      <w:r w:rsidDel="00000000" w:rsidR="00000000" w:rsidRPr="00000000">
        <w:rPr>
          <w:rFonts w:ascii="Palatino Linotype" w:cs="Palatino Linotype" w:eastAsia="Palatino Linotype" w:hAnsi="Palatino Linotype"/>
          <w:sz w:val="22"/>
          <w:szCs w:val="22"/>
          <w:rtl w:val="0"/>
        </w:rPr>
        <w:t xml:space="preserve">El </w:t>
      </w:r>
      <w:r w:rsidDel="00000000" w:rsidR="00000000" w:rsidRPr="00000000">
        <w:rPr>
          <w:rFonts w:ascii="Palatino Linotype" w:cs="Palatino Linotype" w:eastAsia="Palatino Linotype" w:hAnsi="Palatino Linotype"/>
          <w:b w:val="1"/>
          <w:sz w:val="22"/>
          <w:szCs w:val="22"/>
          <w:rtl w:val="0"/>
        </w:rPr>
        <w:t xml:space="preserve">tres de octubre de dos mil veinticuatro</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envió su respuesta a la solicitud de acceso a la información a través de SAIMEX, sustancialmente en los términos siguientes:   </w:t>
      </w:r>
    </w:p>
    <w:p w:rsidR="00000000" w:rsidDel="00000000" w:rsidP="00000000" w:rsidRDefault="00000000" w:rsidRPr="00000000" w14:paraId="00000008">
      <w:pPr>
        <w:spacing w:after="240" w:before="24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respuesta a la solicitud recibida, nos permitimos hacer de su conocimiento que con fundamento en el artículo 53, Fracciones: II, V y VI de la Ley de Transparencia y Acceso a la Información Pública del Estado de México y Municipios, le contestamos que:</w:t>
      </w:r>
    </w:p>
    <w:p w:rsidR="00000000" w:rsidDel="00000000" w:rsidP="00000000" w:rsidRDefault="00000000" w:rsidRPr="00000000" w14:paraId="00000009">
      <w:pPr>
        <w:spacing w:after="240" w:before="24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Toluca, Estado de México a 03 de septiembre de 2024 Oficio No. 0753/2024 XXXXXXXXXXXX XX XXX XXXXXXXXXXX DE INFORMACIÓN CON No. DE FOLIO 00178/JC/IP/2024 P R E S E N T E Sea el presente portador de un cordial saludo y en seguimiento a su solicitud de acceso a la información pública, recibida a través del Sistema de Acceso a la Información Mexiquense (SAIMEX), el día diez de septiembre de dos mil veinticuatro, misma que fue registrada con No. de folio 00178/JC/IP/2024, mediante el cual solicita: DESCRIPCIÓN CLARA Y PRECISA DE LA INFORMACIÓN SOLICITADA recibos de nómina de todo el porsonal adscrito al ORGANO DE CONTROL EN LA JUNTA DE CAMINOS DEL ESTADO DE MEXICO. de enero a la fecha 2024 De conformidad con los artículos 3 fracción XLIV, 4, 12, 18, 50, 51, 53 fracciones II, IV, V y VI y 163 de la Ley de Transparencia y Acceso a la Información Pública del Estado de México y Municipios, sírvase encontrar en archivo adjunto, oficio No. 220C0101040000L/999/2024 y anexos correspondientes, suscrito por la Lic. María Teresa Ruíz Pérez, Encargada del Despacho de la Dirección de Administración y Finanzas y Servidor Público Habilitado de la Junta de Caminos del Estado de México, por medio del cual, proporciona respuesta a su solicitud; así mismo, se adjunta Acta de la Décima Novena Sesión Extraordinaria del ejercicio 2024, del Comité de Transparencia de la Junta de Caminos del Estado de México. Por último, hago de su conocimiento, que en términos de los artículos 176, 177 y 178 de la Ley de Transparencia y Acceso a la Información Pública del Estado de México y Municipios; podrá interponer recurso de revisión por sí o a través de su representante legal, ante el Instituto de Transparencia, Acceso a la Información Pública y Protección de Datos personales del Estado de México y Municipios, o ante la Unidad de Transparencia de esta Junta de Caminos del Estado de México, de manera directa o vía Sistema de Acceso a la Información Mexiquense (SAIMEX) y/o Plataforma Nacional de Transparencia (PNT), en un término de quince días hábiles, contados a partir del día hábil siguiente a la fecha de notificación del presente. Sin otro particular, quedo de usted. A T E N T A M E N T E LIC. ENRIQUE NICOLÁS RÍOS ÁLVAREZ ENCARGADO DEL DESPACHO DE LA UNIDAD DE PLANEACIÓN Y TECNOLOGÍAS DE LA INFORMACIÓN Y COMUNICACIÓN Y TITULAR DE LA UNIDAD DE TRANSPARENCIA</w:t>
      </w:r>
    </w:p>
    <w:p w:rsidR="00000000" w:rsidDel="00000000" w:rsidP="00000000" w:rsidRDefault="00000000" w:rsidRPr="00000000" w14:paraId="0000000A">
      <w:pPr>
        <w:spacing w:after="240" w:before="24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ATENTAMENTE</w:t>
      </w:r>
    </w:p>
    <w:p w:rsidR="00000000" w:rsidDel="00000000" w:rsidP="00000000" w:rsidRDefault="00000000" w:rsidRPr="00000000" w14:paraId="0000000B">
      <w:pPr>
        <w:spacing w:after="240" w:before="24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LIC. ENRIQUE NICOLÁS RÍOS ÁLVAREZ” </w:t>
      </w:r>
    </w:p>
    <w:p w:rsidR="00000000" w:rsidDel="00000000" w:rsidP="00000000" w:rsidRDefault="00000000" w:rsidRPr="00000000" w14:paraId="0000000C">
      <w:pPr>
        <w:spacing w:after="240" w:before="240" w:lineRule="auto"/>
        <w:ind w:left="851"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Archivos adjuntos: </w:t>
      </w:r>
      <w:r w:rsidDel="00000000" w:rsidR="00000000" w:rsidRPr="00000000">
        <w:rPr>
          <w:rtl w:val="0"/>
        </w:rPr>
      </w:r>
    </w:p>
    <w:p w:rsidR="00000000" w:rsidDel="00000000" w:rsidP="00000000" w:rsidRDefault="00000000" w:rsidRPr="00000000" w14:paraId="0000000D">
      <w:pPr>
        <w:numPr>
          <w:ilvl w:val="0"/>
          <w:numId w:val="1"/>
        </w:numPr>
        <w:pBdr>
          <w:top w:space="0" w:sz="0" w:val="nil"/>
          <w:left w:space="0" w:sz="0" w:val="nil"/>
          <w:bottom w:space="0" w:sz="0" w:val="nil"/>
          <w:right w:space="0" w:sz="0" w:val="nil"/>
          <w:between w:space="0" w:sz="0" w:val="nil"/>
        </w:pBdr>
        <w:spacing w:before="240" w:line="360" w:lineRule="auto"/>
        <w:ind w:left="927" w:right="616" w:hanging="36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Respuesta SAIMEX 00178-2024.pdf: </w:t>
      </w:r>
    </w:p>
    <w:p w:rsidR="00000000" w:rsidDel="00000000" w:rsidP="00000000" w:rsidRDefault="00000000" w:rsidRPr="00000000" w14:paraId="0000000E">
      <w:pPr>
        <w:numPr>
          <w:ilvl w:val="0"/>
          <w:numId w:val="4"/>
        </w:numPr>
        <w:pBdr>
          <w:top w:space="0" w:sz="0" w:val="nil"/>
          <w:left w:space="0" w:sz="0" w:val="nil"/>
          <w:bottom w:space="0" w:sz="0" w:val="nil"/>
          <w:right w:space="0" w:sz="0" w:val="nil"/>
          <w:between w:space="0" w:sz="0" w:val="nil"/>
        </w:pBdr>
        <w:spacing w:line="360" w:lineRule="auto"/>
        <w:ind w:left="1571" w:right="616"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Oficio número 0753/2024 de fecha tres de septiembre de dos mil veinticuatro, signado por la Encargada del Despacho de la Unidad de Planeación y Tecnologías de la Información y Comunicación, mediante el cual informó al particular, la entrega del oficio número 220C0101040000L/999/2024 y anexos correspondientes, suscrito por la Encargada de Despacho de la Dirección de Administración y Finanzas de la Junta de Caminos del estado de México; asimismo, adjunta Acta de la Décima Novena Sesión Extraordinaria del ejercicio 2024, del Comité de Transparencia. </w:t>
      </w:r>
    </w:p>
    <w:p w:rsidR="00000000" w:rsidDel="00000000" w:rsidP="00000000" w:rsidRDefault="00000000" w:rsidRPr="00000000" w14:paraId="0000000F">
      <w:pPr>
        <w:numPr>
          <w:ilvl w:val="0"/>
          <w:numId w:val="4"/>
        </w:numPr>
        <w:pBdr>
          <w:top w:space="0" w:sz="0" w:val="nil"/>
          <w:left w:space="0" w:sz="0" w:val="nil"/>
          <w:bottom w:space="0" w:sz="0" w:val="nil"/>
          <w:right w:space="0" w:sz="0" w:val="nil"/>
          <w:between w:space="0" w:sz="0" w:val="nil"/>
        </w:pBdr>
        <w:spacing w:line="360" w:lineRule="auto"/>
        <w:ind w:left="1571" w:right="616"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Oficio número 220C0101040000L/999/2024, de fecha tres de octubre de dos mil veinticuatro, signado por la Encargada de Despacho de la Dirección de Administración y Finanzas, mediante el cual informó la entrega de los recibos de nómina del personal adscrito al Órgano Interno de Control de la Junta de Caminos del estado de México, por el periodo solicitado. </w:t>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line="360" w:lineRule="auto"/>
        <w:ind w:left="1571" w:right="616"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line="360" w:lineRule="auto"/>
        <w:ind w:left="157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No omite mencionar que la clasificación de información como confidencial que obra en cada recibo de nómina que se anexa a la presente, fue aprobada mediante Acuerdo número JC/CT/EXT/019-2024/PRIMERO, Acta de la Décima Novena Sesión Extraordinaria del ejercicio 2024, del Comité de Transparencia de la Junta de Caminos del Estado de México, del treinta de septiembre de dos mil veinticuatro. </w:t>
      </w:r>
    </w:p>
    <w:p w:rsidR="00000000" w:rsidDel="00000000" w:rsidP="00000000" w:rsidRDefault="00000000" w:rsidRPr="00000000" w14:paraId="00000012">
      <w:pPr>
        <w:numPr>
          <w:ilvl w:val="0"/>
          <w:numId w:val="4"/>
        </w:numPr>
        <w:pBdr>
          <w:top w:space="0" w:sz="0" w:val="nil"/>
          <w:left w:space="0" w:sz="0" w:val="nil"/>
          <w:bottom w:space="0" w:sz="0" w:val="nil"/>
          <w:right w:space="0" w:sz="0" w:val="nil"/>
          <w:between w:space="0" w:sz="0" w:val="nil"/>
        </w:pBdr>
        <w:spacing w:line="360" w:lineRule="auto"/>
        <w:ind w:left="1571" w:right="616"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Comprobantes de percepciones y deducciones de algunas quincenas de enero a agosto de dos mil veinticuatro. </w:t>
      </w:r>
    </w:p>
    <w:p w:rsidR="00000000" w:rsidDel="00000000" w:rsidP="00000000" w:rsidRDefault="00000000" w:rsidRPr="00000000" w14:paraId="00000013">
      <w:pPr>
        <w:numPr>
          <w:ilvl w:val="0"/>
          <w:numId w:val="5"/>
        </w:numPr>
        <w:pBdr>
          <w:top w:space="0" w:sz="0" w:val="nil"/>
          <w:left w:space="0" w:sz="0" w:val="nil"/>
          <w:bottom w:space="0" w:sz="0" w:val="nil"/>
          <w:right w:space="0" w:sz="0" w:val="nil"/>
          <w:between w:space="0" w:sz="0" w:val="nil"/>
        </w:pBdr>
        <w:spacing w:line="360" w:lineRule="auto"/>
        <w:ind w:left="1571" w:right="616"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Acta de la Décima Novena Sesión Extraordinaria del ejercicio 2024, del Comité de Transparencia de la Junta de Caminos del Estado de México, de fecha treinta de septiembre de dos mil veinticuatro, en el que se aprobó mediante Acuerdo número JC/CT/EXT/019-2024/SEGUNDO, por unanimidad la clasificación de la información como confidencial de los datos personales que obran en los documentos que serán entregados como respuesta de las solicitudes de información pública con números de folio 00175/JC/IP/2024 y 00178/JC/IP/2024, instruyendo al área que cuenta dicha documental, elaborar la versión pública que será entregada como respuesta, que consiste en testar la Clave Única de Registro de Población (CURP); Clave del servidor público, Registro Federal de Contribuyentes (RFC); Clave de ISSEMyM; Descuentos Personales, Firma de la persona servidora pública; Código QR y número y cuenta bancaria del servidor público, con base a lo que establece el artículo 44 fracciones I y II de la Ley General de Transparencia y Acceso a la Información Pública, al artículo 49 fracciones II y VIII y XVI de la Ley de Transparencia y Acceso a la Información Pública, artículo 94 fracción I de la Ley de Protección de Datos Personales en Posesión de Sujetos Obligados del Estado de México y Municipios. </w:t>
      </w:r>
    </w:p>
    <w:p w:rsidR="00000000" w:rsidDel="00000000" w:rsidP="00000000" w:rsidRDefault="00000000" w:rsidRPr="00000000" w14:paraId="00000014">
      <w:pPr>
        <w:numPr>
          <w:ilvl w:val="0"/>
          <w:numId w:val="5"/>
        </w:numPr>
        <w:pBdr>
          <w:top w:space="0" w:sz="0" w:val="nil"/>
          <w:left w:space="0" w:sz="0" w:val="nil"/>
          <w:bottom w:space="0" w:sz="0" w:val="nil"/>
          <w:right w:space="0" w:sz="0" w:val="nil"/>
          <w:between w:space="0" w:sz="0" w:val="nil"/>
        </w:pBdr>
        <w:spacing w:line="360" w:lineRule="auto"/>
        <w:ind w:left="1571" w:right="616"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Oficio número 0700/2024, de fecha once de septiembre de dos mil veinticuatro, suscrito por la Encargada de Despacho de la Unidad de Planeación y Tecnologías de la Información y Comunicación, mediante el cual solicitó a la Encargada de Despacho de la Dirección de Administración y Finanzas, de respuesta a la solicitud de mérito. </w:t>
      </w:r>
    </w:p>
    <w:p w:rsidR="00000000" w:rsidDel="00000000" w:rsidP="00000000" w:rsidRDefault="00000000" w:rsidRPr="00000000" w14:paraId="00000015">
      <w:pPr>
        <w:spacing w:after="240" w:before="240" w:line="360" w:lineRule="auto"/>
        <w:ind w:right="49"/>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3. Interposición del recurso de revisión. </w:t>
      </w:r>
      <w:r w:rsidDel="00000000" w:rsidR="00000000" w:rsidRPr="00000000">
        <w:rPr>
          <w:rFonts w:ascii="Palatino Linotype" w:cs="Palatino Linotype" w:eastAsia="Palatino Linotype" w:hAnsi="Palatino Linotype"/>
          <w:sz w:val="22"/>
          <w:szCs w:val="22"/>
          <w:rtl w:val="0"/>
        </w:rPr>
        <w:t xml:space="preserve">Inconforme con los términos de la respuesta emitida por parte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el</w:t>
      </w:r>
      <w:r w:rsidDel="00000000" w:rsidR="00000000" w:rsidRPr="00000000">
        <w:rPr>
          <w:rFonts w:ascii="Palatino Linotype" w:cs="Palatino Linotype" w:eastAsia="Palatino Linotype" w:hAnsi="Palatino Linotype"/>
          <w:b w:val="1"/>
          <w:sz w:val="22"/>
          <w:szCs w:val="22"/>
          <w:rtl w:val="0"/>
        </w:rPr>
        <w:t xml:space="preserve"> diez de octubre de dos mil veinticuatro,</w:t>
      </w:r>
      <w:r w:rsidDel="00000000" w:rsidR="00000000" w:rsidRPr="00000000">
        <w:rPr>
          <w:rFonts w:ascii="Palatino Linotype" w:cs="Palatino Linotype" w:eastAsia="Palatino Linotype" w:hAnsi="Palatino Linotype"/>
          <w:sz w:val="22"/>
          <w:szCs w:val="22"/>
          <w:rtl w:val="0"/>
        </w:rPr>
        <w:t xml:space="preserv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interpuso el recurso de revisión a través de </w:t>
      </w:r>
      <w:r w:rsidDel="00000000" w:rsidR="00000000" w:rsidRPr="00000000">
        <w:rPr>
          <w:rFonts w:ascii="Palatino Linotype" w:cs="Palatino Linotype" w:eastAsia="Palatino Linotype" w:hAnsi="Palatino Linotype"/>
          <w:b w:val="1"/>
          <w:sz w:val="22"/>
          <w:szCs w:val="22"/>
          <w:rtl w:val="0"/>
        </w:rPr>
        <w:t xml:space="preserve">SAIMEX, </w:t>
      </w:r>
      <w:r w:rsidDel="00000000" w:rsidR="00000000" w:rsidRPr="00000000">
        <w:rPr>
          <w:rFonts w:ascii="Palatino Linotype" w:cs="Palatino Linotype" w:eastAsia="Palatino Linotype" w:hAnsi="Palatino Linotype"/>
          <w:sz w:val="22"/>
          <w:szCs w:val="22"/>
          <w:rtl w:val="0"/>
        </w:rPr>
        <w:t xml:space="preserve">en donde se manifestó de la siguiente manera:</w:t>
      </w:r>
      <w:r w:rsidDel="00000000" w:rsidR="00000000" w:rsidRPr="00000000">
        <w:rPr>
          <w:rtl w:val="0"/>
        </w:rPr>
      </w:r>
    </w:p>
    <w:p w:rsidR="00000000" w:rsidDel="00000000" w:rsidP="00000000" w:rsidRDefault="00000000" w:rsidRPr="00000000" w14:paraId="00000016">
      <w:pPr>
        <w:tabs>
          <w:tab w:val="left" w:leader="none" w:pos="2745"/>
        </w:tabs>
        <w:spacing w:after="240" w:before="240" w:line="276" w:lineRule="auto"/>
        <w:ind w:left="851" w:right="616"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 Acto impugnado: </w:t>
      </w:r>
    </w:p>
    <w:p w:rsidR="00000000" w:rsidDel="00000000" w:rsidP="00000000" w:rsidRDefault="00000000" w:rsidRPr="00000000" w14:paraId="00000017">
      <w:pPr>
        <w:tabs>
          <w:tab w:val="left" w:leader="none" w:pos="2745"/>
        </w:tabs>
        <w:spacing w:after="240" w:before="240" w:line="276" w:lineRule="auto"/>
        <w:ind w:left="851" w:right="616"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i w:val="1"/>
          <w:sz w:val="22"/>
          <w:szCs w:val="22"/>
          <w:rtl w:val="0"/>
        </w:rPr>
        <w:t xml:space="preserve">“la respuesta otorgada” (Sic)</w:t>
      </w:r>
      <w:r w:rsidDel="00000000" w:rsidR="00000000" w:rsidRPr="00000000">
        <w:rPr>
          <w:rtl w:val="0"/>
        </w:rPr>
      </w:r>
    </w:p>
    <w:p w:rsidR="00000000" w:rsidDel="00000000" w:rsidP="00000000" w:rsidRDefault="00000000" w:rsidRPr="00000000" w14:paraId="00000018">
      <w:pPr>
        <w:spacing w:line="276" w:lineRule="auto"/>
        <w:ind w:left="851" w:right="616" w:firstLine="0"/>
        <w:jc w:val="both"/>
        <w:rPr>
          <w:rFonts w:ascii="Palatino Linotype" w:cs="Palatino Linotype" w:eastAsia="Palatino Linotype" w:hAnsi="Palatino Linotype"/>
          <w:sz w:val="22"/>
          <w:szCs w:val="22"/>
        </w:rPr>
      </w:pPr>
      <w:bookmarkStart w:colFirst="0" w:colLast="0" w:name="_heading=h.30j0zll" w:id="3"/>
      <w:bookmarkEnd w:id="3"/>
      <w:r w:rsidDel="00000000" w:rsidR="00000000" w:rsidRPr="00000000">
        <w:rPr>
          <w:rFonts w:ascii="Palatino Linotype" w:cs="Palatino Linotype" w:eastAsia="Palatino Linotype" w:hAnsi="Palatino Linotype"/>
          <w:b w:val="1"/>
          <w:sz w:val="22"/>
          <w:szCs w:val="22"/>
          <w:rtl w:val="0"/>
        </w:rPr>
        <w:t xml:space="preserve">b) Razones o motivos de inconformidad</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19">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la respuesta otorgada” (Sic)</w:t>
      </w:r>
    </w:p>
    <w:p w:rsidR="00000000" w:rsidDel="00000000" w:rsidP="00000000" w:rsidRDefault="00000000" w:rsidRPr="00000000" w14:paraId="0000001A">
      <w:pPr>
        <w:spacing w:line="276" w:lineRule="auto"/>
        <w:ind w:right="90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B">
      <w:pPr>
        <w:spacing w:after="240" w:before="240"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4. Turno. </w:t>
      </w:r>
      <w:r w:rsidDel="00000000" w:rsidR="00000000" w:rsidRPr="00000000">
        <w:rPr>
          <w:rFonts w:ascii="Palatino Linotype" w:cs="Palatino Linotype" w:eastAsia="Palatino Linotype" w:hAnsi="Palatino Linotype"/>
          <w:sz w:val="22"/>
          <w:szCs w:val="22"/>
          <w:rtl w:val="0"/>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Del="00000000" w:rsidR="00000000" w:rsidRPr="00000000">
        <w:rPr>
          <w:rFonts w:ascii="Palatino Linotype" w:cs="Palatino Linotype" w:eastAsia="Palatino Linotype" w:hAnsi="Palatino Linotype"/>
          <w:b w:val="1"/>
          <w:sz w:val="22"/>
          <w:szCs w:val="22"/>
          <w:rtl w:val="0"/>
        </w:rPr>
        <w:t xml:space="preserve">Guadalupe Ramírez Peña, </w:t>
      </w:r>
      <w:r w:rsidDel="00000000" w:rsidR="00000000" w:rsidRPr="00000000">
        <w:rPr>
          <w:rFonts w:ascii="Palatino Linotype" w:cs="Palatino Linotype" w:eastAsia="Palatino Linotype" w:hAnsi="Palatino Linotype"/>
          <w:sz w:val="22"/>
          <w:szCs w:val="22"/>
          <w:rtl w:val="0"/>
        </w:rPr>
        <w:t xml:space="preserve">a efecto de que analizara sobre su admisión o su desechamiento.</w:t>
      </w:r>
    </w:p>
    <w:p w:rsidR="00000000" w:rsidDel="00000000" w:rsidP="00000000" w:rsidRDefault="00000000" w:rsidRPr="00000000" w14:paraId="0000001C">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5. Admisión del Recurso de revisión.</w:t>
      </w:r>
      <w:r w:rsidDel="00000000" w:rsidR="00000000" w:rsidRPr="00000000">
        <w:rPr>
          <w:rFonts w:ascii="Palatino Linotype" w:cs="Palatino Linotype" w:eastAsia="Palatino Linotype" w:hAnsi="Palatino Linotype"/>
          <w:sz w:val="22"/>
          <w:szCs w:val="22"/>
          <w:rtl w:val="0"/>
        </w:rPr>
        <w:t xml:space="preserve"> El</w:t>
      </w:r>
      <w:r w:rsidDel="00000000" w:rsidR="00000000" w:rsidRPr="00000000">
        <w:rPr>
          <w:rFonts w:ascii="Palatino Linotype" w:cs="Palatino Linotype" w:eastAsia="Palatino Linotype" w:hAnsi="Palatino Linotype"/>
          <w:b w:val="1"/>
          <w:sz w:val="22"/>
          <w:szCs w:val="22"/>
          <w:rtl w:val="0"/>
        </w:rPr>
        <w:t xml:space="preserve"> quince de octubre de dos mil veinticuatro, </w:t>
      </w:r>
      <w:r w:rsidDel="00000000" w:rsidR="00000000" w:rsidRPr="00000000">
        <w:rPr>
          <w:rFonts w:ascii="Palatino Linotype" w:cs="Palatino Linotype" w:eastAsia="Palatino Linotype" w:hAnsi="Palatino Linotype"/>
          <w:sz w:val="22"/>
          <w:szCs w:val="22"/>
          <w:rtl w:val="0"/>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presentara su informe justificado.</w:t>
      </w:r>
    </w:p>
    <w:p w:rsidR="00000000" w:rsidDel="00000000" w:rsidP="00000000" w:rsidRDefault="00000000" w:rsidRPr="00000000" w14:paraId="0000001D">
      <w:pPr>
        <w:pBdr>
          <w:top w:space="0" w:sz="0" w:val="nil"/>
          <w:left w:space="0" w:sz="0" w:val="nil"/>
          <w:bottom w:space="0" w:sz="0" w:val="nil"/>
          <w:right w:space="0" w:sz="0" w:val="nil"/>
          <w:between w:space="0" w:sz="0" w:val="nil"/>
        </w:pBdr>
        <w:tabs>
          <w:tab w:val="left" w:leader="none" w:pos="284"/>
        </w:tabs>
        <w:spacing w:line="360" w:lineRule="auto"/>
        <w:ind w:right="49"/>
        <w:jc w:val="both"/>
        <w:rPr>
          <w:rFonts w:ascii="Palatino Linotype" w:cs="Palatino Linotype" w:eastAsia="Palatino Linotype" w:hAnsi="Palatino Linotype"/>
          <w:sz w:val="22"/>
          <w:szCs w:val="22"/>
        </w:rPr>
      </w:pPr>
      <w:bookmarkStart w:colFirst="0" w:colLast="0" w:name="_heading=h.2s8eyo1" w:id="4"/>
      <w:bookmarkEnd w:id="4"/>
      <w:r w:rsidDel="00000000" w:rsidR="00000000" w:rsidRPr="00000000">
        <w:rPr>
          <w:rFonts w:ascii="Palatino Linotype" w:cs="Palatino Linotype" w:eastAsia="Palatino Linotype" w:hAnsi="Palatino Linotype"/>
          <w:b w:val="1"/>
          <w:sz w:val="22"/>
          <w:szCs w:val="22"/>
          <w:rtl w:val="0"/>
        </w:rPr>
        <w:t xml:space="preserve">6. Manifestaciones e Informe Justificado</w:t>
      </w:r>
      <w:r w:rsidDel="00000000" w:rsidR="00000000" w:rsidRPr="00000000">
        <w:rPr>
          <w:rFonts w:ascii="Palatino Linotype" w:cs="Palatino Linotype" w:eastAsia="Palatino Linotype" w:hAnsi="Palatino Linotype"/>
          <w:sz w:val="22"/>
          <w:szCs w:val="22"/>
          <w:rtl w:val="0"/>
        </w:rPr>
        <w:t xml:space="preserve">. De las constancias que integran el expediente en que se actúa se advierte que durante el periodo de manifestaciones el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fue omiso en remitir documento alguno, mientras que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en fecha</w:t>
      </w:r>
      <w:r w:rsidDel="00000000" w:rsidR="00000000" w:rsidRPr="00000000">
        <w:rPr>
          <w:rFonts w:ascii="Palatino Linotype" w:cs="Palatino Linotype" w:eastAsia="Palatino Linotype" w:hAnsi="Palatino Linotype"/>
          <w:b w:val="1"/>
          <w:sz w:val="22"/>
          <w:szCs w:val="22"/>
          <w:rtl w:val="0"/>
        </w:rPr>
        <w:t xml:space="preserve"> veinticuatro de octubre de dos mil veinticuatro, </w:t>
      </w:r>
      <w:r w:rsidDel="00000000" w:rsidR="00000000" w:rsidRPr="00000000">
        <w:rPr>
          <w:rFonts w:ascii="Palatino Linotype" w:cs="Palatino Linotype" w:eastAsia="Palatino Linotype" w:hAnsi="Palatino Linotype"/>
          <w:sz w:val="22"/>
          <w:szCs w:val="22"/>
          <w:rtl w:val="0"/>
        </w:rPr>
        <w:t xml:space="preserve">hizo entrega de los siguientes archivos electrónicos: </w:t>
      </w:r>
    </w:p>
    <w:p w:rsidR="00000000" w:rsidDel="00000000" w:rsidP="00000000" w:rsidRDefault="00000000" w:rsidRPr="00000000" w14:paraId="0000001E">
      <w:pPr>
        <w:pBdr>
          <w:top w:space="0" w:sz="0" w:val="nil"/>
          <w:left w:space="0" w:sz="0" w:val="nil"/>
          <w:bottom w:space="0" w:sz="0" w:val="nil"/>
          <w:right w:space="0" w:sz="0" w:val="nil"/>
          <w:between w:space="0" w:sz="0" w:val="nil"/>
        </w:pBdr>
        <w:tabs>
          <w:tab w:val="left" w:leader="none" w:pos="284"/>
        </w:tabs>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F">
      <w:pPr>
        <w:numPr>
          <w:ilvl w:val="0"/>
          <w:numId w:val="6"/>
        </w:numPr>
        <w:pBdr>
          <w:top w:space="0" w:sz="0" w:val="nil"/>
          <w:left w:space="0" w:sz="0" w:val="nil"/>
          <w:bottom w:space="0" w:sz="0" w:val="nil"/>
          <w:right w:space="0" w:sz="0" w:val="nil"/>
          <w:between w:space="0" w:sz="0" w:val="nil"/>
        </w:pBdr>
        <w:tabs>
          <w:tab w:val="left" w:leader="none" w:pos="284"/>
        </w:tabs>
        <w:spacing w:line="360" w:lineRule="auto"/>
        <w:ind w:left="720" w:right="616"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Informe Justificado 6229.pdf</w:t>
      </w:r>
      <w:r w:rsidDel="00000000" w:rsidR="00000000" w:rsidRPr="00000000">
        <w:rPr>
          <w:rFonts w:ascii="Palatino Linotype" w:cs="Palatino Linotype" w:eastAsia="Palatino Linotype" w:hAnsi="Palatino Linotype"/>
          <w:sz w:val="22"/>
          <w:szCs w:val="22"/>
          <w:rtl w:val="0"/>
        </w:rPr>
        <w:t xml:space="preserve">: Oficio número 0843/2024 de fecha veinticuatro de octubre de dos mil veinticuatro, signado por la Encargada del Despacho de la Unidad de Planeación y Tecnologías de la Información y Comunicación, mediante el cual informó que se turnó a la unidad administrativa que de acuerdo a sus funciones y atribuciones, tenía las facultades para otorgar la información requerida, tomando como base lo que establece el artículo 162 de la Ley de Transparencia, quien dio atención puntual, en tiempo y forma. </w:t>
      </w:r>
    </w:p>
    <w:p w:rsidR="00000000" w:rsidDel="00000000" w:rsidP="00000000" w:rsidRDefault="00000000" w:rsidRPr="00000000" w14:paraId="00000020">
      <w:pPr>
        <w:numPr>
          <w:ilvl w:val="0"/>
          <w:numId w:val="6"/>
        </w:numPr>
        <w:pBdr>
          <w:top w:space="0" w:sz="0" w:val="nil"/>
          <w:left w:space="0" w:sz="0" w:val="nil"/>
          <w:bottom w:space="0" w:sz="0" w:val="nil"/>
          <w:right w:space="0" w:sz="0" w:val="nil"/>
          <w:between w:space="0" w:sz="0" w:val="nil"/>
        </w:pBdr>
        <w:tabs>
          <w:tab w:val="left" w:leader="none" w:pos="284"/>
        </w:tabs>
        <w:spacing w:line="360" w:lineRule="auto"/>
        <w:ind w:left="720" w:right="616"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Anexos 1. 2. y 3. Informe Justificado 6229.pdf</w:t>
      </w:r>
      <w:r w:rsidDel="00000000" w:rsidR="00000000" w:rsidRPr="00000000">
        <w:rPr>
          <w:rFonts w:ascii="Palatino Linotype" w:cs="Palatino Linotype" w:eastAsia="Palatino Linotype" w:hAnsi="Palatino Linotype"/>
          <w:sz w:val="22"/>
          <w:szCs w:val="22"/>
          <w:rtl w:val="0"/>
        </w:rPr>
        <w:t xml:space="preserve">: contiene: </w:t>
      </w:r>
    </w:p>
    <w:p w:rsidR="00000000" w:rsidDel="00000000" w:rsidP="00000000" w:rsidRDefault="00000000" w:rsidRPr="00000000" w14:paraId="00000021">
      <w:pPr>
        <w:numPr>
          <w:ilvl w:val="0"/>
          <w:numId w:val="7"/>
        </w:numPr>
        <w:pBdr>
          <w:top w:space="0" w:sz="0" w:val="nil"/>
          <w:left w:space="0" w:sz="0" w:val="nil"/>
          <w:bottom w:space="0" w:sz="0" w:val="nil"/>
          <w:right w:space="0" w:sz="0" w:val="nil"/>
          <w:between w:space="0" w:sz="0" w:val="nil"/>
        </w:pBdr>
        <w:tabs>
          <w:tab w:val="left" w:leader="none" w:pos="284"/>
        </w:tabs>
        <w:spacing w:line="360" w:lineRule="auto"/>
        <w:ind w:left="1440" w:right="616"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Oficio número 0700/2024 de fecha once de septiembre de dos mil veinticuatro, signado por la Encargada del Despacho de la Unidad de Planeación y Tecnologías de la Información y Comunicación, mediante el cual solicitó a la Dirección de Administración y Finanzas dar respuesta a la solicitud de información. </w:t>
      </w:r>
    </w:p>
    <w:p w:rsidR="00000000" w:rsidDel="00000000" w:rsidP="00000000" w:rsidRDefault="00000000" w:rsidRPr="00000000" w14:paraId="00000022">
      <w:pPr>
        <w:numPr>
          <w:ilvl w:val="0"/>
          <w:numId w:val="7"/>
        </w:numPr>
        <w:pBdr>
          <w:top w:space="0" w:sz="0" w:val="nil"/>
          <w:left w:space="0" w:sz="0" w:val="nil"/>
          <w:bottom w:space="0" w:sz="0" w:val="nil"/>
          <w:right w:space="0" w:sz="0" w:val="nil"/>
          <w:between w:space="0" w:sz="0" w:val="nil"/>
        </w:pBdr>
        <w:tabs>
          <w:tab w:val="left" w:leader="none" w:pos="284"/>
        </w:tabs>
        <w:spacing w:line="360" w:lineRule="auto"/>
        <w:ind w:left="1440" w:right="616"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Oficio número 220C0101040000L/962/2024 de fecha veintitrés de septiembre de dos mil veinticuatro, signado por la Encargada del Despacho de la Dirección de Administración y Finanzas, mediante el cual solicita a la Encargada del Despacho de la Unidad de Planeación y Tecnologías de la Información y Comunicación, poner a consideración de los integrantes del Comité de Transparencia, la aprobación de la clasificación de la información como confidencial de los datos personales que obran en los documentos que serán entregados como parte de la respuesta a la solicitud. </w:t>
      </w:r>
    </w:p>
    <w:p w:rsidR="00000000" w:rsidDel="00000000" w:rsidP="00000000" w:rsidRDefault="00000000" w:rsidRPr="00000000" w14:paraId="00000023">
      <w:pPr>
        <w:numPr>
          <w:ilvl w:val="0"/>
          <w:numId w:val="7"/>
        </w:numPr>
        <w:pBdr>
          <w:top w:space="0" w:sz="0" w:val="nil"/>
          <w:left w:space="0" w:sz="0" w:val="nil"/>
          <w:bottom w:space="0" w:sz="0" w:val="nil"/>
          <w:right w:space="0" w:sz="0" w:val="nil"/>
          <w:between w:space="0" w:sz="0" w:val="nil"/>
        </w:pBdr>
        <w:tabs>
          <w:tab w:val="left" w:leader="none" w:pos="284"/>
        </w:tabs>
        <w:spacing w:line="360" w:lineRule="auto"/>
        <w:ind w:left="1440" w:right="616"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Acta de la Décima Novena Sesión Extraordinaria del ejercicio 2024, del Comité de Transparencia de la Junta de Caminos del Estado de México, de fecha treinta de septiembre de dos mil veinticuatro. </w:t>
      </w:r>
    </w:p>
    <w:p w:rsidR="00000000" w:rsidDel="00000000" w:rsidP="00000000" w:rsidRDefault="00000000" w:rsidRPr="00000000" w14:paraId="00000024">
      <w:pPr>
        <w:numPr>
          <w:ilvl w:val="0"/>
          <w:numId w:val="7"/>
        </w:numPr>
        <w:pBdr>
          <w:top w:space="0" w:sz="0" w:val="nil"/>
          <w:left w:space="0" w:sz="0" w:val="nil"/>
          <w:bottom w:space="0" w:sz="0" w:val="nil"/>
          <w:right w:space="0" w:sz="0" w:val="nil"/>
          <w:between w:space="0" w:sz="0" w:val="nil"/>
        </w:pBdr>
        <w:tabs>
          <w:tab w:val="left" w:leader="none" w:pos="284"/>
        </w:tabs>
        <w:spacing w:line="360" w:lineRule="auto"/>
        <w:ind w:left="1440" w:right="616"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Lista de Asistencia de la Décima Novena Sesión Extraordinaria del ejercicio 2024, del Comité de Transparencia de la Junta de Caminos del Estado de México, de fecha treinta de septiembre de dos mil veinticuatro. </w:t>
      </w:r>
    </w:p>
    <w:p w:rsidR="00000000" w:rsidDel="00000000" w:rsidP="00000000" w:rsidRDefault="00000000" w:rsidRPr="00000000" w14:paraId="00000025">
      <w:pPr>
        <w:numPr>
          <w:ilvl w:val="0"/>
          <w:numId w:val="7"/>
        </w:numPr>
        <w:pBdr>
          <w:top w:space="0" w:sz="0" w:val="nil"/>
          <w:left w:space="0" w:sz="0" w:val="nil"/>
          <w:bottom w:space="0" w:sz="0" w:val="nil"/>
          <w:right w:space="0" w:sz="0" w:val="nil"/>
          <w:between w:space="0" w:sz="0" w:val="nil"/>
        </w:pBdr>
        <w:tabs>
          <w:tab w:val="left" w:leader="none" w:pos="284"/>
        </w:tabs>
        <w:spacing w:line="360" w:lineRule="auto"/>
        <w:ind w:left="1440" w:right="616"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Oficio número 0737/2024 de fecha veintisiete de septiembre de dos mi veinticuatro, mediante el cual el Encargado del Despacho de la Unidad de Planeación y Tecnologías de la Información y Comunicación, convoco al Titular del Órgano Interno de Control, Subdirectora de Administración y Finanzas y Responsable del Área coordinadora de Archivo y al Jefe de la Unidad Jurídica Consultiva y de Igualdad de Género y Encargado de la Protección de Datos Personales, a la Décima Novena Sesión Extraordinaria del ejercicio 2024, misma que se llevó a cabo el treinta de septiembre de dos mil veinticuatro. </w:t>
      </w:r>
    </w:p>
    <w:p w:rsidR="00000000" w:rsidDel="00000000" w:rsidP="00000000" w:rsidRDefault="00000000" w:rsidRPr="00000000" w14:paraId="00000026">
      <w:pPr>
        <w:pBdr>
          <w:top w:space="0" w:sz="0" w:val="nil"/>
          <w:left w:space="0" w:sz="0" w:val="nil"/>
          <w:bottom w:space="0" w:sz="0" w:val="nil"/>
          <w:right w:space="0" w:sz="0" w:val="nil"/>
          <w:between w:space="0" w:sz="0" w:val="nil"/>
        </w:pBdr>
        <w:tabs>
          <w:tab w:val="left" w:leader="none" w:pos="284"/>
        </w:tabs>
        <w:spacing w:line="360" w:lineRule="auto"/>
        <w:ind w:right="616"/>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ab/>
      </w:r>
      <w:r w:rsidDel="00000000" w:rsidR="00000000" w:rsidRPr="00000000">
        <w:rPr>
          <w:rFonts w:ascii="Palatino Linotype" w:cs="Palatino Linotype" w:eastAsia="Palatino Linotype" w:hAnsi="Palatino Linotype"/>
          <w:b w:val="1"/>
          <w:i w:val="1"/>
          <w:sz w:val="22"/>
          <w:szCs w:val="22"/>
          <w:rtl w:val="0"/>
        </w:rPr>
        <w:t xml:space="preserve">Anexo 4 Informe Justificado 6229.pdf</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27">
      <w:pPr>
        <w:numPr>
          <w:ilvl w:val="0"/>
          <w:numId w:val="7"/>
        </w:numPr>
        <w:pBdr>
          <w:top w:space="0" w:sz="0" w:val="nil"/>
          <w:left w:space="0" w:sz="0" w:val="nil"/>
          <w:bottom w:space="0" w:sz="0" w:val="nil"/>
          <w:right w:space="0" w:sz="0" w:val="nil"/>
          <w:between w:space="0" w:sz="0" w:val="nil"/>
        </w:pBdr>
        <w:tabs>
          <w:tab w:val="left" w:leader="none" w:pos="284"/>
        </w:tabs>
        <w:spacing w:line="360" w:lineRule="auto"/>
        <w:ind w:left="1440" w:right="616"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Oficio número 220C0101040000L/999/2024 de fecha tres de octubre de dos mi veinticuatro, mediante el cual la Encargada de Despacho de la Dirección de Administración y Finanzas, informó la entrega de los recibos de nómina del Personal Adscrito al Órgano Interno de Control por el periodo solicitado, en versión pública. </w:t>
      </w:r>
    </w:p>
    <w:p w:rsidR="00000000" w:rsidDel="00000000" w:rsidP="00000000" w:rsidRDefault="00000000" w:rsidRPr="00000000" w14:paraId="00000028">
      <w:pPr>
        <w:numPr>
          <w:ilvl w:val="0"/>
          <w:numId w:val="7"/>
        </w:numPr>
        <w:pBdr>
          <w:top w:space="0" w:sz="0" w:val="nil"/>
          <w:left w:space="0" w:sz="0" w:val="nil"/>
          <w:bottom w:space="0" w:sz="0" w:val="nil"/>
          <w:right w:space="0" w:sz="0" w:val="nil"/>
          <w:between w:space="0" w:sz="0" w:val="nil"/>
        </w:pBdr>
        <w:tabs>
          <w:tab w:val="left" w:leader="none" w:pos="284"/>
        </w:tabs>
        <w:spacing w:line="360" w:lineRule="auto"/>
        <w:ind w:left="1440" w:right="616"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Comprobantes de percepciones y deducciones de algunas quincenas de los meses de enero a agosto de dos mil veinticuatro. </w:t>
      </w:r>
    </w:p>
    <w:p w:rsidR="00000000" w:rsidDel="00000000" w:rsidP="00000000" w:rsidRDefault="00000000" w:rsidRPr="00000000" w14:paraId="00000029">
      <w:pPr>
        <w:numPr>
          <w:ilvl w:val="0"/>
          <w:numId w:val="1"/>
        </w:numPr>
        <w:pBdr>
          <w:top w:space="0" w:sz="0" w:val="nil"/>
          <w:left w:space="0" w:sz="0" w:val="nil"/>
          <w:bottom w:space="0" w:sz="0" w:val="nil"/>
          <w:right w:space="0" w:sz="0" w:val="nil"/>
          <w:between w:space="0" w:sz="0" w:val="nil"/>
        </w:pBdr>
        <w:tabs>
          <w:tab w:val="left" w:leader="none" w:pos="284"/>
        </w:tabs>
        <w:spacing w:line="360" w:lineRule="auto"/>
        <w:ind w:left="927" w:right="616"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Anexo 5 Informe Justificado 6229.pdf</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2A">
      <w:pPr>
        <w:numPr>
          <w:ilvl w:val="0"/>
          <w:numId w:val="10"/>
        </w:numPr>
        <w:pBdr>
          <w:top w:space="0" w:sz="0" w:val="nil"/>
          <w:left w:space="0" w:sz="0" w:val="nil"/>
          <w:bottom w:space="0" w:sz="0" w:val="nil"/>
          <w:right w:space="0" w:sz="0" w:val="nil"/>
          <w:between w:space="0" w:sz="0" w:val="nil"/>
        </w:pBdr>
        <w:tabs>
          <w:tab w:val="left" w:leader="none" w:pos="284"/>
        </w:tabs>
        <w:spacing w:line="360" w:lineRule="auto"/>
        <w:ind w:left="1647" w:right="616"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Oficio número 0753/2024 de fecha tres de septiembre de dos mil veinticuatro, suscrito por la Encargada de Despacho de la Unidad de Planeación y Tecnologías de la Información y Comunicación, mediante el cual informó la entrega del oficio número 220C0101040000L/999/2024 y anexos, suscrito por la Encargada del Despacho de la Dirección de Administración y Finanzas, por medio del cual proporciona respuesta a la solicitud.</w:t>
      </w:r>
    </w:p>
    <w:p w:rsidR="00000000" w:rsidDel="00000000" w:rsidP="00000000" w:rsidRDefault="00000000" w:rsidRPr="00000000" w14:paraId="0000002B">
      <w:pPr>
        <w:numPr>
          <w:ilvl w:val="0"/>
          <w:numId w:val="10"/>
        </w:numPr>
        <w:pBdr>
          <w:top w:space="0" w:sz="0" w:val="nil"/>
          <w:left w:space="0" w:sz="0" w:val="nil"/>
          <w:bottom w:space="0" w:sz="0" w:val="nil"/>
          <w:right w:space="0" w:sz="0" w:val="nil"/>
          <w:between w:space="0" w:sz="0" w:val="nil"/>
        </w:pBdr>
        <w:tabs>
          <w:tab w:val="left" w:leader="none" w:pos="284"/>
        </w:tabs>
        <w:spacing w:line="360" w:lineRule="auto"/>
        <w:ind w:left="1647" w:right="616"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Oficio número 220C0101040000L/999/2024 de fecha tres de octubre de dos mi veinticuatro, mediante el cual la Encargada de Despacho de la Dirección de Administración y Finanzas, informó la entrega de los recibos de nómina del Personal adscrito al Órgano Interno de Control de la Junta de Caminos del Estado de México por el periodo solicitado, en versión pública.</w:t>
      </w:r>
    </w:p>
    <w:p w:rsidR="00000000" w:rsidDel="00000000" w:rsidP="00000000" w:rsidRDefault="00000000" w:rsidRPr="00000000" w14:paraId="0000002C">
      <w:pPr>
        <w:pBdr>
          <w:top w:space="0" w:sz="0" w:val="nil"/>
          <w:left w:space="0" w:sz="0" w:val="nil"/>
          <w:bottom w:space="0" w:sz="0" w:val="nil"/>
          <w:right w:space="0" w:sz="0" w:val="nil"/>
          <w:between w:space="0" w:sz="0" w:val="nil"/>
        </w:pBdr>
        <w:tabs>
          <w:tab w:val="left" w:leader="none" w:pos="284"/>
        </w:tabs>
        <w:spacing w:line="360" w:lineRule="auto"/>
        <w:ind w:left="1647" w:right="616"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tabs>
          <w:tab w:val="left" w:leader="none" w:pos="284"/>
        </w:tabs>
        <w:spacing w:line="360" w:lineRule="auto"/>
        <w:ind w:left="1647"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No omite mencionar que la clasificación de información como confidencial que obra en cada recibo de nómina que se anexa a la presente, fue aprobada mediante Acuerdo número JC/CT/EXT/019-2024/PRIMERO, Acta de la Décima Novena Sesión Extraordinaria del ejercicio 2024, del Comité de Transparencia de la Junta de Caminos del Estado de México, del treinta de septiembre de dos mil veinticuatro.</w:t>
      </w:r>
    </w:p>
    <w:p w:rsidR="00000000" w:rsidDel="00000000" w:rsidP="00000000" w:rsidRDefault="00000000" w:rsidRPr="00000000" w14:paraId="0000002E">
      <w:pPr>
        <w:numPr>
          <w:ilvl w:val="0"/>
          <w:numId w:val="7"/>
        </w:numPr>
        <w:pBdr>
          <w:top w:space="0" w:sz="0" w:val="nil"/>
          <w:left w:space="0" w:sz="0" w:val="nil"/>
          <w:bottom w:space="0" w:sz="0" w:val="nil"/>
          <w:right w:space="0" w:sz="0" w:val="nil"/>
          <w:between w:space="0" w:sz="0" w:val="nil"/>
        </w:pBdr>
        <w:tabs>
          <w:tab w:val="left" w:leader="none" w:pos="284"/>
        </w:tabs>
        <w:spacing w:line="360" w:lineRule="auto"/>
        <w:ind w:left="1440" w:right="616"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Comprobantes de percepciones y deducciones de algunas quincenas de los meses de enero - agosto de dos mil veinticuatro. </w:t>
      </w:r>
    </w:p>
    <w:p w:rsidR="00000000" w:rsidDel="00000000" w:rsidP="00000000" w:rsidRDefault="00000000" w:rsidRPr="00000000" w14:paraId="0000002F">
      <w:pPr>
        <w:numPr>
          <w:ilvl w:val="0"/>
          <w:numId w:val="7"/>
        </w:numPr>
        <w:pBdr>
          <w:top w:space="0" w:sz="0" w:val="nil"/>
          <w:left w:space="0" w:sz="0" w:val="nil"/>
          <w:bottom w:space="0" w:sz="0" w:val="nil"/>
          <w:right w:space="0" w:sz="0" w:val="nil"/>
          <w:between w:space="0" w:sz="0" w:val="nil"/>
        </w:pBdr>
        <w:tabs>
          <w:tab w:val="left" w:leader="none" w:pos="284"/>
        </w:tabs>
        <w:spacing w:line="360" w:lineRule="auto"/>
        <w:ind w:left="1440" w:right="616"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Acta de la Décima Novena Sesión Extraordinaria del ejercicio 2024, del Comité de Transparencia de la Junta de Caminos del Estado de México, de fecha treinta de septiembre de dos mil veinticuatro. </w:t>
      </w:r>
    </w:p>
    <w:p w:rsidR="00000000" w:rsidDel="00000000" w:rsidP="00000000" w:rsidRDefault="00000000" w:rsidRPr="00000000" w14:paraId="00000030">
      <w:pPr>
        <w:numPr>
          <w:ilvl w:val="0"/>
          <w:numId w:val="7"/>
        </w:numPr>
        <w:pBdr>
          <w:top w:space="0" w:sz="0" w:val="nil"/>
          <w:left w:space="0" w:sz="0" w:val="nil"/>
          <w:bottom w:space="0" w:sz="0" w:val="nil"/>
          <w:right w:space="0" w:sz="0" w:val="nil"/>
          <w:between w:space="0" w:sz="0" w:val="nil"/>
        </w:pBdr>
        <w:tabs>
          <w:tab w:val="left" w:leader="none" w:pos="284"/>
        </w:tabs>
        <w:spacing w:line="360" w:lineRule="auto"/>
        <w:ind w:left="1440" w:right="616"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Oficio número 0700/2024 de fecha once de septiembre de dos mil veinticuatro, signado por la Encargada del Despacho de la Unidad de Planeación y Tecnologías de la Información y Comunicación, mediante el cual solicitó a la Dirección de Administración y Finanzas dar respuesta a la solicitud de información.</w:t>
      </w:r>
    </w:p>
    <w:p w:rsidR="00000000" w:rsidDel="00000000" w:rsidP="00000000" w:rsidRDefault="00000000" w:rsidRPr="00000000" w14:paraId="00000031">
      <w:pPr>
        <w:numPr>
          <w:ilvl w:val="0"/>
          <w:numId w:val="8"/>
        </w:numPr>
        <w:pBdr>
          <w:top w:space="0" w:sz="0" w:val="nil"/>
          <w:left w:space="0" w:sz="0" w:val="nil"/>
          <w:bottom w:space="0" w:sz="0" w:val="nil"/>
          <w:right w:space="0" w:sz="0" w:val="nil"/>
          <w:between w:space="0" w:sz="0" w:val="nil"/>
        </w:pBdr>
        <w:tabs>
          <w:tab w:val="left" w:leader="none" w:pos="284"/>
        </w:tabs>
        <w:spacing w:line="360" w:lineRule="auto"/>
        <w:ind w:left="720" w:right="616"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Anexos 6. y 7. Informe Justificado 6229.pdf: </w:t>
      </w:r>
      <w:r w:rsidDel="00000000" w:rsidR="00000000" w:rsidRPr="00000000">
        <w:rPr>
          <w:rtl w:val="0"/>
        </w:rPr>
      </w:r>
    </w:p>
    <w:p w:rsidR="00000000" w:rsidDel="00000000" w:rsidP="00000000" w:rsidRDefault="00000000" w:rsidRPr="00000000" w14:paraId="00000032">
      <w:pPr>
        <w:numPr>
          <w:ilvl w:val="0"/>
          <w:numId w:val="9"/>
        </w:numPr>
        <w:pBdr>
          <w:top w:space="0" w:sz="0" w:val="nil"/>
          <w:left w:space="0" w:sz="0" w:val="nil"/>
          <w:bottom w:space="0" w:sz="0" w:val="nil"/>
          <w:right w:space="0" w:sz="0" w:val="nil"/>
          <w:between w:space="0" w:sz="0" w:val="nil"/>
        </w:pBdr>
        <w:tabs>
          <w:tab w:val="left" w:leader="none" w:pos="284"/>
        </w:tabs>
        <w:spacing w:line="360" w:lineRule="auto"/>
        <w:ind w:left="1440" w:right="616"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Oficio número 0812/2024 de fecha quince de octubre de dos mil veinticuatro, suscrito por la Encargada de Despacho de la Unidad de Planeación y Tecnologías de la Información y Comunicación, mediante el cual solicitó a la Dirección de Administración y Finanzas el informe justificado. </w:t>
      </w:r>
    </w:p>
    <w:p w:rsidR="00000000" w:rsidDel="00000000" w:rsidP="00000000" w:rsidRDefault="00000000" w:rsidRPr="00000000" w14:paraId="00000033">
      <w:pPr>
        <w:numPr>
          <w:ilvl w:val="0"/>
          <w:numId w:val="9"/>
        </w:numPr>
        <w:pBdr>
          <w:top w:space="0" w:sz="0" w:val="nil"/>
          <w:left w:space="0" w:sz="0" w:val="nil"/>
          <w:bottom w:space="0" w:sz="0" w:val="nil"/>
          <w:right w:space="0" w:sz="0" w:val="nil"/>
          <w:between w:space="0" w:sz="0" w:val="nil"/>
        </w:pBdr>
        <w:tabs>
          <w:tab w:val="left" w:leader="none" w:pos="284"/>
        </w:tabs>
        <w:spacing w:line="360" w:lineRule="auto"/>
        <w:ind w:left="1440" w:right="616"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Oficio número 220C0101040000L/1038/2024 de fecha veintiuno de octubre de dos mi veinticuatro, mediante el cual la Encargada de Despacho de la Dirección de Administración y Finanzas, informó que la solicitud fue atendida de manera correcta y completa, en ningún momento se negó el acceso a la información, no omite señalar que el recurrente no constituye el enunciado gramatical que identifica al criterio de interpretación que tiene por objeto reflejar con precisión, congruencia y claridad el sentido del criterio referido a la razón o motivo de la inconformidad; por lo que, previene al recurrente para que en un plazo máximo de cinco días hábiles posteriores a la fecha de la notificación del presente acuerdo, a efecto de que aclare los motivos de inconformidad con la respuesta entregada.</w:t>
      </w:r>
    </w:p>
    <w:p w:rsidR="00000000" w:rsidDel="00000000" w:rsidP="00000000" w:rsidRDefault="00000000" w:rsidRPr="00000000" w14:paraId="00000034">
      <w:pPr>
        <w:pBdr>
          <w:top w:space="0" w:sz="0" w:val="nil"/>
          <w:left w:space="0" w:sz="0" w:val="nil"/>
          <w:bottom w:space="0" w:sz="0" w:val="nil"/>
          <w:right w:space="0" w:sz="0" w:val="nil"/>
          <w:between w:space="0" w:sz="0" w:val="nil"/>
        </w:pBdr>
        <w:tabs>
          <w:tab w:val="left" w:leader="none" w:pos="284"/>
        </w:tabs>
        <w:spacing w:line="360" w:lineRule="auto"/>
        <w:ind w:right="49"/>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tabs>
          <w:tab w:val="left" w:leader="none" w:pos="284"/>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Documentos de los cuales únicamente fue puesto a la vista de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los archivos electrónicos </w:t>
      </w:r>
      <w:r w:rsidDel="00000000" w:rsidR="00000000" w:rsidRPr="00000000">
        <w:rPr>
          <w:rFonts w:ascii="Palatino Linotype" w:cs="Palatino Linotype" w:eastAsia="Palatino Linotype" w:hAnsi="Palatino Linotype"/>
          <w:b w:val="1"/>
          <w:i w:val="1"/>
          <w:sz w:val="22"/>
          <w:szCs w:val="22"/>
          <w:rtl w:val="0"/>
        </w:rPr>
        <w:t xml:space="preserve">“Informe Justificado 6229.pdf, Anexos 1. 2. y 3. Informe Justificado 6229.pdf </w:t>
      </w:r>
      <w:r w:rsidDel="00000000" w:rsidR="00000000" w:rsidRPr="00000000">
        <w:rPr>
          <w:rFonts w:ascii="Palatino Linotype" w:cs="Palatino Linotype" w:eastAsia="Palatino Linotype" w:hAnsi="Palatino Linotype"/>
          <w:sz w:val="22"/>
          <w:szCs w:val="22"/>
          <w:rtl w:val="0"/>
        </w:rPr>
        <w:t xml:space="preserve">y</w:t>
      </w:r>
      <w:r w:rsidDel="00000000" w:rsidR="00000000" w:rsidRPr="00000000">
        <w:rPr>
          <w:rFonts w:ascii="Palatino Linotype" w:cs="Palatino Linotype" w:eastAsia="Palatino Linotype" w:hAnsi="Palatino Linotype"/>
          <w:b w:val="1"/>
          <w:i w:val="1"/>
          <w:sz w:val="22"/>
          <w:szCs w:val="22"/>
          <w:rtl w:val="0"/>
        </w:rPr>
        <w:t xml:space="preserve"> Anexos 6. y 7. Informe Justificado 6229.pdf”</w:t>
      </w:r>
      <w:r w:rsidDel="00000000" w:rsidR="00000000" w:rsidRPr="00000000">
        <w:rPr>
          <w:rFonts w:ascii="Palatino Linotype" w:cs="Palatino Linotype" w:eastAsia="Palatino Linotype" w:hAnsi="Palatino Linotype"/>
          <w:sz w:val="22"/>
          <w:szCs w:val="22"/>
          <w:rtl w:val="0"/>
        </w:rPr>
        <w:t xml:space="preserve">, en fecha </w:t>
      </w:r>
      <w:r w:rsidDel="00000000" w:rsidR="00000000" w:rsidRPr="00000000">
        <w:rPr>
          <w:rFonts w:ascii="Palatino Linotype" w:cs="Palatino Linotype" w:eastAsia="Palatino Linotype" w:hAnsi="Palatino Linotype"/>
          <w:b w:val="1"/>
          <w:sz w:val="22"/>
          <w:szCs w:val="22"/>
          <w:rtl w:val="0"/>
        </w:rPr>
        <w:t xml:space="preserve">siete de noviembre de dos mil veinticuatro</w:t>
      </w:r>
      <w:r w:rsidDel="00000000" w:rsidR="00000000" w:rsidRPr="00000000">
        <w:rPr>
          <w:rFonts w:ascii="Palatino Linotype" w:cs="Palatino Linotype" w:eastAsia="Palatino Linotype" w:hAnsi="Palatino Linotype"/>
          <w:sz w:val="22"/>
          <w:szCs w:val="22"/>
          <w:rtl w:val="0"/>
        </w:rPr>
        <w:t xml:space="preserve">; no obstante, fue omisa en ejercer dicha prerrogativa. </w:t>
      </w:r>
    </w:p>
    <w:p w:rsidR="00000000" w:rsidDel="00000000" w:rsidP="00000000" w:rsidRDefault="00000000" w:rsidRPr="00000000" w14:paraId="00000036">
      <w:pPr>
        <w:pBdr>
          <w:top w:space="0" w:sz="0" w:val="nil"/>
          <w:left w:space="0" w:sz="0" w:val="nil"/>
          <w:bottom w:space="0" w:sz="0" w:val="nil"/>
          <w:right w:space="0" w:sz="0" w:val="nil"/>
          <w:between w:space="0" w:sz="0" w:val="nil"/>
        </w:pBdr>
        <w:tabs>
          <w:tab w:val="left" w:leader="none" w:pos="284"/>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tabs>
          <w:tab w:val="left" w:leader="none" w:pos="284"/>
        </w:tabs>
        <w:spacing w:line="360" w:lineRule="auto"/>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sz w:val="22"/>
          <w:szCs w:val="22"/>
          <w:rtl w:val="0"/>
        </w:rPr>
        <w:t xml:space="preserve">Por lo que hace a los archivos electrónicos denominados </w:t>
      </w:r>
      <w:r w:rsidDel="00000000" w:rsidR="00000000" w:rsidRPr="00000000">
        <w:rPr>
          <w:rFonts w:ascii="Palatino Linotype" w:cs="Palatino Linotype" w:eastAsia="Palatino Linotype" w:hAnsi="Palatino Linotype"/>
          <w:b w:val="1"/>
          <w:i w:val="1"/>
          <w:sz w:val="22"/>
          <w:szCs w:val="22"/>
          <w:rtl w:val="0"/>
        </w:rPr>
        <w:t xml:space="preserve">“Anexo 4 Informe Justificado 6229.pdf </w:t>
      </w:r>
      <w:r w:rsidDel="00000000" w:rsidR="00000000" w:rsidRPr="00000000">
        <w:rPr>
          <w:rFonts w:ascii="Palatino Linotype" w:cs="Palatino Linotype" w:eastAsia="Palatino Linotype" w:hAnsi="Palatino Linotype"/>
          <w:i w:val="1"/>
          <w:sz w:val="22"/>
          <w:szCs w:val="22"/>
          <w:rtl w:val="0"/>
        </w:rPr>
        <w:t xml:space="preserve">y </w:t>
      </w:r>
      <w:r w:rsidDel="00000000" w:rsidR="00000000" w:rsidRPr="00000000">
        <w:rPr>
          <w:rFonts w:ascii="Palatino Linotype" w:cs="Palatino Linotype" w:eastAsia="Palatino Linotype" w:hAnsi="Palatino Linotype"/>
          <w:b w:val="1"/>
          <w:i w:val="1"/>
          <w:sz w:val="22"/>
          <w:szCs w:val="22"/>
          <w:rtl w:val="0"/>
        </w:rPr>
        <w:t xml:space="preserve">Anexo 5 Informe Justificado 6229.pdf”</w:t>
      </w:r>
      <w:r w:rsidDel="00000000" w:rsidR="00000000" w:rsidRPr="00000000">
        <w:rPr>
          <w:rFonts w:ascii="Palatino Linotype" w:cs="Palatino Linotype" w:eastAsia="Palatino Linotype" w:hAnsi="Palatino Linotype"/>
          <w:sz w:val="22"/>
          <w:szCs w:val="22"/>
          <w:rtl w:val="0"/>
        </w:rPr>
        <w:t xml:space="preserve">, no fueron puestos a la vista del particular, toda vez que de la revisión se advierte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dejo datos visibles que son considerados como confidenciales, como lo son, descuentos personales. </w:t>
      </w: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tabs>
          <w:tab w:val="left" w:leader="none" w:pos="284"/>
        </w:tabs>
        <w:spacing w:line="360" w:lineRule="auto"/>
        <w:ind w:right="49"/>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7. Cierre de instrucción. </w:t>
      </w:r>
      <w:r w:rsidDel="00000000" w:rsidR="00000000" w:rsidRPr="00000000">
        <w:rPr>
          <w:rFonts w:ascii="Palatino Linotype" w:cs="Palatino Linotype" w:eastAsia="Palatino Linotype" w:hAnsi="Palatino Linotype"/>
          <w:sz w:val="22"/>
          <w:szCs w:val="22"/>
          <w:rtl w:val="0"/>
        </w:rPr>
        <w:t xml:space="preserve">Una vez transcurrido el periodo otorgado a las partes para realizar sus manifestaciones y no habiendo documentos que integrar al expediente, </w:t>
      </w:r>
      <w:r w:rsidDel="00000000" w:rsidR="00000000" w:rsidRPr="00000000">
        <w:rPr>
          <w:rFonts w:ascii="Palatino Linotype" w:cs="Palatino Linotype" w:eastAsia="Palatino Linotype" w:hAnsi="Palatino Linotype"/>
          <w:b w:val="1"/>
          <w:sz w:val="22"/>
          <w:szCs w:val="22"/>
          <w:rtl w:val="0"/>
        </w:rPr>
        <w:t xml:space="preserve">el catorce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de noviembre de dos mil veinticuatro,</w:t>
      </w:r>
      <w:r w:rsidDel="00000000" w:rsidR="00000000" w:rsidRPr="00000000">
        <w:rPr>
          <w:rFonts w:ascii="Palatino Linotype" w:cs="Palatino Linotype" w:eastAsia="Palatino Linotype" w:hAnsi="Palatino Linotype"/>
          <w:sz w:val="22"/>
          <w:szCs w:val="22"/>
          <w:rtl w:val="0"/>
        </w:rPr>
        <w:t xml:space="preserve"> 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3A">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razón de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3B">
      <w:pPr>
        <w:widowControl w:val="0"/>
        <w:spacing w:after="240" w:before="240" w:line="360" w:lineRule="auto"/>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II. C O N S I D E R A N D O S</w:t>
      </w:r>
    </w:p>
    <w:p w:rsidR="00000000" w:rsidDel="00000000" w:rsidP="00000000" w:rsidRDefault="00000000" w:rsidRPr="00000000" w14:paraId="0000003C">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Primero. Competencia.</w:t>
      </w:r>
      <w:r w:rsidDel="00000000" w:rsidR="00000000" w:rsidRPr="00000000">
        <w:rPr>
          <w:rFonts w:ascii="Palatino Linotype" w:cs="Palatino Linotype" w:eastAsia="Palatino Linotype" w:hAnsi="Palatino Linotype"/>
          <w:sz w:val="22"/>
          <w:szCs w:val="22"/>
          <w:rtl w:val="0"/>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3D">
      <w:pPr>
        <w:spacing w:after="240" w:before="240" w:line="360" w:lineRule="auto"/>
        <w:jc w:val="both"/>
        <w:rPr>
          <w:rFonts w:ascii="Palatino Linotype" w:cs="Palatino Linotype" w:eastAsia="Palatino Linotype" w:hAnsi="Palatino Linotype"/>
          <w:sz w:val="22"/>
          <w:szCs w:val="22"/>
        </w:rPr>
      </w:pPr>
      <w:bookmarkStart w:colFirst="0" w:colLast="0" w:name="_heading=h.tyjcwt" w:id="5"/>
      <w:bookmarkEnd w:id="5"/>
      <w:r w:rsidDel="00000000" w:rsidR="00000000" w:rsidRPr="00000000">
        <w:rPr>
          <w:rFonts w:ascii="Palatino Linotype" w:cs="Palatino Linotype" w:eastAsia="Palatino Linotype" w:hAnsi="Palatino Linotype"/>
          <w:b w:val="1"/>
          <w:sz w:val="22"/>
          <w:szCs w:val="22"/>
          <w:rtl w:val="0"/>
        </w:rPr>
        <w:t xml:space="preserve">Segundo. Oportunidad y Procedibilidad del Recurso de Revisión</w:t>
      </w:r>
      <w:r w:rsidDel="00000000" w:rsidR="00000000" w:rsidRPr="00000000">
        <w:rPr>
          <w:rFonts w:ascii="Palatino Linotype" w:cs="Palatino Linotype" w:eastAsia="Palatino Linotype" w:hAnsi="Palatino Linotype"/>
          <w:sz w:val="22"/>
          <w:szCs w:val="22"/>
          <w:rtl w:val="0"/>
        </w:rPr>
        <w:t xml:space="preserve">.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00000" w:rsidDel="00000000" w:rsidP="00000000" w:rsidRDefault="00000000" w:rsidRPr="00000000" w14:paraId="0000003E">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recurso de revisión fue interpuesto dentro del plazo de quince días hábiles, previsto en el artículo 178 de la Ley de Transparencia y Acceso a la Información Pública del Estado de México y Municipios, toda vez que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remitió la respuesta a la solicitud de información el </w:t>
      </w:r>
      <w:r w:rsidDel="00000000" w:rsidR="00000000" w:rsidRPr="00000000">
        <w:rPr>
          <w:rFonts w:ascii="Palatino Linotype" w:cs="Palatino Linotype" w:eastAsia="Palatino Linotype" w:hAnsi="Palatino Linotype"/>
          <w:b w:val="1"/>
          <w:sz w:val="22"/>
          <w:szCs w:val="22"/>
          <w:rtl w:val="0"/>
        </w:rPr>
        <w:t xml:space="preserve">tres de octubre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de dos mil veinticuatro, </w:t>
      </w:r>
      <w:r w:rsidDel="00000000" w:rsidR="00000000" w:rsidRPr="00000000">
        <w:rPr>
          <w:rFonts w:ascii="Palatino Linotype" w:cs="Palatino Linotype" w:eastAsia="Palatino Linotype" w:hAnsi="Palatino Linotype"/>
          <w:sz w:val="22"/>
          <w:szCs w:val="22"/>
          <w:rtl w:val="0"/>
        </w:rPr>
        <w:t xml:space="preserve">mientras que el recurso de revisión interpuesto por la parte</w:t>
      </w:r>
      <w:r w:rsidDel="00000000" w:rsidR="00000000" w:rsidRPr="00000000">
        <w:rPr>
          <w:rFonts w:ascii="Palatino Linotype" w:cs="Palatino Linotype" w:eastAsia="Palatino Linotype" w:hAnsi="Palatino Linotype"/>
          <w:b w:val="1"/>
          <w:sz w:val="22"/>
          <w:szCs w:val="22"/>
          <w:rtl w:val="0"/>
        </w:rPr>
        <w:t xml:space="preserve"> Recurrente</w:t>
      </w:r>
      <w:r w:rsidDel="00000000" w:rsidR="00000000" w:rsidRPr="00000000">
        <w:rPr>
          <w:rFonts w:ascii="Palatino Linotype" w:cs="Palatino Linotype" w:eastAsia="Palatino Linotype" w:hAnsi="Palatino Linotype"/>
          <w:sz w:val="22"/>
          <w:szCs w:val="22"/>
          <w:rtl w:val="0"/>
        </w:rPr>
        <w:t xml:space="preserve">, se tuvo por presentado el día </w:t>
      </w:r>
      <w:r w:rsidDel="00000000" w:rsidR="00000000" w:rsidRPr="00000000">
        <w:rPr>
          <w:rFonts w:ascii="Palatino Linotype" w:cs="Palatino Linotype" w:eastAsia="Palatino Linotype" w:hAnsi="Palatino Linotype"/>
          <w:b w:val="1"/>
          <w:sz w:val="22"/>
          <w:szCs w:val="22"/>
          <w:rtl w:val="0"/>
        </w:rPr>
        <w:t xml:space="preserve">diez de octubre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de dos mil veinticuatro, </w:t>
      </w:r>
      <w:r w:rsidDel="00000000" w:rsidR="00000000" w:rsidRPr="00000000">
        <w:rPr>
          <w:rFonts w:ascii="Palatino Linotype" w:cs="Palatino Linotype" w:eastAsia="Palatino Linotype" w:hAnsi="Palatino Linotype"/>
          <w:sz w:val="22"/>
          <w:szCs w:val="22"/>
          <w:rtl w:val="0"/>
        </w:rPr>
        <w:t xml:space="preserve">esto es, al </w:t>
      </w:r>
      <w:r w:rsidDel="00000000" w:rsidR="00000000" w:rsidRPr="00000000">
        <w:rPr>
          <w:rFonts w:ascii="Palatino Linotype" w:cs="Palatino Linotype" w:eastAsia="Palatino Linotype" w:hAnsi="Palatino Linotype"/>
          <w:b w:val="1"/>
          <w:sz w:val="22"/>
          <w:szCs w:val="22"/>
          <w:rtl w:val="0"/>
        </w:rPr>
        <w:t xml:space="preserve">quinto día hábil</w:t>
      </w:r>
      <w:r w:rsidDel="00000000" w:rsidR="00000000" w:rsidRPr="00000000">
        <w:rPr>
          <w:rFonts w:ascii="Palatino Linotype" w:cs="Palatino Linotype" w:eastAsia="Palatino Linotype" w:hAnsi="Palatino Linotype"/>
          <w:sz w:val="22"/>
          <w:szCs w:val="22"/>
          <w:rtl w:val="0"/>
        </w:rPr>
        <w:t xml:space="preserve"> siguiente al que tuvo conocimiento de la respuesta impugnada. En este sentido, se concluye que el presente recurso de revisión se encuentra dentro de los márgenes temporales previstos en las disposiciones legales referidas.</w:t>
      </w:r>
    </w:p>
    <w:p w:rsidR="00000000" w:rsidDel="00000000" w:rsidP="00000000" w:rsidRDefault="00000000" w:rsidRPr="00000000" w14:paraId="0000003F">
      <w:pPr>
        <w:tabs>
          <w:tab w:val="left" w:leader="none" w:pos="7938"/>
        </w:tabs>
        <w:spacing w:after="240" w:before="240" w:line="360" w:lineRule="auto"/>
        <w:jc w:val="both"/>
        <w:rPr>
          <w:rFonts w:ascii="Palatino Linotype" w:cs="Palatino Linotype" w:eastAsia="Palatino Linotype" w:hAnsi="Palatino Linotype"/>
          <w:sz w:val="22"/>
          <w:szCs w:val="22"/>
        </w:rPr>
      </w:pPr>
      <w:bookmarkStart w:colFirst="0" w:colLast="0" w:name="_heading=h.3znysh7" w:id="6"/>
      <w:bookmarkEnd w:id="6"/>
      <w:r w:rsidDel="00000000" w:rsidR="00000000" w:rsidRPr="00000000">
        <w:rPr>
          <w:rFonts w:ascii="Palatino Linotype" w:cs="Palatino Linotype" w:eastAsia="Palatino Linotype" w:hAnsi="Palatino Linotype"/>
          <w:sz w:val="22"/>
          <w:szCs w:val="22"/>
          <w:rtl w:val="0"/>
        </w:rPr>
        <w:t xml:space="preserve">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000000" w:rsidDel="00000000" w:rsidP="00000000" w:rsidRDefault="00000000" w:rsidRPr="00000000" w14:paraId="00000040">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Finalmente, se advierte que resulta procedente la interposición del recurso, según lo manifestado por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en sus motivos de inconformidad, de acuerdo al artículo 179, fracción VI del ordenamiento legal citado, que a la letra dice: </w:t>
      </w:r>
    </w:p>
    <w:p w:rsidR="00000000" w:rsidDel="00000000" w:rsidP="00000000" w:rsidRDefault="00000000" w:rsidRPr="00000000" w14:paraId="00000041">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179.</w:t>
      </w:r>
      <w:r w:rsidDel="00000000" w:rsidR="00000000" w:rsidRPr="00000000">
        <w:rPr>
          <w:rFonts w:ascii="Palatino Linotype" w:cs="Palatino Linotype" w:eastAsia="Palatino Linotype" w:hAnsi="Palatino Linotype"/>
          <w:i w:val="1"/>
          <w:sz w:val="22"/>
          <w:szCs w:val="22"/>
          <w:rtl w:val="0"/>
        </w:rPr>
        <w:t xml:space="preserve"> 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42">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43">
      <w:pPr>
        <w:spacing w:after="120" w:before="120" w:lineRule="auto"/>
        <w:ind w:left="567"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VI. La entrega de información que no corresponda con lo solicitado;</w:t>
      </w:r>
      <w:r w:rsidDel="00000000" w:rsidR="00000000" w:rsidRPr="00000000">
        <w:rPr>
          <w:rFonts w:ascii="Palatino Linotype" w:cs="Palatino Linotype" w:eastAsia="Palatino Linotype" w:hAnsi="Palatino Linotype"/>
          <w:b w:val="1"/>
          <w:i w:val="1"/>
          <w:sz w:val="22"/>
          <w:szCs w:val="22"/>
          <w:rtl w:val="0"/>
        </w:rPr>
        <w:t xml:space="preserve">” </w:t>
      </w:r>
    </w:p>
    <w:p w:rsidR="00000000" w:rsidDel="00000000" w:rsidP="00000000" w:rsidRDefault="00000000" w:rsidRPr="00000000" w14:paraId="00000044">
      <w:pPr>
        <w:spacing w:after="120" w:before="120" w:lineRule="auto"/>
        <w:ind w:left="567" w:right="902"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i w:val="1"/>
          <w:sz w:val="22"/>
          <w:szCs w:val="22"/>
          <w:rtl w:val="0"/>
        </w:rPr>
        <w:t xml:space="preserve">(Énfasis añadido)</w:t>
      </w:r>
      <w:r w:rsidDel="00000000" w:rsidR="00000000" w:rsidRPr="00000000">
        <w:rPr>
          <w:rtl w:val="0"/>
        </w:rPr>
      </w:r>
    </w:p>
    <w:p w:rsidR="00000000" w:rsidDel="00000000" w:rsidP="00000000" w:rsidRDefault="00000000" w:rsidRPr="00000000" w14:paraId="00000045">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Tercero. Materia de la revisión. </w:t>
      </w:r>
      <w:r w:rsidDel="00000000" w:rsidR="00000000" w:rsidRPr="00000000">
        <w:rPr>
          <w:rFonts w:ascii="Palatino Linotype" w:cs="Palatino Linotype" w:eastAsia="Palatino Linotype" w:hAnsi="Palatino Linotype"/>
          <w:sz w:val="22"/>
          <w:szCs w:val="22"/>
          <w:rtl w:val="0"/>
        </w:rPr>
        <w:t xml:space="preserve">De la revisión a las constancias y documentos que obran en el expediente electrónico se advierte, que el tema sobre el que este Organismo Garante de Transparencia y Acceso a la Información se pronunciará será: </w:t>
      </w:r>
      <w:r w:rsidDel="00000000" w:rsidR="00000000" w:rsidRPr="00000000">
        <w:rPr>
          <w:rFonts w:ascii="Palatino Linotype" w:cs="Palatino Linotype" w:eastAsia="Palatino Linotype" w:hAnsi="Palatino Linotype"/>
          <w:b w:val="1"/>
          <w:sz w:val="22"/>
          <w:szCs w:val="22"/>
          <w:rtl w:val="0"/>
        </w:rPr>
        <w:t xml:space="preserve">verificar si la respuesta e informe justificado otorgados por el Sujeto Obligado son adecuados y suficientes para satisfacer el derecho de acceso a la información pública </w:t>
      </w:r>
      <w:r w:rsidDel="00000000" w:rsidR="00000000" w:rsidRPr="00000000">
        <w:rPr>
          <w:rFonts w:ascii="Palatino Linotype" w:cs="Palatino Linotype" w:eastAsia="Palatino Linotype" w:hAnsi="Palatino Linotype"/>
          <w:sz w:val="22"/>
          <w:szCs w:val="22"/>
          <w:rtl w:val="0"/>
        </w:rPr>
        <w:t xml:space="preserve">de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o en su defecto, en caso de ser procedente, ordenar la entrega de información.</w:t>
      </w:r>
    </w:p>
    <w:p w:rsidR="00000000" w:rsidDel="00000000" w:rsidP="00000000" w:rsidRDefault="00000000" w:rsidRPr="00000000" w14:paraId="00000046">
      <w:pPr>
        <w:spacing w:after="240" w:before="240" w:line="360" w:lineRule="auto"/>
        <w:jc w:val="both"/>
        <w:rPr>
          <w:rFonts w:ascii="Palatino Linotype" w:cs="Palatino Linotype" w:eastAsia="Palatino Linotype" w:hAnsi="Palatino Linotype"/>
          <w:sz w:val="22"/>
          <w:szCs w:val="22"/>
        </w:rPr>
      </w:pPr>
      <w:bookmarkStart w:colFirst="0" w:colLast="0" w:name="_heading=h.2et92p0" w:id="7"/>
      <w:bookmarkEnd w:id="7"/>
      <w:r w:rsidDel="00000000" w:rsidR="00000000" w:rsidRPr="00000000">
        <w:rPr>
          <w:rFonts w:ascii="Palatino Linotype" w:cs="Palatino Linotype" w:eastAsia="Palatino Linotype" w:hAnsi="Palatino Linotype"/>
          <w:b w:val="1"/>
          <w:sz w:val="22"/>
          <w:szCs w:val="22"/>
          <w:rtl w:val="0"/>
        </w:rPr>
        <w:t xml:space="preserve">Cuarto. Estudio del asunto. </w:t>
      </w:r>
      <w:r w:rsidDel="00000000" w:rsidR="00000000" w:rsidRPr="00000000">
        <w:rPr>
          <w:rFonts w:ascii="Palatino Linotype" w:cs="Palatino Linotype" w:eastAsia="Palatino Linotype" w:hAnsi="Palatino Linotype"/>
          <w:sz w:val="22"/>
          <w:szCs w:val="22"/>
          <w:rtl w:val="0"/>
        </w:rPr>
        <w:t xml:space="preserve">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rsidR="00000000" w:rsidDel="00000000" w:rsidP="00000000" w:rsidRDefault="00000000" w:rsidRPr="00000000" w14:paraId="00000047">
      <w:pPr>
        <w:spacing w:after="120" w:before="12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4</w:t>
      </w:r>
      <w:r w:rsidDel="00000000" w:rsidR="00000000" w:rsidRPr="00000000">
        <w:rPr>
          <w:rFonts w:ascii="Palatino Linotype" w:cs="Palatino Linotype" w:eastAsia="Palatino Linotype" w:hAnsi="Palatino Linotype"/>
          <w:i w:val="1"/>
          <w:sz w:val="22"/>
          <w:szCs w:val="22"/>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048">
      <w:pPr>
        <w:spacing w:after="120" w:before="12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Toda la información generada, obtenida, adquirida, transformada, administrada o en posesión de los sujetos obligados es pública y accesible de manera permanente a cualquier persona</w:t>
      </w:r>
      <w:r w:rsidDel="00000000" w:rsidR="00000000" w:rsidRPr="00000000">
        <w:rPr>
          <w:rFonts w:ascii="Palatino Linotype" w:cs="Palatino Linotype" w:eastAsia="Palatino Linotype" w:hAnsi="Palatino Linotype"/>
          <w:i w:val="1"/>
          <w:sz w:val="22"/>
          <w:szCs w:val="22"/>
          <w:rtl w:val="0"/>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00000" w:rsidDel="00000000" w:rsidP="00000000" w:rsidRDefault="00000000" w:rsidRPr="00000000" w14:paraId="00000049">
      <w:pPr>
        <w:spacing w:after="120" w:before="12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deben poner en práctica, políticas y programas de acceso a la información que se apeguen a criterios de publicidad, veracidad, oportunidad, precisión y suficiencia en beneficio de los solicitantes</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4A">
      <w:pPr>
        <w:spacing w:after="120" w:before="12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(Énfasis añadido)</w:t>
      </w:r>
    </w:p>
    <w:p w:rsidR="00000000" w:rsidDel="00000000" w:rsidP="00000000" w:rsidRDefault="00000000" w:rsidRPr="00000000" w14:paraId="0000004B">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000000" w:rsidDel="00000000" w:rsidP="00000000" w:rsidRDefault="00000000" w:rsidRPr="00000000" w14:paraId="0000004C">
      <w:pPr>
        <w:spacing w:after="120" w:before="12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12.-</w:t>
      </w:r>
      <w:r w:rsidDel="00000000" w:rsidR="00000000" w:rsidRPr="00000000">
        <w:rPr>
          <w:rFonts w:ascii="Palatino Linotype" w:cs="Palatino Linotype" w:eastAsia="Palatino Linotype" w:hAnsi="Palatino Linotype"/>
          <w:i w:val="1"/>
          <w:sz w:val="22"/>
          <w:szCs w:val="22"/>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4D">
      <w:pPr>
        <w:spacing w:after="120" w:before="12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sólo proporcionarán la información pública que se les requiera y que obre en sus archivos y en el estado en que ésta se encuentre</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 obligación de proporcionar información no comprende el procesamiento de la misma, ni el presentarla conforme al interés del solicitante; no estarán obligados a generarla, resumirla, efectuar cálculos o practicar investigaciones.” </w:t>
      </w:r>
      <w:r w:rsidDel="00000000" w:rsidR="00000000" w:rsidRPr="00000000">
        <w:rPr>
          <w:rtl w:val="0"/>
        </w:rPr>
      </w:r>
    </w:p>
    <w:p w:rsidR="00000000" w:rsidDel="00000000" w:rsidP="00000000" w:rsidRDefault="00000000" w:rsidRPr="00000000" w14:paraId="0000004E">
      <w:pPr>
        <w:spacing w:after="240" w:before="240" w:line="360" w:lineRule="auto"/>
        <w:ind w:right="-93"/>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rsidR="00000000" w:rsidDel="00000000" w:rsidP="00000000" w:rsidRDefault="00000000" w:rsidRPr="00000000" w14:paraId="0000004F">
      <w:pPr>
        <w:spacing w:after="240" w:before="240"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Sirve de apoyo a lo anterior, el criterio 03/17, emitido por el Instituto Nacional de Transparencia, Acceso a la Información y Protección de Datos Personales, que por rubro y texto, dispone lo siguiente:</w:t>
      </w:r>
      <w:r w:rsidDel="00000000" w:rsidR="00000000" w:rsidRPr="00000000">
        <w:rPr>
          <w:rFonts w:ascii="Palatino Linotype" w:cs="Palatino Linotype" w:eastAsia="Palatino Linotype" w:hAnsi="Palatino Linotype"/>
          <w:b w:val="1"/>
          <w:sz w:val="22"/>
          <w:szCs w:val="22"/>
          <w:rtl w:val="0"/>
        </w:rPr>
        <w:t xml:space="preserve"> </w:t>
      </w:r>
    </w:p>
    <w:p w:rsidR="00000000" w:rsidDel="00000000" w:rsidP="00000000" w:rsidRDefault="00000000" w:rsidRPr="00000000" w14:paraId="00000050">
      <w:pPr>
        <w:spacing w:after="120" w:before="12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No existe obligación de elaborar documentos ad hoc para atender las solicitudes de acceso a la información.</w:t>
      </w:r>
      <w:r w:rsidDel="00000000" w:rsidR="00000000" w:rsidRPr="00000000">
        <w:rPr>
          <w:rFonts w:ascii="Palatino Linotype" w:cs="Palatino Linotype" w:eastAsia="Palatino Linotype" w:hAnsi="Palatino Linotype"/>
          <w:i w:val="1"/>
          <w:sz w:val="22"/>
          <w:szCs w:val="22"/>
          <w:rtl w:val="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000000" w:rsidDel="00000000" w:rsidP="00000000" w:rsidRDefault="00000000" w:rsidRPr="00000000" w14:paraId="00000051">
      <w:pPr>
        <w:spacing w:after="120" w:before="120" w:lineRule="auto"/>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52">
      <w:pPr>
        <w:spacing w:after="120" w:before="12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000000" w:rsidDel="00000000" w:rsidP="00000000" w:rsidRDefault="00000000" w:rsidRPr="00000000" w14:paraId="00000053">
      <w:pPr>
        <w:spacing w:after="120" w:before="12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054">
      <w:pPr>
        <w:tabs>
          <w:tab w:val="left" w:leader="none" w:pos="8222"/>
        </w:tabs>
        <w:spacing w:after="120" w:before="12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 </w:t>
      </w:r>
      <w:r w:rsidDel="00000000" w:rsidR="00000000" w:rsidRPr="00000000">
        <w:rPr>
          <w:rFonts w:ascii="Palatino Linotype" w:cs="Palatino Linotype" w:eastAsia="Palatino Linotype" w:hAnsi="Palatino Linotype"/>
          <w:i w:val="1"/>
          <w:sz w:val="22"/>
          <w:szCs w:val="22"/>
          <w:rtl w:val="0"/>
        </w:rPr>
        <w:t xml:space="preserve">Para los efectos de la presente Ley se entenderá por:</w:t>
      </w:r>
    </w:p>
    <w:p w:rsidR="00000000" w:rsidDel="00000000" w:rsidP="00000000" w:rsidRDefault="00000000" w:rsidRPr="00000000" w14:paraId="00000055">
      <w:pPr>
        <w:tabs>
          <w:tab w:val="left" w:leader="none" w:pos="8222"/>
        </w:tabs>
        <w:spacing w:after="120" w:before="12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56">
      <w:pPr>
        <w:tabs>
          <w:tab w:val="left" w:leader="none" w:pos="8222"/>
        </w:tabs>
        <w:spacing w:after="120" w:before="12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 Documento:</w:t>
      </w:r>
      <w:r w:rsidDel="00000000" w:rsidR="00000000" w:rsidRPr="00000000">
        <w:rPr>
          <w:rFonts w:ascii="Palatino Linotype" w:cs="Palatino Linotype" w:eastAsia="Palatino Linotype" w:hAnsi="Palatino Linotype"/>
          <w:i w:val="1"/>
          <w:sz w:val="22"/>
          <w:szCs w:val="22"/>
          <w:rtl w:val="0"/>
        </w:rPr>
        <w:t xml:space="preserve"> Los expedientes, reportes, estudios, actas</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rsidR="00000000" w:rsidDel="00000000" w:rsidP="00000000" w:rsidRDefault="00000000" w:rsidRPr="00000000" w14:paraId="00000057">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58">
      <w:pPr>
        <w:spacing w:after="120" w:before="12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sz w:val="22"/>
          <w:szCs w:val="22"/>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000000" w:rsidDel="00000000" w:rsidP="00000000" w:rsidRDefault="00000000" w:rsidRPr="00000000" w14:paraId="00000059">
      <w:pPr>
        <w:spacing w:after="120" w:before="12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consecuencia el acceso a la información se refiere a que se cumplan cualquiera de los siguientes tres supuestos:</w:t>
      </w:r>
    </w:p>
    <w:p w:rsidR="00000000" w:rsidDel="00000000" w:rsidP="00000000" w:rsidRDefault="00000000" w:rsidRPr="00000000" w14:paraId="0000005A">
      <w:pPr>
        <w:spacing w:after="120" w:before="12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 Que se trate de información registrada en cualquier soporte documental, que en ejercicio de las atribuciones conferidas, sea generada por los Sujetos Obligados;</w:t>
      </w:r>
    </w:p>
    <w:p w:rsidR="00000000" w:rsidDel="00000000" w:rsidP="00000000" w:rsidRDefault="00000000" w:rsidRPr="00000000" w14:paraId="0000005B">
      <w:pPr>
        <w:spacing w:after="120" w:before="12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2) Que se trate de información registrada en cualquier soporte documental, que en ejercicio de las atribuciones conferidas, sea administrada por los Sujetos Obligados, y</w:t>
      </w:r>
    </w:p>
    <w:p w:rsidR="00000000" w:rsidDel="00000000" w:rsidP="00000000" w:rsidRDefault="00000000" w:rsidRPr="00000000" w14:paraId="0000005C">
      <w:pPr>
        <w:spacing w:after="120" w:before="12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3) Que se trate de información registrada en cualquier soporte documental, que en ejercicio de las atribuciones conferidas, se encuentre en posesión de los Sujetos Obligados.” </w:t>
      </w:r>
    </w:p>
    <w:p w:rsidR="00000000" w:rsidDel="00000000" w:rsidP="00000000" w:rsidRDefault="00000000" w:rsidRPr="00000000" w14:paraId="0000005D">
      <w:pPr>
        <w:spacing w:after="240" w:before="240"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00000" w:rsidDel="00000000" w:rsidP="00000000" w:rsidRDefault="00000000" w:rsidRPr="00000000" w14:paraId="0000005E">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rsidR="00000000" w:rsidDel="00000000" w:rsidP="00000000" w:rsidRDefault="00000000" w:rsidRPr="00000000" w14:paraId="0000005F">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del análisis de la solicitud de información, motivo del recurso de revisión que ahora se resuelve, se advierte que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requirió al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le proporcione, información consistente en lo siguiente:</w:t>
      </w:r>
    </w:p>
    <w:p w:rsidR="00000000" w:rsidDel="00000000" w:rsidP="00000000" w:rsidRDefault="00000000" w:rsidRPr="00000000" w14:paraId="00000060">
      <w:pPr>
        <w:numPr>
          <w:ilvl w:val="0"/>
          <w:numId w:val="3"/>
        </w:numPr>
        <w:pBdr>
          <w:top w:space="0" w:sz="0" w:val="nil"/>
          <w:left w:space="0" w:sz="0" w:val="nil"/>
          <w:bottom w:space="0" w:sz="0" w:val="nil"/>
          <w:right w:space="0" w:sz="0" w:val="nil"/>
          <w:between w:space="0" w:sz="0" w:val="nil"/>
        </w:pBdr>
        <w:spacing w:after="240" w:before="240" w:line="360" w:lineRule="auto"/>
        <w:ind w:left="720" w:right="900"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Los recibos de nómina de todo el personal adscrito al Órgano de Control en la Junta de Caminos del Estado de México, de enero a la fecha 2024. </w:t>
      </w:r>
    </w:p>
    <w:p w:rsidR="00000000" w:rsidDel="00000000" w:rsidP="00000000" w:rsidRDefault="00000000" w:rsidRPr="00000000" w14:paraId="00000061">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respuesta,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por conducto de la </w:t>
      </w:r>
      <w:r w:rsidDel="00000000" w:rsidR="00000000" w:rsidRPr="00000000">
        <w:rPr>
          <w:rFonts w:ascii="Palatino Linotype" w:cs="Palatino Linotype" w:eastAsia="Palatino Linotype" w:hAnsi="Palatino Linotype"/>
          <w:b w:val="1"/>
          <w:sz w:val="22"/>
          <w:szCs w:val="22"/>
          <w:rtl w:val="0"/>
        </w:rPr>
        <w:t xml:space="preserve">Encargada del Despacho de la Dirección de Administración y Finanzas</w:t>
      </w:r>
      <w:r w:rsidDel="00000000" w:rsidR="00000000" w:rsidRPr="00000000">
        <w:rPr>
          <w:rFonts w:ascii="Palatino Linotype" w:cs="Palatino Linotype" w:eastAsia="Palatino Linotype" w:hAnsi="Palatino Linotype"/>
          <w:sz w:val="22"/>
          <w:szCs w:val="22"/>
          <w:rtl w:val="0"/>
        </w:rPr>
        <w:t xml:space="preserve">, informó la entrega de los recibos de nómina del personal adscrito al Órgano Interno de Control por el periodo solicitado, en versión pública, aprobada en la Décima Novena Sesión Extraordinaria del ejercicio 2024, del Comité de Transparencia de la Junta de Caminos del Estado de México, del treinta de septiembre de dos mil veinticuatro.</w:t>
      </w:r>
    </w:p>
    <w:p w:rsidR="00000000" w:rsidDel="00000000" w:rsidP="00000000" w:rsidRDefault="00000000" w:rsidRPr="00000000" w14:paraId="00000062">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Conocida la respuesta por la persona solicitante, al no estar conforme con los términos de la misma, interpuso el recurso de revisión que nos ocupa, mediante el cual se inconformó por la respuesta otorgada.</w:t>
      </w:r>
    </w:p>
    <w:p w:rsidR="00000000" w:rsidDel="00000000" w:rsidP="00000000" w:rsidRDefault="00000000" w:rsidRPr="00000000" w14:paraId="00000063">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Admitido el presente recurso de revisión, en términos del artículo 185 fracción II</w:t>
      </w:r>
      <w:r w:rsidDel="00000000" w:rsidR="00000000" w:rsidRPr="00000000">
        <w:rPr>
          <w:rFonts w:ascii="Palatino Linotype" w:cs="Palatino Linotype" w:eastAsia="Palatino Linotype" w:hAnsi="Palatino Linotype"/>
          <w:sz w:val="22"/>
          <w:szCs w:val="22"/>
          <w:vertAlign w:val="superscript"/>
        </w:rPr>
        <w:footnoteReference w:customMarkFollows="0" w:id="0"/>
      </w:r>
      <w:r w:rsidDel="00000000" w:rsidR="00000000" w:rsidRPr="00000000">
        <w:rPr>
          <w:rFonts w:ascii="Palatino Linotype" w:cs="Palatino Linotype" w:eastAsia="Palatino Linotype" w:hAnsi="Palatino Linotype"/>
          <w:sz w:val="22"/>
          <w:szCs w:val="22"/>
          <w:rtl w:val="0"/>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 teniendo así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mediante informe justificado informó que la solicitud se turnó a la unidad administrativa que de acuerdo a sus funciones y atribuciones, tenía las facultades para otorgar la información requerida, misma que dio atención puntual, en tiempo y forma, solicitando se confirme la respuesta y adjuntando con ello los documentos remitidos en respuesta. </w:t>
      </w:r>
    </w:p>
    <w:p w:rsidR="00000000" w:rsidDel="00000000" w:rsidP="00000000" w:rsidRDefault="00000000" w:rsidRPr="00000000" w14:paraId="00000064">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Una vez expuestas las posturas de las partes, primeramente es importante señalar que el particular solicitó los recibos de nómina del personal adscrito al Órgano Interno de Control; por lo que, este Instituto advierte que de conformidad con el organigrama publicado en su Manual General de Organización, dicha unidad administrativa tiene a su cargo los siguientes departamentos: </w:t>
      </w:r>
    </w:p>
    <w:p w:rsidR="00000000" w:rsidDel="00000000" w:rsidP="00000000" w:rsidRDefault="00000000" w:rsidRPr="00000000" w14:paraId="00000065">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612130" cy="3582035"/>
            <wp:effectExtent b="0" l="0" r="0" t="0"/>
            <wp:docPr id="165" name="image16.png"/>
            <a:graphic>
              <a:graphicData uri="http://schemas.openxmlformats.org/drawingml/2006/picture">
                <pic:pic>
                  <pic:nvPicPr>
                    <pic:cNvPr id="0" name="image16.png"/>
                    <pic:cNvPicPr preferRelativeResize="0"/>
                  </pic:nvPicPr>
                  <pic:blipFill>
                    <a:blip r:embed="rId8"/>
                    <a:srcRect b="0" l="0" r="0" t="0"/>
                    <a:stretch>
                      <a:fillRect/>
                    </a:stretch>
                  </pic:blipFill>
                  <pic:spPr>
                    <a:xfrm>
                      <a:off x="0" y="0"/>
                      <a:ext cx="5612130" cy="358203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3035300</wp:posOffset>
                </wp:positionH>
                <wp:positionV relativeFrom="paragraph">
                  <wp:posOffset>1282700</wp:posOffset>
                </wp:positionV>
                <wp:extent cx="1368365" cy="367701"/>
                <wp:effectExtent b="0" l="0" r="0" t="0"/>
                <wp:wrapNone/>
                <wp:docPr id="162" name=""/>
                <a:graphic>
                  <a:graphicData uri="http://schemas.microsoft.com/office/word/2010/wordprocessingShape">
                    <wps:wsp>
                      <wps:cNvSpPr/>
                      <wps:cNvPr id="2" name="Shape 2"/>
                      <wps:spPr>
                        <a:xfrm>
                          <a:off x="4690393" y="3624725"/>
                          <a:ext cx="1311215" cy="310551"/>
                        </a:xfrm>
                        <a:prstGeom prst="rect">
                          <a:avLst/>
                        </a:prstGeom>
                        <a:noFill/>
                        <a:ln cap="flat" cmpd="sng" w="1905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3035300</wp:posOffset>
                </wp:positionH>
                <wp:positionV relativeFrom="paragraph">
                  <wp:posOffset>1282700</wp:posOffset>
                </wp:positionV>
                <wp:extent cx="1368365" cy="367701"/>
                <wp:effectExtent b="0" l="0" r="0" t="0"/>
                <wp:wrapNone/>
                <wp:docPr id="162" name="image17.png"/>
                <a:graphic>
                  <a:graphicData uri="http://schemas.openxmlformats.org/drawingml/2006/picture">
                    <pic:pic>
                      <pic:nvPicPr>
                        <pic:cNvPr id="0" name="image17.png"/>
                        <pic:cNvPicPr preferRelativeResize="0"/>
                      </pic:nvPicPr>
                      <pic:blipFill>
                        <a:blip r:embed="rId9"/>
                        <a:srcRect/>
                        <a:stretch>
                          <a:fillRect/>
                        </a:stretch>
                      </pic:blipFill>
                      <pic:spPr>
                        <a:xfrm>
                          <a:off x="0" y="0"/>
                          <a:ext cx="1368365" cy="367701"/>
                        </a:xfrm>
                        <a:prstGeom prst="rect"/>
                        <a:ln/>
                      </pic:spPr>
                    </pic:pic>
                  </a:graphicData>
                </a:graphic>
              </wp:anchor>
            </w:drawing>
          </mc:Fallback>
        </mc:AlternateContent>
      </w:r>
    </w:p>
    <w:p w:rsidR="00000000" w:rsidDel="00000000" w:rsidP="00000000" w:rsidRDefault="00000000" w:rsidRPr="00000000" w14:paraId="00000066">
      <w:pPr>
        <w:spacing w:after="240" w:before="240" w:line="360" w:lineRule="auto"/>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4725525" cy="2003456"/>
            <wp:effectExtent b="0" l="0" r="0" t="0"/>
            <wp:docPr id="167"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4725525" cy="2003456"/>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Dicho lo anterior, conviene señalar que quien se pronunció desde respuesta es la Dirección de Administración y Finanzas, misma que de conformidad con el Organigrama referido con anterioridad, tiene a su cargo las siguientes unidades administrativas: </w:t>
      </w:r>
    </w:p>
    <w:p w:rsidR="00000000" w:rsidDel="00000000" w:rsidP="00000000" w:rsidRDefault="00000000" w:rsidRPr="00000000" w14:paraId="00000068">
      <w:pPr>
        <w:spacing w:after="240" w:before="240" w:line="360" w:lineRule="auto"/>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2922508" cy="2668880"/>
            <wp:effectExtent b="0" l="0" r="0" t="0"/>
            <wp:docPr id="166"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2922508" cy="2668880"/>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este modo, la Dirección de Administración y Finanzas que tiene como objetivo coordinar las actividades relacionadas con el manejo y aprovechamiento de los recursos humanos, materiales y financieros, así como la prestación de los servicios generales necesarios en el desarrollo de las actividades de la Junta, conforme a las normas y disposiciones legales vigentes en la materia, se auxilia de una Subdirección de Administración y una Subdirección de Finanzas, quienes cuentan con un Departamento de Recursos Humanos y Departamento de Tesorería, mismos que de conformidad con el Manual de Organización de la Junta de Caminos del Estado de México, cuentan con las siguientes atribuciones:</w:t>
      </w:r>
    </w:p>
    <w:p w:rsidR="00000000" w:rsidDel="00000000" w:rsidP="00000000" w:rsidRDefault="00000000" w:rsidRPr="00000000" w14:paraId="0000006A">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229E13100 SUBDIRECCIÓN DE ADMINISTRACIÓN</w:t>
      </w:r>
      <w:r w:rsidDel="00000000" w:rsidR="00000000" w:rsidRPr="00000000">
        <w:rPr>
          <w:rtl w:val="0"/>
        </w:rPr>
      </w:r>
    </w:p>
    <w:p w:rsidR="00000000" w:rsidDel="00000000" w:rsidP="00000000" w:rsidRDefault="00000000" w:rsidRPr="00000000" w14:paraId="0000006B">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OBJETIVO:</w:t>
      </w:r>
    </w:p>
    <w:p w:rsidR="00000000" w:rsidDel="00000000" w:rsidP="00000000" w:rsidRDefault="00000000" w:rsidRPr="00000000" w14:paraId="0000006C">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Coadyuvar al cumplimiento de las metas y objetivos establecidos para las unidades administrativas que integran la Junta, gestionando los recursos humanos, materiales y servicios generales, necesarios para su operación, en base al presupuesto de gasto corriente asignado.</w:t>
        <w:br w:type="textWrapping"/>
        <w:t xml:space="preserve">…</w:t>
      </w:r>
    </w:p>
    <w:p w:rsidR="00000000" w:rsidDel="00000000" w:rsidP="00000000" w:rsidRDefault="00000000" w:rsidRPr="00000000" w14:paraId="0000006D">
      <w:pPr>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229E13101 DEPARTAMENTO DE RECURSOS HUMANOS</w:t>
      </w:r>
    </w:p>
    <w:p w:rsidR="00000000" w:rsidDel="00000000" w:rsidP="00000000" w:rsidRDefault="00000000" w:rsidRPr="00000000" w14:paraId="0000006E">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OBJETIVO:</w:t>
      </w:r>
    </w:p>
    <w:p w:rsidR="00000000" w:rsidDel="00000000" w:rsidP="00000000" w:rsidRDefault="00000000" w:rsidRPr="00000000" w14:paraId="0000006F">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Administrar y controlar los recursos humanos existentes, así como resolver las necesidades de personal de las diferentes áreas, con base en la disposición presupuestaria con que se cuente en gasto corriente.</w:t>
      </w:r>
    </w:p>
    <w:p w:rsidR="00000000" w:rsidDel="00000000" w:rsidP="00000000" w:rsidRDefault="00000000" w:rsidRPr="00000000" w14:paraId="00000070">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FUNCIONES:</w:t>
      </w:r>
    </w:p>
    <w:p w:rsidR="00000000" w:rsidDel="00000000" w:rsidP="00000000" w:rsidRDefault="00000000" w:rsidRPr="00000000" w14:paraId="00000071">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Tramitar la actualización del tabulador de sueldos y salarios del Organismo.</w:t>
      </w:r>
    </w:p>
    <w:p w:rsidR="00000000" w:rsidDel="00000000" w:rsidP="00000000" w:rsidRDefault="00000000" w:rsidRPr="00000000" w14:paraId="00000072">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Controlar los movimientos e incidencias del personal, así como sus </w:t>
      </w:r>
      <w:r w:rsidDel="00000000" w:rsidR="00000000" w:rsidRPr="00000000">
        <w:rPr>
          <w:rFonts w:ascii="Palatino Linotype" w:cs="Palatino Linotype" w:eastAsia="Palatino Linotype" w:hAnsi="Palatino Linotype"/>
          <w:b w:val="1"/>
          <w:i w:val="1"/>
          <w:sz w:val="22"/>
          <w:szCs w:val="22"/>
          <w:u w:val="single"/>
          <w:rtl w:val="0"/>
        </w:rPr>
        <w:t xml:space="preserve">remuneraciones, pensiones, estímulos, vacaciones, finiquitos y demás prestaciones a que tengan derecho las servidoras públicas y los servidores públicos</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73">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74">
      <w:pPr>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229E13200 SUBDIRECCIÓN DE FINANZAS</w:t>
      </w:r>
    </w:p>
    <w:p w:rsidR="00000000" w:rsidDel="00000000" w:rsidP="00000000" w:rsidRDefault="00000000" w:rsidRPr="00000000" w14:paraId="00000075">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OBJETIVO:</w:t>
      </w:r>
    </w:p>
    <w:p w:rsidR="00000000" w:rsidDel="00000000" w:rsidP="00000000" w:rsidRDefault="00000000" w:rsidRPr="00000000" w14:paraId="00000076">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Supervisar la elaboración de estados financieros y presupuestales para la toma de decisiones, asimismo coordinar la aplicación de los recursos financieros para hacer frente a las obligaciones y compromisos del Organismo, así como facilitar apoyo a las unidades administrativas para el desarrollo de sus funciones, mediante la administración y control de los recursos económico-presupuestalesfinancieros.</w:t>
      </w:r>
    </w:p>
    <w:p w:rsidR="00000000" w:rsidDel="00000000" w:rsidP="00000000" w:rsidRDefault="00000000" w:rsidRPr="00000000" w14:paraId="00000077">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78">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229E13201 DEPARTAMENTO DE TESORERÍA</w:t>
      </w:r>
      <w:r w:rsidDel="00000000" w:rsidR="00000000" w:rsidRPr="00000000">
        <w:rPr>
          <w:rtl w:val="0"/>
        </w:rPr>
      </w:r>
    </w:p>
    <w:p w:rsidR="00000000" w:rsidDel="00000000" w:rsidP="00000000" w:rsidRDefault="00000000" w:rsidRPr="00000000" w14:paraId="00000079">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OBJETIVO:</w:t>
      </w:r>
    </w:p>
    <w:p w:rsidR="00000000" w:rsidDel="00000000" w:rsidP="00000000" w:rsidRDefault="00000000" w:rsidRPr="00000000" w14:paraId="0000007A">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Captar, registrar, manejar y controlar los ingresos, valores y recursos financieros del Organismo, vigilando su operación, depósito y custodia; así como, realizar los pagos de conformidad con los pasivos documentados que se encuentren listos para su liquidación.</w:t>
      </w:r>
    </w:p>
    <w:p w:rsidR="00000000" w:rsidDel="00000000" w:rsidP="00000000" w:rsidRDefault="00000000" w:rsidRPr="00000000" w14:paraId="0000007B">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FUNCIONES:</w:t>
      </w:r>
    </w:p>
    <w:p w:rsidR="00000000" w:rsidDel="00000000" w:rsidP="00000000" w:rsidRDefault="00000000" w:rsidRPr="00000000" w14:paraId="0000007C">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Coordinar y controlar los cobros realizados a la Caja General de Gobierno de los recursos financieros, subsidio, autorizaciones de pago del gasto de inversión sectorial, entre otros, correspondiente a la Junta de Caminos del Estado de México.</w:t>
      </w:r>
    </w:p>
    <w:p w:rsidR="00000000" w:rsidDel="00000000" w:rsidP="00000000" w:rsidRDefault="00000000" w:rsidRPr="00000000" w14:paraId="0000007D">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Controlar el manejo de los fondos fijos y rotatorios de las diversas áreas que tienen asignados estos recursos.</w:t>
      </w:r>
    </w:p>
    <w:p w:rsidR="00000000" w:rsidDel="00000000" w:rsidP="00000000" w:rsidRDefault="00000000" w:rsidRPr="00000000" w14:paraId="0000007E">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 Administrar y controlar, con base en la disponibilidad de recursos financieros, los pagos a </w:t>
      </w:r>
      <w:r w:rsidDel="00000000" w:rsidR="00000000" w:rsidRPr="00000000">
        <w:rPr>
          <w:rFonts w:ascii="Palatino Linotype" w:cs="Palatino Linotype" w:eastAsia="Palatino Linotype" w:hAnsi="Palatino Linotype"/>
          <w:i w:val="1"/>
          <w:sz w:val="22"/>
          <w:szCs w:val="22"/>
          <w:rtl w:val="0"/>
        </w:rPr>
        <w:t xml:space="preserve">contratistas, proveedores,</w:t>
      </w:r>
      <w:r w:rsidDel="00000000" w:rsidR="00000000" w:rsidRPr="00000000">
        <w:rPr>
          <w:rFonts w:ascii="Palatino Linotype" w:cs="Palatino Linotype" w:eastAsia="Palatino Linotype" w:hAnsi="Palatino Linotype"/>
          <w:b w:val="1"/>
          <w:i w:val="1"/>
          <w:sz w:val="22"/>
          <w:szCs w:val="22"/>
          <w:rtl w:val="0"/>
        </w:rPr>
        <w:t xml:space="preserve"> sueldos, salarios, finiquitos y demás acreedores que se generen por la operación propia del Organismo.</w:t>
      </w:r>
      <w:r w:rsidDel="00000000" w:rsidR="00000000" w:rsidRPr="00000000">
        <w:rPr>
          <w:rtl w:val="0"/>
        </w:rPr>
      </w:r>
    </w:p>
    <w:p w:rsidR="00000000" w:rsidDel="00000000" w:rsidP="00000000" w:rsidRDefault="00000000" w:rsidRPr="00000000" w14:paraId="0000007F">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Informar a la Dirección de Administración y Finanzas, y a la Subdirección de Finanzas, la disponibilidad de recursos financieros, así como los pasivos tramitados, pendientes y pagados.</w:t>
      </w:r>
    </w:p>
    <w:p w:rsidR="00000000" w:rsidDel="00000000" w:rsidP="00000000" w:rsidRDefault="00000000" w:rsidRPr="00000000" w14:paraId="00000080">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Recibir, registrar y controlar los ingresos que por motivos de las actividades propias del Organismo se obtengan, otorgando invariablemente el recibo oficial correspondiente.</w:t>
      </w:r>
    </w:p>
    <w:p w:rsidR="00000000" w:rsidDel="00000000" w:rsidP="00000000" w:rsidRDefault="00000000" w:rsidRPr="00000000" w14:paraId="00000081">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Custodiar los valores de la Junta de Caminos, tales como documentos mercantiles, escrituras de inmuebles, etc.</w:t>
      </w:r>
    </w:p>
    <w:p w:rsidR="00000000" w:rsidDel="00000000" w:rsidP="00000000" w:rsidRDefault="00000000" w:rsidRPr="00000000" w14:paraId="00000082">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Controlar y administrar las cuentas bancarias y de inversiones financieras de la Junta de Caminos.</w:t>
      </w:r>
    </w:p>
    <w:p w:rsidR="00000000" w:rsidDel="00000000" w:rsidP="00000000" w:rsidRDefault="00000000" w:rsidRPr="00000000" w14:paraId="00000083">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Elaborar, dar seguimiento y calcular los intereses de los pagarés por concepto de obras financiadas que contraten las aéreas técnicas de obra de este Organismo”</w:t>
      </w:r>
    </w:p>
    <w:p w:rsidR="00000000" w:rsidDel="00000000" w:rsidP="00000000" w:rsidRDefault="00000000" w:rsidRPr="00000000" w14:paraId="00000084">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(Énfasis Añadido)</w:t>
      </w:r>
    </w:p>
    <w:p w:rsidR="00000000" w:rsidDel="00000000" w:rsidP="00000000" w:rsidRDefault="00000000" w:rsidRPr="00000000" w14:paraId="00000085">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6">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tal suerte que como se desprende de lo anteriormente citado, la </w:t>
      </w:r>
      <w:r w:rsidDel="00000000" w:rsidR="00000000" w:rsidRPr="00000000">
        <w:rPr>
          <w:rFonts w:ascii="Palatino Linotype" w:cs="Palatino Linotype" w:eastAsia="Palatino Linotype" w:hAnsi="Palatino Linotype"/>
          <w:b w:val="1"/>
          <w:sz w:val="22"/>
          <w:szCs w:val="22"/>
          <w:rtl w:val="0"/>
        </w:rPr>
        <w:t xml:space="preserve">Dirección de Administración y Finanzas </w:t>
      </w:r>
      <w:r w:rsidDel="00000000" w:rsidR="00000000" w:rsidRPr="00000000">
        <w:rPr>
          <w:rFonts w:ascii="Palatino Linotype" w:cs="Palatino Linotype" w:eastAsia="Palatino Linotype" w:hAnsi="Palatino Linotype"/>
          <w:sz w:val="22"/>
          <w:szCs w:val="22"/>
          <w:rtl w:val="0"/>
        </w:rPr>
        <w:t xml:space="preserve">es la unidad administrativa encargada del pago de sueldos y salarios en coordinación con el Departamento de Recursos Humanos y Tesorería, por ende, se determina que la respuesta fue proporcionada por la unidad administrativa competente, siguiendo el procedimiento establecido por el artículo 162 de la Ley de Transparencia y Acceso a la Información Pública del Estado de México y Municipios, ya que turnó la solicitud al área en la que podría obrar la información de conformidad con la fracción XXXIX del artículo tercero de la legislación local vigente en materia de transparencia: </w:t>
      </w:r>
    </w:p>
    <w:p w:rsidR="00000000" w:rsidDel="00000000" w:rsidP="00000000" w:rsidRDefault="00000000" w:rsidRPr="00000000" w14:paraId="00000087">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8">
      <w:pPr>
        <w:ind w:left="864"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XXXIX. Servidor público habilitado:</w:t>
      </w:r>
      <w:r w:rsidDel="00000000" w:rsidR="00000000" w:rsidRPr="00000000">
        <w:rPr>
          <w:rFonts w:ascii="Palatino Linotype" w:cs="Palatino Linotype" w:eastAsia="Palatino Linotype" w:hAnsi="Palatino Linotype"/>
          <w:i w:val="1"/>
          <w:sz w:val="22"/>
          <w:szCs w:val="22"/>
          <w:rtl w:val="0"/>
        </w:rPr>
        <w:t xml:space="preserve">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r w:rsidDel="00000000" w:rsidR="00000000" w:rsidRPr="00000000">
        <w:rPr>
          <w:rtl w:val="0"/>
        </w:rPr>
      </w:r>
    </w:p>
    <w:p w:rsidR="00000000" w:rsidDel="00000000" w:rsidP="00000000" w:rsidRDefault="00000000" w:rsidRPr="00000000" w14:paraId="00000089">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A">
      <w:pPr>
        <w:spacing w:line="360" w:lineRule="auto"/>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este orden de ideas, se advierte que efectivamente la Unidad de Transparencia cumplió con lo expresado en el artículo 162 de la Ley de Transparencia y Acceso a la Información Pública del Estado de México y Municipios, el cual menciona lo siguiente:</w:t>
      </w:r>
    </w:p>
    <w:p w:rsidR="00000000" w:rsidDel="00000000" w:rsidP="00000000" w:rsidRDefault="00000000" w:rsidRPr="00000000" w14:paraId="0000008B">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C">
      <w:pPr>
        <w:ind w:left="864"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“Artículo 162. Las unidades de transparencia deberán garantizar que las solicitudes </w:t>
      </w:r>
      <w:r w:rsidDel="00000000" w:rsidR="00000000" w:rsidRPr="00000000">
        <w:rPr>
          <w:rFonts w:ascii="Palatino Linotype" w:cs="Palatino Linotype" w:eastAsia="Palatino Linotype" w:hAnsi="Palatino Linotype"/>
          <w:b w:val="1"/>
          <w:i w:val="1"/>
          <w:sz w:val="22"/>
          <w:szCs w:val="22"/>
          <w:rtl w:val="0"/>
        </w:rPr>
        <w:t xml:space="preserve">se turnen a todas las Áreas competentes </w:t>
      </w:r>
      <w:r w:rsidDel="00000000" w:rsidR="00000000" w:rsidRPr="00000000">
        <w:rPr>
          <w:rFonts w:ascii="Palatino Linotype" w:cs="Palatino Linotype" w:eastAsia="Palatino Linotype" w:hAnsi="Palatino Linotype"/>
          <w:i w:val="1"/>
          <w:sz w:val="22"/>
          <w:szCs w:val="22"/>
          <w:rtl w:val="0"/>
        </w:rPr>
        <w:t xml:space="preserve">que cuenten con la información o deban tenerla de acuerdo a sus facultades, competencias y funciones, con el objeto de que realicen una búsqueda exhaustiva y razonable de la información solicitada.”</w:t>
      </w:r>
      <w:r w:rsidDel="00000000" w:rsidR="00000000" w:rsidRPr="00000000">
        <w:rPr>
          <w:rtl w:val="0"/>
        </w:rPr>
      </w:r>
    </w:p>
    <w:p w:rsidR="00000000" w:rsidDel="00000000" w:rsidP="00000000" w:rsidRDefault="00000000" w:rsidRPr="00000000" w14:paraId="0000008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E">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Acotado lo anterior, se procede al análisis de la naturaleza de la información solicitada, para lo cual conviene precisar que si bien el término “</w:t>
      </w:r>
      <w:r w:rsidDel="00000000" w:rsidR="00000000" w:rsidRPr="00000000">
        <w:rPr>
          <w:rFonts w:ascii="Palatino Linotype" w:cs="Palatino Linotype" w:eastAsia="Palatino Linotype" w:hAnsi="Palatino Linotype"/>
          <w:i w:val="1"/>
          <w:sz w:val="22"/>
          <w:szCs w:val="22"/>
          <w:rtl w:val="0"/>
        </w:rPr>
        <w:t xml:space="preserve">nómina” </w:t>
      </w:r>
      <w:r w:rsidDel="00000000" w:rsidR="00000000" w:rsidRPr="00000000">
        <w:rPr>
          <w:rFonts w:ascii="Palatino Linotype" w:cs="Palatino Linotype" w:eastAsia="Palatino Linotype" w:hAnsi="Palatino Linotype"/>
          <w:sz w:val="22"/>
          <w:szCs w:val="22"/>
          <w:rtl w:val="0"/>
        </w:rPr>
        <w:t xml:space="preserve">no está definido en nuestra legislación, también lo es que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la definen como el </w:t>
      </w:r>
      <w:r w:rsidDel="00000000" w:rsidR="00000000" w:rsidRPr="00000000">
        <w:rPr>
          <w:rFonts w:ascii="Palatino Linotype" w:cs="Palatino Linotype" w:eastAsia="Palatino Linotype" w:hAnsi="Palatino Linotype"/>
          <w:i w:val="1"/>
          <w:sz w:val="22"/>
          <w:szCs w:val="22"/>
          <w:rtl w:val="0"/>
        </w:rPr>
        <w:t xml:space="preserve">listado general de los trabajadores de una institución, en</w:t>
      </w:r>
      <w:r w:rsidDel="00000000" w:rsidR="00000000" w:rsidRPr="00000000">
        <w:rPr>
          <w:rFonts w:ascii="Palatino Linotype" w:cs="Palatino Linotype" w:eastAsia="Palatino Linotype" w:hAnsi="Palatino Linotype"/>
          <w:b w:val="1"/>
          <w:i w:val="1"/>
          <w:sz w:val="22"/>
          <w:szCs w:val="22"/>
          <w:rtl w:val="0"/>
        </w:rPr>
        <w:t xml:space="preserve"> </w:t>
      </w:r>
      <w:r w:rsidDel="00000000" w:rsidR="00000000" w:rsidRPr="00000000">
        <w:rPr>
          <w:rFonts w:ascii="Palatino Linotype" w:cs="Palatino Linotype" w:eastAsia="Palatino Linotype" w:hAnsi="Palatino Linotype"/>
          <w:i w:val="1"/>
          <w:sz w:val="22"/>
          <w:szCs w:val="22"/>
          <w:rtl w:val="0"/>
        </w:rPr>
        <w:t xml:space="preserve">el cual se </w:t>
      </w:r>
      <w:r w:rsidDel="00000000" w:rsidR="00000000" w:rsidRPr="00000000">
        <w:rPr>
          <w:rFonts w:ascii="Palatino Linotype" w:cs="Palatino Linotype" w:eastAsia="Palatino Linotype" w:hAnsi="Palatino Linotype"/>
          <w:b w:val="1"/>
          <w:i w:val="1"/>
          <w:sz w:val="22"/>
          <w:szCs w:val="22"/>
          <w:rtl w:val="0"/>
        </w:rPr>
        <w:t xml:space="preserve">asientan las </w:t>
      </w:r>
      <w:r w:rsidDel="00000000" w:rsidR="00000000" w:rsidRPr="00000000">
        <w:rPr>
          <w:rFonts w:ascii="Palatino Linotype" w:cs="Palatino Linotype" w:eastAsia="Palatino Linotype" w:hAnsi="Palatino Linotype"/>
          <w:b w:val="1"/>
          <w:i w:val="1"/>
          <w:sz w:val="22"/>
          <w:szCs w:val="22"/>
          <w:u w:val="single"/>
          <w:rtl w:val="0"/>
        </w:rPr>
        <w:t xml:space="preserve">percepciones brutas, deducciones y alcance neto de las mismas</w:t>
      </w:r>
      <w:r w:rsidDel="00000000" w:rsidR="00000000" w:rsidRPr="00000000">
        <w:rPr>
          <w:rFonts w:ascii="Palatino Linotype" w:cs="Palatino Linotype" w:eastAsia="Palatino Linotype" w:hAnsi="Palatino Linotype"/>
          <w:i w:val="1"/>
          <w:sz w:val="22"/>
          <w:szCs w:val="22"/>
          <w:rtl w:val="0"/>
        </w:rPr>
        <w:t xml:space="preserve">; la nómina es utilizada para</w:t>
      </w:r>
      <w:r w:rsidDel="00000000" w:rsidR="00000000" w:rsidRPr="00000000">
        <w:rPr>
          <w:rFonts w:ascii="Palatino Linotype" w:cs="Palatino Linotype" w:eastAsia="Palatino Linotype" w:hAnsi="Palatino Linotype"/>
          <w:b w:val="1"/>
          <w:i w:val="1"/>
          <w:sz w:val="22"/>
          <w:szCs w:val="22"/>
          <w:rtl w:val="0"/>
        </w:rPr>
        <w:t xml:space="preserve"> efectuar los pagos periódicos</w:t>
      </w:r>
      <w:r w:rsidDel="00000000" w:rsidR="00000000" w:rsidRPr="00000000">
        <w:rPr>
          <w:rFonts w:ascii="Palatino Linotype" w:cs="Palatino Linotype" w:eastAsia="Palatino Linotype" w:hAnsi="Palatino Linotype"/>
          <w:i w:val="1"/>
          <w:sz w:val="22"/>
          <w:szCs w:val="22"/>
          <w:rtl w:val="0"/>
        </w:rPr>
        <w:t xml:space="preserve"> (semanales, quincenales o</w:t>
      </w:r>
      <w:r w:rsidDel="00000000" w:rsidR="00000000" w:rsidRPr="00000000">
        <w:rPr>
          <w:rFonts w:ascii="Palatino Linotype" w:cs="Palatino Linotype" w:eastAsia="Palatino Linotype" w:hAnsi="Palatino Linotype"/>
          <w:b w:val="1"/>
          <w:i w:val="1"/>
          <w:sz w:val="22"/>
          <w:szCs w:val="22"/>
          <w:rtl w:val="0"/>
        </w:rPr>
        <w:t xml:space="preserve"> </w:t>
      </w:r>
      <w:r w:rsidDel="00000000" w:rsidR="00000000" w:rsidRPr="00000000">
        <w:rPr>
          <w:rFonts w:ascii="Palatino Linotype" w:cs="Palatino Linotype" w:eastAsia="Palatino Linotype" w:hAnsi="Palatino Linotype"/>
          <w:i w:val="1"/>
          <w:sz w:val="22"/>
          <w:szCs w:val="22"/>
          <w:rtl w:val="0"/>
        </w:rPr>
        <w:t xml:space="preserve">mensuales) a los trabajadores por concepto de </w:t>
      </w:r>
      <w:r w:rsidDel="00000000" w:rsidR="00000000" w:rsidRPr="00000000">
        <w:rPr>
          <w:rFonts w:ascii="Palatino Linotype" w:cs="Palatino Linotype" w:eastAsia="Palatino Linotype" w:hAnsi="Palatino Linotype"/>
          <w:b w:val="1"/>
          <w:i w:val="1"/>
          <w:sz w:val="22"/>
          <w:szCs w:val="22"/>
          <w:rtl w:val="0"/>
        </w:rPr>
        <w:t xml:space="preserve">sueldos y salarios</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08F">
      <w:pPr>
        <w:spacing w:line="3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0">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Documento o término que ha sido mencionado en diferentes ordenamientos legales, tal es el caso, de la </w:t>
      </w:r>
      <w:r w:rsidDel="00000000" w:rsidR="00000000" w:rsidRPr="00000000">
        <w:rPr>
          <w:rFonts w:ascii="Palatino Linotype" w:cs="Palatino Linotype" w:eastAsia="Palatino Linotype" w:hAnsi="Palatino Linotype"/>
          <w:i w:val="1"/>
          <w:sz w:val="22"/>
          <w:szCs w:val="22"/>
          <w:rtl w:val="0"/>
        </w:rPr>
        <w:t xml:space="preserve">Ley Federal del Trabajo</w:t>
      </w:r>
      <w:r w:rsidDel="00000000" w:rsidR="00000000" w:rsidRPr="00000000">
        <w:rPr>
          <w:rFonts w:ascii="Palatino Linotype" w:cs="Palatino Linotype" w:eastAsia="Palatino Linotype" w:hAnsi="Palatino Linotype"/>
          <w:sz w:val="22"/>
          <w:szCs w:val="22"/>
          <w:rtl w:val="0"/>
        </w:rPr>
        <w:t xml:space="preserve"> en el artículo 804 fracción II, que además reconoce los recibos de pagos de salarios, por lo que resulta indispensable citar el artículo de referencia.</w:t>
      </w:r>
    </w:p>
    <w:p w:rsidR="00000000" w:rsidDel="00000000" w:rsidP="00000000" w:rsidRDefault="00000000" w:rsidRPr="00000000" w14:paraId="00000091">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2">
      <w:pP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804.-</w:t>
      </w:r>
      <w:r w:rsidDel="00000000" w:rsidR="00000000" w:rsidRPr="00000000">
        <w:rPr>
          <w:rFonts w:ascii="Palatino Linotype" w:cs="Palatino Linotype" w:eastAsia="Palatino Linotype" w:hAnsi="Palatino Linotype"/>
          <w:i w:val="1"/>
          <w:sz w:val="22"/>
          <w:szCs w:val="22"/>
          <w:rtl w:val="0"/>
        </w:rPr>
        <w:t xml:space="preserve"> El patrón tiene obligación de conservar y exhibir en juicio los documentos que a continuación se precisan:</w:t>
      </w:r>
      <w:r w:rsidDel="00000000" w:rsidR="00000000" w:rsidRPr="00000000">
        <w:rPr>
          <w:rtl w:val="0"/>
        </w:rPr>
      </w:r>
    </w:p>
    <w:p w:rsidR="00000000" w:rsidDel="00000000" w:rsidP="00000000" w:rsidRDefault="00000000" w:rsidRPr="00000000" w14:paraId="00000093">
      <w:pP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tl w:val="0"/>
        </w:rPr>
      </w:r>
    </w:p>
    <w:p w:rsidR="00000000" w:rsidDel="00000000" w:rsidP="00000000" w:rsidRDefault="00000000" w:rsidRPr="00000000" w14:paraId="00000094">
      <w:pP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Listas de raya o</w:t>
      </w:r>
      <w:r w:rsidDel="00000000" w:rsidR="00000000" w:rsidRPr="00000000">
        <w:rPr>
          <w:rFonts w:ascii="Palatino Linotype" w:cs="Palatino Linotype" w:eastAsia="Palatino Linotype" w:hAnsi="Palatino Linotype"/>
          <w:b w:val="1"/>
          <w:i w:val="1"/>
          <w:sz w:val="22"/>
          <w:szCs w:val="22"/>
          <w:rtl w:val="0"/>
        </w:rPr>
        <w:t xml:space="preserve"> nómina de personal</w:t>
      </w:r>
      <w:r w:rsidDel="00000000" w:rsidR="00000000" w:rsidRPr="00000000">
        <w:rPr>
          <w:rFonts w:ascii="Palatino Linotype" w:cs="Palatino Linotype" w:eastAsia="Palatino Linotype" w:hAnsi="Palatino Linotype"/>
          <w:i w:val="1"/>
          <w:sz w:val="22"/>
          <w:szCs w:val="22"/>
          <w:rtl w:val="0"/>
        </w:rPr>
        <w:t xml:space="preserve">, cuando se lleven en el centro de trabajo; </w:t>
      </w:r>
      <w:r w:rsidDel="00000000" w:rsidR="00000000" w:rsidRPr="00000000">
        <w:rPr>
          <w:rFonts w:ascii="Palatino Linotype" w:cs="Palatino Linotype" w:eastAsia="Palatino Linotype" w:hAnsi="Palatino Linotype"/>
          <w:b w:val="1"/>
          <w:i w:val="1"/>
          <w:sz w:val="22"/>
          <w:szCs w:val="22"/>
          <w:rtl w:val="0"/>
        </w:rPr>
        <w:t xml:space="preserve">o recibos de pagos de salarios;</w:t>
      </w:r>
      <w:r w:rsidDel="00000000" w:rsidR="00000000" w:rsidRPr="00000000">
        <w:rPr>
          <w:rtl w:val="0"/>
        </w:rPr>
      </w:r>
    </w:p>
    <w:p w:rsidR="00000000" w:rsidDel="00000000" w:rsidP="00000000" w:rsidRDefault="00000000" w:rsidRPr="00000000" w14:paraId="00000095">
      <w:pP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096">
      <w:pP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Los documentos señalados en la fracción I deberán conservarse mientras dure la relación laboral y hasta un año después; los señalados en las fracciones </w:t>
      </w: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III y IV, durante el último año y un año después de que se extinga la relación laboral; y los mencionados en la fracción V, conforme lo señalen las Leyes que los rijan.”</w:t>
      </w:r>
      <w:r w:rsidDel="00000000" w:rsidR="00000000" w:rsidRPr="00000000">
        <w:rPr>
          <w:rtl w:val="0"/>
        </w:rPr>
      </w:r>
    </w:p>
    <w:p w:rsidR="00000000" w:rsidDel="00000000" w:rsidP="00000000" w:rsidRDefault="00000000" w:rsidRPr="00000000" w14:paraId="00000097">
      <w:pPr>
        <w:spacing w:after="36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lo anteriormente citado, se puede llegar a la conclusión de que la nómina, es el documento que contiene el registro de los trabajadores a los cuales se va a remunerar por los </w:t>
      </w:r>
      <w:hyperlink r:id="rId12">
        <w:r w:rsidDel="00000000" w:rsidR="00000000" w:rsidRPr="00000000">
          <w:rPr>
            <w:rFonts w:ascii="Palatino Linotype" w:cs="Palatino Linotype" w:eastAsia="Palatino Linotype" w:hAnsi="Palatino Linotype"/>
            <w:sz w:val="22"/>
            <w:szCs w:val="22"/>
            <w:rtl w:val="0"/>
          </w:rPr>
          <w:t xml:space="preserve">servicios</w:t>
        </w:r>
      </w:hyperlink>
      <w:r w:rsidDel="00000000" w:rsidR="00000000" w:rsidRPr="00000000">
        <w:rPr>
          <w:rFonts w:ascii="Palatino Linotype" w:cs="Palatino Linotype" w:eastAsia="Palatino Linotype" w:hAnsi="Palatino Linotype"/>
          <w:sz w:val="22"/>
          <w:szCs w:val="22"/>
          <w:rtl w:val="0"/>
        </w:rPr>
        <w:t xml:space="preserve"> que éstos le prestan al patrón, en el cual </w:t>
      </w:r>
      <w:r w:rsidDel="00000000" w:rsidR="00000000" w:rsidRPr="00000000">
        <w:rPr>
          <w:rFonts w:ascii="Palatino Linotype" w:cs="Palatino Linotype" w:eastAsia="Palatino Linotype" w:hAnsi="Palatino Linotype"/>
          <w:b w:val="1"/>
          <w:sz w:val="22"/>
          <w:szCs w:val="22"/>
          <w:rtl w:val="0"/>
        </w:rPr>
        <w:t xml:space="preserve">se asientan las percepciones brutas, deducciones y el neto</w:t>
      </w:r>
      <w:r w:rsidDel="00000000" w:rsidR="00000000" w:rsidRPr="00000000">
        <w:rPr>
          <w:rFonts w:ascii="Palatino Linotype" w:cs="Palatino Linotype" w:eastAsia="Palatino Linotype" w:hAnsi="Palatino Linotype"/>
          <w:sz w:val="22"/>
          <w:szCs w:val="22"/>
          <w:rtl w:val="0"/>
        </w:rPr>
        <w:t xml:space="preserve"> a recibir de dichos trabajadores.</w:t>
      </w:r>
    </w:p>
    <w:p w:rsidR="00000000" w:rsidDel="00000000" w:rsidP="00000000" w:rsidRDefault="00000000" w:rsidRPr="00000000" w14:paraId="0000009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relativo a los </w:t>
      </w:r>
      <w:r w:rsidDel="00000000" w:rsidR="00000000" w:rsidRPr="00000000">
        <w:rPr>
          <w:rFonts w:ascii="Palatino Linotype" w:cs="Palatino Linotype" w:eastAsia="Palatino Linotype" w:hAnsi="Palatino Linotype"/>
          <w:b w:val="1"/>
          <w:sz w:val="22"/>
          <w:szCs w:val="22"/>
          <w:rtl w:val="0"/>
        </w:rPr>
        <w:t xml:space="preserve">recibos de nómina</w:t>
      </w:r>
      <w:r w:rsidDel="00000000" w:rsidR="00000000" w:rsidRPr="00000000">
        <w:rPr>
          <w:rFonts w:ascii="Palatino Linotype" w:cs="Palatino Linotype" w:eastAsia="Palatino Linotype" w:hAnsi="Palatino Linotype"/>
          <w:sz w:val="22"/>
          <w:szCs w:val="22"/>
          <w:rtl w:val="0"/>
        </w:rPr>
        <w:t xml:space="preserve">, la Ley del Trabajo de los Servidores Públicos del Estado y Municipios hace referencia a los comprobantes que las instituciones públicas realizan para documentar el pago de salarios, prima vacacional, aguinaldo y demás prestaciones otorgadas a un servidor público, denominándose "</w:t>
      </w:r>
      <w:r w:rsidDel="00000000" w:rsidR="00000000" w:rsidRPr="00000000">
        <w:rPr>
          <w:rFonts w:ascii="Palatino Linotype" w:cs="Palatino Linotype" w:eastAsia="Palatino Linotype" w:hAnsi="Palatino Linotype"/>
          <w:i w:val="1"/>
          <w:sz w:val="22"/>
          <w:szCs w:val="22"/>
          <w:rtl w:val="0"/>
        </w:rPr>
        <w:t xml:space="preserve">recibos o comprobantes de pago</w:t>
      </w:r>
      <w:r w:rsidDel="00000000" w:rsidR="00000000" w:rsidRPr="00000000">
        <w:rPr>
          <w:rFonts w:ascii="Palatino Linotype" w:cs="Palatino Linotype" w:eastAsia="Palatino Linotype" w:hAnsi="Palatino Linotype"/>
          <w:sz w:val="22"/>
          <w:szCs w:val="22"/>
          <w:rtl w:val="0"/>
        </w:rPr>
        <w:t xml:space="preserve">", los cuales constituyen un instrumento mediante el cual el sujeto obligado acredita las remuneraciones al personal y, que de acuerdo al uso implantado en la colectividad se denominan "recibos de nómina".</w:t>
      </w:r>
    </w:p>
    <w:p w:rsidR="00000000" w:rsidDel="00000000" w:rsidP="00000000" w:rsidRDefault="00000000" w:rsidRPr="00000000" w14:paraId="00000099">
      <w:pPr>
        <w:spacing w:line="3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 efecto de robustecer lo anterior, es preciso hacer alusión, en primera instancia, a lo establecido en las normas de carácter general del </w:t>
      </w:r>
      <w:r w:rsidDel="00000000" w:rsidR="00000000" w:rsidRPr="00000000">
        <w:rPr>
          <w:rFonts w:ascii="Palatino Linotype" w:cs="Palatino Linotype" w:eastAsia="Palatino Linotype" w:hAnsi="Palatino Linotype"/>
          <w:b w:val="1"/>
          <w:sz w:val="22"/>
          <w:szCs w:val="22"/>
          <w:rtl w:val="0"/>
        </w:rPr>
        <w:t xml:space="preserve">Manual Único de Contabilidad Gubernamental para las Dependencias y Entidades Públicas del Gobierno y Municipios del Estado de México</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en donde se señala que el Régimen Fiscal para las entidades públicas es el correspondiente a </w:t>
      </w:r>
      <w:r w:rsidDel="00000000" w:rsidR="00000000" w:rsidRPr="00000000">
        <w:rPr>
          <w:rFonts w:ascii="Palatino Linotype" w:cs="Palatino Linotype" w:eastAsia="Palatino Linotype" w:hAnsi="Palatino Linotype"/>
          <w:i w:val="1"/>
          <w:sz w:val="22"/>
          <w:szCs w:val="22"/>
          <w:rtl w:val="0"/>
        </w:rPr>
        <w:t xml:space="preserve">personas morales con fines no lucrativos, </w:t>
      </w:r>
      <w:r w:rsidDel="00000000" w:rsidR="00000000" w:rsidRPr="00000000">
        <w:rPr>
          <w:rFonts w:ascii="Palatino Linotype" w:cs="Palatino Linotype" w:eastAsia="Palatino Linotype" w:hAnsi="Palatino Linotype"/>
          <w:sz w:val="22"/>
          <w:szCs w:val="22"/>
          <w:rtl w:val="0"/>
        </w:rPr>
        <w:t xml:space="preserve">y en segundo lugar remitirnos al párrafo séptimo del artículo 86 del Título III del Régimen de las Personas Morales con fines no lucrativos, de la </w:t>
      </w:r>
      <w:r w:rsidDel="00000000" w:rsidR="00000000" w:rsidRPr="00000000">
        <w:rPr>
          <w:rFonts w:ascii="Palatino Linotype" w:cs="Palatino Linotype" w:eastAsia="Palatino Linotype" w:hAnsi="Palatino Linotype"/>
          <w:b w:val="1"/>
          <w:sz w:val="22"/>
          <w:szCs w:val="22"/>
          <w:rtl w:val="0"/>
        </w:rPr>
        <w:t xml:space="preserve">Ley del Impuesto Sobre la Renta</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que a la letra señala lo siguiente:</w:t>
      </w:r>
    </w:p>
    <w:p w:rsidR="00000000" w:rsidDel="00000000" w:rsidP="00000000" w:rsidRDefault="00000000" w:rsidRPr="00000000" w14:paraId="0000009B">
      <w:pPr>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9C">
      <w:pP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“Artículo.- 86 </w:t>
      </w:r>
      <w:r w:rsidDel="00000000" w:rsidR="00000000" w:rsidRPr="00000000">
        <w:rPr>
          <w:rtl w:val="0"/>
        </w:rPr>
      </w:r>
    </w:p>
    <w:p w:rsidR="00000000" w:rsidDel="00000000" w:rsidP="00000000" w:rsidRDefault="00000000" w:rsidRPr="00000000" w14:paraId="0000009D">
      <w:pP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09E">
      <w:pP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Los partidos y asociaciones políticas, legalmente reconocidos, la Federación, las entidades federativas, los municipios y las instituciones que por Ley estén obligadas a entregar al Gobierno Federal el importe íntegro de su remanente de operación y los organismos descentralizados que no tributen conforme al Título II de esta Ley </w:t>
      </w:r>
      <w:r w:rsidDel="00000000" w:rsidR="00000000" w:rsidRPr="00000000">
        <w:rPr>
          <w:rFonts w:ascii="Palatino Linotype" w:cs="Palatino Linotype" w:eastAsia="Palatino Linotype" w:hAnsi="Palatino Linotype"/>
          <w:b w:val="1"/>
          <w:i w:val="1"/>
          <w:sz w:val="22"/>
          <w:szCs w:val="22"/>
          <w:rtl w:val="0"/>
        </w:rPr>
        <w:t xml:space="preserve">están obligados a expedir y entregar comprobantes fiscales a las personas que reciban pagos por concepto de salarios y, en general, por la prestación de un servicio personal subordinado, en la fecha en que se realice la erogación correspondiente, los cuales podrán utilizarse como constancia o recibo de pago</w:t>
      </w:r>
      <w:r w:rsidDel="00000000" w:rsidR="00000000" w:rsidRPr="00000000">
        <w:rPr>
          <w:rFonts w:ascii="Palatino Linotype" w:cs="Palatino Linotype" w:eastAsia="Palatino Linotype" w:hAnsi="Palatino Linotype"/>
          <w:i w:val="1"/>
          <w:sz w:val="22"/>
          <w:szCs w:val="22"/>
          <w:rtl w:val="0"/>
        </w:rPr>
        <w:t xml:space="preserve"> para efectos de la legislación laboral a que se refieren los artículos 132 fracciones VII y VIII, y 804 primer párrafo fracciones II y IV de la Ley Federal del Trabajo…</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9F">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0">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Del precepto citado, se advierte que las entidades federativas al ser entes públicos se encuentran constreñidos a expedir y entregar los </w:t>
      </w:r>
      <w:r w:rsidDel="00000000" w:rsidR="00000000" w:rsidRPr="00000000">
        <w:rPr>
          <w:rFonts w:ascii="Palatino Linotype" w:cs="Palatino Linotype" w:eastAsia="Palatino Linotype" w:hAnsi="Palatino Linotype"/>
          <w:b w:val="1"/>
          <w:sz w:val="22"/>
          <w:szCs w:val="22"/>
          <w:rtl w:val="0"/>
        </w:rPr>
        <w:t xml:space="preserve">comprobantes fiscales correspondientes a las personas que reciban pagos por conceptos de salarios, </w:t>
      </w:r>
      <w:r w:rsidDel="00000000" w:rsidR="00000000" w:rsidRPr="00000000">
        <w:rPr>
          <w:rFonts w:ascii="Palatino Linotype" w:cs="Palatino Linotype" w:eastAsia="Palatino Linotype" w:hAnsi="Palatino Linotype"/>
          <w:sz w:val="22"/>
          <w:szCs w:val="22"/>
          <w:rtl w:val="0"/>
        </w:rPr>
        <w:t xml:space="preserve">mismos que pueden ser utilizados como </w:t>
      </w:r>
      <w:r w:rsidDel="00000000" w:rsidR="00000000" w:rsidRPr="00000000">
        <w:rPr>
          <w:rFonts w:ascii="Palatino Linotype" w:cs="Palatino Linotype" w:eastAsia="Palatino Linotype" w:hAnsi="Palatino Linotype"/>
          <w:b w:val="1"/>
          <w:sz w:val="22"/>
          <w:szCs w:val="22"/>
          <w:rtl w:val="0"/>
        </w:rPr>
        <w:t xml:space="preserve">constancia 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recibo de pago</w:t>
      </w:r>
      <w:r w:rsidDel="00000000" w:rsidR="00000000" w:rsidRPr="00000000">
        <w:rPr>
          <w:rFonts w:ascii="Palatino Linotype" w:cs="Palatino Linotype" w:eastAsia="Palatino Linotype" w:hAnsi="Palatino Linotype"/>
          <w:sz w:val="22"/>
          <w:szCs w:val="22"/>
          <w:rtl w:val="0"/>
        </w:rPr>
        <w:t xml:space="preserve">, de conformidad con los artículos 132 fracciones VII y VIII de la </w:t>
      </w:r>
      <w:r w:rsidDel="00000000" w:rsidR="00000000" w:rsidRPr="00000000">
        <w:rPr>
          <w:rFonts w:ascii="Palatino Linotype" w:cs="Palatino Linotype" w:eastAsia="Palatino Linotype" w:hAnsi="Palatino Linotype"/>
          <w:b w:val="1"/>
          <w:sz w:val="22"/>
          <w:szCs w:val="22"/>
          <w:rtl w:val="0"/>
        </w:rPr>
        <w:t xml:space="preserve">Ley Federal del Trabajo</w:t>
      </w:r>
      <w:r w:rsidDel="00000000" w:rsidR="00000000" w:rsidRPr="00000000">
        <w:rPr>
          <w:rFonts w:ascii="Palatino Linotype" w:cs="Palatino Linotype" w:eastAsia="Palatino Linotype" w:hAnsi="Palatino Linotype"/>
          <w:sz w:val="22"/>
          <w:szCs w:val="22"/>
          <w:rtl w:val="0"/>
        </w:rPr>
        <w:t xml:space="preserve">, que a la letra señalan lo siguiente:</w:t>
      </w:r>
    </w:p>
    <w:p w:rsidR="00000000" w:rsidDel="00000000" w:rsidP="00000000" w:rsidRDefault="00000000" w:rsidRPr="00000000" w14:paraId="000000A1">
      <w:pPr>
        <w:spacing w:after="120" w:before="120"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132</w:t>
      </w:r>
      <w:r w:rsidDel="00000000" w:rsidR="00000000" w:rsidRPr="00000000">
        <w:rPr>
          <w:rFonts w:ascii="Palatino Linotype" w:cs="Palatino Linotype" w:eastAsia="Palatino Linotype" w:hAnsi="Palatino Linotype"/>
          <w:i w:val="1"/>
          <w:sz w:val="22"/>
          <w:szCs w:val="22"/>
          <w:rtl w:val="0"/>
        </w:rPr>
        <w:t xml:space="preserve">.- Son </w:t>
      </w:r>
      <w:r w:rsidDel="00000000" w:rsidR="00000000" w:rsidRPr="00000000">
        <w:rPr>
          <w:rFonts w:ascii="Palatino Linotype" w:cs="Palatino Linotype" w:eastAsia="Palatino Linotype" w:hAnsi="Palatino Linotype"/>
          <w:b w:val="1"/>
          <w:i w:val="1"/>
          <w:sz w:val="22"/>
          <w:szCs w:val="22"/>
          <w:rtl w:val="0"/>
        </w:rPr>
        <w:t xml:space="preserve">obligaciones de los patrones</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0A2">
      <w:pPr>
        <w:spacing w:after="120" w:before="120"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0A3">
      <w:pPr>
        <w:spacing w:after="120" w:before="120"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VII.- </w:t>
      </w:r>
      <w:r w:rsidDel="00000000" w:rsidR="00000000" w:rsidRPr="00000000">
        <w:rPr>
          <w:rFonts w:ascii="Palatino Linotype" w:cs="Palatino Linotype" w:eastAsia="Palatino Linotype" w:hAnsi="Palatino Linotype"/>
          <w:b w:val="1"/>
          <w:i w:val="1"/>
          <w:sz w:val="22"/>
          <w:szCs w:val="22"/>
          <w:rtl w:val="0"/>
        </w:rPr>
        <w:t xml:space="preserve">Expedir</w:t>
      </w:r>
      <w:r w:rsidDel="00000000" w:rsidR="00000000" w:rsidRPr="00000000">
        <w:rPr>
          <w:rFonts w:ascii="Palatino Linotype" w:cs="Palatino Linotype" w:eastAsia="Palatino Linotype" w:hAnsi="Palatino Linotype"/>
          <w:i w:val="1"/>
          <w:sz w:val="22"/>
          <w:szCs w:val="22"/>
          <w:rtl w:val="0"/>
        </w:rPr>
        <w:t xml:space="preserve"> cada quince días, a solicitud de los trabajadores, una </w:t>
      </w:r>
      <w:r w:rsidDel="00000000" w:rsidR="00000000" w:rsidRPr="00000000">
        <w:rPr>
          <w:rFonts w:ascii="Palatino Linotype" w:cs="Palatino Linotype" w:eastAsia="Palatino Linotype" w:hAnsi="Palatino Linotype"/>
          <w:b w:val="1"/>
          <w:i w:val="1"/>
          <w:sz w:val="22"/>
          <w:szCs w:val="22"/>
          <w:rtl w:val="0"/>
        </w:rPr>
        <w:t xml:space="preserve">constancia</w:t>
      </w:r>
      <w:r w:rsidDel="00000000" w:rsidR="00000000" w:rsidRPr="00000000">
        <w:rPr>
          <w:rFonts w:ascii="Palatino Linotype" w:cs="Palatino Linotype" w:eastAsia="Palatino Linotype" w:hAnsi="Palatino Linotype"/>
          <w:i w:val="1"/>
          <w:sz w:val="22"/>
          <w:szCs w:val="22"/>
          <w:rtl w:val="0"/>
        </w:rPr>
        <w:t xml:space="preserve"> escrita del número de días trabajados y </w:t>
      </w:r>
      <w:r w:rsidDel="00000000" w:rsidR="00000000" w:rsidRPr="00000000">
        <w:rPr>
          <w:rFonts w:ascii="Palatino Linotype" w:cs="Palatino Linotype" w:eastAsia="Palatino Linotype" w:hAnsi="Palatino Linotype"/>
          <w:b w:val="1"/>
          <w:i w:val="1"/>
          <w:sz w:val="22"/>
          <w:szCs w:val="22"/>
          <w:rtl w:val="0"/>
        </w:rPr>
        <w:t xml:space="preserve">del salario percibido</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tl w:val="0"/>
        </w:rPr>
      </w:r>
    </w:p>
    <w:p w:rsidR="00000000" w:rsidDel="00000000" w:rsidP="00000000" w:rsidRDefault="00000000" w:rsidRPr="00000000" w14:paraId="000000A4">
      <w:pPr>
        <w:spacing w:after="120" w:before="120"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VIII.- Expedir al trabajador que lo solicite o se separe de la empresa, dentro del término de tres días, una constancia escrita relativa a sus servicios;</w:t>
      </w:r>
      <w:r w:rsidDel="00000000" w:rsidR="00000000" w:rsidRPr="00000000">
        <w:rPr>
          <w:rtl w:val="0"/>
        </w:rPr>
      </w:r>
    </w:p>
    <w:p w:rsidR="00000000" w:rsidDel="00000000" w:rsidP="00000000" w:rsidRDefault="00000000" w:rsidRPr="00000000" w14:paraId="000000A5">
      <w:pPr>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0A6">
      <w:pPr>
        <w:spacing w:after="36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su parte la Ley del Trabajo de los Servidores Públicos del Estado y Municipios, en su artículo 220-K fracciones II y IV y último párrafo, establecen lo siguiente:</w:t>
      </w:r>
    </w:p>
    <w:p w:rsidR="00000000" w:rsidDel="00000000" w:rsidP="00000000" w:rsidRDefault="00000000" w:rsidRPr="00000000" w14:paraId="000000A7">
      <w:pP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220 K.-</w:t>
      </w:r>
      <w:r w:rsidDel="00000000" w:rsidR="00000000" w:rsidRPr="00000000">
        <w:rPr>
          <w:rFonts w:ascii="Palatino Linotype" w:cs="Palatino Linotype" w:eastAsia="Palatino Linotype" w:hAnsi="Palatino Linotype"/>
          <w:i w:val="1"/>
          <w:sz w:val="22"/>
          <w:szCs w:val="22"/>
          <w:rtl w:val="0"/>
        </w:rPr>
        <w:t xml:space="preserve"> La institución o dependencia pública tiene la obligación de conservar y exhibir en el proceso los documentos que a continuación se precisan:</w:t>
      </w:r>
      <w:r w:rsidDel="00000000" w:rsidR="00000000" w:rsidRPr="00000000">
        <w:rPr>
          <w:rtl w:val="0"/>
        </w:rPr>
      </w:r>
    </w:p>
    <w:p w:rsidR="00000000" w:rsidDel="00000000" w:rsidP="00000000" w:rsidRDefault="00000000" w:rsidRPr="00000000" w14:paraId="000000A8">
      <w:pP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0A9">
      <w:pP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II. </w:t>
      </w:r>
      <w:r w:rsidDel="00000000" w:rsidR="00000000" w:rsidRPr="00000000">
        <w:rPr>
          <w:rFonts w:ascii="Palatino Linotype" w:cs="Palatino Linotype" w:eastAsia="Palatino Linotype" w:hAnsi="Palatino Linotype"/>
          <w:b w:val="1"/>
          <w:i w:val="1"/>
          <w:sz w:val="22"/>
          <w:szCs w:val="22"/>
          <w:rtl w:val="0"/>
        </w:rPr>
        <w:t xml:space="preserve">Recibos de pagos de salarios</w:t>
      </w:r>
      <w:r w:rsidDel="00000000" w:rsidR="00000000" w:rsidRPr="00000000">
        <w:rPr>
          <w:rFonts w:ascii="Palatino Linotype" w:cs="Palatino Linotype" w:eastAsia="Palatino Linotype" w:hAnsi="Palatino Linotype"/>
          <w:i w:val="1"/>
          <w:sz w:val="22"/>
          <w:szCs w:val="22"/>
          <w:rtl w:val="0"/>
        </w:rPr>
        <w:t xml:space="preserve"> o las constancias documentales del pago de salario cuando sea por depósito o mediante información electrónica;</w:t>
      </w:r>
      <w:r w:rsidDel="00000000" w:rsidR="00000000" w:rsidRPr="00000000">
        <w:rPr>
          <w:rtl w:val="0"/>
        </w:rPr>
      </w:r>
    </w:p>
    <w:p w:rsidR="00000000" w:rsidDel="00000000" w:rsidP="00000000" w:rsidRDefault="00000000" w:rsidRPr="00000000" w14:paraId="000000AA">
      <w:pP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0AB">
      <w:pPr>
        <w:spacing w:line="276" w:lineRule="auto"/>
        <w:ind w:left="851" w:right="616" w:firstLine="0"/>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C">
      <w:pP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IV. Recibos o las constancias de depósito o del medio de información magnética o electrónica que sean utilizadas para el pago de salarios, prima vacacional, aguinaldo y demás prestaciones establecidas en la presente ley; y…</w:t>
      </w:r>
      <w:r w:rsidDel="00000000" w:rsidR="00000000" w:rsidRPr="00000000">
        <w:rPr>
          <w:rtl w:val="0"/>
        </w:rPr>
      </w:r>
    </w:p>
    <w:p w:rsidR="00000000" w:rsidDel="00000000" w:rsidP="00000000" w:rsidRDefault="00000000" w:rsidRPr="00000000" w14:paraId="000000AD">
      <w:pP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r w:rsidDel="00000000" w:rsidR="00000000" w:rsidRPr="00000000">
        <w:rPr>
          <w:rtl w:val="0"/>
        </w:rPr>
      </w:r>
    </w:p>
    <w:p w:rsidR="00000000" w:rsidDel="00000000" w:rsidP="00000000" w:rsidRDefault="00000000" w:rsidRPr="00000000" w14:paraId="000000AE">
      <w:pP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r w:rsidDel="00000000" w:rsidR="00000000" w:rsidRPr="00000000">
        <w:rPr>
          <w:rtl w:val="0"/>
        </w:rPr>
      </w:r>
    </w:p>
    <w:p w:rsidR="00000000" w:rsidDel="00000000" w:rsidP="00000000" w:rsidRDefault="00000000" w:rsidRPr="00000000" w14:paraId="000000AF">
      <w:pP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El incumplimiento por lo dispuesto por este artículo, establecerá la presunción de ser ciertos los hechos que el actor exprese en su demanda, en relación con tales documentos, salvo prueba en contrario.”</w:t>
      </w:r>
      <w:r w:rsidDel="00000000" w:rsidR="00000000" w:rsidRPr="00000000">
        <w:rPr>
          <w:rtl w:val="0"/>
        </w:rPr>
      </w:r>
    </w:p>
    <w:p w:rsidR="00000000" w:rsidDel="00000000" w:rsidP="00000000" w:rsidRDefault="00000000" w:rsidRPr="00000000" w14:paraId="000000B0">
      <w:pPr>
        <w:spacing w:before="120"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1">
      <w:pPr>
        <w:spacing w:before="12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Sobre la base del precepto legal citado, se advierte que toda institución pública o dependencia pública del Estado de México debe conservar las constancias de pago de salarios, prima vacacional, aguinaldo y demás prestaciones legales de acuerdo con la forma en que se haya realizado el pago; es decir, en efectivo, cheque, depósito, transferencia u otra, debiendo conservar dicha documentación durante el último año y un año después de que se extingue la relación laboral a través de los sistemas de digitalización o de información magnética o electrónica.</w:t>
      </w:r>
    </w:p>
    <w:p w:rsidR="00000000" w:rsidDel="00000000" w:rsidP="00000000" w:rsidRDefault="00000000" w:rsidRPr="00000000" w14:paraId="000000B2">
      <w:pPr>
        <w:spacing w:line="3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estas condiciones, resulta claro que la información de mérito es generada en ejercicio de las atribuciones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de acuerdo a lo dispuesto por los artículos 4, segundo párrafo y 12, segundo párrafo de la Ley de Transparencia y Acceso a la Información Pública del Estado de México y Municipios; consecuentemente debe obrar en sus archivos de conformidad a lo que señala el artículo 19 de la Ley de Transparencia Local que establece que debe presumirse la existencia de la información, si se refiere a las facultades, competencias y funciones que los ordenamientos jurídicos aplicables otorgan a los Sujetos Obligados.</w:t>
      </w:r>
    </w:p>
    <w:p w:rsidR="00000000" w:rsidDel="00000000" w:rsidP="00000000" w:rsidRDefault="00000000" w:rsidRPr="00000000" w14:paraId="000000B4">
      <w:pPr>
        <w:spacing w:line="360"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Además, de que la información de análisis, es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los artículos 7 y 23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es del tenor siguiente:</w:t>
      </w:r>
    </w:p>
    <w:p w:rsidR="00000000" w:rsidDel="00000000" w:rsidP="00000000" w:rsidRDefault="00000000" w:rsidRPr="00000000" w14:paraId="000000B6">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7">
      <w:pPr>
        <w:spacing w:after="160"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“Artículo 7. El Estado de México garantizará el efectivo acceso de toda persona a la información en posesión de cualquier entidad,</w:t>
      </w:r>
      <w:r w:rsidDel="00000000" w:rsidR="00000000" w:rsidRPr="00000000">
        <w:rPr>
          <w:rFonts w:ascii="Palatino Linotype" w:cs="Palatino Linotype" w:eastAsia="Palatino Linotype" w:hAnsi="Palatino Linotype"/>
          <w:i w:val="1"/>
          <w:sz w:val="22"/>
          <w:szCs w:val="22"/>
          <w:rtl w:val="0"/>
        </w:rPr>
        <w:t xml:space="preserve"> autoridad, órgano y organismo de los poderes Ejecutivo, Legislativo y Judicial, órganos autónomos, partidos políticos, fideicomisos y fondos públicos, así como de cualquier persona física, jurídico colectiva o sindicato </w:t>
      </w:r>
      <w:r w:rsidDel="00000000" w:rsidR="00000000" w:rsidRPr="00000000">
        <w:rPr>
          <w:rFonts w:ascii="Palatino Linotype" w:cs="Palatino Linotype" w:eastAsia="Palatino Linotype" w:hAnsi="Palatino Linotype"/>
          <w:b w:val="1"/>
          <w:i w:val="1"/>
          <w:sz w:val="22"/>
          <w:szCs w:val="22"/>
          <w:u w:val="single"/>
          <w:rtl w:val="0"/>
        </w:rPr>
        <w:t xml:space="preserve">que reciba y ejerza recursos públicos</w:t>
      </w:r>
      <w:r w:rsidDel="00000000" w:rsidR="00000000" w:rsidRPr="00000000">
        <w:rPr>
          <w:rFonts w:ascii="Palatino Linotype" w:cs="Palatino Linotype" w:eastAsia="Palatino Linotype" w:hAnsi="Palatino Linotype"/>
          <w:i w:val="1"/>
          <w:sz w:val="22"/>
          <w:szCs w:val="22"/>
          <w:rtl w:val="0"/>
        </w:rPr>
        <w:t xml:space="preserve"> o realice actos de autoridad </w:t>
      </w:r>
      <w:r w:rsidDel="00000000" w:rsidR="00000000" w:rsidRPr="00000000">
        <w:rPr>
          <w:rFonts w:ascii="Palatino Linotype" w:cs="Palatino Linotype" w:eastAsia="Palatino Linotype" w:hAnsi="Palatino Linotype"/>
          <w:b w:val="1"/>
          <w:i w:val="1"/>
          <w:sz w:val="22"/>
          <w:szCs w:val="22"/>
          <w:u w:val="single"/>
          <w:rtl w:val="0"/>
        </w:rPr>
        <w:t xml:space="preserve">en el ámbito de competencia del Estado de México </w:t>
      </w:r>
      <w:r w:rsidDel="00000000" w:rsidR="00000000" w:rsidRPr="00000000">
        <w:rPr>
          <w:rFonts w:ascii="Palatino Linotype" w:cs="Palatino Linotype" w:eastAsia="Palatino Linotype" w:hAnsi="Palatino Linotype"/>
          <w:i w:val="1"/>
          <w:sz w:val="22"/>
          <w:szCs w:val="22"/>
          <w:rtl w:val="0"/>
        </w:rPr>
        <w:t xml:space="preserve">y sus municipios.</w:t>
      </w:r>
    </w:p>
    <w:p w:rsidR="00000000" w:rsidDel="00000000" w:rsidP="00000000" w:rsidRDefault="00000000" w:rsidRPr="00000000" w14:paraId="000000B8">
      <w:pPr>
        <w:spacing w:after="160"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23</w:t>
      </w:r>
      <w:r w:rsidDel="00000000" w:rsidR="00000000" w:rsidRPr="00000000">
        <w:rPr>
          <w:rFonts w:ascii="Palatino Linotype" w:cs="Palatino Linotype" w:eastAsia="Palatino Linotype" w:hAnsi="Palatino Linotype"/>
          <w:i w:val="1"/>
          <w:sz w:val="22"/>
          <w:szCs w:val="22"/>
          <w:rtl w:val="0"/>
        </w:rPr>
        <w:t xml:space="preserve">. Son sujetos obligados a transparentar y permitir el acceso a su información y proteger los datos personales que obren en su poder:</w:t>
      </w:r>
      <w:r w:rsidDel="00000000" w:rsidR="00000000" w:rsidRPr="00000000">
        <w:rPr>
          <w:rtl w:val="0"/>
        </w:rPr>
      </w:r>
    </w:p>
    <w:p w:rsidR="00000000" w:rsidDel="00000000" w:rsidP="00000000" w:rsidRDefault="00000000" w:rsidRPr="00000000" w14:paraId="000000B9">
      <w:pPr>
        <w:spacing w:after="160"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I. El Poder Ejecutivo del Estado de México, las dependencias, organismos auxiliares, órganos, entidades, fideicomisos y fondos públicos, así como la Fiscalía General de Justicia del Estado de México;</w:t>
      </w:r>
      <w:r w:rsidDel="00000000" w:rsidR="00000000" w:rsidRPr="00000000">
        <w:rPr>
          <w:rtl w:val="0"/>
        </w:rPr>
      </w:r>
    </w:p>
    <w:p w:rsidR="00000000" w:rsidDel="00000000" w:rsidP="00000000" w:rsidRDefault="00000000" w:rsidRPr="00000000" w14:paraId="000000BA">
      <w:pPr>
        <w:spacing w:after="160"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0BB">
      <w:pPr>
        <w:spacing w:after="160"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Los sujetos obligados deberán hacer pública toda aquella información relativa a los montos y las personas a quienes entreguen, por cualquier motivo, recursos públicos, así como los informes que dichas personas les entreguen sobre el uso y destino de dichos recursos.</w:t>
      </w:r>
      <w:r w:rsidDel="00000000" w:rsidR="00000000" w:rsidRPr="00000000">
        <w:rPr>
          <w:rtl w:val="0"/>
        </w:rPr>
      </w:r>
    </w:p>
    <w:p w:rsidR="00000000" w:rsidDel="00000000" w:rsidP="00000000" w:rsidRDefault="00000000" w:rsidRPr="00000000" w14:paraId="000000BC">
      <w:pPr>
        <w:spacing w:after="160"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Los servidores públicos deberán transparentar sus acciones así como garantizar y respetar el derecho de acceso a la información pública.”</w:t>
      </w:r>
      <w:r w:rsidDel="00000000" w:rsidR="00000000" w:rsidRPr="00000000">
        <w:rPr>
          <w:rFonts w:ascii="Palatino Linotype" w:cs="Palatino Linotype" w:eastAsia="Palatino Linotype" w:hAnsi="Palatino Linotype"/>
          <w:b w:val="1"/>
          <w:i w:val="1"/>
          <w:sz w:val="22"/>
          <w:szCs w:val="22"/>
          <w:rtl w:val="0"/>
        </w:rPr>
        <w:t xml:space="preserve"> </w:t>
      </w:r>
      <w:r w:rsidDel="00000000" w:rsidR="00000000" w:rsidRPr="00000000">
        <w:rPr>
          <w:rtl w:val="0"/>
        </w:rPr>
      </w:r>
    </w:p>
    <w:p w:rsidR="00000000" w:rsidDel="00000000" w:rsidP="00000000" w:rsidRDefault="00000000" w:rsidRPr="00000000" w14:paraId="000000BD">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E">
      <w:pPr>
        <w:spacing w:after="16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Sirve de sustento por analogía, para justificar la publicidad sobre los datos relativos a los montos por concepto de pago de las remuneraciones, los criterios </w:t>
      </w:r>
      <w:r w:rsidDel="00000000" w:rsidR="00000000" w:rsidRPr="00000000">
        <w:rPr>
          <w:rFonts w:ascii="Palatino Linotype" w:cs="Palatino Linotype" w:eastAsia="Palatino Linotype" w:hAnsi="Palatino Linotype"/>
          <w:b w:val="1"/>
          <w:sz w:val="22"/>
          <w:szCs w:val="22"/>
          <w:rtl w:val="0"/>
        </w:rPr>
        <w:t xml:space="preserve">01/2003</w:t>
      </w:r>
      <w:r w:rsidDel="00000000" w:rsidR="00000000" w:rsidRPr="00000000">
        <w:rPr>
          <w:rFonts w:ascii="Palatino Linotype" w:cs="Palatino Linotype" w:eastAsia="Palatino Linotype" w:hAnsi="Palatino Linotype"/>
          <w:sz w:val="22"/>
          <w:szCs w:val="22"/>
          <w:rtl w:val="0"/>
        </w:rPr>
        <w:t xml:space="preserve"> y </w:t>
      </w:r>
      <w:r w:rsidDel="00000000" w:rsidR="00000000" w:rsidRPr="00000000">
        <w:rPr>
          <w:rFonts w:ascii="Palatino Linotype" w:cs="Palatino Linotype" w:eastAsia="Palatino Linotype" w:hAnsi="Palatino Linotype"/>
          <w:b w:val="1"/>
          <w:sz w:val="22"/>
          <w:szCs w:val="22"/>
          <w:rtl w:val="0"/>
        </w:rPr>
        <w:t xml:space="preserve">02/2003</w:t>
      </w:r>
      <w:r w:rsidDel="00000000" w:rsidR="00000000" w:rsidRPr="00000000">
        <w:rPr>
          <w:rFonts w:ascii="Palatino Linotype" w:cs="Palatino Linotype" w:eastAsia="Palatino Linotype" w:hAnsi="Palatino Linotype"/>
          <w:sz w:val="22"/>
          <w:szCs w:val="22"/>
          <w:rtl w:val="0"/>
        </w:rPr>
        <w:t xml:space="preserve"> emitidos por el Comité de Acceso a la Información Pública y Protección de Datos Personales de la Suprema Corte de Justicia de la Nación que a continuación se citan: </w:t>
      </w:r>
    </w:p>
    <w:p w:rsidR="00000000" w:rsidDel="00000000" w:rsidP="00000000" w:rsidRDefault="00000000" w:rsidRPr="00000000" w14:paraId="000000BF">
      <w:pPr>
        <w:tabs>
          <w:tab w:val="left" w:leader="none" w:pos="7513"/>
        </w:tabs>
        <w:spacing w:line="276" w:lineRule="auto"/>
        <w:ind w:left="851" w:right="616" w:firstLine="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“Criterio 01/2003.</w:t>
      </w:r>
      <w:r w:rsidDel="00000000" w:rsidR="00000000" w:rsidRPr="00000000">
        <w:rPr>
          <w:rtl w:val="0"/>
        </w:rPr>
      </w:r>
    </w:p>
    <w:p w:rsidR="00000000" w:rsidDel="00000000" w:rsidP="00000000" w:rsidRDefault="00000000" w:rsidRPr="00000000" w14:paraId="000000C0">
      <w:pPr>
        <w:tabs>
          <w:tab w:val="left" w:leader="none" w:pos="7513"/>
        </w:tabs>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INGRESOS DE LOS SERVIDORES PÚBLICOS. CONSTITUYEN INFORMACIÓN PÚBLICA AÚN Y CUANDO SU DIFUSIÓN PUEDE AFECTAR LA VIDA O LA SEGURIDAD DE AQUELLOS.</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tl w:val="0"/>
        </w:rPr>
      </w:r>
    </w:p>
    <w:p w:rsidR="00000000" w:rsidDel="00000000" w:rsidP="00000000" w:rsidRDefault="00000000" w:rsidRPr="00000000" w14:paraId="000000C1">
      <w:pPr>
        <w:tabs>
          <w:tab w:val="left" w:leader="none" w:pos="7513"/>
        </w:tabs>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Del="00000000" w:rsidR="00000000" w:rsidRPr="00000000">
        <w:rPr>
          <w:rFonts w:ascii="Palatino Linotype" w:cs="Palatino Linotype" w:eastAsia="Palatino Linotype" w:hAnsi="Palatino Linotype"/>
          <w:b w:val="1"/>
          <w:i w:val="1"/>
          <w:sz w:val="22"/>
          <w:szCs w:val="22"/>
          <w:u w:val="single"/>
          <w:rtl w:val="0"/>
        </w:rPr>
        <w:t xml:space="preserve">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Del="00000000" w:rsidR="00000000" w:rsidRPr="00000000">
        <w:rPr>
          <w:rFonts w:ascii="Palatino Linotype" w:cs="Palatino Linotype" w:eastAsia="Palatino Linotype" w:hAnsi="Palatino Linotype"/>
          <w:i w:val="1"/>
          <w:sz w:val="22"/>
          <w:szCs w:val="22"/>
          <w:u w:val="single"/>
          <w:rtl w:val="0"/>
        </w:rPr>
        <w:t xml:space="preserve">…”</w:t>
      </w:r>
      <w:r w:rsidDel="00000000" w:rsidR="00000000" w:rsidRPr="00000000">
        <w:rPr>
          <w:rtl w:val="0"/>
        </w:rPr>
      </w:r>
    </w:p>
    <w:p w:rsidR="00000000" w:rsidDel="00000000" w:rsidP="00000000" w:rsidRDefault="00000000" w:rsidRPr="00000000" w14:paraId="000000C2">
      <w:pPr>
        <w:tabs>
          <w:tab w:val="left" w:leader="none" w:pos="7513"/>
        </w:tabs>
        <w:spacing w:line="276" w:lineRule="auto"/>
        <w:ind w:left="851" w:right="616" w:firstLine="0"/>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3">
      <w:pPr>
        <w:tabs>
          <w:tab w:val="left" w:leader="none" w:pos="7513"/>
        </w:tabs>
        <w:spacing w:line="276" w:lineRule="auto"/>
        <w:ind w:left="851" w:right="616" w:firstLine="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“Criterio 02/2003.</w:t>
      </w:r>
      <w:r w:rsidDel="00000000" w:rsidR="00000000" w:rsidRPr="00000000">
        <w:rPr>
          <w:rtl w:val="0"/>
        </w:rPr>
      </w:r>
    </w:p>
    <w:p w:rsidR="00000000" w:rsidDel="00000000" w:rsidP="00000000" w:rsidRDefault="00000000" w:rsidRPr="00000000" w14:paraId="000000C4">
      <w:pPr>
        <w:tabs>
          <w:tab w:val="left" w:leader="none" w:pos="7513"/>
        </w:tabs>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INGRESOS DE LOS SERVIDORES PÚBLICOS, SON INFORMACIÓN PÚBLICA AÚN Y CUANDO CONSTITUYEN DATOS PERSONALES QUE SE REFIEREN AL PATRIMONIO DE AQUÉLLOS.</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tl w:val="0"/>
        </w:rPr>
      </w:r>
    </w:p>
    <w:p w:rsidR="00000000" w:rsidDel="00000000" w:rsidP="00000000" w:rsidRDefault="00000000" w:rsidRPr="00000000" w14:paraId="000000C5">
      <w:pPr>
        <w:tabs>
          <w:tab w:val="left" w:leader="none" w:pos="7513"/>
        </w:tabs>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Del="00000000" w:rsidR="00000000" w:rsidRPr="00000000">
        <w:rPr>
          <w:rFonts w:ascii="Palatino Linotype" w:cs="Palatino Linotype" w:eastAsia="Palatino Linotype" w:hAnsi="Palatino Linotype"/>
          <w:b w:val="1"/>
          <w:i w:val="1"/>
          <w:sz w:val="22"/>
          <w:szCs w:val="22"/>
          <w:u w:val="single"/>
          <w:rtl w:val="0"/>
        </w:rPr>
        <w:t xml:space="preserve">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Del="00000000" w:rsidR="00000000" w:rsidRPr="00000000">
        <w:rPr>
          <w:rFonts w:ascii="Palatino Linotype" w:cs="Palatino Linotype" w:eastAsia="Palatino Linotype" w:hAnsi="Palatino Linotype"/>
          <w:i w:val="1"/>
          <w:sz w:val="22"/>
          <w:szCs w:val="22"/>
          <w:rtl w:val="0"/>
        </w:rPr>
        <w:t xml:space="preserve"> el sistema de compensación…”</w:t>
      </w:r>
      <w:r w:rsidDel="00000000" w:rsidR="00000000" w:rsidRPr="00000000">
        <w:rPr>
          <w:rtl w:val="0"/>
        </w:rPr>
      </w:r>
    </w:p>
    <w:p w:rsidR="00000000" w:rsidDel="00000000" w:rsidP="00000000" w:rsidRDefault="00000000" w:rsidRPr="00000000" w14:paraId="000000C6">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el artículo 92, fracción VIII de la Ley de Transparencia y Acceso a la Información Pública del Estado de México y Municipios, señala: </w:t>
      </w:r>
    </w:p>
    <w:p w:rsidR="00000000" w:rsidDel="00000000" w:rsidP="00000000" w:rsidRDefault="00000000" w:rsidRPr="00000000" w14:paraId="000000C8">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9">
      <w:pP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92.</w:t>
      </w:r>
      <w:r w:rsidDel="00000000" w:rsidR="00000000" w:rsidRPr="00000000">
        <w:rPr>
          <w:rFonts w:ascii="Palatino Linotype" w:cs="Palatino Linotype" w:eastAsia="Palatino Linotype" w:hAnsi="Palatino Linotype"/>
          <w:i w:val="1"/>
          <w:sz w:val="22"/>
          <w:szCs w:val="22"/>
          <w:rtl w:val="0"/>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r w:rsidDel="00000000" w:rsidR="00000000" w:rsidRPr="00000000">
        <w:rPr>
          <w:rtl w:val="0"/>
        </w:rPr>
      </w:r>
    </w:p>
    <w:p w:rsidR="00000000" w:rsidDel="00000000" w:rsidP="00000000" w:rsidRDefault="00000000" w:rsidRPr="00000000" w14:paraId="000000CA">
      <w:pP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0CB">
      <w:pP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VIII.</w:t>
      </w:r>
      <w:r w:rsidDel="00000000" w:rsidR="00000000" w:rsidRPr="00000000">
        <w:rPr>
          <w:rFonts w:ascii="Palatino Linotype" w:cs="Palatino Linotype" w:eastAsia="Palatino Linotype" w:hAnsi="Palatino Linotype"/>
          <w:i w:val="1"/>
          <w:sz w:val="22"/>
          <w:szCs w:val="22"/>
          <w:rtl w:val="0"/>
        </w:rPr>
        <w:t xml:space="preserve">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r w:rsidDel="00000000" w:rsidR="00000000" w:rsidRPr="00000000">
        <w:rPr>
          <w:rtl w:val="0"/>
        </w:rPr>
      </w:r>
    </w:p>
    <w:p w:rsidR="00000000" w:rsidDel="00000000" w:rsidP="00000000" w:rsidRDefault="00000000" w:rsidRPr="00000000" w14:paraId="000000CC">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D">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lo anterior, se colige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cuenta con las competencias, facultades y atribuciones para conocer, administrar y generar la información relacionada con los </w:t>
      </w:r>
      <w:r w:rsidDel="00000000" w:rsidR="00000000" w:rsidRPr="00000000">
        <w:rPr>
          <w:rFonts w:ascii="Palatino Linotype" w:cs="Palatino Linotype" w:eastAsia="Palatino Linotype" w:hAnsi="Palatino Linotype"/>
          <w:b w:val="1"/>
          <w:sz w:val="22"/>
          <w:szCs w:val="22"/>
          <w:rtl w:val="0"/>
        </w:rPr>
        <w:t xml:space="preserve">recibos de nómina del personal adscrito al Órgano Interno de Control, </w:t>
      </w:r>
      <w:r w:rsidDel="00000000" w:rsidR="00000000" w:rsidRPr="00000000">
        <w:rPr>
          <w:rFonts w:ascii="Palatino Linotype" w:cs="Palatino Linotype" w:eastAsia="Palatino Linotype" w:hAnsi="Palatino Linotype"/>
          <w:sz w:val="22"/>
          <w:szCs w:val="22"/>
          <w:rtl w:val="0"/>
        </w:rPr>
        <w:t xml:space="preserve">solicitado por el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0CE">
      <w:pPr>
        <w:spacing w:line="360" w:lineRule="auto"/>
        <w:ind w:right="-7"/>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F">
      <w:pPr>
        <w:spacing w:line="360" w:lineRule="auto"/>
        <w:ind w:right="-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modo que, este Organismo Garante considera necesario traer a contexto el Directorio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el cual se encuentra publicado en el Portal de Información Pública de Oficio Mexiquense, del que se advierte que el Órgano Interno de Control cuenta con 14 servidores públicos, distribuidos de la siguiente manera: </w:t>
      </w:r>
    </w:p>
    <w:p w:rsidR="00000000" w:rsidDel="00000000" w:rsidP="00000000" w:rsidRDefault="00000000" w:rsidRPr="00000000" w14:paraId="000000D0">
      <w:pPr>
        <w:spacing w:line="360" w:lineRule="auto"/>
        <w:ind w:right="-7"/>
        <w:jc w:val="center"/>
        <w:rPr>
          <w:rFonts w:ascii="Palatino Linotype" w:cs="Palatino Linotype" w:eastAsia="Palatino Linotype" w:hAnsi="Palatino Linotype"/>
          <w:sz w:val="22"/>
          <w:szCs w:val="22"/>
          <w:u w:val="single"/>
        </w:rPr>
      </w:pPr>
      <w:r w:rsidDel="00000000" w:rsidR="00000000" w:rsidRPr="00000000">
        <w:rPr>
          <w:rFonts w:ascii="Palatino Linotype" w:cs="Palatino Linotype" w:eastAsia="Palatino Linotype" w:hAnsi="Palatino Linotype"/>
          <w:sz w:val="22"/>
          <w:szCs w:val="22"/>
          <w:u w:val="single"/>
        </w:rPr>
        <w:drawing>
          <wp:inline distB="0" distT="0" distL="0" distR="0">
            <wp:extent cx="4410691" cy="857370"/>
            <wp:effectExtent b="0" l="0" r="0" t="0"/>
            <wp:docPr id="169"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4410691" cy="857370"/>
                    </a:xfrm>
                    <a:prstGeom prst="rect"/>
                    <a:ln/>
                  </pic:spPr>
                </pic:pic>
              </a:graphicData>
            </a:graphic>
          </wp:inline>
        </w:drawing>
      </w:r>
      <w:r w:rsidDel="00000000" w:rsidR="00000000" w:rsidRPr="00000000">
        <w:rPr>
          <w:rtl w:val="0"/>
        </w:rPr>
      </w:r>
    </w:p>
    <w:p w:rsidR="00000000" w:rsidDel="00000000" w:rsidP="00000000" w:rsidRDefault="00000000" w:rsidRPr="00000000" w14:paraId="000000D1">
      <w:pPr>
        <w:spacing w:line="360" w:lineRule="auto"/>
        <w:ind w:right="-7"/>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183885" cy="1647245"/>
            <wp:effectExtent b="0" l="0" r="0" t="0"/>
            <wp:docPr id="168" name="image2.png"/>
            <a:graphic>
              <a:graphicData uri="http://schemas.openxmlformats.org/drawingml/2006/picture">
                <pic:pic>
                  <pic:nvPicPr>
                    <pic:cNvPr id="0" name="image2.png"/>
                    <pic:cNvPicPr preferRelativeResize="0"/>
                  </pic:nvPicPr>
                  <pic:blipFill>
                    <a:blip r:embed="rId14"/>
                    <a:srcRect b="0" l="0" r="0" t="30149"/>
                    <a:stretch>
                      <a:fillRect/>
                    </a:stretch>
                  </pic:blipFill>
                  <pic:spPr>
                    <a:xfrm>
                      <a:off x="0" y="0"/>
                      <a:ext cx="5183885" cy="1647245"/>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spacing w:line="360" w:lineRule="auto"/>
        <w:ind w:right="-7"/>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208246" cy="1557041"/>
            <wp:effectExtent b="0" l="0" r="0" t="0"/>
            <wp:docPr id="171" name="image4.png"/>
            <a:graphic>
              <a:graphicData uri="http://schemas.openxmlformats.org/drawingml/2006/picture">
                <pic:pic>
                  <pic:nvPicPr>
                    <pic:cNvPr id="0" name="image4.png"/>
                    <pic:cNvPicPr preferRelativeResize="0"/>
                  </pic:nvPicPr>
                  <pic:blipFill>
                    <a:blip r:embed="rId15"/>
                    <a:srcRect b="0" l="0" r="0" t="34986"/>
                    <a:stretch>
                      <a:fillRect/>
                    </a:stretch>
                  </pic:blipFill>
                  <pic:spPr>
                    <a:xfrm>
                      <a:off x="0" y="0"/>
                      <a:ext cx="5208246" cy="1557041"/>
                    </a:xfrm>
                    <a:prstGeom prst="rect"/>
                    <a:ln/>
                  </pic:spPr>
                </pic:pic>
              </a:graphicData>
            </a:graphic>
          </wp:inline>
        </w:drawing>
      </w:r>
      <w:r w:rsidDel="00000000" w:rsidR="00000000" w:rsidRPr="00000000">
        <w:rPr>
          <w:rtl w:val="0"/>
        </w:rPr>
      </w:r>
    </w:p>
    <w:p w:rsidR="00000000" w:rsidDel="00000000" w:rsidP="00000000" w:rsidRDefault="00000000" w:rsidRPr="00000000" w14:paraId="000000D3">
      <w:pPr>
        <w:spacing w:line="360" w:lineRule="auto"/>
        <w:ind w:right="-7"/>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134767" cy="2849194"/>
            <wp:effectExtent b="0" l="0" r="0" t="0"/>
            <wp:docPr id="170" name="image14.png"/>
            <a:graphic>
              <a:graphicData uri="http://schemas.openxmlformats.org/drawingml/2006/picture">
                <pic:pic>
                  <pic:nvPicPr>
                    <pic:cNvPr id="0" name="image14.png"/>
                    <pic:cNvPicPr preferRelativeResize="0"/>
                  </pic:nvPicPr>
                  <pic:blipFill>
                    <a:blip r:embed="rId16"/>
                    <a:srcRect b="7457" l="0" r="0" t="24779"/>
                    <a:stretch>
                      <a:fillRect/>
                    </a:stretch>
                  </pic:blipFill>
                  <pic:spPr>
                    <a:xfrm>
                      <a:off x="0" y="0"/>
                      <a:ext cx="5134767" cy="2849194"/>
                    </a:xfrm>
                    <a:prstGeom prst="rect"/>
                    <a:ln/>
                  </pic:spPr>
                </pic:pic>
              </a:graphicData>
            </a:graphic>
          </wp:inline>
        </w:drawing>
      </w:r>
      <w:r w:rsidDel="00000000" w:rsidR="00000000" w:rsidRPr="00000000">
        <w:rPr>
          <w:rtl w:val="0"/>
        </w:rPr>
      </w:r>
    </w:p>
    <w:p w:rsidR="00000000" w:rsidDel="00000000" w:rsidP="00000000" w:rsidRDefault="00000000" w:rsidRPr="00000000" w14:paraId="000000D4">
      <w:pPr>
        <w:spacing w:line="360" w:lineRule="auto"/>
        <w:ind w:right="-7"/>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260989" cy="749444"/>
            <wp:effectExtent b="0" l="0" r="0" t="0"/>
            <wp:docPr id="174" name="image6.png"/>
            <a:graphic>
              <a:graphicData uri="http://schemas.openxmlformats.org/drawingml/2006/picture">
                <pic:pic>
                  <pic:nvPicPr>
                    <pic:cNvPr id="0" name="image6.png"/>
                    <pic:cNvPicPr preferRelativeResize="0"/>
                  </pic:nvPicPr>
                  <pic:blipFill>
                    <a:blip r:embed="rId17"/>
                    <a:srcRect b="-30213" l="-461" r="461" t="30213"/>
                    <a:stretch>
                      <a:fillRect/>
                    </a:stretch>
                  </pic:blipFill>
                  <pic:spPr>
                    <a:xfrm>
                      <a:off x="0" y="0"/>
                      <a:ext cx="5260989" cy="749444"/>
                    </a:xfrm>
                    <a:prstGeom prst="rect"/>
                    <a:ln/>
                  </pic:spPr>
                </pic:pic>
              </a:graphicData>
            </a:graphic>
          </wp:inline>
        </w:drawing>
      </w:r>
      <w:r w:rsidDel="00000000" w:rsidR="00000000" w:rsidRPr="00000000">
        <w:rPr>
          <w:rtl w:val="0"/>
        </w:rPr>
      </w:r>
    </w:p>
    <w:p w:rsidR="00000000" w:rsidDel="00000000" w:rsidP="00000000" w:rsidRDefault="00000000" w:rsidRPr="00000000" w14:paraId="000000D5">
      <w:pPr>
        <w:spacing w:line="360" w:lineRule="auto"/>
        <w:ind w:right="-7"/>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6">
      <w:pPr>
        <w:spacing w:line="360" w:lineRule="auto"/>
        <w:ind w:right="-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Puntualizado lo anterior, resulta procedente analizar si en efecto la entrega de dichos comprobantes corresponde al personal adscrito al Órgano Interno de Control; mediante el siguiente cuadro de análisis: </w:t>
      </w:r>
    </w:p>
    <w:p w:rsidR="00000000" w:rsidDel="00000000" w:rsidP="00000000" w:rsidRDefault="00000000" w:rsidRPr="00000000" w14:paraId="000000D7">
      <w:pPr>
        <w:spacing w:line="360" w:lineRule="auto"/>
        <w:ind w:right="-7"/>
        <w:jc w:val="both"/>
        <w:rPr>
          <w:rFonts w:ascii="Palatino Linotype" w:cs="Palatino Linotype" w:eastAsia="Palatino Linotype" w:hAnsi="Palatino Linotype"/>
          <w:sz w:val="22"/>
          <w:szCs w:val="22"/>
        </w:rPr>
      </w:pPr>
      <w:r w:rsidDel="00000000" w:rsidR="00000000" w:rsidRPr="00000000">
        <w:rPr>
          <w:rtl w:val="0"/>
        </w:rPr>
      </w:r>
    </w:p>
    <w:tbl>
      <w:tblPr>
        <w:tblStyle w:val="Table1"/>
        <w:tblW w:w="84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2"/>
        <w:gridCol w:w="1385"/>
        <w:gridCol w:w="1535"/>
        <w:gridCol w:w="1701"/>
        <w:gridCol w:w="1276"/>
        <w:gridCol w:w="1701"/>
        <w:tblGridChange w:id="0">
          <w:tblGrid>
            <w:gridCol w:w="892"/>
            <w:gridCol w:w="1385"/>
            <w:gridCol w:w="1535"/>
            <w:gridCol w:w="1701"/>
            <w:gridCol w:w="1276"/>
            <w:gridCol w:w="1701"/>
          </w:tblGrid>
        </w:tblGridChange>
      </w:tblGrid>
      <w:tr>
        <w:trPr>
          <w:cantSplit w:val="0"/>
          <w:tblHeader w:val="0"/>
        </w:trPr>
        <w:tc>
          <w:tcPr>
            <w:gridSpan w:val="6"/>
            <w:shd w:fill="ccffff" w:val="clear"/>
          </w:tcPr>
          <w:p w:rsidR="00000000" w:rsidDel="00000000" w:rsidP="00000000" w:rsidRDefault="00000000" w:rsidRPr="00000000" w14:paraId="000000D8">
            <w:pPr>
              <w:ind w:right="-7"/>
              <w:jc w:val="center"/>
              <w:rPr>
                <w:rFonts w:ascii="Palatino Linotype" w:cs="Palatino Linotype" w:eastAsia="Palatino Linotype" w:hAnsi="Palatino Linotype"/>
                <w:b w:val="1"/>
                <w:sz w:val="16"/>
                <w:szCs w:val="16"/>
              </w:rPr>
            </w:pPr>
            <w:r w:rsidDel="00000000" w:rsidR="00000000" w:rsidRPr="00000000">
              <w:rPr>
                <w:rFonts w:ascii="Palatino Linotype" w:cs="Palatino Linotype" w:eastAsia="Palatino Linotype" w:hAnsi="Palatino Linotype"/>
                <w:b w:val="1"/>
                <w:sz w:val="16"/>
                <w:szCs w:val="16"/>
                <w:rtl w:val="0"/>
              </w:rPr>
              <w:t xml:space="preserve">Órgano Interno de Control</w:t>
            </w:r>
          </w:p>
        </w:tc>
      </w:tr>
      <w:tr>
        <w:trPr>
          <w:cantSplit w:val="0"/>
          <w:tblHeader w:val="0"/>
        </w:trPr>
        <w:tc>
          <w:tcPr/>
          <w:p w:rsidR="00000000" w:rsidDel="00000000" w:rsidP="00000000" w:rsidRDefault="00000000" w:rsidRPr="00000000" w14:paraId="000000DE">
            <w:pPr>
              <w:ind w:right="-7"/>
              <w:jc w:val="both"/>
              <w:rPr>
                <w:rFonts w:ascii="Palatino Linotype" w:cs="Palatino Linotype" w:eastAsia="Palatino Linotype" w:hAnsi="Palatino Linotype"/>
                <w:b w:val="1"/>
                <w:sz w:val="16"/>
                <w:szCs w:val="16"/>
              </w:rPr>
            </w:pPr>
            <w:r w:rsidDel="00000000" w:rsidR="00000000" w:rsidRPr="00000000">
              <w:rPr>
                <w:rFonts w:ascii="Palatino Linotype" w:cs="Palatino Linotype" w:eastAsia="Palatino Linotype" w:hAnsi="Palatino Linotype"/>
                <w:b w:val="1"/>
                <w:sz w:val="16"/>
                <w:szCs w:val="16"/>
                <w:rtl w:val="0"/>
              </w:rPr>
              <w:t xml:space="preserve">1° y 2° quincena </w:t>
            </w:r>
          </w:p>
        </w:tc>
        <w:tc>
          <w:tcPr/>
          <w:p w:rsidR="00000000" w:rsidDel="00000000" w:rsidP="00000000" w:rsidRDefault="00000000" w:rsidRPr="00000000" w14:paraId="000000DF">
            <w:pPr>
              <w:ind w:right="-7"/>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Maximino Bueno Gutiérrez </w:t>
            </w:r>
            <w:r w:rsidDel="00000000" w:rsidR="00000000" w:rsidRPr="00000000">
              <w:rPr>
                <w:rFonts w:ascii="Palatino Linotype" w:cs="Palatino Linotype" w:eastAsia="Palatino Linotype" w:hAnsi="Palatino Linotype"/>
                <w:b w:val="1"/>
                <w:sz w:val="16"/>
                <w:szCs w:val="16"/>
                <w:rtl w:val="0"/>
              </w:rPr>
              <w:t xml:space="preserve">- Titular</w:t>
            </w:r>
            <w:r w:rsidDel="00000000" w:rsidR="00000000" w:rsidRPr="00000000">
              <w:rPr>
                <w:rFonts w:ascii="Palatino Linotype" w:cs="Palatino Linotype" w:eastAsia="Palatino Linotype" w:hAnsi="Palatino Linotype"/>
                <w:sz w:val="16"/>
                <w:szCs w:val="16"/>
                <w:rtl w:val="0"/>
              </w:rPr>
              <w:t xml:space="preserve"> </w:t>
            </w:r>
          </w:p>
        </w:tc>
        <w:tc>
          <w:tcPr/>
          <w:p w:rsidR="00000000" w:rsidDel="00000000" w:rsidP="00000000" w:rsidRDefault="00000000" w:rsidRPr="00000000" w14:paraId="000000E0">
            <w:pPr>
              <w:ind w:right="-7"/>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Luis Miguel Arzate Gutiérrez - </w:t>
            </w:r>
            <w:r w:rsidDel="00000000" w:rsidR="00000000" w:rsidRPr="00000000">
              <w:rPr>
                <w:rFonts w:ascii="Palatino Linotype" w:cs="Palatino Linotype" w:eastAsia="Palatino Linotype" w:hAnsi="Palatino Linotype"/>
                <w:b w:val="1"/>
                <w:sz w:val="16"/>
                <w:szCs w:val="16"/>
                <w:rtl w:val="0"/>
              </w:rPr>
              <w:t xml:space="preserve">Auditor de la contraloría</w:t>
            </w:r>
            <w:r w:rsidDel="00000000" w:rsidR="00000000" w:rsidRPr="00000000">
              <w:rPr>
                <w:rFonts w:ascii="Palatino Linotype" w:cs="Palatino Linotype" w:eastAsia="Palatino Linotype" w:hAnsi="Palatino Linotype"/>
                <w:sz w:val="16"/>
                <w:szCs w:val="16"/>
                <w:rtl w:val="0"/>
              </w:rPr>
              <w:t xml:space="preserve"> </w:t>
            </w:r>
          </w:p>
        </w:tc>
        <w:tc>
          <w:tcPr/>
          <w:p w:rsidR="00000000" w:rsidDel="00000000" w:rsidP="00000000" w:rsidRDefault="00000000" w:rsidRPr="00000000" w14:paraId="000000E1">
            <w:pPr>
              <w:ind w:right="-7"/>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José Antonio Martínez Torres - </w:t>
            </w:r>
            <w:r w:rsidDel="00000000" w:rsidR="00000000" w:rsidRPr="00000000">
              <w:rPr>
                <w:rFonts w:ascii="Palatino Linotype" w:cs="Palatino Linotype" w:eastAsia="Palatino Linotype" w:hAnsi="Palatino Linotype"/>
                <w:b w:val="1"/>
                <w:sz w:val="16"/>
                <w:szCs w:val="16"/>
                <w:rtl w:val="0"/>
              </w:rPr>
              <w:t xml:space="preserve">Auditor de la contraloría</w:t>
            </w:r>
            <w:r w:rsidDel="00000000" w:rsidR="00000000" w:rsidRPr="00000000">
              <w:rPr>
                <w:rtl w:val="0"/>
              </w:rPr>
            </w:r>
          </w:p>
        </w:tc>
        <w:tc>
          <w:tcPr/>
          <w:p w:rsidR="00000000" w:rsidDel="00000000" w:rsidP="00000000" w:rsidRDefault="00000000" w:rsidRPr="00000000" w14:paraId="000000E2">
            <w:pPr>
              <w:ind w:right="-7"/>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Sandy Castro Ortiz - </w:t>
            </w:r>
            <w:r w:rsidDel="00000000" w:rsidR="00000000" w:rsidRPr="00000000">
              <w:rPr>
                <w:rFonts w:ascii="Palatino Linotype" w:cs="Palatino Linotype" w:eastAsia="Palatino Linotype" w:hAnsi="Palatino Linotype"/>
                <w:b w:val="1"/>
                <w:sz w:val="16"/>
                <w:szCs w:val="16"/>
                <w:rtl w:val="0"/>
              </w:rPr>
              <w:t xml:space="preserve">Analista “A”</w:t>
            </w:r>
            <w:r w:rsidDel="00000000" w:rsidR="00000000" w:rsidRPr="00000000">
              <w:rPr>
                <w:rFonts w:ascii="Palatino Linotype" w:cs="Palatino Linotype" w:eastAsia="Palatino Linotype" w:hAnsi="Palatino Linotype"/>
                <w:sz w:val="16"/>
                <w:szCs w:val="16"/>
                <w:rtl w:val="0"/>
              </w:rPr>
              <w:t xml:space="preserve"> </w:t>
            </w:r>
          </w:p>
        </w:tc>
        <w:tc>
          <w:tcPr/>
          <w:p w:rsidR="00000000" w:rsidDel="00000000" w:rsidP="00000000" w:rsidRDefault="00000000" w:rsidRPr="00000000" w14:paraId="000000E3">
            <w:pPr>
              <w:ind w:right="-7"/>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José Luis Valdés Villafan - </w:t>
            </w:r>
            <w:r w:rsidDel="00000000" w:rsidR="00000000" w:rsidRPr="00000000">
              <w:rPr>
                <w:rFonts w:ascii="Palatino Linotype" w:cs="Palatino Linotype" w:eastAsia="Palatino Linotype" w:hAnsi="Palatino Linotype"/>
                <w:b w:val="1"/>
                <w:sz w:val="16"/>
                <w:szCs w:val="16"/>
                <w:rtl w:val="0"/>
              </w:rPr>
              <w:t xml:space="preserve">Chofer / Asistente </w:t>
            </w:r>
            <w:r w:rsidDel="00000000" w:rsidR="00000000" w:rsidRPr="00000000">
              <w:rPr>
                <w:rtl w:val="0"/>
              </w:rPr>
            </w:r>
          </w:p>
        </w:tc>
      </w:tr>
      <w:tr>
        <w:trPr>
          <w:cantSplit w:val="0"/>
          <w:tblHeader w:val="0"/>
        </w:trPr>
        <w:tc>
          <w:tcPr/>
          <w:p w:rsidR="00000000" w:rsidDel="00000000" w:rsidP="00000000" w:rsidRDefault="00000000" w:rsidRPr="00000000" w14:paraId="000000E4">
            <w:pPr>
              <w:ind w:right="-7"/>
              <w:jc w:val="both"/>
              <w:rPr>
                <w:rFonts w:ascii="Palatino Linotype" w:cs="Palatino Linotype" w:eastAsia="Palatino Linotype" w:hAnsi="Palatino Linotype"/>
                <w:b w:val="1"/>
                <w:sz w:val="16"/>
                <w:szCs w:val="16"/>
              </w:rPr>
            </w:pPr>
            <w:r w:rsidDel="00000000" w:rsidR="00000000" w:rsidRPr="00000000">
              <w:rPr>
                <w:rFonts w:ascii="Palatino Linotype" w:cs="Palatino Linotype" w:eastAsia="Palatino Linotype" w:hAnsi="Palatino Linotype"/>
                <w:b w:val="1"/>
                <w:sz w:val="16"/>
                <w:szCs w:val="16"/>
                <w:rtl w:val="0"/>
              </w:rPr>
              <w:t xml:space="preserve">Enero </w:t>
            </w:r>
          </w:p>
        </w:tc>
        <w:tc>
          <w:tcPr/>
          <w:p w:rsidR="00000000" w:rsidDel="00000000" w:rsidP="00000000" w:rsidRDefault="00000000" w:rsidRPr="00000000" w14:paraId="000000E5">
            <w:pPr>
              <w:ind w:right="-7"/>
              <w:jc w:val="cente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1° y 2° quincena</w:t>
            </w:r>
          </w:p>
        </w:tc>
        <w:tc>
          <w:tcPr/>
          <w:p w:rsidR="00000000" w:rsidDel="00000000" w:rsidP="00000000" w:rsidRDefault="00000000" w:rsidRPr="00000000" w14:paraId="000000E6">
            <w:pPr>
              <w:ind w:right="-7"/>
              <w:jc w:val="cente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1° y 2° quincena</w:t>
            </w:r>
          </w:p>
        </w:tc>
        <w:tc>
          <w:tcPr/>
          <w:p w:rsidR="00000000" w:rsidDel="00000000" w:rsidP="00000000" w:rsidRDefault="00000000" w:rsidRPr="00000000" w14:paraId="000000E7">
            <w:pPr>
              <w:ind w:right="-7"/>
              <w:jc w:val="cente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1° y 2° quincena</w:t>
            </w:r>
          </w:p>
        </w:tc>
        <w:tc>
          <w:tcPr/>
          <w:p w:rsidR="00000000" w:rsidDel="00000000" w:rsidP="00000000" w:rsidRDefault="00000000" w:rsidRPr="00000000" w14:paraId="000000E8">
            <w:pPr>
              <w:ind w:right="-7"/>
              <w:jc w:val="cente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1° y 2° quincena</w:t>
            </w:r>
          </w:p>
        </w:tc>
        <w:tc>
          <w:tcPr/>
          <w:p w:rsidR="00000000" w:rsidDel="00000000" w:rsidP="00000000" w:rsidRDefault="00000000" w:rsidRPr="00000000" w14:paraId="000000E9">
            <w:pPr>
              <w:ind w:right="-7"/>
              <w:jc w:val="cente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1° y 2° quincena</w:t>
            </w:r>
          </w:p>
        </w:tc>
      </w:tr>
      <w:tr>
        <w:trPr>
          <w:cantSplit w:val="0"/>
          <w:tblHeader w:val="0"/>
        </w:trPr>
        <w:tc>
          <w:tcPr/>
          <w:p w:rsidR="00000000" w:rsidDel="00000000" w:rsidP="00000000" w:rsidRDefault="00000000" w:rsidRPr="00000000" w14:paraId="000000EA">
            <w:pPr>
              <w:ind w:right="-7"/>
              <w:jc w:val="both"/>
              <w:rPr>
                <w:rFonts w:ascii="Palatino Linotype" w:cs="Palatino Linotype" w:eastAsia="Palatino Linotype" w:hAnsi="Palatino Linotype"/>
                <w:b w:val="1"/>
                <w:sz w:val="16"/>
                <w:szCs w:val="16"/>
              </w:rPr>
            </w:pPr>
            <w:r w:rsidDel="00000000" w:rsidR="00000000" w:rsidRPr="00000000">
              <w:rPr>
                <w:rFonts w:ascii="Palatino Linotype" w:cs="Palatino Linotype" w:eastAsia="Palatino Linotype" w:hAnsi="Palatino Linotype"/>
                <w:b w:val="1"/>
                <w:sz w:val="16"/>
                <w:szCs w:val="16"/>
                <w:rtl w:val="0"/>
              </w:rPr>
              <w:t xml:space="preserve">Febrero</w:t>
            </w:r>
          </w:p>
        </w:tc>
        <w:tc>
          <w:tcPr/>
          <w:p w:rsidR="00000000" w:rsidDel="00000000" w:rsidP="00000000" w:rsidRDefault="00000000" w:rsidRPr="00000000" w14:paraId="000000EB">
            <w:pPr>
              <w:ind w:right="-7"/>
              <w:jc w:val="cente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1° y 2° quincena</w:t>
            </w:r>
          </w:p>
        </w:tc>
        <w:tc>
          <w:tcPr/>
          <w:p w:rsidR="00000000" w:rsidDel="00000000" w:rsidP="00000000" w:rsidRDefault="00000000" w:rsidRPr="00000000" w14:paraId="000000EC">
            <w:pPr>
              <w:ind w:right="-7"/>
              <w:jc w:val="cente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1° y 2° quincena</w:t>
            </w:r>
          </w:p>
        </w:tc>
        <w:tc>
          <w:tcPr/>
          <w:p w:rsidR="00000000" w:rsidDel="00000000" w:rsidP="00000000" w:rsidRDefault="00000000" w:rsidRPr="00000000" w14:paraId="000000ED">
            <w:pPr>
              <w:ind w:right="-7"/>
              <w:jc w:val="cente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1° y 2° quincena</w:t>
            </w:r>
          </w:p>
        </w:tc>
        <w:tc>
          <w:tcPr/>
          <w:p w:rsidR="00000000" w:rsidDel="00000000" w:rsidP="00000000" w:rsidRDefault="00000000" w:rsidRPr="00000000" w14:paraId="000000EE">
            <w:pPr>
              <w:ind w:right="-7"/>
              <w:jc w:val="cente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1° y 2° quincena</w:t>
            </w:r>
          </w:p>
        </w:tc>
        <w:tc>
          <w:tcPr/>
          <w:p w:rsidR="00000000" w:rsidDel="00000000" w:rsidP="00000000" w:rsidRDefault="00000000" w:rsidRPr="00000000" w14:paraId="000000EF">
            <w:pPr>
              <w:ind w:right="-7"/>
              <w:jc w:val="cente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1° y 2° quincena</w:t>
            </w:r>
          </w:p>
        </w:tc>
      </w:tr>
      <w:tr>
        <w:trPr>
          <w:cantSplit w:val="0"/>
          <w:tblHeader w:val="0"/>
        </w:trPr>
        <w:tc>
          <w:tcPr/>
          <w:p w:rsidR="00000000" w:rsidDel="00000000" w:rsidP="00000000" w:rsidRDefault="00000000" w:rsidRPr="00000000" w14:paraId="000000F0">
            <w:pPr>
              <w:ind w:right="-7"/>
              <w:jc w:val="both"/>
              <w:rPr>
                <w:rFonts w:ascii="Palatino Linotype" w:cs="Palatino Linotype" w:eastAsia="Palatino Linotype" w:hAnsi="Palatino Linotype"/>
                <w:b w:val="1"/>
                <w:sz w:val="16"/>
                <w:szCs w:val="16"/>
              </w:rPr>
            </w:pPr>
            <w:r w:rsidDel="00000000" w:rsidR="00000000" w:rsidRPr="00000000">
              <w:rPr>
                <w:rFonts w:ascii="Palatino Linotype" w:cs="Palatino Linotype" w:eastAsia="Palatino Linotype" w:hAnsi="Palatino Linotype"/>
                <w:b w:val="1"/>
                <w:sz w:val="16"/>
                <w:szCs w:val="16"/>
                <w:rtl w:val="0"/>
              </w:rPr>
              <w:t xml:space="preserve">Marzo </w:t>
            </w:r>
          </w:p>
        </w:tc>
        <w:tc>
          <w:tcPr/>
          <w:p w:rsidR="00000000" w:rsidDel="00000000" w:rsidP="00000000" w:rsidRDefault="00000000" w:rsidRPr="00000000" w14:paraId="000000F1">
            <w:pPr>
              <w:ind w:right="-7"/>
              <w:jc w:val="cente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1° y 2° quincena</w:t>
            </w:r>
          </w:p>
        </w:tc>
        <w:tc>
          <w:tcPr/>
          <w:p w:rsidR="00000000" w:rsidDel="00000000" w:rsidP="00000000" w:rsidRDefault="00000000" w:rsidRPr="00000000" w14:paraId="000000F2">
            <w:pPr>
              <w:ind w:right="-7"/>
              <w:jc w:val="cente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1° y 2° quincena</w:t>
            </w:r>
          </w:p>
        </w:tc>
        <w:tc>
          <w:tcPr/>
          <w:p w:rsidR="00000000" w:rsidDel="00000000" w:rsidP="00000000" w:rsidRDefault="00000000" w:rsidRPr="00000000" w14:paraId="000000F3">
            <w:pPr>
              <w:ind w:right="-7"/>
              <w:jc w:val="cente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1° y 2° quincena</w:t>
            </w:r>
          </w:p>
        </w:tc>
        <w:tc>
          <w:tcPr/>
          <w:p w:rsidR="00000000" w:rsidDel="00000000" w:rsidP="00000000" w:rsidRDefault="00000000" w:rsidRPr="00000000" w14:paraId="000000F4">
            <w:pPr>
              <w:ind w:right="-7"/>
              <w:jc w:val="cente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1° y 2° quincena</w:t>
            </w:r>
          </w:p>
        </w:tc>
        <w:tc>
          <w:tcPr/>
          <w:p w:rsidR="00000000" w:rsidDel="00000000" w:rsidP="00000000" w:rsidRDefault="00000000" w:rsidRPr="00000000" w14:paraId="000000F5">
            <w:pPr>
              <w:ind w:right="-7"/>
              <w:jc w:val="cente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1° y 2° quincena</w:t>
            </w:r>
          </w:p>
        </w:tc>
      </w:tr>
      <w:tr>
        <w:trPr>
          <w:cantSplit w:val="0"/>
          <w:tblHeader w:val="0"/>
        </w:trPr>
        <w:tc>
          <w:tcPr/>
          <w:p w:rsidR="00000000" w:rsidDel="00000000" w:rsidP="00000000" w:rsidRDefault="00000000" w:rsidRPr="00000000" w14:paraId="000000F6">
            <w:pPr>
              <w:ind w:right="-7"/>
              <w:jc w:val="both"/>
              <w:rPr>
                <w:rFonts w:ascii="Palatino Linotype" w:cs="Palatino Linotype" w:eastAsia="Palatino Linotype" w:hAnsi="Palatino Linotype"/>
                <w:b w:val="1"/>
                <w:sz w:val="16"/>
                <w:szCs w:val="16"/>
              </w:rPr>
            </w:pPr>
            <w:r w:rsidDel="00000000" w:rsidR="00000000" w:rsidRPr="00000000">
              <w:rPr>
                <w:rFonts w:ascii="Palatino Linotype" w:cs="Palatino Linotype" w:eastAsia="Palatino Linotype" w:hAnsi="Palatino Linotype"/>
                <w:b w:val="1"/>
                <w:sz w:val="16"/>
                <w:szCs w:val="16"/>
                <w:rtl w:val="0"/>
              </w:rPr>
              <w:t xml:space="preserve">Abril </w:t>
            </w:r>
          </w:p>
        </w:tc>
        <w:tc>
          <w:tcPr/>
          <w:p w:rsidR="00000000" w:rsidDel="00000000" w:rsidP="00000000" w:rsidRDefault="00000000" w:rsidRPr="00000000" w14:paraId="000000F7">
            <w:pPr>
              <w:ind w:right="-7"/>
              <w:jc w:val="cente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1° y 2° quincena</w:t>
            </w:r>
          </w:p>
        </w:tc>
        <w:tc>
          <w:tcPr/>
          <w:p w:rsidR="00000000" w:rsidDel="00000000" w:rsidP="00000000" w:rsidRDefault="00000000" w:rsidRPr="00000000" w14:paraId="000000F8">
            <w:pPr>
              <w:ind w:right="-7"/>
              <w:jc w:val="cente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1° y 2° quincena</w:t>
            </w:r>
          </w:p>
        </w:tc>
        <w:tc>
          <w:tcPr/>
          <w:p w:rsidR="00000000" w:rsidDel="00000000" w:rsidP="00000000" w:rsidRDefault="00000000" w:rsidRPr="00000000" w14:paraId="000000F9">
            <w:pPr>
              <w:ind w:right="-7"/>
              <w:jc w:val="cente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1° y 2° quincena</w:t>
            </w:r>
          </w:p>
        </w:tc>
        <w:tc>
          <w:tcPr/>
          <w:p w:rsidR="00000000" w:rsidDel="00000000" w:rsidP="00000000" w:rsidRDefault="00000000" w:rsidRPr="00000000" w14:paraId="000000FA">
            <w:pPr>
              <w:ind w:right="-7"/>
              <w:jc w:val="cente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1° y 2° quincena</w:t>
            </w:r>
          </w:p>
        </w:tc>
        <w:tc>
          <w:tcPr/>
          <w:p w:rsidR="00000000" w:rsidDel="00000000" w:rsidP="00000000" w:rsidRDefault="00000000" w:rsidRPr="00000000" w14:paraId="000000FB">
            <w:pPr>
              <w:ind w:right="-7"/>
              <w:jc w:val="cente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1° y 2° quincena</w:t>
            </w:r>
          </w:p>
        </w:tc>
      </w:tr>
      <w:tr>
        <w:trPr>
          <w:cantSplit w:val="0"/>
          <w:tblHeader w:val="0"/>
        </w:trPr>
        <w:tc>
          <w:tcPr/>
          <w:p w:rsidR="00000000" w:rsidDel="00000000" w:rsidP="00000000" w:rsidRDefault="00000000" w:rsidRPr="00000000" w14:paraId="000000FC">
            <w:pPr>
              <w:ind w:right="-7"/>
              <w:jc w:val="both"/>
              <w:rPr>
                <w:rFonts w:ascii="Palatino Linotype" w:cs="Palatino Linotype" w:eastAsia="Palatino Linotype" w:hAnsi="Palatino Linotype"/>
                <w:b w:val="1"/>
                <w:sz w:val="16"/>
                <w:szCs w:val="16"/>
              </w:rPr>
            </w:pPr>
            <w:r w:rsidDel="00000000" w:rsidR="00000000" w:rsidRPr="00000000">
              <w:rPr>
                <w:rFonts w:ascii="Palatino Linotype" w:cs="Palatino Linotype" w:eastAsia="Palatino Linotype" w:hAnsi="Palatino Linotype"/>
                <w:b w:val="1"/>
                <w:sz w:val="16"/>
                <w:szCs w:val="16"/>
                <w:rtl w:val="0"/>
              </w:rPr>
              <w:t xml:space="preserve">Mayo </w:t>
            </w:r>
          </w:p>
        </w:tc>
        <w:tc>
          <w:tcPr/>
          <w:p w:rsidR="00000000" w:rsidDel="00000000" w:rsidP="00000000" w:rsidRDefault="00000000" w:rsidRPr="00000000" w14:paraId="000000FD">
            <w:pPr>
              <w:ind w:right="-7"/>
              <w:jc w:val="cente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1° y 2° quincena</w:t>
            </w:r>
          </w:p>
        </w:tc>
        <w:tc>
          <w:tcPr/>
          <w:p w:rsidR="00000000" w:rsidDel="00000000" w:rsidP="00000000" w:rsidRDefault="00000000" w:rsidRPr="00000000" w14:paraId="000000FE">
            <w:pPr>
              <w:ind w:right="-7"/>
              <w:jc w:val="cente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1° y 2° quincena</w:t>
            </w:r>
          </w:p>
        </w:tc>
        <w:tc>
          <w:tcPr/>
          <w:p w:rsidR="00000000" w:rsidDel="00000000" w:rsidP="00000000" w:rsidRDefault="00000000" w:rsidRPr="00000000" w14:paraId="000000FF">
            <w:pPr>
              <w:ind w:right="-7"/>
              <w:jc w:val="cente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1° y 2° quincena</w:t>
            </w:r>
          </w:p>
        </w:tc>
        <w:tc>
          <w:tcPr/>
          <w:p w:rsidR="00000000" w:rsidDel="00000000" w:rsidP="00000000" w:rsidRDefault="00000000" w:rsidRPr="00000000" w14:paraId="00000100">
            <w:pPr>
              <w:ind w:right="-7"/>
              <w:jc w:val="cente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1° y 2° quincena</w:t>
            </w:r>
          </w:p>
        </w:tc>
        <w:tc>
          <w:tcPr/>
          <w:p w:rsidR="00000000" w:rsidDel="00000000" w:rsidP="00000000" w:rsidRDefault="00000000" w:rsidRPr="00000000" w14:paraId="00000101">
            <w:pPr>
              <w:ind w:right="-7"/>
              <w:jc w:val="cente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1° y 2° quincena</w:t>
            </w:r>
          </w:p>
        </w:tc>
      </w:tr>
      <w:tr>
        <w:trPr>
          <w:cantSplit w:val="0"/>
          <w:tblHeader w:val="0"/>
        </w:trPr>
        <w:tc>
          <w:tcPr/>
          <w:p w:rsidR="00000000" w:rsidDel="00000000" w:rsidP="00000000" w:rsidRDefault="00000000" w:rsidRPr="00000000" w14:paraId="00000102">
            <w:pPr>
              <w:ind w:right="-7"/>
              <w:jc w:val="both"/>
              <w:rPr>
                <w:rFonts w:ascii="Palatino Linotype" w:cs="Palatino Linotype" w:eastAsia="Palatino Linotype" w:hAnsi="Palatino Linotype"/>
                <w:b w:val="1"/>
                <w:sz w:val="16"/>
                <w:szCs w:val="16"/>
              </w:rPr>
            </w:pPr>
            <w:r w:rsidDel="00000000" w:rsidR="00000000" w:rsidRPr="00000000">
              <w:rPr>
                <w:rFonts w:ascii="Palatino Linotype" w:cs="Palatino Linotype" w:eastAsia="Palatino Linotype" w:hAnsi="Palatino Linotype"/>
                <w:b w:val="1"/>
                <w:sz w:val="16"/>
                <w:szCs w:val="16"/>
                <w:rtl w:val="0"/>
              </w:rPr>
              <w:t xml:space="preserve">Junio </w:t>
            </w:r>
          </w:p>
        </w:tc>
        <w:tc>
          <w:tcPr/>
          <w:p w:rsidR="00000000" w:rsidDel="00000000" w:rsidP="00000000" w:rsidRDefault="00000000" w:rsidRPr="00000000" w14:paraId="00000103">
            <w:pPr>
              <w:ind w:right="-7"/>
              <w:jc w:val="cente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1° y 2° quincena</w:t>
            </w:r>
          </w:p>
        </w:tc>
        <w:tc>
          <w:tcPr/>
          <w:p w:rsidR="00000000" w:rsidDel="00000000" w:rsidP="00000000" w:rsidRDefault="00000000" w:rsidRPr="00000000" w14:paraId="00000104">
            <w:pPr>
              <w:ind w:right="-7"/>
              <w:jc w:val="cente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1° y 2° quincena</w:t>
            </w:r>
          </w:p>
        </w:tc>
        <w:tc>
          <w:tcPr/>
          <w:p w:rsidR="00000000" w:rsidDel="00000000" w:rsidP="00000000" w:rsidRDefault="00000000" w:rsidRPr="00000000" w14:paraId="00000105">
            <w:pPr>
              <w:ind w:right="-7"/>
              <w:jc w:val="cente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1° y 2° quincena</w:t>
            </w:r>
          </w:p>
        </w:tc>
        <w:tc>
          <w:tcPr/>
          <w:p w:rsidR="00000000" w:rsidDel="00000000" w:rsidP="00000000" w:rsidRDefault="00000000" w:rsidRPr="00000000" w14:paraId="00000106">
            <w:pPr>
              <w:ind w:right="-7"/>
              <w:jc w:val="cente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1° y 2° quincena</w:t>
            </w:r>
          </w:p>
        </w:tc>
        <w:tc>
          <w:tcPr/>
          <w:p w:rsidR="00000000" w:rsidDel="00000000" w:rsidP="00000000" w:rsidRDefault="00000000" w:rsidRPr="00000000" w14:paraId="00000107">
            <w:pPr>
              <w:ind w:right="-7"/>
              <w:jc w:val="cente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1° y 2° quincena</w:t>
            </w:r>
          </w:p>
        </w:tc>
      </w:tr>
      <w:tr>
        <w:trPr>
          <w:cantSplit w:val="0"/>
          <w:tblHeader w:val="0"/>
        </w:trPr>
        <w:tc>
          <w:tcPr/>
          <w:p w:rsidR="00000000" w:rsidDel="00000000" w:rsidP="00000000" w:rsidRDefault="00000000" w:rsidRPr="00000000" w14:paraId="00000108">
            <w:pPr>
              <w:ind w:right="-7"/>
              <w:jc w:val="both"/>
              <w:rPr>
                <w:rFonts w:ascii="Palatino Linotype" w:cs="Palatino Linotype" w:eastAsia="Palatino Linotype" w:hAnsi="Palatino Linotype"/>
                <w:b w:val="1"/>
                <w:sz w:val="16"/>
                <w:szCs w:val="16"/>
              </w:rPr>
            </w:pPr>
            <w:r w:rsidDel="00000000" w:rsidR="00000000" w:rsidRPr="00000000">
              <w:rPr>
                <w:rFonts w:ascii="Palatino Linotype" w:cs="Palatino Linotype" w:eastAsia="Palatino Linotype" w:hAnsi="Palatino Linotype"/>
                <w:b w:val="1"/>
                <w:sz w:val="16"/>
                <w:szCs w:val="16"/>
                <w:rtl w:val="0"/>
              </w:rPr>
              <w:t xml:space="preserve">Julio </w:t>
            </w:r>
          </w:p>
        </w:tc>
        <w:tc>
          <w:tcPr/>
          <w:p w:rsidR="00000000" w:rsidDel="00000000" w:rsidP="00000000" w:rsidRDefault="00000000" w:rsidRPr="00000000" w14:paraId="00000109">
            <w:pPr>
              <w:ind w:right="-7"/>
              <w:jc w:val="cente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1° y 2° quincena</w:t>
            </w:r>
          </w:p>
        </w:tc>
        <w:tc>
          <w:tcPr/>
          <w:p w:rsidR="00000000" w:rsidDel="00000000" w:rsidP="00000000" w:rsidRDefault="00000000" w:rsidRPr="00000000" w14:paraId="0000010A">
            <w:pPr>
              <w:ind w:right="-7"/>
              <w:jc w:val="cente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1° y 2° quincena</w:t>
            </w:r>
          </w:p>
        </w:tc>
        <w:tc>
          <w:tcPr/>
          <w:p w:rsidR="00000000" w:rsidDel="00000000" w:rsidP="00000000" w:rsidRDefault="00000000" w:rsidRPr="00000000" w14:paraId="0000010B">
            <w:pPr>
              <w:ind w:right="-7"/>
              <w:jc w:val="cente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1° y 2° quincena</w:t>
            </w:r>
          </w:p>
        </w:tc>
        <w:tc>
          <w:tcPr/>
          <w:p w:rsidR="00000000" w:rsidDel="00000000" w:rsidP="00000000" w:rsidRDefault="00000000" w:rsidRPr="00000000" w14:paraId="0000010C">
            <w:pPr>
              <w:ind w:right="-7"/>
              <w:jc w:val="cente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1° y 2° quincena</w:t>
            </w:r>
          </w:p>
        </w:tc>
        <w:tc>
          <w:tcPr/>
          <w:p w:rsidR="00000000" w:rsidDel="00000000" w:rsidP="00000000" w:rsidRDefault="00000000" w:rsidRPr="00000000" w14:paraId="0000010D">
            <w:pPr>
              <w:ind w:right="-7"/>
              <w:jc w:val="cente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1° y 2° quincena</w:t>
            </w:r>
          </w:p>
        </w:tc>
      </w:tr>
      <w:tr>
        <w:trPr>
          <w:cantSplit w:val="0"/>
          <w:tblHeader w:val="0"/>
        </w:trPr>
        <w:tc>
          <w:tcPr/>
          <w:p w:rsidR="00000000" w:rsidDel="00000000" w:rsidP="00000000" w:rsidRDefault="00000000" w:rsidRPr="00000000" w14:paraId="0000010E">
            <w:pPr>
              <w:ind w:right="-7"/>
              <w:jc w:val="both"/>
              <w:rPr>
                <w:rFonts w:ascii="Palatino Linotype" w:cs="Palatino Linotype" w:eastAsia="Palatino Linotype" w:hAnsi="Palatino Linotype"/>
                <w:b w:val="1"/>
                <w:sz w:val="16"/>
                <w:szCs w:val="16"/>
              </w:rPr>
            </w:pPr>
            <w:r w:rsidDel="00000000" w:rsidR="00000000" w:rsidRPr="00000000">
              <w:rPr>
                <w:rFonts w:ascii="Palatino Linotype" w:cs="Palatino Linotype" w:eastAsia="Palatino Linotype" w:hAnsi="Palatino Linotype"/>
                <w:b w:val="1"/>
                <w:sz w:val="16"/>
                <w:szCs w:val="16"/>
                <w:rtl w:val="0"/>
              </w:rPr>
              <w:t xml:space="preserve">Agosto </w:t>
            </w:r>
          </w:p>
        </w:tc>
        <w:tc>
          <w:tcPr/>
          <w:p w:rsidR="00000000" w:rsidDel="00000000" w:rsidP="00000000" w:rsidRDefault="00000000" w:rsidRPr="00000000" w14:paraId="0000010F">
            <w:pPr>
              <w:ind w:right="-7"/>
              <w:jc w:val="cente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1° quincena </w:t>
            </w:r>
          </w:p>
        </w:tc>
        <w:tc>
          <w:tcPr/>
          <w:p w:rsidR="00000000" w:rsidDel="00000000" w:rsidP="00000000" w:rsidRDefault="00000000" w:rsidRPr="00000000" w14:paraId="00000110">
            <w:pPr>
              <w:ind w:right="-7"/>
              <w:jc w:val="cente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1° quincena </w:t>
            </w:r>
          </w:p>
        </w:tc>
        <w:tc>
          <w:tcPr/>
          <w:p w:rsidR="00000000" w:rsidDel="00000000" w:rsidP="00000000" w:rsidRDefault="00000000" w:rsidRPr="00000000" w14:paraId="00000111">
            <w:pPr>
              <w:ind w:right="-7"/>
              <w:jc w:val="cente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1° quincena </w:t>
            </w:r>
          </w:p>
        </w:tc>
        <w:tc>
          <w:tcPr/>
          <w:p w:rsidR="00000000" w:rsidDel="00000000" w:rsidP="00000000" w:rsidRDefault="00000000" w:rsidRPr="00000000" w14:paraId="00000112">
            <w:pPr>
              <w:ind w:right="-7"/>
              <w:jc w:val="cente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1° quincena </w:t>
            </w:r>
          </w:p>
        </w:tc>
        <w:tc>
          <w:tcPr/>
          <w:p w:rsidR="00000000" w:rsidDel="00000000" w:rsidP="00000000" w:rsidRDefault="00000000" w:rsidRPr="00000000" w14:paraId="00000113">
            <w:pPr>
              <w:ind w:right="-7"/>
              <w:jc w:val="cente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1° quincena </w:t>
            </w:r>
          </w:p>
        </w:tc>
      </w:tr>
    </w:tbl>
    <w:p w:rsidR="00000000" w:rsidDel="00000000" w:rsidP="00000000" w:rsidRDefault="00000000" w:rsidRPr="00000000" w14:paraId="00000114">
      <w:pPr>
        <w:spacing w:line="360" w:lineRule="auto"/>
        <w:ind w:right="-7"/>
        <w:jc w:val="both"/>
        <w:rPr>
          <w:rFonts w:ascii="Palatino Linotype" w:cs="Palatino Linotype" w:eastAsia="Palatino Linotype" w:hAnsi="Palatino Linotype"/>
          <w:sz w:val="22"/>
          <w:szCs w:val="22"/>
        </w:rPr>
      </w:pPr>
      <w:r w:rsidDel="00000000" w:rsidR="00000000" w:rsidRPr="00000000">
        <w:rPr>
          <w:rtl w:val="0"/>
        </w:rPr>
      </w:r>
    </w:p>
    <w:tbl>
      <w:tblPr>
        <w:tblStyle w:val="Table2"/>
        <w:tblW w:w="861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25"/>
        <w:gridCol w:w="863"/>
        <w:gridCol w:w="928"/>
        <w:gridCol w:w="863"/>
        <w:gridCol w:w="863"/>
        <w:gridCol w:w="863"/>
        <w:gridCol w:w="863"/>
        <w:gridCol w:w="863"/>
        <w:gridCol w:w="886"/>
        <w:tblGridChange w:id="0">
          <w:tblGrid>
            <w:gridCol w:w="1625"/>
            <w:gridCol w:w="863"/>
            <w:gridCol w:w="928"/>
            <w:gridCol w:w="863"/>
            <w:gridCol w:w="863"/>
            <w:gridCol w:w="863"/>
            <w:gridCol w:w="863"/>
            <w:gridCol w:w="863"/>
            <w:gridCol w:w="886"/>
          </w:tblGrid>
        </w:tblGridChange>
      </w:tblGrid>
      <w:tr>
        <w:trPr>
          <w:cantSplit w:val="0"/>
          <w:trHeight w:val="121" w:hRule="atLeast"/>
          <w:tblHeader w:val="0"/>
        </w:trPr>
        <w:tc>
          <w:tcPr>
            <w:gridSpan w:val="9"/>
            <w:shd w:fill="ccffff" w:val="clear"/>
          </w:tcPr>
          <w:p w:rsidR="00000000" w:rsidDel="00000000" w:rsidP="00000000" w:rsidRDefault="00000000" w:rsidRPr="00000000" w14:paraId="00000115">
            <w:pPr>
              <w:ind w:right="-7"/>
              <w:jc w:val="center"/>
              <w:rPr>
                <w:rFonts w:ascii="Palatino Linotype" w:cs="Palatino Linotype" w:eastAsia="Palatino Linotype" w:hAnsi="Palatino Linotype"/>
                <w:b w:val="1"/>
                <w:sz w:val="16"/>
                <w:szCs w:val="16"/>
              </w:rPr>
            </w:pPr>
            <w:r w:rsidDel="00000000" w:rsidR="00000000" w:rsidRPr="00000000">
              <w:rPr>
                <w:rFonts w:ascii="Palatino Linotype" w:cs="Palatino Linotype" w:eastAsia="Palatino Linotype" w:hAnsi="Palatino Linotype"/>
                <w:b w:val="1"/>
                <w:sz w:val="16"/>
                <w:szCs w:val="16"/>
                <w:rtl w:val="0"/>
              </w:rPr>
              <w:t xml:space="preserve">Personal por tiempo determinado (Eventual)</w:t>
            </w:r>
          </w:p>
        </w:tc>
      </w:tr>
      <w:tr>
        <w:trPr>
          <w:cantSplit w:val="0"/>
          <w:trHeight w:val="115" w:hRule="atLeast"/>
          <w:tblHeader w:val="0"/>
        </w:trPr>
        <w:tc>
          <w:tcPr/>
          <w:p w:rsidR="00000000" w:rsidDel="00000000" w:rsidP="00000000" w:rsidRDefault="00000000" w:rsidRPr="00000000" w14:paraId="0000011E">
            <w:pPr>
              <w:ind w:right="-7"/>
              <w:jc w:val="both"/>
              <w:rPr>
                <w:rFonts w:ascii="Palatino Linotype" w:cs="Palatino Linotype" w:eastAsia="Palatino Linotype" w:hAnsi="Palatino Linotype"/>
                <w:b w:val="1"/>
                <w:sz w:val="16"/>
                <w:szCs w:val="16"/>
              </w:rPr>
            </w:pPr>
            <w:r w:rsidDel="00000000" w:rsidR="00000000" w:rsidRPr="00000000">
              <w:rPr>
                <w:rFonts w:ascii="Palatino Linotype" w:cs="Palatino Linotype" w:eastAsia="Palatino Linotype" w:hAnsi="Palatino Linotype"/>
                <w:b w:val="1"/>
                <w:sz w:val="16"/>
                <w:szCs w:val="16"/>
                <w:rtl w:val="0"/>
              </w:rPr>
              <w:t xml:space="preserve">Servidores Públicos</w:t>
            </w:r>
          </w:p>
        </w:tc>
        <w:tc>
          <w:tcPr/>
          <w:p w:rsidR="00000000" w:rsidDel="00000000" w:rsidP="00000000" w:rsidRDefault="00000000" w:rsidRPr="00000000" w14:paraId="0000011F">
            <w:pPr>
              <w:ind w:right="-7"/>
              <w:jc w:val="both"/>
              <w:rPr>
                <w:rFonts w:ascii="Palatino Linotype" w:cs="Palatino Linotype" w:eastAsia="Palatino Linotype" w:hAnsi="Palatino Linotype"/>
                <w:b w:val="1"/>
                <w:sz w:val="16"/>
                <w:szCs w:val="16"/>
              </w:rPr>
            </w:pPr>
            <w:r w:rsidDel="00000000" w:rsidR="00000000" w:rsidRPr="00000000">
              <w:rPr>
                <w:rFonts w:ascii="Palatino Linotype" w:cs="Palatino Linotype" w:eastAsia="Palatino Linotype" w:hAnsi="Palatino Linotype"/>
                <w:b w:val="1"/>
                <w:sz w:val="16"/>
                <w:szCs w:val="16"/>
                <w:rtl w:val="0"/>
              </w:rPr>
              <w:t xml:space="preserve">Enero </w:t>
            </w:r>
          </w:p>
        </w:tc>
        <w:tc>
          <w:tcPr/>
          <w:p w:rsidR="00000000" w:rsidDel="00000000" w:rsidP="00000000" w:rsidRDefault="00000000" w:rsidRPr="00000000" w14:paraId="00000120">
            <w:pPr>
              <w:ind w:right="-7"/>
              <w:jc w:val="both"/>
              <w:rPr>
                <w:rFonts w:ascii="Palatino Linotype" w:cs="Palatino Linotype" w:eastAsia="Palatino Linotype" w:hAnsi="Palatino Linotype"/>
                <w:b w:val="1"/>
                <w:sz w:val="16"/>
                <w:szCs w:val="16"/>
              </w:rPr>
            </w:pPr>
            <w:r w:rsidDel="00000000" w:rsidR="00000000" w:rsidRPr="00000000">
              <w:rPr>
                <w:rFonts w:ascii="Palatino Linotype" w:cs="Palatino Linotype" w:eastAsia="Palatino Linotype" w:hAnsi="Palatino Linotype"/>
                <w:b w:val="1"/>
                <w:sz w:val="16"/>
                <w:szCs w:val="16"/>
                <w:rtl w:val="0"/>
              </w:rPr>
              <w:t xml:space="preserve">Febrero </w:t>
            </w:r>
          </w:p>
        </w:tc>
        <w:tc>
          <w:tcPr/>
          <w:p w:rsidR="00000000" w:rsidDel="00000000" w:rsidP="00000000" w:rsidRDefault="00000000" w:rsidRPr="00000000" w14:paraId="00000121">
            <w:pPr>
              <w:ind w:right="-7"/>
              <w:jc w:val="both"/>
              <w:rPr>
                <w:rFonts w:ascii="Palatino Linotype" w:cs="Palatino Linotype" w:eastAsia="Palatino Linotype" w:hAnsi="Palatino Linotype"/>
                <w:b w:val="1"/>
                <w:sz w:val="16"/>
                <w:szCs w:val="16"/>
              </w:rPr>
            </w:pPr>
            <w:r w:rsidDel="00000000" w:rsidR="00000000" w:rsidRPr="00000000">
              <w:rPr>
                <w:rFonts w:ascii="Palatino Linotype" w:cs="Palatino Linotype" w:eastAsia="Palatino Linotype" w:hAnsi="Palatino Linotype"/>
                <w:b w:val="1"/>
                <w:sz w:val="16"/>
                <w:szCs w:val="16"/>
                <w:rtl w:val="0"/>
              </w:rPr>
              <w:t xml:space="preserve">Marzo </w:t>
            </w:r>
          </w:p>
        </w:tc>
        <w:tc>
          <w:tcPr/>
          <w:p w:rsidR="00000000" w:rsidDel="00000000" w:rsidP="00000000" w:rsidRDefault="00000000" w:rsidRPr="00000000" w14:paraId="00000122">
            <w:pPr>
              <w:ind w:right="-7"/>
              <w:jc w:val="both"/>
              <w:rPr>
                <w:rFonts w:ascii="Palatino Linotype" w:cs="Palatino Linotype" w:eastAsia="Palatino Linotype" w:hAnsi="Palatino Linotype"/>
                <w:b w:val="1"/>
                <w:sz w:val="16"/>
                <w:szCs w:val="16"/>
              </w:rPr>
            </w:pPr>
            <w:r w:rsidDel="00000000" w:rsidR="00000000" w:rsidRPr="00000000">
              <w:rPr>
                <w:rFonts w:ascii="Palatino Linotype" w:cs="Palatino Linotype" w:eastAsia="Palatino Linotype" w:hAnsi="Palatino Linotype"/>
                <w:b w:val="1"/>
                <w:sz w:val="16"/>
                <w:szCs w:val="16"/>
                <w:rtl w:val="0"/>
              </w:rPr>
              <w:t xml:space="preserve">Abril </w:t>
            </w:r>
          </w:p>
        </w:tc>
        <w:tc>
          <w:tcPr/>
          <w:p w:rsidR="00000000" w:rsidDel="00000000" w:rsidP="00000000" w:rsidRDefault="00000000" w:rsidRPr="00000000" w14:paraId="00000123">
            <w:pPr>
              <w:ind w:right="-7"/>
              <w:jc w:val="both"/>
              <w:rPr>
                <w:rFonts w:ascii="Palatino Linotype" w:cs="Palatino Linotype" w:eastAsia="Palatino Linotype" w:hAnsi="Palatino Linotype"/>
                <w:b w:val="1"/>
                <w:sz w:val="16"/>
                <w:szCs w:val="16"/>
              </w:rPr>
            </w:pPr>
            <w:r w:rsidDel="00000000" w:rsidR="00000000" w:rsidRPr="00000000">
              <w:rPr>
                <w:rFonts w:ascii="Palatino Linotype" w:cs="Palatino Linotype" w:eastAsia="Palatino Linotype" w:hAnsi="Palatino Linotype"/>
                <w:b w:val="1"/>
                <w:sz w:val="16"/>
                <w:szCs w:val="16"/>
                <w:rtl w:val="0"/>
              </w:rPr>
              <w:t xml:space="preserve">Mayo </w:t>
            </w:r>
          </w:p>
        </w:tc>
        <w:tc>
          <w:tcPr/>
          <w:p w:rsidR="00000000" w:rsidDel="00000000" w:rsidP="00000000" w:rsidRDefault="00000000" w:rsidRPr="00000000" w14:paraId="00000124">
            <w:pPr>
              <w:ind w:right="-7"/>
              <w:jc w:val="both"/>
              <w:rPr>
                <w:rFonts w:ascii="Palatino Linotype" w:cs="Palatino Linotype" w:eastAsia="Palatino Linotype" w:hAnsi="Palatino Linotype"/>
                <w:b w:val="1"/>
                <w:sz w:val="16"/>
                <w:szCs w:val="16"/>
              </w:rPr>
            </w:pPr>
            <w:r w:rsidDel="00000000" w:rsidR="00000000" w:rsidRPr="00000000">
              <w:rPr>
                <w:rFonts w:ascii="Palatino Linotype" w:cs="Palatino Linotype" w:eastAsia="Palatino Linotype" w:hAnsi="Palatino Linotype"/>
                <w:b w:val="1"/>
                <w:sz w:val="16"/>
                <w:szCs w:val="16"/>
                <w:rtl w:val="0"/>
              </w:rPr>
              <w:t xml:space="preserve">Junio </w:t>
            </w:r>
          </w:p>
        </w:tc>
        <w:tc>
          <w:tcPr/>
          <w:p w:rsidR="00000000" w:rsidDel="00000000" w:rsidP="00000000" w:rsidRDefault="00000000" w:rsidRPr="00000000" w14:paraId="00000125">
            <w:pPr>
              <w:ind w:right="-7"/>
              <w:jc w:val="both"/>
              <w:rPr>
                <w:rFonts w:ascii="Palatino Linotype" w:cs="Palatino Linotype" w:eastAsia="Palatino Linotype" w:hAnsi="Palatino Linotype"/>
                <w:b w:val="1"/>
                <w:sz w:val="16"/>
                <w:szCs w:val="16"/>
              </w:rPr>
            </w:pPr>
            <w:r w:rsidDel="00000000" w:rsidR="00000000" w:rsidRPr="00000000">
              <w:rPr>
                <w:rFonts w:ascii="Palatino Linotype" w:cs="Palatino Linotype" w:eastAsia="Palatino Linotype" w:hAnsi="Palatino Linotype"/>
                <w:b w:val="1"/>
                <w:sz w:val="16"/>
                <w:szCs w:val="16"/>
                <w:rtl w:val="0"/>
              </w:rPr>
              <w:t xml:space="preserve">Julio </w:t>
            </w:r>
          </w:p>
        </w:tc>
        <w:tc>
          <w:tcPr/>
          <w:p w:rsidR="00000000" w:rsidDel="00000000" w:rsidP="00000000" w:rsidRDefault="00000000" w:rsidRPr="00000000" w14:paraId="00000126">
            <w:pPr>
              <w:ind w:right="-7"/>
              <w:jc w:val="both"/>
              <w:rPr>
                <w:rFonts w:ascii="Palatino Linotype" w:cs="Palatino Linotype" w:eastAsia="Palatino Linotype" w:hAnsi="Palatino Linotype"/>
                <w:b w:val="1"/>
                <w:sz w:val="16"/>
                <w:szCs w:val="16"/>
              </w:rPr>
            </w:pPr>
            <w:r w:rsidDel="00000000" w:rsidR="00000000" w:rsidRPr="00000000">
              <w:rPr>
                <w:rFonts w:ascii="Palatino Linotype" w:cs="Palatino Linotype" w:eastAsia="Palatino Linotype" w:hAnsi="Palatino Linotype"/>
                <w:b w:val="1"/>
                <w:sz w:val="16"/>
                <w:szCs w:val="16"/>
                <w:rtl w:val="0"/>
              </w:rPr>
              <w:t xml:space="preserve">Agosto</w:t>
            </w:r>
          </w:p>
        </w:tc>
      </w:tr>
      <w:tr>
        <w:trPr>
          <w:cantSplit w:val="0"/>
          <w:trHeight w:val="243" w:hRule="atLeast"/>
          <w:tblHeader w:val="0"/>
        </w:trPr>
        <w:tc>
          <w:tcPr/>
          <w:p w:rsidR="00000000" w:rsidDel="00000000" w:rsidP="00000000" w:rsidRDefault="00000000" w:rsidRPr="00000000" w14:paraId="00000127">
            <w:pPr>
              <w:ind w:right="-7"/>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Casas viveros Eva María </w:t>
            </w:r>
          </w:p>
        </w:tc>
        <w:tc>
          <w:tcPr/>
          <w:p w:rsidR="00000000" w:rsidDel="00000000" w:rsidP="00000000" w:rsidRDefault="00000000" w:rsidRPr="00000000" w14:paraId="00000128">
            <w:pPr>
              <w:ind w:right="-7"/>
              <w:jc w:val="cente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1° y 2° quincena</w:t>
            </w:r>
          </w:p>
        </w:tc>
        <w:tc>
          <w:tcPr/>
          <w:p w:rsidR="00000000" w:rsidDel="00000000" w:rsidP="00000000" w:rsidRDefault="00000000" w:rsidRPr="00000000" w14:paraId="00000129">
            <w:pPr>
              <w:ind w:right="-7"/>
              <w:jc w:val="cente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1° y 2° quincena</w:t>
            </w:r>
          </w:p>
        </w:tc>
        <w:tc>
          <w:tcPr/>
          <w:p w:rsidR="00000000" w:rsidDel="00000000" w:rsidP="00000000" w:rsidRDefault="00000000" w:rsidRPr="00000000" w14:paraId="0000012A">
            <w:pPr>
              <w:ind w:right="-7"/>
              <w:jc w:val="cente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1° y 2° quincena</w:t>
            </w:r>
          </w:p>
        </w:tc>
        <w:tc>
          <w:tcPr/>
          <w:p w:rsidR="00000000" w:rsidDel="00000000" w:rsidP="00000000" w:rsidRDefault="00000000" w:rsidRPr="00000000" w14:paraId="0000012B">
            <w:pPr>
              <w:ind w:right="-7"/>
              <w:jc w:val="cente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1° quincena </w:t>
            </w:r>
          </w:p>
        </w:tc>
        <w:tc>
          <w:tcPr/>
          <w:p w:rsidR="00000000" w:rsidDel="00000000" w:rsidP="00000000" w:rsidRDefault="00000000" w:rsidRPr="00000000" w14:paraId="0000012C">
            <w:pPr>
              <w:ind w:right="-7"/>
              <w:jc w:val="cente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1° y 2° quincena</w:t>
            </w:r>
          </w:p>
        </w:tc>
        <w:tc>
          <w:tcPr/>
          <w:p w:rsidR="00000000" w:rsidDel="00000000" w:rsidP="00000000" w:rsidRDefault="00000000" w:rsidRPr="00000000" w14:paraId="0000012D">
            <w:pPr>
              <w:ind w:right="-7"/>
              <w:jc w:val="cente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1° y 2° quincena</w:t>
            </w:r>
          </w:p>
        </w:tc>
        <w:tc>
          <w:tcPr/>
          <w:p w:rsidR="00000000" w:rsidDel="00000000" w:rsidP="00000000" w:rsidRDefault="00000000" w:rsidRPr="00000000" w14:paraId="0000012E">
            <w:pPr>
              <w:ind w:right="-7"/>
              <w:jc w:val="cente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1° y 2° quincena</w:t>
            </w:r>
          </w:p>
        </w:tc>
        <w:tc>
          <w:tcPr/>
          <w:p w:rsidR="00000000" w:rsidDel="00000000" w:rsidP="00000000" w:rsidRDefault="00000000" w:rsidRPr="00000000" w14:paraId="0000012F">
            <w:pPr>
              <w:ind w:right="-7"/>
              <w:jc w:val="cente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1° y 2° quincena</w:t>
            </w:r>
          </w:p>
        </w:tc>
      </w:tr>
      <w:tr>
        <w:trPr>
          <w:cantSplit w:val="0"/>
          <w:trHeight w:val="237" w:hRule="atLeast"/>
          <w:tblHeader w:val="0"/>
        </w:trPr>
        <w:tc>
          <w:tcPr/>
          <w:p w:rsidR="00000000" w:rsidDel="00000000" w:rsidP="00000000" w:rsidRDefault="00000000" w:rsidRPr="00000000" w14:paraId="00000130">
            <w:pPr>
              <w:ind w:right="-7"/>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Cruz Garduño Raymundo Federico </w:t>
            </w:r>
          </w:p>
        </w:tc>
        <w:tc>
          <w:tcPr/>
          <w:p w:rsidR="00000000" w:rsidDel="00000000" w:rsidP="00000000" w:rsidRDefault="00000000" w:rsidRPr="00000000" w14:paraId="00000131">
            <w:pPr>
              <w:ind w:right="-7"/>
              <w:jc w:val="cente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2° quincena </w:t>
            </w:r>
          </w:p>
        </w:tc>
        <w:tc>
          <w:tcPr/>
          <w:p w:rsidR="00000000" w:rsidDel="00000000" w:rsidP="00000000" w:rsidRDefault="00000000" w:rsidRPr="00000000" w14:paraId="00000132">
            <w:pPr>
              <w:ind w:right="-7"/>
              <w:jc w:val="cente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1° y 2° quincena</w:t>
            </w:r>
          </w:p>
        </w:tc>
        <w:tc>
          <w:tcPr/>
          <w:p w:rsidR="00000000" w:rsidDel="00000000" w:rsidP="00000000" w:rsidRDefault="00000000" w:rsidRPr="00000000" w14:paraId="00000133">
            <w:pPr>
              <w:ind w:right="-7"/>
              <w:jc w:val="cente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1° y 2° quincena</w:t>
            </w:r>
          </w:p>
        </w:tc>
        <w:tc>
          <w:tcPr/>
          <w:p w:rsidR="00000000" w:rsidDel="00000000" w:rsidP="00000000" w:rsidRDefault="00000000" w:rsidRPr="00000000" w14:paraId="00000134">
            <w:pPr>
              <w:ind w:right="-7"/>
              <w:jc w:val="cente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1° y 2° quincena</w:t>
            </w:r>
          </w:p>
        </w:tc>
        <w:tc>
          <w:tcPr/>
          <w:p w:rsidR="00000000" w:rsidDel="00000000" w:rsidP="00000000" w:rsidRDefault="00000000" w:rsidRPr="00000000" w14:paraId="00000135">
            <w:pPr>
              <w:ind w:right="-7"/>
              <w:jc w:val="cente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1° y 2° quincena</w:t>
            </w:r>
          </w:p>
        </w:tc>
        <w:tc>
          <w:tcPr/>
          <w:p w:rsidR="00000000" w:rsidDel="00000000" w:rsidP="00000000" w:rsidRDefault="00000000" w:rsidRPr="00000000" w14:paraId="00000136">
            <w:pPr>
              <w:ind w:right="-7"/>
              <w:jc w:val="cente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1° y 2° quincena</w:t>
            </w:r>
          </w:p>
        </w:tc>
        <w:tc>
          <w:tcPr/>
          <w:p w:rsidR="00000000" w:rsidDel="00000000" w:rsidP="00000000" w:rsidRDefault="00000000" w:rsidRPr="00000000" w14:paraId="00000137">
            <w:pPr>
              <w:ind w:right="-7"/>
              <w:jc w:val="cente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1° y 2° quincena</w:t>
            </w:r>
          </w:p>
        </w:tc>
        <w:tc>
          <w:tcPr/>
          <w:p w:rsidR="00000000" w:rsidDel="00000000" w:rsidP="00000000" w:rsidRDefault="00000000" w:rsidRPr="00000000" w14:paraId="00000138">
            <w:pPr>
              <w:ind w:right="-7"/>
              <w:jc w:val="cente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1° y 2° quincena</w:t>
            </w:r>
          </w:p>
        </w:tc>
      </w:tr>
      <w:tr>
        <w:trPr>
          <w:cantSplit w:val="0"/>
          <w:trHeight w:val="360" w:hRule="atLeast"/>
          <w:tblHeader w:val="0"/>
        </w:trPr>
        <w:tc>
          <w:tcPr/>
          <w:p w:rsidR="00000000" w:rsidDel="00000000" w:rsidP="00000000" w:rsidRDefault="00000000" w:rsidRPr="00000000" w14:paraId="00000139">
            <w:pPr>
              <w:ind w:right="-7"/>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González Valdespino Antonio de Jesús </w:t>
            </w:r>
          </w:p>
        </w:tc>
        <w:tc>
          <w:tcPr/>
          <w:p w:rsidR="00000000" w:rsidDel="00000000" w:rsidP="00000000" w:rsidRDefault="00000000" w:rsidRPr="00000000" w14:paraId="0000013A">
            <w:pPr>
              <w:ind w:right="-7"/>
              <w:jc w:val="cente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2° quincena </w:t>
            </w:r>
          </w:p>
        </w:tc>
        <w:tc>
          <w:tcPr/>
          <w:p w:rsidR="00000000" w:rsidDel="00000000" w:rsidP="00000000" w:rsidRDefault="00000000" w:rsidRPr="00000000" w14:paraId="0000013B">
            <w:pPr>
              <w:ind w:right="-7"/>
              <w:jc w:val="cente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1° y 2° quincena</w:t>
            </w:r>
          </w:p>
        </w:tc>
        <w:tc>
          <w:tcPr/>
          <w:p w:rsidR="00000000" w:rsidDel="00000000" w:rsidP="00000000" w:rsidRDefault="00000000" w:rsidRPr="00000000" w14:paraId="0000013C">
            <w:pPr>
              <w:ind w:right="-7"/>
              <w:jc w:val="cente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1° y 2° quincena</w:t>
            </w:r>
          </w:p>
        </w:tc>
        <w:tc>
          <w:tcPr/>
          <w:p w:rsidR="00000000" w:rsidDel="00000000" w:rsidP="00000000" w:rsidRDefault="00000000" w:rsidRPr="00000000" w14:paraId="0000013D">
            <w:pPr>
              <w:ind w:right="-7"/>
              <w:jc w:val="cente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1° quincena </w:t>
            </w:r>
          </w:p>
        </w:tc>
        <w:tc>
          <w:tcPr/>
          <w:p w:rsidR="00000000" w:rsidDel="00000000" w:rsidP="00000000" w:rsidRDefault="00000000" w:rsidRPr="00000000" w14:paraId="0000013E">
            <w:pPr>
              <w:ind w:right="-7"/>
              <w:jc w:val="cente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1° y 2° quincena</w:t>
            </w:r>
          </w:p>
        </w:tc>
        <w:tc>
          <w:tcPr/>
          <w:p w:rsidR="00000000" w:rsidDel="00000000" w:rsidP="00000000" w:rsidRDefault="00000000" w:rsidRPr="00000000" w14:paraId="0000013F">
            <w:pPr>
              <w:ind w:right="-7"/>
              <w:jc w:val="cente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1° y 2° quincena</w:t>
            </w:r>
          </w:p>
        </w:tc>
        <w:tc>
          <w:tcPr/>
          <w:p w:rsidR="00000000" w:rsidDel="00000000" w:rsidP="00000000" w:rsidRDefault="00000000" w:rsidRPr="00000000" w14:paraId="00000140">
            <w:pPr>
              <w:ind w:right="-7"/>
              <w:jc w:val="cente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1° y 2° quincena</w:t>
            </w:r>
          </w:p>
        </w:tc>
        <w:tc>
          <w:tcPr/>
          <w:p w:rsidR="00000000" w:rsidDel="00000000" w:rsidP="00000000" w:rsidRDefault="00000000" w:rsidRPr="00000000" w14:paraId="00000141">
            <w:pPr>
              <w:ind w:right="-7"/>
              <w:jc w:val="cente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1° y 2° quincena</w:t>
            </w:r>
          </w:p>
        </w:tc>
      </w:tr>
      <w:tr>
        <w:trPr>
          <w:cantSplit w:val="0"/>
          <w:trHeight w:val="237" w:hRule="atLeast"/>
          <w:tblHeader w:val="0"/>
        </w:trPr>
        <w:tc>
          <w:tcPr/>
          <w:p w:rsidR="00000000" w:rsidDel="00000000" w:rsidP="00000000" w:rsidRDefault="00000000" w:rsidRPr="00000000" w14:paraId="00000142">
            <w:pPr>
              <w:ind w:right="-7"/>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Velázquez Arzate Javier Ricardo </w:t>
            </w:r>
          </w:p>
        </w:tc>
        <w:tc>
          <w:tcPr/>
          <w:p w:rsidR="00000000" w:rsidDel="00000000" w:rsidP="00000000" w:rsidRDefault="00000000" w:rsidRPr="00000000" w14:paraId="00000143">
            <w:pPr>
              <w:ind w:right="-7"/>
              <w:jc w:val="cente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1° y 2° quincena</w:t>
            </w:r>
          </w:p>
        </w:tc>
        <w:tc>
          <w:tcPr/>
          <w:p w:rsidR="00000000" w:rsidDel="00000000" w:rsidP="00000000" w:rsidRDefault="00000000" w:rsidRPr="00000000" w14:paraId="00000144">
            <w:pPr>
              <w:ind w:right="-7"/>
              <w:jc w:val="cente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1° y 2° quincena</w:t>
            </w:r>
          </w:p>
        </w:tc>
        <w:tc>
          <w:tcPr/>
          <w:p w:rsidR="00000000" w:rsidDel="00000000" w:rsidP="00000000" w:rsidRDefault="00000000" w:rsidRPr="00000000" w14:paraId="00000145">
            <w:pPr>
              <w:ind w:right="-7"/>
              <w:jc w:val="cente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1° y 2° quincena</w:t>
            </w:r>
          </w:p>
        </w:tc>
        <w:tc>
          <w:tcPr/>
          <w:p w:rsidR="00000000" w:rsidDel="00000000" w:rsidP="00000000" w:rsidRDefault="00000000" w:rsidRPr="00000000" w14:paraId="00000146">
            <w:pPr>
              <w:ind w:right="-7"/>
              <w:jc w:val="cente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1° quincena </w:t>
            </w:r>
          </w:p>
        </w:tc>
        <w:tc>
          <w:tcPr/>
          <w:p w:rsidR="00000000" w:rsidDel="00000000" w:rsidP="00000000" w:rsidRDefault="00000000" w:rsidRPr="00000000" w14:paraId="00000147">
            <w:pPr>
              <w:ind w:right="-7"/>
              <w:jc w:val="cente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1° y 2° quincena</w:t>
            </w:r>
          </w:p>
        </w:tc>
        <w:tc>
          <w:tcPr/>
          <w:p w:rsidR="00000000" w:rsidDel="00000000" w:rsidP="00000000" w:rsidRDefault="00000000" w:rsidRPr="00000000" w14:paraId="00000148">
            <w:pPr>
              <w:ind w:right="-7"/>
              <w:jc w:val="cente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1° y 2° quincena</w:t>
            </w:r>
          </w:p>
        </w:tc>
        <w:tc>
          <w:tcPr/>
          <w:p w:rsidR="00000000" w:rsidDel="00000000" w:rsidP="00000000" w:rsidRDefault="00000000" w:rsidRPr="00000000" w14:paraId="00000149">
            <w:pPr>
              <w:ind w:right="-7"/>
              <w:jc w:val="cente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1° y 2° quincena</w:t>
            </w:r>
          </w:p>
        </w:tc>
        <w:tc>
          <w:tcPr/>
          <w:p w:rsidR="00000000" w:rsidDel="00000000" w:rsidP="00000000" w:rsidRDefault="00000000" w:rsidRPr="00000000" w14:paraId="0000014A">
            <w:pPr>
              <w:ind w:right="-7"/>
              <w:jc w:val="cente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1° y 2° quincena</w:t>
            </w:r>
          </w:p>
        </w:tc>
      </w:tr>
      <w:tr>
        <w:trPr>
          <w:cantSplit w:val="0"/>
          <w:trHeight w:val="243" w:hRule="atLeast"/>
          <w:tblHeader w:val="0"/>
        </w:trPr>
        <w:tc>
          <w:tcPr/>
          <w:p w:rsidR="00000000" w:rsidDel="00000000" w:rsidP="00000000" w:rsidRDefault="00000000" w:rsidRPr="00000000" w14:paraId="0000014B">
            <w:pPr>
              <w:ind w:right="-7"/>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Quiroz Álvarez Adalberto </w:t>
            </w:r>
          </w:p>
        </w:tc>
        <w:tc>
          <w:tcPr/>
          <w:p w:rsidR="00000000" w:rsidDel="00000000" w:rsidP="00000000" w:rsidRDefault="00000000" w:rsidRPr="00000000" w14:paraId="0000014C">
            <w:pPr>
              <w:ind w:right="-7"/>
              <w:jc w:val="cente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1° y 2° quincena</w:t>
            </w:r>
          </w:p>
        </w:tc>
        <w:tc>
          <w:tcPr/>
          <w:p w:rsidR="00000000" w:rsidDel="00000000" w:rsidP="00000000" w:rsidRDefault="00000000" w:rsidRPr="00000000" w14:paraId="0000014D">
            <w:pPr>
              <w:ind w:right="-7"/>
              <w:jc w:val="cente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1° y 2° quincena</w:t>
            </w:r>
          </w:p>
        </w:tc>
        <w:tc>
          <w:tcPr/>
          <w:p w:rsidR="00000000" w:rsidDel="00000000" w:rsidP="00000000" w:rsidRDefault="00000000" w:rsidRPr="00000000" w14:paraId="0000014E">
            <w:pPr>
              <w:ind w:right="-7"/>
              <w:jc w:val="cente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1° y 2° quincena</w:t>
            </w:r>
          </w:p>
        </w:tc>
        <w:tc>
          <w:tcPr/>
          <w:p w:rsidR="00000000" w:rsidDel="00000000" w:rsidP="00000000" w:rsidRDefault="00000000" w:rsidRPr="00000000" w14:paraId="0000014F">
            <w:pPr>
              <w:ind w:right="-7"/>
              <w:jc w:val="cente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1° quincena </w:t>
            </w:r>
          </w:p>
        </w:tc>
        <w:tc>
          <w:tcPr/>
          <w:p w:rsidR="00000000" w:rsidDel="00000000" w:rsidP="00000000" w:rsidRDefault="00000000" w:rsidRPr="00000000" w14:paraId="00000150">
            <w:pPr>
              <w:ind w:right="-7"/>
              <w:jc w:val="cente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1° y 2° quincena</w:t>
            </w:r>
          </w:p>
        </w:tc>
        <w:tc>
          <w:tcPr/>
          <w:p w:rsidR="00000000" w:rsidDel="00000000" w:rsidP="00000000" w:rsidRDefault="00000000" w:rsidRPr="00000000" w14:paraId="00000151">
            <w:pPr>
              <w:ind w:right="-7"/>
              <w:jc w:val="cente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1° y 2° quincena</w:t>
            </w:r>
          </w:p>
        </w:tc>
        <w:tc>
          <w:tcPr/>
          <w:p w:rsidR="00000000" w:rsidDel="00000000" w:rsidP="00000000" w:rsidRDefault="00000000" w:rsidRPr="00000000" w14:paraId="00000152">
            <w:pPr>
              <w:ind w:right="-7"/>
              <w:jc w:val="cente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1° quincena </w:t>
            </w:r>
          </w:p>
        </w:tc>
        <w:tc>
          <w:tcPr/>
          <w:p w:rsidR="00000000" w:rsidDel="00000000" w:rsidP="00000000" w:rsidRDefault="00000000" w:rsidRPr="00000000" w14:paraId="00000153">
            <w:pPr>
              <w:ind w:right="-7"/>
              <w:jc w:val="center"/>
              <w:rPr>
                <w:rFonts w:ascii="Palatino Linotype" w:cs="Palatino Linotype" w:eastAsia="Palatino Linotype" w:hAnsi="Palatino Linotype"/>
                <w:sz w:val="16"/>
                <w:szCs w:val="16"/>
              </w:rPr>
            </w:pPr>
            <w:r w:rsidDel="00000000" w:rsidR="00000000" w:rsidRPr="00000000">
              <w:rPr>
                <w:rtl w:val="0"/>
              </w:rPr>
            </w:r>
          </w:p>
        </w:tc>
      </w:tr>
      <w:tr>
        <w:trPr>
          <w:cantSplit w:val="0"/>
          <w:trHeight w:val="237" w:hRule="atLeast"/>
          <w:tblHeader w:val="0"/>
        </w:trPr>
        <w:tc>
          <w:tcPr/>
          <w:p w:rsidR="00000000" w:rsidDel="00000000" w:rsidP="00000000" w:rsidRDefault="00000000" w:rsidRPr="00000000" w14:paraId="00000154">
            <w:pPr>
              <w:ind w:right="-7"/>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Mañón Juárez Idelfonso </w:t>
            </w:r>
          </w:p>
        </w:tc>
        <w:tc>
          <w:tcPr/>
          <w:p w:rsidR="00000000" w:rsidDel="00000000" w:rsidP="00000000" w:rsidRDefault="00000000" w:rsidRPr="00000000" w14:paraId="00000155">
            <w:pPr>
              <w:ind w:right="-7"/>
              <w:jc w:val="cente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1° quincena</w:t>
            </w:r>
          </w:p>
        </w:tc>
        <w:tc>
          <w:tcPr/>
          <w:p w:rsidR="00000000" w:rsidDel="00000000" w:rsidP="00000000" w:rsidRDefault="00000000" w:rsidRPr="00000000" w14:paraId="00000156">
            <w:pPr>
              <w:ind w:right="-7"/>
              <w:jc w:val="center"/>
              <w:rPr>
                <w:rFonts w:ascii="Palatino Linotype" w:cs="Palatino Linotype" w:eastAsia="Palatino Linotype" w:hAnsi="Palatino Linotype"/>
                <w:sz w:val="16"/>
                <w:szCs w:val="16"/>
              </w:rPr>
            </w:pPr>
            <w:r w:rsidDel="00000000" w:rsidR="00000000" w:rsidRPr="00000000">
              <w:rPr>
                <w:rtl w:val="0"/>
              </w:rPr>
            </w:r>
          </w:p>
        </w:tc>
        <w:tc>
          <w:tcPr/>
          <w:p w:rsidR="00000000" w:rsidDel="00000000" w:rsidP="00000000" w:rsidRDefault="00000000" w:rsidRPr="00000000" w14:paraId="00000157">
            <w:pPr>
              <w:ind w:right="-7"/>
              <w:jc w:val="center"/>
              <w:rPr>
                <w:rFonts w:ascii="Palatino Linotype" w:cs="Palatino Linotype" w:eastAsia="Palatino Linotype" w:hAnsi="Palatino Linotype"/>
                <w:sz w:val="16"/>
                <w:szCs w:val="16"/>
              </w:rPr>
            </w:pPr>
            <w:r w:rsidDel="00000000" w:rsidR="00000000" w:rsidRPr="00000000">
              <w:rPr>
                <w:rtl w:val="0"/>
              </w:rPr>
            </w:r>
          </w:p>
        </w:tc>
        <w:tc>
          <w:tcPr/>
          <w:p w:rsidR="00000000" w:rsidDel="00000000" w:rsidP="00000000" w:rsidRDefault="00000000" w:rsidRPr="00000000" w14:paraId="00000158">
            <w:pPr>
              <w:ind w:right="-7"/>
              <w:jc w:val="center"/>
              <w:rPr>
                <w:rFonts w:ascii="Palatino Linotype" w:cs="Palatino Linotype" w:eastAsia="Palatino Linotype" w:hAnsi="Palatino Linotype"/>
                <w:sz w:val="16"/>
                <w:szCs w:val="16"/>
              </w:rPr>
            </w:pPr>
            <w:r w:rsidDel="00000000" w:rsidR="00000000" w:rsidRPr="00000000">
              <w:rPr>
                <w:rtl w:val="0"/>
              </w:rPr>
            </w:r>
          </w:p>
        </w:tc>
        <w:tc>
          <w:tcPr/>
          <w:p w:rsidR="00000000" w:rsidDel="00000000" w:rsidP="00000000" w:rsidRDefault="00000000" w:rsidRPr="00000000" w14:paraId="00000159">
            <w:pPr>
              <w:ind w:right="-7"/>
              <w:jc w:val="center"/>
              <w:rPr>
                <w:rFonts w:ascii="Palatino Linotype" w:cs="Palatino Linotype" w:eastAsia="Palatino Linotype" w:hAnsi="Palatino Linotype"/>
                <w:sz w:val="16"/>
                <w:szCs w:val="16"/>
              </w:rPr>
            </w:pPr>
            <w:r w:rsidDel="00000000" w:rsidR="00000000" w:rsidRPr="00000000">
              <w:rPr>
                <w:rtl w:val="0"/>
              </w:rPr>
            </w:r>
          </w:p>
        </w:tc>
        <w:tc>
          <w:tcPr/>
          <w:p w:rsidR="00000000" w:rsidDel="00000000" w:rsidP="00000000" w:rsidRDefault="00000000" w:rsidRPr="00000000" w14:paraId="0000015A">
            <w:pPr>
              <w:ind w:right="-7"/>
              <w:jc w:val="center"/>
              <w:rPr>
                <w:rFonts w:ascii="Palatino Linotype" w:cs="Palatino Linotype" w:eastAsia="Palatino Linotype" w:hAnsi="Palatino Linotype"/>
                <w:sz w:val="16"/>
                <w:szCs w:val="16"/>
              </w:rPr>
            </w:pPr>
            <w:r w:rsidDel="00000000" w:rsidR="00000000" w:rsidRPr="00000000">
              <w:rPr>
                <w:rtl w:val="0"/>
              </w:rPr>
            </w:r>
          </w:p>
        </w:tc>
        <w:tc>
          <w:tcPr/>
          <w:p w:rsidR="00000000" w:rsidDel="00000000" w:rsidP="00000000" w:rsidRDefault="00000000" w:rsidRPr="00000000" w14:paraId="0000015B">
            <w:pPr>
              <w:ind w:right="-7"/>
              <w:jc w:val="center"/>
              <w:rPr>
                <w:rFonts w:ascii="Palatino Linotype" w:cs="Palatino Linotype" w:eastAsia="Palatino Linotype" w:hAnsi="Palatino Linotype"/>
                <w:sz w:val="16"/>
                <w:szCs w:val="16"/>
              </w:rPr>
            </w:pPr>
            <w:r w:rsidDel="00000000" w:rsidR="00000000" w:rsidRPr="00000000">
              <w:rPr>
                <w:rtl w:val="0"/>
              </w:rPr>
            </w:r>
          </w:p>
        </w:tc>
        <w:tc>
          <w:tcPr/>
          <w:p w:rsidR="00000000" w:rsidDel="00000000" w:rsidP="00000000" w:rsidRDefault="00000000" w:rsidRPr="00000000" w14:paraId="0000015C">
            <w:pPr>
              <w:ind w:right="-7"/>
              <w:jc w:val="center"/>
              <w:rPr>
                <w:rFonts w:ascii="Palatino Linotype" w:cs="Palatino Linotype" w:eastAsia="Palatino Linotype" w:hAnsi="Palatino Linotype"/>
                <w:sz w:val="16"/>
                <w:szCs w:val="16"/>
              </w:rPr>
            </w:pPr>
            <w:r w:rsidDel="00000000" w:rsidR="00000000" w:rsidRPr="00000000">
              <w:rPr>
                <w:rtl w:val="0"/>
              </w:rPr>
            </w:r>
          </w:p>
        </w:tc>
      </w:tr>
      <w:tr>
        <w:trPr>
          <w:cantSplit w:val="0"/>
          <w:trHeight w:val="237" w:hRule="atLeast"/>
          <w:tblHeader w:val="0"/>
        </w:trPr>
        <w:tc>
          <w:tcPr/>
          <w:p w:rsidR="00000000" w:rsidDel="00000000" w:rsidP="00000000" w:rsidRDefault="00000000" w:rsidRPr="00000000" w14:paraId="0000015D">
            <w:pPr>
              <w:ind w:right="-7"/>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Malvaez Arellano Erica Patricia </w:t>
            </w:r>
          </w:p>
        </w:tc>
        <w:tc>
          <w:tcPr/>
          <w:p w:rsidR="00000000" w:rsidDel="00000000" w:rsidP="00000000" w:rsidRDefault="00000000" w:rsidRPr="00000000" w14:paraId="0000015E">
            <w:pPr>
              <w:ind w:right="-7"/>
              <w:jc w:val="cente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1° quincena</w:t>
            </w:r>
          </w:p>
        </w:tc>
        <w:tc>
          <w:tcPr/>
          <w:p w:rsidR="00000000" w:rsidDel="00000000" w:rsidP="00000000" w:rsidRDefault="00000000" w:rsidRPr="00000000" w14:paraId="0000015F">
            <w:pPr>
              <w:ind w:right="-7"/>
              <w:jc w:val="cente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1° y 2° quincena</w:t>
            </w:r>
          </w:p>
        </w:tc>
        <w:tc>
          <w:tcPr/>
          <w:p w:rsidR="00000000" w:rsidDel="00000000" w:rsidP="00000000" w:rsidRDefault="00000000" w:rsidRPr="00000000" w14:paraId="00000160">
            <w:pPr>
              <w:ind w:right="-7"/>
              <w:jc w:val="cente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1° y 2° quincena</w:t>
            </w:r>
          </w:p>
        </w:tc>
        <w:tc>
          <w:tcPr/>
          <w:p w:rsidR="00000000" w:rsidDel="00000000" w:rsidP="00000000" w:rsidRDefault="00000000" w:rsidRPr="00000000" w14:paraId="00000161">
            <w:pPr>
              <w:ind w:right="-7"/>
              <w:jc w:val="cente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1° y 2° quincena</w:t>
            </w:r>
          </w:p>
        </w:tc>
        <w:tc>
          <w:tcPr/>
          <w:p w:rsidR="00000000" w:rsidDel="00000000" w:rsidP="00000000" w:rsidRDefault="00000000" w:rsidRPr="00000000" w14:paraId="00000162">
            <w:pPr>
              <w:ind w:right="-7"/>
              <w:jc w:val="cente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1° y 2° quincena</w:t>
            </w:r>
          </w:p>
        </w:tc>
        <w:tc>
          <w:tcPr/>
          <w:p w:rsidR="00000000" w:rsidDel="00000000" w:rsidP="00000000" w:rsidRDefault="00000000" w:rsidRPr="00000000" w14:paraId="00000163">
            <w:pPr>
              <w:ind w:right="-7"/>
              <w:jc w:val="cente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1° y 2° quincena</w:t>
            </w:r>
          </w:p>
        </w:tc>
        <w:tc>
          <w:tcPr/>
          <w:p w:rsidR="00000000" w:rsidDel="00000000" w:rsidP="00000000" w:rsidRDefault="00000000" w:rsidRPr="00000000" w14:paraId="00000164">
            <w:pPr>
              <w:ind w:right="-7"/>
              <w:jc w:val="cente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1° y 2° quincena</w:t>
            </w:r>
          </w:p>
        </w:tc>
        <w:tc>
          <w:tcPr/>
          <w:p w:rsidR="00000000" w:rsidDel="00000000" w:rsidP="00000000" w:rsidRDefault="00000000" w:rsidRPr="00000000" w14:paraId="00000165">
            <w:pPr>
              <w:ind w:right="-7"/>
              <w:jc w:val="cente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1° quincena</w:t>
            </w:r>
          </w:p>
        </w:tc>
      </w:tr>
    </w:tbl>
    <w:p w:rsidR="00000000" w:rsidDel="00000000" w:rsidP="00000000" w:rsidRDefault="00000000" w:rsidRPr="00000000" w14:paraId="00000166">
      <w:pPr>
        <w:spacing w:line="360" w:lineRule="auto"/>
        <w:ind w:right="-7"/>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7">
      <w:pPr>
        <w:spacing w:line="360" w:lineRule="auto"/>
        <w:ind w:right="-7"/>
        <w:jc w:val="both"/>
        <w:rPr>
          <w:rFonts w:ascii="Palatino Linotype" w:cs="Palatino Linotype" w:eastAsia="Palatino Linotype" w:hAnsi="Palatino Linotype"/>
          <w:sz w:val="22"/>
          <w:szCs w:val="22"/>
        </w:rPr>
      </w:pPr>
      <w:r w:rsidDel="00000000" w:rsidR="00000000" w:rsidRPr="00000000">
        <w:rPr>
          <w:rtl w:val="0"/>
        </w:rPr>
      </w:r>
    </w:p>
    <w:tbl>
      <w:tblPr>
        <w:tblStyle w:val="Table3"/>
        <w:tblW w:w="548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63"/>
        <w:gridCol w:w="1385"/>
        <w:gridCol w:w="1535"/>
        <w:gridCol w:w="1701"/>
        <w:tblGridChange w:id="0">
          <w:tblGrid>
            <w:gridCol w:w="863"/>
            <w:gridCol w:w="1385"/>
            <w:gridCol w:w="1535"/>
            <w:gridCol w:w="1701"/>
          </w:tblGrid>
        </w:tblGridChange>
      </w:tblGrid>
      <w:tr>
        <w:trPr>
          <w:cantSplit w:val="0"/>
          <w:tblHeader w:val="0"/>
        </w:trPr>
        <w:tc>
          <w:tcPr>
            <w:gridSpan w:val="4"/>
            <w:shd w:fill="ccffff" w:val="clear"/>
          </w:tcPr>
          <w:p w:rsidR="00000000" w:rsidDel="00000000" w:rsidP="00000000" w:rsidRDefault="00000000" w:rsidRPr="00000000" w14:paraId="00000168">
            <w:pPr>
              <w:ind w:right="-7"/>
              <w:jc w:val="center"/>
              <w:rPr>
                <w:rFonts w:ascii="Palatino Linotype" w:cs="Palatino Linotype" w:eastAsia="Palatino Linotype" w:hAnsi="Palatino Linotype"/>
                <w:b w:val="1"/>
                <w:sz w:val="16"/>
                <w:szCs w:val="16"/>
              </w:rPr>
            </w:pPr>
            <w:r w:rsidDel="00000000" w:rsidR="00000000" w:rsidRPr="00000000">
              <w:rPr>
                <w:rFonts w:ascii="Palatino Linotype" w:cs="Palatino Linotype" w:eastAsia="Palatino Linotype" w:hAnsi="Palatino Linotype"/>
                <w:b w:val="1"/>
                <w:sz w:val="16"/>
                <w:szCs w:val="16"/>
                <w:rtl w:val="0"/>
              </w:rPr>
              <w:t xml:space="preserve">Departamento Auditoria Administrativa y Financiera</w:t>
            </w:r>
          </w:p>
        </w:tc>
      </w:tr>
      <w:tr>
        <w:trPr>
          <w:cantSplit w:val="0"/>
          <w:tblHeader w:val="0"/>
        </w:trPr>
        <w:tc>
          <w:tcPr/>
          <w:p w:rsidR="00000000" w:rsidDel="00000000" w:rsidP="00000000" w:rsidRDefault="00000000" w:rsidRPr="00000000" w14:paraId="0000016C">
            <w:pPr>
              <w:ind w:right="-7"/>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1° y 2° quincena </w:t>
            </w:r>
          </w:p>
        </w:tc>
        <w:tc>
          <w:tcPr/>
          <w:p w:rsidR="00000000" w:rsidDel="00000000" w:rsidP="00000000" w:rsidRDefault="00000000" w:rsidRPr="00000000" w14:paraId="0000016D">
            <w:pPr>
              <w:ind w:right="-7"/>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b w:val="1"/>
                <w:sz w:val="16"/>
                <w:szCs w:val="16"/>
                <w:rtl w:val="0"/>
              </w:rPr>
              <w:t xml:space="preserve">Jefa de Departamento</w:t>
            </w:r>
            <w:r w:rsidDel="00000000" w:rsidR="00000000" w:rsidRPr="00000000">
              <w:rPr>
                <w:rtl w:val="0"/>
              </w:rPr>
            </w:r>
          </w:p>
        </w:tc>
        <w:tc>
          <w:tcPr/>
          <w:p w:rsidR="00000000" w:rsidDel="00000000" w:rsidP="00000000" w:rsidRDefault="00000000" w:rsidRPr="00000000" w14:paraId="0000016E">
            <w:pPr>
              <w:ind w:right="-7"/>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b w:val="1"/>
                <w:sz w:val="16"/>
                <w:szCs w:val="16"/>
                <w:rtl w:val="0"/>
              </w:rPr>
              <w:t xml:space="preserve">Auditor de la contraloría</w:t>
            </w:r>
            <w:r w:rsidDel="00000000" w:rsidR="00000000" w:rsidRPr="00000000">
              <w:rPr>
                <w:rFonts w:ascii="Palatino Linotype" w:cs="Palatino Linotype" w:eastAsia="Palatino Linotype" w:hAnsi="Palatino Linotype"/>
                <w:sz w:val="16"/>
                <w:szCs w:val="16"/>
                <w:rtl w:val="0"/>
              </w:rPr>
              <w:t xml:space="preserve"> </w:t>
            </w:r>
          </w:p>
        </w:tc>
        <w:tc>
          <w:tcPr/>
          <w:p w:rsidR="00000000" w:rsidDel="00000000" w:rsidP="00000000" w:rsidRDefault="00000000" w:rsidRPr="00000000" w14:paraId="0000016F">
            <w:pPr>
              <w:ind w:right="-7"/>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b w:val="1"/>
                <w:sz w:val="16"/>
                <w:szCs w:val="16"/>
                <w:rtl w:val="0"/>
              </w:rPr>
              <w:t xml:space="preserve">Auditora de la contraloría</w:t>
            </w:r>
            <w:r w:rsidDel="00000000" w:rsidR="00000000" w:rsidRPr="00000000">
              <w:rPr>
                <w:rtl w:val="0"/>
              </w:rPr>
            </w:r>
          </w:p>
        </w:tc>
      </w:tr>
      <w:tr>
        <w:trPr>
          <w:cantSplit w:val="0"/>
          <w:tblHeader w:val="0"/>
        </w:trPr>
        <w:tc>
          <w:tcPr/>
          <w:p w:rsidR="00000000" w:rsidDel="00000000" w:rsidP="00000000" w:rsidRDefault="00000000" w:rsidRPr="00000000" w14:paraId="00000170">
            <w:pPr>
              <w:ind w:right="-7"/>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Enero – Agosto </w:t>
            </w:r>
          </w:p>
        </w:tc>
        <w:tc>
          <w:tcPr>
            <w:gridSpan w:val="3"/>
          </w:tcPr>
          <w:p w:rsidR="00000000" w:rsidDel="00000000" w:rsidP="00000000" w:rsidRDefault="00000000" w:rsidRPr="00000000" w14:paraId="00000171">
            <w:pPr>
              <w:ind w:right="-7"/>
              <w:jc w:val="both"/>
              <w:rPr>
                <w:rFonts w:ascii="Palatino Linotype" w:cs="Palatino Linotype" w:eastAsia="Palatino Linotype" w:hAnsi="Palatino Linotype"/>
                <w:sz w:val="16"/>
                <w:szCs w:val="16"/>
              </w:rPr>
            </w:pPr>
            <w:r w:rsidDel="00000000" w:rsidR="00000000" w:rsidRPr="00000000">
              <w:rPr>
                <w:rtl w:val="0"/>
              </w:rPr>
            </w:r>
          </w:p>
          <w:p w:rsidR="00000000" w:rsidDel="00000000" w:rsidP="00000000" w:rsidRDefault="00000000" w:rsidRPr="00000000" w14:paraId="00000172">
            <w:pPr>
              <w:ind w:right="-7"/>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No hizo entrega de ningún comprobante </w:t>
            </w:r>
          </w:p>
        </w:tc>
      </w:tr>
    </w:tbl>
    <w:p w:rsidR="00000000" w:rsidDel="00000000" w:rsidP="00000000" w:rsidRDefault="00000000" w:rsidRPr="00000000" w14:paraId="00000175">
      <w:pPr>
        <w:spacing w:line="360" w:lineRule="auto"/>
        <w:ind w:right="-7"/>
        <w:jc w:val="both"/>
        <w:rPr>
          <w:rFonts w:ascii="Palatino Linotype" w:cs="Palatino Linotype" w:eastAsia="Palatino Linotype" w:hAnsi="Palatino Linotype"/>
          <w:sz w:val="22"/>
          <w:szCs w:val="22"/>
        </w:rPr>
      </w:pPr>
      <w:r w:rsidDel="00000000" w:rsidR="00000000" w:rsidRPr="00000000">
        <w:rPr>
          <w:rtl w:val="0"/>
        </w:rPr>
      </w:r>
    </w:p>
    <w:tbl>
      <w:tblPr>
        <w:tblStyle w:val="Table4"/>
        <w:tblW w:w="88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64"/>
        <w:gridCol w:w="1265"/>
        <w:gridCol w:w="1372"/>
        <w:gridCol w:w="1486"/>
        <w:gridCol w:w="1139"/>
        <w:gridCol w:w="1455"/>
        <w:gridCol w:w="1247"/>
        <w:tblGridChange w:id="0">
          <w:tblGrid>
            <w:gridCol w:w="864"/>
            <w:gridCol w:w="1265"/>
            <w:gridCol w:w="1372"/>
            <w:gridCol w:w="1486"/>
            <w:gridCol w:w="1139"/>
            <w:gridCol w:w="1455"/>
            <w:gridCol w:w="1247"/>
          </w:tblGrid>
        </w:tblGridChange>
      </w:tblGrid>
      <w:tr>
        <w:trPr>
          <w:cantSplit w:val="0"/>
          <w:tblHeader w:val="0"/>
        </w:trPr>
        <w:tc>
          <w:tcPr>
            <w:gridSpan w:val="7"/>
            <w:shd w:fill="ccffff" w:val="clear"/>
          </w:tcPr>
          <w:p w:rsidR="00000000" w:rsidDel="00000000" w:rsidP="00000000" w:rsidRDefault="00000000" w:rsidRPr="00000000" w14:paraId="00000176">
            <w:pPr>
              <w:ind w:right="-7"/>
              <w:jc w:val="center"/>
              <w:rPr>
                <w:rFonts w:ascii="Palatino Linotype" w:cs="Palatino Linotype" w:eastAsia="Palatino Linotype" w:hAnsi="Palatino Linotype"/>
                <w:b w:val="1"/>
                <w:sz w:val="16"/>
                <w:szCs w:val="16"/>
              </w:rPr>
            </w:pPr>
            <w:r w:rsidDel="00000000" w:rsidR="00000000" w:rsidRPr="00000000">
              <w:rPr>
                <w:rFonts w:ascii="Palatino Linotype" w:cs="Palatino Linotype" w:eastAsia="Palatino Linotype" w:hAnsi="Palatino Linotype"/>
                <w:b w:val="1"/>
                <w:sz w:val="16"/>
                <w:szCs w:val="16"/>
                <w:rtl w:val="0"/>
              </w:rPr>
              <w:t xml:space="preserve">Departamento Auditoría de Obras, Conservación y Servicios </w:t>
            </w:r>
          </w:p>
        </w:tc>
      </w:tr>
      <w:tr>
        <w:trPr>
          <w:cantSplit w:val="0"/>
          <w:tblHeader w:val="0"/>
        </w:trPr>
        <w:tc>
          <w:tcPr/>
          <w:p w:rsidR="00000000" w:rsidDel="00000000" w:rsidP="00000000" w:rsidRDefault="00000000" w:rsidRPr="00000000" w14:paraId="0000017D">
            <w:pPr>
              <w:ind w:right="-7"/>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1° y 2° quincena </w:t>
            </w:r>
          </w:p>
        </w:tc>
        <w:tc>
          <w:tcPr/>
          <w:p w:rsidR="00000000" w:rsidDel="00000000" w:rsidP="00000000" w:rsidRDefault="00000000" w:rsidRPr="00000000" w14:paraId="0000017E">
            <w:pPr>
              <w:ind w:right="-7"/>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b w:val="1"/>
                <w:sz w:val="16"/>
                <w:szCs w:val="16"/>
                <w:rtl w:val="0"/>
              </w:rPr>
              <w:t xml:space="preserve">Jefe de Departamento</w:t>
            </w:r>
            <w:r w:rsidDel="00000000" w:rsidR="00000000" w:rsidRPr="00000000">
              <w:rPr>
                <w:rtl w:val="0"/>
              </w:rPr>
            </w:r>
          </w:p>
        </w:tc>
        <w:tc>
          <w:tcPr/>
          <w:p w:rsidR="00000000" w:rsidDel="00000000" w:rsidP="00000000" w:rsidRDefault="00000000" w:rsidRPr="00000000" w14:paraId="0000017F">
            <w:pPr>
              <w:ind w:right="-7"/>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b w:val="1"/>
                <w:sz w:val="16"/>
                <w:szCs w:val="16"/>
                <w:rtl w:val="0"/>
              </w:rPr>
              <w:t xml:space="preserve">Auditor de la contraloría</w:t>
            </w:r>
            <w:r w:rsidDel="00000000" w:rsidR="00000000" w:rsidRPr="00000000">
              <w:rPr>
                <w:rtl w:val="0"/>
              </w:rPr>
            </w:r>
          </w:p>
        </w:tc>
        <w:tc>
          <w:tcPr/>
          <w:p w:rsidR="00000000" w:rsidDel="00000000" w:rsidP="00000000" w:rsidRDefault="00000000" w:rsidRPr="00000000" w14:paraId="00000180">
            <w:pPr>
              <w:ind w:right="-7"/>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b w:val="1"/>
                <w:sz w:val="16"/>
                <w:szCs w:val="16"/>
                <w:rtl w:val="0"/>
              </w:rPr>
              <w:t xml:space="preserve">Auditor de la contraloría</w:t>
            </w:r>
            <w:r w:rsidDel="00000000" w:rsidR="00000000" w:rsidRPr="00000000">
              <w:rPr>
                <w:rtl w:val="0"/>
              </w:rPr>
            </w:r>
          </w:p>
        </w:tc>
        <w:tc>
          <w:tcPr/>
          <w:p w:rsidR="00000000" w:rsidDel="00000000" w:rsidP="00000000" w:rsidRDefault="00000000" w:rsidRPr="00000000" w14:paraId="00000181">
            <w:pPr>
              <w:ind w:right="-7"/>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b w:val="1"/>
                <w:sz w:val="16"/>
                <w:szCs w:val="16"/>
                <w:rtl w:val="0"/>
              </w:rPr>
              <w:t xml:space="preserve">Auditor de Contraloría </w:t>
            </w:r>
            <w:r w:rsidDel="00000000" w:rsidR="00000000" w:rsidRPr="00000000">
              <w:rPr>
                <w:rtl w:val="0"/>
              </w:rPr>
            </w:r>
          </w:p>
        </w:tc>
        <w:tc>
          <w:tcPr/>
          <w:p w:rsidR="00000000" w:rsidDel="00000000" w:rsidP="00000000" w:rsidRDefault="00000000" w:rsidRPr="00000000" w14:paraId="00000182">
            <w:pPr>
              <w:ind w:right="-7"/>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b w:val="1"/>
                <w:sz w:val="16"/>
                <w:szCs w:val="16"/>
                <w:rtl w:val="0"/>
              </w:rPr>
              <w:t xml:space="preserve">Auditor de Contraloría</w:t>
            </w:r>
            <w:r w:rsidDel="00000000" w:rsidR="00000000" w:rsidRPr="00000000">
              <w:rPr>
                <w:rtl w:val="0"/>
              </w:rPr>
            </w:r>
          </w:p>
        </w:tc>
        <w:tc>
          <w:tcPr/>
          <w:p w:rsidR="00000000" w:rsidDel="00000000" w:rsidP="00000000" w:rsidRDefault="00000000" w:rsidRPr="00000000" w14:paraId="00000183">
            <w:pPr>
              <w:ind w:right="-7"/>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b w:val="1"/>
                <w:sz w:val="16"/>
                <w:szCs w:val="16"/>
                <w:rtl w:val="0"/>
              </w:rPr>
              <w:t xml:space="preserve">Analista Auxiliar</w:t>
            </w:r>
            <w:r w:rsidDel="00000000" w:rsidR="00000000" w:rsidRPr="00000000">
              <w:rPr>
                <w:rFonts w:ascii="Palatino Linotype" w:cs="Palatino Linotype" w:eastAsia="Palatino Linotype" w:hAnsi="Palatino Linotype"/>
                <w:sz w:val="16"/>
                <w:szCs w:val="16"/>
                <w:rtl w:val="0"/>
              </w:rPr>
              <w:t xml:space="preserve"> </w:t>
            </w:r>
          </w:p>
        </w:tc>
      </w:tr>
      <w:tr>
        <w:trPr>
          <w:cantSplit w:val="0"/>
          <w:tblHeader w:val="0"/>
        </w:trPr>
        <w:tc>
          <w:tcPr/>
          <w:p w:rsidR="00000000" w:rsidDel="00000000" w:rsidP="00000000" w:rsidRDefault="00000000" w:rsidRPr="00000000" w14:paraId="00000184">
            <w:pPr>
              <w:ind w:right="-7"/>
              <w:jc w:val="both"/>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Enero – Agosto </w:t>
            </w:r>
          </w:p>
        </w:tc>
        <w:tc>
          <w:tcPr>
            <w:gridSpan w:val="6"/>
          </w:tcPr>
          <w:p w:rsidR="00000000" w:rsidDel="00000000" w:rsidP="00000000" w:rsidRDefault="00000000" w:rsidRPr="00000000" w14:paraId="00000185">
            <w:pPr>
              <w:ind w:right="-7"/>
              <w:jc w:val="both"/>
              <w:rPr>
                <w:rFonts w:ascii="Palatino Linotype" w:cs="Palatino Linotype" w:eastAsia="Palatino Linotype" w:hAnsi="Palatino Linotype"/>
                <w:sz w:val="16"/>
                <w:szCs w:val="16"/>
              </w:rPr>
            </w:pPr>
            <w:r w:rsidDel="00000000" w:rsidR="00000000" w:rsidRPr="00000000">
              <w:rPr>
                <w:rtl w:val="0"/>
              </w:rPr>
            </w:r>
          </w:p>
          <w:p w:rsidR="00000000" w:rsidDel="00000000" w:rsidP="00000000" w:rsidRDefault="00000000" w:rsidRPr="00000000" w14:paraId="00000186">
            <w:pPr>
              <w:ind w:right="-7"/>
              <w:jc w:val="center"/>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sz w:val="16"/>
                <w:szCs w:val="16"/>
                <w:rtl w:val="0"/>
              </w:rPr>
              <w:t xml:space="preserve">No hizo entrega de ningún comprobante</w:t>
            </w:r>
          </w:p>
        </w:tc>
      </w:tr>
    </w:tbl>
    <w:p w:rsidR="00000000" w:rsidDel="00000000" w:rsidP="00000000" w:rsidRDefault="00000000" w:rsidRPr="00000000" w14:paraId="0000018C">
      <w:pPr>
        <w:spacing w:line="360" w:lineRule="auto"/>
        <w:ind w:right="-7"/>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8D">
      <w:pPr>
        <w:spacing w:line="360" w:lineRule="auto"/>
        <w:ind w:right="-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lo anterior se advierte que, si bien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hizo entrega de algunos comprobantes de pago de los servidores públicos adscritos al Órgano Interno de Control, así como del personal eventual, lo cierto es que, estos no se encuentran completos, aunado a que fue omiso en emitir algún pronunciamiento respecto a los servidores públicos que se encuentran inscritos a los Departamentos de Auditoría Administrativa y Financiera y Auditoría de Obras, Conservación y Servicios. </w:t>
      </w:r>
    </w:p>
    <w:p w:rsidR="00000000" w:rsidDel="00000000" w:rsidP="00000000" w:rsidRDefault="00000000" w:rsidRPr="00000000" w14:paraId="0000018E">
      <w:pPr>
        <w:spacing w:line="360" w:lineRule="auto"/>
        <w:ind w:right="-7"/>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8F">
      <w:pPr>
        <w:spacing w:line="360" w:lineRule="auto"/>
        <w:ind w:right="-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cabe precisar que dentro del periodo que se solicitó la información, la plazas si se encontraban ocupadas por los servidores públicos referidos en líneas que anteceden, toda vez que de la información publicada en Ipomex, dichos servidores públicos fueron dados de alta en años anteriores; por lo que se reitera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debe contar con la información que solicita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190">
      <w:pPr>
        <w:spacing w:line="360" w:lineRule="auto"/>
        <w:ind w:right="-7"/>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91">
      <w:pPr>
        <w:spacing w:line="360" w:lineRule="auto"/>
        <w:ind w:right="-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Aunado a ello, es importante analizar el acuerdo que clasifica como confidencial los datos que constan en los comprobantes remitidos, ello para determinar si se realizó conforme a derecho, para ello se inserta el siguiente cuadro de análisis:</w:t>
      </w:r>
    </w:p>
    <w:p w:rsidR="00000000" w:rsidDel="00000000" w:rsidP="00000000" w:rsidRDefault="00000000" w:rsidRPr="00000000" w14:paraId="00000192">
      <w:pPr>
        <w:spacing w:line="360" w:lineRule="auto"/>
        <w:ind w:right="-7"/>
        <w:jc w:val="both"/>
        <w:rPr>
          <w:rFonts w:ascii="Palatino Linotype" w:cs="Palatino Linotype" w:eastAsia="Palatino Linotype" w:hAnsi="Palatino Linotype"/>
          <w:sz w:val="22"/>
          <w:szCs w:val="22"/>
        </w:rPr>
      </w:pPr>
      <w:r w:rsidDel="00000000" w:rsidR="00000000" w:rsidRPr="00000000">
        <w:rPr>
          <w:rtl w:val="0"/>
        </w:rPr>
      </w:r>
    </w:p>
    <w:tbl>
      <w:tblPr>
        <w:tblStyle w:val="Table5"/>
        <w:tblW w:w="864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48"/>
        <w:gridCol w:w="7"/>
        <w:gridCol w:w="5811"/>
        <w:gridCol w:w="1276"/>
        <w:tblGridChange w:id="0">
          <w:tblGrid>
            <w:gridCol w:w="1548"/>
            <w:gridCol w:w="7"/>
            <w:gridCol w:w="5811"/>
            <w:gridCol w:w="1276"/>
          </w:tblGrid>
        </w:tblGridChange>
      </w:tblGrid>
      <w:tr>
        <w:trPr>
          <w:cantSplit w:val="0"/>
          <w:trHeight w:val="569" w:hRule="atLeast"/>
          <w:tblHeader w:val="0"/>
        </w:trPr>
        <w:tc>
          <w:tcPr>
            <w:shd w:fill="ccffff" w:val="clear"/>
          </w:tcPr>
          <w:p w:rsidR="00000000" w:rsidDel="00000000" w:rsidP="00000000" w:rsidRDefault="00000000" w:rsidRPr="00000000" w14:paraId="00000193">
            <w:pPr>
              <w:spacing w:line="276"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Elementos del acuerdo de clasificación</w:t>
            </w:r>
          </w:p>
        </w:tc>
        <w:tc>
          <w:tcPr>
            <w:gridSpan w:val="2"/>
            <w:shd w:fill="ccffff" w:val="clear"/>
          </w:tcPr>
          <w:p w:rsidR="00000000" w:rsidDel="00000000" w:rsidP="00000000" w:rsidRDefault="00000000" w:rsidRPr="00000000" w14:paraId="00000194">
            <w:pPr>
              <w:spacing w:line="276"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Contenido</w:t>
            </w:r>
          </w:p>
        </w:tc>
        <w:tc>
          <w:tcPr>
            <w:shd w:fill="ccffff" w:val="clear"/>
          </w:tcPr>
          <w:p w:rsidR="00000000" w:rsidDel="00000000" w:rsidP="00000000" w:rsidRDefault="00000000" w:rsidRPr="00000000" w14:paraId="00000196">
            <w:pPr>
              <w:spacing w:line="276"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¿Cumple?</w:t>
            </w:r>
          </w:p>
        </w:tc>
      </w:tr>
      <w:tr>
        <w:trPr>
          <w:cantSplit w:val="0"/>
          <w:tblHeader w:val="0"/>
        </w:trPr>
        <w:tc>
          <w:tcPr>
            <w:shd w:fill="auto" w:val="clear"/>
          </w:tcPr>
          <w:p w:rsidR="00000000" w:rsidDel="00000000" w:rsidP="00000000" w:rsidRDefault="00000000" w:rsidRPr="00000000" w14:paraId="00000197">
            <w:pPr>
              <w:spacing w:line="276"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1"/>
                <w:sz w:val="20"/>
                <w:szCs w:val="20"/>
                <w:rtl w:val="0"/>
              </w:rPr>
              <w:t xml:space="preserve">Número de folio de la solicitud</w:t>
            </w:r>
            <w:r w:rsidDel="00000000" w:rsidR="00000000" w:rsidRPr="00000000">
              <w:rPr>
                <w:rtl w:val="0"/>
              </w:rPr>
            </w:r>
          </w:p>
        </w:tc>
        <w:tc>
          <w:tcPr>
            <w:gridSpan w:val="2"/>
            <w:shd w:fill="auto" w:val="clear"/>
          </w:tcPr>
          <w:p w:rsidR="00000000" w:rsidDel="00000000" w:rsidP="00000000" w:rsidRDefault="00000000" w:rsidRPr="00000000" w14:paraId="00000198">
            <w:pPr>
              <w:spacing w:line="276" w:lineRule="auto"/>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Pr>
              <w:drawing>
                <wp:inline distB="0" distT="0" distL="0" distR="0">
                  <wp:extent cx="3557270" cy="1054735"/>
                  <wp:effectExtent b="0" l="0" r="0" t="0"/>
                  <wp:docPr id="172" name="image18.png"/>
                  <a:graphic>
                    <a:graphicData uri="http://schemas.openxmlformats.org/drawingml/2006/picture">
                      <pic:pic>
                        <pic:nvPicPr>
                          <pic:cNvPr id="0" name="image18.png"/>
                          <pic:cNvPicPr preferRelativeResize="0"/>
                        </pic:nvPicPr>
                        <pic:blipFill>
                          <a:blip r:embed="rId18"/>
                          <a:srcRect b="0" l="0" r="0" t="0"/>
                          <a:stretch>
                            <a:fillRect/>
                          </a:stretch>
                        </pic:blipFill>
                        <pic:spPr>
                          <a:xfrm>
                            <a:off x="0" y="0"/>
                            <a:ext cx="3557270" cy="1054735"/>
                          </a:xfrm>
                          <a:prstGeom prst="rect"/>
                          <a:ln/>
                        </pic:spPr>
                      </pic:pic>
                    </a:graphicData>
                  </a:graphic>
                </wp:inline>
              </w:drawing>
            </w:r>
            <w:r w:rsidDel="00000000" w:rsidR="00000000" w:rsidRPr="00000000">
              <w:rPr>
                <w:rtl w:val="0"/>
              </w:rPr>
            </w:r>
          </w:p>
        </w:tc>
        <w:tc>
          <w:tcPr>
            <w:shd w:fill="auto" w:val="clear"/>
          </w:tcPr>
          <w:p w:rsidR="00000000" w:rsidDel="00000000" w:rsidP="00000000" w:rsidRDefault="00000000" w:rsidRPr="00000000" w14:paraId="0000019A">
            <w:pPr>
              <w:spacing w:line="276"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Sí</w:t>
            </w:r>
          </w:p>
        </w:tc>
      </w:tr>
      <w:tr>
        <w:trPr>
          <w:cantSplit w:val="0"/>
          <w:tblHeader w:val="0"/>
        </w:trPr>
        <w:tc>
          <w:tcPr>
            <w:shd w:fill="auto" w:val="clear"/>
          </w:tcPr>
          <w:p w:rsidR="00000000" w:rsidDel="00000000" w:rsidP="00000000" w:rsidRDefault="00000000" w:rsidRPr="00000000" w14:paraId="0000019B">
            <w:pPr>
              <w:spacing w:line="276"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1"/>
                <w:sz w:val="20"/>
                <w:szCs w:val="20"/>
                <w:rtl w:val="0"/>
              </w:rPr>
              <w:t xml:space="preserve">Referencia de la información solicitada</w:t>
            </w:r>
            <w:r w:rsidDel="00000000" w:rsidR="00000000" w:rsidRPr="00000000">
              <w:rPr>
                <w:rtl w:val="0"/>
              </w:rPr>
            </w:r>
          </w:p>
        </w:tc>
        <w:tc>
          <w:tcPr>
            <w:gridSpan w:val="2"/>
            <w:shd w:fill="auto" w:val="clear"/>
          </w:tcPr>
          <w:p w:rsidR="00000000" w:rsidDel="00000000" w:rsidP="00000000" w:rsidRDefault="00000000" w:rsidRPr="00000000" w14:paraId="0000019C">
            <w:pPr>
              <w:spacing w:line="276"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Pr>
              <w:drawing>
                <wp:inline distB="0" distT="0" distL="0" distR="0">
                  <wp:extent cx="3557270" cy="473710"/>
                  <wp:effectExtent b="0" l="0" r="0" t="0"/>
                  <wp:docPr id="177" name="image10.png"/>
                  <a:graphic>
                    <a:graphicData uri="http://schemas.openxmlformats.org/drawingml/2006/picture">
                      <pic:pic>
                        <pic:nvPicPr>
                          <pic:cNvPr id="0" name="image10.png"/>
                          <pic:cNvPicPr preferRelativeResize="0"/>
                        </pic:nvPicPr>
                        <pic:blipFill>
                          <a:blip r:embed="rId19"/>
                          <a:srcRect b="0" l="0" r="0" t="0"/>
                          <a:stretch>
                            <a:fillRect/>
                          </a:stretch>
                        </pic:blipFill>
                        <pic:spPr>
                          <a:xfrm>
                            <a:off x="0" y="0"/>
                            <a:ext cx="3557270" cy="473710"/>
                          </a:xfrm>
                          <a:prstGeom prst="rect"/>
                          <a:ln/>
                        </pic:spPr>
                      </pic:pic>
                    </a:graphicData>
                  </a:graphic>
                </wp:inline>
              </w:drawing>
            </w:r>
            <w:r w:rsidDel="00000000" w:rsidR="00000000" w:rsidRPr="00000000">
              <w:rPr>
                <w:rtl w:val="0"/>
              </w:rPr>
            </w:r>
          </w:p>
        </w:tc>
        <w:tc>
          <w:tcPr>
            <w:shd w:fill="auto" w:val="clear"/>
          </w:tcPr>
          <w:p w:rsidR="00000000" w:rsidDel="00000000" w:rsidP="00000000" w:rsidRDefault="00000000" w:rsidRPr="00000000" w14:paraId="0000019E">
            <w:pPr>
              <w:spacing w:line="276"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Sí</w:t>
            </w:r>
          </w:p>
        </w:tc>
      </w:tr>
      <w:tr>
        <w:trPr>
          <w:cantSplit w:val="0"/>
          <w:tblHeader w:val="0"/>
        </w:trPr>
        <w:tc>
          <w:tcPr>
            <w:shd w:fill="auto" w:val="clear"/>
          </w:tcPr>
          <w:p w:rsidR="00000000" w:rsidDel="00000000" w:rsidP="00000000" w:rsidRDefault="00000000" w:rsidRPr="00000000" w14:paraId="0000019F">
            <w:pPr>
              <w:spacing w:line="276"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Artículo, fracción, inciso, párrafo o numeral de la ley que le otorga el carácter de confidencial.</w:t>
            </w:r>
          </w:p>
        </w:tc>
        <w:tc>
          <w:tcPr>
            <w:gridSpan w:val="2"/>
            <w:shd w:fill="auto" w:val="clear"/>
          </w:tcPr>
          <w:p w:rsidR="00000000" w:rsidDel="00000000" w:rsidP="00000000" w:rsidRDefault="00000000" w:rsidRPr="00000000" w14:paraId="000001A0">
            <w:pPr>
              <w:spacing w:line="276" w:lineRule="auto"/>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Pr>
              <w:drawing>
                <wp:inline distB="0" distT="0" distL="0" distR="0">
                  <wp:extent cx="3557270" cy="755015"/>
                  <wp:effectExtent b="0" l="0" r="0" t="0"/>
                  <wp:docPr id="175" name="image9.png"/>
                  <a:graphic>
                    <a:graphicData uri="http://schemas.openxmlformats.org/drawingml/2006/picture">
                      <pic:pic>
                        <pic:nvPicPr>
                          <pic:cNvPr id="0" name="image9.png"/>
                          <pic:cNvPicPr preferRelativeResize="0"/>
                        </pic:nvPicPr>
                        <pic:blipFill>
                          <a:blip r:embed="rId20"/>
                          <a:srcRect b="0" l="0" r="0" t="0"/>
                          <a:stretch>
                            <a:fillRect/>
                          </a:stretch>
                        </pic:blipFill>
                        <pic:spPr>
                          <a:xfrm>
                            <a:off x="0" y="0"/>
                            <a:ext cx="3557270" cy="755015"/>
                          </a:xfrm>
                          <a:prstGeom prst="rect"/>
                          <a:ln/>
                        </pic:spPr>
                      </pic:pic>
                    </a:graphicData>
                  </a:graphic>
                </wp:inline>
              </w:drawing>
            </w:r>
            <w:r w:rsidDel="00000000" w:rsidR="00000000" w:rsidRPr="00000000">
              <w:rPr>
                <w:rtl w:val="0"/>
              </w:rPr>
            </w:r>
          </w:p>
          <w:p w:rsidR="00000000" w:rsidDel="00000000" w:rsidP="00000000" w:rsidRDefault="00000000" w:rsidRPr="00000000" w14:paraId="000001A1">
            <w:pPr>
              <w:spacing w:line="276" w:lineRule="auto"/>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Pr>
              <w:drawing>
                <wp:inline distB="0" distT="0" distL="0" distR="0">
                  <wp:extent cx="3557270" cy="257175"/>
                  <wp:effectExtent b="0" l="0" r="0" t="0"/>
                  <wp:docPr id="176" name="image15.png"/>
                  <a:graphic>
                    <a:graphicData uri="http://schemas.openxmlformats.org/drawingml/2006/picture">
                      <pic:pic>
                        <pic:nvPicPr>
                          <pic:cNvPr id="0" name="image15.png"/>
                          <pic:cNvPicPr preferRelativeResize="0"/>
                        </pic:nvPicPr>
                        <pic:blipFill>
                          <a:blip r:embed="rId21"/>
                          <a:srcRect b="0" l="0" r="0" t="0"/>
                          <a:stretch>
                            <a:fillRect/>
                          </a:stretch>
                        </pic:blipFill>
                        <pic:spPr>
                          <a:xfrm>
                            <a:off x="0" y="0"/>
                            <a:ext cx="3557270" cy="257175"/>
                          </a:xfrm>
                          <a:prstGeom prst="rect"/>
                          <a:ln/>
                        </pic:spPr>
                      </pic:pic>
                    </a:graphicData>
                  </a:graphic>
                </wp:inline>
              </w:drawing>
            </w:r>
            <w:r w:rsidDel="00000000" w:rsidR="00000000" w:rsidRPr="00000000">
              <w:rPr>
                <w:rtl w:val="0"/>
              </w:rPr>
            </w:r>
          </w:p>
          <w:p w:rsidR="00000000" w:rsidDel="00000000" w:rsidP="00000000" w:rsidRDefault="00000000" w:rsidRPr="00000000" w14:paraId="000001A2">
            <w:pPr>
              <w:spacing w:line="276" w:lineRule="auto"/>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Pr>
              <w:drawing>
                <wp:inline distB="0" distT="0" distL="0" distR="0">
                  <wp:extent cx="3557270" cy="257175"/>
                  <wp:effectExtent b="0" l="0" r="0" t="0"/>
                  <wp:docPr id="178" name="image11.png"/>
                  <a:graphic>
                    <a:graphicData uri="http://schemas.openxmlformats.org/drawingml/2006/picture">
                      <pic:pic>
                        <pic:nvPicPr>
                          <pic:cNvPr id="0" name="image11.png"/>
                          <pic:cNvPicPr preferRelativeResize="0"/>
                        </pic:nvPicPr>
                        <pic:blipFill>
                          <a:blip r:embed="rId22"/>
                          <a:srcRect b="0" l="0" r="0" t="0"/>
                          <a:stretch>
                            <a:fillRect/>
                          </a:stretch>
                        </pic:blipFill>
                        <pic:spPr>
                          <a:xfrm>
                            <a:off x="0" y="0"/>
                            <a:ext cx="3557270" cy="257175"/>
                          </a:xfrm>
                          <a:prstGeom prst="rect"/>
                          <a:ln/>
                        </pic:spPr>
                      </pic:pic>
                    </a:graphicData>
                  </a:graphic>
                </wp:inline>
              </w:drawing>
            </w:r>
            <w:r w:rsidDel="00000000" w:rsidR="00000000" w:rsidRPr="00000000">
              <w:rPr>
                <w:rtl w:val="0"/>
              </w:rPr>
            </w:r>
          </w:p>
        </w:tc>
        <w:tc>
          <w:tcPr>
            <w:shd w:fill="auto" w:val="clear"/>
          </w:tcPr>
          <w:p w:rsidR="00000000" w:rsidDel="00000000" w:rsidP="00000000" w:rsidRDefault="00000000" w:rsidRPr="00000000" w14:paraId="000001A4">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Sí</w:t>
            </w:r>
          </w:p>
          <w:p w:rsidR="00000000" w:rsidDel="00000000" w:rsidP="00000000" w:rsidRDefault="00000000" w:rsidRPr="00000000" w14:paraId="000001A5">
            <w:pPr>
              <w:jc w:val="center"/>
              <w:rPr>
                <w:rFonts w:ascii="Palatino Linotype" w:cs="Palatino Linotype" w:eastAsia="Palatino Linotype" w:hAnsi="Palatino Linotype"/>
                <w:b w:val="1"/>
                <w:sz w:val="20"/>
                <w:szCs w:val="20"/>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A6">
            <w:pPr>
              <w:spacing w:line="276"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1"/>
                <w:sz w:val="20"/>
                <w:szCs w:val="20"/>
                <w:rtl w:val="0"/>
              </w:rPr>
              <w:t xml:space="preserve">Motivación Legal</w:t>
            </w:r>
            <w:r w:rsidDel="00000000" w:rsidR="00000000" w:rsidRPr="00000000">
              <w:rPr>
                <w:rtl w:val="0"/>
              </w:rPr>
            </w:r>
          </w:p>
        </w:tc>
        <w:tc>
          <w:tcPr>
            <w:gridSpan w:val="2"/>
            <w:shd w:fill="auto" w:val="clear"/>
          </w:tcPr>
          <w:p w:rsidR="00000000" w:rsidDel="00000000" w:rsidP="00000000" w:rsidRDefault="00000000" w:rsidRPr="00000000" w14:paraId="000001A7">
            <w:pPr>
              <w:spacing w:line="276" w:lineRule="auto"/>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Pr>
              <w:drawing>
                <wp:inline distB="0" distT="0" distL="0" distR="0">
                  <wp:extent cx="3337254" cy="2145803"/>
                  <wp:effectExtent b="0" l="0" r="0" t="0"/>
                  <wp:docPr id="179" name="image7.png"/>
                  <a:graphic>
                    <a:graphicData uri="http://schemas.openxmlformats.org/drawingml/2006/picture">
                      <pic:pic>
                        <pic:nvPicPr>
                          <pic:cNvPr id="0" name="image7.png"/>
                          <pic:cNvPicPr preferRelativeResize="0"/>
                        </pic:nvPicPr>
                        <pic:blipFill>
                          <a:blip r:embed="rId23"/>
                          <a:srcRect b="0" l="0" r="0" t="0"/>
                          <a:stretch>
                            <a:fillRect/>
                          </a:stretch>
                        </pic:blipFill>
                        <pic:spPr>
                          <a:xfrm>
                            <a:off x="0" y="0"/>
                            <a:ext cx="3337254" cy="2145803"/>
                          </a:xfrm>
                          <a:prstGeom prst="rect"/>
                          <a:ln/>
                        </pic:spPr>
                      </pic:pic>
                    </a:graphicData>
                  </a:graphic>
                </wp:inline>
              </w:drawing>
            </w:r>
            <w:r w:rsidDel="00000000" w:rsidR="00000000" w:rsidRPr="00000000">
              <w:rPr>
                <w:rtl w:val="0"/>
              </w:rPr>
            </w:r>
          </w:p>
          <w:p w:rsidR="00000000" w:rsidDel="00000000" w:rsidP="00000000" w:rsidRDefault="00000000" w:rsidRPr="00000000" w14:paraId="000001A8">
            <w:pPr>
              <w:spacing w:line="276" w:lineRule="auto"/>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Pr>
              <w:drawing>
                <wp:inline distB="0" distT="0" distL="0" distR="0">
                  <wp:extent cx="3355873" cy="1036024"/>
                  <wp:effectExtent b="0" l="0" r="0" t="0"/>
                  <wp:docPr id="180" name="image13.png"/>
                  <a:graphic>
                    <a:graphicData uri="http://schemas.openxmlformats.org/drawingml/2006/picture">
                      <pic:pic>
                        <pic:nvPicPr>
                          <pic:cNvPr id="0" name="image13.png"/>
                          <pic:cNvPicPr preferRelativeResize="0"/>
                        </pic:nvPicPr>
                        <pic:blipFill>
                          <a:blip r:embed="rId24"/>
                          <a:srcRect b="0" l="0" r="0" t="0"/>
                          <a:stretch>
                            <a:fillRect/>
                          </a:stretch>
                        </pic:blipFill>
                        <pic:spPr>
                          <a:xfrm>
                            <a:off x="0" y="0"/>
                            <a:ext cx="3355873" cy="1036024"/>
                          </a:xfrm>
                          <a:prstGeom prst="rect"/>
                          <a:ln/>
                        </pic:spPr>
                      </pic:pic>
                    </a:graphicData>
                  </a:graphic>
                </wp:inline>
              </w:drawing>
            </w:r>
            <w:r w:rsidDel="00000000" w:rsidR="00000000" w:rsidRPr="00000000">
              <w:rPr>
                <w:rtl w:val="0"/>
              </w:rPr>
            </w:r>
          </w:p>
          <w:p w:rsidR="00000000" w:rsidDel="00000000" w:rsidP="00000000" w:rsidRDefault="00000000" w:rsidRPr="00000000" w14:paraId="000001A9">
            <w:pPr>
              <w:spacing w:line="276" w:lineRule="auto"/>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Pr>
              <w:drawing>
                <wp:inline distB="0" distT="0" distL="0" distR="0">
                  <wp:extent cx="3557270" cy="3140710"/>
                  <wp:effectExtent b="0" l="0" r="0" t="0"/>
                  <wp:docPr id="181" name="image23.png"/>
                  <a:graphic>
                    <a:graphicData uri="http://schemas.openxmlformats.org/drawingml/2006/picture">
                      <pic:pic>
                        <pic:nvPicPr>
                          <pic:cNvPr id="0" name="image23.png"/>
                          <pic:cNvPicPr preferRelativeResize="0"/>
                        </pic:nvPicPr>
                        <pic:blipFill>
                          <a:blip r:embed="rId25"/>
                          <a:srcRect b="0" l="0" r="0" t="0"/>
                          <a:stretch>
                            <a:fillRect/>
                          </a:stretch>
                        </pic:blipFill>
                        <pic:spPr>
                          <a:xfrm>
                            <a:off x="0" y="0"/>
                            <a:ext cx="3557270" cy="3140710"/>
                          </a:xfrm>
                          <a:prstGeom prst="rect"/>
                          <a:ln/>
                        </pic:spPr>
                      </pic:pic>
                    </a:graphicData>
                  </a:graphic>
                </wp:inline>
              </w:drawing>
            </w:r>
            <w:r w:rsidDel="00000000" w:rsidR="00000000" w:rsidRPr="00000000">
              <w:rPr>
                <w:rtl w:val="0"/>
              </w:rPr>
            </w:r>
          </w:p>
          <w:p w:rsidR="00000000" w:rsidDel="00000000" w:rsidP="00000000" w:rsidRDefault="00000000" w:rsidRPr="00000000" w14:paraId="000001AA">
            <w:pPr>
              <w:spacing w:line="276" w:lineRule="auto"/>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Pr>
              <w:drawing>
                <wp:inline distB="0" distT="0" distL="0" distR="0">
                  <wp:extent cx="3557270" cy="3799205"/>
                  <wp:effectExtent b="0" l="0" r="0" t="0"/>
                  <wp:docPr id="182" name="image19.png"/>
                  <a:graphic>
                    <a:graphicData uri="http://schemas.openxmlformats.org/drawingml/2006/picture">
                      <pic:pic>
                        <pic:nvPicPr>
                          <pic:cNvPr id="0" name="image19.png"/>
                          <pic:cNvPicPr preferRelativeResize="0"/>
                        </pic:nvPicPr>
                        <pic:blipFill>
                          <a:blip r:embed="rId26"/>
                          <a:srcRect b="0" l="0" r="0" t="0"/>
                          <a:stretch>
                            <a:fillRect/>
                          </a:stretch>
                        </pic:blipFill>
                        <pic:spPr>
                          <a:xfrm>
                            <a:off x="0" y="0"/>
                            <a:ext cx="3557270" cy="3799205"/>
                          </a:xfrm>
                          <a:prstGeom prst="rect"/>
                          <a:ln/>
                        </pic:spPr>
                      </pic:pic>
                    </a:graphicData>
                  </a:graphic>
                </wp:inline>
              </w:drawing>
            </w:r>
            <w:r w:rsidDel="00000000" w:rsidR="00000000" w:rsidRPr="00000000">
              <w:rPr>
                <w:rtl w:val="0"/>
              </w:rPr>
            </w:r>
          </w:p>
          <w:p w:rsidR="00000000" w:rsidDel="00000000" w:rsidP="00000000" w:rsidRDefault="00000000" w:rsidRPr="00000000" w14:paraId="000001AB">
            <w:pPr>
              <w:spacing w:line="276" w:lineRule="auto"/>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Pr>
              <w:drawing>
                <wp:inline distB="0" distT="0" distL="0" distR="0">
                  <wp:extent cx="3557270" cy="452755"/>
                  <wp:effectExtent b="0" l="0" r="0" t="0"/>
                  <wp:docPr id="183" name="image20.png"/>
                  <a:graphic>
                    <a:graphicData uri="http://schemas.openxmlformats.org/drawingml/2006/picture">
                      <pic:pic>
                        <pic:nvPicPr>
                          <pic:cNvPr id="0" name="image20.png"/>
                          <pic:cNvPicPr preferRelativeResize="0"/>
                        </pic:nvPicPr>
                        <pic:blipFill>
                          <a:blip r:embed="rId27"/>
                          <a:srcRect b="0" l="0" r="0" t="0"/>
                          <a:stretch>
                            <a:fillRect/>
                          </a:stretch>
                        </pic:blipFill>
                        <pic:spPr>
                          <a:xfrm>
                            <a:off x="0" y="0"/>
                            <a:ext cx="3557270" cy="452755"/>
                          </a:xfrm>
                          <a:prstGeom prst="rect"/>
                          <a:ln/>
                        </pic:spPr>
                      </pic:pic>
                    </a:graphicData>
                  </a:graphic>
                </wp:inline>
              </w:drawing>
            </w:r>
            <w:r w:rsidDel="00000000" w:rsidR="00000000" w:rsidRPr="00000000">
              <w:rPr>
                <w:rtl w:val="0"/>
              </w:rPr>
            </w:r>
          </w:p>
          <w:p w:rsidR="00000000" w:rsidDel="00000000" w:rsidP="00000000" w:rsidRDefault="00000000" w:rsidRPr="00000000" w14:paraId="000001AC">
            <w:pPr>
              <w:spacing w:line="276" w:lineRule="auto"/>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Pr>
              <w:drawing>
                <wp:inline distB="0" distT="0" distL="0" distR="0">
                  <wp:extent cx="3557270" cy="881380"/>
                  <wp:effectExtent b="0" l="0" r="0" t="0"/>
                  <wp:docPr id="184" name="image12.png"/>
                  <a:graphic>
                    <a:graphicData uri="http://schemas.openxmlformats.org/drawingml/2006/picture">
                      <pic:pic>
                        <pic:nvPicPr>
                          <pic:cNvPr id="0" name="image12.png"/>
                          <pic:cNvPicPr preferRelativeResize="0"/>
                        </pic:nvPicPr>
                        <pic:blipFill>
                          <a:blip r:embed="rId28"/>
                          <a:srcRect b="0" l="0" r="0" t="0"/>
                          <a:stretch>
                            <a:fillRect/>
                          </a:stretch>
                        </pic:blipFill>
                        <pic:spPr>
                          <a:xfrm>
                            <a:off x="0" y="0"/>
                            <a:ext cx="3557270" cy="881380"/>
                          </a:xfrm>
                          <a:prstGeom prst="rect"/>
                          <a:ln/>
                        </pic:spPr>
                      </pic:pic>
                    </a:graphicData>
                  </a:graphic>
                </wp:inline>
              </w:drawing>
            </w:r>
            <w:r w:rsidDel="00000000" w:rsidR="00000000" w:rsidRPr="00000000">
              <w:rPr>
                <w:rtl w:val="0"/>
              </w:rPr>
            </w:r>
          </w:p>
        </w:tc>
        <w:tc>
          <w:tcPr>
            <w:shd w:fill="auto" w:val="clear"/>
          </w:tcPr>
          <w:p w:rsidR="00000000" w:rsidDel="00000000" w:rsidP="00000000" w:rsidRDefault="00000000" w:rsidRPr="00000000" w14:paraId="000001AE">
            <w:pPr>
              <w:spacing w:line="276"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No, ya que testa la firma de los servidores públicos en todos los recibos; así como deja visibles en algunos el CURP y descuentos de carácter personal </w:t>
            </w:r>
          </w:p>
          <w:p w:rsidR="00000000" w:rsidDel="00000000" w:rsidP="00000000" w:rsidRDefault="00000000" w:rsidRPr="00000000" w14:paraId="000001AF">
            <w:pPr>
              <w:spacing w:line="276" w:lineRule="auto"/>
              <w:rPr>
                <w:rFonts w:ascii="Palatino Linotype" w:cs="Palatino Linotype" w:eastAsia="Palatino Linotype" w:hAnsi="Palatino Linotype"/>
                <w:b w:val="1"/>
                <w:sz w:val="20"/>
                <w:szCs w:val="20"/>
              </w:rPr>
            </w:pP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1B0">
            <w:pPr>
              <w:spacing w:line="276"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Autoridades competentes.</w:t>
            </w:r>
          </w:p>
        </w:tc>
        <w:tc>
          <w:tcPr>
            <w:shd w:fill="auto" w:val="clear"/>
          </w:tcPr>
          <w:p w:rsidR="00000000" w:rsidDel="00000000" w:rsidP="00000000" w:rsidRDefault="00000000" w:rsidRPr="00000000" w14:paraId="000001B2">
            <w:pPr>
              <w:spacing w:line="276"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Pr>
              <w:drawing>
                <wp:inline distB="0" distT="0" distL="0" distR="0">
                  <wp:extent cx="3154575" cy="1279872"/>
                  <wp:effectExtent b="0" l="0" r="0" t="0"/>
                  <wp:docPr id="185" name="image22.png"/>
                  <a:graphic>
                    <a:graphicData uri="http://schemas.openxmlformats.org/drawingml/2006/picture">
                      <pic:pic>
                        <pic:nvPicPr>
                          <pic:cNvPr id="0" name="image22.png"/>
                          <pic:cNvPicPr preferRelativeResize="0"/>
                        </pic:nvPicPr>
                        <pic:blipFill>
                          <a:blip r:embed="rId29"/>
                          <a:srcRect b="0" l="0" r="0" t="0"/>
                          <a:stretch>
                            <a:fillRect/>
                          </a:stretch>
                        </pic:blipFill>
                        <pic:spPr>
                          <a:xfrm>
                            <a:off x="0" y="0"/>
                            <a:ext cx="3154575" cy="1279872"/>
                          </a:xfrm>
                          <a:prstGeom prst="rect"/>
                          <a:ln/>
                        </pic:spPr>
                      </pic:pic>
                    </a:graphicData>
                  </a:graphic>
                </wp:inline>
              </w:drawing>
            </w:r>
            <w:r w:rsidDel="00000000" w:rsidR="00000000" w:rsidRPr="00000000">
              <w:rPr>
                <w:rtl w:val="0"/>
              </w:rPr>
            </w:r>
          </w:p>
          <w:p w:rsidR="00000000" w:rsidDel="00000000" w:rsidP="00000000" w:rsidRDefault="00000000" w:rsidRPr="00000000" w14:paraId="000001B3">
            <w:pPr>
              <w:spacing w:line="276" w:lineRule="auto"/>
              <w:jc w:val="cente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Pr>
              <w:drawing>
                <wp:inline distB="0" distT="0" distL="0" distR="0">
                  <wp:extent cx="3124268" cy="2494137"/>
                  <wp:effectExtent b="0" l="0" r="0" t="0"/>
                  <wp:docPr id="164" name="image21.png"/>
                  <a:graphic>
                    <a:graphicData uri="http://schemas.openxmlformats.org/drawingml/2006/picture">
                      <pic:pic>
                        <pic:nvPicPr>
                          <pic:cNvPr id="0" name="image21.png"/>
                          <pic:cNvPicPr preferRelativeResize="0"/>
                        </pic:nvPicPr>
                        <pic:blipFill>
                          <a:blip r:embed="rId30"/>
                          <a:srcRect b="0" l="0" r="0" t="0"/>
                          <a:stretch>
                            <a:fillRect/>
                          </a:stretch>
                        </pic:blipFill>
                        <pic:spPr>
                          <a:xfrm>
                            <a:off x="0" y="0"/>
                            <a:ext cx="3124268" cy="2494137"/>
                          </a:xfrm>
                          <a:prstGeom prst="rect"/>
                          <a:ln/>
                        </pic:spPr>
                      </pic:pic>
                    </a:graphicData>
                  </a:graphic>
                </wp:inline>
              </w:drawing>
            </w:r>
            <w:r w:rsidDel="00000000" w:rsidR="00000000" w:rsidRPr="00000000">
              <w:rPr>
                <w:rtl w:val="0"/>
              </w:rPr>
            </w:r>
          </w:p>
        </w:tc>
        <w:tc>
          <w:tcPr>
            <w:shd w:fill="auto" w:val="clear"/>
          </w:tcPr>
          <w:p w:rsidR="00000000" w:rsidDel="00000000" w:rsidP="00000000" w:rsidRDefault="00000000" w:rsidRPr="00000000" w14:paraId="000001B4">
            <w:pPr>
              <w:spacing w:line="276" w:lineRule="auto"/>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Si</w:t>
            </w:r>
          </w:p>
        </w:tc>
      </w:tr>
    </w:tbl>
    <w:p w:rsidR="00000000" w:rsidDel="00000000" w:rsidP="00000000" w:rsidRDefault="00000000" w:rsidRPr="00000000" w14:paraId="000001B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B6">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por lo anteriormente expuesto que este Organismo Garante considera pertinente la clasificación como confidencial de la Clave Única de Registro de Población (CURP), Registro Federal de Contribuyentes (RFC), Clave ISSEMYM, clave del servidor público y número de cuenta, no obstante, se logra observar que testa la firma del servidor público, y si bien clasifica la Clave Única de Registro de Población y los descuentos personales, lo cierto es que estos datos se dejaron visibles en algunos comprobantes remitidos tanto en respuesta como en informe justificado, circunstancia por la que se analizará si es procedente su clasificación o no, bajo los siguientes términos: </w:t>
      </w:r>
    </w:p>
    <w:p w:rsidR="00000000" w:rsidDel="00000000" w:rsidP="00000000" w:rsidRDefault="00000000" w:rsidRPr="00000000" w14:paraId="000001B7">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B8">
      <w:pPr>
        <w:spacing w:after="16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Respecto a la </w:t>
      </w:r>
      <w:r w:rsidDel="00000000" w:rsidR="00000000" w:rsidRPr="00000000">
        <w:rPr>
          <w:rFonts w:ascii="Palatino Linotype" w:cs="Palatino Linotype" w:eastAsia="Palatino Linotype" w:hAnsi="Palatino Linotype"/>
          <w:b w:val="1"/>
          <w:sz w:val="22"/>
          <w:szCs w:val="22"/>
          <w:rtl w:val="0"/>
        </w:rPr>
        <w:t xml:space="preserve">firma de servidores públicos contenidas en los recibos de nómina</w:t>
      </w:r>
      <w:r w:rsidDel="00000000" w:rsidR="00000000" w:rsidRPr="00000000">
        <w:rPr>
          <w:rFonts w:ascii="Palatino Linotype" w:cs="Palatino Linotype" w:eastAsia="Palatino Linotype" w:hAnsi="Palatino Linotype"/>
          <w:sz w:val="22"/>
          <w:szCs w:val="22"/>
          <w:rtl w:val="0"/>
        </w:rPr>
        <w:t xml:space="preserve">, cabe precisar que, la firma es considerada un dato personal, al tratarse de información gráfica a través de la cual su titular exterioriza su voluntad en actos públicos y privados; sin embargo, este Instituto considera que, entregar las firmas de los servidores públicos contenidas en los recibos de pago, abona a la transparencia, dado que le da validez al documento.</w:t>
      </w:r>
    </w:p>
    <w:p w:rsidR="00000000" w:rsidDel="00000000" w:rsidP="00000000" w:rsidRDefault="00000000" w:rsidRPr="00000000" w14:paraId="000001B9">
      <w:pPr>
        <w:spacing w:after="16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es así, toda vez que la firma de servidores públicos, vinculada al ejercicio de la función pública es información de naturaleza pública, pues documenta y rinde cuentas sobre el debido ejercicio de sus atribuciones, lo cual acontece en el presente caso, pues garantiza que el servidor público recibió sus remuneraciones quincenales. </w:t>
      </w:r>
    </w:p>
    <w:p w:rsidR="00000000" w:rsidDel="00000000" w:rsidP="00000000" w:rsidRDefault="00000000" w:rsidRPr="00000000" w14:paraId="000001BA">
      <w:pPr>
        <w:spacing w:after="16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La publicidad de dichos datos, se robustece, con el criterio 02/19, emitido por el Instituto Nacional de Transparencia, Acceso a la Información y Protección de Datos Personales, que establece lo siguiente:</w:t>
      </w:r>
    </w:p>
    <w:p w:rsidR="00000000" w:rsidDel="00000000" w:rsidP="00000000" w:rsidRDefault="00000000" w:rsidRPr="00000000" w14:paraId="000001BB">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“Firma y rúbrica de servidores públicos.</w:t>
      </w:r>
      <w:r w:rsidDel="00000000" w:rsidR="00000000" w:rsidRPr="00000000">
        <w:rPr>
          <w:rFonts w:ascii="Palatino Linotype" w:cs="Palatino Linotype" w:eastAsia="Palatino Linotype" w:hAnsi="Palatino Linotype"/>
          <w:i w:val="1"/>
          <w:sz w:val="22"/>
          <w:szCs w:val="22"/>
          <w:rtl w:val="0"/>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rsidR="00000000" w:rsidDel="00000000" w:rsidP="00000000" w:rsidRDefault="00000000" w:rsidRPr="00000000" w14:paraId="000001BC">
      <w:pP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BD">
      <w:pPr>
        <w:spacing w:after="16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Conforme a lo expuesto, en el presente caso, la firma de los servidores públicos guardan el carácter de público y, por lo tanto, no actualiza la causal de clasificación prevista en el artículo 143, fracción I, de la Ley de Transparencia y Acceso a la Información Pública del Estado de México y Municipios.</w:t>
      </w:r>
    </w:p>
    <w:p w:rsidR="00000000" w:rsidDel="00000000" w:rsidP="00000000" w:rsidRDefault="00000000" w:rsidRPr="00000000" w14:paraId="000001BE">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respecto a los </w:t>
      </w:r>
      <w:r w:rsidDel="00000000" w:rsidR="00000000" w:rsidRPr="00000000">
        <w:rPr>
          <w:rFonts w:ascii="Palatino Linotype" w:cs="Palatino Linotype" w:eastAsia="Palatino Linotype" w:hAnsi="Palatino Linotype"/>
          <w:b w:val="1"/>
          <w:sz w:val="22"/>
          <w:szCs w:val="22"/>
          <w:rtl w:val="0"/>
        </w:rPr>
        <w:t xml:space="preserve">descuentos de carácter personal</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señaló en el Acuerdo de Clasificación que las percepciones de los servidores públicos son públicas, no así la forma en que cada uno de éstos desee gastar su dinero, ya que concierne única y exclusivamente a ellos a realizar operaciones a título personal con empresas con las que el Gobierno del Estado celebre convenios o prestaciones para que se hagan descuentos vía nómina, tales como empresas aseguradoras, de crédito y prestamos, servicios funerarios, y algunas otras que fueron dictadas por alguna autoridad, tales como pensiones alimenticias, información que recae en la esfera más íntima de cada servidor público y en caso de darlas a conocer se afectaría, violando la privacidad del servidor público; sin embargo, de la revisión a dichos comprobantes, se advierte que estos datos se dejaron visibles. </w:t>
      </w:r>
    </w:p>
    <w:p w:rsidR="00000000" w:rsidDel="00000000" w:rsidP="00000000" w:rsidRDefault="00000000" w:rsidRPr="00000000" w14:paraId="000001BF">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este modo, y por cuanto hace a las deducciones, para entender los límites y alcances de esta restricción, es oportuno recurrir al artículo 84 de la Ley del Trabajo de los Servidores Públicos del Estado y Municipios:</w:t>
      </w:r>
    </w:p>
    <w:p w:rsidR="00000000" w:rsidDel="00000000" w:rsidP="00000000" w:rsidRDefault="00000000" w:rsidRPr="00000000" w14:paraId="000001C0">
      <w:pPr>
        <w:ind w:left="851" w:right="85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84. </w:t>
      </w:r>
      <w:r w:rsidDel="00000000" w:rsidR="00000000" w:rsidRPr="00000000">
        <w:rPr>
          <w:rFonts w:ascii="Palatino Linotype" w:cs="Palatino Linotype" w:eastAsia="Palatino Linotype" w:hAnsi="Palatino Linotype"/>
          <w:i w:val="1"/>
          <w:sz w:val="22"/>
          <w:szCs w:val="22"/>
          <w:rtl w:val="0"/>
        </w:rPr>
        <w:t xml:space="preserve">Sólo podrán hacerse retenciones, descuentos o deducciones al sueldo de los servidores públicos por concepto de:</w:t>
      </w:r>
      <w:r w:rsidDel="00000000" w:rsidR="00000000" w:rsidRPr="00000000">
        <w:rPr>
          <w:rtl w:val="0"/>
        </w:rPr>
      </w:r>
    </w:p>
    <w:p w:rsidR="00000000" w:rsidDel="00000000" w:rsidP="00000000" w:rsidRDefault="00000000" w:rsidRPr="00000000" w14:paraId="000001C1">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Gravámenes fiscales relacionados con el sueldo;</w:t>
      </w:r>
    </w:p>
    <w:p w:rsidR="00000000" w:rsidDel="00000000" w:rsidP="00000000" w:rsidRDefault="00000000" w:rsidRPr="00000000" w14:paraId="000001C2">
      <w:pPr>
        <w:ind w:left="851" w:right="85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 Deudas contraídas con las instituciones públicas o dependencias por concepto de anticipos de sueldo, pagos hechos con exceso, errores o pérdidas debidamente comprobados;</w:t>
      </w:r>
    </w:p>
    <w:p w:rsidR="00000000" w:rsidDel="00000000" w:rsidP="00000000" w:rsidRDefault="00000000" w:rsidRPr="00000000" w14:paraId="000001C3">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Cuotas sindicales;</w:t>
      </w:r>
    </w:p>
    <w:p w:rsidR="00000000" w:rsidDel="00000000" w:rsidP="00000000" w:rsidRDefault="00000000" w:rsidRPr="00000000" w14:paraId="000001C4">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Cuotas de aportación a fondos para la constitución de cooperativas y de cajas de ahorro, siempre que el servidor público hubiese manifestado previamente, de manera expresa, su conformidad;</w:t>
      </w:r>
    </w:p>
    <w:p w:rsidR="00000000" w:rsidDel="00000000" w:rsidP="00000000" w:rsidRDefault="00000000" w:rsidRPr="00000000" w14:paraId="000001C5">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Descuentos ordenados por el Instituto de Seguridad Social del Estado de México y Municipios, con motivo de cuotas y obligaciones contraídas con éste por los servidores públicos;</w:t>
      </w:r>
    </w:p>
    <w:p w:rsidR="00000000" w:rsidDel="00000000" w:rsidP="00000000" w:rsidRDefault="00000000" w:rsidRPr="00000000" w14:paraId="000001C6">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 Obligaciones a cargo del servidor público con las que haya consentido, derivadas de la adquisición o del uso de habitaciones consideradas como de interés social;</w:t>
      </w:r>
    </w:p>
    <w:p w:rsidR="00000000" w:rsidDel="00000000" w:rsidP="00000000" w:rsidRDefault="00000000" w:rsidRPr="00000000" w14:paraId="000001C7">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 Faltas de puntualidad o de asistencia injustificadas;</w:t>
      </w:r>
    </w:p>
    <w:p w:rsidR="00000000" w:rsidDel="00000000" w:rsidP="00000000" w:rsidRDefault="00000000" w:rsidRPr="00000000" w14:paraId="000001C8">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VIII. Pensiones alimenticias ordenadas por la autoridad judicial;</w:t>
      </w:r>
      <w:r w:rsidDel="00000000" w:rsidR="00000000" w:rsidRPr="00000000">
        <w:rPr>
          <w:rFonts w:ascii="Palatino Linotype" w:cs="Palatino Linotype" w:eastAsia="Palatino Linotype" w:hAnsi="Palatino Linotype"/>
          <w:i w:val="1"/>
          <w:sz w:val="22"/>
          <w:szCs w:val="22"/>
          <w:rtl w:val="0"/>
        </w:rPr>
        <w:t xml:space="preserve"> o</w:t>
      </w:r>
    </w:p>
    <w:p w:rsidR="00000000" w:rsidDel="00000000" w:rsidP="00000000" w:rsidRDefault="00000000" w:rsidRPr="00000000" w14:paraId="000001C9">
      <w:pPr>
        <w:ind w:left="851" w:right="85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IX. Cualquier otro convenido con instituciones de servicios y aceptado por el servidor público.</w:t>
      </w:r>
    </w:p>
    <w:p w:rsidR="00000000" w:rsidDel="00000000" w:rsidP="00000000" w:rsidRDefault="00000000" w:rsidRPr="00000000" w14:paraId="000001CA">
      <w:pPr>
        <w:spacing w:after="120"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(Sic)</w:t>
      </w:r>
    </w:p>
    <w:p w:rsidR="00000000" w:rsidDel="00000000" w:rsidP="00000000" w:rsidRDefault="00000000" w:rsidRPr="00000000" w14:paraId="000001CB">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deudas contraídas con instituciones públicas o créditos adquiridos con instituciones privadas que no se relacionen con el gasto público, son información que debe clasificarse como confidencial.</w:t>
      </w:r>
    </w:p>
    <w:p w:rsidR="00000000" w:rsidDel="00000000" w:rsidP="00000000" w:rsidRDefault="00000000" w:rsidRPr="00000000" w14:paraId="000001CC">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conclusión, los préstamos o descuentos de carácter personal, en virtud de no tener relación con la prestación del servicio y al no involucrar instituciones públicas, se consideran datos confidenciales.</w:t>
      </w:r>
    </w:p>
    <w:p w:rsidR="00000000" w:rsidDel="00000000" w:rsidP="00000000" w:rsidRDefault="00000000" w:rsidRPr="00000000" w14:paraId="000001CD">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CE">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Sin embargo, se reitera que de la revisión a los comprobantes remitidos en respuesta e informe justificado,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fue omiso en clasificar dichos datos, toda vez que dejo visible en algunos recibos, deducciones como Seguros y Descuentos de programas sociales; por lo que, cabe mencionar que existen deducciones que se generan con</w:t>
      </w:r>
      <w:r w:rsidDel="00000000" w:rsidR="00000000" w:rsidRPr="00000000">
        <w:rPr>
          <w:rFonts w:ascii="Palatino Linotype" w:cs="Palatino Linotype" w:eastAsia="Palatino Linotype" w:hAnsi="Palatino Linotype"/>
          <w:b w:val="1"/>
          <w:sz w:val="22"/>
          <w:szCs w:val="22"/>
          <w:rtl w:val="0"/>
        </w:rPr>
        <w:t xml:space="preserve"> motivo de una decisión libre y voluntaria de los servidores públicos</w:t>
      </w:r>
      <w:r w:rsidDel="00000000" w:rsidR="00000000" w:rsidRPr="00000000">
        <w:rPr>
          <w:rFonts w:ascii="Palatino Linotype" w:cs="Palatino Linotype" w:eastAsia="Palatino Linotype" w:hAnsi="Palatino Linotype"/>
          <w:sz w:val="22"/>
          <w:szCs w:val="22"/>
          <w:rtl w:val="0"/>
        </w:rPr>
        <w:t xml:space="preserve">, como son: </w:t>
      </w:r>
      <w:r w:rsidDel="00000000" w:rsidR="00000000" w:rsidRPr="00000000">
        <w:rPr>
          <w:rFonts w:ascii="Palatino Linotype" w:cs="Palatino Linotype" w:eastAsia="Palatino Linotype" w:hAnsi="Palatino Linotype"/>
          <w:b w:val="1"/>
          <w:sz w:val="22"/>
          <w:szCs w:val="22"/>
          <w:u w:val="single"/>
          <w:rtl w:val="0"/>
        </w:rPr>
        <w:t xml:space="preserve">contratar seguros </w:t>
      </w:r>
      <w:r w:rsidDel="00000000" w:rsidR="00000000" w:rsidRPr="00000000">
        <w:rPr>
          <w:rFonts w:ascii="Palatino Linotype" w:cs="Palatino Linotype" w:eastAsia="Palatino Linotype" w:hAnsi="Palatino Linotype"/>
          <w:sz w:val="22"/>
          <w:szCs w:val="22"/>
          <w:rtl w:val="0"/>
        </w:rPr>
        <w:t xml:space="preserve">de vida, de gastos médicos mayores (potenciación) o </w:t>
      </w:r>
      <w:r w:rsidDel="00000000" w:rsidR="00000000" w:rsidRPr="00000000">
        <w:rPr>
          <w:rFonts w:ascii="Palatino Linotype" w:cs="Palatino Linotype" w:eastAsia="Palatino Linotype" w:hAnsi="Palatino Linotype"/>
          <w:b w:val="1"/>
          <w:sz w:val="22"/>
          <w:szCs w:val="22"/>
          <w:u w:val="single"/>
          <w:rtl w:val="0"/>
        </w:rPr>
        <w:t xml:space="preserve">de automóvil</w:t>
      </w:r>
      <w:r w:rsidDel="00000000" w:rsidR="00000000" w:rsidRPr="00000000">
        <w:rPr>
          <w:rFonts w:ascii="Palatino Linotype" w:cs="Palatino Linotype" w:eastAsia="Palatino Linotype" w:hAnsi="Palatino Linotype"/>
          <w:sz w:val="22"/>
          <w:szCs w:val="22"/>
          <w:rtl w:val="0"/>
        </w:rPr>
        <w:t xml:space="preserve">, así como </w:t>
      </w:r>
      <w:r w:rsidDel="00000000" w:rsidR="00000000" w:rsidRPr="00000000">
        <w:rPr>
          <w:rFonts w:ascii="Palatino Linotype" w:cs="Palatino Linotype" w:eastAsia="Palatino Linotype" w:hAnsi="Palatino Linotype"/>
          <w:b w:val="1"/>
          <w:sz w:val="22"/>
          <w:szCs w:val="22"/>
          <w:u w:val="single"/>
          <w:rtl w:val="0"/>
        </w:rPr>
        <w:t xml:space="preserve">descuentos por obras de beneficencia</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1CF">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D0">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consecuencia, este tipo de deducciones son fruto de decisiones que impactan en el patrimonio de un servidor público con la finalidad de obtener un beneficio o cumplir con alguna responsabilidad, conforme a la decisión de un trabajador, mismas que no implican la entrega de recursos con cargo al erario público y tampoco reflejan el ejercicio de una prestación; por el contrario, en dichos casos se trata del libre ejercicio del servidor público para disponer de un ingreso que forma parte de su patrimonio. </w:t>
      </w:r>
    </w:p>
    <w:p w:rsidR="00000000" w:rsidDel="00000000" w:rsidP="00000000" w:rsidRDefault="00000000" w:rsidRPr="00000000" w14:paraId="000001D1">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D2">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Robusteciendo lo anterior, y respecto a los descuentos por concepto del </w:t>
      </w:r>
      <w:r w:rsidDel="00000000" w:rsidR="00000000" w:rsidRPr="00000000">
        <w:rPr>
          <w:rFonts w:ascii="Palatino Linotype" w:cs="Palatino Linotype" w:eastAsia="Palatino Linotype" w:hAnsi="Palatino Linotype"/>
          <w:i w:val="1"/>
          <w:sz w:val="22"/>
          <w:szCs w:val="22"/>
          <w:rtl w:val="0"/>
        </w:rPr>
        <w:t xml:space="preserve">Programa de Desarrollo Social Familias Fuertes Niñez Indígena</w:t>
      </w:r>
      <w:r w:rsidDel="00000000" w:rsidR="00000000" w:rsidRPr="00000000">
        <w:rPr>
          <w:rFonts w:ascii="Palatino Linotype" w:cs="Palatino Linotype" w:eastAsia="Palatino Linotype" w:hAnsi="Palatino Linotype"/>
          <w:sz w:val="22"/>
          <w:szCs w:val="22"/>
          <w:rtl w:val="0"/>
        </w:rPr>
        <w:t xml:space="preserve">, este tiene como propósito contribuir en la disminución de la condición de pobreza y carencia por acceso a la alimentación nutritiva y de calidad de las niñas y niños indígenas, de entre 3 y 15 años de edad; que se encuentren estudiando en escuelas públicas de educación básica en el Estado de México, a través del otorgamiento de canastas alimentarias. Por su parte, las Reglas de operación del Programa señalan: </w:t>
      </w:r>
    </w:p>
    <w:p w:rsidR="00000000" w:rsidDel="00000000" w:rsidP="00000000" w:rsidRDefault="00000000" w:rsidRPr="00000000" w14:paraId="000001D3">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D4">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Monto de los apoyos</w:t>
      </w:r>
      <w:r w:rsidDel="00000000" w:rsidR="00000000" w:rsidRPr="00000000">
        <w:rPr>
          <w:rtl w:val="0"/>
        </w:rPr>
      </w:r>
    </w:p>
    <w:p w:rsidR="00000000" w:rsidDel="00000000" w:rsidP="00000000" w:rsidRDefault="00000000" w:rsidRPr="00000000" w14:paraId="000001D5">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apoyos serán gratuitos y no generarán un costo a las personas beneficiarias</w:t>
      </w:r>
      <w:r w:rsidDel="00000000" w:rsidR="00000000" w:rsidRPr="00000000">
        <w:rPr>
          <w:rFonts w:ascii="Palatino Linotype" w:cs="Palatino Linotype" w:eastAsia="Palatino Linotype" w:hAnsi="Palatino Linotype"/>
          <w:b w:val="1"/>
          <w:i w:val="1"/>
          <w:sz w:val="22"/>
          <w:szCs w:val="22"/>
          <w:u w:val="single"/>
          <w:rtl w:val="0"/>
        </w:rPr>
        <w:t xml:space="preserve">, se financiarán </w:t>
      </w:r>
      <w:r w:rsidDel="00000000" w:rsidR="00000000" w:rsidRPr="00000000">
        <w:rPr>
          <w:rFonts w:ascii="Palatino Linotype" w:cs="Palatino Linotype" w:eastAsia="Palatino Linotype" w:hAnsi="Palatino Linotype"/>
          <w:i w:val="1"/>
          <w:sz w:val="22"/>
          <w:szCs w:val="22"/>
          <w:rtl w:val="0"/>
        </w:rPr>
        <w:t xml:space="preserve">con recursos del Gobierno del Estado de México, a través del Consejo Estatal para el Desarrollo Integral de los Pueblos Indígenas del Estado de México (CEDIPIEM), y </w:t>
      </w:r>
      <w:r w:rsidDel="00000000" w:rsidR="00000000" w:rsidRPr="00000000">
        <w:rPr>
          <w:rFonts w:ascii="Palatino Linotype" w:cs="Palatino Linotype" w:eastAsia="Palatino Linotype" w:hAnsi="Palatino Linotype"/>
          <w:b w:val="1"/>
          <w:i w:val="1"/>
          <w:sz w:val="22"/>
          <w:szCs w:val="22"/>
          <w:u w:val="single"/>
          <w:rtl w:val="0"/>
        </w:rPr>
        <w:t xml:space="preserve">con la aportación de las madrinas y los padrinos</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D6">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D7">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Las aportaciones que realice el Gobierno del Estado de México, se sujetarán al presupuesto autorizado para el ejercicio fiscal correspondiente.</w:t>
      </w:r>
    </w:p>
    <w:p w:rsidR="00000000" w:rsidDel="00000000" w:rsidP="00000000" w:rsidRDefault="00000000" w:rsidRPr="00000000" w14:paraId="000001D8">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D9">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Las aportaciones</w:t>
      </w:r>
      <w:r w:rsidDel="00000000" w:rsidR="00000000" w:rsidRPr="00000000">
        <w:rPr>
          <w:rFonts w:ascii="Palatino Linotype" w:cs="Palatino Linotype" w:eastAsia="Palatino Linotype" w:hAnsi="Palatino Linotype"/>
          <w:b w:val="1"/>
          <w:i w:val="1"/>
          <w:sz w:val="22"/>
          <w:szCs w:val="22"/>
          <w:rtl w:val="0"/>
        </w:rPr>
        <w:t xml:space="preserve"> que otorguen las madrinas y </w:t>
      </w:r>
      <w:r w:rsidDel="00000000" w:rsidR="00000000" w:rsidRPr="00000000">
        <w:rPr>
          <w:rFonts w:ascii="Palatino Linotype" w:cs="Palatino Linotype" w:eastAsia="Palatino Linotype" w:hAnsi="Palatino Linotype"/>
          <w:b w:val="1"/>
          <w:i w:val="1"/>
          <w:sz w:val="22"/>
          <w:szCs w:val="22"/>
          <w:u w:val="single"/>
          <w:rtl w:val="0"/>
        </w:rPr>
        <w:t xml:space="preserve">los padrinos del servicio público, serán mediante descuento vía nómina</w:t>
      </w:r>
      <w:r w:rsidDel="00000000" w:rsidR="00000000" w:rsidRPr="00000000">
        <w:rPr>
          <w:rFonts w:ascii="Palatino Linotype" w:cs="Palatino Linotype" w:eastAsia="Palatino Linotype" w:hAnsi="Palatino Linotype"/>
          <w:i w:val="1"/>
          <w:sz w:val="22"/>
          <w:szCs w:val="22"/>
          <w:rtl w:val="0"/>
        </w:rPr>
        <w:t xml:space="preserve">; para quienes laboren en los Poderes del Estado de México, entidades públicas y organismos autónomos, así como en los ayuntamientos y para las demás personas participantes, será a través de una aportación al CEDIPIEM en los términos que para tal efecto se convengan, y las cuales servirán para cumplir con los fines del programa.</w:t>
      </w:r>
    </w:p>
    <w:p w:rsidR="00000000" w:rsidDel="00000000" w:rsidP="00000000" w:rsidRDefault="00000000" w:rsidRPr="00000000" w14:paraId="000001DA">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DB">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Obligaciones de las madrinas y los padrinos</w:t>
      </w:r>
    </w:p>
    <w:p w:rsidR="00000000" w:rsidDel="00000000" w:rsidP="00000000" w:rsidRDefault="00000000" w:rsidRPr="00000000" w14:paraId="000001DC">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b w:val="1"/>
          <w:i w:val="1"/>
          <w:sz w:val="22"/>
          <w:szCs w:val="22"/>
          <w:u w:val="single"/>
          <w:rtl w:val="0"/>
        </w:rPr>
        <w:t xml:space="preserve">a) Firmar la carta de autorización de descuento vía nómina o la carta de participación en el programa; </w:t>
      </w:r>
    </w:p>
    <w:p w:rsidR="00000000" w:rsidDel="00000000" w:rsidP="00000000" w:rsidRDefault="00000000" w:rsidRPr="00000000" w14:paraId="000001DD">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b) Realizar oportunamente su aportación monetaria; y</w:t>
      </w:r>
    </w:p>
    <w:p w:rsidR="00000000" w:rsidDel="00000000" w:rsidP="00000000" w:rsidRDefault="00000000" w:rsidRPr="00000000" w14:paraId="000001DE">
      <w:pPr>
        <w:pBdr>
          <w:top w:space="0" w:sz="0" w:val="nil"/>
          <w:left w:space="0" w:sz="0" w:val="nil"/>
          <w:bottom w:space="0" w:sz="0" w:val="nil"/>
          <w:right w:space="0" w:sz="0" w:val="nil"/>
          <w:between w:space="0" w:sz="0" w:val="nil"/>
        </w:pBd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 Las demás que determine la instancia normativa”</w:t>
      </w:r>
    </w:p>
    <w:p w:rsidR="00000000" w:rsidDel="00000000" w:rsidP="00000000" w:rsidRDefault="00000000" w:rsidRPr="00000000" w14:paraId="000001DF">
      <w:pPr>
        <w:pBdr>
          <w:top w:space="0" w:sz="0" w:val="nil"/>
          <w:left w:space="0" w:sz="0" w:val="nil"/>
          <w:bottom w:space="0" w:sz="0" w:val="nil"/>
          <w:right w:space="0" w:sz="0" w:val="nil"/>
          <w:between w:space="0" w:sz="0" w:val="nil"/>
        </w:pBdr>
        <w:ind w:left="1134" w:right="758"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E0">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lo anterior, se puede advertir que las aportaciones que otorguen las madrinas y los padrinos del servicio público, serán mediante descuento vía nómina; de modo que, el servidor público deberá firmar la carta de autorización de descuento o la carta de participación en el programa; por lo que, dicho dato debió ser clasificado como confidencial, toda vez que, dichas deducciones reflejan el destino que un servidor público da a su patrimonio. Por lo tanto, resulta procedente clasificar estos datos en términos del artículo 143, fracción I de la Ley de Transparencia y Acceso a la Información Pública del Estado de México y Municipios.</w:t>
      </w:r>
    </w:p>
    <w:p w:rsidR="00000000" w:rsidDel="00000000" w:rsidP="00000000" w:rsidRDefault="00000000" w:rsidRPr="00000000" w14:paraId="000001E1">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E2">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bookmarkStart w:colFirst="0" w:colLast="0" w:name="_heading=h.4d34og8" w:id="8"/>
      <w:bookmarkEnd w:id="8"/>
      <w:r w:rsidDel="00000000" w:rsidR="00000000" w:rsidRPr="00000000">
        <w:rPr>
          <w:rFonts w:ascii="Palatino Linotype" w:cs="Palatino Linotype" w:eastAsia="Palatino Linotype" w:hAnsi="Palatino Linotype"/>
          <w:sz w:val="22"/>
          <w:szCs w:val="22"/>
          <w:rtl w:val="0"/>
        </w:rPr>
        <w:t xml:space="preserve">Ahora bien, respecto a la temporalidad solicitada,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hizo entrega de algunos comprobantes de pago de los meses de enero a agosto de dos mil veinticuatro, sin embargo estos se encuentran incompletos, dado que del cuadro de análisis insertado en párrafos que anteceden, no hizo entrega de los recibos de todo el personal adscrito al Órgano Interno de Control; aunado a que, de los remitidos, estos se encuentran en una incorrecta versión pública; por lo que, este Organismo Garante determina que los agravios hechos valer por el particular en su recurso de revisión devienen parcialmente fundados y, por ende, resulta procedente </w:t>
      </w:r>
      <w:r w:rsidDel="00000000" w:rsidR="00000000" w:rsidRPr="00000000">
        <w:rPr>
          <w:rFonts w:ascii="Palatino Linotype" w:cs="Palatino Linotype" w:eastAsia="Palatino Linotype" w:hAnsi="Palatino Linotype"/>
          <w:b w:val="1"/>
          <w:sz w:val="22"/>
          <w:szCs w:val="22"/>
          <w:rtl w:val="0"/>
        </w:rPr>
        <w:t xml:space="preserve">modificar </w:t>
      </w:r>
      <w:r w:rsidDel="00000000" w:rsidR="00000000" w:rsidRPr="00000000">
        <w:rPr>
          <w:rFonts w:ascii="Palatino Linotype" w:cs="Palatino Linotype" w:eastAsia="Palatino Linotype" w:hAnsi="Palatino Linotype"/>
          <w:sz w:val="22"/>
          <w:szCs w:val="22"/>
          <w:rtl w:val="0"/>
        </w:rPr>
        <w:t xml:space="preserve">la respuesta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y ordenar</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la entrega, vía Sistema de Acceso a la Información Mexiquense, de los </w:t>
      </w:r>
      <w:r w:rsidDel="00000000" w:rsidR="00000000" w:rsidRPr="00000000">
        <w:rPr>
          <w:rFonts w:ascii="Palatino Linotype" w:cs="Palatino Linotype" w:eastAsia="Palatino Linotype" w:hAnsi="Palatino Linotype"/>
          <w:b w:val="1"/>
          <w:sz w:val="22"/>
          <w:szCs w:val="22"/>
          <w:rtl w:val="0"/>
        </w:rPr>
        <w:t xml:space="preserve">recibos de nómina de los servidores públicos adscritos al Órgano Interno de Control de la Junta de Caminos del Estado de México remitidos en respuesta, en una correcta versión pública; </w:t>
      </w:r>
      <w:r w:rsidDel="00000000" w:rsidR="00000000" w:rsidRPr="00000000">
        <w:rPr>
          <w:rFonts w:ascii="Palatino Linotype" w:cs="Palatino Linotype" w:eastAsia="Palatino Linotype" w:hAnsi="Palatino Linotype"/>
          <w:sz w:val="22"/>
          <w:szCs w:val="22"/>
          <w:rtl w:val="0"/>
        </w:rPr>
        <w:t xml:space="preserve">así como,</w:t>
      </w:r>
      <w:r w:rsidDel="00000000" w:rsidR="00000000" w:rsidRPr="00000000">
        <w:rPr>
          <w:rFonts w:ascii="Palatino Linotype" w:cs="Palatino Linotype" w:eastAsia="Palatino Linotype" w:hAnsi="Palatino Linotype"/>
          <w:b w:val="1"/>
          <w:sz w:val="22"/>
          <w:szCs w:val="22"/>
          <w:rtl w:val="0"/>
        </w:rPr>
        <w:t xml:space="preserve"> los recibos de nómina de los servidores públicos adscritos al Órgano Interno de Control de la Junta de Caminos del Estado de México faltantes, en versión pública, de la primera quincena de enero a la segunda quincena de agosto de dos mil veinticuatro. </w:t>
      </w:r>
      <w:r w:rsidDel="00000000" w:rsidR="00000000" w:rsidRPr="00000000">
        <w:rPr>
          <w:rtl w:val="0"/>
        </w:rPr>
      </w:r>
    </w:p>
    <w:p w:rsidR="00000000" w:rsidDel="00000000" w:rsidP="00000000" w:rsidRDefault="00000000" w:rsidRPr="00000000" w14:paraId="000001E3">
      <w:pPr>
        <w:tabs>
          <w:tab w:val="left" w:leader="none" w:pos="426"/>
        </w:tabs>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E4">
      <w:pPr>
        <w:tabs>
          <w:tab w:val="left" w:leader="none" w:pos="426"/>
        </w:tabs>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último, es de mencionar que, de la respuesta otorgada por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se advierte que expuso datos personales que debieron ser protegidos como la Clave Única de Registro de Población (CURP) y descuentos de carácter personal de algunos servidores públicos. Bajo este contexto, resulta procedente girar oficio al Titular de la Dirección General de Protección de Datos Personales, en atención al artículo 82, fracción XXVII de la Ley de Protección de Datos Personales del Estado de México y Municipios a fin de que determine lo conducente. </w:t>
      </w:r>
    </w:p>
    <w:p w:rsidR="00000000" w:rsidDel="00000000" w:rsidP="00000000" w:rsidRDefault="00000000" w:rsidRPr="00000000" w14:paraId="000001E5">
      <w:pPr>
        <w:pBdr>
          <w:top w:space="0" w:sz="0" w:val="nil"/>
          <w:left w:space="0" w:sz="0" w:val="nil"/>
          <w:bottom w:space="0" w:sz="0" w:val="nil"/>
          <w:right w:space="0" w:sz="0" w:val="nil"/>
          <w:between w:space="0" w:sz="0" w:val="nil"/>
        </w:pBd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Quinto. Versión Pública. </w:t>
      </w:r>
      <w:r w:rsidDel="00000000" w:rsidR="00000000" w:rsidRPr="00000000">
        <w:rPr>
          <w:rFonts w:ascii="Palatino Linotype" w:cs="Palatino Linotype" w:eastAsia="Palatino Linotype" w:hAnsi="Palatino Linotype"/>
          <w:sz w:val="22"/>
          <w:szCs w:val="22"/>
          <w:rtl w:val="0"/>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tendrá que hacer la elaboración de una versión pública de los documentos que vaya entregar para dar cumplimiento a esta resolución, a fin de satisfacer el derecho de acceso a la información pública de la recurrente sin menoscabar el derecho a la protección de los datos personales de terceros, lo anterior, de conformidad a lo que señalan los artículos 3, fracciones IX, XX, XXXII, XLV; 6, 137 y 143 fracción I, de la Ley de Transparencia y Acceso a la Información Pública del Estado de México y Municipios vigente, los cuales establecen lo siguiente:</w:t>
      </w:r>
    </w:p>
    <w:p w:rsidR="00000000" w:rsidDel="00000000" w:rsidP="00000000" w:rsidRDefault="00000000" w:rsidRPr="00000000" w14:paraId="000001E6">
      <w:pPr>
        <w:tabs>
          <w:tab w:val="left" w:leader="none" w:pos="709"/>
        </w:tabs>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w:t>
      </w:r>
      <w:r w:rsidDel="00000000" w:rsidR="00000000" w:rsidRPr="00000000">
        <w:rPr>
          <w:rFonts w:ascii="Palatino Linotype" w:cs="Palatino Linotype" w:eastAsia="Palatino Linotype" w:hAnsi="Palatino Linotype"/>
          <w:i w:val="1"/>
          <w:sz w:val="22"/>
          <w:szCs w:val="22"/>
          <w:rtl w:val="0"/>
        </w:rPr>
        <w:t xml:space="preserve"> Para los efectos de la presente Ley se entenderá por:…</w:t>
      </w:r>
    </w:p>
    <w:p w:rsidR="00000000" w:rsidDel="00000000" w:rsidP="00000000" w:rsidRDefault="00000000" w:rsidRPr="00000000" w14:paraId="000001E7">
      <w:pPr>
        <w:tabs>
          <w:tab w:val="left" w:leader="none" w:pos="709"/>
        </w:tabs>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w:t>
      </w:r>
      <w:r w:rsidDel="00000000" w:rsidR="00000000" w:rsidRPr="00000000">
        <w:rPr>
          <w:rFonts w:ascii="Palatino Linotype" w:cs="Palatino Linotype" w:eastAsia="Palatino Linotype" w:hAnsi="Palatino Linotype"/>
          <w:i w:val="1"/>
          <w:sz w:val="22"/>
          <w:szCs w:val="22"/>
          <w:rtl w:val="0"/>
        </w:rPr>
        <w:t xml:space="preserve"> Información clasificada: Aquella considerada por la presente Ley como reservada o confidencial; </w:t>
      </w:r>
    </w:p>
    <w:p w:rsidR="00000000" w:rsidDel="00000000" w:rsidP="00000000" w:rsidRDefault="00000000" w:rsidRPr="00000000" w14:paraId="000001E8">
      <w:pPr>
        <w:tabs>
          <w:tab w:val="left" w:leader="none" w:pos="709"/>
        </w:tabs>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XXI.</w:t>
      </w:r>
      <w:r w:rsidDel="00000000" w:rsidR="00000000" w:rsidRPr="00000000">
        <w:rPr>
          <w:rFonts w:ascii="Palatino Linotype" w:cs="Palatino Linotype" w:eastAsia="Palatino Linotype" w:hAnsi="Palatino Linotype"/>
          <w:i w:val="1"/>
          <w:sz w:val="22"/>
          <w:szCs w:val="22"/>
          <w:rtl w:val="0"/>
        </w:rPr>
        <w:t xml:space="preserve">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000000" w:rsidDel="00000000" w:rsidP="00000000" w:rsidRDefault="00000000" w:rsidRPr="00000000" w14:paraId="000001E9">
      <w:pPr>
        <w:tabs>
          <w:tab w:val="left" w:leader="none" w:pos="709"/>
        </w:tabs>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EA">
      <w:pPr>
        <w:tabs>
          <w:tab w:val="left" w:leader="none" w:pos="709"/>
        </w:tabs>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XXXIV</w:t>
      </w:r>
      <w:r w:rsidDel="00000000" w:rsidR="00000000" w:rsidRPr="00000000">
        <w:rPr>
          <w:rFonts w:ascii="Palatino Linotype" w:cs="Palatino Linotype" w:eastAsia="Palatino Linotype" w:hAnsi="Palatino Linotype"/>
          <w:i w:val="1"/>
          <w:sz w:val="22"/>
          <w:szCs w:val="22"/>
          <w:rtl w:val="0"/>
        </w:rPr>
        <w:t xml:space="preserve">. Prueba de interés público: Es el proceso de ponderación entre el beneficio que reporta dar a conocer la información confidencial solicitada contra el daño que su divulgación genera en los derechos de las personas, llevado a cabo por el Instituto en el ámbito de sus respectivas competencias</w:t>
      </w:r>
    </w:p>
    <w:p w:rsidR="00000000" w:rsidDel="00000000" w:rsidP="00000000" w:rsidRDefault="00000000" w:rsidRPr="00000000" w14:paraId="000001EB">
      <w:pPr>
        <w:tabs>
          <w:tab w:val="left" w:leader="none" w:pos="709"/>
        </w:tabs>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EC">
      <w:pPr>
        <w:tabs>
          <w:tab w:val="left" w:leader="none" w:pos="709"/>
        </w:tabs>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XLV.</w:t>
      </w:r>
      <w:r w:rsidDel="00000000" w:rsidR="00000000" w:rsidRPr="00000000">
        <w:rPr>
          <w:rFonts w:ascii="Palatino Linotype" w:cs="Palatino Linotype" w:eastAsia="Palatino Linotype" w:hAnsi="Palatino Linotype"/>
          <w:i w:val="1"/>
          <w:sz w:val="22"/>
          <w:szCs w:val="22"/>
          <w:rtl w:val="0"/>
        </w:rPr>
        <w:t xml:space="preserve"> Versión pública: Documento en el que se elimine, suprime o borra la información clasificada como reservada o confidencial para permitir su acceso</w:t>
      </w:r>
    </w:p>
    <w:p w:rsidR="00000000" w:rsidDel="00000000" w:rsidP="00000000" w:rsidRDefault="00000000" w:rsidRPr="00000000" w14:paraId="000001ED">
      <w:pPr>
        <w:tabs>
          <w:tab w:val="left" w:leader="none" w:pos="709"/>
        </w:tabs>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91.</w:t>
      </w:r>
      <w:r w:rsidDel="00000000" w:rsidR="00000000" w:rsidRPr="00000000">
        <w:rPr>
          <w:rFonts w:ascii="Palatino Linotype" w:cs="Palatino Linotype" w:eastAsia="Palatino Linotype" w:hAnsi="Palatino Linotype"/>
          <w:i w:val="1"/>
          <w:sz w:val="22"/>
          <w:szCs w:val="22"/>
          <w:rtl w:val="0"/>
        </w:rPr>
        <w:t xml:space="preserve"> El acceso a la información pública será restringido excepcionalmente, cuando ésta sea clasificada como reservada o confidencial.</w:t>
      </w:r>
    </w:p>
    <w:p w:rsidR="00000000" w:rsidDel="00000000" w:rsidP="00000000" w:rsidRDefault="00000000" w:rsidRPr="00000000" w14:paraId="000001EE">
      <w:pPr>
        <w:tabs>
          <w:tab w:val="left" w:leader="none" w:pos="709"/>
        </w:tabs>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122.</w:t>
      </w:r>
      <w:r w:rsidDel="00000000" w:rsidR="00000000" w:rsidRPr="00000000">
        <w:rPr>
          <w:rFonts w:ascii="Palatino Linotype" w:cs="Palatino Linotype" w:eastAsia="Palatino Linotype" w:hAnsi="Palatino Linotype"/>
          <w:i w:val="1"/>
          <w:sz w:val="22"/>
          <w:szCs w:val="22"/>
          <w:rtl w:val="0"/>
        </w:rPr>
        <w:t xml:space="preserve"> La clasificación es el proceso mediante el cual el sujeto obligado determina que la información en su poder actualiza alguno de los supuestos de reserva o confidencialidad, de conformidad con lo dispuesto en el presente título.</w:t>
      </w:r>
    </w:p>
    <w:p w:rsidR="00000000" w:rsidDel="00000000" w:rsidP="00000000" w:rsidRDefault="00000000" w:rsidRPr="00000000" w14:paraId="000001EF">
      <w:pPr>
        <w:tabs>
          <w:tab w:val="left" w:leader="none" w:pos="709"/>
        </w:tabs>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supuestos de reserva o confidencialidad previstos en las leyes deberán ser acordes con las bases, principios y disposiciones establecidos en la Ley General y, en ningún caso, podrán contravenirla.</w:t>
      </w:r>
    </w:p>
    <w:p w:rsidR="00000000" w:rsidDel="00000000" w:rsidP="00000000" w:rsidRDefault="00000000" w:rsidRPr="00000000" w14:paraId="000001F0">
      <w:pPr>
        <w:tabs>
          <w:tab w:val="left" w:leader="none" w:pos="709"/>
        </w:tabs>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titulares de las áreas de los sujetos obligados serán los responsables de clasificar la información, de conformidad con lo dispuesto en la presente Ley y demás disposiciones jurídicas aplicables</w:t>
      </w:r>
    </w:p>
    <w:p w:rsidR="00000000" w:rsidDel="00000000" w:rsidP="00000000" w:rsidRDefault="00000000" w:rsidRPr="00000000" w14:paraId="000001F1">
      <w:pPr>
        <w:tabs>
          <w:tab w:val="left" w:leader="none" w:pos="709"/>
        </w:tabs>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135.</w:t>
      </w:r>
      <w:r w:rsidDel="00000000" w:rsidR="00000000" w:rsidRPr="00000000">
        <w:rPr>
          <w:rFonts w:ascii="Palatino Linotype" w:cs="Palatino Linotype" w:eastAsia="Palatino Linotype" w:hAnsi="Palatino Linotype"/>
          <w:i w:val="1"/>
          <w:sz w:val="22"/>
          <w:szCs w:val="22"/>
          <w:rtl w:val="0"/>
        </w:rPr>
        <w:t xml:space="preserve"> Los lineamientos generales que se emitan al respecto en materia de clasificación de la información reservada y confidencial y, para la elaboración de versiones públicas, serán de observancia obligatoria para los sujetos obligados.</w:t>
      </w:r>
    </w:p>
    <w:p w:rsidR="00000000" w:rsidDel="00000000" w:rsidP="00000000" w:rsidRDefault="00000000" w:rsidRPr="00000000" w14:paraId="000001F2">
      <w:pPr>
        <w:tabs>
          <w:tab w:val="left" w:leader="none" w:pos="709"/>
        </w:tabs>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000000" w:rsidDel="00000000" w:rsidP="00000000" w:rsidRDefault="00000000" w:rsidRPr="00000000" w14:paraId="000001F3">
      <w:pPr>
        <w:tabs>
          <w:tab w:val="left" w:leader="none" w:pos="709"/>
        </w:tabs>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143</w:t>
      </w:r>
      <w:r w:rsidDel="00000000" w:rsidR="00000000" w:rsidRPr="00000000">
        <w:rPr>
          <w:rFonts w:ascii="Palatino Linotype" w:cs="Palatino Linotype" w:eastAsia="Palatino Linotype" w:hAnsi="Palatino Linotype"/>
          <w:i w:val="1"/>
          <w:sz w:val="22"/>
          <w:szCs w:val="22"/>
          <w:rtl w:val="0"/>
        </w:rPr>
        <w:t xml:space="preserve">. Para los efectos de esta Ley se considera información confidencial, la clasificada como tal, de manera permanente, por su naturaleza, cuando:</w:t>
      </w:r>
    </w:p>
    <w:p w:rsidR="00000000" w:rsidDel="00000000" w:rsidP="00000000" w:rsidRDefault="00000000" w:rsidRPr="00000000" w14:paraId="000001F4">
      <w:pPr>
        <w:tabs>
          <w:tab w:val="left" w:leader="none" w:pos="709"/>
        </w:tabs>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 Se refiera a la información privada y los datos personales concernientes a una persona física o jurídica colectiva identificada o identificable; </w:t>
      </w:r>
    </w:p>
    <w:p w:rsidR="00000000" w:rsidDel="00000000" w:rsidP="00000000" w:rsidRDefault="00000000" w:rsidRPr="00000000" w14:paraId="000001F5">
      <w:pPr>
        <w:tabs>
          <w:tab w:val="left" w:leader="none" w:pos="709"/>
        </w:tabs>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Los secretos bancario, fiduciario, industrial, comercial, fiscal, bursátil y postal, cuya titularidad corresponda a particulares, sujetos de derecho internacional o a sujetos obligados cuando no involucren el ejercicio de recursos públicos; y </w:t>
      </w:r>
    </w:p>
    <w:p w:rsidR="00000000" w:rsidDel="00000000" w:rsidP="00000000" w:rsidRDefault="00000000" w:rsidRPr="00000000" w14:paraId="000001F6">
      <w:pPr>
        <w:tabs>
          <w:tab w:val="left" w:leader="none" w:pos="709"/>
        </w:tabs>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La que presenten los particulares a los sujetos obligados, de conformidad con lo dispuesto por las leyes o los tratados internacionales.</w:t>
      </w:r>
    </w:p>
    <w:p w:rsidR="00000000" w:rsidDel="00000000" w:rsidP="00000000" w:rsidRDefault="00000000" w:rsidRPr="00000000" w14:paraId="000001F7">
      <w:pPr>
        <w:tabs>
          <w:tab w:val="left" w:leader="none" w:pos="709"/>
        </w:tabs>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información confidencial no estará sujeta a temporalidad alguna y sólo podrán tener acceso a ella los titulares de la misma, sus representantes y los servidores públicos facultados para ello.</w:t>
      </w:r>
    </w:p>
    <w:p w:rsidR="00000000" w:rsidDel="00000000" w:rsidP="00000000" w:rsidRDefault="00000000" w:rsidRPr="00000000" w14:paraId="000001F8">
      <w:pPr>
        <w:tabs>
          <w:tab w:val="left" w:leader="none" w:pos="709"/>
        </w:tabs>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No se considerará confidencial la información que se encuentre en los registros públicos o en fuentes de acceso público, ni tampoco la que sea considerada por la presente ley como información pública.</w:t>
      </w:r>
    </w:p>
    <w:p w:rsidR="00000000" w:rsidDel="00000000" w:rsidP="00000000" w:rsidRDefault="00000000" w:rsidRPr="00000000" w14:paraId="000001F9">
      <w:pPr>
        <w:tabs>
          <w:tab w:val="left" w:leader="none" w:pos="709"/>
        </w:tabs>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147. Para que los sujetos obligados puedan permitir el acceso a información confidencial requieren obtener el consentimiento de los particulares titulares de la información.</w:t>
      </w:r>
    </w:p>
    <w:p w:rsidR="00000000" w:rsidDel="00000000" w:rsidP="00000000" w:rsidRDefault="00000000" w:rsidRPr="00000000" w14:paraId="000001FA">
      <w:pPr>
        <w:tabs>
          <w:tab w:val="left" w:leader="none" w:pos="709"/>
        </w:tabs>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148.</w:t>
      </w:r>
      <w:r w:rsidDel="00000000" w:rsidR="00000000" w:rsidRPr="00000000">
        <w:rPr>
          <w:rFonts w:ascii="Palatino Linotype" w:cs="Palatino Linotype" w:eastAsia="Palatino Linotype" w:hAnsi="Palatino Linotype"/>
          <w:i w:val="1"/>
          <w:sz w:val="22"/>
          <w:szCs w:val="22"/>
          <w:rtl w:val="0"/>
        </w:rPr>
        <w:t xml:space="preserve"> No se requerirá el consentimiento del titular de la información confidencial cuando:</w:t>
      </w:r>
    </w:p>
    <w:p w:rsidR="00000000" w:rsidDel="00000000" w:rsidP="00000000" w:rsidRDefault="00000000" w:rsidRPr="00000000" w14:paraId="000001FB">
      <w:pPr>
        <w:tabs>
          <w:tab w:val="left" w:leader="none" w:pos="709"/>
        </w:tabs>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La información se encuentre en registros públicos o fuentes de acceso público;</w:t>
      </w:r>
    </w:p>
    <w:p w:rsidR="00000000" w:rsidDel="00000000" w:rsidP="00000000" w:rsidRDefault="00000000" w:rsidRPr="00000000" w14:paraId="000001FC">
      <w:pPr>
        <w:tabs>
          <w:tab w:val="left" w:leader="none" w:pos="709"/>
        </w:tabs>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Por Ley tenga el carácter de pública;</w:t>
      </w:r>
    </w:p>
    <w:p w:rsidR="00000000" w:rsidDel="00000000" w:rsidP="00000000" w:rsidRDefault="00000000" w:rsidRPr="00000000" w14:paraId="000001FD">
      <w:pPr>
        <w:tabs>
          <w:tab w:val="left" w:leader="none" w:pos="709"/>
        </w:tabs>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Exista una orden judicial;</w:t>
      </w:r>
    </w:p>
    <w:p w:rsidR="00000000" w:rsidDel="00000000" w:rsidP="00000000" w:rsidRDefault="00000000" w:rsidRPr="00000000" w14:paraId="000001FE">
      <w:pPr>
        <w:tabs>
          <w:tab w:val="left" w:leader="none" w:pos="709"/>
        </w:tabs>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w:t>
      </w:r>
      <w:r w:rsidDel="00000000" w:rsidR="00000000" w:rsidRPr="00000000">
        <w:rPr>
          <w:rFonts w:ascii="Palatino Linotype" w:cs="Palatino Linotype" w:eastAsia="Palatino Linotype" w:hAnsi="Palatino Linotype"/>
          <w:i w:val="1"/>
          <w:sz w:val="22"/>
          <w:szCs w:val="22"/>
          <w:rtl w:val="0"/>
        </w:rPr>
        <w:t xml:space="preserve"> Por razones de seguridad pública, o para proteger los derechos de terceros, se requiera su publicación; o</w:t>
      </w:r>
    </w:p>
    <w:p w:rsidR="00000000" w:rsidDel="00000000" w:rsidP="00000000" w:rsidRDefault="00000000" w:rsidRPr="00000000" w14:paraId="000001FF">
      <w:pPr>
        <w:tabs>
          <w:tab w:val="left" w:leader="none" w:pos="709"/>
        </w:tabs>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w:t>
      </w:r>
      <w:r w:rsidDel="00000000" w:rsidR="00000000" w:rsidRPr="00000000">
        <w:rPr>
          <w:rFonts w:ascii="Palatino Linotype" w:cs="Palatino Linotype" w:eastAsia="Palatino Linotype" w:hAnsi="Palatino Linotype"/>
          <w:i w:val="1"/>
          <w:sz w:val="22"/>
          <w:szCs w:val="22"/>
          <w:rtl w:val="0"/>
        </w:rPr>
        <w:t xml:space="preserve"> Cuando se transmita entre sujetos obligados y entre éstos y los sujetos de derecho internacional, en términos de los tratados y los acuerdos interinstitucionales, siempre y cuando la información se utilice para el ejercicio de facultades propias de los mismos. Para efectos de la fracción I del presente artículo, deberá sujetarse a lo previsto en las disposiciones jurídicas aplicables.</w:t>
      </w:r>
    </w:p>
    <w:p w:rsidR="00000000" w:rsidDel="00000000" w:rsidP="00000000" w:rsidRDefault="00000000" w:rsidRPr="00000000" w14:paraId="00000200">
      <w:pPr>
        <w:tabs>
          <w:tab w:val="left" w:leader="none" w:pos="709"/>
        </w:tabs>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Para efectos de la fracción IV del presente artículo, el Instituto deberá aplicar la prueba de interés público. Además, se deberá corroborar una conexión patente entre la información confidencial y un tema de interés público y la proporcionalidad entre la invasión a la intimidad ocasionada por la divulgación de la información confidencial y el interés público de la información. </w:t>
      </w:r>
    </w:p>
    <w:p w:rsidR="00000000" w:rsidDel="00000000" w:rsidP="00000000" w:rsidRDefault="00000000" w:rsidRPr="00000000" w14:paraId="00000201">
      <w:pPr>
        <w:tabs>
          <w:tab w:val="left" w:leader="none" w:pos="709"/>
        </w:tabs>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149.</w:t>
      </w:r>
      <w:r w:rsidDel="00000000" w:rsidR="00000000" w:rsidRPr="00000000">
        <w:rPr>
          <w:rFonts w:ascii="Palatino Linotype" w:cs="Palatino Linotype" w:eastAsia="Palatino Linotype" w:hAnsi="Palatino Linotype"/>
          <w:i w:val="1"/>
          <w:sz w:val="22"/>
          <w:szCs w:val="22"/>
          <w:rtl w:val="0"/>
        </w:rPr>
        <w:t xml:space="preserve"> El acuerdo que clasifique la información como confidencial deberá contener un razonamiento lógico en el que demuestre que la información se encuentra en alguna o algunas de las hipótesis previstas en la presente Ley.” (Sic)</w:t>
      </w:r>
    </w:p>
    <w:p w:rsidR="00000000" w:rsidDel="00000000" w:rsidP="00000000" w:rsidRDefault="00000000" w:rsidRPr="00000000" w14:paraId="00000202">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0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los artículos transcritos anteriormente, se observan las excepciones que tiene el derecho de acceso a la información pública, respecto a algunos tipos de información, lo cual restringe su acceso, precisando de manera clara las hipótesis que dan lugar a clasificar la información, la cual puede ser de dos maneras: Reservada o Confidencial.</w:t>
      </w:r>
    </w:p>
    <w:p w:rsidR="00000000" w:rsidDel="00000000" w:rsidP="00000000" w:rsidRDefault="00000000" w:rsidRPr="00000000" w14:paraId="0000020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0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otras palabras, la información confidencial será cuando por su naturaleza, contenga datos personales concernientes a una persona física o jurídico colectiva identificada o identificable, los secretos bancario, fiduciario, industrial, comercial, fiscal, bursátil y postal, cuya titularidad corresponda a particulares, sujetos de derecho internacional o a Sujetos Obligados cuando no involucren el ejercicio de recursos públicos y la que presenten los particulares a los Sujetos Obligados, de conformidad con lo dispuesto por las leyes o los tratados internacionales.</w:t>
      </w:r>
    </w:p>
    <w:p w:rsidR="00000000" w:rsidDel="00000000" w:rsidP="00000000" w:rsidRDefault="00000000" w:rsidRPr="00000000" w14:paraId="0000020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0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igual forma, para el caso de la información confidencial se aprecia, que se establece un procedimiento para clasificar la información como confidencial, mediante el cual se fundamentará y motivará la necesidad de clasificar la información, en el que se precisen los motivos que obliguen a la clasificación; lo que se consolida con lo señalado por el artículo 168 de la Ley en la Materia, que señala:</w:t>
      </w:r>
    </w:p>
    <w:p w:rsidR="00000000" w:rsidDel="00000000" w:rsidP="00000000" w:rsidRDefault="00000000" w:rsidRPr="00000000" w14:paraId="0000020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09">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168</w:t>
      </w:r>
      <w:r w:rsidDel="00000000" w:rsidR="00000000" w:rsidRPr="00000000">
        <w:rPr>
          <w:rFonts w:ascii="Palatino Linotype" w:cs="Palatino Linotype" w:eastAsia="Palatino Linotype" w:hAnsi="Palatino Linotype"/>
          <w:i w:val="1"/>
          <w:sz w:val="22"/>
          <w:szCs w:val="22"/>
          <w:rtl w:val="0"/>
        </w:rPr>
        <w:t xml:space="preserve">. En caso de que los sujetos obligados consideren que los documentos o la información deban ser clasificados, se sujetará a lo siguiente:</w:t>
      </w:r>
    </w:p>
    <w:p w:rsidR="00000000" w:rsidDel="00000000" w:rsidP="00000000" w:rsidRDefault="00000000" w:rsidRPr="00000000" w14:paraId="0000020A">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El Área deberá remitir la solicitud, así como un escrito en el que </w:t>
      </w:r>
      <w:r w:rsidDel="00000000" w:rsidR="00000000" w:rsidRPr="00000000">
        <w:rPr>
          <w:rFonts w:ascii="Palatino Linotype" w:cs="Palatino Linotype" w:eastAsia="Palatino Linotype" w:hAnsi="Palatino Linotype"/>
          <w:b w:val="1"/>
          <w:i w:val="1"/>
          <w:sz w:val="22"/>
          <w:szCs w:val="22"/>
          <w:rtl w:val="0"/>
        </w:rPr>
        <w:t xml:space="preserve">funde y motive la clasificación al Comité de Transparencia</w:t>
      </w:r>
      <w:r w:rsidDel="00000000" w:rsidR="00000000" w:rsidRPr="00000000">
        <w:rPr>
          <w:rFonts w:ascii="Palatino Linotype" w:cs="Palatino Linotype" w:eastAsia="Palatino Linotype" w:hAnsi="Palatino Linotype"/>
          <w:i w:val="1"/>
          <w:sz w:val="22"/>
          <w:szCs w:val="22"/>
          <w:rtl w:val="0"/>
        </w:rPr>
        <w:t xml:space="preserve">, mismo que deberá resolver para:</w:t>
      </w:r>
    </w:p>
    <w:p w:rsidR="00000000" w:rsidDel="00000000" w:rsidP="00000000" w:rsidRDefault="00000000" w:rsidRPr="00000000" w14:paraId="0000020B">
      <w:pPr>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a</w:t>
      </w:r>
      <w:r w:rsidDel="00000000" w:rsidR="00000000" w:rsidRPr="00000000">
        <w:rPr>
          <w:rFonts w:ascii="Palatino Linotype" w:cs="Palatino Linotype" w:eastAsia="Palatino Linotype" w:hAnsi="Palatino Linotype"/>
          <w:b w:val="1"/>
          <w:i w:val="1"/>
          <w:sz w:val="22"/>
          <w:szCs w:val="22"/>
          <w:rtl w:val="0"/>
        </w:rPr>
        <w:t xml:space="preserve">) Confirmar la clasificación;</w:t>
      </w:r>
    </w:p>
    <w:p w:rsidR="00000000" w:rsidDel="00000000" w:rsidP="00000000" w:rsidRDefault="00000000" w:rsidRPr="00000000" w14:paraId="0000020C">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b) Modificar la clasificación y otorgar total o parcialmente el acceso a la información; y c) Revocar la clasificación y conceder el acceso a la información.</w:t>
      </w:r>
    </w:p>
    <w:p w:rsidR="00000000" w:rsidDel="00000000" w:rsidP="00000000" w:rsidRDefault="00000000" w:rsidRPr="00000000" w14:paraId="0000020D">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El Comité de Transparencia podrá tener acceso a la información que esté en poder del Área correspondiente, de la cual se haya solicitado su clasificación; y</w:t>
      </w:r>
    </w:p>
    <w:p w:rsidR="00000000" w:rsidDel="00000000" w:rsidP="00000000" w:rsidRDefault="00000000" w:rsidRPr="00000000" w14:paraId="0000020E">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La resolución del Comité de Transparencia será notificada al interesado en el plazo de respuesta a la solicitud que establece esta Ley.” (Sic)</w:t>
      </w:r>
    </w:p>
    <w:p w:rsidR="00000000" w:rsidDel="00000000" w:rsidP="00000000" w:rsidRDefault="00000000" w:rsidRPr="00000000" w14:paraId="0000020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10">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deberá proceder a testar los datos personales que se encuentren contenidos en los documentos a entregar por parte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rsidR="00000000" w:rsidDel="00000000" w:rsidP="00000000" w:rsidRDefault="00000000" w:rsidRPr="00000000" w14:paraId="00000211">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el caso específico, es criterio reiterado de este Instituto que además de los datos especificados en la Ley de Transparencia y Acceso a la Información Pública del Estado de México y Municipios, se consideran confidenciales y por tanto deben testarse al momento de la elaboración de versiones públicas el </w:t>
      </w:r>
      <w:r w:rsidDel="00000000" w:rsidR="00000000" w:rsidRPr="00000000">
        <w:rPr>
          <w:rFonts w:ascii="Palatino Linotype" w:cs="Palatino Linotype" w:eastAsia="Palatino Linotype" w:hAnsi="Palatino Linotype"/>
          <w:b w:val="1"/>
          <w:sz w:val="22"/>
          <w:szCs w:val="22"/>
          <w:rtl w:val="0"/>
        </w:rPr>
        <w:t xml:space="preserve">Registro Federal de Contribuyentes</w:t>
      </w:r>
      <w:r w:rsidDel="00000000" w:rsidR="00000000" w:rsidRPr="00000000">
        <w:rPr>
          <w:rFonts w:ascii="Palatino Linotype" w:cs="Palatino Linotype" w:eastAsia="Palatino Linotype" w:hAnsi="Palatino Linotype"/>
          <w:sz w:val="22"/>
          <w:szCs w:val="22"/>
          <w:rtl w:val="0"/>
        </w:rPr>
        <w:t xml:space="preserve"> (RFC), la </w:t>
      </w:r>
      <w:r w:rsidDel="00000000" w:rsidR="00000000" w:rsidRPr="00000000">
        <w:rPr>
          <w:rFonts w:ascii="Palatino Linotype" w:cs="Palatino Linotype" w:eastAsia="Palatino Linotype" w:hAnsi="Palatino Linotype"/>
          <w:b w:val="1"/>
          <w:sz w:val="22"/>
          <w:szCs w:val="22"/>
          <w:rtl w:val="0"/>
        </w:rPr>
        <w:t xml:space="preserve">Clave Única de Registro de Población</w:t>
      </w:r>
      <w:r w:rsidDel="00000000" w:rsidR="00000000" w:rsidRPr="00000000">
        <w:rPr>
          <w:rFonts w:ascii="Palatino Linotype" w:cs="Palatino Linotype" w:eastAsia="Palatino Linotype" w:hAnsi="Palatino Linotype"/>
          <w:sz w:val="22"/>
          <w:szCs w:val="22"/>
          <w:rtl w:val="0"/>
        </w:rPr>
        <w:t xml:space="preserve"> (CURP) y la </w:t>
      </w:r>
      <w:r w:rsidDel="00000000" w:rsidR="00000000" w:rsidRPr="00000000">
        <w:rPr>
          <w:rFonts w:ascii="Palatino Linotype" w:cs="Palatino Linotype" w:eastAsia="Palatino Linotype" w:hAnsi="Palatino Linotype"/>
          <w:b w:val="1"/>
          <w:sz w:val="22"/>
          <w:szCs w:val="22"/>
          <w:rtl w:val="0"/>
        </w:rPr>
        <w:t xml:space="preserve">Clave de cualquier tipo de seguridad social</w:t>
      </w:r>
      <w:r w:rsidDel="00000000" w:rsidR="00000000" w:rsidRPr="00000000">
        <w:rPr>
          <w:rFonts w:ascii="Palatino Linotype" w:cs="Palatino Linotype" w:eastAsia="Palatino Linotype" w:hAnsi="Palatino Linotype"/>
          <w:sz w:val="22"/>
          <w:szCs w:val="22"/>
          <w:rtl w:val="0"/>
        </w:rPr>
        <w:t xml:space="preserve"> (ISSEMYM, u otros), así como, los </w:t>
      </w:r>
      <w:r w:rsidDel="00000000" w:rsidR="00000000" w:rsidRPr="00000000">
        <w:rPr>
          <w:rFonts w:ascii="Palatino Linotype" w:cs="Palatino Linotype" w:eastAsia="Palatino Linotype" w:hAnsi="Palatino Linotype"/>
          <w:b w:val="1"/>
          <w:sz w:val="22"/>
          <w:szCs w:val="22"/>
          <w:rtl w:val="0"/>
        </w:rPr>
        <w:t xml:space="preserve">préstamos o descuentos</w:t>
      </w:r>
      <w:r w:rsidDel="00000000" w:rsidR="00000000" w:rsidRPr="00000000">
        <w:rPr>
          <w:rFonts w:ascii="Palatino Linotype" w:cs="Palatino Linotype" w:eastAsia="Palatino Linotype" w:hAnsi="Palatino Linotype"/>
          <w:sz w:val="22"/>
          <w:szCs w:val="22"/>
          <w:rtl w:val="0"/>
        </w:rPr>
        <w:t xml:space="preserve"> que se le hagan a la persona y que no tengan relación con los impuestos o la cuota por seguridad social, así el</w:t>
      </w:r>
      <w:r w:rsidDel="00000000" w:rsidR="00000000" w:rsidRPr="00000000">
        <w:rPr>
          <w:rFonts w:ascii="Palatino Linotype" w:cs="Palatino Linotype" w:eastAsia="Palatino Linotype" w:hAnsi="Palatino Linotype"/>
          <w:b w:val="1"/>
          <w:sz w:val="22"/>
          <w:szCs w:val="22"/>
          <w:rtl w:val="0"/>
        </w:rPr>
        <w:t xml:space="preserve"> número de empleado, </w:t>
      </w:r>
      <w:r w:rsidDel="00000000" w:rsidR="00000000" w:rsidRPr="00000000">
        <w:rPr>
          <w:rFonts w:ascii="Palatino Linotype" w:cs="Palatino Linotype" w:eastAsia="Palatino Linotype" w:hAnsi="Palatino Linotype"/>
          <w:sz w:val="22"/>
          <w:szCs w:val="22"/>
          <w:rtl w:val="0"/>
        </w:rPr>
        <w:t xml:space="preserve">así como de ser el caso, el </w:t>
      </w:r>
      <w:r w:rsidDel="00000000" w:rsidR="00000000" w:rsidRPr="00000000">
        <w:rPr>
          <w:rFonts w:ascii="Palatino Linotype" w:cs="Palatino Linotype" w:eastAsia="Palatino Linotype" w:hAnsi="Palatino Linotype"/>
          <w:b w:val="1"/>
          <w:sz w:val="22"/>
          <w:szCs w:val="22"/>
          <w:rtl w:val="0"/>
        </w:rPr>
        <w:t xml:space="preserve">folio fiscal</w:t>
      </w:r>
      <w:r w:rsidDel="00000000" w:rsidR="00000000" w:rsidRPr="00000000">
        <w:rPr>
          <w:rFonts w:ascii="Palatino Linotype" w:cs="Palatino Linotype" w:eastAsia="Palatino Linotype" w:hAnsi="Palatino Linotype"/>
          <w:sz w:val="22"/>
          <w:szCs w:val="22"/>
          <w:rtl w:val="0"/>
        </w:rPr>
        <w:t xml:space="preserve">, la  </w:t>
      </w:r>
      <w:r w:rsidDel="00000000" w:rsidR="00000000" w:rsidRPr="00000000">
        <w:rPr>
          <w:rFonts w:ascii="Palatino Linotype" w:cs="Palatino Linotype" w:eastAsia="Palatino Linotype" w:hAnsi="Palatino Linotype"/>
          <w:b w:val="1"/>
          <w:sz w:val="22"/>
          <w:szCs w:val="22"/>
          <w:rtl w:val="0"/>
        </w:rPr>
        <w:t xml:space="preserve">cadena original, </w:t>
      </w:r>
      <w:r w:rsidDel="00000000" w:rsidR="00000000" w:rsidRPr="00000000">
        <w:rPr>
          <w:rFonts w:ascii="Palatino Linotype" w:cs="Palatino Linotype" w:eastAsia="Palatino Linotype" w:hAnsi="Palatino Linotype"/>
          <w:sz w:val="22"/>
          <w:szCs w:val="22"/>
          <w:rtl w:val="0"/>
        </w:rPr>
        <w:t xml:space="preserve">los</w:t>
      </w:r>
      <w:r w:rsidDel="00000000" w:rsidR="00000000" w:rsidRPr="00000000">
        <w:rPr>
          <w:rFonts w:ascii="Palatino Linotype" w:cs="Palatino Linotype" w:eastAsia="Palatino Linotype" w:hAnsi="Palatino Linotype"/>
          <w:b w:val="1"/>
          <w:sz w:val="22"/>
          <w:szCs w:val="22"/>
          <w:rtl w:val="0"/>
        </w:rPr>
        <w:t xml:space="preserve"> códigos bidimensionales o códigos QR,</w:t>
      </w:r>
      <w:r w:rsidDel="00000000" w:rsidR="00000000" w:rsidRPr="00000000">
        <w:rPr>
          <w:rFonts w:ascii="Palatino Linotype" w:cs="Palatino Linotype" w:eastAsia="Palatino Linotype" w:hAnsi="Palatino Linotype"/>
          <w:sz w:val="22"/>
          <w:szCs w:val="22"/>
          <w:rtl w:val="0"/>
        </w:rPr>
        <w:t xml:space="preserve"> y cualquier información de carácter fiscal, bajo las siguientes consideraciones. </w:t>
      </w:r>
    </w:p>
    <w:p w:rsidR="00000000" w:rsidDel="00000000" w:rsidP="00000000" w:rsidRDefault="00000000" w:rsidRPr="00000000" w14:paraId="00000212">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cuanto al RFC, este constituye un dato personal, ya que para su obtención es necesario acreditar ante la autoridad fiscal previamente la identidad de la persona, su fecha de nacimiento, entre otros aspectos.</w:t>
      </w:r>
    </w:p>
    <w:p w:rsidR="00000000" w:rsidDel="00000000" w:rsidP="00000000" w:rsidRDefault="00000000" w:rsidRPr="00000000" w14:paraId="00000213">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000000" w:rsidDel="00000000" w:rsidP="00000000" w:rsidRDefault="00000000" w:rsidRPr="00000000" w14:paraId="00000214">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es compartido por el Instituto Nacional de Transparencia, Acceso a la Información y Protección de Datos (INAI) a través del Criterio 19/17, el cual es del tenor literal siguiente:</w:t>
      </w:r>
    </w:p>
    <w:p w:rsidR="00000000" w:rsidDel="00000000" w:rsidP="00000000" w:rsidRDefault="00000000" w:rsidRPr="00000000" w14:paraId="00000215">
      <w:pPr>
        <w:spacing w:after="120"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“Registro Federal de Contribuyentes (RFC) de personas físicas. </w:t>
      </w:r>
      <w:r w:rsidDel="00000000" w:rsidR="00000000" w:rsidRPr="00000000">
        <w:rPr>
          <w:rFonts w:ascii="Palatino Linotype" w:cs="Palatino Linotype" w:eastAsia="Palatino Linotype" w:hAnsi="Palatino Linotype"/>
          <w:i w:val="1"/>
          <w:sz w:val="22"/>
          <w:szCs w:val="22"/>
          <w:rtl w:val="0"/>
        </w:rPr>
        <w:t xml:space="preserve">El RFC es una clave de carácter fiscal, única e irrepetible, que permite identificar al titular, su edad y fecha de nacimiento, por lo que es un dato personal de carácter confidencial.” (Sic)</w:t>
      </w:r>
      <w:r w:rsidDel="00000000" w:rsidR="00000000" w:rsidRPr="00000000">
        <w:rPr>
          <w:rtl w:val="0"/>
        </w:rPr>
      </w:r>
    </w:p>
    <w:p w:rsidR="00000000" w:rsidDel="00000000" w:rsidP="00000000" w:rsidRDefault="00000000" w:rsidRPr="00000000" w14:paraId="00000216">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el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rsidR="00000000" w:rsidDel="00000000" w:rsidP="00000000" w:rsidRDefault="00000000" w:rsidRPr="00000000" w14:paraId="00000217">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000000" w:rsidDel="00000000" w:rsidP="00000000" w:rsidRDefault="00000000" w:rsidRPr="00000000" w14:paraId="00000218">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Argumento que es compartido por el Instituto Nacional de Transparencia, Acceso a la Información y Protección de Datos (INAI)</w:t>
      </w:r>
      <w:r w:rsidDel="00000000" w:rsidR="00000000" w:rsidRPr="00000000">
        <w:rPr>
          <w:rFonts w:ascii="Palatino Linotype" w:cs="Palatino Linotype" w:eastAsia="Palatino Linotype" w:hAnsi="Palatino Linotype"/>
          <w:b w:val="1"/>
          <w:sz w:val="22"/>
          <w:szCs w:val="22"/>
          <w:rtl w:val="0"/>
        </w:rPr>
        <w:t xml:space="preserve">, conforme al </w:t>
      </w:r>
      <w:r w:rsidDel="00000000" w:rsidR="00000000" w:rsidRPr="00000000">
        <w:rPr>
          <w:rFonts w:ascii="Palatino Linotype" w:cs="Palatino Linotype" w:eastAsia="Palatino Linotype" w:hAnsi="Palatino Linotype"/>
          <w:sz w:val="22"/>
          <w:szCs w:val="22"/>
          <w:rtl w:val="0"/>
        </w:rPr>
        <w:t xml:space="preserve">criterio número 18/17, el cual refiere: </w:t>
      </w:r>
    </w:p>
    <w:p w:rsidR="00000000" w:rsidDel="00000000" w:rsidP="00000000" w:rsidRDefault="00000000" w:rsidRPr="00000000" w14:paraId="00000219">
      <w:pPr>
        <w:pBdr>
          <w:top w:space="0" w:sz="0" w:val="nil"/>
          <w:left w:space="0" w:sz="0" w:val="nil"/>
          <w:bottom w:space="0" w:sz="0" w:val="nil"/>
          <w:right w:space="0" w:sz="0" w:val="nil"/>
          <w:between w:space="0" w:sz="0" w:val="nil"/>
        </w:pBdr>
        <w:spacing w:after="120" w:lineRule="auto"/>
        <w:ind w:left="851" w:right="616"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“Clave Única de Registro de Población (CURP). </w:t>
      </w:r>
      <w:r w:rsidDel="00000000" w:rsidR="00000000" w:rsidRPr="00000000">
        <w:rPr>
          <w:rFonts w:ascii="Palatino Linotype" w:cs="Palatino Linotype" w:eastAsia="Palatino Linotype" w:hAnsi="Palatino Linotype"/>
          <w:i w:val="1"/>
          <w:sz w:val="22"/>
          <w:szCs w:val="22"/>
          <w:rtl w:val="0"/>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(Sic)</w:t>
      </w:r>
      <w:r w:rsidDel="00000000" w:rsidR="00000000" w:rsidRPr="00000000">
        <w:rPr>
          <w:rtl w:val="0"/>
        </w:rPr>
      </w:r>
    </w:p>
    <w:p w:rsidR="00000000" w:rsidDel="00000000" w:rsidP="00000000" w:rsidRDefault="00000000" w:rsidRPr="00000000" w14:paraId="0000021A">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otra parte y respecto a </w:t>
      </w:r>
      <w:r w:rsidDel="00000000" w:rsidR="00000000" w:rsidRPr="00000000">
        <w:rPr>
          <w:rFonts w:ascii="Palatino Linotype" w:cs="Palatino Linotype" w:eastAsia="Palatino Linotype" w:hAnsi="Palatino Linotype"/>
          <w:b w:val="1"/>
          <w:sz w:val="22"/>
          <w:szCs w:val="22"/>
          <w:rtl w:val="0"/>
        </w:rPr>
        <w:t xml:space="preserve">la clave de seguridad social</w:t>
      </w:r>
      <w:r w:rsidDel="00000000" w:rsidR="00000000" w:rsidRPr="00000000">
        <w:rPr>
          <w:rFonts w:ascii="Palatino Linotype" w:cs="Palatino Linotype" w:eastAsia="Palatino Linotype" w:hAnsi="Palatino Linotype"/>
          <w:sz w:val="22"/>
          <w:szCs w:val="22"/>
          <w:rtl w:val="0"/>
        </w:rPr>
        <w:t xml:space="preserve"> y en su caso clave o número del servidor público –trabajador-, en virtud de que su divulgación no aporta a la transparencia o a la rendición de cuentas y sí provoca una transgresión a la vida privada e intimidad de la persona, esta información también resulta ser de carácter confidencial; siendo aplicable como orientador el criterio número 15/10 emitido por el entonces Instituto Federal de Transparencia y Acceso a la Información (INAI, cuyo texto y sentido literal es el siguiente:</w:t>
      </w:r>
    </w:p>
    <w:p w:rsidR="00000000" w:rsidDel="00000000" w:rsidP="00000000" w:rsidRDefault="00000000" w:rsidRPr="00000000" w14:paraId="0000021B">
      <w:pPr>
        <w:spacing w:after="240" w:before="24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“El número de ficha de identificación única de los trabajadores es información de carácter confidencial.</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i w:val="1"/>
          <w:sz w:val="22"/>
          <w:szCs w:val="22"/>
          <w:u w:val="single"/>
          <w:rtl w:val="0"/>
        </w:rPr>
        <w:t xml:space="preserve">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i w:val="1"/>
          <w:sz w:val="22"/>
          <w:szCs w:val="22"/>
          <w:u w:val="single"/>
          <w:rtl w:val="0"/>
        </w:rPr>
        <w:t xml:space="preserve">dicha información es susceptible de clasificarse con el carácter de confidencial</w:t>
      </w:r>
      <w:r w:rsidDel="00000000" w:rsidR="00000000" w:rsidRPr="00000000">
        <w:rPr>
          <w:rFonts w:ascii="Palatino Linotype" w:cs="Palatino Linotype" w:eastAsia="Palatino Linotype" w:hAnsi="Palatino Linotype"/>
          <w:i w:val="1"/>
          <w:sz w:val="22"/>
          <w:szCs w:val="22"/>
          <w:rtl w:val="0"/>
        </w:rPr>
        <w:t xml:space="preserve">, en términos de lo establecido en el artículo 18, fracción II de la Ley Federal de Transparencia y Acceso a la Información Pública Gubernamental, en virtud de que a través de la misma es posible conocer información personal de su titular.” (Sic)</w:t>
      </w:r>
    </w:p>
    <w:p w:rsidR="00000000" w:rsidDel="00000000" w:rsidP="00000000" w:rsidRDefault="00000000" w:rsidRPr="00000000" w14:paraId="0000021C">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De la información fiscal</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21D">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La </w:t>
      </w:r>
      <w:r w:rsidDel="00000000" w:rsidR="00000000" w:rsidRPr="00000000">
        <w:rPr>
          <w:rFonts w:ascii="Palatino Linotype" w:cs="Palatino Linotype" w:eastAsia="Palatino Linotype" w:hAnsi="Palatino Linotype"/>
          <w:b w:val="1"/>
          <w:sz w:val="22"/>
          <w:szCs w:val="22"/>
          <w:rtl w:val="0"/>
        </w:rPr>
        <w:t xml:space="preserve">Cadena Original</w:t>
      </w:r>
      <w:r w:rsidDel="00000000" w:rsidR="00000000" w:rsidRPr="00000000">
        <w:rPr>
          <w:rFonts w:ascii="Palatino Linotype" w:cs="Palatino Linotype" w:eastAsia="Palatino Linotype" w:hAnsi="Palatino Linotype"/>
          <w:sz w:val="22"/>
          <w:szCs w:val="22"/>
          <w:rtl w:val="0"/>
        </w:rPr>
        <w:t xml:space="preserve"> es la secuencia de datos formada con la información contenida dentro de los comprobantes fiscales, entre los que podría encontrarse de manera enunciativa, más no limitativa, el RFC del receptor, es decir del servidor público. En dicho supuesto, la cadena original constituiría información que únicamente atañe al contribuyente, siendo tarea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analizar dicha circunstancia con la finalidad de proteger, de ser el caso, la información a través de su clasificación por actualizarse el supuesto de confidencialidad.</w:t>
      </w:r>
    </w:p>
    <w:p w:rsidR="00000000" w:rsidDel="00000000" w:rsidP="00000000" w:rsidRDefault="00000000" w:rsidRPr="00000000" w14:paraId="0000021E">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Los </w:t>
      </w:r>
      <w:r w:rsidDel="00000000" w:rsidR="00000000" w:rsidRPr="00000000">
        <w:rPr>
          <w:rFonts w:ascii="Palatino Linotype" w:cs="Palatino Linotype" w:eastAsia="Palatino Linotype" w:hAnsi="Palatino Linotype"/>
          <w:b w:val="1"/>
          <w:sz w:val="22"/>
          <w:szCs w:val="22"/>
          <w:rtl w:val="0"/>
        </w:rPr>
        <w:t xml:space="preserve">códigos bidimensionales</w:t>
      </w:r>
      <w:r w:rsidDel="00000000" w:rsidR="00000000" w:rsidRPr="00000000">
        <w:rPr>
          <w:rFonts w:ascii="Palatino Linotype" w:cs="Palatino Linotype" w:eastAsia="Palatino Linotype" w:hAnsi="Palatino Linotype"/>
          <w:sz w:val="22"/>
          <w:szCs w:val="22"/>
          <w:rtl w:val="0"/>
        </w:rPr>
        <w:t xml:space="preserve"> o </w:t>
      </w:r>
      <w:r w:rsidDel="00000000" w:rsidR="00000000" w:rsidRPr="00000000">
        <w:rPr>
          <w:rFonts w:ascii="Palatino Linotype" w:cs="Palatino Linotype" w:eastAsia="Palatino Linotype" w:hAnsi="Palatino Linotype"/>
          <w:b w:val="1"/>
          <w:sz w:val="22"/>
          <w:szCs w:val="22"/>
          <w:rtl w:val="0"/>
        </w:rPr>
        <w:t xml:space="preserve">códigos QR, </w:t>
      </w:r>
      <w:r w:rsidDel="00000000" w:rsidR="00000000" w:rsidRPr="00000000">
        <w:rPr>
          <w:rFonts w:ascii="Palatino Linotype" w:cs="Palatino Linotype" w:eastAsia="Palatino Linotype" w:hAnsi="Palatino Linotype"/>
          <w:sz w:val="22"/>
          <w:szCs w:val="22"/>
          <w:rtl w:val="0"/>
        </w:rPr>
        <w:t xml:space="preserve">al corresponder a barras en dos dimensiones que, al igual que los códigos de barras o códigos unidimensionales, son utilizados para almacenar diversos tipos de datos de manera codificada, los cuales a través de lectores que pueden ser obtenidos por cualquier persona, pueden contener datos personales, no susceptibles de conocimiento público, debiendo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analizar dicha circunstancia con la finalidad de determinar si se actualiza algún supuesto de confidencialidad.</w:t>
      </w:r>
    </w:p>
    <w:p w:rsidR="00000000" w:rsidDel="00000000" w:rsidP="00000000" w:rsidRDefault="00000000" w:rsidRPr="00000000" w14:paraId="0000021F">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tal sentido, si derivado del análisis efectuado por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en el presente caso, se desprende que, de la información fiscal contenida en los comprobantes fiscales digitales por internet, tales como cadenas, sellos digitales y/o códigos bidimensionales, se pueden obtener datos personales como el Registro Federal de Contribuyentes, la Clave Única del Registro de Población, entre otros no susceptibles de conocimiento público que, de difundirse, pudieran hacer identificable a una persona, deberá clasificarla como confidencial, de manera fundada y motivada en términos del artículo 143, fracción I de la Ley de Transparencia y Acceso a la Información Pública del Estado de México y Municipios.</w:t>
      </w:r>
    </w:p>
    <w:p w:rsidR="00000000" w:rsidDel="00000000" w:rsidP="00000000" w:rsidRDefault="00000000" w:rsidRPr="00000000" w14:paraId="00000220">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21">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000000" w:rsidDel="00000000" w:rsidP="00000000" w:rsidRDefault="00000000" w:rsidRPr="00000000" w14:paraId="00000222">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23">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49.</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Los Comités de Transparencia</w:t>
      </w:r>
      <w:r w:rsidDel="00000000" w:rsidR="00000000" w:rsidRPr="00000000">
        <w:rPr>
          <w:rFonts w:ascii="Palatino Linotype" w:cs="Palatino Linotype" w:eastAsia="Palatino Linotype" w:hAnsi="Palatino Linotype"/>
          <w:i w:val="1"/>
          <w:sz w:val="22"/>
          <w:szCs w:val="22"/>
          <w:rtl w:val="0"/>
        </w:rPr>
        <w:t xml:space="preserve"> tendrán las siguientes atribuciones:</w:t>
      </w:r>
    </w:p>
    <w:p w:rsidR="00000000" w:rsidDel="00000000" w:rsidP="00000000" w:rsidRDefault="00000000" w:rsidRPr="00000000" w14:paraId="00000224">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VIII. Aprobar, modificar o revocar la clasificación de la información</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225">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53.</w:t>
      </w:r>
      <w:r w:rsidDel="00000000" w:rsidR="00000000" w:rsidRPr="00000000">
        <w:rPr>
          <w:rFonts w:ascii="Palatino Linotype" w:cs="Palatino Linotype" w:eastAsia="Palatino Linotype" w:hAnsi="Palatino Linotype"/>
          <w:i w:val="1"/>
          <w:sz w:val="22"/>
          <w:szCs w:val="22"/>
          <w:rtl w:val="0"/>
        </w:rPr>
        <w:t xml:space="preserve"> Las </w:t>
      </w:r>
      <w:r w:rsidDel="00000000" w:rsidR="00000000" w:rsidRPr="00000000">
        <w:rPr>
          <w:rFonts w:ascii="Palatino Linotype" w:cs="Palatino Linotype" w:eastAsia="Palatino Linotype" w:hAnsi="Palatino Linotype"/>
          <w:b w:val="1"/>
          <w:i w:val="1"/>
          <w:sz w:val="22"/>
          <w:szCs w:val="22"/>
          <w:rtl w:val="0"/>
        </w:rPr>
        <w:t xml:space="preserve">Unidades de Transparencia</w:t>
      </w:r>
      <w:r w:rsidDel="00000000" w:rsidR="00000000" w:rsidRPr="00000000">
        <w:rPr>
          <w:rFonts w:ascii="Palatino Linotype" w:cs="Palatino Linotype" w:eastAsia="Palatino Linotype" w:hAnsi="Palatino Linotype"/>
          <w:i w:val="1"/>
          <w:sz w:val="22"/>
          <w:szCs w:val="22"/>
          <w:rtl w:val="0"/>
        </w:rPr>
        <w:t xml:space="preserve"> tendrán las siguientes </w:t>
      </w:r>
      <w:r w:rsidDel="00000000" w:rsidR="00000000" w:rsidRPr="00000000">
        <w:rPr>
          <w:rFonts w:ascii="Palatino Linotype" w:cs="Palatino Linotype" w:eastAsia="Palatino Linotype" w:hAnsi="Palatino Linotype"/>
          <w:b w:val="1"/>
          <w:i w:val="1"/>
          <w:sz w:val="22"/>
          <w:szCs w:val="22"/>
          <w:rtl w:val="0"/>
        </w:rPr>
        <w:t xml:space="preserve">funciones</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226">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 Presentar ante el Comité, el proyecto de clasificación de información</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227">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59.</w:t>
      </w:r>
      <w:r w:rsidDel="00000000" w:rsidR="00000000" w:rsidRPr="00000000">
        <w:rPr>
          <w:rFonts w:ascii="Palatino Linotype" w:cs="Palatino Linotype" w:eastAsia="Palatino Linotype" w:hAnsi="Palatino Linotype"/>
          <w:i w:val="1"/>
          <w:sz w:val="22"/>
          <w:szCs w:val="22"/>
          <w:rtl w:val="0"/>
        </w:rPr>
        <w:t xml:space="preserve"> Los </w:t>
      </w:r>
      <w:r w:rsidDel="00000000" w:rsidR="00000000" w:rsidRPr="00000000">
        <w:rPr>
          <w:rFonts w:ascii="Palatino Linotype" w:cs="Palatino Linotype" w:eastAsia="Palatino Linotype" w:hAnsi="Palatino Linotype"/>
          <w:b w:val="1"/>
          <w:i w:val="1"/>
          <w:sz w:val="22"/>
          <w:szCs w:val="22"/>
          <w:rtl w:val="0"/>
        </w:rPr>
        <w:t xml:space="preserve">servidores públicos habilitados</w:t>
      </w:r>
      <w:r w:rsidDel="00000000" w:rsidR="00000000" w:rsidRPr="00000000">
        <w:rPr>
          <w:rFonts w:ascii="Palatino Linotype" w:cs="Palatino Linotype" w:eastAsia="Palatino Linotype" w:hAnsi="Palatino Linotype"/>
          <w:i w:val="1"/>
          <w:sz w:val="22"/>
          <w:szCs w:val="22"/>
          <w:rtl w:val="0"/>
        </w:rPr>
        <w:t xml:space="preserve"> tendrán las </w:t>
      </w:r>
      <w:r w:rsidDel="00000000" w:rsidR="00000000" w:rsidRPr="00000000">
        <w:rPr>
          <w:rFonts w:ascii="Palatino Linotype" w:cs="Palatino Linotype" w:eastAsia="Palatino Linotype" w:hAnsi="Palatino Linotype"/>
          <w:b w:val="1"/>
          <w:i w:val="1"/>
          <w:sz w:val="22"/>
          <w:szCs w:val="22"/>
          <w:rtl w:val="0"/>
        </w:rPr>
        <w:t xml:space="preserve">funciones</w:t>
      </w:r>
      <w:r w:rsidDel="00000000" w:rsidR="00000000" w:rsidRPr="00000000">
        <w:rPr>
          <w:rFonts w:ascii="Palatino Linotype" w:cs="Palatino Linotype" w:eastAsia="Palatino Linotype" w:hAnsi="Palatino Linotype"/>
          <w:i w:val="1"/>
          <w:sz w:val="22"/>
          <w:szCs w:val="22"/>
          <w:rtl w:val="0"/>
        </w:rPr>
        <w:t xml:space="preserve"> siguientes:</w:t>
      </w:r>
    </w:p>
    <w:p w:rsidR="00000000" w:rsidDel="00000000" w:rsidP="00000000" w:rsidRDefault="00000000" w:rsidRPr="00000000" w14:paraId="00000228">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 Integrar y presentar al responsable de la Unidad de Transparencia la propuesta de clasificación de información</w:t>
      </w:r>
      <w:r w:rsidDel="00000000" w:rsidR="00000000" w:rsidRPr="00000000">
        <w:rPr>
          <w:rFonts w:ascii="Palatino Linotype" w:cs="Palatino Linotype" w:eastAsia="Palatino Linotype" w:hAnsi="Palatino Linotype"/>
          <w:i w:val="1"/>
          <w:sz w:val="22"/>
          <w:szCs w:val="22"/>
          <w:rtl w:val="0"/>
        </w:rPr>
        <w:t xml:space="preserve">, la cual tendrá los fundamentos y argumentos en que se basa dicha propuesta…”(Sic)</w:t>
      </w:r>
    </w:p>
    <w:p w:rsidR="00000000" w:rsidDel="00000000" w:rsidP="00000000" w:rsidRDefault="00000000" w:rsidRPr="00000000" w14:paraId="00000229">
      <w:pPr>
        <w:ind w:left="992" w:right="1043"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22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Denotándose de dichos elementos normativos que el determinar la clasificación de la información es un trabajo en conjunto tanto de los Servidores Públicos Habilitados, de las Unidades de Transparencia y del Comité de Transparencia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000000" w:rsidDel="00000000" w:rsidP="00000000" w:rsidRDefault="00000000" w:rsidRPr="00000000" w14:paraId="0000022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2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Para lo cual, a su vez en el caso de información de carácter confidencial, se debe atender a lo que señala el artículo 149 de la Ley de Transparencia Local vigente, que se lee como sigue:</w:t>
      </w:r>
    </w:p>
    <w:p w:rsidR="00000000" w:rsidDel="00000000" w:rsidP="00000000" w:rsidRDefault="00000000" w:rsidRPr="00000000" w14:paraId="0000022D">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149.</w:t>
      </w:r>
      <w:r w:rsidDel="00000000" w:rsidR="00000000" w:rsidRPr="00000000">
        <w:rPr>
          <w:rFonts w:ascii="Palatino Linotype" w:cs="Palatino Linotype" w:eastAsia="Palatino Linotype" w:hAnsi="Palatino Linotype"/>
          <w:i w:val="1"/>
          <w:sz w:val="22"/>
          <w:szCs w:val="22"/>
          <w:rtl w:val="0"/>
        </w:rPr>
        <w:t xml:space="preserve"> El </w:t>
      </w:r>
      <w:r w:rsidDel="00000000" w:rsidR="00000000" w:rsidRPr="00000000">
        <w:rPr>
          <w:rFonts w:ascii="Palatino Linotype" w:cs="Palatino Linotype" w:eastAsia="Palatino Linotype" w:hAnsi="Palatino Linotype"/>
          <w:b w:val="1"/>
          <w:i w:val="1"/>
          <w:sz w:val="22"/>
          <w:szCs w:val="22"/>
          <w:rtl w:val="0"/>
        </w:rPr>
        <w:t xml:space="preserve">acuerdo que clasifique la información como confidencial</w:t>
      </w:r>
      <w:r w:rsidDel="00000000" w:rsidR="00000000" w:rsidRPr="00000000">
        <w:rPr>
          <w:rFonts w:ascii="Palatino Linotype" w:cs="Palatino Linotype" w:eastAsia="Palatino Linotype" w:hAnsi="Palatino Linotype"/>
          <w:i w:val="1"/>
          <w:sz w:val="22"/>
          <w:szCs w:val="22"/>
          <w:rtl w:val="0"/>
        </w:rPr>
        <w:t xml:space="preserve"> deberá contener un razonamiento lógico en el que demuestre que la información se encuentra en alguna o algunas de las hipótesis previstas en la presente Ley.” </w:t>
      </w:r>
    </w:p>
    <w:p w:rsidR="00000000" w:rsidDel="00000000" w:rsidP="00000000" w:rsidRDefault="00000000" w:rsidRPr="00000000" w14:paraId="0000022E">
      <w:pPr>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22F">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decir,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000000" w:rsidDel="00000000" w:rsidP="00000000" w:rsidRDefault="00000000" w:rsidRPr="00000000" w14:paraId="00000230">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3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respecto, se destaca que la versión pública que elabore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Del="00000000" w:rsidR="00000000" w:rsidRPr="00000000">
        <w:rPr>
          <w:rFonts w:ascii="Palatino Linotype" w:cs="Palatino Linotype" w:eastAsia="Palatino Linotype" w:hAnsi="Palatino Linotype"/>
          <w:b w:val="1"/>
          <w:sz w:val="22"/>
          <w:szCs w:val="22"/>
          <w:rtl w:val="0"/>
        </w:rPr>
        <w:t xml:space="preserve">LINEAMIENTOS GENERALES EN MATERIA DE CLASIFICACIÓN Y DESCLASIFICACIÓN DE LA INFORMACIÓN, ASÍ COMO PARA LA ELABORACIÓN DE VERSIONES PÚBLICAS</w:t>
      </w:r>
      <w:r w:rsidDel="00000000" w:rsidR="00000000" w:rsidRPr="00000000">
        <w:rPr>
          <w:rFonts w:ascii="Palatino Linotype" w:cs="Palatino Linotype" w:eastAsia="Palatino Linotype" w:hAnsi="Palatino Linotype"/>
          <w:sz w:val="22"/>
          <w:szCs w:val="22"/>
          <w:rtl w:val="0"/>
        </w:rPr>
        <w:t xml:space="preserve">,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rsidR="00000000" w:rsidDel="00000000" w:rsidP="00000000" w:rsidRDefault="00000000" w:rsidRPr="00000000" w14:paraId="00000232">
      <w:pPr>
        <w:ind w:left="709" w:right="709"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233">
      <w:pPr>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“Lineamientos Generales en materia de Clasificación y Desclasificación de la Información, así como para la elaboración de Versiones Públicas</w:t>
      </w:r>
      <w:r w:rsidDel="00000000" w:rsidR="00000000" w:rsidRPr="00000000">
        <w:rPr>
          <w:rtl w:val="0"/>
        </w:rPr>
      </w:r>
    </w:p>
    <w:p w:rsidR="00000000" w:rsidDel="00000000" w:rsidP="00000000" w:rsidRDefault="00000000" w:rsidRPr="00000000" w14:paraId="00000234">
      <w:pPr>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Segundo.-</w:t>
      </w:r>
      <w:r w:rsidDel="00000000" w:rsidR="00000000" w:rsidRPr="00000000">
        <w:rPr>
          <w:rFonts w:ascii="Palatino Linotype" w:cs="Palatino Linotype" w:eastAsia="Palatino Linotype" w:hAnsi="Palatino Linotype"/>
          <w:i w:val="1"/>
          <w:sz w:val="22"/>
          <w:szCs w:val="22"/>
          <w:rtl w:val="0"/>
        </w:rPr>
        <w:t xml:space="preserve"> Para efectos de los presentes Lineamientos Generales, se entenderá por:</w:t>
      </w:r>
      <w:r w:rsidDel="00000000" w:rsidR="00000000" w:rsidRPr="00000000">
        <w:rPr>
          <w:rtl w:val="0"/>
        </w:rPr>
      </w:r>
    </w:p>
    <w:p w:rsidR="00000000" w:rsidDel="00000000" w:rsidP="00000000" w:rsidRDefault="00000000" w:rsidRPr="00000000" w14:paraId="00000235">
      <w:pPr>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XVIII.</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Versión pública:</w:t>
      </w:r>
      <w:r w:rsidDel="00000000" w:rsidR="00000000" w:rsidRPr="00000000">
        <w:rPr>
          <w:rFonts w:ascii="Palatino Linotype" w:cs="Palatino Linotype" w:eastAsia="Palatino Linotype" w:hAnsi="Palatino Linotype"/>
          <w:i w:val="1"/>
          <w:sz w:val="22"/>
          <w:szCs w:val="22"/>
          <w:rtl w:val="0"/>
        </w:rPr>
        <w:t xml:space="preserve"> El documento a partir del que se otorga acceso a la información, en el que se testan partes o secciones clasificadas, indicando el contenido de éstas de manera genérica, </w:t>
      </w:r>
      <w:r w:rsidDel="00000000" w:rsidR="00000000" w:rsidRPr="00000000">
        <w:rPr>
          <w:rFonts w:ascii="Palatino Linotype" w:cs="Palatino Linotype" w:eastAsia="Palatino Linotype" w:hAnsi="Palatino Linotype"/>
          <w:b w:val="1"/>
          <w:i w:val="1"/>
          <w:sz w:val="22"/>
          <w:szCs w:val="22"/>
          <w:u w:val="single"/>
          <w:rtl w:val="0"/>
        </w:rPr>
        <w:t xml:space="preserve">fundando y motivando la</w:t>
      </w:r>
      <w:r w:rsidDel="00000000" w:rsidR="00000000" w:rsidRPr="00000000">
        <w:rPr>
          <w:rFonts w:ascii="Palatino Linotype" w:cs="Palatino Linotype" w:eastAsia="Palatino Linotype" w:hAnsi="Palatino Linotype"/>
          <w:i w:val="1"/>
          <w:sz w:val="22"/>
          <w:szCs w:val="22"/>
          <w:rtl w:val="0"/>
        </w:rPr>
        <w:t xml:space="preserve"> reserva o </w:t>
      </w:r>
      <w:r w:rsidDel="00000000" w:rsidR="00000000" w:rsidRPr="00000000">
        <w:rPr>
          <w:rFonts w:ascii="Palatino Linotype" w:cs="Palatino Linotype" w:eastAsia="Palatino Linotype" w:hAnsi="Palatino Linotype"/>
          <w:b w:val="1"/>
          <w:i w:val="1"/>
          <w:sz w:val="22"/>
          <w:szCs w:val="22"/>
          <w:u w:val="single"/>
          <w:rtl w:val="0"/>
        </w:rPr>
        <w:t xml:space="preserve">confidencialidad</w:t>
      </w:r>
      <w:r w:rsidDel="00000000" w:rsidR="00000000" w:rsidRPr="00000000">
        <w:rPr>
          <w:rFonts w:ascii="Palatino Linotype" w:cs="Palatino Linotype" w:eastAsia="Palatino Linotype" w:hAnsi="Palatino Linotype"/>
          <w:i w:val="1"/>
          <w:sz w:val="22"/>
          <w:szCs w:val="22"/>
          <w:rtl w:val="0"/>
        </w:rPr>
        <w:t xml:space="preserve">, a través de la resolución que para tal efecto emita el Comité de Transparencia.</w:t>
      </w:r>
      <w:r w:rsidDel="00000000" w:rsidR="00000000" w:rsidRPr="00000000">
        <w:rPr>
          <w:rtl w:val="0"/>
        </w:rPr>
      </w:r>
    </w:p>
    <w:p w:rsidR="00000000" w:rsidDel="00000000" w:rsidP="00000000" w:rsidRDefault="00000000" w:rsidRPr="00000000" w14:paraId="00000236">
      <w:pPr>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Cuarto.</w:t>
      </w:r>
      <w:r w:rsidDel="00000000" w:rsidR="00000000" w:rsidRPr="00000000">
        <w:rPr>
          <w:rFonts w:ascii="Palatino Linotype" w:cs="Palatino Linotype" w:eastAsia="Palatino Linotype" w:hAnsi="Palatino Linotype"/>
          <w:i w:val="1"/>
          <w:sz w:val="22"/>
          <w:szCs w:val="22"/>
          <w:rtl w:val="0"/>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r w:rsidDel="00000000" w:rsidR="00000000" w:rsidRPr="00000000">
        <w:rPr>
          <w:rtl w:val="0"/>
        </w:rPr>
      </w:r>
    </w:p>
    <w:p w:rsidR="00000000" w:rsidDel="00000000" w:rsidP="00000000" w:rsidRDefault="00000000" w:rsidRPr="00000000" w14:paraId="00000237">
      <w:pPr>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Los sujetos obligados deberán aplicar, de manera estricta, las excepciones al derecho de acceso a la información y sólo podrán invocarlas cuando acrediten su procedencia.</w:t>
      </w:r>
      <w:r w:rsidDel="00000000" w:rsidR="00000000" w:rsidRPr="00000000">
        <w:rPr>
          <w:rtl w:val="0"/>
        </w:rPr>
      </w:r>
    </w:p>
    <w:p w:rsidR="00000000" w:rsidDel="00000000" w:rsidP="00000000" w:rsidRDefault="00000000" w:rsidRPr="00000000" w14:paraId="00000238">
      <w:pPr>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Quinto.</w:t>
      </w:r>
      <w:r w:rsidDel="00000000" w:rsidR="00000000" w:rsidRPr="00000000">
        <w:rPr>
          <w:rFonts w:ascii="Palatino Linotype" w:cs="Palatino Linotype" w:eastAsia="Palatino Linotype" w:hAnsi="Palatino Linotype"/>
          <w:i w:val="1"/>
          <w:sz w:val="22"/>
          <w:szCs w:val="22"/>
          <w:rtl w:val="0"/>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r w:rsidDel="00000000" w:rsidR="00000000" w:rsidRPr="00000000">
        <w:rPr>
          <w:rtl w:val="0"/>
        </w:rPr>
      </w:r>
    </w:p>
    <w:p w:rsidR="00000000" w:rsidDel="00000000" w:rsidP="00000000" w:rsidRDefault="00000000" w:rsidRPr="00000000" w14:paraId="00000239">
      <w:pPr>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tl w:val="0"/>
        </w:rPr>
      </w:r>
    </w:p>
    <w:p w:rsidR="00000000" w:rsidDel="00000000" w:rsidP="00000000" w:rsidRDefault="00000000" w:rsidRPr="00000000" w14:paraId="0000023A">
      <w:pPr>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Séptimo.</w:t>
      </w:r>
      <w:r w:rsidDel="00000000" w:rsidR="00000000" w:rsidRPr="00000000">
        <w:rPr>
          <w:rFonts w:ascii="Palatino Linotype" w:cs="Palatino Linotype" w:eastAsia="Palatino Linotype" w:hAnsi="Palatino Linotype"/>
          <w:i w:val="1"/>
          <w:sz w:val="22"/>
          <w:szCs w:val="22"/>
          <w:rtl w:val="0"/>
        </w:rPr>
        <w:t xml:space="preserve"> La clasificación de la información se llevará a cabo en el momento en que:</w:t>
      </w:r>
      <w:r w:rsidDel="00000000" w:rsidR="00000000" w:rsidRPr="00000000">
        <w:rPr>
          <w:rtl w:val="0"/>
        </w:rPr>
      </w:r>
    </w:p>
    <w:p w:rsidR="00000000" w:rsidDel="00000000" w:rsidP="00000000" w:rsidRDefault="00000000" w:rsidRPr="00000000" w14:paraId="0000023B">
      <w:pPr>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Se reciba una solicitud de acceso a la información;</w:t>
      </w:r>
      <w:r w:rsidDel="00000000" w:rsidR="00000000" w:rsidRPr="00000000">
        <w:rPr>
          <w:rtl w:val="0"/>
        </w:rPr>
      </w:r>
    </w:p>
    <w:p w:rsidR="00000000" w:rsidDel="00000000" w:rsidP="00000000" w:rsidRDefault="00000000" w:rsidRPr="00000000" w14:paraId="0000023C">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Se  determine mediante resolución del Comité de Transparencia, el órgano garante </w:t>
      </w:r>
    </w:p>
    <w:p w:rsidR="00000000" w:rsidDel="00000000" w:rsidP="00000000" w:rsidRDefault="00000000" w:rsidRPr="00000000" w14:paraId="0000023D">
      <w:pPr>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competente, o en cumplimiento a una sentencia del Poder Judicial; o</w:t>
      </w:r>
      <w:r w:rsidDel="00000000" w:rsidR="00000000" w:rsidRPr="00000000">
        <w:rPr>
          <w:rtl w:val="0"/>
        </w:rPr>
      </w:r>
    </w:p>
    <w:p w:rsidR="00000000" w:rsidDel="00000000" w:rsidP="00000000" w:rsidRDefault="00000000" w:rsidRPr="00000000" w14:paraId="0000023E">
      <w:pPr>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Se generen versiones públicas para dar cumplimiento a las obligaciones de transparencia previstas en la Ley General, la Ley Federal y las correspondientes de las entidades federativas.</w:t>
      </w:r>
      <w:r w:rsidDel="00000000" w:rsidR="00000000" w:rsidRPr="00000000">
        <w:rPr>
          <w:rtl w:val="0"/>
        </w:rPr>
      </w:r>
    </w:p>
    <w:p w:rsidR="00000000" w:rsidDel="00000000" w:rsidP="00000000" w:rsidRDefault="00000000" w:rsidRPr="00000000" w14:paraId="0000023F">
      <w:pPr>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Los titulares de las áreas deberán revisar la clasificación al momento de la recepción de una solicitud de acceso a la información, para verificar si encuadra en una causal de reserva o de confidencialidad.</w:t>
      </w:r>
      <w:r w:rsidDel="00000000" w:rsidR="00000000" w:rsidRPr="00000000">
        <w:rPr>
          <w:rtl w:val="0"/>
        </w:rPr>
      </w:r>
    </w:p>
    <w:p w:rsidR="00000000" w:rsidDel="00000000" w:rsidP="00000000" w:rsidRDefault="00000000" w:rsidRPr="00000000" w14:paraId="00000240">
      <w:pPr>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Octavo.</w:t>
      </w:r>
      <w:r w:rsidDel="00000000" w:rsidR="00000000" w:rsidRPr="00000000">
        <w:rPr>
          <w:rFonts w:ascii="Palatino Linotype" w:cs="Palatino Linotype" w:eastAsia="Palatino Linotype" w:hAnsi="Palatino Linotype"/>
          <w:i w:val="1"/>
          <w:sz w:val="22"/>
          <w:szCs w:val="22"/>
          <w:rtl w:val="0"/>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r w:rsidDel="00000000" w:rsidR="00000000" w:rsidRPr="00000000">
        <w:rPr>
          <w:rtl w:val="0"/>
        </w:rPr>
      </w:r>
    </w:p>
    <w:p w:rsidR="00000000" w:rsidDel="00000000" w:rsidP="00000000" w:rsidRDefault="00000000" w:rsidRPr="00000000" w14:paraId="00000241">
      <w:pPr>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Para motivar la clasificación se deberán señalar las razones o circunstancias especiales que lo llevaron a concluir que el caso particular se ajusta al supuesto previsto por la norma legal invocada como fundamento.</w:t>
      </w:r>
      <w:r w:rsidDel="00000000" w:rsidR="00000000" w:rsidRPr="00000000">
        <w:rPr>
          <w:rtl w:val="0"/>
        </w:rPr>
      </w:r>
    </w:p>
    <w:p w:rsidR="00000000" w:rsidDel="00000000" w:rsidP="00000000" w:rsidRDefault="00000000" w:rsidRPr="00000000" w14:paraId="00000242">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rsidR="00000000" w:rsidDel="00000000" w:rsidP="00000000" w:rsidRDefault="00000000" w:rsidRPr="00000000" w14:paraId="00000243">
      <w:pPr>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Noveno.</w:t>
      </w:r>
      <w:r w:rsidDel="00000000" w:rsidR="00000000" w:rsidRPr="00000000">
        <w:rPr>
          <w:rFonts w:ascii="Palatino Linotype" w:cs="Palatino Linotype" w:eastAsia="Palatino Linotype" w:hAnsi="Palatino Linotype"/>
          <w:i w:val="1"/>
          <w:sz w:val="22"/>
          <w:szCs w:val="22"/>
          <w:rtl w:val="0"/>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r w:rsidDel="00000000" w:rsidR="00000000" w:rsidRPr="00000000">
        <w:rPr>
          <w:rtl w:val="0"/>
        </w:rPr>
      </w:r>
    </w:p>
    <w:p w:rsidR="00000000" w:rsidDel="00000000" w:rsidP="00000000" w:rsidRDefault="00000000" w:rsidRPr="00000000" w14:paraId="00000244">
      <w:pPr>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Décimo.</w:t>
      </w:r>
      <w:r w:rsidDel="00000000" w:rsidR="00000000" w:rsidRPr="00000000">
        <w:rPr>
          <w:rFonts w:ascii="Palatino Linotype" w:cs="Palatino Linotype" w:eastAsia="Palatino Linotype" w:hAnsi="Palatino Linotype"/>
          <w:i w:val="1"/>
          <w:sz w:val="22"/>
          <w:szCs w:val="22"/>
          <w:rtl w:val="0"/>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r w:rsidDel="00000000" w:rsidR="00000000" w:rsidRPr="00000000">
        <w:rPr>
          <w:rtl w:val="0"/>
        </w:rPr>
      </w:r>
    </w:p>
    <w:p w:rsidR="00000000" w:rsidDel="00000000" w:rsidP="00000000" w:rsidRDefault="00000000" w:rsidRPr="00000000" w14:paraId="00000245">
      <w:pPr>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En ausencia de los titulares de las áreas, la información será clasificada o desclasificada por la persona que lo supla, en términos de la normativa que rija la actuación del sujeto obligado.</w:t>
      </w:r>
      <w:r w:rsidDel="00000000" w:rsidR="00000000" w:rsidRPr="00000000">
        <w:rPr>
          <w:rtl w:val="0"/>
        </w:rPr>
      </w:r>
    </w:p>
    <w:p w:rsidR="00000000" w:rsidDel="00000000" w:rsidP="00000000" w:rsidRDefault="00000000" w:rsidRPr="00000000" w14:paraId="00000246">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Décimo primero.</w:t>
      </w:r>
      <w:r w:rsidDel="00000000" w:rsidR="00000000" w:rsidRPr="00000000">
        <w:rPr>
          <w:rFonts w:ascii="Palatino Linotype" w:cs="Palatino Linotype" w:eastAsia="Palatino Linotype" w:hAnsi="Palatino Linotype"/>
          <w:i w:val="1"/>
          <w:sz w:val="22"/>
          <w:szCs w:val="22"/>
          <w:rtl w:val="0"/>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000000" w:rsidDel="00000000" w:rsidP="00000000" w:rsidRDefault="00000000" w:rsidRPr="00000000" w14:paraId="00000247">
      <w:pPr>
        <w:ind w:left="851" w:right="616"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48">
      <w:pPr>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249">
      <w:pPr>
        <w:ind w:left="851" w:right="616" w:firstLine="0"/>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CAPÍTULO VIII</w:t>
      </w:r>
      <w:r w:rsidDel="00000000" w:rsidR="00000000" w:rsidRPr="00000000">
        <w:rPr>
          <w:rtl w:val="0"/>
        </w:rPr>
      </w:r>
    </w:p>
    <w:p w:rsidR="00000000" w:rsidDel="00000000" w:rsidP="00000000" w:rsidRDefault="00000000" w:rsidRPr="00000000" w14:paraId="0000024A">
      <w:pPr>
        <w:spacing w:after="160" w:lineRule="auto"/>
        <w:ind w:left="851" w:right="616" w:firstLine="0"/>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DE LOS ELEMENTOS PARA LA CLASIFICACIÓN</w:t>
      </w:r>
    </w:p>
    <w:p w:rsidR="00000000" w:rsidDel="00000000" w:rsidP="00000000" w:rsidRDefault="00000000" w:rsidRPr="00000000" w14:paraId="0000024B">
      <w:pPr>
        <w:spacing w:after="16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w:t>
      </w:r>
      <w:r w:rsidDel="00000000" w:rsidR="00000000" w:rsidRPr="00000000">
        <w:rPr>
          <w:rFonts w:ascii="Palatino Linotype" w:cs="Palatino Linotype" w:eastAsia="Palatino Linotype" w:hAnsi="Palatino Linotype"/>
          <w:i w:val="1"/>
          <w:sz w:val="22"/>
          <w:szCs w:val="22"/>
          <w:rtl w:val="0"/>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rsidR="00000000" w:rsidDel="00000000" w:rsidP="00000000" w:rsidRDefault="00000000" w:rsidRPr="00000000" w14:paraId="0000024C">
      <w:pPr>
        <w:spacing w:after="16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primero</w:t>
      </w:r>
      <w:r w:rsidDel="00000000" w:rsidR="00000000" w:rsidRPr="00000000">
        <w:rPr>
          <w:rFonts w:ascii="Palatino Linotype" w:cs="Palatino Linotype" w:eastAsia="Palatino Linotype" w:hAnsi="Palatino Linotype"/>
          <w:i w:val="1"/>
          <w:sz w:val="22"/>
          <w:szCs w:val="22"/>
          <w:rtl w:val="0"/>
        </w:rPr>
        <w:t xml:space="preserve">. Toda acta del Comité de Transparencia deberá contener:</w:t>
      </w:r>
    </w:p>
    <w:p w:rsidR="00000000" w:rsidDel="00000000" w:rsidP="00000000" w:rsidRDefault="00000000" w:rsidRPr="00000000" w14:paraId="0000024D">
      <w:pPr>
        <w:spacing w:after="16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El número de sesión y fecha; </w:t>
      </w:r>
    </w:p>
    <w:p w:rsidR="00000000" w:rsidDel="00000000" w:rsidP="00000000" w:rsidRDefault="00000000" w:rsidRPr="00000000" w14:paraId="0000024E">
      <w:pPr>
        <w:spacing w:after="16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El nombre del área que solicitó la clasificación de información;</w:t>
      </w:r>
    </w:p>
    <w:p w:rsidR="00000000" w:rsidDel="00000000" w:rsidP="00000000" w:rsidRDefault="00000000" w:rsidRPr="00000000" w14:paraId="0000024F">
      <w:pPr>
        <w:spacing w:after="16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La fundamentación legal y motivación correspondiente;</w:t>
      </w:r>
    </w:p>
    <w:p w:rsidR="00000000" w:rsidDel="00000000" w:rsidP="00000000" w:rsidRDefault="00000000" w:rsidRPr="00000000" w14:paraId="00000250">
      <w:pPr>
        <w:spacing w:after="16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La resolución o resoluciones aprobadas; y</w:t>
      </w:r>
    </w:p>
    <w:p w:rsidR="00000000" w:rsidDel="00000000" w:rsidP="00000000" w:rsidRDefault="00000000" w:rsidRPr="00000000" w14:paraId="00000251">
      <w:pPr>
        <w:spacing w:after="16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La rúbrica o firma digital de cada integrante del Comité de Transparencia. </w:t>
      </w:r>
    </w:p>
    <w:p w:rsidR="00000000" w:rsidDel="00000000" w:rsidP="00000000" w:rsidRDefault="00000000" w:rsidRPr="00000000" w14:paraId="00000252">
      <w:pPr>
        <w:spacing w:after="16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Las resoluciones del Comité en las que se haya determinado confirmar o modificar la clasificación de información pública como reservada, deberán incluir, cuando menos:</w:t>
      </w:r>
    </w:p>
    <w:p w:rsidR="00000000" w:rsidDel="00000000" w:rsidP="00000000" w:rsidRDefault="00000000" w:rsidRPr="00000000" w14:paraId="00000253">
      <w:pPr>
        <w:spacing w:after="16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Los motivos y razonamientos que sustenten la confirmación o modificación de la prueba de daño;</w:t>
      </w:r>
    </w:p>
    <w:p w:rsidR="00000000" w:rsidDel="00000000" w:rsidP="00000000" w:rsidRDefault="00000000" w:rsidRPr="00000000" w14:paraId="00000254">
      <w:pPr>
        <w:spacing w:after="16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Descripción de las partes o secciones reservadas, en caso de clasificación parcial;</w:t>
      </w:r>
    </w:p>
    <w:p w:rsidR="00000000" w:rsidDel="00000000" w:rsidP="00000000" w:rsidRDefault="00000000" w:rsidRPr="00000000" w14:paraId="00000255">
      <w:pPr>
        <w:spacing w:after="16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El periodo por el que mantendrá su clasificación y fecha de expiración; y</w:t>
      </w:r>
    </w:p>
    <w:p w:rsidR="00000000" w:rsidDel="00000000" w:rsidP="00000000" w:rsidRDefault="00000000" w:rsidRPr="00000000" w14:paraId="00000256">
      <w:pPr>
        <w:spacing w:after="16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El nombre del titular y área encargada de realizar la versión pública del documento, en su caso.</w:t>
      </w:r>
    </w:p>
    <w:p w:rsidR="00000000" w:rsidDel="00000000" w:rsidP="00000000" w:rsidRDefault="00000000" w:rsidRPr="00000000" w14:paraId="00000257">
      <w:pPr>
        <w:spacing w:after="16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los casos en que se clasifique la información como reservada siempre se entregará o anexará la prueba de daño con la respuesta al solicitante. </w:t>
      </w:r>
    </w:p>
    <w:p w:rsidR="00000000" w:rsidDel="00000000" w:rsidP="00000000" w:rsidRDefault="00000000" w:rsidRPr="00000000" w14:paraId="00000258">
      <w:pPr>
        <w:spacing w:after="16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los casos de resoluciones del Comité de Transparencia en las que se confirme la clasificación de información confidencial solo se deberán de identificar los tipos de datos protegidos, de conformidad con el lineamiento trigésimo octavo.</w:t>
      </w:r>
    </w:p>
    <w:p w:rsidR="00000000" w:rsidDel="00000000" w:rsidP="00000000" w:rsidRDefault="00000000" w:rsidRPr="00000000" w14:paraId="00000259">
      <w:pPr>
        <w:spacing w:after="16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segundo</w:t>
      </w:r>
      <w:r w:rsidDel="00000000" w:rsidR="00000000" w:rsidRPr="00000000">
        <w:rPr>
          <w:rFonts w:ascii="Palatino Linotype" w:cs="Palatino Linotype" w:eastAsia="Palatino Linotype" w:hAnsi="Palatino Linotype"/>
          <w:i w:val="1"/>
          <w:sz w:val="22"/>
          <w:szCs w:val="22"/>
          <w:rtl w:val="0"/>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rsidR="00000000" w:rsidDel="00000000" w:rsidP="00000000" w:rsidRDefault="00000000" w:rsidRPr="00000000" w14:paraId="0000025A">
      <w:pPr>
        <w:spacing w:after="16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el caso específico de la clasificación y elaboración de versiones públicas de documentos que contengan información confidencial, las áreas de los sujetos obligados deberán:</w:t>
      </w:r>
    </w:p>
    <w:p w:rsidR="00000000" w:rsidDel="00000000" w:rsidP="00000000" w:rsidRDefault="00000000" w:rsidRPr="00000000" w14:paraId="0000025B">
      <w:pPr>
        <w:spacing w:after="16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Fijar la fecha en que se elaboró la versión pública y la fecha en la cual el Comité de Transparencia confirmó dicha versión;</w:t>
      </w:r>
    </w:p>
    <w:p w:rsidR="00000000" w:rsidDel="00000000" w:rsidP="00000000" w:rsidRDefault="00000000" w:rsidRPr="00000000" w14:paraId="0000025C">
      <w:pPr>
        <w:spacing w:after="16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Señalar dentro del documento el tipo de información confidencial que fue testada en cada caso específico, de conformidad con el lineamiento trigésimo octavo; y</w:t>
      </w:r>
    </w:p>
    <w:p w:rsidR="00000000" w:rsidDel="00000000" w:rsidP="00000000" w:rsidRDefault="00000000" w:rsidRPr="00000000" w14:paraId="0000025D">
      <w:pPr>
        <w:spacing w:after="16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Señalar las personas o instancias autorizadas a acceder a la información clasificada.</w:t>
      </w:r>
    </w:p>
    <w:p w:rsidR="00000000" w:rsidDel="00000000" w:rsidP="00000000" w:rsidRDefault="00000000" w:rsidRPr="00000000" w14:paraId="0000025E">
      <w:pPr>
        <w:spacing w:after="16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los documentos de difusión electrónica, señalar en la primera hoja y en el nombre del archivo, que la versión pública corresponde a un documento que contiene información confidencial.</w:t>
      </w:r>
    </w:p>
    <w:p w:rsidR="00000000" w:rsidDel="00000000" w:rsidP="00000000" w:rsidRDefault="00000000" w:rsidRPr="00000000" w14:paraId="0000025F">
      <w:pPr>
        <w:spacing w:after="16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260">
      <w:pPr>
        <w:spacing w:after="16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rsidR="00000000" w:rsidDel="00000000" w:rsidP="00000000" w:rsidRDefault="00000000" w:rsidRPr="00000000" w14:paraId="00000261">
      <w:pPr>
        <w:spacing w:after="160"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Quincuagésimo quinto.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26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6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Efectivamente, cuando se clasifica información como confidencial es importante someterlo al Comité de Transparencia, quien debe confirmar, modificar o revocar la clasificación.</w:t>
      </w:r>
    </w:p>
    <w:p w:rsidR="00000000" w:rsidDel="00000000" w:rsidP="00000000" w:rsidRDefault="00000000" w:rsidRPr="00000000" w14:paraId="0000026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265">
      <w:pPr>
        <w:shd w:fill="ffffff" w:val="clea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tanto, la entrega de documentos en su versión pública debe acompañarse necesariamente del Acuerdo del Comité de Transparencia que la sustente, en el que se expongan los fundamentos y razonamientos que llevaron al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266">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con fundamento en lo prescrito en los artículos 5g párrafos trigésimo segundo, trigésimo tercero y trigésimo cuarto de la Constitución Política del Estado Libre y Soberano de México; 2, fracción II; 29, 36 fracciones I y II; 176, 178, 181, 185 y 186 fracción II de la Ley de Transparencia y Acceso a la Información Pública del Estado de México y Municipios, este Pleno:</w:t>
      </w:r>
    </w:p>
    <w:p w:rsidR="00000000" w:rsidDel="00000000" w:rsidP="00000000" w:rsidRDefault="00000000" w:rsidRPr="00000000" w14:paraId="00000267">
      <w:pPr>
        <w:pBdr>
          <w:top w:space="0" w:sz="0" w:val="nil"/>
          <w:left w:space="0" w:sz="0" w:val="nil"/>
          <w:bottom w:space="0" w:sz="0" w:val="nil"/>
          <w:right w:space="0" w:sz="0" w:val="nil"/>
          <w:between w:space="0" w:sz="0" w:val="nil"/>
        </w:pBdr>
        <w:spacing w:after="240" w:before="240" w:line="360" w:lineRule="auto"/>
        <w:jc w:val="center"/>
        <w:rPr>
          <w:rFonts w:ascii="Palatino Linotype" w:cs="Palatino Linotype" w:eastAsia="Palatino Linotype" w:hAnsi="Palatino Linotype"/>
          <w:b w:val="1"/>
          <w:sz w:val="22"/>
          <w:szCs w:val="22"/>
        </w:rPr>
      </w:pPr>
      <w:bookmarkStart w:colFirst="0" w:colLast="0" w:name="_heading=h.ijv98pntcd5s" w:id="9"/>
      <w:bookmarkEnd w:id="9"/>
      <w:r w:rsidDel="00000000" w:rsidR="00000000" w:rsidRPr="00000000">
        <w:rPr>
          <w:rFonts w:ascii="Palatino Linotype" w:cs="Palatino Linotype" w:eastAsia="Palatino Linotype" w:hAnsi="Palatino Linotype"/>
          <w:b w:val="1"/>
          <w:sz w:val="22"/>
          <w:szCs w:val="22"/>
          <w:rtl w:val="0"/>
        </w:rPr>
        <w:t xml:space="preserve">III. R E S U E L V E</w:t>
      </w:r>
    </w:p>
    <w:p w:rsidR="00000000" w:rsidDel="00000000" w:rsidP="00000000" w:rsidRDefault="00000000" w:rsidRPr="00000000" w14:paraId="00000268">
      <w:pPr>
        <w:spacing w:after="240" w:before="240" w:line="360" w:lineRule="auto"/>
        <w:jc w:val="both"/>
        <w:rPr>
          <w:rFonts w:ascii="Palatino Linotype" w:cs="Palatino Linotype" w:eastAsia="Palatino Linotype" w:hAnsi="Palatino Linotype"/>
          <w:sz w:val="22"/>
          <w:szCs w:val="22"/>
        </w:rPr>
      </w:pPr>
      <w:bookmarkStart w:colFirst="0" w:colLast="0" w:name="_heading=h.26in1rg" w:id="10"/>
      <w:bookmarkEnd w:id="10"/>
      <w:r w:rsidDel="00000000" w:rsidR="00000000" w:rsidRPr="00000000">
        <w:rPr>
          <w:rFonts w:ascii="Palatino Linotype" w:cs="Palatino Linotype" w:eastAsia="Palatino Linotype" w:hAnsi="Palatino Linotype"/>
          <w:b w:val="1"/>
          <w:sz w:val="22"/>
          <w:szCs w:val="22"/>
          <w:rtl w:val="0"/>
        </w:rPr>
        <w:t xml:space="preserve">Primero. </w:t>
      </w:r>
      <w:r w:rsidDel="00000000" w:rsidR="00000000" w:rsidRPr="00000000">
        <w:rPr>
          <w:rFonts w:ascii="Palatino Linotype" w:cs="Palatino Linotype" w:eastAsia="Palatino Linotype" w:hAnsi="Palatino Linotype"/>
          <w:sz w:val="22"/>
          <w:szCs w:val="22"/>
          <w:rtl w:val="0"/>
        </w:rPr>
        <w:t xml:space="preserve">Resultan </w:t>
      </w:r>
      <w:r w:rsidDel="00000000" w:rsidR="00000000" w:rsidRPr="00000000">
        <w:rPr>
          <w:rFonts w:ascii="Palatino Linotype" w:cs="Palatino Linotype" w:eastAsia="Palatino Linotype" w:hAnsi="Palatino Linotype"/>
          <w:b w:val="1"/>
          <w:sz w:val="22"/>
          <w:szCs w:val="22"/>
          <w:rtl w:val="0"/>
        </w:rPr>
        <w:t xml:space="preserve">parcialmente fundadas</w:t>
      </w:r>
      <w:r w:rsidDel="00000000" w:rsidR="00000000" w:rsidRPr="00000000">
        <w:rPr>
          <w:rFonts w:ascii="Palatino Linotype" w:cs="Palatino Linotype" w:eastAsia="Palatino Linotype" w:hAnsi="Palatino Linotype"/>
          <w:sz w:val="22"/>
          <w:szCs w:val="22"/>
          <w:rtl w:val="0"/>
        </w:rPr>
        <w:t xml:space="preserve"> las razones o motivos de inconformidad hechos valer por la parte</w:t>
      </w:r>
      <w:r w:rsidDel="00000000" w:rsidR="00000000" w:rsidRPr="00000000">
        <w:rPr>
          <w:rFonts w:ascii="Palatino Linotype" w:cs="Palatino Linotype" w:eastAsia="Palatino Linotype" w:hAnsi="Palatino Linotype"/>
          <w:b w:val="1"/>
          <w:sz w:val="22"/>
          <w:szCs w:val="22"/>
          <w:rtl w:val="0"/>
        </w:rPr>
        <w:t xml:space="preserve"> Recurrente</w:t>
      </w:r>
      <w:r w:rsidDel="00000000" w:rsidR="00000000" w:rsidRPr="00000000">
        <w:rPr>
          <w:rFonts w:ascii="Palatino Linotype" w:cs="Palatino Linotype" w:eastAsia="Palatino Linotype" w:hAnsi="Palatino Linotype"/>
          <w:sz w:val="22"/>
          <w:szCs w:val="22"/>
          <w:rtl w:val="0"/>
        </w:rPr>
        <w:t xml:space="preserve"> en el recurso de revisión </w:t>
      </w:r>
      <w:r w:rsidDel="00000000" w:rsidR="00000000" w:rsidRPr="00000000">
        <w:rPr>
          <w:rFonts w:ascii="Palatino Linotype" w:cs="Palatino Linotype" w:eastAsia="Palatino Linotype" w:hAnsi="Palatino Linotype"/>
          <w:b w:val="1"/>
          <w:sz w:val="22"/>
          <w:szCs w:val="22"/>
          <w:rtl w:val="0"/>
        </w:rPr>
        <w:t xml:space="preserve">06229/INFOEM/IP/RR/2024</w:t>
      </w:r>
      <w:r w:rsidDel="00000000" w:rsidR="00000000" w:rsidRPr="00000000">
        <w:rPr>
          <w:rFonts w:ascii="Palatino Linotype" w:cs="Palatino Linotype" w:eastAsia="Palatino Linotype" w:hAnsi="Palatino Linotype"/>
          <w:sz w:val="22"/>
          <w:szCs w:val="22"/>
          <w:rtl w:val="0"/>
        </w:rPr>
        <w:t xml:space="preserve">; por lo que, en términos del </w:t>
      </w:r>
      <w:r w:rsidDel="00000000" w:rsidR="00000000" w:rsidRPr="00000000">
        <w:rPr>
          <w:rFonts w:ascii="Palatino Linotype" w:cs="Palatino Linotype" w:eastAsia="Palatino Linotype" w:hAnsi="Palatino Linotype"/>
          <w:b w:val="1"/>
          <w:sz w:val="22"/>
          <w:szCs w:val="22"/>
          <w:rtl w:val="0"/>
        </w:rPr>
        <w:t xml:space="preserve">Considerando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Cuarto </w:t>
      </w:r>
      <w:r w:rsidDel="00000000" w:rsidR="00000000" w:rsidRPr="00000000">
        <w:rPr>
          <w:rFonts w:ascii="Palatino Linotype" w:cs="Palatino Linotype" w:eastAsia="Palatino Linotype" w:hAnsi="Palatino Linotype"/>
          <w:sz w:val="22"/>
          <w:szCs w:val="22"/>
          <w:rtl w:val="0"/>
        </w:rPr>
        <w:t xml:space="preserve">de esta resolución, se </w:t>
      </w:r>
      <w:r w:rsidDel="00000000" w:rsidR="00000000" w:rsidRPr="00000000">
        <w:rPr>
          <w:rFonts w:ascii="Palatino Linotype" w:cs="Palatino Linotype" w:eastAsia="Palatino Linotype" w:hAnsi="Palatino Linotype"/>
          <w:b w:val="1"/>
          <w:sz w:val="22"/>
          <w:szCs w:val="22"/>
          <w:rtl w:val="0"/>
        </w:rPr>
        <w:t xml:space="preserve">Modifica </w:t>
      </w:r>
      <w:r w:rsidDel="00000000" w:rsidR="00000000" w:rsidRPr="00000000">
        <w:rPr>
          <w:rFonts w:ascii="Palatino Linotype" w:cs="Palatino Linotype" w:eastAsia="Palatino Linotype" w:hAnsi="Palatino Linotype"/>
          <w:sz w:val="22"/>
          <w:szCs w:val="22"/>
          <w:rtl w:val="0"/>
        </w:rPr>
        <w:t xml:space="preserve">la respuesta emitida por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tl w:val="0"/>
        </w:rPr>
      </w:r>
    </w:p>
    <w:p w:rsidR="00000000" w:rsidDel="00000000" w:rsidP="00000000" w:rsidRDefault="00000000" w:rsidRPr="00000000" w14:paraId="00000269">
      <w:pPr>
        <w:spacing w:after="240" w:before="240" w:line="360" w:lineRule="auto"/>
        <w:ind w:right="49"/>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Segundo. </w:t>
      </w:r>
      <w:r w:rsidDel="00000000" w:rsidR="00000000" w:rsidRPr="00000000">
        <w:rPr>
          <w:rFonts w:ascii="Palatino Linotype" w:cs="Palatino Linotype" w:eastAsia="Palatino Linotype" w:hAnsi="Palatino Linotype"/>
          <w:sz w:val="22"/>
          <w:szCs w:val="22"/>
          <w:rtl w:val="0"/>
        </w:rPr>
        <w:t xml:space="preserve">Se </w:t>
      </w:r>
      <w:r w:rsidDel="00000000" w:rsidR="00000000" w:rsidRPr="00000000">
        <w:rPr>
          <w:rFonts w:ascii="Palatino Linotype" w:cs="Palatino Linotype" w:eastAsia="Palatino Linotype" w:hAnsi="Palatino Linotype"/>
          <w:b w:val="1"/>
          <w:sz w:val="22"/>
          <w:szCs w:val="22"/>
          <w:rtl w:val="0"/>
        </w:rPr>
        <w:t xml:space="preserve">Ordena </w:t>
      </w:r>
      <w:r w:rsidDel="00000000" w:rsidR="00000000" w:rsidRPr="00000000">
        <w:rPr>
          <w:rFonts w:ascii="Palatino Linotype" w:cs="Palatino Linotype" w:eastAsia="Palatino Linotype" w:hAnsi="Palatino Linotype"/>
          <w:sz w:val="22"/>
          <w:szCs w:val="22"/>
          <w:rtl w:val="0"/>
        </w:rPr>
        <w:t xml:space="preserve">al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haga entrega, a la parte</w:t>
      </w:r>
      <w:r w:rsidDel="00000000" w:rsidR="00000000" w:rsidRPr="00000000">
        <w:rPr>
          <w:rFonts w:ascii="Palatino Linotype" w:cs="Palatino Linotype" w:eastAsia="Palatino Linotype" w:hAnsi="Palatino Linotype"/>
          <w:b w:val="1"/>
          <w:sz w:val="22"/>
          <w:szCs w:val="22"/>
          <w:rtl w:val="0"/>
        </w:rPr>
        <w:t xml:space="preserve"> Recurrente,</w:t>
      </w:r>
      <w:r w:rsidDel="00000000" w:rsidR="00000000" w:rsidRPr="00000000">
        <w:rPr>
          <w:rFonts w:ascii="Palatino Linotype" w:cs="Palatino Linotype" w:eastAsia="Palatino Linotype" w:hAnsi="Palatino Linotype"/>
          <w:sz w:val="22"/>
          <w:szCs w:val="22"/>
          <w:rtl w:val="0"/>
        </w:rPr>
        <w:t xml:space="preserve"> vía </w:t>
      </w:r>
      <w:r w:rsidDel="00000000" w:rsidR="00000000" w:rsidRPr="00000000">
        <w:rPr>
          <w:rFonts w:ascii="Palatino Linotype" w:cs="Palatino Linotype" w:eastAsia="Palatino Linotype" w:hAnsi="Palatino Linotype"/>
          <w:b w:val="1"/>
          <w:sz w:val="22"/>
          <w:szCs w:val="22"/>
          <w:rtl w:val="0"/>
        </w:rPr>
        <w:t xml:space="preserve">SAIMEX, </w:t>
      </w:r>
      <w:r w:rsidDel="00000000" w:rsidR="00000000" w:rsidRPr="00000000">
        <w:rPr>
          <w:rFonts w:ascii="Palatino Linotype" w:cs="Palatino Linotype" w:eastAsia="Palatino Linotype" w:hAnsi="Palatino Linotype"/>
          <w:sz w:val="22"/>
          <w:szCs w:val="22"/>
          <w:rtl w:val="0"/>
        </w:rPr>
        <w:t xml:space="preserve">en términos de los </w:t>
      </w:r>
      <w:r w:rsidDel="00000000" w:rsidR="00000000" w:rsidRPr="00000000">
        <w:rPr>
          <w:rFonts w:ascii="Palatino Linotype" w:cs="Palatino Linotype" w:eastAsia="Palatino Linotype" w:hAnsi="Palatino Linotype"/>
          <w:b w:val="1"/>
          <w:sz w:val="22"/>
          <w:szCs w:val="22"/>
          <w:rtl w:val="0"/>
        </w:rPr>
        <w:t xml:space="preserve">Considerandos</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Cuarto y Quinto, de lo siguiente:</w:t>
      </w:r>
    </w:p>
    <w:p w:rsidR="00000000" w:rsidDel="00000000" w:rsidP="00000000" w:rsidRDefault="00000000" w:rsidRPr="00000000" w14:paraId="0000026A">
      <w:pPr>
        <w:numPr>
          <w:ilvl w:val="0"/>
          <w:numId w:val="2"/>
        </w:numPr>
        <w:pBdr>
          <w:top w:space="0" w:sz="0" w:val="nil"/>
          <w:left w:space="0" w:sz="0" w:val="nil"/>
          <w:bottom w:space="0" w:sz="0" w:val="nil"/>
          <w:right w:space="0" w:sz="0" w:val="nil"/>
          <w:between w:space="0" w:sz="0" w:val="nil"/>
        </w:pBdr>
        <w:spacing w:line="360" w:lineRule="auto"/>
        <w:ind w:left="851" w:right="616" w:firstLine="0"/>
        <w:rPr>
          <w:rFonts w:ascii="Palatino Linotype" w:cs="Palatino Linotype" w:eastAsia="Palatino Linotype" w:hAnsi="Palatino Linotype"/>
          <w:sz w:val="22"/>
          <w:szCs w:val="22"/>
        </w:rPr>
      </w:pPr>
      <w:bookmarkStart w:colFirst="0" w:colLast="0" w:name="_heading=h.lnxbz9" w:id="11"/>
      <w:bookmarkEnd w:id="11"/>
      <w:r w:rsidDel="00000000" w:rsidR="00000000" w:rsidRPr="00000000">
        <w:rPr>
          <w:rFonts w:ascii="Palatino Linotype" w:cs="Palatino Linotype" w:eastAsia="Palatino Linotype" w:hAnsi="Palatino Linotype"/>
          <w:sz w:val="22"/>
          <w:szCs w:val="22"/>
          <w:rtl w:val="0"/>
        </w:rPr>
        <w:t xml:space="preserve">Los recibos de nómina de los servidores públicos adscritos al Órgano Interno de Control de la Junta de Caminos del Estado de México remitidos en respuesta, en una correcta versión pública.</w:t>
      </w:r>
    </w:p>
    <w:p w:rsidR="00000000" w:rsidDel="00000000" w:rsidP="00000000" w:rsidRDefault="00000000" w:rsidRPr="00000000" w14:paraId="0000026B">
      <w:pPr>
        <w:numPr>
          <w:ilvl w:val="0"/>
          <w:numId w:val="2"/>
        </w:numPr>
        <w:pBdr>
          <w:top w:space="0" w:sz="0" w:val="nil"/>
          <w:left w:space="0" w:sz="0" w:val="nil"/>
          <w:bottom w:space="0" w:sz="0" w:val="nil"/>
          <w:right w:space="0" w:sz="0" w:val="nil"/>
          <w:between w:space="0" w:sz="0" w:val="nil"/>
        </w:pBdr>
        <w:spacing w:line="360" w:lineRule="auto"/>
        <w:ind w:left="851" w:right="616" w:firstLine="0"/>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Los recibos de nómina de los servidores públicos adscritos al Órgano Interno de Control de la Junta de Caminos del Estado de México faltantes, en versión pública, de la primera quincena de enero a la segunda quincena de agosto de dos mil veinticuatro.</w:t>
      </w:r>
    </w:p>
    <w:p w:rsidR="00000000" w:rsidDel="00000000" w:rsidP="00000000" w:rsidRDefault="00000000" w:rsidRPr="00000000" w14:paraId="0000026C">
      <w:pPr>
        <w:pBdr>
          <w:top w:space="0" w:sz="0" w:val="nil"/>
          <w:left w:space="0" w:sz="0" w:val="nil"/>
          <w:bottom w:space="0" w:sz="0" w:val="nil"/>
          <w:right w:space="0" w:sz="0" w:val="nil"/>
          <w:between w:space="0" w:sz="0" w:val="nil"/>
        </w:pBdr>
        <w:spacing w:after="120" w:before="240"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w:t>
      </w:r>
      <w:r w:rsidDel="00000000" w:rsidR="00000000" w:rsidRPr="00000000">
        <w:rPr>
          <w:rFonts w:ascii="Palatino Linotype" w:cs="Palatino Linotype" w:eastAsia="Palatino Linotype" w:hAnsi="Palatino Linotype"/>
          <w:b w:val="1"/>
          <w:i w:val="1"/>
          <w:sz w:val="22"/>
          <w:szCs w:val="22"/>
          <w:rtl w:val="0"/>
        </w:rPr>
        <w:t xml:space="preserve">Recurrente</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26D">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Tercero. Notifíquese </w:t>
      </w:r>
      <w:r w:rsidDel="00000000" w:rsidR="00000000" w:rsidRPr="00000000">
        <w:rPr>
          <w:rFonts w:ascii="Palatino Linotype" w:cs="Palatino Linotype" w:eastAsia="Palatino Linotype" w:hAnsi="Palatino Linotype"/>
          <w:sz w:val="22"/>
          <w:szCs w:val="22"/>
          <w:rtl w:val="0"/>
        </w:rPr>
        <w:t xml:space="preserve">vía</w:t>
      </w:r>
      <w:r w:rsidDel="00000000" w:rsidR="00000000" w:rsidRPr="00000000">
        <w:rPr>
          <w:rFonts w:ascii="Palatino Linotype" w:cs="Palatino Linotype" w:eastAsia="Palatino Linotype" w:hAnsi="Palatino Linotype"/>
          <w:b w:val="1"/>
          <w:sz w:val="22"/>
          <w:szCs w:val="22"/>
          <w:rtl w:val="0"/>
        </w:rPr>
        <w:t xml:space="preserve"> SAIMEX, </w:t>
      </w:r>
      <w:r w:rsidDel="00000000" w:rsidR="00000000" w:rsidRPr="00000000">
        <w:rPr>
          <w:rFonts w:ascii="Palatino Linotype" w:cs="Palatino Linotype" w:eastAsia="Palatino Linotype" w:hAnsi="Palatino Linotype"/>
          <w:sz w:val="22"/>
          <w:szCs w:val="22"/>
          <w:rtl w:val="0"/>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000000" w:rsidDel="00000000" w:rsidP="00000000" w:rsidRDefault="00000000" w:rsidRPr="00000000" w14:paraId="0000026E">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Cuarto. </w:t>
      </w:r>
      <w:r w:rsidDel="00000000" w:rsidR="00000000" w:rsidRPr="00000000">
        <w:rPr>
          <w:rFonts w:ascii="Palatino Linotype" w:cs="Palatino Linotype" w:eastAsia="Palatino Linotype" w:hAnsi="Palatino Linotype"/>
          <w:sz w:val="22"/>
          <w:szCs w:val="22"/>
          <w:rtl w:val="0"/>
        </w:rPr>
        <w:t xml:space="preserve">De conformidad con el artículo 198 de la Ley de Transparencia y Acceso a la Información Pública del Estado de México y Municipios, de considerarlo procedente,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de manera fundada y motivada, podrá solicitar una ampliación de plazo para el cumplimiento de la presente resolución.</w:t>
      </w:r>
    </w:p>
    <w:p w:rsidR="00000000" w:rsidDel="00000000" w:rsidP="00000000" w:rsidRDefault="00000000" w:rsidRPr="00000000" w14:paraId="0000026F">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Quinto. Notifíquese </w:t>
      </w:r>
      <w:r w:rsidDel="00000000" w:rsidR="00000000" w:rsidRPr="00000000">
        <w:rPr>
          <w:rFonts w:ascii="Palatino Linotype" w:cs="Palatino Linotype" w:eastAsia="Palatino Linotype" w:hAnsi="Palatino Linotype"/>
          <w:sz w:val="22"/>
          <w:szCs w:val="22"/>
          <w:rtl w:val="0"/>
        </w:rPr>
        <w:t xml:space="preserve">vía</w:t>
      </w:r>
      <w:r w:rsidDel="00000000" w:rsidR="00000000" w:rsidRPr="00000000">
        <w:rPr>
          <w:rFonts w:ascii="Palatino Linotype" w:cs="Palatino Linotype" w:eastAsia="Palatino Linotype" w:hAnsi="Palatino Linotype"/>
          <w:b w:val="1"/>
          <w:sz w:val="22"/>
          <w:szCs w:val="22"/>
          <w:rtl w:val="0"/>
        </w:rPr>
        <w:t xml:space="preserve"> SAIMEX, </w:t>
      </w:r>
      <w:r w:rsidDel="00000000" w:rsidR="00000000" w:rsidRPr="00000000">
        <w:rPr>
          <w:rFonts w:ascii="Palatino Linotype" w:cs="Palatino Linotype" w:eastAsia="Palatino Linotype" w:hAnsi="Palatino Linotype"/>
          <w:sz w:val="22"/>
          <w:szCs w:val="22"/>
          <w:rtl w:val="0"/>
        </w:rPr>
        <w:t xml:space="preserve">a</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la parte</w:t>
      </w:r>
      <w:r w:rsidDel="00000000" w:rsidR="00000000" w:rsidRPr="00000000">
        <w:rPr>
          <w:rFonts w:ascii="Palatino Linotype" w:cs="Palatino Linotype" w:eastAsia="Palatino Linotype" w:hAnsi="Palatino Linotype"/>
          <w:b w:val="1"/>
          <w:sz w:val="22"/>
          <w:szCs w:val="22"/>
          <w:rtl w:val="0"/>
        </w:rPr>
        <w:t xml:space="preserve"> Recurrente</w:t>
      </w:r>
      <w:r w:rsidDel="00000000" w:rsidR="00000000" w:rsidRPr="00000000">
        <w:rPr>
          <w:rFonts w:ascii="Palatino Linotype" w:cs="Palatino Linotype" w:eastAsia="Palatino Linotype" w:hAnsi="Palatino Linotype"/>
          <w:sz w:val="22"/>
          <w:szCs w:val="22"/>
          <w:rtl w:val="0"/>
        </w:rPr>
        <w:t xml:space="preserve"> la presente resolución, así como que podrá impugnar vía Juicio de Amparo en los términos de las leyes aplicables, de conformidad con lo establecido en el artículo 196 de la Ley de Transparencia y Acceso a la Información Pública del Estado de México y Municipios. </w:t>
      </w:r>
    </w:p>
    <w:p w:rsidR="00000000" w:rsidDel="00000000" w:rsidP="00000000" w:rsidRDefault="00000000" w:rsidRPr="00000000" w14:paraId="00000270">
      <w:pPr>
        <w:widowControl w:val="0"/>
        <w:tabs>
          <w:tab w:val="left" w:leader="none" w:pos="1701"/>
        </w:tabs>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Sexto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Gírese oficio </w:t>
      </w:r>
      <w:r w:rsidDel="00000000" w:rsidR="00000000" w:rsidRPr="00000000">
        <w:rPr>
          <w:rFonts w:ascii="Palatino Linotype" w:cs="Palatino Linotype" w:eastAsia="Palatino Linotype" w:hAnsi="Palatino Linotype"/>
          <w:sz w:val="22"/>
          <w:szCs w:val="22"/>
          <w:rtl w:val="0"/>
        </w:rPr>
        <w:t xml:space="preserve">a la </w:t>
      </w:r>
      <w:r w:rsidDel="00000000" w:rsidR="00000000" w:rsidRPr="00000000">
        <w:rPr>
          <w:rFonts w:ascii="Palatino Linotype" w:cs="Palatino Linotype" w:eastAsia="Palatino Linotype" w:hAnsi="Palatino Linotype"/>
          <w:b w:val="1"/>
          <w:sz w:val="22"/>
          <w:szCs w:val="22"/>
          <w:rtl w:val="0"/>
        </w:rPr>
        <w:t xml:space="preserve">Dirección General de Protección de Datos Personales</w:t>
      </w:r>
      <w:r w:rsidDel="00000000" w:rsidR="00000000" w:rsidRPr="00000000">
        <w:rPr>
          <w:rFonts w:ascii="Palatino Linotype" w:cs="Palatino Linotype" w:eastAsia="Palatino Linotype" w:hAnsi="Palatino Linotype"/>
          <w:sz w:val="22"/>
          <w:szCs w:val="22"/>
          <w:rtl w:val="0"/>
        </w:rPr>
        <w:t xml:space="preserve"> en atención al artículo 82, fracción XXVII de la Ley de Protección de Datos Personales del Estado de México y Municipios, a fin de que determine lo conducente en términos del </w:t>
      </w:r>
      <w:r w:rsidDel="00000000" w:rsidR="00000000" w:rsidRPr="00000000">
        <w:rPr>
          <w:rFonts w:ascii="Palatino Linotype" w:cs="Palatino Linotype" w:eastAsia="Palatino Linotype" w:hAnsi="Palatino Linotype"/>
          <w:b w:val="1"/>
          <w:sz w:val="22"/>
          <w:szCs w:val="22"/>
          <w:rtl w:val="0"/>
        </w:rPr>
        <w:t xml:space="preserve">Considerando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Cuarto </w:t>
      </w:r>
      <w:r w:rsidDel="00000000" w:rsidR="00000000" w:rsidRPr="00000000">
        <w:rPr>
          <w:rFonts w:ascii="Palatino Linotype" w:cs="Palatino Linotype" w:eastAsia="Palatino Linotype" w:hAnsi="Palatino Linotype"/>
          <w:sz w:val="22"/>
          <w:szCs w:val="22"/>
          <w:rtl w:val="0"/>
        </w:rPr>
        <w:t xml:space="preserve">de la presente resolución.</w:t>
      </w:r>
    </w:p>
    <w:p w:rsidR="00000000" w:rsidDel="00000000" w:rsidP="00000000" w:rsidRDefault="00000000" w:rsidRPr="00000000" w14:paraId="00000271">
      <w:pPr>
        <w:spacing w:line="360" w:lineRule="auto"/>
        <w:jc w:val="both"/>
        <w:rPr>
          <w:rFonts w:ascii="Palatino Linotype" w:cs="Palatino Linotype" w:eastAsia="Palatino Linotype" w:hAnsi="Palatino Linotype"/>
          <w:sz w:val="22"/>
          <w:szCs w:val="22"/>
        </w:rPr>
        <w:sectPr>
          <w:headerReference r:id="rId31" w:type="default"/>
          <w:headerReference r:id="rId32" w:type="first"/>
          <w:footerReference r:id="rId33" w:type="default"/>
          <w:footerReference r:id="rId34" w:type="first"/>
          <w:pgSz w:h="15840" w:w="12240" w:orient="portrait"/>
          <w:pgMar w:bottom="1701" w:top="1985" w:left="1701" w:right="1701" w:header="709" w:footer="709"/>
          <w:pgNumType w:start="1"/>
          <w:titlePg w:val="1"/>
        </w:sectPr>
      </w:pPr>
      <w:bookmarkStart w:colFirst="0" w:colLast="0" w:name="_heading=h.1t3h5sf" w:id="12"/>
      <w:bookmarkEnd w:id="12"/>
      <w:r w:rsidDel="00000000" w:rsidR="00000000" w:rsidRPr="00000000">
        <w:rPr>
          <w:rFonts w:ascii="Palatino Linotype" w:cs="Palatino Linotype" w:eastAsia="Palatino Linotype" w:hAnsi="Palatino Linotype"/>
          <w:sz w:val="22"/>
          <w:szCs w:val="22"/>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SESIÓN ORDINARIA, CELEBRADA EL VEINTIUNO DE NOVIEMBRE DE DOS MIL VEINTICUATRO, ANTE EL SECRETARIO TÉCNICO DEL PLENO ALEXIS TAPIA RAMÍREZ. </w:t>
      </w:r>
    </w:p>
    <w:p w:rsidR="00000000" w:rsidDel="00000000" w:rsidP="00000000" w:rsidRDefault="00000000" w:rsidRPr="00000000" w14:paraId="00000272">
      <w:pPr>
        <w:spacing w:line="360" w:lineRule="auto"/>
        <w:jc w:val="both"/>
        <w:rPr>
          <w:rFonts w:ascii="Palatino Linotype" w:cs="Palatino Linotype" w:eastAsia="Palatino Linotype" w:hAnsi="Palatino Linotype"/>
          <w:sz w:val="22"/>
          <w:szCs w:val="22"/>
        </w:rPr>
      </w:pPr>
      <w:r w:rsidDel="00000000" w:rsidR="00000000" w:rsidRPr="00000000">
        <w:rPr>
          <w:rtl w:val="0"/>
        </w:rPr>
      </w:r>
    </w:p>
    <w:sectPr>
      <w:headerReference r:id="rId35" w:type="first"/>
      <w:footerReference r:id="rId36" w:type="first"/>
      <w:type w:val="nextPage"/>
      <w:pgSz w:h="15840" w:w="12240" w:orient="portrait"/>
      <w:pgMar w:bottom="1701" w:top="1985" w:left="1701" w:right="1701"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Georgia"/>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8B">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28C">
    <w:pPr>
      <w:pBdr>
        <w:top w:space="0" w:sz="0" w:val="nil"/>
        <w:left w:space="0" w:sz="0" w:val="nil"/>
        <w:bottom w:space="0" w:sz="0" w:val="nil"/>
        <w:right w:space="0" w:sz="0" w:val="nil"/>
        <w:between w:space="0" w:sz="0" w:val="nil"/>
      </w:pBdr>
      <w:tabs>
        <w:tab w:val="center" w:leader="none" w:pos="4252"/>
        <w:tab w:val="right" w:leader="none" w:pos="8504"/>
      </w:tabs>
      <w:ind w:firstLine="708"/>
      <w:rPr>
        <w:rFonts w:ascii="Cambria" w:cs="Cambria" w:eastAsia="Cambria" w:hAnsi="Cambria"/>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8D">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28E">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8F">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58</w:t>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290">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273">
      <w:pPr>
        <w:pBdr>
          <w:top w:space="0" w:sz="0" w:val="nil"/>
          <w:left w:space="0" w:sz="0" w:val="nil"/>
          <w:bottom w:space="0" w:sz="0" w:val="nil"/>
          <w:right w:space="0" w:sz="0" w:val="nil"/>
          <w:between w:space="0" w:sz="0" w:val="nil"/>
        </w:pBdr>
        <w:ind w:left="720" w:hanging="720"/>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w:t>
      </w:r>
      <w:r w:rsidDel="00000000" w:rsidR="00000000" w:rsidRPr="00000000">
        <w:rPr>
          <w:rFonts w:ascii="Palatino Linotype" w:cs="Palatino Linotype" w:eastAsia="Palatino Linotype" w:hAnsi="Palatino Linotype"/>
          <w:b w:val="1"/>
          <w:color w:val="000000"/>
          <w:sz w:val="16"/>
          <w:szCs w:val="16"/>
          <w:rtl w:val="0"/>
        </w:rPr>
        <w:t xml:space="preserve">Artículo 185.</w:t>
      </w:r>
      <w:r w:rsidDel="00000000" w:rsidR="00000000" w:rsidRPr="00000000">
        <w:rPr>
          <w:rFonts w:ascii="Palatino Linotype" w:cs="Palatino Linotype" w:eastAsia="Palatino Linotype" w:hAnsi="Palatino Linotype"/>
          <w:color w:val="000000"/>
          <w:sz w:val="16"/>
          <w:szCs w:val="16"/>
          <w:rtl w:val="0"/>
        </w:rPr>
        <w:t xml:space="preserve"> El Instituto resolverá el recurso de revisión conforme a lo siguiente: (…)</w:t>
      </w:r>
    </w:p>
    <w:p w:rsidR="00000000" w:rsidDel="00000000" w:rsidP="00000000" w:rsidRDefault="00000000" w:rsidRPr="00000000" w14:paraId="00000274">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75">
    <w:pPr>
      <w:rPr>
        <w:rFonts w:ascii="Cambria" w:cs="Cambria" w:eastAsia="Cambria" w:hAnsi="Cambria"/>
        <w:color w:val="000000"/>
      </w:rPr>
    </w:pPr>
    <w:r w:rsidDel="00000000" w:rsidR="00000000" w:rsidRPr="00000000">
      <w:rPr>
        <w:rtl w:val="0"/>
      </w:rPr>
    </w:r>
  </w:p>
  <w:tbl>
    <w:tblPr>
      <w:tblStyle w:val="Table6"/>
      <w:tblW w:w="5953.0" w:type="dxa"/>
      <w:jc w:val="left"/>
      <w:tblInd w:w="3261.0" w:type="dxa"/>
      <w:tblLayout w:type="fixed"/>
      <w:tblLook w:val="0400"/>
    </w:tblPr>
    <w:tblGrid>
      <w:gridCol w:w="2489"/>
      <w:gridCol w:w="3464"/>
      <w:tblGridChange w:id="0">
        <w:tblGrid>
          <w:gridCol w:w="2489"/>
          <w:gridCol w:w="3464"/>
        </w:tblGrid>
      </w:tblGridChange>
    </w:tblGrid>
    <w:tr>
      <w:trPr>
        <w:cantSplit w:val="0"/>
        <w:tblHeader w:val="0"/>
      </w:trPr>
      <w:tc>
        <w:tcPr>
          <w:shd w:fill="auto" w:val="clear"/>
        </w:tcPr>
        <w:p w:rsidR="00000000" w:rsidDel="00000000" w:rsidP="00000000" w:rsidRDefault="00000000" w:rsidRPr="00000000" w14:paraId="00000276">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277">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06229/INFOEM/IP/RR/2024</w:t>
          </w:r>
        </w:p>
      </w:tc>
    </w:tr>
    <w:tr>
      <w:trPr>
        <w:cantSplit w:val="0"/>
        <w:trHeight w:val="228" w:hRule="atLeast"/>
        <w:tblHeader w:val="0"/>
      </w:trPr>
      <w:tc>
        <w:tcPr>
          <w:shd w:fill="auto" w:val="clear"/>
          <w:vAlign w:val="center"/>
        </w:tcPr>
        <w:p w:rsidR="00000000" w:rsidDel="00000000" w:rsidP="00000000" w:rsidRDefault="00000000" w:rsidRPr="00000000" w14:paraId="00000278">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279">
          <w:pPr>
            <w:ind w:right="-54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Junta de Caminos del Estado de México</w:t>
          </w:r>
          <w:r w:rsidDel="00000000" w:rsidR="00000000" w:rsidRPr="00000000">
            <w:drawing>
              <wp:anchor allowOverlap="1" behindDoc="1" distB="0" distT="0" distL="0" distR="0" hidden="0" layoutInCell="1" locked="0" relativeHeight="0" simplePos="0">
                <wp:simplePos x="0" y="0"/>
                <wp:positionH relativeFrom="column">
                  <wp:posOffset>-4800596</wp:posOffset>
                </wp:positionH>
                <wp:positionV relativeFrom="paragraph">
                  <wp:posOffset>-880105</wp:posOffset>
                </wp:positionV>
                <wp:extent cx="7809865" cy="10165715"/>
                <wp:effectExtent b="0" l="0" r="0" t="0"/>
                <wp:wrapNone/>
                <wp:docPr id="17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c>
    </w:tr>
    <w:tr>
      <w:trPr>
        <w:cantSplit w:val="0"/>
        <w:tblHeader w:val="0"/>
      </w:trPr>
      <w:tc>
        <w:tcPr>
          <w:shd w:fill="auto" w:val="clear"/>
          <w:vAlign w:val="center"/>
        </w:tcPr>
        <w:p w:rsidR="00000000" w:rsidDel="00000000" w:rsidP="00000000" w:rsidRDefault="00000000" w:rsidRPr="00000000" w14:paraId="0000027A">
          <w:pPr>
            <w:ind w:right="-108"/>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vAlign w:val="center"/>
        </w:tcPr>
        <w:p w:rsidR="00000000" w:rsidDel="00000000" w:rsidP="00000000" w:rsidRDefault="00000000" w:rsidRPr="00000000" w14:paraId="0000027B">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27C">
    <w:pPr>
      <w:rPr>
        <w:rFonts w:ascii="Cambria" w:cs="Cambria" w:eastAsia="Cambria" w:hAnsi="Cambria"/>
        <w:color w:val="000000"/>
      </w:rPr>
    </w:pPr>
    <w:r w:rsidDel="00000000" w:rsidR="00000000" w:rsidRPr="00000000">
      <w:rPr>
        <w:rFonts w:ascii="Cambria" w:cs="Cambria" w:eastAsia="Cambria" w:hAnsi="Cambria"/>
        <w:color w:val="000000"/>
        <w:rtl w:val="0"/>
      </w:rPr>
      <w:tab/>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7D">
    <w:pPr>
      <w:widowControl w:val="0"/>
      <w:pBdr>
        <w:top w:space="0" w:sz="0" w:val="nil"/>
        <w:left w:space="0" w:sz="0" w:val="nil"/>
        <w:bottom w:space="0" w:sz="0" w:val="nil"/>
        <w:right w:space="0" w:sz="0" w:val="nil"/>
        <w:between w:space="0" w:sz="0" w:val="nil"/>
      </w:pBdr>
      <w:spacing w:line="276" w:lineRule="auto"/>
      <w:rPr>
        <w:rFonts w:ascii="Palatino Linotype" w:cs="Palatino Linotype" w:eastAsia="Palatino Linotype" w:hAnsi="Palatino Linotype"/>
        <w:color w:val="000000"/>
        <w:sz w:val="16"/>
        <w:szCs w:val="16"/>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-1079487</wp:posOffset>
          </wp:positionH>
          <wp:positionV relativeFrom="paragraph">
            <wp:posOffset>-328914</wp:posOffset>
          </wp:positionV>
          <wp:extent cx="7809865" cy="10165715"/>
          <wp:effectExtent b="0" l="0" r="0" t="0"/>
          <wp:wrapNone/>
          <wp:docPr id="16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7"/>
      <w:tblW w:w="5670.0" w:type="dxa"/>
      <w:jc w:val="left"/>
      <w:tblInd w:w="3402.0" w:type="dxa"/>
      <w:tblLayout w:type="fixed"/>
      <w:tblLook w:val="0400"/>
    </w:tblPr>
    <w:tblGrid>
      <w:gridCol w:w="2551"/>
      <w:gridCol w:w="3119"/>
      <w:tblGridChange w:id="0">
        <w:tblGrid>
          <w:gridCol w:w="2551"/>
          <w:gridCol w:w="3119"/>
        </w:tblGrid>
      </w:tblGridChange>
    </w:tblGrid>
    <w:tr>
      <w:trPr>
        <w:cantSplit w:val="0"/>
        <w:tblHeader w:val="0"/>
      </w:trPr>
      <w:tc>
        <w:tcPr>
          <w:shd w:fill="auto" w:val="clear"/>
          <w:vAlign w:val="center"/>
        </w:tcPr>
        <w:p w:rsidR="00000000" w:rsidDel="00000000" w:rsidP="00000000" w:rsidRDefault="00000000" w:rsidRPr="00000000" w14:paraId="0000027E">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27F">
          <w:pPr>
            <w:tabs>
              <w:tab w:val="left" w:leader="none" w:pos="3153"/>
            </w:tabs>
            <w:ind w:left="-45"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06229/INFOEM/IP/RR/2024</w:t>
          </w:r>
        </w:p>
      </w:tc>
    </w:tr>
    <w:tr>
      <w:trPr>
        <w:cantSplit w:val="0"/>
        <w:trHeight w:val="130" w:hRule="atLeast"/>
        <w:tblHeader w:val="0"/>
      </w:trPr>
      <w:tc>
        <w:tcPr>
          <w:shd w:fill="auto" w:val="clear"/>
          <w:vAlign w:val="center"/>
        </w:tcPr>
        <w:p w:rsidR="00000000" w:rsidDel="00000000" w:rsidP="00000000" w:rsidRDefault="00000000" w:rsidRPr="00000000" w14:paraId="00000280">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Recurrente:</w:t>
          </w:r>
        </w:p>
      </w:tc>
      <w:tc>
        <w:tcPr>
          <w:shd w:fill="auto" w:val="clear"/>
          <w:vAlign w:val="center"/>
        </w:tcPr>
        <w:p w:rsidR="00000000" w:rsidDel="00000000" w:rsidP="00000000" w:rsidRDefault="00000000" w:rsidRPr="00000000" w14:paraId="00000281">
          <w:pPr>
            <w:ind w:left="-45" w:right="593"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XXXXX XXXX XXXXXX</w:t>
          </w:r>
        </w:p>
      </w:tc>
    </w:tr>
    <w:tr>
      <w:trPr>
        <w:cantSplit w:val="0"/>
        <w:trHeight w:val="228" w:hRule="atLeast"/>
        <w:tblHeader w:val="0"/>
      </w:trPr>
      <w:tc>
        <w:tcPr>
          <w:shd w:fill="auto" w:val="clear"/>
          <w:vAlign w:val="center"/>
        </w:tcPr>
        <w:p w:rsidR="00000000" w:rsidDel="00000000" w:rsidP="00000000" w:rsidRDefault="00000000" w:rsidRPr="00000000" w14:paraId="00000282">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283">
          <w:pPr>
            <w:ind w:left="-45" w:right="735"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Junta de Caminos del Estado de México</w:t>
          </w:r>
        </w:p>
      </w:tc>
    </w:tr>
    <w:tr>
      <w:trPr>
        <w:cantSplit w:val="0"/>
        <w:tblHeader w:val="0"/>
      </w:trPr>
      <w:tc>
        <w:tcPr>
          <w:shd w:fill="auto" w:val="clear"/>
          <w:vAlign w:val="center"/>
        </w:tcPr>
        <w:p w:rsidR="00000000" w:rsidDel="00000000" w:rsidP="00000000" w:rsidRDefault="00000000" w:rsidRPr="00000000" w14:paraId="00000284">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vAlign w:val="center"/>
        </w:tcPr>
        <w:p w:rsidR="00000000" w:rsidDel="00000000" w:rsidP="00000000" w:rsidRDefault="00000000" w:rsidRPr="00000000" w14:paraId="00000285">
          <w:pPr>
            <w:ind w:left="-45" w:right="-533"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286">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287">
    <w:pPr>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88">
    <w:pPr>
      <w:widowControl w:val="0"/>
      <w:pBdr>
        <w:top w:space="0" w:sz="0" w:val="nil"/>
        <w:left w:space="0" w:sz="0" w:val="nil"/>
        <w:bottom w:space="0" w:sz="0" w:val="nil"/>
        <w:right w:space="0" w:sz="0" w:val="nil"/>
        <w:between w:space="0" w:sz="0" w:val="nil"/>
      </w:pBdr>
      <w:spacing w:line="276" w:lineRule="auto"/>
      <w:rPr>
        <w:rFonts w:ascii="Palatino Linotype" w:cs="Palatino Linotype" w:eastAsia="Palatino Linotype" w:hAnsi="Palatino Linotype"/>
        <w:color w:val="000000"/>
        <w:sz w:val="16"/>
        <w:szCs w:val="16"/>
      </w:rPr>
    </w:pPr>
    <w:r w:rsidDel="00000000" w:rsidR="00000000" w:rsidRPr="00000000">
      <w:rPr>
        <w:rtl w:val="0"/>
      </w:rPr>
    </w:r>
  </w:p>
  <w:p w:rsidR="00000000" w:rsidDel="00000000" w:rsidP="00000000" w:rsidRDefault="00000000" w:rsidRPr="00000000" w14:paraId="00000289">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28A">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927"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2"/>
      <w:numFmt w:val="bullet"/>
      <w:lvlText w:val="-"/>
      <w:lvlJc w:val="left"/>
      <w:pPr>
        <w:ind w:left="1571" w:hanging="360"/>
      </w:pPr>
      <w:rPr>
        <w:rFonts w:ascii="Palatino Linotype" w:cs="Palatino Linotype" w:eastAsia="Palatino Linotype" w:hAnsi="Palatino Linotype"/>
      </w:rPr>
    </w:lvl>
    <w:lvl w:ilvl="1">
      <w:start w:val="1"/>
      <w:numFmt w:val="bullet"/>
      <w:lvlText w:val="o"/>
      <w:lvlJc w:val="left"/>
      <w:pPr>
        <w:ind w:left="2291" w:hanging="360"/>
      </w:pPr>
      <w:rPr>
        <w:rFonts w:ascii="Courier New" w:cs="Courier New" w:eastAsia="Courier New" w:hAnsi="Courier New"/>
      </w:rPr>
    </w:lvl>
    <w:lvl w:ilvl="2">
      <w:start w:val="1"/>
      <w:numFmt w:val="bullet"/>
      <w:lvlText w:val="▪"/>
      <w:lvlJc w:val="left"/>
      <w:pPr>
        <w:ind w:left="3011" w:hanging="360"/>
      </w:pPr>
      <w:rPr>
        <w:rFonts w:ascii="Noto Sans Symbols" w:cs="Noto Sans Symbols" w:eastAsia="Noto Sans Symbols" w:hAnsi="Noto Sans Symbols"/>
      </w:rPr>
    </w:lvl>
    <w:lvl w:ilvl="3">
      <w:start w:val="1"/>
      <w:numFmt w:val="bullet"/>
      <w:lvlText w:val="●"/>
      <w:lvlJc w:val="left"/>
      <w:pPr>
        <w:ind w:left="3731" w:hanging="360"/>
      </w:pPr>
      <w:rPr>
        <w:rFonts w:ascii="Noto Sans Symbols" w:cs="Noto Sans Symbols" w:eastAsia="Noto Sans Symbols" w:hAnsi="Noto Sans Symbols"/>
      </w:rPr>
    </w:lvl>
    <w:lvl w:ilvl="4">
      <w:start w:val="1"/>
      <w:numFmt w:val="bullet"/>
      <w:lvlText w:val="o"/>
      <w:lvlJc w:val="left"/>
      <w:pPr>
        <w:ind w:left="4451" w:hanging="360"/>
      </w:pPr>
      <w:rPr>
        <w:rFonts w:ascii="Courier New" w:cs="Courier New" w:eastAsia="Courier New" w:hAnsi="Courier New"/>
      </w:rPr>
    </w:lvl>
    <w:lvl w:ilvl="5">
      <w:start w:val="1"/>
      <w:numFmt w:val="bullet"/>
      <w:lvlText w:val="▪"/>
      <w:lvlJc w:val="left"/>
      <w:pPr>
        <w:ind w:left="5171" w:hanging="360"/>
      </w:pPr>
      <w:rPr>
        <w:rFonts w:ascii="Noto Sans Symbols" w:cs="Noto Sans Symbols" w:eastAsia="Noto Sans Symbols" w:hAnsi="Noto Sans Symbols"/>
      </w:rPr>
    </w:lvl>
    <w:lvl w:ilvl="6">
      <w:start w:val="1"/>
      <w:numFmt w:val="bullet"/>
      <w:lvlText w:val="●"/>
      <w:lvlJc w:val="left"/>
      <w:pPr>
        <w:ind w:left="5891" w:hanging="360"/>
      </w:pPr>
      <w:rPr>
        <w:rFonts w:ascii="Noto Sans Symbols" w:cs="Noto Sans Symbols" w:eastAsia="Noto Sans Symbols" w:hAnsi="Noto Sans Symbols"/>
      </w:rPr>
    </w:lvl>
    <w:lvl w:ilvl="7">
      <w:start w:val="1"/>
      <w:numFmt w:val="bullet"/>
      <w:lvlText w:val="o"/>
      <w:lvlJc w:val="left"/>
      <w:pPr>
        <w:ind w:left="6611" w:hanging="360"/>
      </w:pPr>
      <w:rPr>
        <w:rFonts w:ascii="Courier New" w:cs="Courier New" w:eastAsia="Courier New" w:hAnsi="Courier New"/>
      </w:rPr>
    </w:lvl>
    <w:lvl w:ilvl="8">
      <w:start w:val="1"/>
      <w:numFmt w:val="bullet"/>
      <w:lvlText w:val="▪"/>
      <w:lvlJc w:val="left"/>
      <w:pPr>
        <w:ind w:left="7331" w:hanging="360"/>
      </w:pPr>
      <w:rPr>
        <w:rFonts w:ascii="Noto Sans Symbols" w:cs="Noto Sans Symbols" w:eastAsia="Noto Sans Symbols" w:hAnsi="Noto Sans Symbols"/>
      </w:rPr>
    </w:lvl>
  </w:abstractNum>
  <w:abstractNum w:abstractNumId="5">
    <w:lvl w:ilvl="0">
      <w:start w:val="2"/>
      <w:numFmt w:val="bullet"/>
      <w:lvlText w:val="-"/>
      <w:lvlJc w:val="left"/>
      <w:pPr>
        <w:ind w:left="1571" w:hanging="360"/>
      </w:pPr>
      <w:rPr>
        <w:rFonts w:ascii="Palatino Linotype" w:cs="Palatino Linotype" w:eastAsia="Palatino Linotype" w:hAnsi="Palatino Linotype"/>
      </w:rPr>
    </w:lvl>
    <w:lvl w:ilvl="1">
      <w:start w:val="1"/>
      <w:numFmt w:val="bullet"/>
      <w:lvlText w:val="o"/>
      <w:lvlJc w:val="left"/>
      <w:pPr>
        <w:ind w:left="2291" w:hanging="360"/>
      </w:pPr>
      <w:rPr>
        <w:rFonts w:ascii="Courier New" w:cs="Courier New" w:eastAsia="Courier New" w:hAnsi="Courier New"/>
      </w:rPr>
    </w:lvl>
    <w:lvl w:ilvl="2">
      <w:start w:val="1"/>
      <w:numFmt w:val="bullet"/>
      <w:lvlText w:val="▪"/>
      <w:lvlJc w:val="left"/>
      <w:pPr>
        <w:ind w:left="3011" w:hanging="360"/>
      </w:pPr>
      <w:rPr>
        <w:rFonts w:ascii="Noto Sans Symbols" w:cs="Noto Sans Symbols" w:eastAsia="Noto Sans Symbols" w:hAnsi="Noto Sans Symbols"/>
      </w:rPr>
    </w:lvl>
    <w:lvl w:ilvl="3">
      <w:start w:val="1"/>
      <w:numFmt w:val="bullet"/>
      <w:lvlText w:val="●"/>
      <w:lvlJc w:val="left"/>
      <w:pPr>
        <w:ind w:left="3731" w:hanging="360"/>
      </w:pPr>
      <w:rPr>
        <w:rFonts w:ascii="Noto Sans Symbols" w:cs="Noto Sans Symbols" w:eastAsia="Noto Sans Symbols" w:hAnsi="Noto Sans Symbols"/>
      </w:rPr>
    </w:lvl>
    <w:lvl w:ilvl="4">
      <w:start w:val="1"/>
      <w:numFmt w:val="bullet"/>
      <w:lvlText w:val="o"/>
      <w:lvlJc w:val="left"/>
      <w:pPr>
        <w:ind w:left="4451" w:hanging="360"/>
      </w:pPr>
      <w:rPr>
        <w:rFonts w:ascii="Courier New" w:cs="Courier New" w:eastAsia="Courier New" w:hAnsi="Courier New"/>
      </w:rPr>
    </w:lvl>
    <w:lvl w:ilvl="5">
      <w:start w:val="1"/>
      <w:numFmt w:val="bullet"/>
      <w:lvlText w:val="▪"/>
      <w:lvlJc w:val="left"/>
      <w:pPr>
        <w:ind w:left="5171" w:hanging="360"/>
      </w:pPr>
      <w:rPr>
        <w:rFonts w:ascii="Noto Sans Symbols" w:cs="Noto Sans Symbols" w:eastAsia="Noto Sans Symbols" w:hAnsi="Noto Sans Symbols"/>
      </w:rPr>
    </w:lvl>
    <w:lvl w:ilvl="6">
      <w:start w:val="1"/>
      <w:numFmt w:val="bullet"/>
      <w:lvlText w:val="●"/>
      <w:lvlJc w:val="left"/>
      <w:pPr>
        <w:ind w:left="5891" w:hanging="360"/>
      </w:pPr>
      <w:rPr>
        <w:rFonts w:ascii="Noto Sans Symbols" w:cs="Noto Sans Symbols" w:eastAsia="Noto Sans Symbols" w:hAnsi="Noto Sans Symbols"/>
      </w:rPr>
    </w:lvl>
    <w:lvl w:ilvl="7">
      <w:start w:val="1"/>
      <w:numFmt w:val="bullet"/>
      <w:lvlText w:val="o"/>
      <w:lvlJc w:val="left"/>
      <w:pPr>
        <w:ind w:left="6611" w:hanging="360"/>
      </w:pPr>
      <w:rPr>
        <w:rFonts w:ascii="Courier New" w:cs="Courier New" w:eastAsia="Courier New" w:hAnsi="Courier New"/>
      </w:rPr>
    </w:lvl>
    <w:lvl w:ilvl="8">
      <w:start w:val="1"/>
      <w:numFmt w:val="bullet"/>
      <w:lvlText w:val="▪"/>
      <w:lvlJc w:val="left"/>
      <w:pPr>
        <w:ind w:left="7331" w:hanging="360"/>
      </w:pPr>
      <w:rPr>
        <w:rFonts w:ascii="Noto Sans Symbols" w:cs="Noto Sans Symbols" w:eastAsia="Noto Sans Symbols" w:hAnsi="Noto Sans Symbols"/>
      </w:rPr>
    </w:lvl>
  </w:abstractNum>
  <w:abstractNum w:abstractNumId="6">
    <w:lvl w:ilvl="0">
      <w:start w:val="2"/>
      <w:numFmt w:val="bullet"/>
      <w:lvlText w:val="-"/>
      <w:lvlJc w:val="left"/>
      <w:pPr>
        <w:ind w:left="720" w:hanging="360"/>
      </w:pPr>
      <w:rPr>
        <w:rFonts w:ascii="Palatino Linotype" w:cs="Palatino Linotype" w:eastAsia="Palatino Linotype" w:hAnsi="Palatino Linotyp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2"/>
      <w:numFmt w:val="bullet"/>
      <w:lvlText w:val="-"/>
      <w:lvlJc w:val="left"/>
      <w:pPr>
        <w:ind w:left="1440" w:hanging="360"/>
      </w:pPr>
      <w:rPr>
        <w:rFonts w:ascii="Palatino Linotype" w:cs="Palatino Linotype" w:eastAsia="Palatino Linotype" w:hAnsi="Palatino Linotype"/>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2"/>
      <w:numFmt w:val="bullet"/>
      <w:lvlText w:val="-"/>
      <w:lvlJc w:val="left"/>
      <w:pPr>
        <w:ind w:left="1440" w:hanging="360"/>
      </w:pPr>
      <w:rPr>
        <w:rFonts w:ascii="Palatino Linotype" w:cs="Palatino Linotype" w:eastAsia="Palatino Linotype" w:hAnsi="Palatino Linotype"/>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0">
    <w:lvl w:ilvl="0">
      <w:start w:val="1"/>
      <w:numFmt w:val="bullet"/>
      <w:lvlText w:val="−"/>
      <w:lvlJc w:val="left"/>
      <w:pPr>
        <w:ind w:left="1647" w:hanging="360"/>
      </w:pPr>
      <w:rPr>
        <w:rFonts w:ascii="Noto Sans Symbols" w:cs="Noto Sans Symbols" w:eastAsia="Noto Sans Symbols" w:hAnsi="Noto Sans Symbols"/>
      </w:rPr>
    </w:lvl>
    <w:lvl w:ilvl="1">
      <w:start w:val="1"/>
      <w:numFmt w:val="bullet"/>
      <w:lvlText w:val="o"/>
      <w:lvlJc w:val="left"/>
      <w:pPr>
        <w:ind w:left="2367" w:hanging="360"/>
      </w:pPr>
      <w:rPr>
        <w:rFonts w:ascii="Courier New" w:cs="Courier New" w:eastAsia="Courier New" w:hAnsi="Courier New"/>
      </w:rPr>
    </w:lvl>
    <w:lvl w:ilvl="2">
      <w:start w:val="1"/>
      <w:numFmt w:val="bullet"/>
      <w:lvlText w:val="▪"/>
      <w:lvlJc w:val="left"/>
      <w:pPr>
        <w:ind w:left="3087" w:hanging="360"/>
      </w:pPr>
      <w:rPr>
        <w:rFonts w:ascii="Noto Sans Symbols" w:cs="Noto Sans Symbols" w:eastAsia="Noto Sans Symbols" w:hAnsi="Noto Sans Symbols"/>
      </w:rPr>
    </w:lvl>
    <w:lvl w:ilvl="3">
      <w:start w:val="1"/>
      <w:numFmt w:val="bullet"/>
      <w:lvlText w:val="●"/>
      <w:lvlJc w:val="left"/>
      <w:pPr>
        <w:ind w:left="3807" w:hanging="360"/>
      </w:pPr>
      <w:rPr>
        <w:rFonts w:ascii="Noto Sans Symbols" w:cs="Noto Sans Symbols" w:eastAsia="Noto Sans Symbols" w:hAnsi="Noto Sans Symbols"/>
      </w:rPr>
    </w:lvl>
    <w:lvl w:ilvl="4">
      <w:start w:val="1"/>
      <w:numFmt w:val="bullet"/>
      <w:lvlText w:val="o"/>
      <w:lvlJc w:val="left"/>
      <w:pPr>
        <w:ind w:left="4527" w:hanging="360"/>
      </w:pPr>
      <w:rPr>
        <w:rFonts w:ascii="Courier New" w:cs="Courier New" w:eastAsia="Courier New" w:hAnsi="Courier New"/>
      </w:rPr>
    </w:lvl>
    <w:lvl w:ilvl="5">
      <w:start w:val="1"/>
      <w:numFmt w:val="bullet"/>
      <w:lvlText w:val="▪"/>
      <w:lvlJc w:val="left"/>
      <w:pPr>
        <w:ind w:left="5247" w:hanging="360"/>
      </w:pPr>
      <w:rPr>
        <w:rFonts w:ascii="Noto Sans Symbols" w:cs="Noto Sans Symbols" w:eastAsia="Noto Sans Symbols" w:hAnsi="Noto Sans Symbols"/>
      </w:rPr>
    </w:lvl>
    <w:lvl w:ilvl="6">
      <w:start w:val="1"/>
      <w:numFmt w:val="bullet"/>
      <w:lvlText w:val="●"/>
      <w:lvlJc w:val="left"/>
      <w:pPr>
        <w:ind w:left="5967" w:hanging="360"/>
      </w:pPr>
      <w:rPr>
        <w:rFonts w:ascii="Noto Sans Symbols" w:cs="Noto Sans Symbols" w:eastAsia="Noto Sans Symbols" w:hAnsi="Noto Sans Symbols"/>
      </w:rPr>
    </w:lvl>
    <w:lvl w:ilvl="7">
      <w:start w:val="1"/>
      <w:numFmt w:val="bullet"/>
      <w:lvlText w:val="o"/>
      <w:lvlJc w:val="left"/>
      <w:pPr>
        <w:ind w:left="6687" w:hanging="360"/>
      </w:pPr>
      <w:rPr>
        <w:rFonts w:ascii="Courier New" w:cs="Courier New" w:eastAsia="Courier New" w:hAnsi="Courier New"/>
      </w:rPr>
    </w:lvl>
    <w:lvl w:ilvl="8">
      <w:start w:val="1"/>
      <w:numFmt w:val="bullet"/>
      <w:lvlText w:val="▪"/>
      <w:lvlJc w:val="left"/>
      <w:pPr>
        <w:ind w:left="7407"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MX"/>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366091"/>
      <w:sz w:val="26"/>
      <w:szCs w:val="26"/>
    </w:rPr>
  </w:style>
  <w:style w:type="paragraph" w:styleId="Heading3">
    <w:name w:val="heading 3"/>
    <w:basedOn w:val="Normal"/>
    <w:next w:val="Normal"/>
    <w:pPr>
      <w:keepNext w:val="1"/>
      <w:spacing w:after="60" w:before="240" w:lineRule="auto"/>
      <w:ind w:left="2160" w:hanging="720"/>
    </w:pPr>
    <w:rPr>
      <w:rFonts w:ascii="Calibri" w:cs="Calibri" w:eastAsia="Calibri" w:hAnsi="Calibri"/>
      <w:b w:val="1"/>
      <w:sz w:val="26"/>
      <w:szCs w:val="26"/>
    </w:rPr>
  </w:style>
  <w:style w:type="paragraph" w:styleId="Heading4">
    <w:name w:val="heading 4"/>
    <w:basedOn w:val="Normal"/>
    <w:next w:val="Normal"/>
    <w:pPr>
      <w:keepNext w:val="1"/>
      <w:spacing w:after="60" w:before="240" w:lineRule="auto"/>
      <w:ind w:left="2880" w:hanging="720"/>
    </w:pPr>
    <w:rPr>
      <w:rFonts w:ascii="Cambria" w:cs="Cambria" w:eastAsia="Cambria" w:hAnsi="Cambria"/>
      <w:b w:val="1"/>
      <w:sz w:val="28"/>
      <w:szCs w:val="28"/>
    </w:rPr>
  </w:style>
  <w:style w:type="paragraph" w:styleId="Heading5">
    <w:name w:val="heading 5"/>
    <w:basedOn w:val="Normal"/>
    <w:next w:val="Normal"/>
    <w:pPr>
      <w:spacing w:after="60" w:before="240" w:lineRule="auto"/>
      <w:ind w:left="3600" w:hanging="720"/>
    </w:pPr>
    <w:rPr>
      <w:rFonts w:ascii="Cambria" w:cs="Cambria" w:eastAsia="Cambria" w:hAnsi="Cambria"/>
      <w:b w:val="1"/>
      <w:i w:val="1"/>
      <w:sz w:val="26"/>
      <w:szCs w:val="26"/>
    </w:rPr>
  </w:style>
  <w:style w:type="paragraph" w:styleId="Heading6">
    <w:name w:val="heading 6"/>
    <w:basedOn w:val="Normal"/>
    <w:next w:val="Normal"/>
    <w:pPr>
      <w:spacing w:after="60" w:before="240" w:lineRule="auto"/>
      <w:ind w:left="4320" w:hanging="720"/>
    </w:pPr>
    <w:rPr>
      <w:b w:val="1"/>
      <w:sz w:val="22"/>
      <w:szCs w:val="22"/>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3A750A"/>
  </w:style>
  <w:style w:type="paragraph" w:styleId="Ttulo1">
    <w:name w:val="heading 1"/>
    <w:basedOn w:val="Normal"/>
    <w:next w:val="Normal"/>
    <w:uiPriority w:val="9"/>
    <w:qFormat w:val="1"/>
    <w:pPr>
      <w:keepNext w:val="1"/>
      <w:keepLines w:val="1"/>
      <w:spacing w:before="240"/>
      <w:outlineLvl w:val="0"/>
    </w:pPr>
    <w:rPr>
      <w:rFonts w:ascii="Calibri" w:cs="Calibri" w:eastAsia="Calibri" w:hAnsi="Calibri"/>
      <w:color w:val="366091"/>
      <w:sz w:val="32"/>
      <w:szCs w:val="32"/>
    </w:rPr>
  </w:style>
  <w:style w:type="paragraph" w:styleId="Ttulo2">
    <w:name w:val="heading 2"/>
    <w:basedOn w:val="Normal"/>
    <w:next w:val="Normal"/>
    <w:uiPriority w:val="9"/>
    <w:semiHidden w:val="1"/>
    <w:unhideWhenUsed w:val="1"/>
    <w:qFormat w:val="1"/>
    <w:pPr>
      <w:keepNext w:val="1"/>
      <w:keepLines w:val="1"/>
      <w:spacing w:before="40"/>
      <w:outlineLvl w:val="1"/>
    </w:pPr>
    <w:rPr>
      <w:rFonts w:ascii="Calibri" w:cs="Calibri" w:eastAsia="Calibri" w:hAnsi="Calibri"/>
      <w:color w:val="366091"/>
      <w:sz w:val="26"/>
      <w:szCs w:val="26"/>
    </w:rPr>
  </w:style>
  <w:style w:type="paragraph" w:styleId="Ttulo3">
    <w:name w:val="heading 3"/>
    <w:basedOn w:val="Normal"/>
    <w:next w:val="Normal"/>
    <w:uiPriority w:val="9"/>
    <w:semiHidden w:val="1"/>
    <w:unhideWhenUsed w:val="1"/>
    <w:qFormat w:val="1"/>
    <w:pPr>
      <w:keepNext w:val="1"/>
      <w:spacing w:after="60" w:before="240"/>
      <w:ind w:left="2160" w:hanging="720"/>
      <w:outlineLvl w:val="2"/>
    </w:pPr>
    <w:rPr>
      <w:rFonts w:ascii="Calibri" w:cs="Calibri" w:eastAsia="Calibri" w:hAnsi="Calibri"/>
      <w:b w:val="1"/>
      <w:sz w:val="26"/>
      <w:szCs w:val="26"/>
    </w:rPr>
  </w:style>
  <w:style w:type="paragraph" w:styleId="Ttulo4">
    <w:name w:val="heading 4"/>
    <w:basedOn w:val="Normal"/>
    <w:next w:val="Normal"/>
    <w:uiPriority w:val="9"/>
    <w:semiHidden w:val="1"/>
    <w:unhideWhenUsed w:val="1"/>
    <w:qFormat w:val="1"/>
    <w:pPr>
      <w:keepNext w:val="1"/>
      <w:spacing w:after="60" w:before="240"/>
      <w:ind w:left="2880" w:hanging="720"/>
      <w:outlineLvl w:val="3"/>
    </w:pPr>
    <w:rPr>
      <w:rFonts w:ascii="Cambria" w:cs="Cambria" w:eastAsia="Cambria" w:hAnsi="Cambria"/>
      <w:b w:val="1"/>
      <w:sz w:val="28"/>
      <w:szCs w:val="28"/>
    </w:rPr>
  </w:style>
  <w:style w:type="paragraph" w:styleId="Ttulo5">
    <w:name w:val="heading 5"/>
    <w:basedOn w:val="Normal"/>
    <w:next w:val="Normal"/>
    <w:uiPriority w:val="9"/>
    <w:semiHidden w:val="1"/>
    <w:unhideWhenUsed w:val="1"/>
    <w:qFormat w:val="1"/>
    <w:pPr>
      <w:spacing w:after="60" w:before="240"/>
      <w:ind w:left="3600" w:hanging="720"/>
      <w:outlineLvl w:val="4"/>
    </w:pPr>
    <w:rPr>
      <w:rFonts w:ascii="Cambria" w:cs="Cambria" w:eastAsia="Cambria" w:hAnsi="Cambria"/>
      <w:b w:val="1"/>
      <w:i w:val="1"/>
      <w:sz w:val="26"/>
      <w:szCs w:val="26"/>
    </w:rPr>
  </w:style>
  <w:style w:type="paragraph" w:styleId="Ttulo6">
    <w:name w:val="heading 6"/>
    <w:basedOn w:val="Normal"/>
    <w:next w:val="Normal"/>
    <w:uiPriority w:val="9"/>
    <w:semiHidden w:val="1"/>
    <w:unhideWhenUsed w:val="1"/>
    <w:qFormat w:val="1"/>
    <w:pPr>
      <w:spacing w:after="60" w:before="240"/>
      <w:ind w:left="4320" w:hanging="720"/>
      <w:outlineLvl w:val="5"/>
    </w:pPr>
    <w:rPr>
      <w:b w:val="1"/>
      <w:sz w:val="22"/>
      <w:szCs w:val="2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table" w:styleId="TableNormal7" w:customStyle="1">
    <w:name w:val="Table Normal"/>
    <w:tblPr>
      <w:tblCellMar>
        <w:top w:w="0.0" w:type="dxa"/>
        <w:left w:w="0.0" w:type="dxa"/>
        <w:bottom w:w="0.0" w:type="dxa"/>
        <w:right w:w="0.0" w:type="dxa"/>
      </w:tblCellMar>
    </w:tbl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7"/>
    <w:tblPr>
      <w:tblStyleRowBandSize w:val="1"/>
      <w:tblStyleColBandSize w:val="1"/>
      <w:tblCellMar>
        <w:left w:w="115.0" w:type="dxa"/>
        <w:right w:w="115.0" w:type="dxa"/>
      </w:tblCellMar>
    </w:tblPr>
  </w:style>
  <w:style w:type="table" w:styleId="a0" w:customStyle="1">
    <w:basedOn w:val="TableNormal7"/>
    <w:tblPr>
      <w:tblStyleRowBandSize w:val="1"/>
      <w:tblStyleColBandSize w:val="1"/>
      <w:tblCellMar>
        <w:left w:w="115.0" w:type="dxa"/>
        <w:right w:w="115.0" w:type="dxa"/>
      </w:tblCellMar>
    </w:tblPr>
  </w:style>
  <w:style w:type="paragraph" w:styleId="Encabezado">
    <w:name w:val="header"/>
    <w:basedOn w:val="Normal"/>
    <w:link w:val="EncabezadoCar"/>
    <w:uiPriority w:val="99"/>
    <w:unhideWhenUsed w:val="1"/>
    <w:rsid w:val="00B215CF"/>
    <w:pPr>
      <w:tabs>
        <w:tab w:val="center" w:pos="4419"/>
        <w:tab w:val="right" w:pos="8838"/>
      </w:tabs>
    </w:pPr>
  </w:style>
  <w:style w:type="character" w:styleId="EncabezadoCar" w:customStyle="1">
    <w:name w:val="Encabezado Car"/>
    <w:basedOn w:val="Fuentedeprrafopredeter"/>
    <w:link w:val="Encabezado"/>
    <w:uiPriority w:val="99"/>
    <w:rsid w:val="00B215CF"/>
  </w:style>
  <w:style w:type="paragraph" w:styleId="Piedepgina">
    <w:name w:val="footer"/>
    <w:basedOn w:val="Normal"/>
    <w:link w:val="PiedepginaCar"/>
    <w:uiPriority w:val="99"/>
    <w:unhideWhenUsed w:val="1"/>
    <w:rsid w:val="00B215CF"/>
    <w:pPr>
      <w:tabs>
        <w:tab w:val="center" w:pos="4419"/>
        <w:tab w:val="right" w:pos="8838"/>
      </w:tabs>
    </w:pPr>
  </w:style>
  <w:style w:type="character" w:styleId="PiedepginaCar" w:customStyle="1">
    <w:name w:val="Pie de página Car"/>
    <w:basedOn w:val="Fuentedeprrafopredeter"/>
    <w:link w:val="Piedepgina"/>
    <w:uiPriority w:val="99"/>
    <w:rsid w:val="00B215CF"/>
  </w:style>
  <w:style w:type="paragraph" w:styleId="NormalWeb">
    <w:name w:val="Normal (Web)"/>
    <w:basedOn w:val="Normal"/>
    <w:uiPriority w:val="99"/>
    <w:unhideWhenUsed w:val="1"/>
    <w:rsid w:val="00DA0443"/>
    <w:pPr>
      <w:spacing w:after="100" w:afterAutospacing="1" w:before="100" w:beforeAutospacing="1"/>
    </w:pPr>
  </w:style>
  <w:style w:type="paragraph" w:styleId="Prrafodelista">
    <w:name w:val="List Paragraph"/>
    <w:basedOn w:val="Normal"/>
    <w:uiPriority w:val="34"/>
    <w:qFormat w:val="1"/>
    <w:rsid w:val="000038B1"/>
    <w:pPr>
      <w:ind w:left="720"/>
      <w:contextualSpacing w:val="1"/>
    </w:pPr>
  </w:style>
  <w:style w:type="table" w:styleId="a1" w:customStyle="1">
    <w:basedOn w:val="TableNormal7"/>
    <w:tblPr>
      <w:tblStyleRowBandSize w:val="1"/>
      <w:tblStyleColBandSize w:val="1"/>
      <w:tblCellMar>
        <w:left w:w="115.0" w:type="dxa"/>
        <w:right w:w="115.0" w:type="dxa"/>
      </w:tblCellMar>
    </w:tblPr>
  </w:style>
  <w:style w:type="table" w:styleId="a2" w:customStyle="1">
    <w:basedOn w:val="TableNormal7"/>
    <w:tblPr>
      <w:tblStyleRowBandSize w:val="1"/>
      <w:tblStyleColBandSize w:val="1"/>
      <w:tblCellMar>
        <w:left w:w="115.0" w:type="dxa"/>
        <w:right w:w="115.0" w:type="dxa"/>
      </w:tblCellMar>
    </w:tblPr>
  </w:style>
  <w:style w:type="table" w:styleId="a3" w:customStyle="1">
    <w:basedOn w:val="TableNormal6"/>
    <w:tblPr>
      <w:tblStyleRowBandSize w:val="1"/>
      <w:tblStyleColBandSize w:val="1"/>
      <w:tblCellMar>
        <w:left w:w="115.0" w:type="dxa"/>
        <w:right w:w="115.0" w:type="dxa"/>
      </w:tblCellMar>
    </w:tblPr>
  </w:style>
  <w:style w:type="table" w:styleId="a4" w:customStyle="1">
    <w:basedOn w:val="TableNormal6"/>
    <w:tblPr>
      <w:tblStyleRowBandSize w:val="1"/>
      <w:tblStyleColBandSize w:val="1"/>
      <w:tblCellMar>
        <w:left w:w="115.0" w:type="dxa"/>
        <w:right w:w="115.0" w:type="dxa"/>
      </w:tblCellMar>
    </w:tblPr>
  </w:style>
  <w:style w:type="table" w:styleId="a5" w:customStyle="1">
    <w:basedOn w:val="TableNormal5"/>
    <w:tblPr>
      <w:tblStyleRowBandSize w:val="1"/>
      <w:tblStyleColBandSize w:val="1"/>
      <w:tblCellMar>
        <w:left w:w="115.0" w:type="dxa"/>
        <w:right w:w="115.0" w:type="dxa"/>
      </w:tblCellMar>
    </w:tblPr>
  </w:style>
  <w:style w:type="table" w:styleId="a6" w:customStyle="1">
    <w:basedOn w:val="TableNormal5"/>
    <w:tblPr>
      <w:tblStyleRowBandSize w:val="1"/>
      <w:tblStyleColBandSize w:val="1"/>
      <w:tblCellMar>
        <w:left w:w="115.0" w:type="dxa"/>
        <w:right w:w="115.0" w:type="dxa"/>
      </w:tblCellMar>
    </w:tblPr>
  </w:style>
  <w:style w:type="character" w:styleId="Hipervnculo">
    <w:name w:val="Hyperlink"/>
    <w:basedOn w:val="Fuentedeprrafopredeter"/>
    <w:uiPriority w:val="99"/>
    <w:unhideWhenUsed w:val="1"/>
    <w:rsid w:val="00455091"/>
    <w:rPr>
      <w:color w:val="0000ff" w:themeColor="hyperlink"/>
      <w:u w:val="single"/>
    </w:rPr>
  </w:style>
  <w:style w:type="paragraph" w:styleId="Listaconvietas3">
    <w:name w:val="List Bullet 3"/>
    <w:basedOn w:val="Normal"/>
    <w:uiPriority w:val="99"/>
    <w:unhideWhenUsed w:val="1"/>
    <w:rsid w:val="00210E50"/>
    <w:pPr>
      <w:numPr>
        <w:numId w:val="4"/>
      </w:numPr>
      <w:contextualSpacing w:val="1"/>
    </w:pPr>
    <w:rPr>
      <w:lang w:val="es-ES"/>
    </w:rPr>
  </w:style>
  <w:style w:type="table" w:styleId="a7" w:customStyle="1">
    <w:basedOn w:val="TableNormal4"/>
    <w:tblPr>
      <w:tblStyleRowBandSize w:val="1"/>
      <w:tblStyleColBandSize w:val="1"/>
      <w:tblCellMar>
        <w:left w:w="115.0" w:type="dxa"/>
        <w:right w:w="115.0" w:type="dxa"/>
      </w:tblCellMar>
    </w:tblPr>
  </w:style>
  <w:style w:type="table" w:styleId="a8" w:customStyle="1">
    <w:basedOn w:val="TableNormal4"/>
    <w:tblPr>
      <w:tblStyleRowBandSize w:val="1"/>
      <w:tblStyleColBandSize w:val="1"/>
      <w:tblCellMar>
        <w:left w:w="115.0" w:type="dxa"/>
        <w:right w:w="115.0" w:type="dxa"/>
      </w:tblCellMar>
    </w:tblPr>
  </w:style>
  <w:style w:type="table" w:styleId="a9" w:customStyle="1">
    <w:basedOn w:val="TableNormal3"/>
    <w:tblPr>
      <w:tblStyleRowBandSize w:val="1"/>
      <w:tblStyleColBandSize w:val="1"/>
      <w:tblCellMar>
        <w:left w:w="115.0" w:type="dxa"/>
        <w:right w:w="115.0" w:type="dxa"/>
      </w:tblCellMar>
    </w:tblPr>
  </w:style>
  <w:style w:type="table" w:styleId="aa" w:customStyle="1">
    <w:basedOn w:val="TableNormal3"/>
    <w:tblPr>
      <w:tblStyleRowBandSize w:val="1"/>
      <w:tblStyleColBandSize w:val="1"/>
      <w:tblCellMar>
        <w:left w:w="115.0" w:type="dxa"/>
        <w:right w:w="115.0" w:type="dxa"/>
      </w:tblCellMar>
    </w:tblPr>
  </w:style>
  <w:style w:type="table" w:styleId="ab" w:customStyle="1">
    <w:basedOn w:val="TableNormal2"/>
    <w:tblPr>
      <w:tblStyleRowBandSize w:val="1"/>
      <w:tblStyleColBandSize w:val="1"/>
      <w:tblCellMar>
        <w:left w:w="115.0" w:type="dxa"/>
        <w:right w:w="115.0" w:type="dxa"/>
      </w:tblCellMar>
    </w:tblPr>
  </w:style>
  <w:style w:type="table" w:styleId="ac" w:customStyle="1">
    <w:basedOn w:val="TableNormal2"/>
    <w:tblPr>
      <w:tblStyleRowBandSize w:val="1"/>
      <w:tblStyleColBandSize w:val="1"/>
      <w:tblCellMar>
        <w:left w:w="115.0" w:type="dxa"/>
        <w:right w:w="115.0" w:type="dxa"/>
      </w:tblCellMar>
    </w:tblPr>
  </w:style>
  <w:style w:type="table" w:styleId="Tablaconcuadrcula">
    <w:name w:val="Table Grid"/>
    <w:basedOn w:val="Tablanormal"/>
    <w:uiPriority w:val="39"/>
    <w:rsid w:val="00FA3EBA"/>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ipervnculovisitado">
    <w:name w:val="FollowedHyperlink"/>
    <w:basedOn w:val="Fuentedeprrafopredeter"/>
    <w:uiPriority w:val="99"/>
    <w:semiHidden w:val="1"/>
    <w:unhideWhenUsed w:val="1"/>
    <w:rsid w:val="00FA3EBA"/>
    <w:rPr>
      <w:color w:val="800080" w:themeColor="followedHyperlink"/>
      <w:u w:val="single"/>
    </w:rPr>
  </w:style>
  <w:style w:type="table" w:styleId="Tablaconcuadrcula1" w:customStyle="1">
    <w:name w:val="Tabla con cuadrícula1"/>
    <w:basedOn w:val="Tablanormal"/>
    <w:next w:val="Tablaconcuadrcula"/>
    <w:uiPriority w:val="59"/>
    <w:rsid w:val="00DA7169"/>
    <w:rPr>
      <w:rFonts w:asciiTheme="minorHAnsi" w:cstheme="minorBidi" w:eastAsiaTheme="minorEastAsia" w:hAnsiTheme="minorHAnsi"/>
      <w:lang w:eastAsia="es-ES" w:val="es-ES_tradnl"/>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ad" w:customStyle="1">
    <w:basedOn w:val="TableNormal1"/>
    <w:rPr>
      <w:rFonts w:ascii="Cambria" w:cs="Cambria" w:eastAsia="Cambria" w:hAnsi="Cambria"/>
    </w:rPr>
    <w:tblPr>
      <w:tblStyleRowBandSize w:val="1"/>
      <w:tblStyleColBandSize w:val="1"/>
      <w:tblCellMar>
        <w:left w:w="108.0" w:type="dxa"/>
        <w:right w:w="108.0" w:type="dxa"/>
      </w:tblCellMar>
    </w:tblPr>
  </w:style>
  <w:style w:type="table" w:styleId="ae" w:customStyle="1">
    <w:basedOn w:val="TableNormal1"/>
    <w:rPr>
      <w:rFonts w:ascii="Cambria" w:cs="Cambria" w:eastAsia="Cambria" w:hAnsi="Cambria"/>
    </w:rPr>
    <w:tblPr>
      <w:tblStyleRowBandSize w:val="1"/>
      <w:tblStyleColBandSize w:val="1"/>
      <w:tblCellMar>
        <w:left w:w="108.0" w:type="dxa"/>
        <w:right w:w="108.0" w:type="dxa"/>
      </w:tblCellMar>
    </w:tblPr>
  </w:style>
  <w:style w:type="table" w:styleId="af" w:customStyle="1">
    <w:basedOn w:val="TableNormal1"/>
    <w:rPr>
      <w:rFonts w:ascii="Cambria" w:cs="Cambria" w:eastAsia="Cambria" w:hAnsi="Cambria"/>
    </w:rPr>
    <w:tblPr>
      <w:tblStyleRowBandSize w:val="1"/>
      <w:tblStyleColBandSize w:val="1"/>
      <w:tblCellMar>
        <w:left w:w="108.0" w:type="dxa"/>
        <w:right w:w="108.0" w:type="dxa"/>
      </w:tblCellMar>
    </w:tblPr>
  </w:style>
  <w:style w:type="table" w:styleId="af0" w:customStyle="1">
    <w:basedOn w:val="TableNormal1"/>
    <w:rPr>
      <w:rFonts w:ascii="Cambria" w:cs="Cambria" w:eastAsia="Cambria" w:hAnsi="Cambria"/>
    </w:rPr>
    <w:tblPr>
      <w:tblStyleRowBandSize w:val="1"/>
      <w:tblStyleColBandSize w:val="1"/>
      <w:tblCellMar>
        <w:left w:w="108.0" w:type="dxa"/>
        <w:right w:w="108.0" w:type="dxa"/>
      </w:tblCellMar>
    </w:tblPr>
  </w:style>
  <w:style w:type="table" w:styleId="af1" w:customStyle="1">
    <w:basedOn w:val="TableNormal1"/>
    <w:rPr>
      <w:rFonts w:ascii="Cambria" w:cs="Cambria" w:eastAsia="Cambria" w:hAnsi="Cambria"/>
    </w:rPr>
    <w:tblPr>
      <w:tblStyleRowBandSize w:val="1"/>
      <w:tblStyleColBandSize w:val="1"/>
      <w:tblCellMar>
        <w:left w:w="108.0" w:type="dxa"/>
        <w:right w:w="108.0" w:type="dxa"/>
      </w:tblCellMar>
    </w:tblPr>
  </w:style>
  <w:style w:type="table" w:styleId="af2" w:customStyle="1">
    <w:basedOn w:val="TableNormal1"/>
    <w:tblPr>
      <w:tblStyleRowBandSize w:val="1"/>
      <w:tblStyleColBandSize w:val="1"/>
      <w:tblCellMar>
        <w:left w:w="115.0" w:type="dxa"/>
        <w:right w:w="115.0" w:type="dxa"/>
      </w:tblCellMar>
    </w:tblPr>
  </w:style>
  <w:style w:type="table" w:styleId="af3" w:customStyle="1">
    <w:basedOn w:val="TableNormal1"/>
    <w:tblPr>
      <w:tblStyleRowBandSize w:val="1"/>
      <w:tblStyleColBandSize w:val="1"/>
      <w:tblCellMar>
        <w:left w:w="115.0" w:type="dxa"/>
        <w:right w:w="115.0" w:type="dxa"/>
      </w:tblCellMar>
    </w:tblPr>
  </w:style>
  <w:style w:type="table" w:styleId="af4" w:customStyle="1">
    <w:basedOn w:val="TableNormal0"/>
    <w:rPr>
      <w:rFonts w:ascii="Cambria" w:cs="Cambria" w:eastAsia="Cambria" w:hAnsi="Cambria"/>
    </w:rPr>
    <w:tblPr>
      <w:tblStyleRowBandSize w:val="1"/>
      <w:tblStyleColBandSize w:val="1"/>
      <w:tblCellMar>
        <w:left w:w="115.0" w:type="dxa"/>
        <w:right w:w="115.0" w:type="dxa"/>
      </w:tblCellMar>
    </w:tblPr>
  </w:style>
  <w:style w:type="table" w:styleId="af5" w:customStyle="1">
    <w:basedOn w:val="TableNormal0"/>
    <w:rPr>
      <w:rFonts w:ascii="Cambria" w:cs="Cambria" w:eastAsia="Cambria" w:hAnsi="Cambria"/>
    </w:rPr>
    <w:tblPr>
      <w:tblStyleRowBandSize w:val="1"/>
      <w:tblStyleColBandSize w:val="1"/>
      <w:tblCellMar>
        <w:left w:w="115.0" w:type="dxa"/>
        <w:right w:w="115.0" w:type="dxa"/>
      </w:tblCellMar>
    </w:tblPr>
  </w:style>
  <w:style w:type="table" w:styleId="af6" w:customStyle="1">
    <w:basedOn w:val="TableNormal0"/>
    <w:rPr>
      <w:rFonts w:ascii="Cambria" w:cs="Cambria" w:eastAsia="Cambria" w:hAnsi="Cambria"/>
    </w:rPr>
    <w:tblPr>
      <w:tblStyleRowBandSize w:val="1"/>
      <w:tblStyleColBandSize w:val="1"/>
      <w:tblCellMar>
        <w:left w:w="115.0" w:type="dxa"/>
        <w:right w:w="115.0" w:type="dxa"/>
      </w:tblCellMar>
    </w:tblPr>
  </w:style>
  <w:style w:type="table" w:styleId="af7" w:customStyle="1">
    <w:basedOn w:val="TableNormal0"/>
    <w:rPr>
      <w:rFonts w:ascii="Cambria" w:cs="Cambria" w:eastAsia="Cambria" w:hAnsi="Cambria"/>
    </w:rPr>
    <w:tblPr>
      <w:tblStyleRowBandSize w:val="1"/>
      <w:tblStyleColBandSize w:val="1"/>
      <w:tblCellMar>
        <w:left w:w="115.0" w:type="dxa"/>
        <w:right w:w="115.0" w:type="dxa"/>
      </w:tblCellMar>
    </w:tblPr>
  </w:style>
  <w:style w:type="table" w:styleId="af8" w:customStyle="1">
    <w:basedOn w:val="TableNormal0"/>
    <w:rPr>
      <w:rFonts w:ascii="Cambria" w:cs="Cambria" w:eastAsia="Cambria" w:hAnsi="Cambria"/>
    </w:rPr>
    <w:tblPr>
      <w:tblStyleRowBandSize w:val="1"/>
      <w:tblStyleColBandSize w:val="1"/>
      <w:tblCellMar>
        <w:left w:w="115.0" w:type="dxa"/>
        <w:right w:w="115.0" w:type="dxa"/>
      </w:tblCellMar>
    </w:tblPr>
  </w:style>
  <w:style w:type="table" w:styleId="af9" w:customStyle="1">
    <w:basedOn w:val="TableNormal0"/>
    <w:rPr>
      <w:rFonts w:ascii="Cambria" w:cs="Cambria" w:eastAsia="Cambria" w:hAnsi="Cambria"/>
    </w:rPr>
    <w:tblPr>
      <w:tblStyleRowBandSize w:val="1"/>
      <w:tblStyleColBandSize w:val="1"/>
      <w:tblCellMar>
        <w:left w:w="115.0" w:type="dxa"/>
        <w:right w:w="115.0" w:type="dxa"/>
      </w:tblCellMar>
    </w:tblPr>
  </w:style>
  <w:style w:type="table" w:styleId="afa" w:customStyle="1">
    <w:basedOn w:val="TableNormal0"/>
    <w:rPr>
      <w:rFonts w:ascii="Cambria" w:cs="Cambria" w:eastAsia="Cambria" w:hAnsi="Cambria"/>
    </w:rPr>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rPr>
      <w:rFonts w:ascii="Cambria" w:cs="Cambria" w:eastAsia="Cambria" w:hAnsi="Cambria"/>
    </w:rPr>
    <w:tblPr>
      <w:tblStyleRowBandSize w:val="1"/>
      <w:tblStyleColBandSize w:val="1"/>
      <w:tblCellMar>
        <w:top w:w="0.0" w:type="dxa"/>
        <w:left w:w="115.0" w:type="dxa"/>
        <w:bottom w:w="0.0" w:type="dxa"/>
        <w:right w:w="115.0" w:type="dxa"/>
      </w:tblCellMar>
    </w:tblPr>
  </w:style>
  <w:style w:type="table" w:styleId="Table2">
    <w:basedOn w:val="TableNormal"/>
    <w:rPr>
      <w:rFonts w:ascii="Cambria" w:cs="Cambria" w:eastAsia="Cambria" w:hAnsi="Cambria"/>
    </w:rPr>
    <w:tblPr>
      <w:tblStyleRowBandSize w:val="1"/>
      <w:tblStyleColBandSize w:val="1"/>
      <w:tblCellMar>
        <w:top w:w="0.0" w:type="dxa"/>
        <w:left w:w="115.0" w:type="dxa"/>
        <w:bottom w:w="0.0" w:type="dxa"/>
        <w:right w:w="115.0" w:type="dxa"/>
      </w:tblCellMar>
    </w:tblPr>
  </w:style>
  <w:style w:type="table" w:styleId="Table3">
    <w:basedOn w:val="TableNormal"/>
    <w:rPr>
      <w:rFonts w:ascii="Cambria" w:cs="Cambria" w:eastAsia="Cambria" w:hAnsi="Cambria"/>
    </w:rPr>
    <w:tblPr>
      <w:tblStyleRowBandSize w:val="1"/>
      <w:tblStyleColBandSize w:val="1"/>
      <w:tblCellMar>
        <w:top w:w="0.0" w:type="dxa"/>
        <w:left w:w="115.0" w:type="dxa"/>
        <w:bottom w:w="0.0" w:type="dxa"/>
        <w:right w:w="115.0" w:type="dxa"/>
      </w:tblCellMar>
    </w:tblPr>
  </w:style>
  <w:style w:type="table" w:styleId="Table4">
    <w:basedOn w:val="TableNormal"/>
    <w:rPr>
      <w:rFonts w:ascii="Cambria" w:cs="Cambria" w:eastAsia="Cambria" w:hAnsi="Cambria"/>
    </w:rPr>
    <w:tblPr>
      <w:tblStyleRowBandSize w:val="1"/>
      <w:tblStyleColBandSize w:val="1"/>
      <w:tblCellMar>
        <w:top w:w="0.0" w:type="dxa"/>
        <w:left w:w="115.0" w:type="dxa"/>
        <w:bottom w:w="0.0" w:type="dxa"/>
        <w:right w:w="115.0" w:type="dxa"/>
      </w:tblCellMar>
    </w:tblPr>
  </w:style>
  <w:style w:type="table" w:styleId="Table5">
    <w:basedOn w:val="TableNormal"/>
    <w:rPr>
      <w:rFonts w:ascii="Cambria" w:cs="Cambria" w:eastAsia="Cambria" w:hAnsi="Cambria"/>
    </w:rPr>
    <w:tblPr>
      <w:tblStyleRowBandSize w:val="1"/>
      <w:tblStyleColBandSize w:val="1"/>
      <w:tblCellMar>
        <w:top w:w="0.0" w:type="dxa"/>
        <w:left w:w="115.0" w:type="dxa"/>
        <w:bottom w:w="0.0" w:type="dxa"/>
        <w:right w:w="115.0" w:type="dxa"/>
      </w:tblCellMar>
    </w:tblPr>
  </w:style>
  <w:style w:type="table" w:styleId="Table6">
    <w:basedOn w:val="TableNormal"/>
    <w:rPr>
      <w:rFonts w:ascii="Cambria" w:cs="Cambria" w:eastAsia="Cambria" w:hAnsi="Cambria"/>
    </w:rPr>
    <w:tblPr>
      <w:tblStyleRowBandSize w:val="1"/>
      <w:tblStyleColBandSize w:val="1"/>
      <w:tblCellMar>
        <w:top w:w="0.0" w:type="dxa"/>
        <w:left w:w="115.0" w:type="dxa"/>
        <w:bottom w:w="0.0" w:type="dxa"/>
        <w:right w:w="115.0" w:type="dxa"/>
      </w:tblCellMar>
    </w:tblPr>
  </w:style>
  <w:style w:type="table" w:styleId="Table7">
    <w:basedOn w:val="TableNormal"/>
    <w:rPr>
      <w:rFonts w:ascii="Cambria" w:cs="Cambria" w:eastAsia="Cambria" w:hAnsi="Cambria"/>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22" Type="http://schemas.openxmlformats.org/officeDocument/2006/relationships/image" Target="media/image11.png"/><Relationship Id="rId21" Type="http://schemas.openxmlformats.org/officeDocument/2006/relationships/image" Target="media/image15.png"/><Relationship Id="rId24" Type="http://schemas.openxmlformats.org/officeDocument/2006/relationships/image" Target="media/image13.png"/><Relationship Id="rId23"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7.png"/><Relationship Id="rId26" Type="http://schemas.openxmlformats.org/officeDocument/2006/relationships/image" Target="media/image19.png"/><Relationship Id="rId25" Type="http://schemas.openxmlformats.org/officeDocument/2006/relationships/image" Target="media/image23.png"/><Relationship Id="rId28" Type="http://schemas.openxmlformats.org/officeDocument/2006/relationships/image" Target="media/image12.png"/><Relationship Id="rId27" Type="http://schemas.openxmlformats.org/officeDocument/2006/relationships/image" Target="media/image20.pn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image" Target="media/image22.png"/><Relationship Id="rId7" Type="http://schemas.openxmlformats.org/officeDocument/2006/relationships/customXml" Target="../customXML/item1.xml"/><Relationship Id="rId8" Type="http://schemas.openxmlformats.org/officeDocument/2006/relationships/image" Target="media/image16.png"/><Relationship Id="rId31" Type="http://schemas.openxmlformats.org/officeDocument/2006/relationships/header" Target="header1.xml"/><Relationship Id="rId30" Type="http://schemas.openxmlformats.org/officeDocument/2006/relationships/image" Target="media/image21.png"/><Relationship Id="rId11" Type="http://schemas.openxmlformats.org/officeDocument/2006/relationships/image" Target="media/image3.png"/><Relationship Id="rId33" Type="http://schemas.openxmlformats.org/officeDocument/2006/relationships/footer" Target="footer1.xml"/><Relationship Id="rId10" Type="http://schemas.openxmlformats.org/officeDocument/2006/relationships/image" Target="media/image5.png"/><Relationship Id="rId32" Type="http://schemas.openxmlformats.org/officeDocument/2006/relationships/header" Target="header2.xml"/><Relationship Id="rId13" Type="http://schemas.openxmlformats.org/officeDocument/2006/relationships/image" Target="media/image8.png"/><Relationship Id="rId35" Type="http://schemas.openxmlformats.org/officeDocument/2006/relationships/header" Target="header3.xml"/><Relationship Id="rId12" Type="http://schemas.openxmlformats.org/officeDocument/2006/relationships/hyperlink" Target="http://www.monografias.com/trabajos14/verific-servicios/verific-servicios.shtml" TargetMode="External"/><Relationship Id="rId34" Type="http://schemas.openxmlformats.org/officeDocument/2006/relationships/footer" Target="footer2.xml"/><Relationship Id="rId15" Type="http://schemas.openxmlformats.org/officeDocument/2006/relationships/image" Target="media/image4.png"/><Relationship Id="rId14" Type="http://schemas.openxmlformats.org/officeDocument/2006/relationships/image" Target="media/image2.png"/><Relationship Id="rId36" Type="http://schemas.openxmlformats.org/officeDocument/2006/relationships/footer" Target="footer3.xml"/><Relationship Id="rId17" Type="http://schemas.openxmlformats.org/officeDocument/2006/relationships/image" Target="media/image6.png"/><Relationship Id="rId16" Type="http://schemas.openxmlformats.org/officeDocument/2006/relationships/image" Target="media/image14.png"/><Relationship Id="rId19" Type="http://schemas.openxmlformats.org/officeDocument/2006/relationships/image" Target="media/image10.png"/><Relationship Id="rId18" Type="http://schemas.openxmlformats.org/officeDocument/2006/relationships/image" Target="media/image18.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hHPx4HRJAloeRnGlBtVjWVshFw==">CgMxLjAyCWguMWZvYjl0ZTIIaC5namRneHMyCWguM2R5NnZrbTIJaC4zMGowemxsMgloLjJzOGV5bzEyCGgudHlqY3d0MgloLjN6bnlzaDcyCWguMmV0OTJwMDIJaC40ZDM0b2c4Mg5oLmlqdjk4cG50Y2Q1czIJaC4yNmluMXJnMghoLmxueGJ6OTIJaC4xdDNoNXNmOAByITFja2k0TnIzWm1XQWptaFhvSm52STRXU3NEMW5SVERwWA==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2024-12-05T20:43:00Z</dcterms:created>
  <dc:creator>USUARIO</dc:creator>
</cp:coreProperties>
</file>