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2D9F7641"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424AE2">
        <w:rPr>
          <w:rFonts w:ascii="Palatino Linotype" w:eastAsia="Palatino Linotype" w:hAnsi="Palatino Linotype" w:cs="Palatino Linotype"/>
          <w:sz w:val="22"/>
          <w:szCs w:val="22"/>
        </w:rPr>
        <w:t xml:space="preserve">fecha </w:t>
      </w:r>
      <w:r w:rsidR="00C151BE" w:rsidRPr="00424AE2">
        <w:rPr>
          <w:rFonts w:ascii="Palatino Linotype" w:eastAsia="Palatino Linotype" w:hAnsi="Palatino Linotype" w:cs="Palatino Linotype"/>
          <w:sz w:val="22"/>
          <w:szCs w:val="22"/>
        </w:rPr>
        <w:t>nueve d</w:t>
      </w:r>
      <w:r w:rsidR="00597635" w:rsidRPr="00424AE2">
        <w:rPr>
          <w:rFonts w:ascii="Palatino Linotype" w:eastAsia="Palatino Linotype" w:hAnsi="Palatino Linotype" w:cs="Palatino Linotype"/>
          <w:sz w:val="22"/>
          <w:szCs w:val="22"/>
        </w:rPr>
        <w:t>e octubre</w:t>
      </w:r>
      <w:r w:rsidR="0049645A" w:rsidRPr="00424AE2">
        <w:rPr>
          <w:rFonts w:ascii="Palatino Linotype" w:eastAsia="Palatino Linotype" w:hAnsi="Palatino Linotype" w:cs="Palatino Linotype"/>
          <w:sz w:val="22"/>
          <w:szCs w:val="22"/>
        </w:rPr>
        <w:t xml:space="preserve"> </w:t>
      </w:r>
      <w:r w:rsidR="00D8337B" w:rsidRPr="00424AE2">
        <w:rPr>
          <w:rFonts w:ascii="Palatino Linotype" w:eastAsia="Palatino Linotype" w:hAnsi="Palatino Linotype" w:cs="Palatino Linotype"/>
          <w:sz w:val="22"/>
          <w:szCs w:val="22"/>
        </w:rPr>
        <w:t xml:space="preserve">de dos mil veinticuatro. </w:t>
      </w:r>
    </w:p>
    <w:p w14:paraId="0641B12C" w14:textId="77777777" w:rsidR="00397333" w:rsidRPr="00424AE2" w:rsidRDefault="00397333">
      <w:pPr>
        <w:spacing w:line="360" w:lineRule="auto"/>
        <w:jc w:val="both"/>
        <w:rPr>
          <w:rFonts w:ascii="Palatino Linotype" w:eastAsia="Palatino Linotype" w:hAnsi="Palatino Linotype" w:cs="Palatino Linotype"/>
          <w:sz w:val="22"/>
          <w:szCs w:val="22"/>
        </w:rPr>
      </w:pPr>
    </w:p>
    <w:p w14:paraId="2136A93F" w14:textId="667B9E13"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Visto</w:t>
      </w:r>
      <w:r w:rsidRPr="00424AE2">
        <w:rPr>
          <w:rFonts w:ascii="Palatino Linotype" w:eastAsia="Palatino Linotype" w:hAnsi="Palatino Linotype" w:cs="Palatino Linotype"/>
          <w:sz w:val="22"/>
          <w:szCs w:val="22"/>
        </w:rPr>
        <w:t xml:space="preserve"> el expediente relativo al recurso de revisión </w:t>
      </w:r>
      <w:r w:rsidR="00597635" w:rsidRPr="00424AE2">
        <w:rPr>
          <w:rFonts w:ascii="Palatino Linotype" w:eastAsia="Palatino Linotype" w:hAnsi="Palatino Linotype" w:cs="Palatino Linotype"/>
          <w:b/>
          <w:sz w:val="22"/>
          <w:szCs w:val="22"/>
        </w:rPr>
        <w:t>05014</w:t>
      </w:r>
      <w:r w:rsidRPr="00424AE2">
        <w:rPr>
          <w:rFonts w:ascii="Palatino Linotype" w:eastAsia="Palatino Linotype" w:hAnsi="Palatino Linotype" w:cs="Palatino Linotype"/>
          <w:b/>
          <w:sz w:val="22"/>
          <w:szCs w:val="22"/>
        </w:rPr>
        <w:t>/INFOEM/IP/</w:t>
      </w:r>
      <w:r w:rsidR="00CF4F0B" w:rsidRPr="00424AE2">
        <w:rPr>
          <w:rFonts w:ascii="Palatino Linotype" w:eastAsia="Palatino Linotype" w:hAnsi="Palatino Linotype" w:cs="Palatino Linotype"/>
          <w:b/>
          <w:sz w:val="22"/>
          <w:szCs w:val="22"/>
        </w:rPr>
        <w:t>RR/202</w:t>
      </w:r>
      <w:r w:rsidR="00811EAE" w:rsidRPr="00424AE2">
        <w:rPr>
          <w:rFonts w:ascii="Palatino Linotype" w:eastAsia="Palatino Linotype" w:hAnsi="Palatino Linotype" w:cs="Palatino Linotype"/>
          <w:b/>
          <w:sz w:val="22"/>
          <w:szCs w:val="22"/>
        </w:rPr>
        <w:t>4</w:t>
      </w:r>
      <w:r w:rsidRPr="00424AE2">
        <w:rPr>
          <w:rFonts w:ascii="Palatino Linotype" w:eastAsia="Palatino Linotype" w:hAnsi="Palatino Linotype" w:cs="Palatino Linotype"/>
          <w:sz w:val="22"/>
          <w:szCs w:val="22"/>
        </w:rPr>
        <w:t xml:space="preserve">, interpuesto </w:t>
      </w:r>
      <w:r w:rsidR="00CF4F0B" w:rsidRPr="00424AE2">
        <w:rPr>
          <w:rFonts w:ascii="Palatino Linotype" w:eastAsia="Palatino Linotype" w:hAnsi="Palatino Linotype" w:cs="Palatino Linotype"/>
          <w:sz w:val="22"/>
          <w:szCs w:val="22"/>
        </w:rPr>
        <w:t>por</w:t>
      </w:r>
      <w:r w:rsidR="00811EAE" w:rsidRPr="00424AE2">
        <w:rPr>
          <w:rFonts w:ascii="Palatino Linotype" w:eastAsia="Palatino Linotype" w:hAnsi="Palatino Linotype" w:cs="Palatino Linotype"/>
          <w:sz w:val="22"/>
          <w:szCs w:val="22"/>
        </w:rPr>
        <w:t xml:space="preserve"> </w:t>
      </w:r>
      <w:r w:rsidR="006A21BE">
        <w:rPr>
          <w:rFonts w:ascii="Palatino Linotype" w:eastAsia="Palatino Linotype" w:hAnsi="Palatino Linotype" w:cs="Palatino Linotype"/>
          <w:b/>
          <w:sz w:val="22"/>
          <w:szCs w:val="22"/>
        </w:rPr>
        <w:t>XXXX XXXXXXX</w:t>
      </w:r>
      <w:r w:rsidR="00F12AF5" w:rsidRPr="00424AE2">
        <w:rPr>
          <w:rFonts w:ascii="Palatino Linotype" w:eastAsia="Palatino Linotype" w:hAnsi="Palatino Linotype" w:cs="Palatino Linotype"/>
          <w:b/>
          <w:sz w:val="22"/>
          <w:szCs w:val="22"/>
        </w:rPr>
        <w:t xml:space="preserve">, </w:t>
      </w:r>
      <w:r w:rsidR="008D7E32" w:rsidRPr="00424AE2">
        <w:rPr>
          <w:rFonts w:ascii="Palatino Linotype" w:eastAsia="Palatino Linotype" w:hAnsi="Palatino Linotype" w:cs="Palatino Linotype"/>
          <w:sz w:val="22"/>
          <w:szCs w:val="22"/>
        </w:rPr>
        <w:t xml:space="preserve">en </w:t>
      </w:r>
      <w:r w:rsidR="00111D33" w:rsidRPr="00424AE2">
        <w:rPr>
          <w:rFonts w:ascii="Palatino Linotype" w:eastAsia="Palatino Linotype" w:hAnsi="Palatino Linotype" w:cs="Palatino Linotype"/>
          <w:sz w:val="22"/>
          <w:szCs w:val="22"/>
        </w:rPr>
        <w:t>lo sucesivo se le denominará la parte</w:t>
      </w:r>
      <w:r w:rsidRPr="00424AE2">
        <w:rPr>
          <w:rFonts w:ascii="Palatino Linotype" w:eastAsia="Palatino Linotype" w:hAnsi="Palatino Linotype" w:cs="Palatino Linotype"/>
          <w:b/>
          <w:sz w:val="22"/>
          <w:szCs w:val="22"/>
        </w:rPr>
        <w:t xml:space="preserve"> </w:t>
      </w:r>
      <w:r w:rsidR="00515A6B" w:rsidRPr="00424AE2">
        <w:rPr>
          <w:rFonts w:ascii="Palatino Linotype" w:eastAsia="Palatino Linotype" w:hAnsi="Palatino Linotype" w:cs="Palatino Linotype"/>
          <w:b/>
          <w:sz w:val="22"/>
          <w:szCs w:val="22"/>
        </w:rPr>
        <w:t>Recurrente</w:t>
      </w:r>
      <w:r w:rsidRPr="00424AE2">
        <w:rPr>
          <w:rFonts w:ascii="Palatino Linotype" w:eastAsia="Palatino Linotype" w:hAnsi="Palatino Linotype" w:cs="Palatino Linotype"/>
          <w:sz w:val="22"/>
          <w:szCs w:val="22"/>
        </w:rPr>
        <w:t>, en contra de la respuesta a su solicitud de información con número de folio</w:t>
      </w:r>
      <w:r w:rsidR="00496DCD" w:rsidRPr="00424AE2">
        <w:rPr>
          <w:rFonts w:ascii="Palatino Linotype" w:eastAsia="Palatino Linotype" w:hAnsi="Palatino Linotype" w:cs="Palatino Linotype"/>
          <w:b/>
          <w:sz w:val="22"/>
          <w:szCs w:val="22"/>
        </w:rPr>
        <w:t xml:space="preserve"> </w:t>
      </w:r>
      <w:r w:rsidR="00597635" w:rsidRPr="00424AE2">
        <w:rPr>
          <w:rFonts w:ascii="Palatino Linotype" w:eastAsia="Palatino Linotype" w:hAnsi="Palatino Linotype" w:cs="Palatino Linotype"/>
          <w:b/>
          <w:sz w:val="22"/>
          <w:szCs w:val="22"/>
        </w:rPr>
        <w:t>00004/IMCUFIDECHICOLO/IP/2024</w:t>
      </w:r>
      <w:r w:rsidRPr="00424AE2">
        <w:rPr>
          <w:rFonts w:ascii="Palatino Linotype" w:eastAsia="Palatino Linotype" w:hAnsi="Palatino Linotype" w:cs="Palatino Linotype"/>
          <w:sz w:val="22"/>
          <w:szCs w:val="22"/>
        </w:rPr>
        <w:t xml:space="preserve">, por parte del </w:t>
      </w:r>
      <w:r w:rsidR="00597635" w:rsidRPr="00424AE2">
        <w:rPr>
          <w:rFonts w:ascii="Palatino Linotype" w:eastAsia="Palatino Linotype" w:hAnsi="Palatino Linotype" w:cs="Palatino Linotype"/>
          <w:b/>
          <w:sz w:val="22"/>
          <w:szCs w:val="22"/>
        </w:rPr>
        <w:t xml:space="preserve">Instituto Municipal de Cultura Física y Deporte de Chicoloapan </w:t>
      </w:r>
      <w:r w:rsidRPr="00424AE2">
        <w:rPr>
          <w:rFonts w:ascii="Palatino Linotype" w:eastAsia="Palatino Linotype" w:hAnsi="Palatino Linotype" w:cs="Palatino Linotype"/>
          <w:sz w:val="22"/>
          <w:szCs w:val="22"/>
        </w:rPr>
        <w:t xml:space="preserve">en lo sucesivo el </w:t>
      </w:r>
      <w:r w:rsidR="00515A6B"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w:t>
      </w:r>
      <w:r w:rsidRPr="00424AE2">
        <w:rPr>
          <w:rFonts w:ascii="Palatino Linotype" w:eastAsia="Palatino Linotype" w:hAnsi="Palatino Linotype" w:cs="Palatino Linotype"/>
          <w:b/>
          <w:sz w:val="22"/>
          <w:szCs w:val="22"/>
        </w:rPr>
        <w:t xml:space="preserve"> </w:t>
      </w:r>
      <w:r w:rsidRPr="00424AE2">
        <w:rPr>
          <w:rFonts w:ascii="Palatino Linotype" w:eastAsia="Palatino Linotype" w:hAnsi="Palatino Linotype" w:cs="Palatino Linotype"/>
          <w:sz w:val="22"/>
          <w:szCs w:val="22"/>
        </w:rPr>
        <w:t>se procede a dictar la presente resolución, con base en los siguientes:</w:t>
      </w:r>
      <w:r w:rsidR="007F091A" w:rsidRPr="00424AE2">
        <w:rPr>
          <w:rFonts w:ascii="Palatino Linotype" w:eastAsia="Palatino Linotype" w:hAnsi="Palatino Linotype" w:cs="Palatino Linotype"/>
          <w:sz w:val="22"/>
          <w:szCs w:val="22"/>
        </w:rPr>
        <w:t xml:space="preserve"> </w:t>
      </w:r>
    </w:p>
    <w:p w14:paraId="27448A3B" w14:textId="77777777" w:rsidR="00E52305" w:rsidRPr="00424AE2" w:rsidRDefault="00E52305">
      <w:pPr>
        <w:spacing w:line="360" w:lineRule="auto"/>
        <w:jc w:val="both"/>
        <w:rPr>
          <w:rFonts w:ascii="Palatino Linotype" w:eastAsia="Palatino Linotype" w:hAnsi="Palatino Linotype" w:cs="Palatino Linotype"/>
          <w:b/>
          <w:sz w:val="22"/>
          <w:szCs w:val="22"/>
        </w:rPr>
      </w:pPr>
    </w:p>
    <w:p w14:paraId="43E80708" w14:textId="77777777" w:rsidR="00397333" w:rsidRPr="00424AE2" w:rsidRDefault="00B16908" w:rsidP="000453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424AE2">
        <w:rPr>
          <w:rFonts w:ascii="Palatino Linotype" w:eastAsia="Palatino Linotype" w:hAnsi="Palatino Linotype" w:cs="Palatino Linotype"/>
          <w:b/>
          <w:sz w:val="22"/>
          <w:szCs w:val="22"/>
        </w:rPr>
        <w:t>A N T E C E D E N T E S:</w:t>
      </w:r>
    </w:p>
    <w:p w14:paraId="37629353" w14:textId="77777777" w:rsidR="00397333" w:rsidRPr="00424AE2"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63391400" w:rsidR="00397333" w:rsidRPr="00424AE2"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24AE2">
        <w:rPr>
          <w:rFonts w:ascii="Palatino Linotype" w:eastAsia="Palatino Linotype" w:hAnsi="Palatino Linotype" w:cs="Palatino Linotype"/>
          <w:b/>
          <w:sz w:val="22"/>
          <w:szCs w:val="22"/>
        </w:rPr>
        <w:t xml:space="preserve">Solicitud de acceso a la información. </w:t>
      </w:r>
      <w:r w:rsidRPr="00424AE2">
        <w:rPr>
          <w:rFonts w:ascii="Palatino Linotype" w:eastAsia="Palatino Linotype" w:hAnsi="Palatino Linotype" w:cs="Palatino Linotype"/>
          <w:sz w:val="22"/>
          <w:szCs w:val="22"/>
        </w:rPr>
        <w:t xml:space="preserve">Con fecha </w:t>
      </w:r>
      <w:r w:rsidR="00597635" w:rsidRPr="00424AE2">
        <w:rPr>
          <w:rFonts w:ascii="Palatino Linotype" w:eastAsia="Palatino Linotype" w:hAnsi="Palatino Linotype" w:cs="Palatino Linotype"/>
          <w:b/>
          <w:sz w:val="22"/>
          <w:szCs w:val="22"/>
        </w:rPr>
        <w:t>trece de agosto</w:t>
      </w:r>
      <w:r w:rsidR="0049645A" w:rsidRPr="00424AE2">
        <w:rPr>
          <w:rFonts w:ascii="Palatino Linotype" w:eastAsia="Palatino Linotype" w:hAnsi="Palatino Linotype" w:cs="Palatino Linotype"/>
          <w:b/>
          <w:sz w:val="22"/>
          <w:szCs w:val="22"/>
        </w:rPr>
        <w:t xml:space="preserve"> </w:t>
      </w:r>
      <w:r w:rsidR="00DE2797" w:rsidRPr="00424AE2">
        <w:rPr>
          <w:rFonts w:ascii="Palatino Linotype" w:eastAsia="Palatino Linotype" w:hAnsi="Palatino Linotype" w:cs="Palatino Linotype"/>
          <w:b/>
          <w:sz w:val="22"/>
          <w:szCs w:val="22"/>
        </w:rPr>
        <w:t xml:space="preserve">de </w:t>
      </w:r>
      <w:r w:rsidR="00111D33" w:rsidRPr="00424AE2">
        <w:rPr>
          <w:rFonts w:ascii="Palatino Linotype" w:eastAsia="Palatino Linotype" w:hAnsi="Palatino Linotype" w:cs="Palatino Linotype"/>
          <w:b/>
          <w:sz w:val="22"/>
          <w:szCs w:val="22"/>
        </w:rPr>
        <w:t>dos mil veinti</w:t>
      </w:r>
      <w:r w:rsidR="00DE2797" w:rsidRPr="00424AE2">
        <w:rPr>
          <w:rFonts w:ascii="Palatino Linotype" w:eastAsia="Palatino Linotype" w:hAnsi="Palatino Linotype" w:cs="Palatino Linotype"/>
          <w:b/>
          <w:sz w:val="22"/>
          <w:szCs w:val="22"/>
        </w:rPr>
        <w:t>cuatro</w:t>
      </w:r>
      <w:r w:rsidRPr="00424AE2">
        <w:rPr>
          <w:rFonts w:ascii="Palatino Linotype" w:eastAsia="Palatino Linotype" w:hAnsi="Palatino Linotype" w:cs="Palatino Linotype"/>
          <w:sz w:val="22"/>
          <w:szCs w:val="22"/>
        </w:rPr>
        <w:t xml:space="preserve">, la parte </w:t>
      </w:r>
      <w:r w:rsidR="00515A6B" w:rsidRPr="00424AE2">
        <w:rPr>
          <w:rFonts w:ascii="Palatino Linotype" w:eastAsia="Palatino Linotype" w:hAnsi="Palatino Linotype" w:cs="Palatino Linotype"/>
          <w:b/>
          <w:sz w:val="22"/>
          <w:szCs w:val="22"/>
        </w:rPr>
        <w:t>Recurrente</w:t>
      </w:r>
      <w:r w:rsidR="00515A6B"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formuló solicitud de acceso a información pública al </w:t>
      </w:r>
      <w:r w:rsidR="00515A6B" w:rsidRPr="00424AE2">
        <w:rPr>
          <w:rFonts w:ascii="Palatino Linotype" w:eastAsia="Palatino Linotype" w:hAnsi="Palatino Linotype" w:cs="Palatino Linotype"/>
          <w:b/>
          <w:sz w:val="22"/>
          <w:szCs w:val="22"/>
        </w:rPr>
        <w:t>Sujeto Obligado</w:t>
      </w:r>
      <w:r w:rsidR="00515A6B"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a través</w:t>
      </w:r>
      <w:r w:rsidR="00F12AF5" w:rsidRPr="00424AE2">
        <w:rPr>
          <w:rFonts w:ascii="Palatino Linotype" w:eastAsia="Palatino Linotype" w:hAnsi="Palatino Linotype" w:cs="Palatino Linotype"/>
          <w:sz w:val="22"/>
          <w:szCs w:val="22"/>
        </w:rPr>
        <w:t xml:space="preserve"> d</w:t>
      </w:r>
      <w:r w:rsidR="00811EAE" w:rsidRPr="00424AE2">
        <w:rPr>
          <w:rFonts w:ascii="Palatino Linotype" w:eastAsia="Palatino Linotype" w:hAnsi="Palatino Linotype" w:cs="Palatino Linotype"/>
          <w:sz w:val="22"/>
          <w:szCs w:val="22"/>
        </w:rPr>
        <w:t xml:space="preserve">el </w:t>
      </w:r>
      <w:r w:rsidRPr="00424AE2">
        <w:rPr>
          <w:rFonts w:ascii="Palatino Linotype" w:eastAsia="Palatino Linotype" w:hAnsi="Palatino Linotype" w:cs="Palatino Linotype"/>
          <w:sz w:val="22"/>
          <w:szCs w:val="22"/>
        </w:rPr>
        <w:t xml:space="preserve">Sistema de Acceso a la Información Mexiquense, en adelante </w:t>
      </w:r>
      <w:r w:rsidRPr="00424AE2">
        <w:rPr>
          <w:rFonts w:ascii="Palatino Linotype" w:eastAsia="Palatino Linotype" w:hAnsi="Palatino Linotype" w:cs="Palatino Linotype"/>
          <w:b/>
          <w:sz w:val="22"/>
          <w:szCs w:val="22"/>
        </w:rPr>
        <w:t>SAIMEX</w:t>
      </w:r>
      <w:r w:rsidRPr="00424AE2">
        <w:rPr>
          <w:rFonts w:ascii="Palatino Linotype" w:eastAsia="Palatino Linotype" w:hAnsi="Palatino Linotype" w:cs="Palatino Linotype"/>
          <w:sz w:val="22"/>
          <w:szCs w:val="22"/>
        </w:rPr>
        <w:t>, requiriéndole lo siguiente:</w:t>
      </w:r>
    </w:p>
    <w:p w14:paraId="248C4D4B" w14:textId="77777777" w:rsidR="00397333" w:rsidRPr="00424AE2"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6FC2F874" w:rsidR="00397333" w:rsidRPr="00424AE2" w:rsidRDefault="00C33785" w:rsidP="00956711">
      <w:pPr>
        <w:spacing w:line="276" w:lineRule="auto"/>
        <w:ind w:left="851" w:right="616"/>
        <w:jc w:val="both"/>
        <w:rPr>
          <w:rFonts w:ascii="Palatino Linotype" w:hAnsi="Palatino Linotype"/>
          <w:i/>
          <w:sz w:val="22"/>
          <w:szCs w:val="22"/>
        </w:rPr>
      </w:pPr>
      <w:r w:rsidRPr="00424AE2">
        <w:rPr>
          <w:rFonts w:ascii="Palatino Linotype" w:hAnsi="Palatino Linotype"/>
          <w:i/>
          <w:sz w:val="22"/>
          <w:szCs w:val="22"/>
        </w:rPr>
        <w:t>“</w:t>
      </w:r>
      <w:r w:rsidR="00597635" w:rsidRPr="00424AE2">
        <w:rPr>
          <w:rFonts w:ascii="Palatino Linotype" w:hAnsi="Palatino Linotype"/>
          <w:i/>
          <w:sz w:val="22"/>
          <w:szCs w:val="22"/>
        </w:rPr>
        <w:t xml:space="preserve">De acuerdo a los especificado en el Bando Municipal de Chicoloapan en el año 2024, en su </w:t>
      </w:r>
      <w:proofErr w:type="spellStart"/>
      <w:r w:rsidR="00597635" w:rsidRPr="00424AE2">
        <w:rPr>
          <w:rFonts w:ascii="Palatino Linotype" w:hAnsi="Palatino Linotype"/>
          <w:i/>
          <w:sz w:val="22"/>
          <w:szCs w:val="22"/>
        </w:rPr>
        <w:t>articulo</w:t>
      </w:r>
      <w:proofErr w:type="spellEnd"/>
      <w:r w:rsidR="00597635" w:rsidRPr="00424AE2">
        <w:rPr>
          <w:rFonts w:ascii="Palatino Linotype" w:hAnsi="Palatino Linotype"/>
          <w:i/>
          <w:sz w:val="22"/>
          <w:szCs w:val="22"/>
        </w:rPr>
        <w:t xml:space="preserve"> 55, cuantas personas integran la plantilla de cada dependencia, </w:t>
      </w:r>
      <w:proofErr w:type="spellStart"/>
      <w:r w:rsidR="00597635" w:rsidRPr="00424AE2">
        <w:rPr>
          <w:rFonts w:ascii="Palatino Linotype" w:hAnsi="Palatino Linotype"/>
          <w:i/>
          <w:sz w:val="22"/>
          <w:szCs w:val="22"/>
        </w:rPr>
        <w:t>area</w:t>
      </w:r>
      <w:proofErr w:type="spellEnd"/>
      <w:r w:rsidR="00597635" w:rsidRPr="00424AE2">
        <w:rPr>
          <w:rFonts w:ascii="Palatino Linotype" w:hAnsi="Palatino Linotype"/>
          <w:i/>
          <w:sz w:val="22"/>
          <w:szCs w:val="22"/>
        </w:rPr>
        <w:t xml:space="preserve"> u </w:t>
      </w:r>
      <w:proofErr w:type="gramStart"/>
      <w:r w:rsidR="00597635" w:rsidRPr="00424AE2">
        <w:rPr>
          <w:rFonts w:ascii="Palatino Linotype" w:hAnsi="Palatino Linotype"/>
          <w:i/>
          <w:sz w:val="22"/>
          <w:szCs w:val="22"/>
        </w:rPr>
        <w:t>oficina enunciadas</w:t>
      </w:r>
      <w:proofErr w:type="gramEnd"/>
      <w:r w:rsidR="00597635" w:rsidRPr="00424AE2">
        <w:rPr>
          <w:rFonts w:ascii="Palatino Linotype" w:hAnsi="Palatino Linotype"/>
          <w:i/>
          <w:sz w:val="22"/>
          <w:szCs w:val="22"/>
        </w:rPr>
        <w:t xml:space="preserve"> en dicho </w:t>
      </w:r>
      <w:proofErr w:type="spellStart"/>
      <w:r w:rsidR="00597635" w:rsidRPr="00424AE2">
        <w:rPr>
          <w:rFonts w:ascii="Palatino Linotype" w:hAnsi="Palatino Linotype"/>
          <w:i/>
          <w:sz w:val="22"/>
          <w:szCs w:val="22"/>
        </w:rPr>
        <w:t>articulo</w:t>
      </w:r>
      <w:proofErr w:type="spellEnd"/>
      <w:r w:rsidR="00597635" w:rsidRPr="00424AE2">
        <w:rPr>
          <w:rFonts w:ascii="Palatino Linotype" w:hAnsi="Palatino Linotype"/>
          <w:i/>
          <w:sz w:val="22"/>
          <w:szCs w:val="22"/>
        </w:rPr>
        <w:t xml:space="preserve"> que recibieron remuneración económica por parte del gobierno municipal de Chicoloapan en la quincena comprendida del </w:t>
      </w:r>
      <w:proofErr w:type="spellStart"/>
      <w:r w:rsidR="00597635" w:rsidRPr="00424AE2">
        <w:rPr>
          <w:rFonts w:ascii="Palatino Linotype" w:hAnsi="Palatino Linotype"/>
          <w:i/>
          <w:sz w:val="22"/>
          <w:szCs w:val="22"/>
        </w:rPr>
        <w:t>dia</w:t>
      </w:r>
      <w:proofErr w:type="spellEnd"/>
      <w:r w:rsidR="00597635" w:rsidRPr="00424AE2">
        <w:rPr>
          <w:rFonts w:ascii="Palatino Linotype" w:hAnsi="Palatino Linotype"/>
          <w:i/>
          <w:sz w:val="22"/>
          <w:szCs w:val="22"/>
        </w:rPr>
        <w:t xml:space="preserve"> 15 de julio al 31 de julio del año 2024. Solo es de mi </w:t>
      </w:r>
      <w:proofErr w:type="spellStart"/>
      <w:r w:rsidR="00597635" w:rsidRPr="00424AE2">
        <w:rPr>
          <w:rFonts w:ascii="Palatino Linotype" w:hAnsi="Palatino Linotype"/>
          <w:i/>
          <w:sz w:val="22"/>
          <w:szCs w:val="22"/>
        </w:rPr>
        <w:t>interes</w:t>
      </w:r>
      <w:proofErr w:type="spellEnd"/>
      <w:r w:rsidR="00597635" w:rsidRPr="00424AE2">
        <w:rPr>
          <w:rFonts w:ascii="Palatino Linotype" w:hAnsi="Palatino Linotype"/>
          <w:i/>
          <w:sz w:val="22"/>
          <w:szCs w:val="22"/>
        </w:rPr>
        <w:t xml:space="preserve"> </w:t>
      </w:r>
      <w:proofErr w:type="spellStart"/>
      <w:r w:rsidR="00597635" w:rsidRPr="00424AE2">
        <w:rPr>
          <w:rFonts w:ascii="Palatino Linotype" w:hAnsi="Palatino Linotype"/>
          <w:i/>
          <w:sz w:val="22"/>
          <w:szCs w:val="22"/>
        </w:rPr>
        <w:t>el</w:t>
      </w:r>
      <w:proofErr w:type="spellEnd"/>
      <w:r w:rsidR="00597635" w:rsidRPr="00424AE2">
        <w:rPr>
          <w:rFonts w:ascii="Palatino Linotype" w:hAnsi="Palatino Linotype"/>
          <w:i/>
          <w:sz w:val="22"/>
          <w:szCs w:val="22"/>
        </w:rPr>
        <w:t xml:space="preserve"> sabe la cantidad de servidores </w:t>
      </w:r>
      <w:proofErr w:type="spellStart"/>
      <w:r w:rsidR="00597635" w:rsidRPr="00424AE2">
        <w:rPr>
          <w:rFonts w:ascii="Palatino Linotype" w:hAnsi="Palatino Linotype"/>
          <w:i/>
          <w:sz w:val="22"/>
          <w:szCs w:val="22"/>
        </w:rPr>
        <w:t>publicos</w:t>
      </w:r>
      <w:proofErr w:type="spellEnd"/>
      <w:r w:rsidR="00597635" w:rsidRPr="00424AE2">
        <w:rPr>
          <w:rFonts w:ascii="Palatino Linotype" w:hAnsi="Palatino Linotype"/>
          <w:i/>
          <w:sz w:val="22"/>
          <w:szCs w:val="22"/>
        </w:rPr>
        <w:t xml:space="preserve"> de cada dependencia, mas no la </w:t>
      </w:r>
      <w:proofErr w:type="spellStart"/>
      <w:r w:rsidR="00597635" w:rsidRPr="00424AE2">
        <w:rPr>
          <w:rFonts w:ascii="Palatino Linotype" w:hAnsi="Palatino Linotype"/>
          <w:i/>
          <w:sz w:val="22"/>
          <w:szCs w:val="22"/>
        </w:rPr>
        <w:t>remuneracion</w:t>
      </w:r>
      <w:proofErr w:type="spellEnd"/>
      <w:r w:rsidR="00597635" w:rsidRPr="00424AE2">
        <w:rPr>
          <w:rFonts w:ascii="Palatino Linotype" w:hAnsi="Palatino Linotype"/>
          <w:i/>
          <w:sz w:val="22"/>
          <w:szCs w:val="22"/>
        </w:rPr>
        <w:t xml:space="preserve"> </w:t>
      </w:r>
      <w:proofErr w:type="spellStart"/>
      <w:r w:rsidR="00597635" w:rsidRPr="00424AE2">
        <w:rPr>
          <w:rFonts w:ascii="Palatino Linotype" w:hAnsi="Palatino Linotype"/>
          <w:i/>
          <w:sz w:val="22"/>
          <w:szCs w:val="22"/>
        </w:rPr>
        <w:t>economica</w:t>
      </w:r>
      <w:proofErr w:type="spellEnd"/>
      <w:r w:rsidR="00597635" w:rsidRPr="00424AE2">
        <w:rPr>
          <w:rFonts w:ascii="Palatino Linotype" w:hAnsi="Palatino Linotype"/>
          <w:i/>
          <w:sz w:val="22"/>
          <w:szCs w:val="22"/>
        </w:rPr>
        <w:t xml:space="preserve">, </w:t>
      </w:r>
      <w:r w:rsidR="00597635" w:rsidRPr="00424AE2">
        <w:rPr>
          <w:rFonts w:ascii="Palatino Linotype" w:hAnsi="Palatino Linotype"/>
          <w:b/>
          <w:i/>
          <w:sz w:val="22"/>
          <w:szCs w:val="22"/>
          <w:u w:val="single"/>
        </w:rPr>
        <w:t xml:space="preserve">solo el </w:t>
      </w:r>
      <w:proofErr w:type="spellStart"/>
      <w:r w:rsidR="00597635" w:rsidRPr="00424AE2">
        <w:rPr>
          <w:rFonts w:ascii="Palatino Linotype" w:hAnsi="Palatino Linotype"/>
          <w:b/>
          <w:i/>
          <w:sz w:val="22"/>
          <w:szCs w:val="22"/>
          <w:u w:val="single"/>
        </w:rPr>
        <w:t>numero</w:t>
      </w:r>
      <w:proofErr w:type="spellEnd"/>
      <w:r w:rsidR="00597635" w:rsidRPr="00424AE2">
        <w:rPr>
          <w:rFonts w:ascii="Palatino Linotype" w:hAnsi="Palatino Linotype"/>
          <w:b/>
          <w:i/>
          <w:sz w:val="22"/>
          <w:szCs w:val="22"/>
          <w:u w:val="single"/>
        </w:rPr>
        <w:t xml:space="preserve"> de personas</w:t>
      </w:r>
      <w:r w:rsidR="005532C7" w:rsidRPr="00424AE2">
        <w:rPr>
          <w:rFonts w:ascii="Palatino Linotype" w:hAnsi="Palatino Linotype"/>
          <w:i/>
          <w:sz w:val="22"/>
          <w:szCs w:val="22"/>
        </w:rPr>
        <w:t>”</w:t>
      </w:r>
    </w:p>
    <w:p w14:paraId="3B2E67DC" w14:textId="77777777" w:rsidR="00C33785" w:rsidRPr="00424AE2"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75B3A14F"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lastRenderedPageBreak/>
        <w:t xml:space="preserve">Modalidad elegida para la entrega de la información: </w:t>
      </w:r>
      <w:r w:rsidRPr="00424AE2">
        <w:rPr>
          <w:rFonts w:ascii="Palatino Linotype" w:eastAsia="Palatino Linotype" w:hAnsi="Palatino Linotype" w:cs="Palatino Linotype"/>
          <w:sz w:val="22"/>
          <w:szCs w:val="22"/>
        </w:rPr>
        <w:t>a través del Sistema de Acce</w:t>
      </w:r>
      <w:r w:rsidR="00D524D6" w:rsidRPr="00424AE2">
        <w:rPr>
          <w:rFonts w:ascii="Palatino Linotype" w:eastAsia="Palatino Linotype" w:hAnsi="Palatino Linotype" w:cs="Palatino Linotype"/>
          <w:sz w:val="22"/>
          <w:szCs w:val="22"/>
        </w:rPr>
        <w:t xml:space="preserve">so a la Información Mexiquense. </w:t>
      </w:r>
    </w:p>
    <w:p w14:paraId="624A9C65" w14:textId="3E664D63" w:rsidR="00811EAE" w:rsidRPr="00424AE2" w:rsidRDefault="00811EAE">
      <w:pPr>
        <w:spacing w:line="360" w:lineRule="auto"/>
        <w:jc w:val="both"/>
        <w:rPr>
          <w:rFonts w:ascii="Palatino Linotype" w:eastAsia="Palatino Linotype" w:hAnsi="Palatino Linotype" w:cs="Palatino Linotype"/>
          <w:sz w:val="22"/>
          <w:szCs w:val="22"/>
        </w:rPr>
      </w:pPr>
    </w:p>
    <w:p w14:paraId="7BBDB6C2" w14:textId="595208A4" w:rsidR="00397333" w:rsidRPr="00424AE2"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 xml:space="preserve">Respuesta. </w:t>
      </w:r>
      <w:r w:rsidRPr="00424AE2">
        <w:rPr>
          <w:rFonts w:ascii="Palatino Linotype" w:eastAsia="Palatino Linotype" w:hAnsi="Palatino Linotype" w:cs="Palatino Linotype"/>
          <w:sz w:val="22"/>
          <w:szCs w:val="22"/>
        </w:rPr>
        <w:t xml:space="preserve">Con fecha </w:t>
      </w:r>
      <w:r w:rsidR="000D3BE0" w:rsidRPr="00424AE2">
        <w:rPr>
          <w:rFonts w:ascii="Palatino Linotype" w:eastAsia="Palatino Linotype" w:hAnsi="Palatino Linotype" w:cs="Palatino Linotype"/>
          <w:b/>
          <w:sz w:val="22"/>
          <w:szCs w:val="22"/>
        </w:rPr>
        <w:t>veinte de agosto</w:t>
      </w:r>
      <w:r w:rsidR="00811EAE" w:rsidRPr="00424AE2">
        <w:rPr>
          <w:rFonts w:ascii="Palatino Linotype" w:eastAsia="Palatino Linotype" w:hAnsi="Palatino Linotype" w:cs="Palatino Linotype"/>
          <w:b/>
          <w:sz w:val="22"/>
          <w:szCs w:val="22"/>
        </w:rPr>
        <w:t xml:space="preserve"> de </w:t>
      </w:r>
      <w:r w:rsidR="00111D33" w:rsidRPr="00424AE2">
        <w:rPr>
          <w:rFonts w:ascii="Palatino Linotype" w:eastAsia="Palatino Linotype" w:hAnsi="Palatino Linotype" w:cs="Palatino Linotype"/>
          <w:b/>
          <w:sz w:val="22"/>
          <w:szCs w:val="22"/>
        </w:rPr>
        <w:t>dos mil veinti</w:t>
      </w:r>
      <w:r w:rsidR="00811EAE" w:rsidRPr="00424AE2">
        <w:rPr>
          <w:rFonts w:ascii="Palatino Linotype" w:eastAsia="Palatino Linotype" w:hAnsi="Palatino Linotype" w:cs="Palatino Linotype"/>
          <w:b/>
          <w:sz w:val="22"/>
          <w:szCs w:val="22"/>
        </w:rPr>
        <w:t>cuatro</w:t>
      </w:r>
      <w:r w:rsidRPr="00424AE2">
        <w:rPr>
          <w:rFonts w:ascii="Palatino Linotype" w:eastAsia="Palatino Linotype" w:hAnsi="Palatino Linotype" w:cs="Palatino Linotype"/>
          <w:sz w:val="22"/>
          <w:szCs w:val="22"/>
        </w:rPr>
        <w:t xml:space="preserve">, el </w:t>
      </w:r>
      <w:r w:rsidR="00515A6B" w:rsidRPr="00424AE2">
        <w:rPr>
          <w:rFonts w:ascii="Palatino Linotype" w:eastAsia="Palatino Linotype" w:hAnsi="Palatino Linotype" w:cs="Palatino Linotype"/>
          <w:b/>
          <w:sz w:val="22"/>
          <w:szCs w:val="22"/>
        </w:rPr>
        <w:t>Sujeto Obligado</w:t>
      </w:r>
      <w:r w:rsidR="00515A6B"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envió su respuesta a la solicitud de acceso a la información a través del SAIMEX, la cual versa como sigue: </w:t>
      </w:r>
    </w:p>
    <w:p w14:paraId="38192537" w14:textId="77777777" w:rsidR="00C33785" w:rsidRPr="00424AE2"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22E35F44" w14:textId="77777777" w:rsidR="000D3BE0" w:rsidRPr="00424AE2" w:rsidRDefault="00DE2797" w:rsidP="000D3BE0">
      <w:pPr>
        <w:tabs>
          <w:tab w:val="left" w:pos="7371"/>
        </w:tabs>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000D3BE0" w:rsidRPr="00424AE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A83764" w14:textId="07CA7173" w:rsidR="00EE05BB" w:rsidRPr="00424AE2" w:rsidRDefault="000D3BE0" w:rsidP="000D3BE0">
      <w:pPr>
        <w:tabs>
          <w:tab w:val="left" w:pos="7371"/>
        </w:tabs>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 xml:space="preserve">CHICOLOAPAN, MÉXICO; 20 AGOSTO 2024. OFICIO: CHIC/RH/146/2024 ASUNTO: CONTESTACIÓN SAIMEX. C. GUSTAVO ADOLFO CEDILLO RODRIGUEZ TITULAR DE LA UNIDAD DE TRANSPARENCIA DEL INSTITUTO MUNICIPAL DE CULTURA FÍSICA Y DEPORTE. CHICOLOAPAN ESTADO DE MÉXICO P R E S E N T E. Por medio del presente escrito, con fundamento por lo dispuesto por los artículos 8,14 y 16 de la Constitución Política de los Estados Unidos Mexicanos, en relación a su escrito </w:t>
      </w:r>
      <w:proofErr w:type="spellStart"/>
      <w:r w:rsidRPr="00424AE2">
        <w:rPr>
          <w:rFonts w:ascii="Palatino Linotype" w:eastAsia="Palatino Linotype" w:hAnsi="Palatino Linotype" w:cs="Palatino Linotype"/>
          <w:i/>
          <w:sz w:val="22"/>
          <w:szCs w:val="22"/>
        </w:rPr>
        <w:t>numero</w:t>
      </w:r>
      <w:proofErr w:type="spellEnd"/>
      <w:r w:rsidRPr="00424AE2">
        <w:rPr>
          <w:rFonts w:ascii="Palatino Linotype" w:eastAsia="Palatino Linotype" w:hAnsi="Palatino Linotype" w:cs="Palatino Linotype"/>
          <w:i/>
          <w:sz w:val="22"/>
          <w:szCs w:val="22"/>
        </w:rPr>
        <w:t xml:space="preserve"> CHIC/UT/143/2024, y en atención a la solicitud de información pública, bajo el folio 00004/IMCUFIDECHICOLO/IP/2024, presentado ante las instalaciones que ocupa el Instituto Municipal de Cultura Física y Deporte de Chicoloapan, Estado de México, en fecha veintitrés (19) de agosto del dos mil veinticuatro, donde solicita lo siguiente: De acuerdo a los especificado en el bando municipal de Chicoloapan en el año 2024, en su artículo 55, cuantas personas integran la plantilla de cada dependencia, área u oficina enunciadas en dicho artículo que recibieron remuneración económica por parte del gobierno municipal de Chicoloapan en la quincena comprendida del día 15 de julio al 31 de julio del año 2024, solo es de mi interés él sabe la cantidad de servidores públicos de cada dependencia, mas no la remuneración económica, solo el número de personas. Es de manifestar a usted, que </w:t>
      </w:r>
      <w:r w:rsidRPr="00424AE2">
        <w:rPr>
          <w:rFonts w:ascii="Palatino Linotype" w:eastAsia="Palatino Linotype" w:hAnsi="Palatino Linotype" w:cs="Palatino Linotype"/>
          <w:b/>
          <w:i/>
          <w:sz w:val="22"/>
          <w:szCs w:val="22"/>
        </w:rPr>
        <w:t>no contamos con servidores públicos que obtenga alguna remuneración por parte del gobierno municipal de Chicoloapan</w:t>
      </w:r>
      <w:r w:rsidRPr="00424AE2">
        <w:rPr>
          <w:rFonts w:ascii="Palatino Linotype" w:eastAsia="Palatino Linotype" w:hAnsi="Palatino Linotype" w:cs="Palatino Linotype"/>
          <w:i/>
          <w:sz w:val="22"/>
          <w:szCs w:val="22"/>
        </w:rPr>
        <w:t xml:space="preserve">, en la </w:t>
      </w:r>
      <w:r w:rsidRPr="00424AE2">
        <w:rPr>
          <w:rFonts w:ascii="Palatino Linotype" w:eastAsia="Palatino Linotype" w:hAnsi="Palatino Linotype" w:cs="Palatino Linotype"/>
          <w:i/>
          <w:sz w:val="22"/>
          <w:szCs w:val="22"/>
        </w:rPr>
        <w:lastRenderedPageBreak/>
        <w:t>quincena comprendida del día 15 de julio al 31 de julio del año 2024, lo relacionado al artículo 55 fracción III del bando municipal de Chicoloapan.</w:t>
      </w:r>
      <w:r w:rsidR="00DE2797" w:rsidRPr="00424AE2">
        <w:rPr>
          <w:rFonts w:ascii="Palatino Linotype" w:eastAsia="Palatino Linotype" w:hAnsi="Palatino Linotype" w:cs="Palatino Linotype"/>
          <w:i/>
          <w:sz w:val="22"/>
          <w:szCs w:val="22"/>
        </w:rPr>
        <w:t>”</w:t>
      </w:r>
    </w:p>
    <w:p w14:paraId="2FE8BEC2" w14:textId="77777777" w:rsidR="004F14D4" w:rsidRPr="00424AE2" w:rsidRDefault="004F14D4">
      <w:pPr>
        <w:spacing w:line="360" w:lineRule="auto"/>
        <w:ind w:right="49"/>
        <w:jc w:val="both"/>
        <w:rPr>
          <w:rFonts w:ascii="Palatino Linotype" w:eastAsia="Palatino Linotype" w:hAnsi="Palatino Linotype" w:cs="Palatino Linotype"/>
          <w:sz w:val="22"/>
          <w:szCs w:val="22"/>
        </w:rPr>
      </w:pPr>
    </w:p>
    <w:p w14:paraId="6787DF24" w14:textId="28F91F9D" w:rsidR="001F2EC6" w:rsidRPr="00424AE2" w:rsidRDefault="00B16908" w:rsidP="001F2EC6">
      <w:pPr>
        <w:spacing w:line="360" w:lineRule="auto"/>
        <w:ind w:right="49"/>
        <w:jc w:val="both"/>
        <w:rPr>
          <w:rFonts w:ascii="Palatino Linotype" w:eastAsia="Palatino Linotype" w:hAnsi="Palatino Linotype" w:cs="Palatino Linotype"/>
          <w:sz w:val="22"/>
          <w:szCs w:val="22"/>
        </w:rPr>
      </w:pPr>
      <w:bookmarkStart w:id="1" w:name="_Hlk178201586"/>
      <w:r w:rsidRPr="00424AE2">
        <w:rPr>
          <w:rFonts w:ascii="Palatino Linotype" w:eastAsia="Palatino Linotype" w:hAnsi="Palatino Linotype" w:cs="Palatino Linotype"/>
          <w:sz w:val="22"/>
          <w:szCs w:val="22"/>
        </w:rPr>
        <w:t xml:space="preserve">Del mismo modo, el </w:t>
      </w:r>
      <w:r w:rsidRPr="00424AE2">
        <w:rPr>
          <w:rFonts w:ascii="Palatino Linotype" w:eastAsia="Palatino Linotype" w:hAnsi="Palatino Linotype" w:cs="Palatino Linotype"/>
          <w:b/>
          <w:sz w:val="22"/>
          <w:szCs w:val="22"/>
        </w:rPr>
        <w:t>Sujeto Obligado</w:t>
      </w:r>
      <w:r w:rsidR="00DE2797" w:rsidRPr="00424AE2">
        <w:rPr>
          <w:rFonts w:ascii="Palatino Linotype" w:eastAsia="Palatino Linotype" w:hAnsi="Palatino Linotype" w:cs="Palatino Linotype"/>
          <w:sz w:val="22"/>
          <w:szCs w:val="22"/>
        </w:rPr>
        <w:t xml:space="preserve"> adjuntó a su respuesta el archivo</w:t>
      </w:r>
      <w:r w:rsidR="00811EAE" w:rsidRPr="00424AE2">
        <w:rPr>
          <w:rFonts w:ascii="Palatino Linotype" w:eastAsia="Palatino Linotype" w:hAnsi="Palatino Linotype" w:cs="Palatino Linotype"/>
          <w:sz w:val="22"/>
          <w:szCs w:val="22"/>
        </w:rPr>
        <w:t xml:space="preserve"> electrónico</w:t>
      </w:r>
      <w:r w:rsidR="00DE2797" w:rsidRPr="00424AE2">
        <w:rPr>
          <w:rFonts w:ascii="Palatino Linotype" w:eastAsia="Palatino Linotype" w:hAnsi="Palatino Linotype" w:cs="Palatino Linotype"/>
          <w:sz w:val="22"/>
          <w:szCs w:val="22"/>
        </w:rPr>
        <w:t xml:space="preserve"> denominado “</w:t>
      </w:r>
      <w:r w:rsidR="000D3BE0" w:rsidRPr="00424AE2">
        <w:rPr>
          <w:rFonts w:ascii="Palatino Linotype" w:eastAsia="Palatino Linotype" w:hAnsi="Palatino Linotype" w:cs="Palatino Linotype"/>
          <w:b/>
          <w:i/>
          <w:sz w:val="22"/>
          <w:szCs w:val="22"/>
        </w:rPr>
        <w:t>CONTESTACION 004.pdf</w:t>
      </w:r>
      <w:r w:rsidR="00DE2797" w:rsidRPr="00424AE2">
        <w:rPr>
          <w:rFonts w:ascii="Palatino Linotype" w:eastAsia="Palatino Linotype" w:hAnsi="Palatino Linotype" w:cs="Palatino Linotype"/>
          <w:sz w:val="22"/>
          <w:szCs w:val="22"/>
        </w:rPr>
        <w:t xml:space="preserve">”, el cual contiene oficio número </w:t>
      </w:r>
      <w:r w:rsidR="000D3BE0" w:rsidRPr="00424AE2">
        <w:rPr>
          <w:rFonts w:ascii="Palatino Linotype" w:eastAsia="Palatino Linotype" w:hAnsi="Palatino Linotype" w:cs="Palatino Linotype"/>
          <w:sz w:val="22"/>
          <w:szCs w:val="22"/>
        </w:rPr>
        <w:t>CHIC/RH/146/2024</w:t>
      </w:r>
      <w:r w:rsidR="00DE2797" w:rsidRPr="00424AE2">
        <w:rPr>
          <w:rFonts w:ascii="Palatino Linotype" w:eastAsia="Palatino Linotype" w:hAnsi="Palatino Linotype" w:cs="Palatino Linotype"/>
          <w:sz w:val="22"/>
          <w:szCs w:val="22"/>
        </w:rPr>
        <w:t xml:space="preserve"> de fecha </w:t>
      </w:r>
      <w:r w:rsidR="000D3BE0" w:rsidRPr="00424AE2">
        <w:rPr>
          <w:rFonts w:ascii="Palatino Linotype" w:eastAsia="Palatino Linotype" w:hAnsi="Palatino Linotype" w:cs="Palatino Linotype"/>
          <w:sz w:val="22"/>
          <w:szCs w:val="22"/>
        </w:rPr>
        <w:t xml:space="preserve">veinte de agosto </w:t>
      </w:r>
      <w:r w:rsidR="00DE2797" w:rsidRPr="00424AE2">
        <w:rPr>
          <w:rFonts w:ascii="Palatino Linotype" w:eastAsia="Palatino Linotype" w:hAnsi="Palatino Linotype" w:cs="Palatino Linotype"/>
          <w:sz w:val="22"/>
          <w:szCs w:val="22"/>
        </w:rPr>
        <w:t xml:space="preserve">de dos mil veinticuatro, signado por el </w:t>
      </w:r>
      <w:r w:rsidR="000D3BE0" w:rsidRPr="00424AE2">
        <w:rPr>
          <w:rFonts w:ascii="Palatino Linotype" w:eastAsia="Palatino Linotype" w:hAnsi="Palatino Linotype" w:cs="Palatino Linotype"/>
          <w:sz w:val="22"/>
          <w:szCs w:val="22"/>
        </w:rPr>
        <w:t>Jefe de Recursos Humanos del Instituto Municipal de Cultura Física y Deporte de Chicoloapan</w:t>
      </w:r>
      <w:r w:rsidR="00DE2797" w:rsidRPr="00424AE2">
        <w:rPr>
          <w:rFonts w:ascii="Palatino Linotype" w:eastAsia="Palatino Linotype" w:hAnsi="Palatino Linotype" w:cs="Palatino Linotype"/>
          <w:sz w:val="22"/>
          <w:szCs w:val="22"/>
        </w:rPr>
        <w:t>,</w:t>
      </w:r>
      <w:r w:rsidR="00515A6B" w:rsidRPr="00424AE2">
        <w:rPr>
          <w:rFonts w:ascii="Palatino Linotype" w:eastAsia="Palatino Linotype" w:hAnsi="Palatino Linotype" w:cs="Palatino Linotype"/>
          <w:sz w:val="22"/>
          <w:szCs w:val="22"/>
        </w:rPr>
        <w:t xml:space="preserve"> mediante el cual informó</w:t>
      </w:r>
      <w:r w:rsidR="000D3BE0" w:rsidRPr="00424AE2">
        <w:rPr>
          <w:rFonts w:ascii="Palatino Linotype" w:eastAsia="Palatino Linotype" w:hAnsi="Palatino Linotype" w:cs="Palatino Linotype"/>
          <w:sz w:val="22"/>
          <w:szCs w:val="22"/>
        </w:rPr>
        <w:t xml:space="preserve"> que no cuenta con servidores públicos que obtenga alguna remuneración por parte del gobierno municipal de Chicoloapan, en la quincena comprendida del 15 al 31 de julio del año 2024. </w:t>
      </w:r>
    </w:p>
    <w:bookmarkEnd w:id="1"/>
    <w:p w14:paraId="1E29795C" w14:textId="77777777" w:rsidR="00DE2797" w:rsidRPr="00424AE2" w:rsidRDefault="00DE2797">
      <w:pPr>
        <w:spacing w:line="360" w:lineRule="auto"/>
        <w:ind w:right="49"/>
        <w:jc w:val="both"/>
        <w:rPr>
          <w:rFonts w:ascii="Palatino Linotype" w:eastAsia="Palatino Linotype" w:hAnsi="Palatino Linotype" w:cs="Palatino Linotype"/>
          <w:sz w:val="22"/>
          <w:szCs w:val="22"/>
        </w:rPr>
      </w:pPr>
    </w:p>
    <w:p w14:paraId="6B84D34A" w14:textId="785B7E20" w:rsidR="00397333" w:rsidRPr="00424AE2"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 xml:space="preserve">Interposición del recurso de revisión. </w:t>
      </w:r>
      <w:r w:rsidRPr="00424AE2">
        <w:rPr>
          <w:rFonts w:ascii="Palatino Linotype" w:eastAsia="Palatino Linotype" w:hAnsi="Palatino Linotype" w:cs="Palatino Linotype"/>
          <w:sz w:val="22"/>
          <w:szCs w:val="22"/>
        </w:rPr>
        <w:t xml:space="preserve">Inconforme con la respuesta del </w:t>
      </w:r>
      <w:r w:rsidR="00E7434B"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b/>
          <w:sz w:val="22"/>
          <w:szCs w:val="22"/>
        </w:rPr>
        <w:t xml:space="preserve"> </w:t>
      </w:r>
      <w:r w:rsidR="00111D33" w:rsidRPr="00424AE2">
        <w:rPr>
          <w:rFonts w:ascii="Palatino Linotype" w:eastAsia="Palatino Linotype" w:hAnsi="Palatino Linotype" w:cs="Palatino Linotype"/>
          <w:sz w:val="22"/>
          <w:szCs w:val="22"/>
        </w:rPr>
        <w:t>la parte</w:t>
      </w:r>
      <w:r w:rsidRPr="00424AE2">
        <w:rPr>
          <w:rFonts w:ascii="Palatino Linotype" w:eastAsia="Palatino Linotype" w:hAnsi="Palatino Linotype" w:cs="Palatino Linotype"/>
          <w:b/>
          <w:sz w:val="22"/>
          <w:szCs w:val="22"/>
        </w:rPr>
        <w:t xml:space="preserve"> </w:t>
      </w:r>
      <w:r w:rsidR="00E7434B" w:rsidRPr="00424AE2">
        <w:rPr>
          <w:rFonts w:ascii="Palatino Linotype" w:eastAsia="Palatino Linotype" w:hAnsi="Palatino Linotype" w:cs="Palatino Linotype"/>
          <w:b/>
          <w:sz w:val="22"/>
          <w:szCs w:val="22"/>
        </w:rPr>
        <w:t>Recurrente</w:t>
      </w:r>
      <w:r w:rsidR="00E7434B"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interpuso recurso de revisión a través del </w:t>
      </w:r>
      <w:r w:rsidRPr="00424AE2">
        <w:rPr>
          <w:rFonts w:ascii="Palatino Linotype" w:eastAsia="Palatino Linotype" w:hAnsi="Palatino Linotype" w:cs="Palatino Linotype"/>
          <w:b/>
          <w:sz w:val="22"/>
          <w:szCs w:val="22"/>
        </w:rPr>
        <w:t>SAIMEX</w:t>
      </w:r>
      <w:r w:rsidRPr="00424AE2">
        <w:rPr>
          <w:rFonts w:ascii="Palatino Linotype" w:eastAsia="Palatino Linotype" w:hAnsi="Palatino Linotype" w:cs="Palatino Linotype"/>
          <w:sz w:val="22"/>
          <w:szCs w:val="22"/>
        </w:rPr>
        <w:t xml:space="preserve"> en fecha </w:t>
      </w:r>
      <w:r w:rsidR="000D3BE0" w:rsidRPr="00424AE2">
        <w:rPr>
          <w:rFonts w:ascii="Palatino Linotype" w:eastAsia="Palatino Linotype" w:hAnsi="Palatino Linotype" w:cs="Palatino Linotype"/>
          <w:b/>
          <w:sz w:val="22"/>
          <w:szCs w:val="22"/>
        </w:rPr>
        <w:t xml:space="preserve">veinte de agosto </w:t>
      </w:r>
      <w:r w:rsidR="00C32E95" w:rsidRPr="00424AE2">
        <w:rPr>
          <w:rFonts w:ascii="Palatino Linotype" w:eastAsia="Palatino Linotype" w:hAnsi="Palatino Linotype" w:cs="Palatino Linotype"/>
          <w:b/>
          <w:sz w:val="22"/>
          <w:szCs w:val="22"/>
        </w:rPr>
        <w:t>de dos mil veinticuatro</w:t>
      </w:r>
      <w:r w:rsidRPr="00424AE2">
        <w:rPr>
          <w:rFonts w:ascii="Palatino Linotype" w:eastAsia="Palatino Linotype" w:hAnsi="Palatino Linotype" w:cs="Palatino Linotype"/>
          <w:sz w:val="22"/>
          <w:szCs w:val="22"/>
        </w:rPr>
        <w:t>, a través del cual expresó lo siguiente:</w:t>
      </w:r>
    </w:p>
    <w:p w14:paraId="1F6CC3E6" w14:textId="77777777" w:rsidR="00111D33" w:rsidRPr="00424AE2"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99FA5FC" w14:textId="77777777" w:rsidR="001F2EC6" w:rsidRPr="00424AE2" w:rsidRDefault="00B16908" w:rsidP="00111D33">
      <w:pPr>
        <w:spacing w:line="360" w:lineRule="auto"/>
        <w:ind w:left="567"/>
        <w:jc w:val="both"/>
        <w:rPr>
          <w:rFonts w:ascii="Palatino Linotype" w:eastAsia="Palatino Linotype" w:hAnsi="Palatino Linotype" w:cs="Palatino Linotype"/>
          <w:b/>
          <w:sz w:val="22"/>
          <w:szCs w:val="22"/>
        </w:rPr>
      </w:pPr>
      <w:r w:rsidRPr="00424AE2">
        <w:rPr>
          <w:rFonts w:ascii="Palatino Linotype" w:eastAsia="Palatino Linotype" w:hAnsi="Palatino Linotype" w:cs="Palatino Linotype"/>
          <w:b/>
          <w:sz w:val="22"/>
          <w:szCs w:val="22"/>
        </w:rPr>
        <w:t xml:space="preserve">Acto impugnado. </w:t>
      </w:r>
    </w:p>
    <w:p w14:paraId="61AA9ED7" w14:textId="484EC5FC" w:rsidR="00397333" w:rsidRPr="00424AE2" w:rsidRDefault="00B16908"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000D3BE0" w:rsidRPr="00424AE2">
        <w:rPr>
          <w:rFonts w:ascii="Palatino Linotype" w:eastAsia="Palatino Linotype" w:hAnsi="Palatino Linotype" w:cs="Palatino Linotype"/>
          <w:i/>
          <w:sz w:val="22"/>
          <w:szCs w:val="22"/>
        </w:rPr>
        <w:t xml:space="preserve">De acuerdo a la respuesta mediante el oficio CHIC/RH/146/2024 expedido y firmado por la </w:t>
      </w:r>
      <w:proofErr w:type="gramStart"/>
      <w:r w:rsidR="000D3BE0" w:rsidRPr="00424AE2">
        <w:rPr>
          <w:rFonts w:ascii="Palatino Linotype" w:eastAsia="Palatino Linotype" w:hAnsi="Palatino Linotype" w:cs="Palatino Linotype"/>
          <w:i/>
          <w:sz w:val="22"/>
          <w:szCs w:val="22"/>
        </w:rPr>
        <w:t>Jefa</w:t>
      </w:r>
      <w:proofErr w:type="gramEnd"/>
      <w:r w:rsidR="000D3BE0" w:rsidRPr="00424AE2">
        <w:rPr>
          <w:rFonts w:ascii="Palatino Linotype" w:eastAsia="Palatino Linotype" w:hAnsi="Palatino Linotype" w:cs="Palatino Linotype"/>
          <w:i/>
          <w:sz w:val="22"/>
          <w:szCs w:val="22"/>
        </w:rPr>
        <w:t xml:space="preserve"> de Recursos Humanos del IMCUFIDE de Chicoloapan, donde especifica lo siguiente: NO CUENTAN CON SERVIDORES PUBLICOS QUE OBETENGAN ALGUNA REMUNERACION ECONOMICA POR PARTE DEL GOBERNO DE CHICOLOAPAN, ¿</w:t>
      </w:r>
      <w:proofErr w:type="spellStart"/>
      <w:r w:rsidR="000D3BE0" w:rsidRPr="00424AE2">
        <w:rPr>
          <w:rFonts w:ascii="Palatino Linotype" w:eastAsia="Palatino Linotype" w:hAnsi="Palatino Linotype" w:cs="Palatino Linotype"/>
          <w:i/>
          <w:sz w:val="22"/>
          <w:szCs w:val="22"/>
        </w:rPr>
        <w:t>quienes</w:t>
      </w:r>
      <w:proofErr w:type="spellEnd"/>
      <w:r w:rsidR="000D3BE0" w:rsidRPr="00424AE2">
        <w:rPr>
          <w:rFonts w:ascii="Palatino Linotype" w:eastAsia="Palatino Linotype" w:hAnsi="Palatino Linotype" w:cs="Palatino Linotype"/>
          <w:i/>
          <w:sz w:val="22"/>
          <w:szCs w:val="22"/>
        </w:rPr>
        <w:t xml:space="preserve"> son y cuantas son las personas que ahí laboran y se ostentan con un gafete de servidor </w:t>
      </w:r>
      <w:proofErr w:type="spellStart"/>
      <w:r w:rsidR="000D3BE0" w:rsidRPr="00424AE2">
        <w:rPr>
          <w:rFonts w:ascii="Palatino Linotype" w:eastAsia="Palatino Linotype" w:hAnsi="Palatino Linotype" w:cs="Palatino Linotype"/>
          <w:i/>
          <w:sz w:val="22"/>
          <w:szCs w:val="22"/>
        </w:rPr>
        <w:t>publico</w:t>
      </w:r>
      <w:proofErr w:type="spellEnd"/>
      <w:r w:rsidR="000D3BE0" w:rsidRPr="00424AE2">
        <w:rPr>
          <w:rFonts w:ascii="Palatino Linotype" w:eastAsia="Palatino Linotype" w:hAnsi="Palatino Linotype" w:cs="Palatino Linotype"/>
          <w:i/>
          <w:sz w:val="22"/>
          <w:szCs w:val="22"/>
        </w:rPr>
        <w:t>? ¿Que acaso el gobierno municipal no ha depositado el recurso destinado en el presupuesto para el IMCUFIDE?</w:t>
      </w:r>
      <w:r w:rsidRPr="00424AE2">
        <w:rPr>
          <w:rFonts w:ascii="Palatino Linotype" w:eastAsia="Palatino Linotype" w:hAnsi="Palatino Linotype" w:cs="Palatino Linotype"/>
          <w:i/>
          <w:sz w:val="22"/>
          <w:szCs w:val="22"/>
        </w:rPr>
        <w:t xml:space="preserve">” </w:t>
      </w:r>
    </w:p>
    <w:p w14:paraId="66910C6E" w14:textId="77777777" w:rsidR="008C5C02" w:rsidRPr="00424AE2" w:rsidRDefault="008C5C02" w:rsidP="00C81AB2">
      <w:pPr>
        <w:spacing w:line="360" w:lineRule="auto"/>
        <w:ind w:left="567"/>
        <w:rPr>
          <w:rFonts w:ascii="Palatino Linotype" w:hAnsi="Palatino Linotype"/>
          <w:sz w:val="22"/>
          <w:szCs w:val="22"/>
          <w:lang w:eastAsia="es-MX"/>
        </w:rPr>
      </w:pPr>
    </w:p>
    <w:p w14:paraId="22E742F1" w14:textId="77777777" w:rsidR="00E7434B" w:rsidRPr="00424AE2"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424AE2">
        <w:rPr>
          <w:rFonts w:ascii="Palatino Linotype" w:eastAsia="Palatino Linotype" w:hAnsi="Palatino Linotype" w:cs="Palatino Linotype"/>
          <w:b/>
          <w:sz w:val="22"/>
          <w:szCs w:val="22"/>
        </w:rPr>
        <w:t xml:space="preserve">Motivos de inconformidad. </w:t>
      </w:r>
    </w:p>
    <w:p w14:paraId="59890873" w14:textId="5C422C6F" w:rsidR="00EC11B6" w:rsidRPr="00424AE2" w:rsidRDefault="00EC11B6"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00B312E7" w:rsidRPr="00424AE2">
        <w:rPr>
          <w:rFonts w:ascii="Palatino Linotype" w:eastAsia="Palatino Linotype" w:hAnsi="Palatino Linotype" w:cs="Palatino Linotype"/>
          <w:i/>
          <w:sz w:val="22"/>
          <w:szCs w:val="22"/>
        </w:rPr>
        <w:t xml:space="preserve">Es del interés </w:t>
      </w:r>
      <w:proofErr w:type="spellStart"/>
      <w:r w:rsidR="00B312E7" w:rsidRPr="00424AE2">
        <w:rPr>
          <w:rFonts w:ascii="Palatino Linotype" w:eastAsia="Palatino Linotype" w:hAnsi="Palatino Linotype" w:cs="Palatino Linotype"/>
          <w:i/>
          <w:sz w:val="22"/>
          <w:szCs w:val="22"/>
        </w:rPr>
        <w:t>publico</w:t>
      </w:r>
      <w:proofErr w:type="spellEnd"/>
      <w:r w:rsidR="00B312E7" w:rsidRPr="00424AE2">
        <w:rPr>
          <w:rFonts w:ascii="Palatino Linotype" w:eastAsia="Palatino Linotype" w:hAnsi="Palatino Linotype" w:cs="Palatino Linotype"/>
          <w:i/>
          <w:sz w:val="22"/>
          <w:szCs w:val="22"/>
        </w:rPr>
        <w:t xml:space="preserve"> el saber </w:t>
      </w:r>
      <w:proofErr w:type="spellStart"/>
      <w:r w:rsidR="00B312E7" w:rsidRPr="00424AE2">
        <w:rPr>
          <w:rFonts w:ascii="Palatino Linotype" w:eastAsia="Palatino Linotype" w:hAnsi="Palatino Linotype" w:cs="Palatino Linotype"/>
          <w:i/>
          <w:sz w:val="22"/>
          <w:szCs w:val="22"/>
        </w:rPr>
        <w:t>quienes</w:t>
      </w:r>
      <w:proofErr w:type="spellEnd"/>
      <w:r w:rsidR="00B312E7" w:rsidRPr="00424AE2">
        <w:rPr>
          <w:rFonts w:ascii="Palatino Linotype" w:eastAsia="Palatino Linotype" w:hAnsi="Palatino Linotype" w:cs="Palatino Linotype"/>
          <w:i/>
          <w:sz w:val="22"/>
          <w:szCs w:val="22"/>
        </w:rPr>
        <w:t xml:space="preserve"> son los servidores públicos que reciben una remuneración del gasto </w:t>
      </w:r>
      <w:proofErr w:type="spellStart"/>
      <w:r w:rsidR="00B312E7" w:rsidRPr="00424AE2">
        <w:rPr>
          <w:rFonts w:ascii="Palatino Linotype" w:eastAsia="Palatino Linotype" w:hAnsi="Palatino Linotype" w:cs="Palatino Linotype"/>
          <w:i/>
          <w:sz w:val="22"/>
          <w:szCs w:val="22"/>
        </w:rPr>
        <w:t>publico</w:t>
      </w:r>
      <w:proofErr w:type="spellEnd"/>
      <w:r w:rsidR="00B312E7" w:rsidRPr="00424AE2">
        <w:rPr>
          <w:rFonts w:ascii="Palatino Linotype" w:eastAsia="Palatino Linotype" w:hAnsi="Palatino Linotype" w:cs="Palatino Linotype"/>
          <w:i/>
          <w:sz w:val="22"/>
          <w:szCs w:val="22"/>
        </w:rPr>
        <w:t xml:space="preserve"> de cada municipio.</w:t>
      </w:r>
      <w:r w:rsidRPr="00424AE2">
        <w:rPr>
          <w:rFonts w:ascii="Palatino Linotype" w:eastAsia="Palatino Linotype" w:hAnsi="Palatino Linotype" w:cs="Palatino Linotype"/>
          <w:i/>
          <w:sz w:val="22"/>
          <w:szCs w:val="22"/>
        </w:rPr>
        <w:t xml:space="preserve">” </w:t>
      </w:r>
    </w:p>
    <w:p w14:paraId="48C9C053" w14:textId="77777777" w:rsidR="001F2EC6" w:rsidRPr="00424AE2" w:rsidRDefault="001F2EC6" w:rsidP="001F2EC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54645142" w14:textId="2DB25ED7" w:rsidR="00397333" w:rsidRPr="00424AE2"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 xml:space="preserve">Turno. </w:t>
      </w:r>
      <w:r w:rsidRPr="00424AE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E7434B" w:rsidRPr="00424AE2">
        <w:rPr>
          <w:rFonts w:ascii="Palatino Linotype" w:eastAsia="Palatino Linotype" w:hAnsi="Palatino Linotype" w:cs="Palatino Linotype"/>
          <w:b/>
          <w:sz w:val="22"/>
          <w:szCs w:val="22"/>
        </w:rPr>
        <w:t>0</w:t>
      </w:r>
      <w:r w:rsidR="00B312E7" w:rsidRPr="00424AE2">
        <w:rPr>
          <w:rFonts w:ascii="Palatino Linotype" w:eastAsia="Palatino Linotype" w:hAnsi="Palatino Linotype" w:cs="Palatino Linotype"/>
          <w:b/>
          <w:sz w:val="22"/>
          <w:szCs w:val="22"/>
        </w:rPr>
        <w:t>5014</w:t>
      </w:r>
      <w:r w:rsidRPr="00424AE2">
        <w:rPr>
          <w:rFonts w:ascii="Palatino Linotype" w:eastAsia="Palatino Linotype" w:hAnsi="Palatino Linotype" w:cs="Palatino Linotype"/>
          <w:b/>
          <w:sz w:val="22"/>
          <w:szCs w:val="22"/>
        </w:rPr>
        <w:t>/INFOEM/IP/RR/202</w:t>
      </w:r>
      <w:r w:rsidR="00C32E95" w:rsidRPr="00424AE2">
        <w:rPr>
          <w:rFonts w:ascii="Palatino Linotype" w:eastAsia="Palatino Linotype" w:hAnsi="Palatino Linotype" w:cs="Palatino Linotype"/>
          <w:b/>
          <w:sz w:val="22"/>
          <w:szCs w:val="22"/>
        </w:rPr>
        <w:t>4</w:t>
      </w:r>
      <w:r w:rsidRPr="00424AE2">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424AE2">
        <w:rPr>
          <w:rFonts w:ascii="Palatino Linotype" w:eastAsia="Palatino Linotype" w:hAnsi="Palatino Linotype" w:cs="Palatino Linotype"/>
          <w:b/>
          <w:sz w:val="22"/>
          <w:szCs w:val="22"/>
        </w:rPr>
        <w:t>Guadalupe Ramírez Peña</w:t>
      </w:r>
      <w:r w:rsidRPr="00424AE2">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424AE2"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154A9DFD" w:rsidR="00397333" w:rsidRPr="00424AE2"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424AE2">
        <w:rPr>
          <w:rFonts w:ascii="Palatino Linotype" w:eastAsia="Palatino Linotype" w:hAnsi="Palatino Linotype" w:cs="Palatino Linotype"/>
          <w:b/>
          <w:sz w:val="22"/>
          <w:szCs w:val="22"/>
        </w:rPr>
        <w:t xml:space="preserve">Admisión del recurso de revisión: </w:t>
      </w:r>
      <w:r w:rsidRPr="00424AE2">
        <w:rPr>
          <w:rFonts w:ascii="Palatino Linotype" w:eastAsia="Palatino Linotype" w:hAnsi="Palatino Linotype" w:cs="Palatino Linotype"/>
          <w:sz w:val="22"/>
          <w:szCs w:val="22"/>
        </w:rPr>
        <w:t xml:space="preserve">En fecha </w:t>
      </w:r>
      <w:r w:rsidR="00B312E7" w:rsidRPr="00424AE2">
        <w:rPr>
          <w:rFonts w:ascii="Palatino Linotype" w:eastAsia="Palatino Linotype" w:hAnsi="Palatino Linotype" w:cs="Palatino Linotype"/>
          <w:b/>
          <w:sz w:val="22"/>
          <w:szCs w:val="22"/>
        </w:rPr>
        <w:t xml:space="preserve">veintitrés de agosto </w:t>
      </w:r>
      <w:r w:rsidR="00111D33" w:rsidRPr="00424AE2">
        <w:rPr>
          <w:rFonts w:ascii="Palatino Linotype" w:eastAsia="Palatino Linotype" w:hAnsi="Palatino Linotype" w:cs="Palatino Linotype"/>
          <w:b/>
          <w:sz w:val="22"/>
          <w:szCs w:val="22"/>
        </w:rPr>
        <w:t>de dos mil veinti</w:t>
      </w:r>
      <w:r w:rsidR="00C32E95" w:rsidRPr="00424AE2">
        <w:rPr>
          <w:rFonts w:ascii="Palatino Linotype" w:eastAsia="Palatino Linotype" w:hAnsi="Palatino Linotype" w:cs="Palatino Linotype"/>
          <w:b/>
          <w:sz w:val="22"/>
          <w:szCs w:val="22"/>
        </w:rPr>
        <w:t>cuatro</w:t>
      </w:r>
      <w:r w:rsidRPr="00424AE2">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E7434B" w:rsidRPr="00424AE2">
        <w:rPr>
          <w:rFonts w:ascii="Palatino Linotype" w:eastAsia="Palatino Linotype" w:hAnsi="Palatino Linotype" w:cs="Palatino Linotype"/>
          <w:b/>
          <w:sz w:val="22"/>
          <w:szCs w:val="22"/>
        </w:rPr>
        <w:t>Sujeto Obligado</w:t>
      </w:r>
      <w:r w:rsidR="00E7434B"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presentara su informe justificado.</w:t>
      </w:r>
    </w:p>
    <w:p w14:paraId="13A8CA21" w14:textId="77777777" w:rsidR="00397333" w:rsidRPr="00424AE2"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489CA3A" w14:textId="5EACDD34" w:rsidR="002359C0" w:rsidRPr="00424AE2" w:rsidRDefault="005532C7" w:rsidP="00F5165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3" w:name="_Hlk178201829"/>
      <w:r w:rsidRPr="00424AE2">
        <w:rPr>
          <w:rFonts w:ascii="Palatino Linotype" w:eastAsia="Palatino Linotype" w:hAnsi="Palatino Linotype" w:cs="Palatino Linotype"/>
          <w:b/>
          <w:sz w:val="22"/>
          <w:szCs w:val="22"/>
        </w:rPr>
        <w:t>Manifestacione</w:t>
      </w:r>
      <w:r w:rsidR="00B16908" w:rsidRPr="00424AE2">
        <w:rPr>
          <w:rFonts w:ascii="Palatino Linotype" w:eastAsia="Palatino Linotype" w:hAnsi="Palatino Linotype" w:cs="Palatino Linotype"/>
          <w:b/>
          <w:sz w:val="22"/>
          <w:szCs w:val="22"/>
        </w:rPr>
        <w:t>s</w:t>
      </w:r>
      <w:r w:rsidR="00B16908" w:rsidRPr="00424AE2">
        <w:rPr>
          <w:rFonts w:ascii="Palatino Linotype" w:eastAsia="Palatino Linotype" w:hAnsi="Palatino Linotype" w:cs="Palatino Linotype"/>
          <w:sz w:val="22"/>
          <w:szCs w:val="22"/>
        </w:rPr>
        <w:t xml:space="preserve">: </w:t>
      </w:r>
      <w:r w:rsidR="00E7434B" w:rsidRPr="00424AE2">
        <w:rPr>
          <w:rFonts w:ascii="Palatino Linotype" w:eastAsia="Palatino Linotype" w:hAnsi="Palatino Linotype" w:cs="Palatino Linotype"/>
          <w:sz w:val="22"/>
          <w:szCs w:val="22"/>
        </w:rPr>
        <w:t xml:space="preserve">De las constancias que obran en el expediente electrónico del </w:t>
      </w:r>
      <w:r w:rsidR="00E7434B" w:rsidRPr="00424AE2">
        <w:rPr>
          <w:rFonts w:ascii="Palatino Linotype" w:eastAsia="Palatino Linotype" w:hAnsi="Palatino Linotype" w:cs="Palatino Linotype"/>
          <w:b/>
          <w:sz w:val="22"/>
          <w:szCs w:val="22"/>
        </w:rPr>
        <w:t>SAIMEX</w:t>
      </w:r>
      <w:r w:rsidR="00E7434B" w:rsidRPr="00424AE2">
        <w:rPr>
          <w:rFonts w:ascii="Palatino Linotype" w:eastAsia="Palatino Linotype" w:hAnsi="Palatino Linotype" w:cs="Palatino Linotype"/>
          <w:sz w:val="22"/>
          <w:szCs w:val="22"/>
        </w:rPr>
        <w:t xml:space="preserve"> se desprende que el </w:t>
      </w:r>
      <w:r w:rsidR="00E7434B" w:rsidRPr="00424AE2">
        <w:rPr>
          <w:rFonts w:ascii="Palatino Linotype" w:eastAsia="Palatino Linotype" w:hAnsi="Palatino Linotype" w:cs="Palatino Linotype"/>
          <w:b/>
          <w:sz w:val="22"/>
          <w:szCs w:val="22"/>
        </w:rPr>
        <w:t>Sujeto Obligado</w:t>
      </w:r>
      <w:r w:rsidR="00E7434B" w:rsidRPr="00424AE2">
        <w:rPr>
          <w:rFonts w:ascii="Palatino Linotype" w:eastAsia="Palatino Linotype" w:hAnsi="Palatino Linotype" w:cs="Palatino Linotype"/>
          <w:sz w:val="22"/>
          <w:szCs w:val="22"/>
        </w:rPr>
        <w:t xml:space="preserve"> en fecha </w:t>
      </w:r>
      <w:r w:rsidR="00B312E7" w:rsidRPr="00424AE2">
        <w:rPr>
          <w:rFonts w:ascii="Palatino Linotype" w:eastAsia="Palatino Linotype" w:hAnsi="Palatino Linotype" w:cs="Palatino Linotype"/>
          <w:b/>
          <w:sz w:val="22"/>
          <w:szCs w:val="22"/>
        </w:rPr>
        <w:t>dos de septiembre</w:t>
      </w:r>
      <w:r w:rsidR="00E7434B" w:rsidRPr="00424AE2">
        <w:rPr>
          <w:rFonts w:ascii="Palatino Linotype" w:eastAsia="Palatino Linotype" w:hAnsi="Palatino Linotype" w:cs="Palatino Linotype"/>
          <w:b/>
          <w:sz w:val="22"/>
          <w:szCs w:val="22"/>
        </w:rPr>
        <w:t xml:space="preserve"> de dos mil veinticuatro</w:t>
      </w:r>
      <w:r w:rsidR="00E7434B" w:rsidRPr="00424AE2">
        <w:rPr>
          <w:rFonts w:ascii="Palatino Linotype" w:eastAsia="Palatino Linotype" w:hAnsi="Palatino Linotype" w:cs="Palatino Linotype"/>
          <w:sz w:val="22"/>
          <w:szCs w:val="22"/>
        </w:rPr>
        <w:t xml:space="preserve"> rindió su informe justificado a través del</w:t>
      </w:r>
      <w:r w:rsidR="00B312E7" w:rsidRPr="00424AE2">
        <w:rPr>
          <w:rFonts w:ascii="Palatino Linotype" w:eastAsia="Palatino Linotype" w:hAnsi="Palatino Linotype" w:cs="Palatino Linotype"/>
          <w:sz w:val="22"/>
          <w:szCs w:val="22"/>
        </w:rPr>
        <w:t xml:space="preserve"> </w:t>
      </w:r>
      <w:r w:rsidR="00E7434B" w:rsidRPr="00424AE2">
        <w:rPr>
          <w:rFonts w:ascii="Palatino Linotype" w:eastAsia="Palatino Linotype" w:hAnsi="Palatino Linotype" w:cs="Palatino Linotype"/>
          <w:sz w:val="22"/>
          <w:szCs w:val="22"/>
        </w:rPr>
        <w:t>archivo electrónico</w:t>
      </w:r>
      <w:r w:rsidR="00B312E7" w:rsidRPr="00424AE2">
        <w:rPr>
          <w:rFonts w:ascii="Palatino Linotype" w:eastAsia="Palatino Linotype" w:hAnsi="Palatino Linotype" w:cs="Palatino Linotype"/>
          <w:sz w:val="22"/>
          <w:szCs w:val="22"/>
        </w:rPr>
        <w:t xml:space="preserve"> </w:t>
      </w:r>
      <w:r w:rsidR="00B312E7" w:rsidRPr="00424AE2">
        <w:rPr>
          <w:rFonts w:ascii="Palatino Linotype" w:eastAsia="Palatino Linotype" w:hAnsi="Palatino Linotype" w:cs="Palatino Linotype"/>
          <w:b/>
          <w:bCs/>
          <w:i/>
          <w:iCs/>
          <w:sz w:val="22"/>
          <w:szCs w:val="22"/>
        </w:rPr>
        <w:t>“recurso de revision.pdf”</w:t>
      </w:r>
      <w:r w:rsidR="00B312E7" w:rsidRPr="00424AE2">
        <w:rPr>
          <w:rFonts w:ascii="Palatino Linotype" w:eastAsia="Palatino Linotype" w:hAnsi="Palatino Linotype" w:cs="Palatino Linotype"/>
          <w:sz w:val="22"/>
          <w:szCs w:val="22"/>
        </w:rPr>
        <w:t xml:space="preserve">, el cual contiene el oficio </w:t>
      </w:r>
      <w:proofErr w:type="spellStart"/>
      <w:r w:rsidR="00B312E7" w:rsidRPr="00424AE2">
        <w:rPr>
          <w:rFonts w:ascii="Palatino Linotype" w:eastAsia="Palatino Linotype" w:hAnsi="Palatino Linotype" w:cs="Palatino Linotype"/>
          <w:sz w:val="22"/>
          <w:szCs w:val="22"/>
        </w:rPr>
        <w:t>numero</w:t>
      </w:r>
      <w:proofErr w:type="spellEnd"/>
      <w:r w:rsidR="00B312E7" w:rsidRPr="00424AE2">
        <w:rPr>
          <w:rFonts w:ascii="Palatino Linotype" w:eastAsia="Palatino Linotype" w:hAnsi="Palatino Linotype" w:cs="Palatino Linotype"/>
          <w:sz w:val="22"/>
          <w:szCs w:val="22"/>
        </w:rPr>
        <w:t xml:space="preserve"> CHIC/UT/150/2024 de fecha dos de septiembre de dos mil veinticuatro, signado por el Titular de la Unidad de Transparencia, mediante el cual informó que </w:t>
      </w:r>
      <w:r w:rsidR="002359C0" w:rsidRPr="00424AE2">
        <w:rPr>
          <w:rFonts w:ascii="Palatino Linotype" w:eastAsia="Palatino Linotype" w:hAnsi="Palatino Linotype" w:cs="Palatino Linotype"/>
          <w:sz w:val="22"/>
          <w:szCs w:val="22"/>
        </w:rPr>
        <w:t xml:space="preserve">ratifica su respuesta emitida por el servidor público habilitado, ya que el Instituto Municipal de Cultura Física y Deporte de Chicoloapan, es un organismo público descentralizado que tiene sus finanzas independientes al Ayuntamiento de Chicoloapan, por lo que esta es de los recursos obtenidos de manera directa por el Instituto. </w:t>
      </w:r>
    </w:p>
    <w:bookmarkEnd w:id="3"/>
    <w:p w14:paraId="6932822D" w14:textId="77777777" w:rsidR="002359C0" w:rsidRPr="00424AE2" w:rsidRDefault="002359C0" w:rsidP="002359C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B87D8A3" w14:textId="10282E55" w:rsidR="00E7434B" w:rsidRPr="00424AE2" w:rsidRDefault="00F32DF6" w:rsidP="00E7434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lastRenderedPageBreak/>
        <w:t>Documento que fue</w:t>
      </w:r>
      <w:r w:rsidR="00C27AB3"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hecho del conocimiento de la parte </w:t>
      </w:r>
      <w:r w:rsidRPr="00424AE2">
        <w:rPr>
          <w:rFonts w:ascii="Palatino Linotype" w:eastAsia="Palatino Linotype" w:hAnsi="Palatino Linotype" w:cs="Palatino Linotype"/>
          <w:b/>
          <w:sz w:val="22"/>
          <w:szCs w:val="22"/>
        </w:rPr>
        <w:t>Recurrente</w:t>
      </w:r>
      <w:r w:rsidRPr="00424AE2">
        <w:rPr>
          <w:rFonts w:ascii="Palatino Linotype" w:eastAsia="Palatino Linotype" w:hAnsi="Palatino Linotype" w:cs="Palatino Linotype"/>
          <w:sz w:val="22"/>
          <w:szCs w:val="22"/>
        </w:rPr>
        <w:t>,</w:t>
      </w:r>
      <w:r w:rsidR="00DD0662" w:rsidRPr="00424AE2">
        <w:rPr>
          <w:rFonts w:ascii="Palatino Linotype" w:eastAsia="Palatino Linotype" w:hAnsi="Palatino Linotype" w:cs="Palatino Linotype"/>
          <w:sz w:val="22"/>
          <w:szCs w:val="22"/>
        </w:rPr>
        <w:t xml:space="preserve"> en fecha </w:t>
      </w:r>
      <w:r w:rsidR="00C27AB3" w:rsidRPr="00424AE2">
        <w:rPr>
          <w:rFonts w:ascii="Palatino Linotype" w:eastAsia="Palatino Linotype" w:hAnsi="Palatino Linotype" w:cs="Palatino Linotype"/>
          <w:b/>
          <w:sz w:val="22"/>
          <w:szCs w:val="22"/>
        </w:rPr>
        <w:t xml:space="preserve">veinticinco </w:t>
      </w:r>
      <w:r w:rsidR="00DD0662" w:rsidRPr="00424AE2">
        <w:rPr>
          <w:rFonts w:ascii="Palatino Linotype" w:eastAsia="Palatino Linotype" w:hAnsi="Palatino Linotype" w:cs="Palatino Linotype"/>
          <w:b/>
          <w:sz w:val="22"/>
          <w:szCs w:val="22"/>
        </w:rPr>
        <w:t>de septiembre de dos mil veinticuatro</w:t>
      </w:r>
      <w:r w:rsidR="00DD0662" w:rsidRPr="00424AE2">
        <w:rPr>
          <w:rFonts w:ascii="Palatino Linotype" w:eastAsia="Palatino Linotype" w:hAnsi="Palatino Linotype" w:cs="Palatino Linotype"/>
          <w:sz w:val="22"/>
          <w:szCs w:val="22"/>
        </w:rPr>
        <w:t xml:space="preserve">. </w:t>
      </w:r>
    </w:p>
    <w:p w14:paraId="3FE312C4" w14:textId="77777777" w:rsidR="00DD0662" w:rsidRPr="00424AE2" w:rsidRDefault="00DD0662" w:rsidP="00DD066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30874FF" w14:textId="0F442539" w:rsidR="00215DEF" w:rsidRPr="00424AE2"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 xml:space="preserve">Cierre de instrucción. </w:t>
      </w:r>
      <w:r w:rsidRPr="00424AE2">
        <w:rPr>
          <w:rFonts w:ascii="Palatino Linotype" w:eastAsia="Palatino Linotype" w:hAnsi="Palatino Linotype" w:cs="Palatino Linotype"/>
          <w:sz w:val="22"/>
          <w:szCs w:val="22"/>
        </w:rPr>
        <w:t xml:space="preserve">El </w:t>
      </w:r>
      <w:r w:rsidR="00F859CC" w:rsidRPr="00424AE2">
        <w:rPr>
          <w:rFonts w:ascii="Palatino Linotype" w:eastAsia="Palatino Linotype" w:hAnsi="Palatino Linotype" w:cs="Palatino Linotype"/>
          <w:b/>
          <w:sz w:val="22"/>
          <w:szCs w:val="22"/>
        </w:rPr>
        <w:t>nueve</w:t>
      </w:r>
      <w:r w:rsidR="00956711" w:rsidRPr="00424AE2">
        <w:rPr>
          <w:rFonts w:ascii="Palatino Linotype" w:eastAsia="Palatino Linotype" w:hAnsi="Palatino Linotype" w:cs="Palatino Linotype"/>
          <w:b/>
          <w:sz w:val="22"/>
          <w:szCs w:val="22"/>
        </w:rPr>
        <w:t xml:space="preserve"> de octubre</w:t>
      </w:r>
      <w:r w:rsidR="00543060" w:rsidRPr="00424AE2">
        <w:rPr>
          <w:rFonts w:ascii="Palatino Linotype" w:eastAsia="Palatino Linotype" w:hAnsi="Palatino Linotype" w:cs="Palatino Linotype"/>
          <w:b/>
          <w:sz w:val="22"/>
          <w:szCs w:val="22"/>
        </w:rPr>
        <w:t xml:space="preserve"> </w:t>
      </w:r>
      <w:r w:rsidR="005B6F34" w:rsidRPr="00424AE2">
        <w:rPr>
          <w:rFonts w:ascii="Palatino Linotype" w:eastAsia="Palatino Linotype" w:hAnsi="Palatino Linotype" w:cs="Palatino Linotype"/>
          <w:b/>
          <w:sz w:val="22"/>
          <w:szCs w:val="22"/>
        </w:rPr>
        <w:t>de dos mil veinticuatro</w:t>
      </w:r>
      <w:r w:rsidRPr="00424AE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424AE2"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424AE2"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424AE2" w:rsidRDefault="00B16908" w:rsidP="000453FB">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4" w:name="_heading=h.30j0zll" w:colFirst="0" w:colLast="0"/>
      <w:bookmarkEnd w:id="4"/>
      <w:r w:rsidRPr="00424AE2">
        <w:rPr>
          <w:rFonts w:ascii="Palatino Linotype" w:eastAsia="Palatino Linotype" w:hAnsi="Palatino Linotype" w:cs="Palatino Linotype"/>
          <w:b/>
          <w:sz w:val="22"/>
          <w:szCs w:val="22"/>
        </w:rPr>
        <w:t>C O N S I D E R A N D O:</w:t>
      </w:r>
    </w:p>
    <w:p w14:paraId="5C36930C" w14:textId="77777777" w:rsidR="00397333" w:rsidRPr="00424AE2"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 xml:space="preserve">Primero. Competencia. </w:t>
      </w:r>
      <w:r w:rsidR="00505D52" w:rsidRPr="00424AE2">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424AE2"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lastRenderedPageBreak/>
        <w:t>Segundo. Oportunidad y Procedibilidad del Recurso de Revisión</w:t>
      </w:r>
      <w:r w:rsidRPr="00424AE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424AE2" w:rsidRDefault="00397333">
      <w:pPr>
        <w:spacing w:line="360" w:lineRule="auto"/>
        <w:jc w:val="both"/>
        <w:rPr>
          <w:rFonts w:ascii="Palatino Linotype" w:eastAsia="Palatino Linotype" w:hAnsi="Palatino Linotype" w:cs="Palatino Linotype"/>
          <w:sz w:val="22"/>
          <w:szCs w:val="22"/>
        </w:rPr>
      </w:pPr>
    </w:p>
    <w:p w14:paraId="51DCF894" w14:textId="22FF7888" w:rsidR="00397333" w:rsidRPr="00424AE2" w:rsidRDefault="00B16908">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00F32DF6" w:rsidRPr="00424AE2">
        <w:rPr>
          <w:rFonts w:ascii="Palatino Linotype" w:eastAsia="Palatino Linotype" w:hAnsi="Palatino Linotype" w:cs="Palatino Linotype"/>
          <w:b/>
          <w:sz w:val="22"/>
          <w:szCs w:val="22"/>
        </w:rPr>
        <w:t>Sujeto Obligado</w:t>
      </w:r>
      <w:r w:rsidR="00F32DF6"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proporcionó su respuesta a la solicitud de información el </w:t>
      </w:r>
      <w:r w:rsidR="00C27AB3" w:rsidRPr="00424AE2">
        <w:rPr>
          <w:rFonts w:ascii="Palatino Linotype" w:eastAsia="Palatino Linotype" w:hAnsi="Palatino Linotype" w:cs="Palatino Linotype"/>
          <w:b/>
          <w:sz w:val="22"/>
          <w:szCs w:val="22"/>
        </w:rPr>
        <w:t xml:space="preserve">veinte de agosto </w:t>
      </w:r>
      <w:r w:rsidR="00462FEA" w:rsidRPr="00424AE2">
        <w:rPr>
          <w:rFonts w:ascii="Palatino Linotype" w:eastAsia="Palatino Linotype" w:hAnsi="Palatino Linotype" w:cs="Palatino Linotype"/>
          <w:b/>
          <w:sz w:val="22"/>
          <w:szCs w:val="22"/>
        </w:rPr>
        <w:t>de dos mil veinticuatro</w:t>
      </w:r>
      <w:r w:rsidR="00505D52" w:rsidRPr="00424AE2">
        <w:rPr>
          <w:rFonts w:ascii="Palatino Linotype" w:eastAsia="Palatino Linotype" w:hAnsi="Palatino Linotype" w:cs="Palatino Linotype"/>
          <w:sz w:val="22"/>
          <w:szCs w:val="22"/>
        </w:rPr>
        <w:t>, y la parte</w:t>
      </w:r>
      <w:r w:rsidRPr="00424AE2">
        <w:rPr>
          <w:rFonts w:ascii="Palatino Linotype" w:eastAsia="Palatino Linotype" w:hAnsi="Palatino Linotype" w:cs="Palatino Linotype"/>
          <w:sz w:val="22"/>
          <w:szCs w:val="22"/>
        </w:rPr>
        <w:t xml:space="preserve"> </w:t>
      </w:r>
      <w:r w:rsidR="00F32DF6" w:rsidRPr="00424AE2">
        <w:rPr>
          <w:rFonts w:ascii="Palatino Linotype" w:eastAsia="Palatino Linotype" w:hAnsi="Palatino Linotype" w:cs="Palatino Linotype"/>
          <w:b/>
          <w:sz w:val="22"/>
          <w:szCs w:val="22"/>
        </w:rPr>
        <w:t>Recurrente</w:t>
      </w:r>
      <w:r w:rsidR="00F32DF6"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presentó su recurso de revisión el</w:t>
      </w:r>
      <w:r w:rsidR="00A94A15" w:rsidRPr="00424AE2">
        <w:rPr>
          <w:rFonts w:ascii="Palatino Linotype" w:eastAsia="Palatino Linotype" w:hAnsi="Palatino Linotype" w:cs="Palatino Linotype"/>
          <w:sz w:val="22"/>
          <w:szCs w:val="22"/>
        </w:rPr>
        <w:t xml:space="preserve"> </w:t>
      </w:r>
      <w:r w:rsidR="00C27AB3" w:rsidRPr="00424AE2">
        <w:rPr>
          <w:rFonts w:ascii="Palatino Linotype" w:eastAsia="Palatino Linotype" w:hAnsi="Palatino Linotype" w:cs="Palatino Linotype"/>
          <w:b/>
          <w:sz w:val="22"/>
          <w:szCs w:val="22"/>
        </w:rPr>
        <w:t xml:space="preserve">veinte de agosto </w:t>
      </w:r>
      <w:r w:rsidR="00505D52" w:rsidRPr="00424AE2">
        <w:rPr>
          <w:rFonts w:ascii="Palatino Linotype" w:eastAsia="Palatino Linotype" w:hAnsi="Palatino Linotype" w:cs="Palatino Linotype"/>
          <w:b/>
          <w:sz w:val="22"/>
          <w:szCs w:val="22"/>
        </w:rPr>
        <w:t>de dos mil veinti</w:t>
      </w:r>
      <w:r w:rsidR="00462FEA" w:rsidRPr="00424AE2">
        <w:rPr>
          <w:rFonts w:ascii="Palatino Linotype" w:eastAsia="Palatino Linotype" w:hAnsi="Palatino Linotype" w:cs="Palatino Linotype"/>
          <w:b/>
          <w:sz w:val="22"/>
          <w:szCs w:val="22"/>
        </w:rPr>
        <w:t>cuatro</w:t>
      </w:r>
      <w:r w:rsidRPr="00424AE2">
        <w:rPr>
          <w:rFonts w:ascii="Palatino Linotype" w:eastAsia="Palatino Linotype" w:hAnsi="Palatino Linotype" w:cs="Palatino Linotype"/>
          <w:sz w:val="22"/>
          <w:szCs w:val="22"/>
        </w:rPr>
        <w:t>;</w:t>
      </w:r>
      <w:r w:rsidRPr="00424AE2">
        <w:rPr>
          <w:rFonts w:ascii="Palatino Linotype" w:eastAsia="Palatino Linotype" w:hAnsi="Palatino Linotype" w:cs="Palatino Linotype"/>
          <w:b/>
          <w:sz w:val="22"/>
          <w:szCs w:val="22"/>
        </w:rPr>
        <w:t xml:space="preserve"> </w:t>
      </w:r>
      <w:r w:rsidRPr="00424AE2">
        <w:rPr>
          <w:rFonts w:ascii="Palatino Linotype" w:eastAsia="Palatino Linotype" w:hAnsi="Palatino Linotype" w:cs="Palatino Linotype"/>
          <w:sz w:val="22"/>
          <w:szCs w:val="22"/>
        </w:rPr>
        <w:t>esto es</w:t>
      </w:r>
      <w:r w:rsidR="00543060" w:rsidRPr="00424AE2">
        <w:rPr>
          <w:rFonts w:ascii="Palatino Linotype" w:eastAsia="Palatino Linotype" w:hAnsi="Palatino Linotype" w:cs="Palatino Linotype"/>
          <w:sz w:val="22"/>
          <w:szCs w:val="22"/>
        </w:rPr>
        <w:t xml:space="preserve"> el</w:t>
      </w:r>
      <w:r w:rsidR="00F17047" w:rsidRPr="00424AE2">
        <w:rPr>
          <w:rFonts w:ascii="Palatino Linotype" w:eastAsia="Palatino Linotype" w:hAnsi="Palatino Linotype" w:cs="Palatino Linotype"/>
          <w:sz w:val="22"/>
          <w:szCs w:val="22"/>
        </w:rPr>
        <w:t xml:space="preserve"> mismo </w:t>
      </w:r>
      <w:r w:rsidR="00543060" w:rsidRPr="00424AE2">
        <w:rPr>
          <w:rFonts w:ascii="Palatino Linotype" w:eastAsia="Palatino Linotype" w:hAnsi="Palatino Linotype" w:cs="Palatino Linotype"/>
          <w:sz w:val="22"/>
          <w:szCs w:val="22"/>
        </w:rPr>
        <w:t xml:space="preserve">día </w:t>
      </w:r>
      <w:r w:rsidR="005532C7" w:rsidRPr="00424AE2">
        <w:rPr>
          <w:rFonts w:ascii="Palatino Linotype" w:eastAsia="Palatino Linotype" w:hAnsi="Palatino Linotype" w:cs="Palatino Linotype"/>
          <w:sz w:val="22"/>
          <w:szCs w:val="22"/>
        </w:rPr>
        <w:t>hábil en</w:t>
      </w:r>
      <w:r w:rsidRPr="00424AE2">
        <w:rPr>
          <w:rFonts w:ascii="Palatino Linotype" w:eastAsia="Palatino Linotype" w:hAnsi="Palatino Linotype" w:cs="Palatino Linotype"/>
          <w:sz w:val="22"/>
          <w:szCs w:val="22"/>
        </w:rPr>
        <w:t xml:space="preserve"> que tuvo conocimiento de la respuesta. </w:t>
      </w:r>
    </w:p>
    <w:p w14:paraId="1504B6CF" w14:textId="77777777" w:rsidR="00C151BE" w:rsidRPr="00424AE2" w:rsidRDefault="00C151BE" w:rsidP="00C151BE">
      <w:pPr>
        <w:spacing w:before="240" w:after="240"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0E5D9E5" w14:textId="77777777" w:rsidR="00C151BE" w:rsidRPr="00424AE2" w:rsidRDefault="00C151BE" w:rsidP="00EE5476">
      <w:pPr>
        <w:spacing w:before="120" w:after="120"/>
        <w:ind w:left="851"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424AE2">
        <w:rPr>
          <w:rFonts w:ascii="Palatino Linotype" w:eastAsia="Palatino Linotype" w:hAnsi="Palatino Linotype" w:cs="Palatino Linotype"/>
          <w:i/>
          <w:sz w:val="22"/>
          <w:szCs w:val="22"/>
        </w:rPr>
        <w:t>.</w:t>
      </w:r>
    </w:p>
    <w:p w14:paraId="3CE516F6" w14:textId="77777777" w:rsidR="00C151BE" w:rsidRPr="00424AE2" w:rsidRDefault="00C151BE" w:rsidP="00EE5476">
      <w:pPr>
        <w:spacing w:before="120" w:after="120"/>
        <w:ind w:left="851"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w:t>
      </w:r>
      <w:r w:rsidRPr="00424AE2">
        <w:rPr>
          <w:rFonts w:ascii="Palatino Linotype" w:eastAsia="Palatino Linotype" w:hAnsi="Palatino Linotype" w:cs="Palatino Linotype"/>
          <w:i/>
          <w:sz w:val="22"/>
          <w:szCs w:val="22"/>
        </w:rPr>
        <w:lastRenderedPageBreak/>
        <w:t xml:space="preserve">impugnada. Ahora bien, dicho numeral sólo refiere que el aludido medio de defensa no puede hacerse valer después de tres días, por tanto, no impide que el escrito correspondiente se presente antes de iniciado ese término. De ahí </w:t>
      </w:r>
      <w:proofErr w:type="gramStart"/>
      <w:r w:rsidRPr="00424AE2">
        <w:rPr>
          <w:rFonts w:ascii="Palatino Linotype" w:eastAsia="Palatino Linotype" w:hAnsi="Palatino Linotype" w:cs="Palatino Linotype"/>
          <w:i/>
          <w:sz w:val="22"/>
          <w:szCs w:val="22"/>
        </w:rPr>
        <w:t>que</w:t>
      </w:r>
      <w:proofErr w:type="gramEnd"/>
      <w:r w:rsidRPr="00424AE2">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3BAE9D14" w14:textId="77777777" w:rsidR="00C151BE" w:rsidRPr="00424AE2" w:rsidRDefault="00C151BE" w:rsidP="00C151BE">
      <w:pPr>
        <w:spacing w:before="240" w:after="240"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ECFD767" w14:textId="77777777" w:rsidR="00C151BE" w:rsidRPr="00424AE2" w:rsidRDefault="00C151BE" w:rsidP="00C151BE">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Es de suma importancia mencionar que, si bien la parte no proporcionó el nombre completo para ser identificado como se advierte en el detalle de seguimiento del </w:t>
      </w:r>
      <w:r w:rsidRPr="00424AE2">
        <w:rPr>
          <w:rFonts w:ascii="Palatino Linotype" w:eastAsia="Palatino Linotype" w:hAnsi="Palatino Linotype" w:cs="Palatino Linotype"/>
          <w:b/>
          <w:bCs/>
          <w:sz w:val="22"/>
          <w:szCs w:val="22"/>
        </w:rPr>
        <w:t>SAIMEX</w:t>
      </w:r>
      <w:r w:rsidRPr="00424AE2">
        <w:rPr>
          <w:rFonts w:ascii="Palatino Linotype" w:eastAsia="Palatino Linotype" w:hAnsi="Palatino Linotype" w:cs="Palatino Linotype"/>
          <w:sz w:val="22"/>
          <w:szCs w:val="22"/>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6879796" w14:textId="77777777" w:rsidR="00C151BE" w:rsidRPr="00424AE2" w:rsidRDefault="00C151BE" w:rsidP="00C151BE">
      <w:pPr>
        <w:spacing w:line="360" w:lineRule="auto"/>
        <w:jc w:val="both"/>
        <w:rPr>
          <w:rFonts w:ascii="Palatino Linotype" w:eastAsia="Palatino Linotype" w:hAnsi="Palatino Linotype" w:cs="Palatino Linotype"/>
          <w:sz w:val="22"/>
          <w:szCs w:val="22"/>
        </w:rPr>
      </w:pPr>
    </w:p>
    <w:p w14:paraId="1ACF1110" w14:textId="77777777" w:rsidR="00C151BE" w:rsidRPr="00424AE2" w:rsidRDefault="00C151BE" w:rsidP="00EE5476">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 xml:space="preserve">"Las solicitudes </w:t>
      </w:r>
      <w:r w:rsidRPr="00424AE2">
        <w:rPr>
          <w:rFonts w:ascii="Palatino Linotype" w:eastAsia="Palatino Linotype" w:hAnsi="Palatino Linotype" w:cs="Palatino Linotype"/>
          <w:bCs/>
          <w:i/>
          <w:sz w:val="22"/>
          <w:szCs w:val="22"/>
        </w:rPr>
        <w:t>anónimas</w:t>
      </w:r>
      <w:r w:rsidRPr="00424AE2">
        <w:rPr>
          <w:rFonts w:ascii="Palatino Linotype" w:eastAsia="Palatino Linotype" w:hAnsi="Palatino Linotype" w:cs="Palatino Linotype"/>
          <w:i/>
          <w:sz w:val="22"/>
          <w:szCs w:val="22"/>
        </w:rPr>
        <w:t xml:space="preserve">, con </w:t>
      </w:r>
      <w:r w:rsidRPr="00424AE2">
        <w:rPr>
          <w:rFonts w:ascii="Palatino Linotype" w:eastAsia="Palatino Linotype" w:hAnsi="Palatino Linotype" w:cs="Palatino Linotype"/>
          <w:b/>
          <w:i/>
          <w:sz w:val="22"/>
          <w:szCs w:val="22"/>
        </w:rPr>
        <w:t>nombre incompleto</w:t>
      </w:r>
      <w:r w:rsidRPr="00424AE2">
        <w:rPr>
          <w:rFonts w:ascii="Palatino Linotype" w:eastAsia="Palatino Linotype" w:hAnsi="Palatino Linotype" w:cs="Palatino Linotype"/>
          <w:i/>
          <w:sz w:val="22"/>
          <w:szCs w:val="22"/>
        </w:rPr>
        <w:t xml:space="preserve"> o </w:t>
      </w:r>
      <w:r w:rsidRPr="00424AE2">
        <w:rPr>
          <w:rFonts w:ascii="Palatino Linotype" w:eastAsia="Palatino Linotype" w:hAnsi="Palatino Linotype" w:cs="Palatino Linotype"/>
          <w:bCs/>
          <w:i/>
          <w:sz w:val="22"/>
          <w:szCs w:val="22"/>
        </w:rPr>
        <w:t>seudónimo</w:t>
      </w:r>
      <w:r w:rsidRPr="00424AE2">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14CE55CD" w14:textId="77777777" w:rsidR="00C151BE" w:rsidRPr="00424AE2" w:rsidRDefault="00C151BE" w:rsidP="00C151BE">
      <w:pPr>
        <w:spacing w:line="276" w:lineRule="auto"/>
        <w:ind w:left="567" w:right="843"/>
        <w:jc w:val="both"/>
        <w:rPr>
          <w:rFonts w:ascii="Palatino Linotype" w:eastAsia="Palatino Linotype" w:hAnsi="Palatino Linotype" w:cs="Palatino Linotype"/>
          <w:i/>
          <w:sz w:val="22"/>
          <w:szCs w:val="22"/>
        </w:rPr>
      </w:pPr>
    </w:p>
    <w:p w14:paraId="7E0851C6" w14:textId="60E28A90" w:rsidR="00E22C26"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424AE2">
        <w:rPr>
          <w:rFonts w:ascii="Palatino Linotype" w:eastAsia="Palatino Linotype" w:hAnsi="Palatino Linotype" w:cs="Palatino Linotype"/>
          <w:b/>
          <w:sz w:val="22"/>
          <w:szCs w:val="22"/>
        </w:rPr>
        <w:t>SAIMEX</w:t>
      </w:r>
      <w:r w:rsidRPr="00424AE2">
        <w:rPr>
          <w:rFonts w:ascii="Palatino Linotype" w:eastAsia="Palatino Linotype" w:hAnsi="Palatino Linotype" w:cs="Palatino Linotype"/>
          <w:sz w:val="22"/>
          <w:szCs w:val="22"/>
        </w:rPr>
        <w:t>.</w:t>
      </w:r>
    </w:p>
    <w:p w14:paraId="08CDDB6E" w14:textId="77777777" w:rsidR="00462FEA" w:rsidRPr="00424AE2" w:rsidRDefault="00462FEA">
      <w:pPr>
        <w:spacing w:line="360" w:lineRule="auto"/>
        <w:jc w:val="both"/>
        <w:rPr>
          <w:rFonts w:ascii="Palatino Linotype" w:eastAsia="Palatino Linotype" w:hAnsi="Palatino Linotype" w:cs="Palatino Linotype"/>
          <w:sz w:val="22"/>
          <w:szCs w:val="22"/>
        </w:rPr>
      </w:pPr>
    </w:p>
    <w:p w14:paraId="7048B760" w14:textId="0D70D1B1"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424AE2">
        <w:rPr>
          <w:rFonts w:ascii="Palatino Linotype" w:eastAsia="Palatino Linotype" w:hAnsi="Palatino Linotype" w:cs="Palatino Linotype"/>
          <w:sz w:val="22"/>
          <w:szCs w:val="22"/>
        </w:rPr>
        <w:t xml:space="preserve"> en el artículo 179, fracción </w:t>
      </w:r>
      <w:r w:rsidR="00F17047" w:rsidRPr="00424AE2">
        <w:rPr>
          <w:rFonts w:ascii="Palatino Linotype" w:eastAsia="Palatino Linotype" w:hAnsi="Palatino Linotype" w:cs="Palatino Linotype"/>
          <w:sz w:val="22"/>
          <w:szCs w:val="22"/>
        </w:rPr>
        <w:t>I</w:t>
      </w:r>
      <w:r w:rsidR="00BD0D0D"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de la ley de la materia, que a la letra dice:</w:t>
      </w:r>
    </w:p>
    <w:p w14:paraId="30AFE02D" w14:textId="77777777" w:rsidR="00397333" w:rsidRPr="00424AE2"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424AE2" w:rsidRDefault="00B16908"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 xml:space="preserve">Artículo 179. </w:t>
      </w:r>
      <w:r w:rsidRPr="00424AE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437618E" w14:textId="09453ABC" w:rsidR="00397333" w:rsidRPr="00424AE2" w:rsidRDefault="00F17047"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I. La negativa a la información solicitada;</w:t>
      </w:r>
    </w:p>
    <w:p w14:paraId="0BA68790" w14:textId="3B3BF98A" w:rsidR="00397333" w:rsidRPr="00424AE2" w:rsidRDefault="000E3910" w:rsidP="00956711">
      <w:pPr>
        <w:spacing w:line="360"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 xml:space="preserve">…” </w:t>
      </w:r>
    </w:p>
    <w:p w14:paraId="41F4483B" w14:textId="77777777" w:rsidR="007B2993" w:rsidRPr="00424AE2" w:rsidRDefault="007B2993">
      <w:pPr>
        <w:spacing w:line="360" w:lineRule="auto"/>
        <w:ind w:left="567" w:right="616"/>
        <w:jc w:val="both"/>
        <w:rPr>
          <w:rFonts w:ascii="Palatino Linotype" w:eastAsia="Palatino Linotype" w:hAnsi="Palatino Linotype" w:cs="Palatino Linotype"/>
          <w:i/>
          <w:sz w:val="22"/>
          <w:szCs w:val="22"/>
        </w:rPr>
      </w:pPr>
    </w:p>
    <w:p w14:paraId="607F3F6E" w14:textId="152B4AA7"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Tercero. Materia de Revisión</w:t>
      </w:r>
      <w:r w:rsidRPr="00424AE2">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F17047" w:rsidRPr="00424AE2">
        <w:rPr>
          <w:rFonts w:ascii="Palatino Linotype" w:eastAsia="Palatino Linotype" w:hAnsi="Palatino Linotype" w:cs="Palatino Linotype"/>
          <w:sz w:val="22"/>
          <w:szCs w:val="22"/>
        </w:rPr>
        <w:t>I</w:t>
      </w:r>
      <w:r w:rsidR="00DA55A9"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20361371" w14:textId="77777777" w:rsidR="00E22C26" w:rsidRPr="00424AE2" w:rsidRDefault="00E22C26">
      <w:pPr>
        <w:spacing w:line="360" w:lineRule="auto"/>
        <w:jc w:val="both"/>
        <w:rPr>
          <w:rFonts w:ascii="Palatino Linotype" w:eastAsia="Palatino Linotype" w:hAnsi="Palatino Linotype" w:cs="Palatino Linotype"/>
          <w:sz w:val="22"/>
          <w:szCs w:val="22"/>
        </w:rPr>
      </w:pPr>
    </w:p>
    <w:p w14:paraId="06331E45" w14:textId="6DEA9ADD"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 xml:space="preserve">Cuarto. Estudio de fondo del asunto. </w:t>
      </w:r>
      <w:r w:rsidRPr="00424AE2">
        <w:rPr>
          <w:rFonts w:ascii="Palatino Linotype" w:eastAsia="Palatino Linotype" w:hAnsi="Palatino Linotype" w:cs="Palatino Linotype"/>
          <w:sz w:val="22"/>
          <w:szCs w:val="22"/>
        </w:rPr>
        <w:t>Es conveniente analizar si la respuesta del Sujeto Obligado</w:t>
      </w:r>
      <w:r w:rsidRPr="00424AE2">
        <w:rPr>
          <w:rFonts w:ascii="Palatino Linotype" w:eastAsia="Palatino Linotype" w:hAnsi="Palatino Linotype" w:cs="Palatino Linotype"/>
          <w:b/>
          <w:sz w:val="22"/>
          <w:szCs w:val="22"/>
        </w:rPr>
        <w:t xml:space="preserve"> </w:t>
      </w:r>
      <w:r w:rsidRPr="00424AE2">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424AE2"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424AE2"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Artículo 4</w:t>
      </w:r>
      <w:r w:rsidRPr="00424AE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424AE2"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24AE2">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w:t>
      </w:r>
      <w:r w:rsidRPr="00424AE2">
        <w:rPr>
          <w:rFonts w:ascii="Palatino Linotype" w:eastAsia="Palatino Linotype" w:hAnsi="Palatino Linotype" w:cs="Palatino Linotype"/>
          <w:i/>
          <w:sz w:val="22"/>
          <w:szCs w:val="22"/>
        </w:rPr>
        <w:lastRenderedPageBreak/>
        <w:t>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424AE2"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424AE2">
        <w:rPr>
          <w:rFonts w:ascii="Palatino Linotype" w:eastAsia="Palatino Linotype" w:hAnsi="Palatino Linotype" w:cs="Palatino Linotype"/>
          <w:i/>
          <w:sz w:val="22"/>
          <w:szCs w:val="22"/>
        </w:rPr>
        <w:t>.”(</w:t>
      </w:r>
      <w:proofErr w:type="gramEnd"/>
      <w:r w:rsidRPr="00424AE2">
        <w:rPr>
          <w:rFonts w:ascii="Palatino Linotype" w:eastAsia="Palatino Linotype" w:hAnsi="Palatino Linotype" w:cs="Palatino Linotype"/>
          <w:i/>
          <w:sz w:val="22"/>
          <w:szCs w:val="22"/>
        </w:rPr>
        <w:t>Sic)</w:t>
      </w:r>
    </w:p>
    <w:p w14:paraId="677BADB9" w14:textId="77777777" w:rsidR="00397333" w:rsidRPr="00424AE2"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424AE2"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424AE2" w:rsidRDefault="00B16908" w:rsidP="005E2677">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Artículo 12.-</w:t>
      </w:r>
      <w:r w:rsidRPr="00424AE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424AE2" w:rsidRDefault="00397333" w:rsidP="005E2677">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424AE2" w:rsidRDefault="00B16908" w:rsidP="005E2677">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24AE2">
        <w:rPr>
          <w:rFonts w:ascii="Palatino Linotype" w:eastAsia="Palatino Linotype" w:hAnsi="Palatino Linotype" w:cs="Palatino Linotype"/>
          <w:i/>
          <w:sz w:val="22"/>
          <w:szCs w:val="22"/>
        </w:rPr>
        <w:t xml:space="preserve">. </w:t>
      </w:r>
      <w:r w:rsidRPr="00424AE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424AE2">
        <w:rPr>
          <w:rFonts w:ascii="Palatino Linotype" w:eastAsia="Palatino Linotype" w:hAnsi="Palatino Linotype" w:cs="Palatino Linotype"/>
          <w:i/>
          <w:sz w:val="22"/>
          <w:szCs w:val="22"/>
        </w:rPr>
        <w:t xml:space="preserve">.” </w:t>
      </w:r>
    </w:p>
    <w:p w14:paraId="0D689117" w14:textId="77777777" w:rsidR="00397333" w:rsidRPr="00424AE2" w:rsidRDefault="00397333">
      <w:pPr>
        <w:spacing w:line="360" w:lineRule="auto"/>
        <w:ind w:right="-93"/>
        <w:jc w:val="both"/>
        <w:rPr>
          <w:rFonts w:ascii="Palatino Linotype" w:eastAsia="Palatino Linotype" w:hAnsi="Palatino Linotype" w:cs="Palatino Linotype"/>
          <w:sz w:val="22"/>
          <w:szCs w:val="22"/>
        </w:rPr>
      </w:pPr>
    </w:p>
    <w:p w14:paraId="7F92CB7C" w14:textId="77777777" w:rsidR="00397333" w:rsidRPr="00424AE2" w:rsidRDefault="00B16908">
      <w:pPr>
        <w:spacing w:line="360" w:lineRule="auto"/>
        <w:ind w:right="-93"/>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424AE2">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424AE2"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424AE2" w:rsidRDefault="00B16908">
      <w:pPr>
        <w:spacing w:line="360" w:lineRule="auto"/>
        <w:jc w:val="both"/>
        <w:rPr>
          <w:rFonts w:ascii="Palatino Linotype" w:eastAsia="Palatino Linotype" w:hAnsi="Palatino Linotype" w:cs="Palatino Linotype"/>
          <w:b/>
          <w:sz w:val="22"/>
          <w:szCs w:val="22"/>
        </w:rPr>
      </w:pPr>
      <w:r w:rsidRPr="00424AE2">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24AE2">
        <w:rPr>
          <w:rFonts w:ascii="Palatino Linotype" w:eastAsia="Palatino Linotype" w:hAnsi="Palatino Linotype" w:cs="Palatino Linotype"/>
          <w:b/>
          <w:sz w:val="22"/>
          <w:szCs w:val="22"/>
        </w:rPr>
        <w:t xml:space="preserve"> </w:t>
      </w:r>
    </w:p>
    <w:p w14:paraId="071A0DE5" w14:textId="77777777" w:rsidR="00397333" w:rsidRPr="00424AE2"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424AE2" w:rsidRDefault="00B16908" w:rsidP="005E2677">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No existe obligación de elaborar documentos ad hoc para atender las solicitudes de acceso a la información.</w:t>
      </w:r>
      <w:r w:rsidRPr="00424AE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424AE2"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424AE2" w:rsidRDefault="00397333">
      <w:pPr>
        <w:spacing w:line="360" w:lineRule="auto"/>
        <w:jc w:val="both"/>
        <w:rPr>
          <w:rFonts w:ascii="Palatino Linotype" w:eastAsia="Palatino Linotype" w:hAnsi="Palatino Linotype" w:cs="Palatino Linotype"/>
          <w:sz w:val="22"/>
          <w:szCs w:val="22"/>
        </w:rPr>
      </w:pPr>
    </w:p>
    <w:p w14:paraId="74A1D557" w14:textId="38DAACEF" w:rsidR="00397333" w:rsidRPr="00424AE2" w:rsidRDefault="00B16908" w:rsidP="00104B2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424AE2"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424AE2" w:rsidRDefault="00B16908" w:rsidP="005E2677">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 xml:space="preserve">Artículo 3. </w:t>
      </w:r>
      <w:r w:rsidRPr="00424AE2">
        <w:rPr>
          <w:rFonts w:ascii="Palatino Linotype" w:eastAsia="Palatino Linotype" w:hAnsi="Palatino Linotype" w:cs="Palatino Linotype"/>
          <w:i/>
          <w:sz w:val="22"/>
          <w:szCs w:val="22"/>
        </w:rPr>
        <w:t>Para los efectos de la presente Ley se entenderá por:</w:t>
      </w:r>
    </w:p>
    <w:p w14:paraId="493A050E" w14:textId="77777777" w:rsidR="00397333" w:rsidRPr="00424AE2" w:rsidRDefault="00B16908" w:rsidP="005E2677">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p>
    <w:p w14:paraId="51E0D71B" w14:textId="77777777" w:rsidR="00397333" w:rsidRPr="00424AE2" w:rsidRDefault="00B16908" w:rsidP="005E2677">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XI. Documento:</w:t>
      </w:r>
      <w:r w:rsidRPr="00424AE2">
        <w:rPr>
          <w:rFonts w:ascii="Palatino Linotype" w:eastAsia="Palatino Linotype" w:hAnsi="Palatino Linotype" w:cs="Palatino Linotype"/>
          <w:i/>
          <w:sz w:val="22"/>
          <w:szCs w:val="22"/>
        </w:rPr>
        <w:t xml:space="preserve"> Los expedientes, reportes, estudios, actas</w:t>
      </w:r>
      <w:r w:rsidRPr="00424AE2">
        <w:rPr>
          <w:rFonts w:ascii="Palatino Linotype" w:eastAsia="Palatino Linotype" w:hAnsi="Palatino Linotype" w:cs="Palatino Linotype"/>
          <w:b/>
          <w:i/>
          <w:sz w:val="22"/>
          <w:szCs w:val="22"/>
        </w:rPr>
        <w:t>,</w:t>
      </w:r>
      <w:r w:rsidRPr="00424AE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424AE2"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424AE2" w:rsidRDefault="00B16908">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424AE2"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424AE2" w:rsidRDefault="00B16908" w:rsidP="00956711">
      <w:pPr>
        <w:spacing w:line="276" w:lineRule="auto"/>
        <w:ind w:left="851" w:right="616"/>
        <w:jc w:val="both"/>
        <w:rPr>
          <w:rFonts w:ascii="Palatino Linotype" w:eastAsia="Palatino Linotype" w:hAnsi="Palatino Linotype" w:cs="Palatino Linotype"/>
          <w:b/>
          <w:i/>
          <w:sz w:val="22"/>
          <w:szCs w:val="22"/>
        </w:rPr>
      </w:pPr>
      <w:r w:rsidRPr="00424AE2">
        <w:rPr>
          <w:rFonts w:ascii="Palatino Linotype" w:eastAsia="Palatino Linotype" w:hAnsi="Palatino Linotype" w:cs="Palatino Linotype"/>
          <w:sz w:val="22"/>
          <w:szCs w:val="22"/>
        </w:rPr>
        <w:t>“</w:t>
      </w:r>
      <w:r w:rsidRPr="00424AE2">
        <w:rPr>
          <w:rFonts w:ascii="Palatino Linotype" w:eastAsia="Palatino Linotype" w:hAnsi="Palatino Linotype" w:cs="Palatino Linotype"/>
          <w:b/>
          <w:i/>
          <w:sz w:val="22"/>
          <w:szCs w:val="22"/>
        </w:rPr>
        <w:t>CRITERIO 0002-11</w:t>
      </w:r>
      <w:r w:rsidR="004A6331" w:rsidRPr="00424AE2">
        <w:rPr>
          <w:rFonts w:ascii="Palatino Linotype" w:eastAsia="Palatino Linotype" w:hAnsi="Palatino Linotype" w:cs="Palatino Linotype"/>
          <w:b/>
          <w:i/>
          <w:sz w:val="22"/>
          <w:szCs w:val="22"/>
        </w:rPr>
        <w:t xml:space="preserve">. </w:t>
      </w:r>
      <w:r w:rsidRPr="00424AE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24AE2">
        <w:rPr>
          <w:rFonts w:ascii="Palatino Linotype" w:eastAsia="Palatino Linotype" w:hAnsi="Palatino Linotype" w:cs="Palatino Linotype"/>
          <w:i/>
          <w:sz w:val="22"/>
          <w:szCs w:val="22"/>
        </w:rPr>
        <w:t xml:space="preserve"> De </w:t>
      </w:r>
      <w:r w:rsidRPr="00424AE2">
        <w:rPr>
          <w:rFonts w:ascii="Palatino Linotype" w:eastAsia="Palatino Linotype" w:hAnsi="Palatino Linotype" w:cs="Palatino Linotype"/>
          <w:i/>
          <w:sz w:val="22"/>
          <w:szCs w:val="22"/>
        </w:rPr>
        <w:lastRenderedPageBreak/>
        <w:t>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424AE2" w:rsidRDefault="00B16908"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 xml:space="preserve">En </w:t>
      </w:r>
      <w:proofErr w:type="gramStart"/>
      <w:r w:rsidRPr="00424AE2">
        <w:rPr>
          <w:rFonts w:ascii="Palatino Linotype" w:eastAsia="Palatino Linotype" w:hAnsi="Palatino Linotype" w:cs="Palatino Linotype"/>
          <w:i/>
          <w:sz w:val="22"/>
          <w:szCs w:val="22"/>
        </w:rPr>
        <w:t>consecuencia</w:t>
      </w:r>
      <w:proofErr w:type="gramEnd"/>
      <w:r w:rsidRPr="00424AE2">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749B933" w14:textId="77777777" w:rsidR="00397333" w:rsidRPr="00424AE2" w:rsidRDefault="00B16908"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24AE2">
        <w:rPr>
          <w:rFonts w:ascii="Palatino Linotype" w:eastAsia="Palatino Linotype" w:hAnsi="Palatino Linotype" w:cs="Palatino Linotype"/>
          <w:i/>
          <w:sz w:val="22"/>
          <w:szCs w:val="22"/>
        </w:rPr>
        <w:t>que</w:t>
      </w:r>
      <w:proofErr w:type="gramEnd"/>
      <w:r w:rsidRPr="00424AE2">
        <w:rPr>
          <w:rFonts w:ascii="Palatino Linotype" w:eastAsia="Palatino Linotype" w:hAnsi="Palatino Linotype" w:cs="Palatino Linotype"/>
          <w:i/>
          <w:sz w:val="22"/>
          <w:szCs w:val="22"/>
        </w:rPr>
        <w:t xml:space="preserve"> en ejercicio de las atribuciones conferidas, sea generada por los Sujetos Obligados;</w:t>
      </w:r>
    </w:p>
    <w:p w14:paraId="4252D0AA" w14:textId="77777777" w:rsidR="00397333" w:rsidRPr="00424AE2" w:rsidRDefault="00B16908" w:rsidP="00956711">
      <w:pPr>
        <w:spacing w:line="276" w:lineRule="auto"/>
        <w:ind w:left="851" w:right="616"/>
        <w:jc w:val="both"/>
        <w:rPr>
          <w:rFonts w:ascii="Palatino Linotype" w:eastAsia="Palatino Linotype" w:hAnsi="Palatino Linotype" w:cs="Palatino Linotype"/>
          <w:b/>
          <w:i/>
          <w:sz w:val="22"/>
          <w:szCs w:val="22"/>
        </w:rPr>
      </w:pPr>
      <w:r w:rsidRPr="00424AE2">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424AE2">
        <w:rPr>
          <w:rFonts w:ascii="Palatino Linotype" w:eastAsia="Palatino Linotype" w:hAnsi="Palatino Linotype" w:cs="Palatino Linotype"/>
          <w:b/>
          <w:i/>
          <w:sz w:val="22"/>
          <w:szCs w:val="22"/>
        </w:rPr>
        <w:t>que</w:t>
      </w:r>
      <w:proofErr w:type="gramEnd"/>
      <w:r w:rsidRPr="00424AE2">
        <w:rPr>
          <w:rFonts w:ascii="Palatino Linotype" w:eastAsia="Palatino Linotype" w:hAnsi="Palatino Linotype" w:cs="Palatino Linotype"/>
          <w:b/>
          <w:i/>
          <w:sz w:val="22"/>
          <w:szCs w:val="22"/>
        </w:rPr>
        <w:t xml:space="preserve"> en ejercicio de las atribuciones conferidas, sea administrada por los Sujetos Obligados, y</w:t>
      </w:r>
    </w:p>
    <w:p w14:paraId="7E1BDC40" w14:textId="77777777" w:rsidR="00397333" w:rsidRPr="00424AE2" w:rsidRDefault="00B16908" w:rsidP="0095671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424AE2">
        <w:rPr>
          <w:rFonts w:ascii="Palatino Linotype" w:eastAsia="Palatino Linotype" w:hAnsi="Palatino Linotype" w:cs="Palatino Linotype"/>
          <w:b/>
          <w:i/>
          <w:sz w:val="22"/>
          <w:szCs w:val="22"/>
        </w:rPr>
        <w:t>que</w:t>
      </w:r>
      <w:proofErr w:type="gramEnd"/>
      <w:r w:rsidRPr="00424AE2">
        <w:rPr>
          <w:rFonts w:ascii="Palatino Linotype" w:eastAsia="Palatino Linotype" w:hAnsi="Palatino Linotype" w:cs="Palatino Linotype"/>
          <w:b/>
          <w:i/>
          <w:sz w:val="22"/>
          <w:szCs w:val="22"/>
        </w:rPr>
        <w:t xml:space="preserve"> en ejercicio de las atribuciones conferidas, se encuentre en posesión de los Sujetos Obligados</w:t>
      </w:r>
      <w:r w:rsidRPr="00424AE2">
        <w:rPr>
          <w:rFonts w:ascii="Palatino Linotype" w:eastAsia="Palatino Linotype" w:hAnsi="Palatino Linotype" w:cs="Palatino Linotype"/>
          <w:i/>
          <w:sz w:val="22"/>
          <w:szCs w:val="22"/>
        </w:rPr>
        <w:t>.” (Sic)</w:t>
      </w:r>
    </w:p>
    <w:p w14:paraId="0DDD82EE" w14:textId="77777777" w:rsidR="00397333" w:rsidRPr="00424AE2"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424AE2" w:rsidRDefault="00A27355" w:rsidP="00A27355">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Pr="00424AE2"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424AE2" w:rsidRDefault="00A27355" w:rsidP="00A27355">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w:t>
      </w:r>
      <w:r w:rsidRPr="00424AE2">
        <w:rPr>
          <w:rFonts w:ascii="Palatino Linotype" w:eastAsia="Palatino Linotype" w:hAnsi="Palatino Linotype" w:cs="Palatino Linotype"/>
          <w:sz w:val="22"/>
          <w:szCs w:val="22"/>
        </w:rPr>
        <w:lastRenderedPageBreak/>
        <w:t>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B82B624" w14:textId="2426C1FE" w:rsidR="00A27355" w:rsidRPr="00424AE2" w:rsidRDefault="00A27355" w:rsidP="00A27355">
      <w:pPr>
        <w:spacing w:before="240" w:after="240" w:line="360" w:lineRule="auto"/>
        <w:ind w:right="51"/>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Ahora bien, del análisis </w:t>
      </w:r>
      <w:r w:rsidR="00956711" w:rsidRPr="00424AE2">
        <w:rPr>
          <w:rFonts w:ascii="Palatino Linotype" w:eastAsia="Palatino Linotype" w:hAnsi="Palatino Linotype" w:cs="Palatino Linotype"/>
          <w:sz w:val="22"/>
          <w:szCs w:val="22"/>
        </w:rPr>
        <w:t>a</w:t>
      </w:r>
      <w:r w:rsidRPr="00424AE2">
        <w:rPr>
          <w:rFonts w:ascii="Palatino Linotype" w:eastAsia="Palatino Linotype" w:hAnsi="Palatino Linotype" w:cs="Palatino Linotype"/>
          <w:sz w:val="22"/>
          <w:szCs w:val="22"/>
        </w:rPr>
        <w:t xml:space="preserve"> la solicitud de información, motivo del recurso de revisión que ahora se resuelve, se advierte que la parte </w:t>
      </w:r>
      <w:r w:rsidRPr="00424AE2">
        <w:rPr>
          <w:rFonts w:ascii="Palatino Linotype" w:eastAsia="Palatino Linotype" w:hAnsi="Palatino Linotype" w:cs="Palatino Linotype"/>
          <w:b/>
          <w:sz w:val="22"/>
          <w:szCs w:val="22"/>
        </w:rPr>
        <w:t>Recurrente</w:t>
      </w:r>
      <w:r w:rsidRPr="00424AE2">
        <w:rPr>
          <w:rFonts w:ascii="Palatino Linotype" w:eastAsia="Palatino Linotype" w:hAnsi="Palatino Linotype" w:cs="Palatino Linotype"/>
          <w:sz w:val="22"/>
          <w:szCs w:val="22"/>
        </w:rPr>
        <w:t xml:space="preserve"> requirió al </w:t>
      </w:r>
      <w:r w:rsidRPr="00424AE2">
        <w:rPr>
          <w:rFonts w:ascii="Palatino Linotype" w:eastAsia="Palatino Linotype" w:hAnsi="Palatino Linotype" w:cs="Palatino Linotype"/>
          <w:b/>
          <w:sz w:val="22"/>
          <w:szCs w:val="22"/>
        </w:rPr>
        <w:t xml:space="preserve">Sujeto Obligado </w:t>
      </w:r>
      <w:r w:rsidRPr="00424AE2">
        <w:rPr>
          <w:rFonts w:ascii="Palatino Linotype" w:eastAsia="Palatino Linotype" w:hAnsi="Palatino Linotype" w:cs="Palatino Linotype"/>
          <w:sz w:val="22"/>
          <w:szCs w:val="22"/>
        </w:rPr>
        <w:t xml:space="preserve">le proporcione, </w:t>
      </w:r>
      <w:r w:rsidR="002359C0" w:rsidRPr="00424AE2">
        <w:rPr>
          <w:rFonts w:ascii="Palatino Linotype" w:eastAsia="Palatino Linotype" w:hAnsi="Palatino Linotype" w:cs="Palatino Linotype"/>
          <w:sz w:val="22"/>
          <w:szCs w:val="22"/>
        </w:rPr>
        <w:t>l</w:t>
      </w:r>
      <w:r w:rsidRPr="00424AE2">
        <w:rPr>
          <w:rFonts w:ascii="Palatino Linotype" w:eastAsia="Palatino Linotype" w:hAnsi="Palatino Linotype" w:cs="Palatino Linotype"/>
          <w:sz w:val="22"/>
          <w:szCs w:val="22"/>
        </w:rPr>
        <w:t>o siguiente:</w:t>
      </w:r>
    </w:p>
    <w:p w14:paraId="038DFF73" w14:textId="344B6896" w:rsidR="00462FEA" w:rsidRPr="00424AE2" w:rsidRDefault="002359C0" w:rsidP="00F51652">
      <w:pPr>
        <w:pStyle w:val="Prrafodelista"/>
        <w:numPr>
          <w:ilvl w:val="0"/>
          <w:numId w:val="14"/>
        </w:numPr>
        <w:spacing w:line="360" w:lineRule="auto"/>
        <w:ind w:right="49"/>
        <w:jc w:val="both"/>
        <w:rPr>
          <w:rFonts w:ascii="Palatino Linotype" w:eastAsia="Palatino Linotype" w:hAnsi="Palatino Linotype" w:cs="Palatino Linotype"/>
          <w:b/>
          <w:bCs/>
        </w:rPr>
      </w:pPr>
      <w:r w:rsidRPr="00424AE2">
        <w:rPr>
          <w:rFonts w:ascii="Palatino Linotype" w:eastAsia="Palatino Linotype" w:hAnsi="Palatino Linotype" w:cs="Palatino Linotype"/>
          <w:b/>
          <w:bCs/>
        </w:rPr>
        <w:t xml:space="preserve">Cuantas </w:t>
      </w:r>
      <w:r w:rsidR="00F17047" w:rsidRPr="00424AE2">
        <w:rPr>
          <w:rFonts w:ascii="Palatino Linotype" w:eastAsia="Palatino Linotype" w:hAnsi="Palatino Linotype" w:cs="Palatino Linotype"/>
          <w:b/>
          <w:bCs/>
        </w:rPr>
        <w:t xml:space="preserve">personas integran la plantilla de cada dependencia, </w:t>
      </w:r>
      <w:r w:rsidRPr="00424AE2">
        <w:rPr>
          <w:rFonts w:ascii="Palatino Linotype" w:eastAsia="Palatino Linotype" w:hAnsi="Palatino Linotype" w:cs="Palatino Linotype"/>
          <w:b/>
          <w:bCs/>
        </w:rPr>
        <w:t>área</w:t>
      </w:r>
      <w:r w:rsidR="00F17047" w:rsidRPr="00424AE2">
        <w:rPr>
          <w:rFonts w:ascii="Palatino Linotype" w:eastAsia="Palatino Linotype" w:hAnsi="Palatino Linotype" w:cs="Palatino Linotype"/>
          <w:b/>
          <w:bCs/>
        </w:rPr>
        <w:t xml:space="preserve"> u oficina enunciadas </w:t>
      </w:r>
      <w:r w:rsidRPr="00424AE2">
        <w:rPr>
          <w:rFonts w:ascii="Palatino Linotype" w:eastAsia="Palatino Linotype" w:hAnsi="Palatino Linotype" w:cs="Palatino Linotype"/>
          <w:b/>
          <w:bCs/>
        </w:rPr>
        <w:t xml:space="preserve">en el artículo 55 del Bando Municipal de Chicoloapan 2024, </w:t>
      </w:r>
      <w:r w:rsidR="00F17047" w:rsidRPr="00424AE2">
        <w:rPr>
          <w:rFonts w:ascii="Palatino Linotype" w:eastAsia="Palatino Linotype" w:hAnsi="Palatino Linotype" w:cs="Palatino Linotype"/>
          <w:b/>
          <w:bCs/>
        </w:rPr>
        <w:t>que recibieron remuneración económica po</w:t>
      </w:r>
      <w:r w:rsidR="00F17047" w:rsidRPr="00424AE2">
        <w:rPr>
          <w:rFonts w:ascii="Palatino Linotype" w:eastAsia="Palatino Linotype" w:hAnsi="Palatino Linotype" w:cs="Palatino Linotype"/>
          <w:b/>
          <w:bCs/>
          <w:u w:val="single"/>
        </w:rPr>
        <w:t>r parte del gobierno municipal de Chicoloapan</w:t>
      </w:r>
      <w:r w:rsidR="00F17047" w:rsidRPr="00424AE2">
        <w:rPr>
          <w:rFonts w:ascii="Palatino Linotype" w:eastAsia="Palatino Linotype" w:hAnsi="Palatino Linotype" w:cs="Palatino Linotype"/>
          <w:b/>
          <w:bCs/>
        </w:rPr>
        <w:t xml:space="preserve"> en la quincena comprendida del </w:t>
      </w:r>
      <w:r w:rsidRPr="00424AE2">
        <w:rPr>
          <w:rFonts w:ascii="Palatino Linotype" w:eastAsia="Palatino Linotype" w:hAnsi="Palatino Linotype" w:cs="Palatino Linotype"/>
          <w:b/>
          <w:bCs/>
        </w:rPr>
        <w:t>día</w:t>
      </w:r>
      <w:r w:rsidR="00F17047" w:rsidRPr="00424AE2">
        <w:rPr>
          <w:rFonts w:ascii="Palatino Linotype" w:eastAsia="Palatino Linotype" w:hAnsi="Palatino Linotype" w:cs="Palatino Linotype"/>
          <w:b/>
          <w:bCs/>
        </w:rPr>
        <w:t xml:space="preserve"> 15 al 31 de julio del año 2024. </w:t>
      </w:r>
    </w:p>
    <w:p w14:paraId="20FD0062" w14:textId="77777777" w:rsidR="002359C0" w:rsidRPr="00424AE2" w:rsidRDefault="002359C0" w:rsidP="002359C0">
      <w:pPr>
        <w:pStyle w:val="Prrafodelista"/>
        <w:spacing w:line="360" w:lineRule="auto"/>
        <w:ind w:left="720" w:right="49"/>
        <w:jc w:val="both"/>
        <w:rPr>
          <w:rFonts w:ascii="Palatino Linotype" w:eastAsia="Palatino Linotype" w:hAnsi="Palatino Linotype" w:cs="Palatino Linotype"/>
        </w:rPr>
      </w:pPr>
    </w:p>
    <w:p w14:paraId="522629DF" w14:textId="4A012953" w:rsidR="00EB03B3" w:rsidRPr="00424AE2" w:rsidRDefault="00D6232B" w:rsidP="00EB03B3">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En</w:t>
      </w:r>
      <w:r w:rsidR="00A27355" w:rsidRPr="00424AE2">
        <w:rPr>
          <w:rFonts w:ascii="Palatino Linotype" w:eastAsia="Palatino Linotype" w:hAnsi="Palatino Linotype" w:cs="Palatino Linotype"/>
          <w:sz w:val="22"/>
          <w:szCs w:val="22"/>
        </w:rPr>
        <w:t xml:space="preserve"> tal sentido, </w:t>
      </w:r>
      <w:r w:rsidR="00BD0D0D" w:rsidRPr="00424AE2">
        <w:rPr>
          <w:rFonts w:ascii="Palatino Linotype" w:eastAsia="Palatino Linotype" w:hAnsi="Palatino Linotype" w:cs="Palatino Linotype"/>
          <w:sz w:val="22"/>
          <w:szCs w:val="22"/>
        </w:rPr>
        <w:t xml:space="preserve">el </w:t>
      </w:r>
      <w:r w:rsidR="00BD0D0D" w:rsidRPr="00424AE2">
        <w:rPr>
          <w:rFonts w:ascii="Palatino Linotype" w:eastAsia="Palatino Linotype" w:hAnsi="Palatino Linotype" w:cs="Palatino Linotype"/>
          <w:b/>
          <w:sz w:val="22"/>
          <w:szCs w:val="22"/>
        </w:rPr>
        <w:t>Sujeto Obligado</w:t>
      </w:r>
      <w:r w:rsidR="00BD0D0D" w:rsidRPr="00424AE2">
        <w:rPr>
          <w:rFonts w:ascii="Palatino Linotype" w:eastAsia="Palatino Linotype" w:hAnsi="Palatino Linotype" w:cs="Palatino Linotype"/>
          <w:sz w:val="22"/>
          <w:szCs w:val="22"/>
        </w:rPr>
        <w:t xml:space="preserve"> </w:t>
      </w:r>
      <w:r w:rsidR="00530055" w:rsidRPr="00424AE2">
        <w:rPr>
          <w:rFonts w:ascii="Palatino Linotype" w:eastAsia="Palatino Linotype" w:hAnsi="Palatino Linotype" w:cs="Palatino Linotype"/>
          <w:sz w:val="22"/>
          <w:szCs w:val="22"/>
        </w:rPr>
        <w:t xml:space="preserve">a través </w:t>
      </w:r>
      <w:r w:rsidR="00EB03B3" w:rsidRPr="00424AE2">
        <w:rPr>
          <w:rFonts w:ascii="Palatino Linotype" w:eastAsia="Palatino Linotype" w:hAnsi="Palatino Linotype" w:cs="Palatino Linotype"/>
          <w:sz w:val="22"/>
          <w:szCs w:val="22"/>
        </w:rPr>
        <w:t xml:space="preserve">el </w:t>
      </w:r>
      <w:proofErr w:type="gramStart"/>
      <w:r w:rsidR="00EB03B3" w:rsidRPr="00424AE2">
        <w:rPr>
          <w:rFonts w:ascii="Palatino Linotype" w:eastAsia="Palatino Linotype" w:hAnsi="Palatino Linotype" w:cs="Palatino Linotype"/>
          <w:sz w:val="22"/>
          <w:szCs w:val="22"/>
        </w:rPr>
        <w:t>Jefe</w:t>
      </w:r>
      <w:proofErr w:type="gramEnd"/>
      <w:r w:rsidR="00EB03B3" w:rsidRPr="00424AE2">
        <w:rPr>
          <w:rFonts w:ascii="Palatino Linotype" w:eastAsia="Palatino Linotype" w:hAnsi="Palatino Linotype" w:cs="Palatino Linotype"/>
          <w:sz w:val="22"/>
          <w:szCs w:val="22"/>
        </w:rPr>
        <w:t xml:space="preserve"> de Recursos Humanos del Instituto Municipal de Cultura Física y Deporte de Chicoloapan, informó que </w:t>
      </w:r>
      <w:r w:rsidR="00EB03B3" w:rsidRPr="00424AE2">
        <w:rPr>
          <w:rFonts w:ascii="Palatino Linotype" w:eastAsia="Palatino Linotype" w:hAnsi="Palatino Linotype" w:cs="Palatino Linotype"/>
          <w:b/>
          <w:sz w:val="22"/>
          <w:szCs w:val="22"/>
          <w:u w:val="single"/>
        </w:rPr>
        <w:t>no cuenta con servidores públicos que obtenga alguna remuneración por parte del gobierno municipal de Chicoloapan</w:t>
      </w:r>
      <w:r w:rsidR="00EB03B3" w:rsidRPr="00424AE2">
        <w:rPr>
          <w:rFonts w:ascii="Palatino Linotype" w:eastAsia="Palatino Linotype" w:hAnsi="Palatino Linotype" w:cs="Palatino Linotype"/>
          <w:sz w:val="22"/>
          <w:szCs w:val="22"/>
        </w:rPr>
        <w:t xml:space="preserve">, en la quincena comprendida del 15 al 31 de julio del año 2024. </w:t>
      </w:r>
    </w:p>
    <w:p w14:paraId="669F5D03" w14:textId="7264EA45" w:rsidR="00530055" w:rsidRPr="00424AE2" w:rsidRDefault="00530055" w:rsidP="00D6232B">
      <w:pPr>
        <w:spacing w:line="360" w:lineRule="auto"/>
        <w:ind w:right="49"/>
        <w:jc w:val="both"/>
        <w:rPr>
          <w:rFonts w:ascii="Palatino Linotype" w:eastAsia="Palatino Linotype" w:hAnsi="Palatino Linotype" w:cs="Palatino Linotype"/>
          <w:sz w:val="22"/>
          <w:szCs w:val="22"/>
        </w:rPr>
      </w:pPr>
    </w:p>
    <w:p w14:paraId="1EC4FBB2" w14:textId="01DDC1DF" w:rsidR="001E4D34" w:rsidRPr="00424AE2" w:rsidRDefault="001E4D34" w:rsidP="001E4D34">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Inconforme con la respuesta el hoy </w:t>
      </w:r>
      <w:r w:rsidRPr="00424AE2">
        <w:rPr>
          <w:rFonts w:ascii="Palatino Linotype" w:eastAsia="Palatino Linotype" w:hAnsi="Palatino Linotype" w:cs="Palatino Linotype"/>
          <w:b/>
          <w:sz w:val="22"/>
          <w:szCs w:val="22"/>
        </w:rPr>
        <w:t>Recurrente</w:t>
      </w:r>
      <w:r w:rsidRPr="00424AE2">
        <w:rPr>
          <w:rFonts w:ascii="Palatino Linotype" w:eastAsia="Palatino Linotype" w:hAnsi="Palatino Linotype" w:cs="Palatino Linotype"/>
          <w:sz w:val="22"/>
          <w:szCs w:val="22"/>
        </w:rPr>
        <w:t xml:space="preserve">, interpuso el recurso de revisión que se analiza en el presente asunto, </w:t>
      </w:r>
      <w:r w:rsidR="00EB03B3" w:rsidRPr="00424AE2">
        <w:rPr>
          <w:rFonts w:ascii="Palatino Linotype" w:eastAsia="Palatino Linotype" w:hAnsi="Palatino Linotype" w:cs="Palatino Linotype"/>
          <w:sz w:val="22"/>
          <w:szCs w:val="22"/>
        </w:rPr>
        <w:t>en el que expreso “</w:t>
      </w:r>
      <w:r w:rsidR="00EB03B3" w:rsidRPr="00424AE2">
        <w:rPr>
          <w:rFonts w:ascii="Palatino Linotype" w:eastAsia="Palatino Linotype" w:hAnsi="Palatino Linotype" w:cs="Palatino Linotype"/>
          <w:i/>
          <w:iCs/>
          <w:sz w:val="22"/>
          <w:szCs w:val="22"/>
        </w:rPr>
        <w:t xml:space="preserve">De acuerdo a la respuesta mediante el oficio CHIC/RH/146/2024 expedido y firmado por la Jefa de Recursos Humanos del IMCUFIDE de Chicoloapan, donde especifica lo siguiente: NO CUENTAN CON SERVIDORES PUBLICOS QUE </w:t>
      </w:r>
      <w:r w:rsidR="00EB03B3" w:rsidRPr="00424AE2">
        <w:rPr>
          <w:rFonts w:ascii="Palatino Linotype" w:eastAsia="Palatino Linotype" w:hAnsi="Palatino Linotype" w:cs="Palatino Linotype"/>
          <w:i/>
          <w:iCs/>
          <w:sz w:val="22"/>
          <w:szCs w:val="22"/>
        </w:rPr>
        <w:lastRenderedPageBreak/>
        <w:t>OBETENGAN ALGUNA REMUNERACION ECONOMICA POR PARTE DEL GOBERNO DE CHICOLOAPAN, ¿</w:t>
      </w:r>
      <w:proofErr w:type="spellStart"/>
      <w:r w:rsidR="00EB03B3" w:rsidRPr="00424AE2">
        <w:rPr>
          <w:rFonts w:ascii="Palatino Linotype" w:eastAsia="Palatino Linotype" w:hAnsi="Palatino Linotype" w:cs="Palatino Linotype"/>
          <w:i/>
          <w:iCs/>
          <w:sz w:val="22"/>
          <w:szCs w:val="22"/>
        </w:rPr>
        <w:t>quienes</w:t>
      </w:r>
      <w:proofErr w:type="spellEnd"/>
      <w:r w:rsidR="00EB03B3" w:rsidRPr="00424AE2">
        <w:rPr>
          <w:rFonts w:ascii="Palatino Linotype" w:eastAsia="Palatino Linotype" w:hAnsi="Palatino Linotype" w:cs="Palatino Linotype"/>
          <w:i/>
          <w:iCs/>
          <w:sz w:val="22"/>
          <w:szCs w:val="22"/>
        </w:rPr>
        <w:t xml:space="preserve"> son y cuantas son las personas que ahí laboran y se ostentan con un gafete de servidor </w:t>
      </w:r>
      <w:proofErr w:type="spellStart"/>
      <w:r w:rsidR="00EB03B3" w:rsidRPr="00424AE2">
        <w:rPr>
          <w:rFonts w:ascii="Palatino Linotype" w:eastAsia="Palatino Linotype" w:hAnsi="Palatino Linotype" w:cs="Palatino Linotype"/>
          <w:i/>
          <w:iCs/>
          <w:sz w:val="22"/>
          <w:szCs w:val="22"/>
        </w:rPr>
        <w:t>publico</w:t>
      </w:r>
      <w:proofErr w:type="spellEnd"/>
      <w:r w:rsidR="00EB03B3" w:rsidRPr="00424AE2">
        <w:rPr>
          <w:rFonts w:ascii="Palatino Linotype" w:eastAsia="Palatino Linotype" w:hAnsi="Palatino Linotype" w:cs="Palatino Linotype"/>
          <w:i/>
          <w:iCs/>
          <w:sz w:val="22"/>
          <w:szCs w:val="22"/>
        </w:rPr>
        <w:t>? ¿</w:t>
      </w:r>
      <w:r w:rsidR="00EB03B3" w:rsidRPr="00424AE2">
        <w:rPr>
          <w:rFonts w:ascii="Palatino Linotype" w:eastAsia="Palatino Linotype" w:hAnsi="Palatino Linotype" w:cs="Palatino Linotype"/>
          <w:b/>
          <w:i/>
          <w:iCs/>
          <w:sz w:val="22"/>
          <w:szCs w:val="22"/>
          <w:u w:val="single"/>
        </w:rPr>
        <w:t>Que acaso el gobierno municipal no ha depositado el recurso destinado en el presupuesto para el IMCUFIDE?</w:t>
      </w:r>
      <w:r w:rsidR="00EB03B3" w:rsidRPr="00424AE2">
        <w:rPr>
          <w:rFonts w:ascii="Palatino Linotype" w:eastAsia="Palatino Linotype" w:hAnsi="Palatino Linotype" w:cs="Palatino Linotype"/>
          <w:b/>
          <w:sz w:val="22"/>
          <w:szCs w:val="22"/>
          <w:u w:val="single"/>
        </w:rPr>
        <w:t>”.</w:t>
      </w:r>
      <w:r w:rsidR="00EB03B3" w:rsidRPr="00424AE2">
        <w:rPr>
          <w:rFonts w:ascii="Palatino Linotype" w:eastAsia="Palatino Linotype" w:hAnsi="Palatino Linotype" w:cs="Palatino Linotype"/>
          <w:sz w:val="22"/>
          <w:szCs w:val="22"/>
        </w:rPr>
        <w:t xml:space="preserve"> </w:t>
      </w:r>
    </w:p>
    <w:p w14:paraId="5A844AC3" w14:textId="77777777" w:rsidR="00530055" w:rsidRPr="00424AE2" w:rsidRDefault="00530055" w:rsidP="001E4D34">
      <w:pPr>
        <w:spacing w:line="360" w:lineRule="auto"/>
        <w:ind w:right="49"/>
        <w:jc w:val="both"/>
        <w:rPr>
          <w:rFonts w:ascii="Palatino Linotype" w:eastAsia="Palatino Linotype" w:hAnsi="Palatino Linotype" w:cs="Palatino Linotype"/>
          <w:sz w:val="22"/>
          <w:szCs w:val="22"/>
        </w:rPr>
      </w:pPr>
    </w:p>
    <w:p w14:paraId="314A61A5" w14:textId="4314669E" w:rsidR="00530055" w:rsidRPr="00424AE2" w:rsidRDefault="001E4D34" w:rsidP="00280452">
      <w:pPr>
        <w:spacing w:line="360" w:lineRule="auto"/>
        <w:ind w:right="49"/>
        <w:jc w:val="both"/>
        <w:rPr>
          <w:rFonts w:ascii="Palatino Linotype" w:eastAsia="Palatino Linotype" w:hAnsi="Palatino Linotype" w:cs="Palatino Linotype"/>
          <w:b/>
          <w:sz w:val="22"/>
          <w:szCs w:val="22"/>
          <w:u w:val="single"/>
        </w:rPr>
      </w:pPr>
      <w:r w:rsidRPr="00424AE2">
        <w:rPr>
          <w:rFonts w:ascii="Palatino Linotype" w:eastAsia="Palatino Linotype" w:hAnsi="Palatino Linotype" w:cs="Palatino Linotype"/>
          <w:sz w:val="22"/>
          <w:szCs w:val="22"/>
        </w:rPr>
        <w:t xml:space="preserve">Es así </w:t>
      </w:r>
      <w:r w:rsidR="006668B4" w:rsidRPr="00424AE2">
        <w:rPr>
          <w:rFonts w:ascii="Palatino Linotype" w:eastAsia="Palatino Linotype" w:hAnsi="Palatino Linotype" w:cs="Palatino Linotype"/>
          <w:sz w:val="22"/>
          <w:szCs w:val="22"/>
        </w:rPr>
        <w:t>como</w:t>
      </w:r>
      <w:r w:rsidRPr="00424AE2">
        <w:rPr>
          <w:rFonts w:ascii="Palatino Linotype" w:eastAsia="Palatino Linotype" w:hAnsi="Palatino Linotype" w:cs="Palatino Linotype"/>
          <w:sz w:val="22"/>
          <w:szCs w:val="22"/>
        </w:rPr>
        <w:t xml:space="preserve">, el </w:t>
      </w:r>
      <w:r w:rsidRPr="00424AE2">
        <w:rPr>
          <w:rFonts w:ascii="Palatino Linotype" w:eastAsia="Palatino Linotype" w:hAnsi="Palatino Linotype" w:cs="Palatino Linotype"/>
          <w:b/>
          <w:bCs/>
          <w:sz w:val="22"/>
          <w:szCs w:val="22"/>
        </w:rPr>
        <w:t>Recurrente</w:t>
      </w:r>
      <w:r w:rsidRPr="00424AE2">
        <w:rPr>
          <w:rFonts w:ascii="Palatino Linotype" w:eastAsia="Palatino Linotype" w:hAnsi="Palatino Linotype" w:cs="Palatino Linotype"/>
          <w:sz w:val="22"/>
          <w:szCs w:val="22"/>
        </w:rPr>
        <w:t xml:space="preserve"> no realizó manifestaciones, alegatos o pruebas que a su derecho convinieran y por su parte el </w:t>
      </w:r>
      <w:r w:rsidRPr="00424AE2">
        <w:rPr>
          <w:rFonts w:ascii="Palatino Linotype" w:eastAsia="Palatino Linotype" w:hAnsi="Palatino Linotype" w:cs="Palatino Linotype"/>
          <w:b/>
          <w:sz w:val="22"/>
          <w:szCs w:val="22"/>
        </w:rPr>
        <w:t xml:space="preserve">Sujeto Obligado </w:t>
      </w:r>
      <w:r w:rsidR="00956711" w:rsidRPr="00424AE2">
        <w:rPr>
          <w:rFonts w:ascii="Palatino Linotype" w:eastAsia="Palatino Linotype" w:hAnsi="Palatino Linotype" w:cs="Palatino Linotype"/>
          <w:bCs/>
          <w:sz w:val="22"/>
          <w:szCs w:val="22"/>
        </w:rPr>
        <w:t>ratificó</w:t>
      </w:r>
      <w:r w:rsidR="00EB03B3" w:rsidRPr="00424AE2">
        <w:rPr>
          <w:rFonts w:ascii="Palatino Linotype" w:eastAsia="Palatino Linotype" w:hAnsi="Palatino Linotype" w:cs="Palatino Linotype"/>
          <w:bCs/>
          <w:sz w:val="22"/>
          <w:szCs w:val="22"/>
        </w:rPr>
        <w:t xml:space="preserve"> su respuesta inicial, precisando que el Instituto Municipal de Cultura Física y Deporte de Chicoloapan, </w:t>
      </w:r>
      <w:r w:rsidR="00EB03B3" w:rsidRPr="00424AE2">
        <w:rPr>
          <w:rFonts w:ascii="Palatino Linotype" w:eastAsia="Palatino Linotype" w:hAnsi="Palatino Linotype" w:cs="Palatino Linotype"/>
          <w:b/>
          <w:bCs/>
          <w:sz w:val="22"/>
          <w:szCs w:val="22"/>
          <w:u w:val="single"/>
        </w:rPr>
        <w:t>es un organismo público descentralizado que tiene sus finanzas independientes al Ayuntamiento de Chicoloapan, por lo que esta es de los recursos obtenidos de manera directa por el Instituto.</w:t>
      </w:r>
    </w:p>
    <w:p w14:paraId="3FDE5F81" w14:textId="77777777" w:rsidR="001725B0" w:rsidRPr="00424AE2" w:rsidRDefault="001725B0" w:rsidP="00280452">
      <w:pPr>
        <w:spacing w:line="360" w:lineRule="auto"/>
        <w:ind w:right="49"/>
        <w:jc w:val="both"/>
        <w:rPr>
          <w:rFonts w:ascii="Palatino Linotype" w:eastAsia="Palatino Linotype" w:hAnsi="Palatino Linotype" w:cs="Palatino Linotype"/>
          <w:sz w:val="22"/>
          <w:szCs w:val="22"/>
        </w:rPr>
      </w:pPr>
    </w:p>
    <w:p w14:paraId="55ACB95F" w14:textId="392864A4" w:rsidR="00254589" w:rsidRPr="00424AE2" w:rsidRDefault="00254589" w:rsidP="00280452">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Aclarado lo anterior, se procede al análisis de la respuesta emitida por el </w:t>
      </w:r>
      <w:r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sidRPr="00424AE2">
        <w:rPr>
          <w:rFonts w:ascii="Palatino Linotype" w:eastAsia="Palatino Linotype" w:hAnsi="Palatino Linotype" w:cs="Palatino Linotype"/>
          <w:b/>
          <w:sz w:val="22"/>
          <w:szCs w:val="22"/>
        </w:rPr>
        <w:t>Recurrente</w:t>
      </w:r>
      <w:r w:rsidRPr="00424AE2">
        <w:rPr>
          <w:rFonts w:ascii="Palatino Linotype" w:eastAsia="Palatino Linotype" w:hAnsi="Palatino Linotype" w:cs="Palatino Linotype"/>
          <w:sz w:val="22"/>
          <w:szCs w:val="22"/>
        </w:rPr>
        <w:t>, o en su defecto ordenar la entrega del o los documentos que lo satisfagan.</w:t>
      </w:r>
    </w:p>
    <w:p w14:paraId="718AAD0C" w14:textId="77777777" w:rsidR="00254589" w:rsidRPr="00424AE2" w:rsidRDefault="00254589" w:rsidP="00280452">
      <w:pPr>
        <w:spacing w:line="360" w:lineRule="auto"/>
        <w:ind w:right="49"/>
        <w:jc w:val="both"/>
        <w:rPr>
          <w:rFonts w:ascii="Palatino Linotype" w:eastAsia="Palatino Linotype" w:hAnsi="Palatino Linotype" w:cs="Palatino Linotype"/>
          <w:sz w:val="22"/>
          <w:szCs w:val="22"/>
        </w:rPr>
      </w:pPr>
    </w:p>
    <w:p w14:paraId="1C062693" w14:textId="70B38F62" w:rsidR="00EB03B3" w:rsidRPr="00424AE2" w:rsidRDefault="008E1D40" w:rsidP="00EB03B3">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Una vez precisado lo anterior, conviene señalar que de conformidad con el artículo </w:t>
      </w:r>
      <w:r w:rsidR="00EB03B3" w:rsidRPr="00424AE2">
        <w:rPr>
          <w:rFonts w:ascii="Palatino Linotype" w:eastAsia="Palatino Linotype" w:hAnsi="Palatino Linotype" w:cs="Palatino Linotype"/>
          <w:sz w:val="22"/>
          <w:szCs w:val="22"/>
        </w:rPr>
        <w:t xml:space="preserve">55 del Bando Municipal de Chicoloapan, son organismos públicos descentralizados de la Administración Pública Municipal, los siguientes: </w:t>
      </w:r>
    </w:p>
    <w:p w14:paraId="4CA902B1" w14:textId="77777777" w:rsidR="00EB03B3" w:rsidRPr="00424AE2" w:rsidRDefault="00EB03B3" w:rsidP="00EB03B3">
      <w:pPr>
        <w:spacing w:line="360" w:lineRule="auto"/>
        <w:jc w:val="both"/>
        <w:rPr>
          <w:rFonts w:ascii="Palatino Linotype" w:eastAsia="Palatino Linotype" w:hAnsi="Palatino Linotype" w:cs="Palatino Linotype"/>
          <w:sz w:val="22"/>
          <w:szCs w:val="22"/>
        </w:rPr>
      </w:pPr>
    </w:p>
    <w:p w14:paraId="302816F4" w14:textId="1862057F" w:rsidR="00EB03B3" w:rsidRPr="00424AE2" w:rsidRDefault="00EB03B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i/>
          <w:iCs/>
          <w:sz w:val="22"/>
          <w:szCs w:val="22"/>
        </w:rPr>
        <w:t xml:space="preserve">I. </w:t>
      </w:r>
      <w:r w:rsidRPr="00424AE2">
        <w:rPr>
          <w:rFonts w:ascii="Palatino Linotype" w:eastAsia="Palatino Linotype" w:hAnsi="Palatino Linotype" w:cs="Palatino Linotype"/>
          <w:b/>
          <w:bCs/>
          <w:i/>
          <w:iCs/>
          <w:sz w:val="22"/>
          <w:szCs w:val="22"/>
        </w:rPr>
        <w:t>El Sistema Municipal para el Desarrollo Integral de la Familia de Chicoloapan</w:t>
      </w:r>
      <w:r w:rsidRPr="00424AE2">
        <w:rPr>
          <w:rFonts w:ascii="Palatino Linotype" w:eastAsia="Palatino Linotype" w:hAnsi="Palatino Linotype" w:cs="Palatino Linotype"/>
          <w:i/>
          <w:iCs/>
          <w:sz w:val="22"/>
          <w:szCs w:val="22"/>
        </w:rPr>
        <w:t xml:space="preserve">, es un organismo público descentralizado de carácter público municipal, de asistencia social, con una personalidad y un patrimonio propio, otorga atención permanente a la población y en especial a los grupos vulnerables, brindándoles servicios integrales de asistencia social, enmarcados dentro de los </w:t>
      </w:r>
      <w:r w:rsidRPr="00424AE2">
        <w:rPr>
          <w:rFonts w:ascii="Palatino Linotype" w:eastAsia="Palatino Linotype" w:hAnsi="Palatino Linotype" w:cs="Palatino Linotype"/>
          <w:i/>
          <w:iCs/>
          <w:sz w:val="22"/>
          <w:szCs w:val="22"/>
        </w:rPr>
        <w:lastRenderedPageBreak/>
        <w:t>Programas Básicos del Sistema para el Desarrollo Integral de la Familia en el Estado de México;</w:t>
      </w:r>
    </w:p>
    <w:p w14:paraId="7AE126AF" w14:textId="799887F2" w:rsidR="00EB03B3" w:rsidRPr="00424AE2" w:rsidRDefault="00EB03B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i/>
          <w:iCs/>
          <w:sz w:val="22"/>
          <w:szCs w:val="22"/>
        </w:rPr>
        <w:t xml:space="preserve">II. </w:t>
      </w:r>
      <w:r w:rsidRPr="00424AE2">
        <w:rPr>
          <w:rFonts w:ascii="Palatino Linotype" w:eastAsia="Palatino Linotype" w:hAnsi="Palatino Linotype" w:cs="Palatino Linotype"/>
          <w:b/>
          <w:bCs/>
          <w:i/>
          <w:iCs/>
          <w:sz w:val="22"/>
          <w:szCs w:val="22"/>
        </w:rPr>
        <w:t>El Organismo Público Descentralizado para la prestación de los servicios de Agua Potable, Alcantarillado y Saneamiento (OPDAPAS)</w:t>
      </w:r>
      <w:r w:rsidRPr="00424AE2">
        <w:rPr>
          <w:rFonts w:ascii="Palatino Linotype" w:eastAsia="Palatino Linotype" w:hAnsi="Palatino Linotype" w:cs="Palatino Linotype"/>
          <w:i/>
          <w:iCs/>
          <w:sz w:val="22"/>
          <w:szCs w:val="22"/>
        </w:rPr>
        <w:t>, tiene a su cargo y bajo su responsabilidad la prestación, control y vigilancia de los servicios de suministro de agua potable, drenaje, alcantarillado, tratamiento y disposición de aguas residuales dentro del territorio municipal, de conformidad con la Ley del Agua para el Estado de México y Municipios y demás disposiciones aplicables;</w:t>
      </w:r>
    </w:p>
    <w:p w14:paraId="58E554A0" w14:textId="5C1251CB" w:rsidR="00EB03B3" w:rsidRPr="00424AE2" w:rsidRDefault="00EB03B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b/>
          <w:bCs/>
          <w:i/>
          <w:iCs/>
          <w:sz w:val="22"/>
          <w:szCs w:val="22"/>
          <w:u w:val="single"/>
        </w:rPr>
        <w:t>III. El Instituto Municipal de la Cultura Física y Deporte (IMCUFIDE),</w:t>
      </w:r>
      <w:r w:rsidRPr="00424AE2">
        <w:rPr>
          <w:rFonts w:ascii="Palatino Linotype" w:eastAsia="Palatino Linotype" w:hAnsi="Palatino Linotype" w:cs="Palatino Linotype"/>
          <w:i/>
          <w:iCs/>
          <w:sz w:val="22"/>
          <w:szCs w:val="22"/>
        </w:rPr>
        <w:t xml:space="preserve"> es un organismo público descentralizado del gobierno municipal, con personalidad jurídica y patrimonio propios, que tiene por objeto promover el desarrollo y adopción de una cultura física, ejecutar las políticas que orienten la promoción y el impulso del deporte, fomentando la participación de los sectores público, social y privado; así como promover los programas de actividades físicas para la salud, la recreación y el deporte.</w:t>
      </w:r>
    </w:p>
    <w:p w14:paraId="39F3E27E" w14:textId="77777777" w:rsidR="00EB03B3" w:rsidRPr="00424AE2" w:rsidRDefault="00EB03B3" w:rsidP="000A16ED">
      <w:pPr>
        <w:spacing w:line="360" w:lineRule="auto"/>
        <w:jc w:val="both"/>
        <w:rPr>
          <w:rFonts w:ascii="Palatino Linotype" w:eastAsia="Palatino Linotype" w:hAnsi="Palatino Linotype" w:cs="Palatino Linotype"/>
          <w:sz w:val="22"/>
          <w:szCs w:val="22"/>
        </w:rPr>
      </w:pPr>
    </w:p>
    <w:p w14:paraId="56EF0347" w14:textId="5DC919DF" w:rsidR="00EB03B3" w:rsidRPr="00424AE2" w:rsidRDefault="005C0173" w:rsidP="005C0173">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De lo anterior se advierte que el Instituto Municipal de la Cultura Física y Deporte (IMCUFIDE), es un organismo público descentralizado del gobierno municipal, tal y como lo refiere el </w:t>
      </w:r>
      <w:r w:rsidRPr="00424AE2">
        <w:rPr>
          <w:rFonts w:ascii="Palatino Linotype" w:eastAsia="Palatino Linotype" w:hAnsi="Palatino Linotype" w:cs="Palatino Linotype"/>
          <w:b/>
          <w:bCs/>
          <w:sz w:val="22"/>
          <w:szCs w:val="22"/>
        </w:rPr>
        <w:t>Sujeto Obligado</w:t>
      </w:r>
      <w:r w:rsidRPr="00424AE2">
        <w:rPr>
          <w:rFonts w:ascii="Palatino Linotype" w:eastAsia="Palatino Linotype" w:hAnsi="Palatino Linotype" w:cs="Palatino Linotype"/>
          <w:sz w:val="22"/>
          <w:szCs w:val="22"/>
        </w:rPr>
        <w:t xml:space="preserve"> en respuesta e informe justificado, sin embargo, el artículo 24 fracción I de la Ley que crea el Organismo Público Descentralizado Denominado Instituto Municipal de Cultura Física y Deporte de Chicoloapan, México, señala que el patrimonio del Instituto Municipal de Cultura Física y Deporte de Chicoloapan se integra</w:t>
      </w:r>
      <w:r w:rsidR="00270670" w:rsidRPr="00424AE2">
        <w:rPr>
          <w:rFonts w:ascii="Palatino Linotype" w:eastAsia="Palatino Linotype" w:hAnsi="Palatino Linotype" w:cs="Palatino Linotype"/>
          <w:sz w:val="22"/>
          <w:szCs w:val="22"/>
        </w:rPr>
        <w:t xml:space="preserve"> de la siguiente manera</w:t>
      </w:r>
      <w:r w:rsidRPr="00424AE2">
        <w:rPr>
          <w:rFonts w:ascii="Palatino Linotype" w:eastAsia="Palatino Linotype" w:hAnsi="Palatino Linotype" w:cs="Palatino Linotype"/>
          <w:sz w:val="22"/>
          <w:szCs w:val="22"/>
        </w:rPr>
        <w:t xml:space="preserve">: </w:t>
      </w:r>
    </w:p>
    <w:p w14:paraId="62BFE0A9" w14:textId="77777777" w:rsidR="00EB03B3" w:rsidRPr="00424AE2" w:rsidRDefault="00EB03B3" w:rsidP="000A16ED">
      <w:pPr>
        <w:spacing w:line="360" w:lineRule="auto"/>
        <w:jc w:val="both"/>
        <w:rPr>
          <w:rFonts w:ascii="Palatino Linotype" w:eastAsia="Palatino Linotype" w:hAnsi="Palatino Linotype" w:cs="Palatino Linotype"/>
          <w:sz w:val="22"/>
          <w:szCs w:val="22"/>
        </w:rPr>
      </w:pPr>
    </w:p>
    <w:p w14:paraId="5D2C57C7" w14:textId="2C02D18C" w:rsidR="005C0173" w:rsidRPr="00424AE2" w:rsidRDefault="005C017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i/>
          <w:iCs/>
          <w:sz w:val="22"/>
          <w:szCs w:val="22"/>
        </w:rPr>
        <w:t>“</w:t>
      </w:r>
      <w:r w:rsidRPr="00424AE2">
        <w:rPr>
          <w:rFonts w:ascii="Palatino Linotype" w:eastAsia="Palatino Linotype" w:hAnsi="Palatino Linotype" w:cs="Palatino Linotype"/>
          <w:b/>
          <w:bCs/>
          <w:i/>
          <w:iCs/>
          <w:sz w:val="22"/>
          <w:szCs w:val="22"/>
        </w:rPr>
        <w:t>Artículo 24.-</w:t>
      </w:r>
      <w:r w:rsidRPr="00424AE2">
        <w:rPr>
          <w:rFonts w:ascii="Palatino Linotype" w:eastAsia="Palatino Linotype" w:hAnsi="Palatino Linotype" w:cs="Palatino Linotype"/>
          <w:i/>
          <w:iCs/>
          <w:sz w:val="22"/>
          <w:szCs w:val="22"/>
        </w:rPr>
        <w:t xml:space="preserve"> </w:t>
      </w:r>
      <w:bookmarkStart w:id="5" w:name="_Hlk178202860"/>
      <w:r w:rsidRPr="00424AE2">
        <w:rPr>
          <w:rFonts w:ascii="Palatino Linotype" w:eastAsia="Palatino Linotype" w:hAnsi="Palatino Linotype" w:cs="Palatino Linotype"/>
          <w:i/>
          <w:iCs/>
          <w:sz w:val="22"/>
          <w:szCs w:val="22"/>
        </w:rPr>
        <w:t>El patrimonio del Instituto Municipal de Cultura Física y Deporte de Chicoloapan se integra con:</w:t>
      </w:r>
    </w:p>
    <w:p w14:paraId="09305406" w14:textId="77777777" w:rsidR="005C0173" w:rsidRPr="00424AE2" w:rsidRDefault="005C017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b/>
          <w:bCs/>
          <w:i/>
          <w:iCs/>
          <w:sz w:val="22"/>
          <w:szCs w:val="22"/>
        </w:rPr>
        <w:t>I.</w:t>
      </w:r>
      <w:r w:rsidRPr="00424AE2">
        <w:rPr>
          <w:rFonts w:ascii="Palatino Linotype" w:eastAsia="Palatino Linotype" w:hAnsi="Palatino Linotype" w:cs="Palatino Linotype"/>
          <w:i/>
          <w:iCs/>
          <w:sz w:val="22"/>
          <w:szCs w:val="22"/>
        </w:rPr>
        <w:t xml:space="preserve"> La asignación del dos por ciento del total del presupuesto de egresos del municipio</w:t>
      </w:r>
      <w:bookmarkEnd w:id="5"/>
      <w:r w:rsidRPr="00424AE2">
        <w:rPr>
          <w:rFonts w:ascii="Palatino Linotype" w:eastAsia="Palatino Linotype" w:hAnsi="Palatino Linotype" w:cs="Palatino Linotype"/>
          <w:i/>
          <w:iCs/>
          <w:sz w:val="22"/>
          <w:szCs w:val="22"/>
        </w:rPr>
        <w:t>;</w:t>
      </w:r>
    </w:p>
    <w:p w14:paraId="1E141EC8" w14:textId="77777777" w:rsidR="005C0173" w:rsidRPr="00424AE2" w:rsidRDefault="005C017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i/>
          <w:iCs/>
          <w:sz w:val="22"/>
          <w:szCs w:val="22"/>
        </w:rPr>
        <w:t>II. Los bienes muebles que el Ayuntamiento le asigne como Organismo Público Descentralizado;</w:t>
      </w:r>
    </w:p>
    <w:p w14:paraId="2BFD1224" w14:textId="28AB75E8" w:rsidR="005C0173" w:rsidRPr="00424AE2" w:rsidRDefault="005C0173" w:rsidP="005C0173">
      <w:pPr>
        <w:spacing w:line="276" w:lineRule="auto"/>
        <w:ind w:left="851" w:right="616"/>
        <w:jc w:val="both"/>
        <w:rPr>
          <w:rFonts w:ascii="Palatino Linotype" w:eastAsia="Palatino Linotype" w:hAnsi="Palatino Linotype" w:cs="Palatino Linotype"/>
          <w:b/>
          <w:i/>
          <w:iCs/>
          <w:sz w:val="22"/>
          <w:szCs w:val="22"/>
        </w:rPr>
      </w:pPr>
      <w:r w:rsidRPr="00424AE2">
        <w:rPr>
          <w:rFonts w:ascii="Palatino Linotype" w:eastAsia="Palatino Linotype" w:hAnsi="Palatino Linotype" w:cs="Palatino Linotype"/>
          <w:i/>
          <w:iCs/>
          <w:sz w:val="22"/>
          <w:szCs w:val="22"/>
        </w:rPr>
        <w:lastRenderedPageBreak/>
        <w:t xml:space="preserve">III. </w:t>
      </w:r>
      <w:r w:rsidRPr="00424AE2">
        <w:rPr>
          <w:rFonts w:ascii="Palatino Linotype" w:eastAsia="Palatino Linotype" w:hAnsi="Palatino Linotype" w:cs="Palatino Linotype"/>
          <w:b/>
          <w:i/>
          <w:iCs/>
          <w:sz w:val="22"/>
          <w:szCs w:val="22"/>
        </w:rPr>
        <w:t>Los apoyos financieros, subsidios, valores, bienes y servicios que provengan del gobierno federal, estatal y municipal;</w:t>
      </w:r>
    </w:p>
    <w:p w14:paraId="761BAC46" w14:textId="11DD916F" w:rsidR="00EB03B3" w:rsidRPr="00424AE2" w:rsidRDefault="005C0173" w:rsidP="005C0173">
      <w:pPr>
        <w:spacing w:line="276" w:lineRule="auto"/>
        <w:ind w:left="851" w:right="616"/>
        <w:jc w:val="both"/>
        <w:rPr>
          <w:rFonts w:ascii="Palatino Linotype" w:eastAsia="Palatino Linotype" w:hAnsi="Palatino Linotype" w:cs="Palatino Linotype"/>
          <w:i/>
          <w:iCs/>
          <w:sz w:val="22"/>
          <w:szCs w:val="22"/>
        </w:rPr>
      </w:pPr>
      <w:r w:rsidRPr="00424AE2">
        <w:rPr>
          <w:rFonts w:ascii="Palatino Linotype" w:eastAsia="Palatino Linotype" w:hAnsi="Palatino Linotype" w:cs="Palatino Linotype"/>
          <w:i/>
          <w:iCs/>
          <w:sz w:val="22"/>
          <w:szCs w:val="22"/>
        </w:rPr>
        <w:t>IV. Los productos, concesiones, aprovechamientos, donativos, cooperaciones y demás ingresos que adquiera por cualquier título, ya sea público, privado o social y los ingresos y utilidades que obtenga por prestación de sus servicios. “</w:t>
      </w:r>
    </w:p>
    <w:p w14:paraId="60187BCE" w14:textId="77777777" w:rsidR="005C0173" w:rsidRPr="00424AE2" w:rsidRDefault="005C0173" w:rsidP="000A16ED">
      <w:pPr>
        <w:spacing w:line="360" w:lineRule="auto"/>
        <w:jc w:val="both"/>
        <w:rPr>
          <w:rFonts w:ascii="Palatino Linotype" w:eastAsia="Palatino Linotype" w:hAnsi="Palatino Linotype" w:cs="Palatino Linotype"/>
          <w:sz w:val="22"/>
          <w:szCs w:val="22"/>
        </w:rPr>
      </w:pPr>
    </w:p>
    <w:p w14:paraId="2021B3B2" w14:textId="642E2F85" w:rsidR="005C0173" w:rsidRPr="00424AE2" w:rsidRDefault="00270670" w:rsidP="000A16ED">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D</w:t>
      </w:r>
      <w:r w:rsidR="00956711" w:rsidRPr="00424AE2">
        <w:rPr>
          <w:rFonts w:ascii="Palatino Linotype" w:eastAsia="Palatino Linotype" w:hAnsi="Palatino Linotype" w:cs="Palatino Linotype"/>
          <w:sz w:val="22"/>
          <w:szCs w:val="22"/>
        </w:rPr>
        <w:t>e lo anterior, se advierte que e</w:t>
      </w:r>
      <w:r w:rsidRPr="00424AE2">
        <w:rPr>
          <w:rFonts w:ascii="Palatino Linotype" w:eastAsia="Palatino Linotype" w:hAnsi="Palatino Linotype" w:cs="Palatino Linotype"/>
          <w:sz w:val="22"/>
          <w:szCs w:val="22"/>
        </w:rPr>
        <w:t>l Instituto Municipal de Cultura Física y Deporte de Chicoloapan recibe el dos por ciento del total del presupuesto de egresos del municipio, para la integración de su patrimonio</w:t>
      </w:r>
      <w:r w:rsidR="00C151BE" w:rsidRPr="00424AE2">
        <w:rPr>
          <w:rFonts w:ascii="Palatino Linotype" w:eastAsia="Palatino Linotype" w:hAnsi="Palatino Linotype" w:cs="Palatino Linotype"/>
          <w:sz w:val="22"/>
          <w:szCs w:val="22"/>
        </w:rPr>
        <w:t>; asimismo, recibe apoyos financieros, subsidios, valores, bienes y servicios que provengan del gobierno federal, estatal y municipal</w:t>
      </w:r>
      <w:r w:rsidRPr="00424AE2">
        <w:rPr>
          <w:rFonts w:ascii="Palatino Linotype" w:eastAsia="Palatino Linotype" w:hAnsi="Palatino Linotype" w:cs="Palatino Linotype"/>
          <w:sz w:val="22"/>
          <w:szCs w:val="22"/>
        </w:rPr>
        <w:t xml:space="preserve">. </w:t>
      </w:r>
    </w:p>
    <w:p w14:paraId="584C73A5" w14:textId="77777777" w:rsidR="00270670" w:rsidRPr="00424AE2" w:rsidRDefault="00270670" w:rsidP="000A16ED">
      <w:pPr>
        <w:spacing w:line="360" w:lineRule="auto"/>
        <w:jc w:val="both"/>
        <w:rPr>
          <w:rFonts w:ascii="Palatino Linotype" w:eastAsia="Palatino Linotype" w:hAnsi="Palatino Linotype" w:cs="Palatino Linotype"/>
          <w:sz w:val="22"/>
          <w:szCs w:val="22"/>
        </w:rPr>
      </w:pPr>
    </w:p>
    <w:p w14:paraId="6055EB72" w14:textId="241C10C7" w:rsidR="00655383" w:rsidRPr="00424AE2" w:rsidRDefault="00956711" w:rsidP="00655383">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Expuesto lo anterior, </w:t>
      </w:r>
      <w:r w:rsidR="00655383" w:rsidRPr="00424AE2">
        <w:rPr>
          <w:rFonts w:ascii="Palatino Linotype" w:eastAsia="Palatino Linotype" w:hAnsi="Palatino Linotype" w:cs="Palatino Linotype"/>
          <w:sz w:val="22"/>
          <w:szCs w:val="22"/>
        </w:rPr>
        <w:t>resulta conveniente señalar que el documento que podría colmar de manera enunciativa más no limitativa el requerimiento del particular, es la conciliación de nómina</w:t>
      </w:r>
      <w:r w:rsidRPr="00424AE2">
        <w:rPr>
          <w:rFonts w:ascii="Palatino Linotype" w:eastAsia="Palatino Linotype" w:hAnsi="Palatino Linotype" w:cs="Palatino Linotype"/>
          <w:sz w:val="22"/>
          <w:szCs w:val="22"/>
        </w:rPr>
        <w:t xml:space="preserve">; </w:t>
      </w:r>
      <w:r w:rsidR="00655383" w:rsidRPr="00424AE2">
        <w:rPr>
          <w:rFonts w:ascii="Palatino Linotype" w:eastAsia="Palatino Linotype" w:hAnsi="Palatino Linotype" w:cs="Palatino Linotype"/>
          <w:sz w:val="22"/>
          <w:szCs w:val="22"/>
        </w:rPr>
        <w:t>para conocer lo que debe contener la información en cita, es necesario señalar que, al Órgano Superior de Fiscalización del Estado de México, OSFEM, le asiste la facultad de emitir los lineamientos para la integración del informe trimestral, en términos de la fracción XI del artículo 8 de la Ley de Fiscalización Superior del Estado de México, que es del tenor literal siguiente:</w:t>
      </w:r>
    </w:p>
    <w:p w14:paraId="7B261B50" w14:textId="77777777" w:rsidR="00655383" w:rsidRPr="00424AE2" w:rsidRDefault="00655383" w:rsidP="00655383">
      <w:pPr>
        <w:spacing w:line="276" w:lineRule="auto"/>
        <w:ind w:left="851" w:right="902"/>
        <w:jc w:val="both"/>
        <w:rPr>
          <w:rFonts w:ascii="Palatino Linotype" w:eastAsia="Palatino Linotype" w:hAnsi="Palatino Linotype" w:cs="Palatino Linotype"/>
          <w:b/>
          <w:i/>
          <w:sz w:val="22"/>
          <w:szCs w:val="22"/>
        </w:rPr>
      </w:pPr>
    </w:p>
    <w:p w14:paraId="5B366781" w14:textId="77777777" w:rsidR="00655383" w:rsidRPr="00424AE2" w:rsidRDefault="00655383" w:rsidP="00655383">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“Artículo 8.-</w:t>
      </w:r>
      <w:r w:rsidRPr="00424AE2">
        <w:rPr>
          <w:rFonts w:ascii="Palatino Linotype" w:eastAsia="Palatino Linotype" w:hAnsi="Palatino Linotype" w:cs="Palatino Linotype"/>
          <w:i/>
          <w:sz w:val="22"/>
          <w:szCs w:val="22"/>
        </w:rPr>
        <w:t xml:space="preserve"> El </w:t>
      </w:r>
      <w:r w:rsidRPr="00424AE2">
        <w:rPr>
          <w:rFonts w:ascii="Palatino Linotype" w:eastAsia="Palatino Linotype" w:hAnsi="Palatino Linotype" w:cs="Palatino Linotype"/>
          <w:b/>
          <w:i/>
          <w:sz w:val="22"/>
          <w:szCs w:val="22"/>
        </w:rPr>
        <w:t>Órgano Superior</w:t>
      </w:r>
      <w:r w:rsidRPr="00424AE2">
        <w:rPr>
          <w:rFonts w:ascii="Palatino Linotype" w:eastAsia="Palatino Linotype" w:hAnsi="Palatino Linotype" w:cs="Palatino Linotype"/>
          <w:i/>
          <w:sz w:val="22"/>
          <w:szCs w:val="22"/>
        </w:rPr>
        <w:t xml:space="preserve"> tendrá las siguientes atribuciones:</w:t>
      </w:r>
    </w:p>
    <w:p w14:paraId="512D99B4" w14:textId="77777777" w:rsidR="00655383" w:rsidRPr="00424AE2" w:rsidRDefault="00655383" w:rsidP="00655383">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p>
    <w:p w14:paraId="5D6E6010" w14:textId="77777777" w:rsidR="00655383" w:rsidRPr="00424AE2" w:rsidRDefault="00655383" w:rsidP="00655383">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XI</w:t>
      </w:r>
      <w:r w:rsidRPr="00424AE2">
        <w:rPr>
          <w:rFonts w:ascii="Palatino Linotype" w:eastAsia="Palatino Linotype" w:hAnsi="Palatino Linotype" w:cs="Palatino Linotype"/>
          <w:i/>
          <w:sz w:val="22"/>
          <w:szCs w:val="22"/>
        </w:rPr>
        <w:t>. Establecer los lineamientos, criterios, procedimientos, métodos y sistemas, así como todas aquellas disposiciones de carácter general para las acciones de control y evaluación, necesarios para la fiscalización de las cuentas públicas y los informes trimestrales;”</w:t>
      </w:r>
    </w:p>
    <w:p w14:paraId="6E681F33" w14:textId="77777777" w:rsidR="00655383" w:rsidRPr="00424AE2" w:rsidRDefault="00655383" w:rsidP="00655383">
      <w:pPr>
        <w:spacing w:line="360" w:lineRule="auto"/>
        <w:ind w:left="1134" w:right="902"/>
        <w:jc w:val="both"/>
        <w:rPr>
          <w:rFonts w:ascii="Palatino Linotype" w:eastAsia="Palatino Linotype" w:hAnsi="Palatino Linotype" w:cs="Palatino Linotype"/>
          <w:i/>
          <w:sz w:val="22"/>
          <w:szCs w:val="22"/>
        </w:rPr>
      </w:pPr>
    </w:p>
    <w:p w14:paraId="2B81DC1E" w14:textId="268C190F" w:rsidR="00655383" w:rsidRPr="00424AE2" w:rsidRDefault="00655383" w:rsidP="00655383">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Estos lineamientos son de observancia general para todos los servidores públicos de las entidades fiscalizables que desempeñen un empleo, cargo o comisión, de cualquier </w:t>
      </w:r>
      <w:r w:rsidRPr="00424AE2">
        <w:rPr>
          <w:rFonts w:ascii="Palatino Linotype" w:eastAsia="Palatino Linotype" w:hAnsi="Palatino Linotype" w:cs="Palatino Linotype"/>
          <w:sz w:val="22"/>
          <w:szCs w:val="22"/>
        </w:rPr>
        <w:lastRenderedPageBreak/>
        <w:t>naturaleza en alguno de los poderes del Estado, en los ayuntamientos de los municipios y organismos auxiliares, así como los titulares o quienes hagan sus veces en empresas de participación estatal o municipal, sociedades o asociaciones asimiladas a éstas y en los fideicomisos públicos, y que manejen recursos públicos, como lo son los municipios; en atención a ello, el informe trimestral deberá ser presentado al OSFEM dentro de los veinte días posteriores al término del trimestre correspondiente de acuerdo a lo establecido en el artículo 350 del Código Financiero del Estado de México.</w:t>
      </w:r>
    </w:p>
    <w:p w14:paraId="2FE636A7" w14:textId="77777777" w:rsidR="00655383" w:rsidRPr="00424AE2" w:rsidRDefault="00655383" w:rsidP="00655383">
      <w:pPr>
        <w:spacing w:line="360" w:lineRule="auto"/>
        <w:jc w:val="both"/>
        <w:rPr>
          <w:rFonts w:ascii="Palatino Linotype" w:eastAsia="Palatino Linotype" w:hAnsi="Palatino Linotype" w:cs="Palatino Linotype"/>
          <w:sz w:val="22"/>
          <w:szCs w:val="22"/>
        </w:rPr>
      </w:pPr>
    </w:p>
    <w:p w14:paraId="2DCB70A6" w14:textId="78A9BDAC" w:rsidR="00655383" w:rsidRPr="00424AE2" w:rsidRDefault="00655383" w:rsidP="00655383">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La información documental comprobatoria de los informes trimestrales presentados, debe conservarse en los archivos de la entidad fiscalizada </w:t>
      </w:r>
      <w:r w:rsidR="004E437D" w:rsidRPr="00424AE2">
        <w:rPr>
          <w:rFonts w:ascii="Palatino Linotype" w:eastAsia="Palatino Linotype" w:hAnsi="Palatino Linotype" w:cs="Palatino Linotype"/>
          <w:sz w:val="22"/>
          <w:szCs w:val="22"/>
        </w:rPr>
        <w:t>–organismo descentralizado</w:t>
      </w:r>
      <w:r w:rsidRPr="00424AE2">
        <w:rPr>
          <w:rFonts w:ascii="Palatino Linotype" w:eastAsia="Palatino Linotype" w:hAnsi="Palatino Linotype" w:cs="Palatino Linotype"/>
          <w:sz w:val="22"/>
          <w:szCs w:val="22"/>
        </w:rPr>
        <w:t>- en original y debidamente integrada en términos de los lineamientos de referencia, pues son susceptibles de revisión directa por el Órgano Superior de Fiscalización del Estado de México.</w:t>
      </w:r>
    </w:p>
    <w:p w14:paraId="70AD4AD2" w14:textId="77777777" w:rsidR="00655383" w:rsidRPr="00424AE2" w:rsidRDefault="00655383" w:rsidP="00655383">
      <w:pPr>
        <w:spacing w:line="360" w:lineRule="auto"/>
        <w:jc w:val="both"/>
        <w:rPr>
          <w:rFonts w:ascii="Palatino Linotype" w:eastAsia="Palatino Linotype" w:hAnsi="Palatino Linotype" w:cs="Palatino Linotype"/>
          <w:sz w:val="22"/>
          <w:szCs w:val="22"/>
        </w:rPr>
      </w:pPr>
    </w:p>
    <w:p w14:paraId="431C552C" w14:textId="3861E4A7" w:rsidR="00655383" w:rsidRPr="00424AE2" w:rsidRDefault="00655383" w:rsidP="00655383">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En este contexto, el Órgano Superior de Fiscalización del Estado de México, emite en cada ejercicio fiscal los Lineamientos para la integración y entrega del Informe Trimestral Municipal, para el ejercicio 2024 y los Instructivos de llenado correspondientes, mismos que se encuentran disponibles en su sitio de internet, con la final</w:t>
      </w:r>
      <w:r w:rsidR="00250067" w:rsidRPr="00424AE2">
        <w:rPr>
          <w:rFonts w:ascii="Palatino Linotype" w:eastAsia="Palatino Linotype" w:hAnsi="Palatino Linotype" w:cs="Palatino Linotype"/>
          <w:sz w:val="22"/>
          <w:szCs w:val="22"/>
        </w:rPr>
        <w:t>idad de definir los criterios,</w:t>
      </w:r>
      <w:r w:rsidRPr="00424AE2">
        <w:rPr>
          <w:rFonts w:ascii="Palatino Linotype" w:eastAsia="Palatino Linotype" w:hAnsi="Palatino Linotype" w:cs="Palatino Linotype"/>
          <w:sz w:val="22"/>
          <w:szCs w:val="22"/>
        </w:rPr>
        <w:t xml:space="preserve"> formatos y la documentación necesaria para presentar los informes trimestrales, que deben ser entregados a través de cuatro módulos.</w:t>
      </w:r>
    </w:p>
    <w:p w14:paraId="30FC4EA1" w14:textId="77777777" w:rsidR="00655383" w:rsidRPr="00424AE2" w:rsidRDefault="00655383" w:rsidP="00655383">
      <w:pPr>
        <w:spacing w:line="360" w:lineRule="auto"/>
        <w:ind w:right="49"/>
        <w:jc w:val="both"/>
        <w:rPr>
          <w:rFonts w:ascii="Palatino Linotype" w:eastAsia="Palatino Linotype" w:hAnsi="Palatino Linotype" w:cs="Palatino Linotype"/>
          <w:sz w:val="22"/>
          <w:szCs w:val="22"/>
        </w:rPr>
      </w:pPr>
    </w:p>
    <w:p w14:paraId="5A614191" w14:textId="1E8DB482" w:rsidR="00655383" w:rsidRPr="00424AE2" w:rsidRDefault="00655383" w:rsidP="00655383">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La información que con motivo de la nómina genera </w:t>
      </w:r>
      <w:r w:rsidR="004E437D" w:rsidRPr="00424AE2">
        <w:rPr>
          <w:rFonts w:ascii="Palatino Linotype" w:eastAsia="Palatino Linotype" w:hAnsi="Palatino Linotype" w:cs="Palatino Linotype"/>
          <w:sz w:val="22"/>
          <w:szCs w:val="22"/>
        </w:rPr>
        <w:t>el</w:t>
      </w:r>
      <w:r w:rsidRPr="00424AE2">
        <w:rPr>
          <w:rFonts w:ascii="Palatino Linotype" w:eastAsia="Palatino Linotype" w:hAnsi="Palatino Linotype" w:cs="Palatino Linotype"/>
          <w:b/>
          <w:sz w:val="22"/>
          <w:szCs w:val="22"/>
        </w:rPr>
        <w:t xml:space="preserve"> </w:t>
      </w:r>
      <w:r w:rsidR="004E437D"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se encuentra contenida en el Módulo 4 Información administrativa, Submódulo Nómina, como se muestra a continuación:</w:t>
      </w:r>
    </w:p>
    <w:p w14:paraId="5B07265D" w14:textId="77777777" w:rsidR="00655383" w:rsidRPr="00424AE2" w:rsidRDefault="00655383" w:rsidP="00655383">
      <w:pPr>
        <w:spacing w:before="160" w:after="80" w:line="360" w:lineRule="auto"/>
        <w:ind w:right="49"/>
        <w:jc w:val="both"/>
        <w:rPr>
          <w:rFonts w:ascii="Palatino Linotype" w:eastAsia="Palatino Linotype" w:hAnsi="Palatino Linotype" w:cs="Palatino Linotype"/>
          <w:sz w:val="22"/>
          <w:szCs w:val="22"/>
        </w:rPr>
      </w:pPr>
    </w:p>
    <w:p w14:paraId="2409BF90" w14:textId="0030420C" w:rsidR="004E437D" w:rsidRPr="00424AE2" w:rsidRDefault="004E437D" w:rsidP="004E437D">
      <w:pPr>
        <w:spacing w:before="80" w:line="360" w:lineRule="auto"/>
        <w:ind w:right="49"/>
        <w:jc w:val="center"/>
        <w:rPr>
          <w:rFonts w:ascii="Palatino Linotype" w:eastAsia="Palatino Linotype" w:hAnsi="Palatino Linotype" w:cs="Palatino Linotype"/>
          <w:sz w:val="22"/>
          <w:szCs w:val="22"/>
        </w:rPr>
      </w:pPr>
      <w:r w:rsidRPr="00424AE2">
        <w:rPr>
          <w:rFonts w:ascii="Palatino Linotype" w:eastAsia="Palatino Linotype" w:hAnsi="Palatino Linotype" w:cs="Palatino Linotype"/>
          <w:noProof/>
          <w:sz w:val="22"/>
          <w:szCs w:val="22"/>
          <w:lang w:val="es-MX" w:eastAsia="es-MX"/>
        </w:rPr>
        <w:lastRenderedPageBreak/>
        <mc:AlternateContent>
          <mc:Choice Requires="wps">
            <w:drawing>
              <wp:anchor distT="0" distB="0" distL="114300" distR="114300" simplePos="0" relativeHeight="251662336" behindDoc="0" locked="0" layoutInCell="1" allowOverlap="1" wp14:anchorId="56627051" wp14:editId="2166BBD8">
                <wp:simplePos x="0" y="0"/>
                <wp:positionH relativeFrom="column">
                  <wp:posOffset>1205865</wp:posOffset>
                </wp:positionH>
                <wp:positionV relativeFrom="paragraph">
                  <wp:posOffset>1750696</wp:posOffset>
                </wp:positionV>
                <wp:extent cx="3962400" cy="4381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962400" cy="4381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095AF" id="Rectángulo 2" o:spid="_x0000_s1026" style="position:absolute;margin-left:94.95pt;margin-top:137.85pt;width:312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" filled="f" strokecolor="red" strokeweight="1.5pt"/>
            </w:pict>
          </mc:Fallback>
        </mc:AlternateContent>
      </w:r>
      <w:r w:rsidRPr="00424AE2">
        <w:rPr>
          <w:rFonts w:ascii="Palatino Linotype" w:eastAsia="Palatino Linotype" w:hAnsi="Palatino Linotype" w:cs="Palatino Linotype"/>
          <w:noProof/>
          <w:sz w:val="22"/>
          <w:szCs w:val="22"/>
          <w:lang w:val="es-MX" w:eastAsia="es-MX"/>
        </w:rPr>
        <w:drawing>
          <wp:inline distT="0" distB="0" distL="0" distR="0" wp14:anchorId="5E14C5A1" wp14:editId="4A2E9812">
            <wp:extent cx="4838700" cy="60858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1889" cy="6102466"/>
                    </a:xfrm>
                    <a:prstGeom prst="rect">
                      <a:avLst/>
                    </a:prstGeom>
                  </pic:spPr>
                </pic:pic>
              </a:graphicData>
            </a:graphic>
          </wp:inline>
        </w:drawing>
      </w:r>
    </w:p>
    <w:p w14:paraId="0BD2F396" w14:textId="5C373282" w:rsidR="00655383" w:rsidRPr="00424AE2" w:rsidRDefault="00655383" w:rsidP="00655383">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Atentos a lo anterior, se visualiza que la conciliación de nómina</w:t>
      </w:r>
      <w:r w:rsidR="00F51652" w:rsidRPr="00424AE2">
        <w:rPr>
          <w:rFonts w:ascii="Palatino Linotype" w:eastAsia="Palatino Linotype" w:hAnsi="Palatino Linotype" w:cs="Palatino Linotype"/>
          <w:sz w:val="22"/>
          <w:szCs w:val="22"/>
        </w:rPr>
        <w:t xml:space="preserve"> que</w:t>
      </w:r>
      <w:r w:rsidRPr="00424AE2">
        <w:rPr>
          <w:rFonts w:ascii="Palatino Linotype" w:eastAsia="Palatino Linotype" w:hAnsi="Palatino Linotype" w:cs="Palatino Linotype"/>
          <w:sz w:val="22"/>
          <w:szCs w:val="22"/>
        </w:rPr>
        <w:t xml:space="preserve"> </w:t>
      </w:r>
      <w:r w:rsidR="004E437D" w:rsidRPr="00424AE2">
        <w:rPr>
          <w:rFonts w:ascii="Palatino Linotype" w:eastAsia="Palatino Linotype" w:hAnsi="Palatino Linotype" w:cs="Palatino Linotype"/>
          <w:sz w:val="22"/>
          <w:szCs w:val="22"/>
        </w:rPr>
        <w:t>el</w:t>
      </w:r>
      <w:r w:rsidR="004E437D" w:rsidRPr="00424AE2">
        <w:rPr>
          <w:rFonts w:ascii="Palatino Linotype" w:eastAsia="Palatino Linotype" w:hAnsi="Palatino Linotype" w:cs="Palatino Linotype"/>
          <w:b/>
          <w:sz w:val="22"/>
          <w:szCs w:val="22"/>
        </w:rPr>
        <w:t xml:space="preserve"> Sujeto Obligado</w:t>
      </w:r>
      <w:r w:rsidR="004E437D"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genera</w:t>
      </w:r>
      <w:r w:rsidR="00F51652" w:rsidRPr="00424AE2">
        <w:rPr>
          <w:rFonts w:ascii="Palatino Linotype" w:eastAsia="Palatino Linotype" w:hAnsi="Palatino Linotype" w:cs="Palatino Linotype"/>
          <w:sz w:val="22"/>
          <w:szCs w:val="22"/>
        </w:rPr>
        <w:t xml:space="preserve"> es</w:t>
      </w:r>
      <w:r w:rsidRPr="00424AE2">
        <w:rPr>
          <w:rFonts w:ascii="Palatino Linotype" w:eastAsia="Palatino Linotype" w:hAnsi="Palatino Linotype" w:cs="Palatino Linotype"/>
          <w:sz w:val="22"/>
          <w:szCs w:val="22"/>
        </w:rPr>
        <w:t xml:space="preserve"> de manera quincenal.</w:t>
      </w:r>
    </w:p>
    <w:p w14:paraId="36D78634" w14:textId="77777777" w:rsidR="00655383" w:rsidRPr="00424AE2" w:rsidRDefault="00655383" w:rsidP="00655383">
      <w:pPr>
        <w:pBdr>
          <w:top w:val="nil"/>
          <w:left w:val="nil"/>
          <w:bottom w:val="nil"/>
          <w:right w:val="nil"/>
          <w:between w:val="nil"/>
        </w:pBdr>
        <w:spacing w:line="360" w:lineRule="auto"/>
        <w:ind w:right="51"/>
        <w:jc w:val="both"/>
        <w:rPr>
          <w:rFonts w:ascii="Palatino Linotype" w:hAnsi="Palatino Linotype"/>
          <w:sz w:val="22"/>
          <w:szCs w:val="22"/>
        </w:rPr>
      </w:pPr>
    </w:p>
    <w:p w14:paraId="05444206" w14:textId="77777777" w:rsidR="00655383" w:rsidRPr="00424AE2" w:rsidRDefault="00655383" w:rsidP="00655383">
      <w:pPr>
        <w:pBdr>
          <w:top w:val="nil"/>
          <w:left w:val="nil"/>
          <w:bottom w:val="nil"/>
          <w:right w:val="nil"/>
          <w:between w:val="nil"/>
        </w:pBdr>
        <w:spacing w:line="360" w:lineRule="auto"/>
        <w:ind w:right="51"/>
        <w:jc w:val="both"/>
        <w:rPr>
          <w:rFonts w:ascii="Palatino Linotype" w:hAnsi="Palatino Linotype"/>
          <w:sz w:val="22"/>
          <w:szCs w:val="22"/>
        </w:rPr>
      </w:pPr>
      <w:r w:rsidRPr="00424AE2">
        <w:rPr>
          <w:rFonts w:ascii="Palatino Linotype" w:eastAsia="Palatino Linotype" w:hAnsi="Palatino Linotype" w:cs="Palatino Linotype"/>
          <w:sz w:val="22"/>
          <w:szCs w:val="22"/>
        </w:rPr>
        <w:lastRenderedPageBreak/>
        <w:t>Para mayor referencia a continuación se inserta el formato mediante el cual dicha información se presenta, así como el instructivo de llenado: </w:t>
      </w:r>
    </w:p>
    <w:p w14:paraId="26A59E72" w14:textId="77777777" w:rsidR="00655383" w:rsidRPr="00424AE2" w:rsidRDefault="00655383" w:rsidP="00655383">
      <w:pPr>
        <w:pBdr>
          <w:top w:val="nil"/>
          <w:left w:val="nil"/>
          <w:bottom w:val="nil"/>
          <w:right w:val="nil"/>
          <w:between w:val="nil"/>
        </w:pBdr>
        <w:jc w:val="center"/>
        <w:rPr>
          <w:rFonts w:ascii="Palatino Linotype" w:hAnsi="Palatino Linotype"/>
          <w:sz w:val="22"/>
          <w:szCs w:val="22"/>
        </w:rPr>
      </w:pPr>
      <w:r w:rsidRPr="00424AE2">
        <w:rPr>
          <w:rFonts w:ascii="Palatino Linotype" w:eastAsia="Palatino Linotype" w:hAnsi="Palatino Linotype" w:cs="Palatino Linotype"/>
          <w:noProof/>
          <w:sz w:val="22"/>
          <w:szCs w:val="22"/>
          <w:lang w:val="es-MX" w:eastAsia="es-MX"/>
        </w:rPr>
        <w:drawing>
          <wp:inline distT="0" distB="0" distL="0" distR="0" wp14:anchorId="35E8BA14" wp14:editId="45172FFF">
            <wp:extent cx="5534025" cy="6343650"/>
            <wp:effectExtent l="0" t="0" r="9525" b="0"/>
            <wp:docPr id="139" name="image3.png" descr="https://lh7-us.googleusercontent.com/NpaMQ0145pYF2tYhqzLAeaJs9PwHuR6YBhohswGaGO6rPDvkiFI2pX6oleDYWy9B4r0o_Ag4FUgbKiOJhGvKGvnThpLM44nddDogX8K6B6hFG2_aMM2gl0vhSkGZ_7gdaiTK1xbBGxWaHjP7qxM2"/>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NpaMQ0145pYF2tYhqzLAeaJs9PwHuR6YBhohswGaGO6rPDvkiFI2pX6oleDYWy9B4r0o_Ag4FUgbKiOJhGvKGvnThpLM44nddDogX8K6B6hFG2_aMM2gl0vhSkGZ_7gdaiTK1xbBGxWaHjP7qxM2"/>
                    <pic:cNvPicPr preferRelativeResize="0"/>
                  </pic:nvPicPr>
                  <pic:blipFill>
                    <a:blip r:embed="rId10"/>
                    <a:srcRect/>
                    <a:stretch>
                      <a:fillRect/>
                    </a:stretch>
                  </pic:blipFill>
                  <pic:spPr>
                    <a:xfrm>
                      <a:off x="0" y="0"/>
                      <a:ext cx="5534257" cy="6343916"/>
                    </a:xfrm>
                    <a:prstGeom prst="rect">
                      <a:avLst/>
                    </a:prstGeom>
                    <a:ln/>
                  </pic:spPr>
                </pic:pic>
              </a:graphicData>
            </a:graphic>
          </wp:inline>
        </w:drawing>
      </w:r>
    </w:p>
    <w:p w14:paraId="3ABC5315" w14:textId="60B17E0F" w:rsidR="00655383" w:rsidRPr="00424AE2" w:rsidRDefault="00655383" w:rsidP="00655383">
      <w:pPr>
        <w:pBdr>
          <w:top w:val="nil"/>
          <w:left w:val="nil"/>
          <w:bottom w:val="nil"/>
          <w:right w:val="nil"/>
          <w:between w:val="nil"/>
        </w:pBdr>
        <w:jc w:val="center"/>
        <w:rPr>
          <w:rFonts w:ascii="Palatino Linotype" w:hAnsi="Palatino Linotype"/>
          <w:sz w:val="22"/>
          <w:szCs w:val="22"/>
        </w:rPr>
      </w:pPr>
      <w:r w:rsidRPr="00424AE2">
        <w:rPr>
          <w:rFonts w:ascii="Palatino Linotype" w:hAnsi="Palatino Linotype"/>
          <w:noProof/>
          <w:sz w:val="22"/>
          <w:szCs w:val="22"/>
          <w:lang w:val="es-MX" w:eastAsia="es-MX"/>
        </w:rPr>
        <w:lastRenderedPageBreak/>
        <mc:AlternateContent>
          <mc:Choice Requires="wps">
            <w:drawing>
              <wp:anchor distT="0" distB="0" distL="114300" distR="114300" simplePos="0" relativeHeight="251661312" behindDoc="0" locked="0" layoutInCell="1" hidden="0" allowOverlap="1" wp14:anchorId="2F1316B1" wp14:editId="45AF4FAC">
                <wp:simplePos x="0" y="0"/>
                <wp:positionH relativeFrom="column">
                  <wp:posOffset>-51435</wp:posOffset>
                </wp:positionH>
                <wp:positionV relativeFrom="paragraph">
                  <wp:posOffset>-20954</wp:posOffset>
                </wp:positionV>
                <wp:extent cx="5876925" cy="952500"/>
                <wp:effectExtent l="0" t="0" r="28575" b="19050"/>
                <wp:wrapNone/>
                <wp:docPr id="135" name="Rectángulo 135"/>
                <wp:cNvGraphicFramePr/>
                <a:graphic xmlns:a="http://schemas.openxmlformats.org/drawingml/2006/main">
                  <a:graphicData uri="http://schemas.microsoft.com/office/word/2010/wordprocessingShape">
                    <wps:wsp>
                      <wps:cNvSpPr/>
                      <wps:spPr>
                        <a:xfrm>
                          <a:off x="0" y="0"/>
                          <a:ext cx="5876925" cy="952500"/>
                        </a:xfrm>
                        <a:prstGeom prst="rect">
                          <a:avLst/>
                        </a:prstGeom>
                        <a:noFill/>
                        <a:ln w="19050" cap="flat" cmpd="sng">
                          <a:solidFill>
                            <a:srgbClr val="FF0000"/>
                          </a:solidFill>
                          <a:prstDash val="solid"/>
                          <a:miter lim="800000"/>
                          <a:headEnd type="none" w="sm" len="sm"/>
                          <a:tailEnd type="none" w="sm" len="sm"/>
                        </a:ln>
                      </wps:spPr>
                      <wps:txbx>
                        <w:txbxContent>
                          <w:p w14:paraId="402666DC" w14:textId="77777777" w:rsidR="00E52305" w:rsidRDefault="00E52305" w:rsidP="0065538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1316B1" id="Rectángulo 135" o:spid="_x0000_s1026" style="position:absolute;left:0;text-align:left;margin-left:-4.05pt;margin-top:-1.65pt;width:46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" filled="f" strokecolor="red" strokeweight="1.5pt">
                <v:stroke startarrowwidth="narrow" startarrowlength="short" endarrowwidth="narrow" endarrowlength="short"/>
                <v:textbox inset="2.53958mm,2.53958mm,2.53958mm,2.53958mm">
                  <w:txbxContent>
                    <w:p w14:paraId="402666DC" w14:textId="77777777" w:rsidR="00E52305" w:rsidRDefault="00E52305" w:rsidP="00655383">
                      <w:pPr>
                        <w:textDirection w:val="btLr"/>
                      </w:pPr>
                    </w:p>
                  </w:txbxContent>
                </v:textbox>
              </v:rect>
            </w:pict>
          </mc:Fallback>
        </mc:AlternateContent>
      </w:r>
      <w:r w:rsidRPr="00424AE2">
        <w:rPr>
          <w:rFonts w:ascii="Palatino Linotype" w:eastAsia="Palatino Linotype" w:hAnsi="Palatino Linotype" w:cs="Palatino Linotype"/>
          <w:noProof/>
          <w:sz w:val="22"/>
          <w:szCs w:val="22"/>
          <w:lang w:val="es-MX" w:eastAsia="es-MX"/>
        </w:rPr>
        <w:drawing>
          <wp:inline distT="0" distB="0" distL="0" distR="0" wp14:anchorId="316BA6A4" wp14:editId="143DDDB8">
            <wp:extent cx="5867400" cy="7067550"/>
            <wp:effectExtent l="0" t="0" r="0" b="0"/>
            <wp:docPr id="142" name="image5.png" descr="https://lh7-us.googleusercontent.com/hkj6oW72zkAAhI_Eh7-XiuH1KAgP3vENFE1nY145d2P8gHSTt__l9zrRDvAK46I4MMmaK4rO6wrDTZlAZwb-ZCl4T7xNK6KB1-G7wXDYSjSWnI6AW---diUYtJk0_qDSc9TURvZAcJ304cOI2aPH"/>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hkj6oW72zkAAhI_Eh7-XiuH1KAgP3vENFE1nY145d2P8gHSTt__l9zrRDvAK46I4MMmaK4rO6wrDTZlAZwb-ZCl4T7xNK6KB1-G7wXDYSjSWnI6AW---diUYtJk0_qDSc9TURvZAcJ304cOI2aPH"/>
                    <pic:cNvPicPr preferRelativeResize="0"/>
                  </pic:nvPicPr>
                  <pic:blipFill>
                    <a:blip r:embed="rId11"/>
                    <a:srcRect/>
                    <a:stretch>
                      <a:fillRect/>
                    </a:stretch>
                  </pic:blipFill>
                  <pic:spPr>
                    <a:xfrm>
                      <a:off x="0" y="0"/>
                      <a:ext cx="5867400" cy="7067550"/>
                    </a:xfrm>
                    <a:prstGeom prst="rect">
                      <a:avLst/>
                    </a:prstGeom>
                    <a:ln/>
                  </pic:spPr>
                </pic:pic>
              </a:graphicData>
            </a:graphic>
          </wp:inline>
        </w:drawing>
      </w:r>
    </w:p>
    <w:p w14:paraId="65CC1409" w14:textId="6CD286C8" w:rsidR="00655383" w:rsidRPr="00424AE2" w:rsidRDefault="00655383" w:rsidP="00655383">
      <w:pPr>
        <w:pBdr>
          <w:top w:val="nil"/>
          <w:left w:val="nil"/>
          <w:bottom w:val="nil"/>
          <w:right w:val="nil"/>
          <w:between w:val="nil"/>
        </w:pBdr>
        <w:jc w:val="center"/>
        <w:rPr>
          <w:rFonts w:ascii="Palatino Linotype" w:hAnsi="Palatino Linotype"/>
          <w:sz w:val="22"/>
          <w:szCs w:val="22"/>
        </w:rPr>
      </w:pPr>
      <w:r w:rsidRPr="00424AE2">
        <w:rPr>
          <w:rFonts w:ascii="Palatino Linotype" w:eastAsia="Palatino Linotype" w:hAnsi="Palatino Linotype" w:cs="Palatino Linotype"/>
          <w:noProof/>
          <w:sz w:val="22"/>
          <w:szCs w:val="22"/>
          <w:lang w:val="es-MX" w:eastAsia="es-MX"/>
        </w:rPr>
        <w:lastRenderedPageBreak/>
        <w:drawing>
          <wp:inline distT="0" distB="0" distL="0" distR="0" wp14:anchorId="71961013" wp14:editId="43D4FA2B">
            <wp:extent cx="5067300" cy="3400425"/>
            <wp:effectExtent l="0" t="0" r="0" b="9525"/>
            <wp:docPr id="141" name="image6.png" descr="https://lh7-us.googleusercontent.com/agO0HTDyvXGudyeIvTZmRPVxjfD5b3CN0LUZukTiXcJLGjVq1cVW_TKHOl0bsPH0tE19emOW_Klw6uJdr596zv3NfkCEmZgp8gku7HZInHz-yJNi9Y79Pi0G9hsFgQMnP0-gVaHaLJ6PKF1jDOOZ"/>
            <wp:cNvGraphicFramePr/>
            <a:graphic xmlns:a="http://schemas.openxmlformats.org/drawingml/2006/main">
              <a:graphicData uri="http://schemas.openxmlformats.org/drawingml/2006/picture">
                <pic:pic xmlns:pic="http://schemas.openxmlformats.org/drawingml/2006/picture">
                  <pic:nvPicPr>
                    <pic:cNvPr id="0" name="image6.png" descr="https://lh7-us.googleusercontent.com/agO0HTDyvXGudyeIvTZmRPVxjfD5b3CN0LUZukTiXcJLGjVq1cVW_TKHOl0bsPH0tE19emOW_Klw6uJdr596zv3NfkCEmZgp8gku7HZInHz-yJNi9Y79Pi0G9hsFgQMnP0-gVaHaLJ6PKF1jDOOZ"/>
                    <pic:cNvPicPr preferRelativeResize="0"/>
                  </pic:nvPicPr>
                  <pic:blipFill>
                    <a:blip r:embed="rId12"/>
                    <a:srcRect/>
                    <a:stretch>
                      <a:fillRect/>
                    </a:stretch>
                  </pic:blipFill>
                  <pic:spPr>
                    <a:xfrm>
                      <a:off x="0" y="0"/>
                      <a:ext cx="5067300" cy="3400425"/>
                    </a:xfrm>
                    <a:prstGeom prst="rect">
                      <a:avLst/>
                    </a:prstGeom>
                    <a:ln/>
                  </pic:spPr>
                </pic:pic>
              </a:graphicData>
            </a:graphic>
          </wp:inline>
        </w:drawing>
      </w:r>
    </w:p>
    <w:p w14:paraId="3D52B0E6" w14:textId="77777777" w:rsidR="00250067" w:rsidRPr="00424AE2" w:rsidRDefault="00250067" w:rsidP="00655383">
      <w:pPr>
        <w:pBdr>
          <w:top w:val="nil"/>
          <w:left w:val="nil"/>
          <w:bottom w:val="nil"/>
          <w:right w:val="nil"/>
          <w:between w:val="nil"/>
        </w:pBdr>
        <w:jc w:val="center"/>
        <w:rPr>
          <w:rFonts w:ascii="Palatino Linotype" w:hAnsi="Palatino Linotype"/>
          <w:sz w:val="22"/>
          <w:szCs w:val="22"/>
        </w:rPr>
      </w:pPr>
    </w:p>
    <w:p w14:paraId="719065D4" w14:textId="695B9F99" w:rsidR="00F51652" w:rsidRPr="00424AE2" w:rsidRDefault="00F51652" w:rsidP="00264EBB">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De lo anterior, se advierte </w:t>
      </w:r>
      <w:proofErr w:type="gramStart"/>
      <w:r w:rsidRPr="00424AE2">
        <w:rPr>
          <w:rFonts w:ascii="Palatino Linotype" w:eastAsia="Palatino Linotype" w:hAnsi="Palatino Linotype" w:cs="Palatino Linotype"/>
          <w:sz w:val="22"/>
          <w:szCs w:val="22"/>
        </w:rPr>
        <w:t>que</w:t>
      </w:r>
      <w:proofErr w:type="gramEnd"/>
      <w:r w:rsidRPr="00424AE2">
        <w:rPr>
          <w:rFonts w:ascii="Palatino Linotype" w:eastAsia="Palatino Linotype" w:hAnsi="Palatino Linotype" w:cs="Palatino Linotype"/>
          <w:sz w:val="22"/>
          <w:szCs w:val="22"/>
        </w:rPr>
        <w:t xml:space="preserve"> en efecto, el documento que puede colmar el requerimiento del </w:t>
      </w:r>
      <w:r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xml:space="preserve"> es la conciliación de nómina, toda vez que </w:t>
      </w:r>
      <w:r w:rsidR="00264EBB" w:rsidRPr="00424AE2">
        <w:rPr>
          <w:rFonts w:ascii="Palatino Linotype" w:eastAsia="Palatino Linotype" w:hAnsi="Palatino Linotype" w:cs="Palatino Linotype"/>
          <w:sz w:val="22"/>
          <w:szCs w:val="22"/>
        </w:rPr>
        <w:t>en</w:t>
      </w:r>
      <w:r w:rsidRPr="00424AE2">
        <w:rPr>
          <w:rFonts w:ascii="Palatino Linotype" w:eastAsia="Palatino Linotype" w:hAnsi="Palatino Linotype" w:cs="Palatino Linotype"/>
          <w:sz w:val="22"/>
          <w:szCs w:val="22"/>
        </w:rPr>
        <w:t xml:space="preserve"> este documento se </w:t>
      </w:r>
      <w:r w:rsidR="00250067" w:rsidRPr="00424AE2">
        <w:rPr>
          <w:rFonts w:ascii="Palatino Linotype" w:eastAsia="Palatino Linotype" w:hAnsi="Palatino Linotype" w:cs="Palatino Linotype"/>
          <w:sz w:val="22"/>
          <w:szCs w:val="22"/>
        </w:rPr>
        <w:t xml:space="preserve">puede </w:t>
      </w:r>
      <w:r w:rsidRPr="00424AE2">
        <w:rPr>
          <w:rFonts w:ascii="Palatino Linotype" w:eastAsia="Palatino Linotype" w:hAnsi="Palatino Linotype" w:cs="Palatino Linotype"/>
          <w:sz w:val="22"/>
          <w:szCs w:val="22"/>
        </w:rPr>
        <w:t>adv</w:t>
      </w:r>
      <w:r w:rsidR="00250067" w:rsidRPr="00424AE2">
        <w:rPr>
          <w:rFonts w:ascii="Palatino Linotype" w:eastAsia="Palatino Linotype" w:hAnsi="Palatino Linotype" w:cs="Palatino Linotype"/>
          <w:sz w:val="22"/>
          <w:szCs w:val="22"/>
        </w:rPr>
        <w:t xml:space="preserve">ertir </w:t>
      </w:r>
      <w:r w:rsidR="00264EBB" w:rsidRPr="00424AE2">
        <w:rPr>
          <w:rFonts w:ascii="Palatino Linotype" w:eastAsia="Palatino Linotype" w:hAnsi="Palatino Linotype" w:cs="Palatino Linotype"/>
          <w:sz w:val="22"/>
          <w:szCs w:val="22"/>
        </w:rPr>
        <w:t>el</w:t>
      </w:r>
      <w:r w:rsidRPr="00424AE2">
        <w:rPr>
          <w:rFonts w:ascii="Palatino Linotype" w:eastAsia="Palatino Linotype" w:hAnsi="Palatino Linotype" w:cs="Palatino Linotype"/>
          <w:sz w:val="22"/>
          <w:szCs w:val="22"/>
        </w:rPr>
        <w:t xml:space="preserve"> número de servidores públicos que laboran en el Instituto Municipal de Cultura Física y Deporte de Chicoloapan, </w:t>
      </w:r>
      <w:r w:rsidR="00264EBB" w:rsidRPr="00424AE2">
        <w:rPr>
          <w:rFonts w:ascii="Palatino Linotype" w:eastAsia="Palatino Linotype" w:hAnsi="Palatino Linotype" w:cs="Palatino Linotype"/>
          <w:sz w:val="22"/>
          <w:szCs w:val="22"/>
        </w:rPr>
        <w:t xml:space="preserve">y la quincena del periodo de pago que se realiza a los servidores públicos en el mes. </w:t>
      </w:r>
    </w:p>
    <w:p w14:paraId="57D6CC35" w14:textId="77777777" w:rsidR="008B69D3" w:rsidRPr="00424AE2" w:rsidRDefault="008B69D3" w:rsidP="001119DF">
      <w:pPr>
        <w:spacing w:line="360" w:lineRule="auto"/>
        <w:jc w:val="both"/>
        <w:rPr>
          <w:rFonts w:ascii="Palatino Linotype" w:eastAsia="Palatino Linotype" w:hAnsi="Palatino Linotype" w:cs="Palatino Linotype"/>
          <w:sz w:val="22"/>
          <w:szCs w:val="22"/>
        </w:rPr>
      </w:pPr>
    </w:p>
    <w:p w14:paraId="4EF02212" w14:textId="6C0F4FF4" w:rsidR="00C151BE" w:rsidRPr="00424AE2" w:rsidRDefault="001119DF" w:rsidP="001119DF">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Asimismo es de señalar que dicha información, es de interés general y de alcance público, puesto que la ciudadanía tiene derecho a saber el número de servidores públicos que laboran dentro de las dependencias públicas; ello conforme a lo dispuesto por </w:t>
      </w:r>
      <w:r w:rsidR="00C151BE" w:rsidRPr="00424AE2">
        <w:rPr>
          <w:rFonts w:ascii="Palatino Linotype" w:eastAsia="Palatino Linotype" w:hAnsi="Palatino Linotype" w:cs="Palatino Linotype"/>
          <w:sz w:val="22"/>
          <w:szCs w:val="22"/>
        </w:rPr>
        <w:t xml:space="preserve">el artículo 92, fracción X de la Ley de Transparencia y Acceso a la Información Pública del Estado de México y Municipios, el cual contempla las obligaciones de transparencia común que los sujetos obligados deben poner a disposición del público de manera permanente y actualizada y que a la literalidad establece lo siguiente: </w:t>
      </w:r>
    </w:p>
    <w:p w14:paraId="6D57E4BA" w14:textId="77777777" w:rsidR="00C151BE" w:rsidRPr="00424AE2" w:rsidRDefault="00C151BE" w:rsidP="00C151BE">
      <w:pPr>
        <w:spacing w:line="360" w:lineRule="auto"/>
        <w:ind w:right="49"/>
        <w:jc w:val="both"/>
        <w:rPr>
          <w:rFonts w:ascii="Palatino Linotype" w:eastAsia="Palatino Linotype" w:hAnsi="Palatino Linotype" w:cs="Palatino Linotype"/>
          <w:sz w:val="22"/>
          <w:szCs w:val="22"/>
        </w:rPr>
      </w:pPr>
    </w:p>
    <w:p w14:paraId="5FEEABC1" w14:textId="77777777" w:rsidR="00C151BE" w:rsidRPr="00424AE2" w:rsidRDefault="00C151BE" w:rsidP="00EE5476">
      <w:pPr>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Artículo 92</w:t>
      </w:r>
      <w:r w:rsidRPr="00424AE2">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3FF270" w14:textId="77777777" w:rsidR="00C151BE" w:rsidRPr="00424AE2" w:rsidRDefault="00C151BE" w:rsidP="00EE5476">
      <w:pPr>
        <w:ind w:left="851" w:right="616"/>
        <w:jc w:val="both"/>
        <w:rPr>
          <w:rFonts w:ascii="Palatino Linotype" w:eastAsia="Palatino Linotype" w:hAnsi="Palatino Linotype" w:cs="Palatino Linotype"/>
          <w:i/>
          <w:sz w:val="22"/>
          <w:szCs w:val="22"/>
        </w:rPr>
      </w:pPr>
    </w:p>
    <w:p w14:paraId="4A449F09" w14:textId="77777777" w:rsidR="00C151BE" w:rsidRPr="00424AE2" w:rsidRDefault="00C151BE" w:rsidP="00EE5476">
      <w:pPr>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p>
    <w:p w14:paraId="4595E8C5" w14:textId="77777777" w:rsidR="00C151BE" w:rsidRPr="00424AE2" w:rsidRDefault="00C151BE" w:rsidP="00EE5476">
      <w:pPr>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 xml:space="preserve">X. </w:t>
      </w:r>
      <w:r w:rsidRPr="00424AE2">
        <w:rPr>
          <w:rFonts w:ascii="Palatino Linotype" w:eastAsia="Palatino Linotype" w:hAnsi="Palatino Linotype" w:cs="Palatino Linotype"/>
          <w:b/>
          <w:i/>
          <w:sz w:val="22"/>
          <w:szCs w:val="22"/>
          <w:u w:val="single"/>
        </w:rPr>
        <w:t>El número total de las plazas</w:t>
      </w:r>
      <w:r w:rsidRPr="00424AE2">
        <w:rPr>
          <w:rFonts w:ascii="Palatino Linotype" w:eastAsia="Palatino Linotype" w:hAnsi="Palatino Linotype" w:cs="Palatino Linotype"/>
          <w:b/>
          <w:i/>
          <w:sz w:val="22"/>
          <w:szCs w:val="22"/>
        </w:rPr>
        <w:t xml:space="preserve"> y del personal de base y de confianza, especificando el total de las vacantes,</w:t>
      </w:r>
      <w:r w:rsidRPr="00424AE2">
        <w:rPr>
          <w:rFonts w:ascii="Palatino Linotype" w:eastAsia="Palatino Linotype" w:hAnsi="Palatino Linotype" w:cs="Palatino Linotype"/>
          <w:i/>
          <w:sz w:val="22"/>
          <w:szCs w:val="22"/>
        </w:rPr>
        <w:t xml:space="preserve"> por nivel de puesto, para cada unidad administrativa</w:t>
      </w:r>
    </w:p>
    <w:p w14:paraId="3865260E" w14:textId="63376FF5" w:rsidR="00C151BE" w:rsidRPr="00424AE2" w:rsidRDefault="00C151BE" w:rsidP="00EE5476">
      <w:pPr>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p>
    <w:p w14:paraId="1B71BFE1" w14:textId="77777777" w:rsidR="00C151BE" w:rsidRPr="00424AE2" w:rsidRDefault="00C151BE" w:rsidP="00C151BE">
      <w:pPr>
        <w:spacing w:line="360" w:lineRule="auto"/>
        <w:ind w:right="49"/>
        <w:jc w:val="both"/>
        <w:rPr>
          <w:rFonts w:ascii="Palatino Linotype" w:eastAsia="Palatino Linotype" w:hAnsi="Palatino Linotype" w:cs="Palatino Linotype"/>
          <w:i/>
          <w:sz w:val="22"/>
          <w:szCs w:val="22"/>
        </w:rPr>
      </w:pPr>
    </w:p>
    <w:p w14:paraId="75DAD794" w14:textId="52784886" w:rsidR="00C151BE" w:rsidRPr="00424AE2" w:rsidRDefault="00C151BE" w:rsidP="00C151BE">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Del precepto anterior se aduce que el </w:t>
      </w:r>
      <w:r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xml:space="preserve"> tiene el deber de poner a disposición en su portal de transparencia electrónico, la información relacionada con el número total de plazas y de</w:t>
      </w:r>
      <w:r w:rsidR="004F5FA4" w:rsidRPr="00424AE2">
        <w:rPr>
          <w:rFonts w:ascii="Palatino Linotype" w:eastAsia="Palatino Linotype" w:hAnsi="Palatino Linotype" w:cs="Palatino Linotype"/>
          <w:sz w:val="22"/>
          <w:szCs w:val="22"/>
        </w:rPr>
        <w:t>l personal de base y confianza</w:t>
      </w:r>
      <w:r w:rsidR="00E536F8" w:rsidRPr="00424AE2">
        <w:rPr>
          <w:rFonts w:ascii="Palatino Linotype" w:eastAsia="Palatino Linotype" w:hAnsi="Palatino Linotype" w:cs="Palatino Linotype"/>
          <w:sz w:val="22"/>
          <w:szCs w:val="22"/>
        </w:rPr>
        <w:t xml:space="preserve">, información que permite conocer el número de servidores públicos que laboran dentro de cada organismo público. </w:t>
      </w:r>
    </w:p>
    <w:p w14:paraId="678D357C" w14:textId="77777777" w:rsidR="00C151BE" w:rsidRPr="00424AE2" w:rsidRDefault="00C151BE" w:rsidP="00C151BE">
      <w:pPr>
        <w:spacing w:line="360" w:lineRule="auto"/>
        <w:ind w:right="49"/>
        <w:jc w:val="both"/>
        <w:rPr>
          <w:rFonts w:ascii="Palatino Linotype" w:eastAsia="Palatino Linotype" w:hAnsi="Palatino Linotype" w:cs="Palatino Linotype"/>
          <w:sz w:val="22"/>
          <w:szCs w:val="22"/>
        </w:rPr>
      </w:pPr>
    </w:p>
    <w:p w14:paraId="2F49C577" w14:textId="77777777" w:rsidR="00C151BE" w:rsidRPr="00424AE2" w:rsidRDefault="00C151BE" w:rsidP="00C151BE">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En el mismo orden de ideas, es importante remitirnos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el cual precisa que:</w:t>
      </w:r>
    </w:p>
    <w:p w14:paraId="3C2943E4" w14:textId="77777777" w:rsidR="00C151BE" w:rsidRPr="00424AE2" w:rsidRDefault="00C151BE" w:rsidP="00C151BE">
      <w:pPr>
        <w:spacing w:line="276" w:lineRule="auto"/>
        <w:ind w:right="49"/>
        <w:jc w:val="both"/>
        <w:rPr>
          <w:rFonts w:ascii="Palatino Linotype" w:eastAsia="Palatino Linotype" w:hAnsi="Palatino Linotype" w:cs="Palatino Linotype"/>
          <w:sz w:val="22"/>
          <w:szCs w:val="22"/>
        </w:rPr>
      </w:pPr>
    </w:p>
    <w:p w14:paraId="161E5D9E" w14:textId="77777777" w:rsidR="00C151BE" w:rsidRPr="00424AE2" w:rsidRDefault="00C151BE" w:rsidP="00EE5476">
      <w:pPr>
        <w:tabs>
          <w:tab w:val="left" w:pos="8222"/>
        </w:tabs>
        <w:spacing w:line="276" w:lineRule="auto"/>
        <w:ind w:left="851" w:right="616"/>
        <w:jc w:val="both"/>
        <w:rPr>
          <w:rFonts w:ascii="Palatino Linotype" w:eastAsia="Palatino Linotype" w:hAnsi="Palatino Linotype" w:cs="Palatino Linotype"/>
          <w:b/>
          <w:i/>
          <w:sz w:val="22"/>
          <w:szCs w:val="22"/>
        </w:rPr>
      </w:pPr>
      <w:r w:rsidRPr="00424AE2">
        <w:rPr>
          <w:rFonts w:ascii="Palatino Linotype" w:eastAsia="Palatino Linotype" w:hAnsi="Palatino Linotype" w:cs="Palatino Linotype"/>
          <w:b/>
          <w:i/>
          <w:sz w:val="22"/>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w:t>
      </w:r>
      <w:r w:rsidRPr="00424AE2">
        <w:rPr>
          <w:rFonts w:ascii="Palatino Linotype" w:eastAsia="Palatino Linotype" w:hAnsi="Palatino Linotype" w:cs="Palatino Linotype"/>
          <w:b/>
          <w:i/>
          <w:sz w:val="22"/>
          <w:szCs w:val="22"/>
        </w:rPr>
        <w:lastRenderedPageBreak/>
        <w:t xml:space="preserve">DEBEN DE DIFUNDIR LOS SUJETOS OBLIGADOS EN LOS PORTALES DE INTERNET Y EN LA PLATAFORMA NACIONAL DE TRANSPARENCIA </w:t>
      </w:r>
    </w:p>
    <w:p w14:paraId="25FA3D6F" w14:textId="77777777" w:rsidR="00C151BE" w:rsidRPr="00424AE2" w:rsidRDefault="00C151BE" w:rsidP="00EE5476">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p>
    <w:p w14:paraId="0C13864C" w14:textId="77777777" w:rsidR="00C151BE" w:rsidRPr="00424AE2" w:rsidRDefault="00C151BE" w:rsidP="00EE5476">
      <w:pPr>
        <w:spacing w:line="276" w:lineRule="auto"/>
        <w:ind w:left="851" w:right="616"/>
        <w:jc w:val="both"/>
        <w:rPr>
          <w:rFonts w:ascii="Palatino Linotype" w:eastAsia="Palatino Linotype" w:hAnsi="Palatino Linotype" w:cs="Palatino Linotype"/>
          <w:b/>
          <w:i/>
          <w:sz w:val="22"/>
          <w:szCs w:val="22"/>
        </w:rPr>
      </w:pPr>
      <w:r w:rsidRPr="00424AE2">
        <w:rPr>
          <w:rFonts w:ascii="Palatino Linotype" w:eastAsia="Palatino Linotype" w:hAnsi="Palatino Linotype" w:cs="Palatino Linotype"/>
          <w:b/>
          <w:i/>
          <w:sz w:val="22"/>
          <w:szCs w:val="22"/>
        </w:rPr>
        <w:t>X. El número total de las plazas y del personal de base y confianza, especificando el total de las vacantes, por nivel de puesto, para cada unidad administrativa</w:t>
      </w:r>
    </w:p>
    <w:p w14:paraId="6413C336" w14:textId="77777777" w:rsidR="00C151BE" w:rsidRPr="00424AE2" w:rsidRDefault="00C151BE" w:rsidP="00EE5476">
      <w:pPr>
        <w:spacing w:line="276" w:lineRule="auto"/>
        <w:ind w:left="851" w:right="616"/>
        <w:jc w:val="both"/>
        <w:rPr>
          <w:rFonts w:ascii="Palatino Linotype" w:eastAsia="Palatino Linotype" w:hAnsi="Palatino Linotype" w:cs="Palatino Linotype"/>
          <w:i/>
          <w:sz w:val="22"/>
          <w:szCs w:val="22"/>
        </w:rPr>
      </w:pPr>
    </w:p>
    <w:p w14:paraId="6534D1E5" w14:textId="77777777" w:rsidR="00C151BE" w:rsidRPr="00424AE2" w:rsidRDefault="00C151BE" w:rsidP="00EE5476">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En este apartado los sujetos obligados publicarán información con base en su estructura orgánica vigente, aprobada y registrada por el órgano competente. Desde cada nivel de estructura se deberá incluir el listado de las áreas que le están subordinadas jerárquicamente y desde cada área se desplegará el listado con el total de plazas tanto de base como de confianza, sean de carácter permanente o eventual, de tal forma que se señale cuáles están ocupadas y cuáles vacantes, así como los totales. La información a que se refiere esta fracción deberá guardar coherencia con lo publicado en las fracciones II (estructura orgánica), III (facultades de cada área), VII (directorio), VIII (remuneración) y XIV (convocatorias a concursos para ocupar cargos públicos y los resultados de los mismos) del artículo 70 de la Ley General. Los catálogos de clave o nivel del puesto y denominación de los mismos serán las llaves que enlacen con el resto de la información</w:t>
      </w:r>
    </w:p>
    <w:p w14:paraId="33650E97" w14:textId="77777777" w:rsidR="004F5FA4" w:rsidRPr="00424AE2" w:rsidRDefault="004F5FA4" w:rsidP="001A44D0">
      <w:pPr>
        <w:widowControl w:val="0"/>
        <w:spacing w:line="360" w:lineRule="auto"/>
        <w:jc w:val="both"/>
        <w:rPr>
          <w:rFonts w:ascii="Palatino Linotype" w:eastAsia="Palatino Linotype" w:hAnsi="Palatino Linotype" w:cs="Palatino Linotype"/>
          <w:strike/>
          <w:sz w:val="22"/>
          <w:szCs w:val="22"/>
        </w:rPr>
      </w:pPr>
    </w:p>
    <w:p w14:paraId="30B8EBA6" w14:textId="3F883A9B" w:rsidR="00270670" w:rsidRPr="00424AE2" w:rsidRDefault="00655383" w:rsidP="001A44D0">
      <w:pPr>
        <w:widowControl w:val="0"/>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En consecuencia, podemos concluir </w:t>
      </w:r>
      <w:r w:rsidR="00264EBB" w:rsidRPr="00424AE2">
        <w:rPr>
          <w:rFonts w:ascii="Palatino Linotype" w:eastAsia="Palatino Linotype" w:hAnsi="Palatino Linotype" w:cs="Palatino Linotype"/>
          <w:sz w:val="22"/>
          <w:szCs w:val="22"/>
        </w:rPr>
        <w:t>que el</w:t>
      </w:r>
      <w:r w:rsidR="00264EBB" w:rsidRPr="00424AE2">
        <w:rPr>
          <w:rFonts w:ascii="Palatino Linotype" w:eastAsia="Palatino Linotype" w:hAnsi="Palatino Linotype" w:cs="Palatino Linotype"/>
          <w:b/>
          <w:sz w:val="22"/>
          <w:szCs w:val="22"/>
        </w:rPr>
        <w:t xml:space="preserve"> Sujeto Obligado </w:t>
      </w:r>
      <w:r w:rsidRPr="00424AE2">
        <w:rPr>
          <w:rFonts w:ascii="Palatino Linotype" w:eastAsia="Palatino Linotype" w:hAnsi="Palatino Linotype" w:cs="Palatino Linotype"/>
          <w:sz w:val="22"/>
          <w:szCs w:val="22"/>
        </w:rPr>
        <w:t>se encuentra en posibilidad de atender lo solicitado, motivo por el que se ordena</w:t>
      </w:r>
      <w:r w:rsidR="00AC18B6" w:rsidRPr="00424AE2">
        <w:rPr>
          <w:rFonts w:ascii="Palatino Linotype" w:eastAsia="Palatino Linotype" w:hAnsi="Palatino Linotype" w:cs="Palatino Linotype"/>
          <w:sz w:val="22"/>
          <w:szCs w:val="22"/>
        </w:rPr>
        <w:t xml:space="preserve"> la entrega de</w:t>
      </w:r>
      <w:r w:rsidR="00264EBB" w:rsidRPr="00424AE2">
        <w:rPr>
          <w:rFonts w:ascii="Palatino Linotype" w:eastAsia="Palatino Linotype" w:hAnsi="Palatino Linotype" w:cs="Palatino Linotype"/>
          <w:sz w:val="22"/>
          <w:szCs w:val="22"/>
        </w:rPr>
        <w:t>l documento en donde conste el total de servidores públicos que integran la plantilla del Instituto Municipal de Cultura Física y Deporte de C</w:t>
      </w:r>
      <w:r w:rsidR="008B69D3" w:rsidRPr="00424AE2">
        <w:rPr>
          <w:rFonts w:ascii="Palatino Linotype" w:eastAsia="Palatino Linotype" w:hAnsi="Palatino Linotype" w:cs="Palatino Linotype"/>
          <w:sz w:val="22"/>
          <w:szCs w:val="22"/>
        </w:rPr>
        <w:t xml:space="preserve">hicoloapan, vigente a </w:t>
      </w:r>
      <w:r w:rsidR="00264EBB" w:rsidRPr="00424AE2">
        <w:rPr>
          <w:rFonts w:ascii="Palatino Linotype" w:eastAsia="Palatino Linotype" w:hAnsi="Palatino Linotype" w:cs="Palatino Linotype"/>
          <w:sz w:val="22"/>
          <w:szCs w:val="22"/>
        </w:rPr>
        <w:t>la segunda quincena de julio de dos mil veinticuatro</w:t>
      </w:r>
      <w:r w:rsidR="001A44D0" w:rsidRPr="00424AE2">
        <w:rPr>
          <w:rFonts w:ascii="Palatino Linotype" w:eastAsia="Palatino Linotype" w:hAnsi="Palatino Linotype" w:cs="Palatino Linotype"/>
          <w:sz w:val="22"/>
          <w:szCs w:val="22"/>
        </w:rPr>
        <w:t xml:space="preserve">, de ser procedente en versión publica, en términos del considerando quinto. </w:t>
      </w:r>
    </w:p>
    <w:p w14:paraId="7C7CE522" w14:textId="77777777" w:rsidR="001A44D0" w:rsidRPr="00424AE2" w:rsidRDefault="001A44D0" w:rsidP="001A44D0">
      <w:pPr>
        <w:widowControl w:val="0"/>
        <w:spacing w:line="360" w:lineRule="auto"/>
        <w:jc w:val="both"/>
        <w:rPr>
          <w:rFonts w:ascii="Palatino Linotype" w:eastAsia="Palatino Linotype" w:hAnsi="Palatino Linotype" w:cs="Palatino Linotype"/>
          <w:sz w:val="22"/>
          <w:szCs w:val="22"/>
        </w:rPr>
      </w:pPr>
    </w:p>
    <w:p w14:paraId="57B59E9A" w14:textId="4DD1AB07" w:rsidR="00270670" w:rsidRPr="00424AE2" w:rsidRDefault="00270670" w:rsidP="00270670">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lang w:val="es-ES_tradnl"/>
        </w:rPr>
        <w:t xml:space="preserve">Precisado lo anterior, no escapa de la óptica de este Organismo Garante que la parte </w:t>
      </w:r>
      <w:r w:rsidRPr="00424AE2">
        <w:rPr>
          <w:rFonts w:ascii="Palatino Linotype" w:eastAsia="Palatino Linotype" w:hAnsi="Palatino Linotype" w:cs="Palatino Linotype"/>
          <w:b/>
          <w:bCs/>
          <w:sz w:val="22"/>
          <w:szCs w:val="22"/>
          <w:lang w:val="es-ES_tradnl"/>
        </w:rPr>
        <w:t xml:space="preserve">Recurrente </w:t>
      </w:r>
      <w:r w:rsidRPr="00424AE2">
        <w:rPr>
          <w:rFonts w:ascii="Palatino Linotype" w:eastAsia="Palatino Linotype" w:hAnsi="Palatino Linotype" w:cs="Palatino Linotype"/>
          <w:sz w:val="22"/>
          <w:szCs w:val="22"/>
          <w:lang w:val="es-ES_tradnl"/>
        </w:rPr>
        <w:t xml:space="preserve">al momento de interponer el recurso de revisión de mérito, en las razones y motivos de inconformidad manifestó: </w:t>
      </w:r>
      <w:r w:rsidRPr="00424AE2">
        <w:rPr>
          <w:rFonts w:ascii="Palatino Linotype" w:eastAsia="Palatino Linotype" w:hAnsi="Palatino Linotype" w:cs="Palatino Linotype"/>
          <w:i/>
          <w:iCs/>
          <w:sz w:val="22"/>
          <w:szCs w:val="22"/>
          <w:lang w:val="es-ES_tradnl"/>
        </w:rPr>
        <w:t xml:space="preserve">“… </w:t>
      </w:r>
      <w:r w:rsidR="00957E71" w:rsidRPr="00424AE2">
        <w:rPr>
          <w:rFonts w:ascii="Palatino Linotype" w:eastAsia="Palatino Linotype" w:hAnsi="Palatino Linotype" w:cs="Palatino Linotype"/>
          <w:i/>
          <w:iCs/>
          <w:sz w:val="22"/>
          <w:szCs w:val="22"/>
          <w:lang w:val="es-ES_tradnl"/>
        </w:rPr>
        <w:t>¿</w:t>
      </w:r>
      <w:proofErr w:type="spellStart"/>
      <w:r w:rsidR="00957E71" w:rsidRPr="00424AE2">
        <w:rPr>
          <w:rFonts w:ascii="Palatino Linotype" w:eastAsia="Palatino Linotype" w:hAnsi="Palatino Linotype" w:cs="Palatino Linotype"/>
          <w:i/>
          <w:iCs/>
          <w:sz w:val="22"/>
          <w:szCs w:val="22"/>
          <w:lang w:val="es-ES_tradnl"/>
        </w:rPr>
        <w:t>quienes</w:t>
      </w:r>
      <w:proofErr w:type="spellEnd"/>
      <w:r w:rsidR="00957E71" w:rsidRPr="00424AE2">
        <w:rPr>
          <w:rFonts w:ascii="Palatino Linotype" w:eastAsia="Palatino Linotype" w:hAnsi="Palatino Linotype" w:cs="Palatino Linotype"/>
          <w:i/>
          <w:iCs/>
          <w:sz w:val="22"/>
          <w:szCs w:val="22"/>
          <w:lang w:val="es-ES_tradnl"/>
        </w:rPr>
        <w:t xml:space="preserve"> son … las personas que ahí laboran y se </w:t>
      </w:r>
      <w:r w:rsidR="00957E71" w:rsidRPr="00424AE2">
        <w:rPr>
          <w:rFonts w:ascii="Palatino Linotype" w:eastAsia="Palatino Linotype" w:hAnsi="Palatino Linotype" w:cs="Palatino Linotype"/>
          <w:i/>
          <w:iCs/>
          <w:sz w:val="22"/>
          <w:szCs w:val="22"/>
          <w:lang w:val="es-ES_tradnl"/>
        </w:rPr>
        <w:lastRenderedPageBreak/>
        <w:t xml:space="preserve">ostentan con un gafete de servidor </w:t>
      </w:r>
      <w:proofErr w:type="spellStart"/>
      <w:r w:rsidR="00957E71" w:rsidRPr="00424AE2">
        <w:rPr>
          <w:rFonts w:ascii="Palatino Linotype" w:eastAsia="Palatino Linotype" w:hAnsi="Palatino Linotype" w:cs="Palatino Linotype"/>
          <w:i/>
          <w:iCs/>
          <w:sz w:val="22"/>
          <w:szCs w:val="22"/>
          <w:lang w:val="es-ES_tradnl"/>
        </w:rPr>
        <w:t>publico</w:t>
      </w:r>
      <w:proofErr w:type="spellEnd"/>
      <w:r w:rsidR="00957E71" w:rsidRPr="00424AE2">
        <w:rPr>
          <w:rFonts w:ascii="Palatino Linotype" w:eastAsia="Palatino Linotype" w:hAnsi="Palatino Linotype" w:cs="Palatino Linotype"/>
          <w:i/>
          <w:iCs/>
          <w:sz w:val="22"/>
          <w:szCs w:val="22"/>
          <w:lang w:val="es-ES_tradnl"/>
        </w:rPr>
        <w:t xml:space="preserve">? ¿Que acaso el gobierno municipal no ha depositado el recurso destinado en el presupuesto para el IMCUFIDE? </w:t>
      </w:r>
      <w:r w:rsidRPr="00424AE2">
        <w:rPr>
          <w:rFonts w:ascii="Palatino Linotype" w:eastAsia="Palatino Linotype" w:hAnsi="Palatino Linotype" w:cs="Palatino Linotype"/>
          <w:i/>
          <w:iCs/>
          <w:sz w:val="22"/>
          <w:szCs w:val="22"/>
          <w:lang w:val="es-ES_tradnl"/>
        </w:rPr>
        <w:t xml:space="preserve">…” </w:t>
      </w:r>
      <w:r w:rsidRPr="00424AE2">
        <w:rPr>
          <w:rFonts w:ascii="Palatino Linotype" w:eastAsia="Palatino Linotype" w:hAnsi="Palatino Linotype" w:cs="Palatino Linotype"/>
          <w:sz w:val="22"/>
          <w:szCs w:val="22"/>
        </w:rPr>
        <w:t xml:space="preserve">pronunciamiento del cual se desprende que la persona solicitante pretendió ampliar su solicitud, es decir, lo precisado no fue requerido en un primer momento en dichos términos. En este sentido, dichos pronunciamientos se traducen como </w:t>
      </w:r>
      <w:proofErr w:type="gramStart"/>
      <w:r w:rsidRPr="00424AE2">
        <w:rPr>
          <w:rFonts w:ascii="Palatino Linotype" w:eastAsia="Palatino Linotype" w:hAnsi="Palatino Linotype" w:cs="Palatino Linotype"/>
          <w:sz w:val="22"/>
          <w:szCs w:val="22"/>
        </w:rPr>
        <w:t xml:space="preserve">una </w:t>
      </w:r>
      <w:r w:rsidRPr="00424AE2">
        <w:rPr>
          <w:rFonts w:ascii="Palatino Linotype" w:eastAsia="Palatino Linotype" w:hAnsi="Palatino Linotype" w:cs="Palatino Linotype"/>
          <w:i/>
          <w:sz w:val="22"/>
          <w:szCs w:val="22"/>
        </w:rPr>
        <w:t>plus</w:t>
      </w:r>
      <w:proofErr w:type="gramEnd"/>
      <w:r w:rsidRPr="00424AE2">
        <w:rPr>
          <w:rFonts w:ascii="Palatino Linotype" w:eastAsia="Palatino Linotype" w:hAnsi="Palatino Linotype" w:cs="Palatino Linotype"/>
          <w:i/>
          <w:sz w:val="22"/>
          <w:szCs w:val="22"/>
        </w:rPr>
        <w:t xml:space="preserve"> </w:t>
      </w:r>
      <w:proofErr w:type="spellStart"/>
      <w:r w:rsidRPr="00424AE2">
        <w:rPr>
          <w:rFonts w:ascii="Palatino Linotype" w:eastAsia="Palatino Linotype" w:hAnsi="Palatino Linotype" w:cs="Palatino Linotype"/>
          <w:i/>
          <w:sz w:val="22"/>
          <w:szCs w:val="22"/>
        </w:rPr>
        <w:t>petitio</w:t>
      </w:r>
      <w:proofErr w:type="spellEnd"/>
      <w:r w:rsidRPr="00424AE2">
        <w:rPr>
          <w:rFonts w:ascii="Palatino Linotype" w:eastAsia="Palatino Linotype" w:hAnsi="Palatino Linotype" w:cs="Palatino Linotype"/>
          <w:b/>
          <w:i/>
          <w:sz w:val="22"/>
          <w:szCs w:val="22"/>
        </w:rPr>
        <w:t xml:space="preserve">, </w:t>
      </w:r>
      <w:r w:rsidRPr="00424AE2">
        <w:rPr>
          <w:rFonts w:ascii="Palatino Linotype" w:eastAsia="Palatino Linotype" w:hAnsi="Palatino Linotype" w:cs="Palatino Linotype"/>
          <w:sz w:val="22"/>
          <w:szCs w:val="22"/>
        </w:rPr>
        <w:t xml:space="preserve">y por tanto inatendibles a través del recurso de revisión. </w:t>
      </w:r>
    </w:p>
    <w:p w14:paraId="6D926EAE"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p>
    <w:p w14:paraId="25AD0944"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En este orden de ideas, una vez formulada su solicitud inicial,</w:t>
      </w:r>
      <w:r w:rsidRPr="00424AE2">
        <w:rPr>
          <w:rFonts w:ascii="Palatino Linotype" w:eastAsia="Palatino Linotype" w:hAnsi="Palatino Linotype" w:cs="Palatino Linotype"/>
          <w:i/>
          <w:sz w:val="22"/>
          <w:szCs w:val="22"/>
        </w:rPr>
        <w:t xml:space="preserve"> </w:t>
      </w:r>
      <w:r w:rsidRPr="00424AE2">
        <w:rPr>
          <w:rFonts w:ascii="Palatino Linotype" w:eastAsia="Palatino Linotype" w:hAnsi="Palatino Linotype" w:cs="Palatino Linotype"/>
          <w:sz w:val="22"/>
          <w:szCs w:val="22"/>
        </w:rPr>
        <w:t>los particulares no pueden modificarla o ampliarla a través de posteriores promociones o en el momento de ingresar su recurso de revisión y menos aún si les fue otorgada la oportunidad para su ampliación, por tanto, la materia de las solicitudes de información se circunscribe a que se permita el acceso a los documentos inicialmente solicitados y en su caso a los aclarados o corregidos.</w:t>
      </w:r>
    </w:p>
    <w:p w14:paraId="7A493983"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p>
    <w:p w14:paraId="66303F30"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3F50427"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p>
    <w:p w14:paraId="49AD45B4" w14:textId="77777777" w:rsidR="00270670" w:rsidRPr="00424AE2" w:rsidRDefault="00270670" w:rsidP="00957E71">
      <w:pP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r w:rsidRPr="00424AE2">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424AE2">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424AE2">
        <w:rPr>
          <w:rFonts w:ascii="Palatino Linotype" w:eastAsia="Palatino Linotype" w:hAnsi="Palatino Linotype" w:cs="Palatino Linotype"/>
          <w:b/>
          <w:i/>
          <w:sz w:val="22"/>
          <w:szCs w:val="22"/>
        </w:rPr>
        <w:t>.</w:t>
      </w:r>
      <w:r w:rsidRPr="00424AE2">
        <w:rPr>
          <w:rFonts w:ascii="Palatino Linotype" w:eastAsia="Palatino Linotype" w:hAnsi="Palatino Linotype" w:cs="Palatino Linotype"/>
          <w:i/>
          <w:sz w:val="22"/>
          <w:szCs w:val="22"/>
        </w:rPr>
        <w:t>”</w:t>
      </w:r>
    </w:p>
    <w:p w14:paraId="1757D5B2"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p>
    <w:p w14:paraId="1FADD632" w14:textId="77777777" w:rsidR="00270670" w:rsidRPr="00424AE2" w:rsidRDefault="00270670" w:rsidP="00270670">
      <w:pP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lastRenderedPageBreak/>
        <w:t xml:space="preserve">No obstante, de lo anterior, se dejan a salvo los derechos de la persona solicitante, para que, en caso de considerar conveniente a sus intereses, el conocer la información que fue señalada, </w:t>
      </w:r>
      <w:r w:rsidRPr="00424AE2">
        <w:rPr>
          <w:rFonts w:ascii="Palatino Linotype" w:eastAsia="Palatino Linotype" w:hAnsi="Palatino Linotype" w:cs="Palatino Linotype"/>
          <w:b/>
          <w:sz w:val="22"/>
          <w:szCs w:val="22"/>
        </w:rPr>
        <w:t>la solicite a través de una nueva solicitud de información, señalando de manera clara y precisa la información y/o documentación a la que pretende acceder mediante el ejercicio del derecho de acceso a la informació</w:t>
      </w:r>
      <w:r w:rsidRPr="00424AE2">
        <w:rPr>
          <w:rFonts w:ascii="Palatino Linotype" w:eastAsia="Palatino Linotype" w:hAnsi="Palatino Linotype" w:cs="Palatino Linotype"/>
          <w:sz w:val="22"/>
          <w:szCs w:val="22"/>
        </w:rPr>
        <w:t>n.</w:t>
      </w:r>
    </w:p>
    <w:p w14:paraId="33440723" w14:textId="77777777" w:rsidR="000F491D" w:rsidRPr="00424AE2" w:rsidRDefault="000F491D" w:rsidP="000F491D">
      <w:pPr>
        <w:spacing w:line="360" w:lineRule="auto"/>
        <w:jc w:val="both"/>
        <w:rPr>
          <w:rFonts w:ascii="Palatino Linotype" w:eastAsia="Palatino Linotype" w:hAnsi="Palatino Linotype" w:cs="Palatino Linotype"/>
          <w:sz w:val="22"/>
          <w:szCs w:val="22"/>
        </w:rPr>
      </w:pPr>
    </w:p>
    <w:p w14:paraId="4658C60D" w14:textId="60907483" w:rsidR="00AC18B6" w:rsidRPr="00424AE2" w:rsidRDefault="00692C77" w:rsidP="0081059A">
      <w:pPr>
        <w:spacing w:line="360" w:lineRule="auto"/>
        <w:jc w:val="both"/>
        <w:rPr>
          <w:rFonts w:ascii="Palatino Linotype" w:hAnsi="Palatino Linotype"/>
          <w:sz w:val="22"/>
          <w:szCs w:val="22"/>
        </w:rPr>
      </w:pPr>
      <w:r w:rsidRPr="00424AE2">
        <w:rPr>
          <w:rFonts w:ascii="Palatino Linotype" w:eastAsia="Palatino Linotype" w:hAnsi="Palatino Linotype" w:cs="Palatino Linotype"/>
          <w:b/>
          <w:sz w:val="22"/>
          <w:szCs w:val="22"/>
        </w:rPr>
        <w:t xml:space="preserve">Quinto. Versión Pública. </w:t>
      </w:r>
      <w:r w:rsidR="00AC18B6" w:rsidRPr="00424AE2">
        <w:rPr>
          <w:rFonts w:ascii="Palatino Linotype" w:eastAsia="Palatino Linotype" w:hAnsi="Palatino Linotype" w:cs="Palatino Linotype"/>
          <w:sz w:val="22"/>
          <w:szCs w:val="22"/>
        </w:rPr>
        <w:t xml:space="preserve">Como fue debidamente apuntado, </w:t>
      </w:r>
      <w:r w:rsidR="0081059A" w:rsidRPr="00424AE2">
        <w:rPr>
          <w:rFonts w:ascii="Palatino Linotype" w:eastAsia="Palatino Linotype" w:hAnsi="Palatino Linotype" w:cs="Palatino Linotype"/>
          <w:sz w:val="22"/>
          <w:szCs w:val="22"/>
        </w:rPr>
        <w:t>el</w:t>
      </w:r>
      <w:r w:rsidR="00AC18B6" w:rsidRPr="00424AE2">
        <w:rPr>
          <w:rFonts w:ascii="Palatino Linotype" w:eastAsia="Palatino Linotype" w:hAnsi="Palatino Linotype" w:cs="Palatino Linotype"/>
          <w:b/>
          <w:sz w:val="22"/>
          <w:szCs w:val="22"/>
        </w:rPr>
        <w:t> </w:t>
      </w:r>
      <w:r w:rsidR="0081059A" w:rsidRPr="00424AE2">
        <w:rPr>
          <w:rFonts w:ascii="Palatino Linotype" w:eastAsia="Palatino Linotype" w:hAnsi="Palatino Linotype" w:cs="Palatino Linotype"/>
          <w:b/>
          <w:sz w:val="22"/>
          <w:szCs w:val="22"/>
        </w:rPr>
        <w:t>Sujeto Obligado</w:t>
      </w:r>
      <w:r w:rsidR="0081059A" w:rsidRPr="00424AE2">
        <w:rPr>
          <w:rFonts w:ascii="Palatino Linotype" w:eastAsia="Palatino Linotype" w:hAnsi="Palatino Linotype" w:cs="Palatino Linotype"/>
          <w:sz w:val="22"/>
          <w:szCs w:val="22"/>
        </w:rPr>
        <w:t> </w:t>
      </w:r>
      <w:r w:rsidR="00AC18B6" w:rsidRPr="00424AE2">
        <w:rPr>
          <w:rFonts w:ascii="Palatino Linotype" w:eastAsia="Palatino Linotype" w:hAnsi="Palatino Linotype" w:cs="Palatino Linotype"/>
          <w:sz w:val="22"/>
          <w:szCs w:val="22"/>
        </w:rPr>
        <w:t>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56B2AAE7" w14:textId="77777777" w:rsidR="00AC18B6" w:rsidRPr="00424AE2" w:rsidRDefault="00AC18B6" w:rsidP="00AC18B6">
      <w:pPr>
        <w:spacing w:line="360" w:lineRule="auto"/>
        <w:jc w:val="both"/>
        <w:rPr>
          <w:rFonts w:ascii="Palatino Linotype" w:eastAsia="Palatino Linotype" w:hAnsi="Palatino Linotype" w:cs="Palatino Linotype"/>
          <w:i/>
          <w:sz w:val="22"/>
          <w:szCs w:val="22"/>
        </w:rPr>
      </w:pPr>
    </w:p>
    <w:p w14:paraId="1F533304" w14:textId="77777777" w:rsidR="00AC18B6" w:rsidRPr="00424AE2" w:rsidRDefault="00AC18B6" w:rsidP="00AC18B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5FD011AD" w14:textId="77777777" w:rsidR="00956711" w:rsidRPr="00424AE2" w:rsidRDefault="00956711" w:rsidP="00AC18B6">
      <w:pPr>
        <w:pBdr>
          <w:top w:val="nil"/>
          <w:left w:val="nil"/>
          <w:bottom w:val="nil"/>
          <w:right w:val="nil"/>
          <w:between w:val="nil"/>
        </w:pBdr>
        <w:spacing w:line="360" w:lineRule="auto"/>
        <w:ind w:right="49"/>
        <w:jc w:val="both"/>
        <w:rPr>
          <w:rFonts w:ascii="Palatino Linotype" w:hAnsi="Palatino Linotype"/>
          <w:sz w:val="22"/>
          <w:szCs w:val="22"/>
        </w:rPr>
      </w:pPr>
    </w:p>
    <w:p w14:paraId="55D8E4C9" w14:textId="77777777" w:rsidR="00AC18B6" w:rsidRPr="00424AE2" w:rsidRDefault="00AC18B6" w:rsidP="00AC18B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CCDE608" w14:textId="77777777" w:rsidR="00AC18B6" w:rsidRPr="00424AE2" w:rsidRDefault="00AC18B6" w:rsidP="00AC18B6">
      <w:pPr>
        <w:pBdr>
          <w:top w:val="nil"/>
          <w:left w:val="nil"/>
          <w:bottom w:val="nil"/>
          <w:right w:val="nil"/>
          <w:between w:val="nil"/>
        </w:pBdr>
        <w:spacing w:line="360" w:lineRule="auto"/>
        <w:ind w:right="49"/>
        <w:jc w:val="both"/>
        <w:rPr>
          <w:rFonts w:ascii="Palatino Linotype" w:hAnsi="Palatino Linotype"/>
          <w:sz w:val="22"/>
          <w:szCs w:val="22"/>
        </w:rPr>
      </w:pPr>
    </w:p>
    <w:p w14:paraId="01FEBA25" w14:textId="77777777" w:rsidR="00AC18B6" w:rsidRPr="00424AE2" w:rsidRDefault="00AC18B6" w:rsidP="00AC18B6">
      <w:pPr>
        <w:pBdr>
          <w:top w:val="nil"/>
          <w:left w:val="nil"/>
          <w:bottom w:val="nil"/>
          <w:right w:val="nil"/>
          <w:between w:val="nil"/>
        </w:pBdr>
        <w:spacing w:line="360" w:lineRule="auto"/>
        <w:ind w:right="49"/>
        <w:jc w:val="both"/>
        <w:rPr>
          <w:rFonts w:ascii="Palatino Linotype" w:hAnsi="Palatino Linotype"/>
          <w:sz w:val="22"/>
          <w:szCs w:val="22"/>
        </w:rPr>
      </w:pPr>
      <w:r w:rsidRPr="00424AE2">
        <w:rPr>
          <w:rFonts w:ascii="Palatino Linotype" w:eastAsia="Palatino Linotype" w:hAnsi="Palatino Linotype" w:cs="Palatino Linotype"/>
          <w:sz w:val="22"/>
          <w:szCs w:val="22"/>
        </w:rPr>
        <w:lastRenderedPageBreak/>
        <w:t>Al respecto, los artículos 3, fracciones IX, XX, XXI, XXXII, XLV; 6, 91, 137, 143 fracción I, de la Ley de Transparencia y Acceso a la Información Pública del Estado de México y Municipios vigente establecen:</w:t>
      </w:r>
    </w:p>
    <w:p w14:paraId="2437CD06"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0BC11FC6"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 </w:t>
      </w:r>
      <w:r w:rsidRPr="00424AE2">
        <w:rPr>
          <w:rFonts w:ascii="Palatino Linotype" w:eastAsia="Palatino Linotype" w:hAnsi="Palatino Linotype" w:cs="Palatino Linotype"/>
          <w:b/>
          <w:i/>
          <w:sz w:val="22"/>
          <w:szCs w:val="22"/>
        </w:rPr>
        <w:t>Artículo 3.</w:t>
      </w:r>
      <w:r w:rsidRPr="00424AE2">
        <w:rPr>
          <w:rFonts w:ascii="Palatino Linotype" w:eastAsia="Palatino Linotype" w:hAnsi="Palatino Linotype" w:cs="Palatino Linotype"/>
          <w:i/>
          <w:sz w:val="22"/>
          <w:szCs w:val="22"/>
        </w:rPr>
        <w:t xml:space="preserve"> Para los efectos de la presente Ley se entenderá por:</w:t>
      </w:r>
    </w:p>
    <w:p w14:paraId="0AECA914"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341F15F2"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IX. Datos personales</w:t>
      </w:r>
      <w:r w:rsidRPr="00424AE2">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2799A8CD"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4CED89AD"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XX. Información clasificada</w:t>
      </w:r>
      <w:r w:rsidRPr="00424AE2">
        <w:rPr>
          <w:rFonts w:ascii="Palatino Linotype" w:eastAsia="Palatino Linotype" w:hAnsi="Palatino Linotype" w:cs="Palatino Linotype"/>
          <w:i/>
          <w:sz w:val="22"/>
          <w:szCs w:val="22"/>
        </w:rPr>
        <w:t>: Aquella considerada por la presente Ley como reservada o confidencial;</w:t>
      </w:r>
    </w:p>
    <w:p w14:paraId="4FC79D72"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XXI. Información confidencial</w:t>
      </w:r>
      <w:r w:rsidRPr="00424AE2">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EFF1F6"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0B223227"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XXXII. Protección de Datos Personales</w:t>
      </w:r>
      <w:r w:rsidRPr="00424AE2">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39EAB618"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7C588BD5"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XLV. Versión pública</w:t>
      </w:r>
      <w:r w:rsidRPr="00424AE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BF977C4"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 Artículo 6</w:t>
      </w:r>
      <w:r w:rsidRPr="00424AE2">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C74911D"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 (…)</w:t>
      </w:r>
    </w:p>
    <w:p w14:paraId="7EEFE990"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lastRenderedPageBreak/>
        <w:t>Artículo 91.</w:t>
      </w:r>
      <w:r w:rsidRPr="00424AE2">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4E025F5"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361D1088"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Artículo 137.</w:t>
      </w:r>
      <w:r w:rsidRPr="00424AE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40FF3CC"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 Artículo 143.</w:t>
      </w:r>
      <w:r w:rsidRPr="00424AE2">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43088A0A"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I.</w:t>
      </w:r>
      <w:r w:rsidRPr="00424AE2">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9A46C90"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73E59C5D" w14:textId="77777777" w:rsidR="00AC18B6" w:rsidRPr="00424AE2" w:rsidRDefault="00AC18B6" w:rsidP="00AC18B6">
      <w:pPr>
        <w:spacing w:line="360" w:lineRule="auto"/>
        <w:rPr>
          <w:rFonts w:ascii="Palatino Linotype" w:hAnsi="Palatino Linotype"/>
          <w:sz w:val="22"/>
          <w:szCs w:val="22"/>
        </w:rPr>
      </w:pPr>
    </w:p>
    <w:p w14:paraId="4AAC83A3" w14:textId="5078351B" w:rsidR="00AC18B6" w:rsidRPr="00424AE2" w:rsidRDefault="00AC18B6" w:rsidP="00AC18B6">
      <w:pPr>
        <w:pBdr>
          <w:top w:val="nil"/>
          <w:left w:val="nil"/>
          <w:bottom w:val="nil"/>
          <w:right w:val="nil"/>
          <w:between w:val="nil"/>
        </w:pBdr>
        <w:spacing w:line="360" w:lineRule="auto"/>
        <w:ind w:right="50"/>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0081059A" w:rsidRPr="00424AE2">
        <w:rPr>
          <w:rFonts w:ascii="Palatino Linotype" w:eastAsia="Palatino Linotype" w:hAnsi="Palatino Linotype" w:cs="Palatino Linotype"/>
          <w:sz w:val="22"/>
          <w:szCs w:val="22"/>
        </w:rPr>
        <w:t xml:space="preserve">el </w:t>
      </w:r>
      <w:r w:rsidR="0081059A" w:rsidRPr="00424AE2">
        <w:rPr>
          <w:rFonts w:ascii="Palatino Linotype" w:eastAsia="Palatino Linotype" w:hAnsi="Palatino Linotype" w:cs="Palatino Linotype"/>
          <w:b/>
          <w:sz w:val="22"/>
          <w:szCs w:val="22"/>
        </w:rPr>
        <w:t xml:space="preserve">Sujeto Obligado </w:t>
      </w:r>
      <w:r w:rsidRPr="00424AE2">
        <w:rPr>
          <w:rFonts w:ascii="Palatino Linotype" w:eastAsia="Palatino Linotype" w:hAnsi="Palatino Linotype" w:cs="Palatino Linotype"/>
          <w:sz w:val="22"/>
          <w:szCs w:val="22"/>
        </w:rPr>
        <w:t xml:space="preserve">deberá proceder a testar los datos personales que se encuentre contenidos en los documentos a entregar para satisfacer el derecho de acceso a la información pública de </w:t>
      </w:r>
      <w:r w:rsidR="0081059A" w:rsidRPr="00424AE2">
        <w:rPr>
          <w:rFonts w:ascii="Palatino Linotype" w:eastAsia="Palatino Linotype" w:hAnsi="Palatino Linotype" w:cs="Palatino Linotype"/>
          <w:sz w:val="22"/>
          <w:szCs w:val="22"/>
        </w:rPr>
        <w:t>la parte</w:t>
      </w:r>
      <w:r w:rsidR="0081059A" w:rsidRPr="00424AE2">
        <w:rPr>
          <w:rFonts w:ascii="Palatino Linotype" w:eastAsia="Palatino Linotype" w:hAnsi="Palatino Linotype" w:cs="Palatino Linotype"/>
          <w:b/>
          <w:sz w:val="22"/>
          <w:szCs w:val="22"/>
        </w:rPr>
        <w:t xml:space="preserve"> Recurrente</w:t>
      </w:r>
      <w:r w:rsidRPr="00424AE2">
        <w:rPr>
          <w:rFonts w:ascii="Palatino Linotype" w:eastAsia="Palatino Linotype" w:hAnsi="Palatino Linotype" w:cs="Palatino Linotype"/>
          <w:b/>
          <w:sz w:val="22"/>
          <w:szCs w:val="22"/>
        </w:rPr>
        <w:t>,</w:t>
      </w:r>
      <w:r w:rsidRPr="00424AE2">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5742D4C3" w14:textId="77777777" w:rsidR="00AC18B6" w:rsidRPr="00424AE2" w:rsidRDefault="00AC18B6" w:rsidP="00AC18B6">
      <w:pPr>
        <w:spacing w:line="360" w:lineRule="auto"/>
        <w:rPr>
          <w:rFonts w:ascii="Palatino Linotype" w:hAnsi="Palatino Linotype"/>
          <w:sz w:val="22"/>
          <w:szCs w:val="22"/>
        </w:rPr>
      </w:pPr>
    </w:p>
    <w:p w14:paraId="39E920CB" w14:textId="77777777" w:rsidR="00AC18B6" w:rsidRPr="00424AE2" w:rsidRDefault="00AC18B6" w:rsidP="00AC18B6">
      <w:pPr>
        <w:pBdr>
          <w:top w:val="nil"/>
          <w:left w:val="nil"/>
          <w:bottom w:val="nil"/>
          <w:right w:val="nil"/>
          <w:between w:val="nil"/>
        </w:pBdr>
        <w:spacing w:line="360" w:lineRule="auto"/>
        <w:ind w:right="50"/>
        <w:jc w:val="both"/>
        <w:rPr>
          <w:rFonts w:ascii="Palatino Linotype" w:hAnsi="Palatino Linotype"/>
          <w:sz w:val="22"/>
          <w:szCs w:val="22"/>
        </w:rPr>
      </w:pPr>
      <w:r w:rsidRPr="00424AE2">
        <w:rPr>
          <w:rFonts w:ascii="Palatino Linotype" w:eastAsia="Palatino Linotype" w:hAnsi="Palatino Linotype" w:cs="Palatino Linotype"/>
          <w:sz w:val="22"/>
          <w:szCs w:val="22"/>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F9BF16D"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5C89A8BB" w14:textId="1923AEE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En el caso específico, dada la naturaleza de la información que se ordena, si bien tiene el carácter información pública en razón de que se trata de documentos que se encuentran en posesión del </w:t>
      </w:r>
      <w:r w:rsidR="0081059A"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424AE2">
        <w:rPr>
          <w:rFonts w:ascii="Palatino Linotype" w:eastAsia="Palatino Linotype" w:hAnsi="Palatino Linotype" w:cs="Palatino Linotype"/>
          <w:b/>
          <w:sz w:val="22"/>
          <w:szCs w:val="22"/>
        </w:rPr>
        <w:t>Registro Federal de Contribuyentes</w:t>
      </w:r>
      <w:r w:rsidRPr="00424AE2">
        <w:rPr>
          <w:rFonts w:ascii="Palatino Linotype" w:eastAsia="Palatino Linotype" w:hAnsi="Palatino Linotype" w:cs="Palatino Linotype"/>
          <w:sz w:val="22"/>
          <w:szCs w:val="22"/>
        </w:rPr>
        <w:t xml:space="preserve"> (RFC), la </w:t>
      </w:r>
      <w:r w:rsidRPr="00424AE2">
        <w:rPr>
          <w:rFonts w:ascii="Palatino Linotype" w:eastAsia="Palatino Linotype" w:hAnsi="Palatino Linotype" w:cs="Palatino Linotype"/>
          <w:b/>
          <w:sz w:val="22"/>
          <w:szCs w:val="22"/>
        </w:rPr>
        <w:t>Clave Única de Registro de Población</w:t>
      </w:r>
      <w:r w:rsidRPr="00424AE2">
        <w:rPr>
          <w:rFonts w:ascii="Palatino Linotype" w:eastAsia="Palatino Linotype" w:hAnsi="Palatino Linotype" w:cs="Palatino Linotype"/>
          <w:sz w:val="22"/>
          <w:szCs w:val="22"/>
        </w:rPr>
        <w:t xml:space="preserve"> (CURP), la </w:t>
      </w:r>
      <w:r w:rsidRPr="00424AE2">
        <w:rPr>
          <w:rFonts w:ascii="Palatino Linotype" w:eastAsia="Palatino Linotype" w:hAnsi="Palatino Linotype" w:cs="Palatino Linotype"/>
          <w:b/>
          <w:sz w:val="22"/>
          <w:szCs w:val="22"/>
        </w:rPr>
        <w:t>Clave de cualquier tipo de seguridad social</w:t>
      </w:r>
      <w:r w:rsidRPr="00424AE2">
        <w:rPr>
          <w:rFonts w:ascii="Palatino Linotype" w:eastAsia="Palatino Linotype" w:hAnsi="Palatino Linotype" w:cs="Palatino Linotype"/>
          <w:sz w:val="22"/>
          <w:szCs w:val="22"/>
        </w:rPr>
        <w:t xml:space="preserve"> (ISSEMYM, u otros), los </w:t>
      </w:r>
      <w:r w:rsidRPr="00424AE2">
        <w:rPr>
          <w:rFonts w:ascii="Palatino Linotype" w:eastAsia="Palatino Linotype" w:hAnsi="Palatino Linotype" w:cs="Palatino Linotype"/>
          <w:b/>
          <w:sz w:val="22"/>
          <w:szCs w:val="22"/>
        </w:rPr>
        <w:t>números de cuentas bancarias</w:t>
      </w:r>
      <w:r w:rsidRPr="00424AE2">
        <w:rPr>
          <w:rFonts w:ascii="Palatino Linotype" w:eastAsia="Palatino Linotype" w:hAnsi="Palatino Linotype" w:cs="Palatino Linotype"/>
          <w:sz w:val="22"/>
          <w:szCs w:val="22"/>
        </w:rPr>
        <w:t xml:space="preserve">, claves estandarizadas – interbancarias - (CLABES) y de tarjetas, los </w:t>
      </w:r>
      <w:r w:rsidRPr="00424AE2">
        <w:rPr>
          <w:rFonts w:ascii="Palatino Linotype" w:eastAsia="Palatino Linotype" w:hAnsi="Palatino Linotype" w:cs="Palatino Linotype"/>
          <w:b/>
          <w:sz w:val="22"/>
          <w:szCs w:val="22"/>
        </w:rPr>
        <w:t>préstamos o descuentos</w:t>
      </w:r>
      <w:r w:rsidRPr="00424AE2">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424AE2">
        <w:rPr>
          <w:rFonts w:ascii="Palatino Linotype" w:eastAsia="Palatino Linotype" w:hAnsi="Palatino Linotype" w:cs="Palatino Linotype"/>
          <w:b/>
          <w:sz w:val="22"/>
          <w:szCs w:val="22"/>
        </w:rPr>
        <w:t xml:space="preserve"> número de empleado, </w:t>
      </w:r>
      <w:r w:rsidRPr="00424AE2">
        <w:rPr>
          <w:rFonts w:ascii="Palatino Linotype" w:eastAsia="Palatino Linotype" w:hAnsi="Palatino Linotype" w:cs="Palatino Linotype"/>
          <w:sz w:val="22"/>
          <w:szCs w:val="22"/>
        </w:rPr>
        <w:t xml:space="preserve">así como de ser el caso, el </w:t>
      </w:r>
      <w:r w:rsidRPr="00424AE2">
        <w:rPr>
          <w:rFonts w:ascii="Palatino Linotype" w:eastAsia="Palatino Linotype" w:hAnsi="Palatino Linotype" w:cs="Palatino Linotype"/>
          <w:b/>
          <w:sz w:val="22"/>
          <w:szCs w:val="22"/>
        </w:rPr>
        <w:t>folio fiscal</w:t>
      </w:r>
      <w:r w:rsidRPr="00424AE2">
        <w:rPr>
          <w:rFonts w:ascii="Palatino Linotype" w:eastAsia="Palatino Linotype" w:hAnsi="Palatino Linotype" w:cs="Palatino Linotype"/>
          <w:sz w:val="22"/>
          <w:szCs w:val="22"/>
        </w:rPr>
        <w:t xml:space="preserve">, la  </w:t>
      </w:r>
      <w:r w:rsidRPr="00424AE2">
        <w:rPr>
          <w:rFonts w:ascii="Palatino Linotype" w:eastAsia="Palatino Linotype" w:hAnsi="Palatino Linotype" w:cs="Palatino Linotype"/>
          <w:b/>
          <w:sz w:val="22"/>
          <w:szCs w:val="22"/>
        </w:rPr>
        <w:t xml:space="preserve">cadena original, </w:t>
      </w:r>
      <w:r w:rsidRPr="00424AE2">
        <w:rPr>
          <w:rFonts w:ascii="Palatino Linotype" w:eastAsia="Palatino Linotype" w:hAnsi="Palatino Linotype" w:cs="Palatino Linotype"/>
          <w:sz w:val="22"/>
          <w:szCs w:val="22"/>
        </w:rPr>
        <w:t>los</w:t>
      </w:r>
      <w:r w:rsidRPr="00424AE2">
        <w:rPr>
          <w:rFonts w:ascii="Palatino Linotype" w:eastAsia="Palatino Linotype" w:hAnsi="Palatino Linotype" w:cs="Palatino Linotype"/>
          <w:b/>
          <w:sz w:val="22"/>
          <w:szCs w:val="22"/>
        </w:rPr>
        <w:t xml:space="preserve"> códigos bidimensionales o códigos QR,</w:t>
      </w:r>
      <w:r w:rsidRPr="00424AE2">
        <w:rPr>
          <w:rFonts w:ascii="Palatino Linotype" w:eastAsia="Palatino Linotype" w:hAnsi="Palatino Linotype" w:cs="Palatino Linotype"/>
          <w:sz w:val="22"/>
          <w:szCs w:val="22"/>
        </w:rPr>
        <w:t xml:space="preserve"> y cualquier información de carácter fiscal, bajo las siguientes consideraciones. </w:t>
      </w:r>
    </w:p>
    <w:p w14:paraId="281AE860" w14:textId="77777777" w:rsidR="00AC18B6" w:rsidRPr="00424AE2" w:rsidRDefault="00AC18B6" w:rsidP="00AC18B6">
      <w:pPr>
        <w:spacing w:line="360" w:lineRule="auto"/>
        <w:rPr>
          <w:rFonts w:ascii="Palatino Linotype" w:hAnsi="Palatino Linotype"/>
          <w:sz w:val="22"/>
          <w:szCs w:val="22"/>
        </w:rPr>
      </w:pPr>
    </w:p>
    <w:p w14:paraId="2B516792" w14:textId="77777777" w:rsidR="00AC18B6" w:rsidRPr="00424AE2" w:rsidRDefault="00AC18B6" w:rsidP="00AC18B6">
      <w:pPr>
        <w:pBdr>
          <w:top w:val="nil"/>
          <w:left w:val="nil"/>
          <w:bottom w:val="nil"/>
          <w:right w:val="nil"/>
          <w:between w:val="nil"/>
        </w:pBdr>
        <w:spacing w:line="360" w:lineRule="auto"/>
        <w:ind w:right="50"/>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Datos que deberá clasificar como confidenciales por tratarse precisamente de información privada, puesto que los datos personales son irrenunciables, intransferibles e indelegables </w:t>
      </w:r>
      <w:r w:rsidRPr="00424AE2">
        <w:rPr>
          <w:rFonts w:ascii="Palatino Linotype" w:eastAsia="Palatino Linotype" w:hAnsi="Palatino Linotype" w:cs="Palatino Linotype"/>
          <w:sz w:val="22"/>
          <w:szCs w:val="22"/>
        </w:rPr>
        <w:lastRenderedPageBreak/>
        <w:t>y los Sujetos Obligados no deberán hacer entrega de los mismos a personas ajenas a su titular.</w:t>
      </w:r>
    </w:p>
    <w:p w14:paraId="6CFF0475"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0E5AF418"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424AE2">
        <w:rPr>
          <w:rFonts w:ascii="Palatino Linotype" w:eastAsia="Palatino Linotype" w:hAnsi="Palatino Linotype" w:cs="Palatino Linotype"/>
          <w:sz w:val="22"/>
          <w:szCs w:val="22"/>
        </w:rPr>
        <w:t>homoclave</w:t>
      </w:r>
      <w:proofErr w:type="spellEnd"/>
      <w:r w:rsidRPr="00424AE2">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5252EC4C"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p>
    <w:p w14:paraId="5240068F"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D488BD0"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6328B208"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19/17, el cual es del tenor literal siguiente:</w:t>
      </w:r>
    </w:p>
    <w:p w14:paraId="2B42C655"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3BBF7429" w14:textId="4410AF86" w:rsidR="00AC18B6" w:rsidRPr="00424AE2" w:rsidRDefault="00250067" w:rsidP="00250067">
      <w:pPr>
        <w:pBdr>
          <w:top w:val="nil"/>
          <w:left w:val="nil"/>
          <w:bottom w:val="nil"/>
          <w:right w:val="nil"/>
          <w:between w:val="nil"/>
        </w:pBdr>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r w:rsidR="00AC18B6" w:rsidRPr="00424AE2">
        <w:rPr>
          <w:rFonts w:ascii="Palatino Linotype" w:eastAsia="Palatino Linotype" w:hAnsi="Palatino Linotype" w:cs="Palatino Linotype"/>
          <w:b/>
          <w:i/>
          <w:sz w:val="22"/>
          <w:szCs w:val="22"/>
        </w:rPr>
        <w:t>Registro Federal de Contribuyentes (RFC) de personas físicas</w:t>
      </w:r>
      <w:r w:rsidR="00AC18B6" w:rsidRPr="00424AE2">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r w:rsidRPr="00424AE2">
        <w:rPr>
          <w:rFonts w:ascii="Palatino Linotype" w:eastAsia="Palatino Linotype" w:hAnsi="Palatino Linotype" w:cs="Palatino Linotype"/>
          <w:i/>
          <w:sz w:val="22"/>
          <w:szCs w:val="22"/>
        </w:rPr>
        <w:t>”</w:t>
      </w:r>
    </w:p>
    <w:p w14:paraId="3AD81519" w14:textId="77777777" w:rsidR="00AC18B6" w:rsidRPr="00424AE2" w:rsidRDefault="00AC18B6" w:rsidP="00AC18B6">
      <w:pPr>
        <w:rPr>
          <w:rFonts w:ascii="Palatino Linotype" w:hAnsi="Palatino Linotype"/>
          <w:sz w:val="22"/>
          <w:szCs w:val="22"/>
        </w:rPr>
      </w:pPr>
    </w:p>
    <w:p w14:paraId="0EAE2F82"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424AE2">
        <w:rPr>
          <w:rFonts w:ascii="Palatino Linotype" w:eastAsia="Palatino Linotype" w:hAnsi="Palatino Linotype" w:cs="Palatino Linotype"/>
          <w:sz w:val="22"/>
          <w:szCs w:val="22"/>
        </w:rPr>
        <w:t>homoclave</w:t>
      </w:r>
      <w:proofErr w:type="spellEnd"/>
      <w:r w:rsidRPr="00424AE2">
        <w:rPr>
          <w:rFonts w:ascii="Palatino Linotype" w:eastAsia="Palatino Linotype" w:hAnsi="Palatino Linotype" w:cs="Palatino Linotype"/>
          <w:sz w:val="22"/>
          <w:szCs w:val="22"/>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w:t>
      </w:r>
      <w:r w:rsidRPr="00424AE2">
        <w:rPr>
          <w:rFonts w:ascii="Palatino Linotype" w:eastAsia="Palatino Linotype" w:hAnsi="Palatino Linotype" w:cs="Palatino Linotype"/>
          <w:sz w:val="22"/>
          <w:szCs w:val="22"/>
        </w:rPr>
        <w:lastRenderedPageBreak/>
        <w:t>Ley de Protección de Datos Personales en Posesión de los Sujetos Obligados del Estado de México y Municipios.</w:t>
      </w:r>
    </w:p>
    <w:p w14:paraId="4B615662"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03BC45E"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3FE93106"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700A9C27"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Argumento que es compartido por el Instituto Nacional de Transparencia, Acceso a la Información y Protección de Datos Personales, INAI, conforme al criterio 18/17, el cual refiere:</w:t>
      </w:r>
    </w:p>
    <w:p w14:paraId="6215705D" w14:textId="77777777" w:rsidR="00AC18B6" w:rsidRPr="00424AE2" w:rsidRDefault="00AC18B6" w:rsidP="00AC18B6">
      <w:pPr>
        <w:pBdr>
          <w:top w:val="nil"/>
          <w:left w:val="nil"/>
          <w:bottom w:val="nil"/>
          <w:right w:val="nil"/>
          <w:between w:val="nil"/>
        </w:pBdr>
        <w:spacing w:line="360" w:lineRule="auto"/>
        <w:ind w:left="864" w:right="864"/>
        <w:jc w:val="both"/>
        <w:rPr>
          <w:rFonts w:ascii="Palatino Linotype" w:hAnsi="Palatino Linotype"/>
          <w:sz w:val="22"/>
          <w:szCs w:val="22"/>
        </w:rPr>
      </w:pPr>
      <w:r w:rsidRPr="00424AE2">
        <w:rPr>
          <w:rFonts w:ascii="Palatino Linotype" w:hAnsi="Palatino Linotype"/>
          <w:i/>
          <w:sz w:val="22"/>
          <w:szCs w:val="22"/>
        </w:rPr>
        <w:t> </w:t>
      </w:r>
    </w:p>
    <w:p w14:paraId="6B8484B6"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5E42DA8" w14:textId="77777777" w:rsidR="00AC18B6" w:rsidRPr="00424AE2" w:rsidRDefault="00AC18B6" w:rsidP="00AC18B6">
      <w:pPr>
        <w:spacing w:line="360" w:lineRule="auto"/>
        <w:rPr>
          <w:rFonts w:ascii="Palatino Linotype" w:hAnsi="Palatino Linotype"/>
          <w:sz w:val="22"/>
          <w:szCs w:val="22"/>
        </w:rPr>
      </w:pPr>
    </w:p>
    <w:p w14:paraId="2DB86378"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15CCB97B" w14:textId="77777777" w:rsidR="00AC18B6" w:rsidRPr="00424AE2" w:rsidRDefault="00AC18B6" w:rsidP="00AC18B6">
      <w:pPr>
        <w:spacing w:line="360" w:lineRule="auto"/>
        <w:rPr>
          <w:rFonts w:ascii="Palatino Linotype" w:hAnsi="Palatino Linotype"/>
          <w:sz w:val="22"/>
          <w:szCs w:val="22"/>
        </w:rPr>
      </w:pPr>
    </w:p>
    <w:p w14:paraId="69F450B7"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lastRenderedPageBreak/>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5CC95CB0" w14:textId="77777777" w:rsidR="00AC18B6" w:rsidRPr="00424AE2" w:rsidRDefault="00AC18B6" w:rsidP="00AC18B6">
      <w:pPr>
        <w:spacing w:line="360" w:lineRule="auto"/>
        <w:rPr>
          <w:rFonts w:ascii="Palatino Linotype" w:hAnsi="Palatino Linotype"/>
          <w:sz w:val="22"/>
          <w:szCs w:val="22"/>
        </w:rPr>
      </w:pPr>
    </w:p>
    <w:p w14:paraId="33F5AE78"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33305F6" w14:textId="77777777" w:rsidR="00AC18B6" w:rsidRPr="00424AE2" w:rsidRDefault="00AC18B6" w:rsidP="00AC18B6">
      <w:pPr>
        <w:spacing w:line="360" w:lineRule="auto"/>
        <w:rPr>
          <w:rFonts w:ascii="Palatino Linotype" w:hAnsi="Palatino Linotype"/>
          <w:sz w:val="22"/>
          <w:szCs w:val="22"/>
        </w:rPr>
      </w:pPr>
    </w:p>
    <w:p w14:paraId="07789C71"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39164815" w14:textId="77777777" w:rsidR="00AC18B6" w:rsidRPr="00424AE2" w:rsidRDefault="00AC18B6" w:rsidP="00AC18B6">
      <w:pPr>
        <w:spacing w:line="360" w:lineRule="auto"/>
        <w:rPr>
          <w:rFonts w:ascii="Palatino Linotype" w:hAnsi="Palatino Linotype"/>
          <w:sz w:val="22"/>
          <w:szCs w:val="22"/>
        </w:rPr>
      </w:pPr>
    </w:p>
    <w:p w14:paraId="26D82DD7"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En esa virtud, este Pleno determina que dicha información no puede ser del dominio público, toda vez que se podría dar un uso inadecuado a la misma o cometer algún ilícito o fraude como ya ha sido expuesto. </w:t>
      </w:r>
    </w:p>
    <w:p w14:paraId="4E634D46"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2984ACC"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377A622E"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155207"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lastRenderedPageBreak/>
        <w:t>Lo argumentado encuentra sustento en los criterios 10/17 y 11/17 emitidos por el Instituto Nacional de Transparencia, Acceso a la Información y Protección de Datos Personales, INAI, que llevan por rubro y texto los siguientes:</w:t>
      </w:r>
    </w:p>
    <w:p w14:paraId="65F8D625"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163C302C"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Cuentas bancarias y/o CLABE interbancaria de personas físicas y morales privadas.</w:t>
      </w:r>
      <w:r w:rsidRPr="00424AE2">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E10BC96" w14:textId="77777777" w:rsidR="00AC18B6" w:rsidRPr="00424AE2" w:rsidRDefault="00AC18B6" w:rsidP="00250067">
      <w:pPr>
        <w:spacing w:line="276" w:lineRule="auto"/>
        <w:ind w:left="864" w:right="616"/>
        <w:rPr>
          <w:rFonts w:ascii="Palatino Linotype" w:hAnsi="Palatino Linotype"/>
          <w:sz w:val="22"/>
          <w:szCs w:val="22"/>
        </w:rPr>
      </w:pPr>
    </w:p>
    <w:p w14:paraId="031F8D9A"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424AE2">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C880EE1" w14:textId="77777777" w:rsidR="00AC18B6" w:rsidRPr="00424AE2" w:rsidRDefault="00AC18B6" w:rsidP="00AC18B6">
      <w:pPr>
        <w:rPr>
          <w:rFonts w:ascii="Palatino Linotype" w:hAnsi="Palatino Linotype"/>
          <w:sz w:val="22"/>
          <w:szCs w:val="22"/>
        </w:rPr>
      </w:pPr>
    </w:p>
    <w:p w14:paraId="3AAFC7F3"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Por cuanto hace a los </w:t>
      </w:r>
      <w:r w:rsidRPr="00424AE2">
        <w:rPr>
          <w:rFonts w:ascii="Palatino Linotype" w:eastAsia="Palatino Linotype" w:hAnsi="Palatino Linotype" w:cs="Palatino Linotype"/>
          <w:b/>
          <w:sz w:val="22"/>
          <w:szCs w:val="22"/>
        </w:rPr>
        <w:t>préstamos o descuentos de carácter personal</w:t>
      </w:r>
      <w:r w:rsidRPr="00424AE2">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282AFCF7" w14:textId="77777777" w:rsidR="0081059A" w:rsidRPr="00424AE2" w:rsidRDefault="0081059A" w:rsidP="00AC18B6">
      <w:pPr>
        <w:pBdr>
          <w:top w:val="nil"/>
          <w:left w:val="nil"/>
          <w:bottom w:val="nil"/>
          <w:right w:val="nil"/>
          <w:between w:val="nil"/>
        </w:pBdr>
        <w:spacing w:line="360" w:lineRule="auto"/>
        <w:jc w:val="both"/>
        <w:rPr>
          <w:rFonts w:ascii="Palatino Linotype" w:hAnsi="Palatino Linotype"/>
          <w:sz w:val="22"/>
          <w:szCs w:val="22"/>
        </w:rPr>
      </w:pPr>
    </w:p>
    <w:p w14:paraId="04968993"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1E288D25"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14BB7586"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 xml:space="preserve">ARTÍCULO 84. </w:t>
      </w:r>
      <w:r w:rsidRPr="00424AE2">
        <w:rPr>
          <w:rFonts w:ascii="Palatino Linotype" w:eastAsia="Palatino Linotype" w:hAnsi="Palatino Linotype" w:cs="Palatino Linotype"/>
          <w:i/>
          <w:sz w:val="22"/>
          <w:szCs w:val="22"/>
        </w:rPr>
        <w:t>Sólo podrán hacerse retenciones, descuentos o deducciones al sueldo de los servidores públicos por concepto de:</w:t>
      </w:r>
    </w:p>
    <w:p w14:paraId="7698482E"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lastRenderedPageBreak/>
        <w:t>I. Gravámenes fiscales relacionados con el sueldo;</w:t>
      </w:r>
    </w:p>
    <w:p w14:paraId="4B15F6E2"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II. Deudas contraídas con las instituciones públicas o dependencias por concepto de anticipos de sueldo, pagos hechos con exceso, errores o pérdidas debidamente comprobados;</w:t>
      </w:r>
    </w:p>
    <w:p w14:paraId="24AD24C7"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III. Cuotas sindicales;</w:t>
      </w:r>
    </w:p>
    <w:p w14:paraId="2168B69E"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49329A73"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355BF975"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247DC284"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VII. Faltas de puntualidad o de asistencia injustificadas;</w:t>
      </w:r>
    </w:p>
    <w:p w14:paraId="079C0099"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VIII. Pensiones alimenticias ordenadas por la autoridad judicial;</w:t>
      </w:r>
      <w:r w:rsidRPr="00424AE2">
        <w:rPr>
          <w:rFonts w:ascii="Palatino Linotype" w:eastAsia="Palatino Linotype" w:hAnsi="Palatino Linotype" w:cs="Palatino Linotype"/>
          <w:i/>
          <w:sz w:val="22"/>
          <w:szCs w:val="22"/>
        </w:rPr>
        <w:t xml:space="preserve"> o</w:t>
      </w:r>
    </w:p>
    <w:p w14:paraId="06CF9B5E"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IX. Cualquier otro convenido con instituciones de servicios y aceptado por el servidor público.</w:t>
      </w:r>
    </w:p>
    <w:p w14:paraId="658817F3"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10BA4F6"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26C4497C"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343E4E6"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B13700"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Con relación al </w:t>
      </w:r>
      <w:r w:rsidRPr="00424AE2">
        <w:rPr>
          <w:rFonts w:ascii="Palatino Linotype" w:eastAsia="Palatino Linotype" w:hAnsi="Palatino Linotype" w:cs="Palatino Linotype"/>
          <w:b/>
          <w:sz w:val="22"/>
          <w:szCs w:val="22"/>
        </w:rPr>
        <w:t>número de empleado</w:t>
      </w:r>
      <w:r w:rsidRPr="00424AE2">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1F97E6F9"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2184AE8F"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7A295E17" w14:textId="77777777" w:rsidR="00AC18B6" w:rsidRPr="00424AE2" w:rsidRDefault="00AC18B6" w:rsidP="00250067">
      <w:pPr>
        <w:pBdr>
          <w:top w:val="nil"/>
          <w:left w:val="nil"/>
          <w:bottom w:val="nil"/>
          <w:right w:val="nil"/>
          <w:between w:val="nil"/>
        </w:pBdr>
        <w:spacing w:line="276" w:lineRule="auto"/>
        <w:ind w:left="862" w:right="616"/>
        <w:jc w:val="both"/>
        <w:rPr>
          <w:rFonts w:ascii="Palatino Linotype" w:hAnsi="Palatino Linotype"/>
          <w:sz w:val="22"/>
          <w:szCs w:val="22"/>
        </w:rPr>
      </w:pPr>
      <w:r w:rsidRPr="00424AE2">
        <w:rPr>
          <w:rFonts w:ascii="Palatino Linotype" w:eastAsia="Palatino Linotype" w:hAnsi="Palatino Linotype" w:cs="Palatino Linotype"/>
          <w:b/>
          <w:i/>
          <w:sz w:val="22"/>
          <w:szCs w:val="22"/>
        </w:rPr>
        <w:t xml:space="preserve">Número de empleado. </w:t>
      </w:r>
      <w:r w:rsidRPr="00424AE2">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00B96C3"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77A37ACC" w14:textId="1FEED340"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0081059A" w:rsidRPr="00424AE2">
        <w:rPr>
          <w:rFonts w:ascii="Palatino Linotype" w:eastAsia="Palatino Linotype" w:hAnsi="Palatino Linotype" w:cs="Palatino Linotype"/>
          <w:sz w:val="22"/>
          <w:szCs w:val="22"/>
        </w:rPr>
        <w:t>el</w:t>
      </w:r>
      <w:r w:rsidRPr="00424AE2">
        <w:rPr>
          <w:rFonts w:ascii="Palatino Linotype" w:eastAsia="Palatino Linotype" w:hAnsi="Palatino Linotype" w:cs="Palatino Linotype"/>
          <w:b/>
          <w:sz w:val="22"/>
          <w:szCs w:val="22"/>
        </w:rPr>
        <w:t xml:space="preserve"> </w:t>
      </w:r>
      <w:r w:rsidR="0081059A" w:rsidRPr="00424AE2">
        <w:rPr>
          <w:rFonts w:ascii="Palatino Linotype" w:eastAsia="Palatino Linotype" w:hAnsi="Palatino Linotype" w:cs="Palatino Linotype"/>
          <w:b/>
          <w:sz w:val="22"/>
          <w:szCs w:val="22"/>
        </w:rPr>
        <w:t>Sujeto Obligado</w:t>
      </w:r>
      <w:r w:rsidR="0081059A"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deberá acatar lo establecido y de ser procedente, entregará el número de empleado o equivalente de los </w:t>
      </w:r>
      <w:r w:rsidRPr="00424AE2">
        <w:rPr>
          <w:rFonts w:ascii="Palatino Linotype" w:eastAsia="Palatino Linotype" w:hAnsi="Palatino Linotype" w:cs="Palatino Linotype"/>
          <w:sz w:val="22"/>
          <w:szCs w:val="22"/>
        </w:rPr>
        <w:lastRenderedPageBreak/>
        <w:t>servidores públicos materia de la solicitud, o en su caso, los clasificará como información confidencial, a través del Acuerdo emitido por su Comité de Transparencia conforme a la ley de la materia.</w:t>
      </w:r>
    </w:p>
    <w:p w14:paraId="55AADAA5" w14:textId="77777777" w:rsidR="00AC18B6" w:rsidRPr="00424AE2" w:rsidRDefault="00AC18B6" w:rsidP="00AC18B6">
      <w:pPr>
        <w:spacing w:line="360" w:lineRule="auto"/>
        <w:rPr>
          <w:rFonts w:ascii="Palatino Linotype" w:hAnsi="Palatino Linotype"/>
          <w:sz w:val="22"/>
          <w:szCs w:val="22"/>
        </w:rPr>
      </w:pPr>
      <w:r w:rsidRPr="00424AE2">
        <w:rPr>
          <w:rFonts w:ascii="Palatino Linotype" w:hAnsi="Palatino Linotype"/>
          <w:sz w:val="22"/>
          <w:szCs w:val="22"/>
        </w:rPr>
        <w:br/>
      </w:r>
      <w:r w:rsidRPr="00424AE2">
        <w:rPr>
          <w:rFonts w:ascii="Palatino Linotype" w:eastAsia="Palatino Linotype" w:hAnsi="Palatino Linotype" w:cs="Palatino Linotype"/>
          <w:b/>
          <w:sz w:val="22"/>
          <w:szCs w:val="22"/>
        </w:rPr>
        <w:t>De la información fiscal</w:t>
      </w:r>
      <w:r w:rsidRPr="00424AE2">
        <w:rPr>
          <w:rFonts w:ascii="Palatino Linotype" w:eastAsia="Palatino Linotype" w:hAnsi="Palatino Linotype" w:cs="Palatino Linotype"/>
          <w:sz w:val="22"/>
          <w:szCs w:val="22"/>
        </w:rPr>
        <w:t>: </w:t>
      </w:r>
    </w:p>
    <w:p w14:paraId="1692D392"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La </w:t>
      </w:r>
      <w:r w:rsidRPr="00424AE2">
        <w:rPr>
          <w:rFonts w:ascii="Palatino Linotype" w:eastAsia="Palatino Linotype" w:hAnsi="Palatino Linotype" w:cs="Palatino Linotype"/>
          <w:b/>
          <w:sz w:val="22"/>
          <w:szCs w:val="22"/>
        </w:rPr>
        <w:t>Cadena Original</w:t>
      </w:r>
      <w:r w:rsidRPr="00424AE2">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19CB4389" w14:textId="77777777" w:rsidR="00AC18B6" w:rsidRPr="00424AE2" w:rsidRDefault="00AC18B6" w:rsidP="00AC18B6">
      <w:pPr>
        <w:spacing w:line="360" w:lineRule="auto"/>
        <w:rPr>
          <w:rFonts w:ascii="Palatino Linotype" w:hAnsi="Palatino Linotype"/>
          <w:sz w:val="22"/>
          <w:szCs w:val="22"/>
        </w:rPr>
      </w:pPr>
    </w:p>
    <w:p w14:paraId="25EA9ACA"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Los </w:t>
      </w:r>
      <w:r w:rsidRPr="00424AE2">
        <w:rPr>
          <w:rFonts w:ascii="Palatino Linotype" w:eastAsia="Palatino Linotype" w:hAnsi="Palatino Linotype" w:cs="Palatino Linotype"/>
          <w:b/>
          <w:sz w:val="22"/>
          <w:szCs w:val="22"/>
        </w:rPr>
        <w:t>códigos bidimensionales</w:t>
      </w:r>
      <w:r w:rsidRPr="00424AE2">
        <w:rPr>
          <w:rFonts w:ascii="Palatino Linotype" w:eastAsia="Palatino Linotype" w:hAnsi="Palatino Linotype" w:cs="Palatino Linotype"/>
          <w:sz w:val="22"/>
          <w:szCs w:val="22"/>
        </w:rPr>
        <w:t xml:space="preserve"> o </w:t>
      </w:r>
      <w:r w:rsidRPr="00424AE2">
        <w:rPr>
          <w:rFonts w:ascii="Palatino Linotype" w:eastAsia="Palatino Linotype" w:hAnsi="Palatino Linotype" w:cs="Palatino Linotype"/>
          <w:b/>
          <w:sz w:val="22"/>
          <w:szCs w:val="22"/>
        </w:rPr>
        <w:t xml:space="preserve">códigos QR, </w:t>
      </w:r>
      <w:r w:rsidRPr="00424AE2">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424AE2">
        <w:rPr>
          <w:rFonts w:ascii="Palatino Linotype" w:eastAsia="Palatino Linotype" w:hAnsi="Palatino Linotype" w:cs="Palatino Linotype"/>
          <w:b/>
          <w:sz w:val="22"/>
          <w:szCs w:val="22"/>
        </w:rPr>
        <w:t xml:space="preserve">Sujeto Obligado </w:t>
      </w:r>
      <w:r w:rsidRPr="00424AE2">
        <w:rPr>
          <w:rFonts w:ascii="Palatino Linotype" w:eastAsia="Palatino Linotype" w:hAnsi="Palatino Linotype" w:cs="Palatino Linotype"/>
          <w:sz w:val="22"/>
          <w:szCs w:val="22"/>
        </w:rPr>
        <w:t>analizar dicha circunstancia con la finalidad de determinar si se actualiza algún supuesto de confidencialidad.</w:t>
      </w:r>
    </w:p>
    <w:p w14:paraId="3440FDD1" w14:textId="77777777" w:rsidR="00AC18B6" w:rsidRPr="00424AE2" w:rsidRDefault="00AC18B6" w:rsidP="00AC18B6">
      <w:pPr>
        <w:spacing w:line="360" w:lineRule="auto"/>
        <w:rPr>
          <w:rFonts w:ascii="Palatino Linotype" w:hAnsi="Palatino Linotype"/>
          <w:sz w:val="22"/>
          <w:szCs w:val="22"/>
        </w:rPr>
      </w:pPr>
    </w:p>
    <w:p w14:paraId="3C560AE0" w14:textId="404EFB36"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En tal sentido, si derivado del análisis efectuado por </w:t>
      </w:r>
      <w:r w:rsidR="0081059A" w:rsidRPr="00424AE2">
        <w:rPr>
          <w:rFonts w:ascii="Palatino Linotype" w:eastAsia="Palatino Linotype" w:hAnsi="Palatino Linotype" w:cs="Palatino Linotype"/>
          <w:sz w:val="22"/>
          <w:szCs w:val="22"/>
        </w:rPr>
        <w:t>el</w:t>
      </w:r>
      <w:r w:rsidRPr="00424AE2">
        <w:rPr>
          <w:rFonts w:ascii="Palatino Linotype" w:eastAsia="Palatino Linotype" w:hAnsi="Palatino Linotype" w:cs="Palatino Linotype"/>
          <w:b/>
          <w:sz w:val="22"/>
          <w:szCs w:val="22"/>
        </w:rPr>
        <w:t xml:space="preserve"> </w:t>
      </w:r>
      <w:r w:rsidR="0081059A" w:rsidRPr="00424AE2">
        <w:rPr>
          <w:rFonts w:ascii="Palatino Linotype" w:eastAsia="Palatino Linotype" w:hAnsi="Palatino Linotype" w:cs="Palatino Linotype"/>
          <w:b/>
          <w:sz w:val="22"/>
          <w:szCs w:val="22"/>
        </w:rPr>
        <w:t xml:space="preserve">Sujeto Obligado </w:t>
      </w:r>
      <w:r w:rsidRPr="00424AE2">
        <w:rPr>
          <w:rFonts w:ascii="Palatino Linotype" w:eastAsia="Palatino Linotype" w:hAnsi="Palatino Linotype" w:cs="Palatino Linotype"/>
          <w:sz w:val="22"/>
          <w:szCs w:val="22"/>
        </w:rPr>
        <w:t xml:space="preserve">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w:t>
      </w:r>
      <w:r w:rsidRPr="00424AE2">
        <w:rPr>
          <w:rFonts w:ascii="Palatino Linotype" w:eastAsia="Palatino Linotype" w:hAnsi="Palatino Linotype" w:cs="Palatino Linotype"/>
          <w:sz w:val="22"/>
          <w:szCs w:val="22"/>
        </w:rPr>
        <w:lastRenderedPageBreak/>
        <w:t>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4BEC05F2"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38ACF533" w14:textId="77777777" w:rsidR="00AC18B6" w:rsidRPr="00424AE2" w:rsidRDefault="00AC18B6" w:rsidP="00AC18B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424AE2">
        <w:rPr>
          <w:rFonts w:ascii="Palatino Linotype" w:eastAsia="Palatino Linotype" w:hAnsi="Palatino Linotype" w:cs="Palatino Linotype"/>
          <w:b/>
          <w:sz w:val="22"/>
          <w:szCs w:val="22"/>
          <w:u w:val="single"/>
        </w:rPr>
        <w:t>razones, motivos o circunstancias especiales</w:t>
      </w:r>
      <w:r w:rsidRPr="00424AE2">
        <w:rPr>
          <w:rFonts w:ascii="Palatino Linotype" w:eastAsia="Palatino Linotype" w:hAnsi="Palatino Linotype" w:cs="Palatino Linotype"/>
          <w:sz w:val="22"/>
          <w:szCs w:val="22"/>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5E4768A9"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p>
    <w:p w14:paraId="74871201" w14:textId="77777777" w:rsidR="00AC18B6" w:rsidRPr="00424AE2" w:rsidRDefault="00AC18B6" w:rsidP="00AC18B6">
      <w:pPr>
        <w:pBdr>
          <w:top w:val="nil"/>
          <w:left w:val="nil"/>
          <w:bottom w:val="nil"/>
          <w:right w:val="nil"/>
          <w:between w:val="nil"/>
        </w:pBdr>
        <w:spacing w:line="360" w:lineRule="auto"/>
        <w:ind w:right="50"/>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424AE2">
        <w:rPr>
          <w:rFonts w:ascii="Palatino Linotype" w:eastAsia="Palatino Linotype" w:hAnsi="Palatino Linotype" w:cs="Palatino Linotype"/>
          <w:sz w:val="22"/>
          <w:szCs w:val="22"/>
        </w:rPr>
        <w:t>Responsable</w:t>
      </w:r>
      <w:proofErr w:type="gramEnd"/>
      <w:r w:rsidRPr="00424AE2">
        <w:rPr>
          <w:rFonts w:ascii="Palatino Linotype" w:eastAsia="Palatino Linotype" w:hAnsi="Palatino Linotype" w:cs="Palatino Linotype"/>
          <w:sz w:val="22"/>
          <w:szCs w:val="22"/>
        </w:rPr>
        <w:t xml:space="preserve"> de la Unidad de Transparencia del Sujeto Obligado, sino que ello deberá realizarse en términos de lo que disponen los </w:t>
      </w:r>
      <w:r w:rsidRPr="00424AE2">
        <w:rPr>
          <w:rFonts w:ascii="Palatino Linotype" w:eastAsia="Palatino Linotype" w:hAnsi="Palatino Linotype" w:cs="Palatino Linotype"/>
          <w:sz w:val="22"/>
          <w:szCs w:val="22"/>
        </w:rPr>
        <w:lastRenderedPageBreak/>
        <w:t>artículos 49 fracción VIII, 53, fracción X y 59, fracción V, de la Ley en consulta, cuyo sentido literal es el siguiente:</w:t>
      </w:r>
    </w:p>
    <w:p w14:paraId="7CCA9ECE"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043B3B27"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“Artículo 49. Los Comités de Transparencia tendrán las siguientes atribuciones:</w:t>
      </w:r>
    </w:p>
    <w:p w14:paraId="6F58F373"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42806A07"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VIII. Aprobar, modificar o revocar la clasificación de la información;</w:t>
      </w:r>
    </w:p>
    <w:p w14:paraId="1C21B51A" w14:textId="0D053518"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542D62C3"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Artículo 53. Las Unidades de Transparencia tendrán las siguientes funciones:</w:t>
      </w:r>
    </w:p>
    <w:p w14:paraId="6C32B525"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705C3244"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X. Presentar ante el Comité, el proyecto de clasificación de información…</w:t>
      </w:r>
    </w:p>
    <w:p w14:paraId="7A2ED1DB" w14:textId="564DC8EA"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7135A535"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Artículo 59. Los servidores públicos habilitados tendrán las funciones siguientes:</w:t>
      </w:r>
    </w:p>
    <w:p w14:paraId="320FDCC3"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2594FE15"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FE42BEA" w14:textId="77777777" w:rsidR="00AC18B6" w:rsidRPr="00424AE2" w:rsidRDefault="00AC18B6" w:rsidP="00250067">
      <w:pPr>
        <w:pBdr>
          <w:top w:val="nil"/>
          <w:left w:val="nil"/>
          <w:bottom w:val="nil"/>
          <w:right w:val="nil"/>
          <w:between w:val="nil"/>
        </w:pBdr>
        <w:spacing w:line="276" w:lineRule="auto"/>
        <w:ind w:left="864" w:right="616"/>
        <w:jc w:val="both"/>
        <w:rPr>
          <w:rFonts w:ascii="Palatino Linotype" w:hAnsi="Palatino Linotype"/>
          <w:sz w:val="22"/>
          <w:szCs w:val="22"/>
        </w:rPr>
      </w:pPr>
      <w:r w:rsidRPr="00424AE2">
        <w:rPr>
          <w:rFonts w:ascii="Palatino Linotype" w:eastAsia="Palatino Linotype" w:hAnsi="Palatino Linotype" w:cs="Palatino Linotype"/>
          <w:i/>
          <w:sz w:val="22"/>
          <w:szCs w:val="22"/>
        </w:rPr>
        <w:t>(…)”</w:t>
      </w:r>
    </w:p>
    <w:p w14:paraId="4F75AA5D" w14:textId="77777777" w:rsidR="00AC18B6" w:rsidRPr="00424AE2" w:rsidRDefault="00AC18B6" w:rsidP="00AC18B6">
      <w:pPr>
        <w:rPr>
          <w:rFonts w:ascii="Palatino Linotype" w:eastAsia="Palatino Linotype" w:hAnsi="Palatino Linotype" w:cs="Palatino Linotype"/>
          <w:sz w:val="22"/>
          <w:szCs w:val="22"/>
        </w:rPr>
      </w:pPr>
    </w:p>
    <w:p w14:paraId="7015A360"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92981CE"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18656CEB" w14:textId="77777777" w:rsidR="00AC18B6" w:rsidRPr="00424AE2" w:rsidRDefault="00AC18B6" w:rsidP="00AC18B6">
      <w:pPr>
        <w:pBdr>
          <w:top w:val="nil"/>
          <w:left w:val="nil"/>
          <w:bottom w:val="nil"/>
          <w:right w:val="nil"/>
          <w:between w:val="nil"/>
        </w:pBdr>
        <w:spacing w:line="360" w:lineRule="auto"/>
        <w:jc w:val="both"/>
        <w:rPr>
          <w:rFonts w:ascii="Palatino Linotype" w:hAnsi="Palatino Linotype"/>
          <w:sz w:val="22"/>
          <w:szCs w:val="22"/>
        </w:rPr>
      </w:pPr>
      <w:r w:rsidRPr="00424AE2">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061025E0" w14:textId="77777777" w:rsidR="00AC18B6" w:rsidRPr="00424AE2" w:rsidRDefault="00AC18B6" w:rsidP="00AC18B6">
      <w:pPr>
        <w:spacing w:line="360" w:lineRule="auto"/>
        <w:rPr>
          <w:rFonts w:ascii="Palatino Linotype" w:eastAsia="Palatino Linotype" w:hAnsi="Palatino Linotype" w:cs="Palatino Linotype"/>
          <w:sz w:val="22"/>
          <w:szCs w:val="22"/>
        </w:rPr>
      </w:pPr>
    </w:p>
    <w:p w14:paraId="3489C630" w14:textId="77777777" w:rsidR="00AC18B6" w:rsidRPr="00424AE2" w:rsidRDefault="00AC18B6" w:rsidP="00250067">
      <w:pPr>
        <w:pBdr>
          <w:top w:val="nil"/>
          <w:left w:val="nil"/>
          <w:bottom w:val="nil"/>
          <w:right w:val="nil"/>
          <w:between w:val="nil"/>
        </w:pBdr>
        <w:ind w:left="864"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Artículo 149. El acuerdo que clasifique la información como confidencial deberá contener un razonamiento lógico en el que demuestre que la información se encuentra en alguna o algunas de las hipótesis previstas en la presente Ley.</w:t>
      </w:r>
    </w:p>
    <w:p w14:paraId="31FEDBB1" w14:textId="77777777" w:rsidR="0081059A" w:rsidRPr="00424AE2" w:rsidRDefault="0081059A" w:rsidP="00AC18B6">
      <w:pPr>
        <w:pBdr>
          <w:top w:val="nil"/>
          <w:left w:val="nil"/>
          <w:bottom w:val="nil"/>
          <w:right w:val="nil"/>
          <w:between w:val="nil"/>
        </w:pBdr>
        <w:ind w:left="864" w:right="864"/>
        <w:jc w:val="both"/>
        <w:rPr>
          <w:rFonts w:ascii="Palatino Linotype" w:hAnsi="Palatino Linotype"/>
          <w:sz w:val="22"/>
          <w:szCs w:val="22"/>
        </w:rPr>
      </w:pPr>
    </w:p>
    <w:p w14:paraId="2484E1AD" w14:textId="3AAA3E65" w:rsidR="00AC18B6" w:rsidRPr="00424AE2" w:rsidRDefault="00AC18B6" w:rsidP="00AC18B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 xml:space="preserve">Es decir, </w:t>
      </w:r>
      <w:r w:rsidR="0081059A" w:rsidRPr="00424AE2">
        <w:rPr>
          <w:rFonts w:ascii="Palatino Linotype" w:eastAsia="Palatino Linotype" w:hAnsi="Palatino Linotype" w:cs="Palatino Linotype"/>
          <w:sz w:val="22"/>
          <w:szCs w:val="22"/>
        </w:rPr>
        <w:t>el</w:t>
      </w:r>
      <w:r w:rsidRPr="00424AE2">
        <w:rPr>
          <w:rFonts w:ascii="Palatino Linotype" w:eastAsia="Palatino Linotype" w:hAnsi="Palatino Linotype" w:cs="Palatino Linotype"/>
          <w:b/>
          <w:sz w:val="22"/>
          <w:szCs w:val="22"/>
        </w:rPr>
        <w:t xml:space="preserve"> </w:t>
      </w:r>
      <w:r w:rsidR="0081059A" w:rsidRPr="00424AE2">
        <w:rPr>
          <w:rFonts w:ascii="Palatino Linotype" w:eastAsia="Palatino Linotype" w:hAnsi="Palatino Linotype" w:cs="Palatino Linotype"/>
          <w:b/>
          <w:sz w:val="22"/>
          <w:szCs w:val="22"/>
        </w:rPr>
        <w:t>Sujeto Obligado</w:t>
      </w:r>
      <w:r w:rsidR="0081059A"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8D27335" w14:textId="77777777" w:rsidR="00AC18B6" w:rsidRPr="00424AE2" w:rsidRDefault="00AC18B6" w:rsidP="00AC18B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5C9A650F" w14:textId="5B60F75F" w:rsidR="00AC18B6" w:rsidRPr="00424AE2" w:rsidRDefault="00AC18B6" w:rsidP="00AC18B6">
      <w:pPr>
        <w:pBdr>
          <w:top w:val="nil"/>
          <w:left w:val="nil"/>
          <w:bottom w:val="nil"/>
          <w:right w:val="nil"/>
          <w:between w:val="nil"/>
        </w:pBdr>
        <w:spacing w:line="360" w:lineRule="auto"/>
        <w:ind w:right="49"/>
        <w:jc w:val="both"/>
        <w:rPr>
          <w:rFonts w:ascii="Palatino Linotype" w:hAnsi="Palatino Linotype"/>
          <w:sz w:val="22"/>
          <w:szCs w:val="22"/>
        </w:rPr>
      </w:pPr>
      <w:r w:rsidRPr="00424AE2">
        <w:rPr>
          <w:rFonts w:ascii="Palatino Linotype" w:eastAsia="Palatino Linotype" w:hAnsi="Palatino Linotype" w:cs="Palatino Linotype"/>
          <w:sz w:val="22"/>
          <w:szCs w:val="22"/>
        </w:rPr>
        <w:t xml:space="preserve">Por último, respecto a la versión pública de los documentos que contenga la información solicitada, cabe señalar que el Comité de Transparencia del </w:t>
      </w:r>
      <w:r w:rsidR="0081059A"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b/>
          <w:sz w:val="22"/>
          <w:szCs w:val="22"/>
        </w:rPr>
        <w:t xml:space="preserve">, </w:t>
      </w:r>
      <w:r w:rsidRPr="00424AE2">
        <w:rPr>
          <w:rFonts w:ascii="Palatino Linotype" w:eastAsia="Palatino Linotype" w:hAnsi="Palatino Linotype" w:cs="Palatino Linotype"/>
          <w:sz w:val="22"/>
          <w:szCs w:val="22"/>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2A23E21E" w14:textId="77777777" w:rsidR="00AC18B6" w:rsidRPr="00424AE2" w:rsidRDefault="00AC18B6" w:rsidP="00AC18B6">
      <w:pPr>
        <w:pBdr>
          <w:top w:val="nil"/>
          <w:left w:val="nil"/>
          <w:bottom w:val="nil"/>
          <w:right w:val="nil"/>
          <w:between w:val="nil"/>
        </w:pBdr>
        <w:spacing w:line="360" w:lineRule="auto"/>
        <w:ind w:left="851" w:right="851"/>
        <w:jc w:val="both"/>
        <w:rPr>
          <w:rFonts w:ascii="Palatino Linotype" w:eastAsia="Palatino Linotype" w:hAnsi="Palatino Linotype" w:cs="Palatino Linotype"/>
          <w:i/>
          <w:sz w:val="22"/>
          <w:szCs w:val="22"/>
        </w:rPr>
      </w:pPr>
    </w:p>
    <w:p w14:paraId="3DA6616E"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“Artículo 132.</w:t>
      </w:r>
      <w:r w:rsidRPr="00424AE2">
        <w:rPr>
          <w:rFonts w:ascii="Palatino Linotype" w:eastAsia="Palatino Linotype" w:hAnsi="Palatino Linotype" w:cs="Palatino Linotype"/>
          <w:i/>
          <w:sz w:val="22"/>
          <w:szCs w:val="22"/>
        </w:rPr>
        <w:t xml:space="preserve"> </w:t>
      </w:r>
      <w:r w:rsidRPr="00424AE2">
        <w:rPr>
          <w:rFonts w:ascii="Palatino Linotype" w:eastAsia="Palatino Linotype" w:hAnsi="Palatino Linotype" w:cs="Palatino Linotype"/>
          <w:b/>
          <w:i/>
          <w:sz w:val="22"/>
          <w:szCs w:val="22"/>
        </w:rPr>
        <w:t>La clasificación de la información se llevará a cabo en el momento en que:</w:t>
      </w:r>
    </w:p>
    <w:p w14:paraId="32F48C35"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w:t>
      </w:r>
    </w:p>
    <w:p w14:paraId="6AB39F86"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II.</w:t>
      </w:r>
      <w:r w:rsidRPr="00424AE2">
        <w:rPr>
          <w:rFonts w:ascii="Palatino Linotype" w:eastAsia="Palatino Linotype" w:hAnsi="Palatino Linotype" w:cs="Palatino Linotype"/>
          <w:i/>
          <w:sz w:val="22"/>
          <w:szCs w:val="22"/>
        </w:rPr>
        <w:t xml:space="preserve"> Se determine mediante resolución de autoridad competente; o</w:t>
      </w:r>
    </w:p>
    <w:p w14:paraId="07FBC275"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lastRenderedPageBreak/>
        <w:t>III</w:t>
      </w:r>
      <w:r w:rsidRPr="00424AE2">
        <w:rPr>
          <w:rFonts w:ascii="Palatino Linotype" w:eastAsia="Palatino Linotype" w:hAnsi="Palatino Linotype" w:cs="Palatino Linotype"/>
          <w:i/>
          <w:sz w:val="22"/>
          <w:szCs w:val="22"/>
        </w:rPr>
        <w:t xml:space="preserve">. </w:t>
      </w:r>
      <w:r w:rsidRPr="00424AE2">
        <w:rPr>
          <w:rFonts w:ascii="Palatino Linotype" w:eastAsia="Palatino Linotype" w:hAnsi="Palatino Linotype" w:cs="Palatino Linotype"/>
          <w:b/>
          <w:i/>
          <w:sz w:val="22"/>
          <w:szCs w:val="22"/>
        </w:rPr>
        <w:t>Se generen versiones públicas para dar cumplimiento a las obligaciones de transparencia previstas en esta Ley</w:t>
      </w:r>
      <w:r w:rsidRPr="00424AE2">
        <w:rPr>
          <w:rFonts w:ascii="Palatino Linotype" w:eastAsia="Palatino Linotype" w:hAnsi="Palatino Linotype" w:cs="Palatino Linotype"/>
          <w:i/>
          <w:sz w:val="22"/>
          <w:szCs w:val="22"/>
        </w:rPr>
        <w:t>.</w:t>
      </w:r>
    </w:p>
    <w:p w14:paraId="605FAFC2"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51E69A97"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roofErr w:type="gramStart"/>
      <w:r w:rsidRPr="00424AE2">
        <w:rPr>
          <w:rFonts w:ascii="Palatino Linotype" w:eastAsia="Palatino Linotype" w:hAnsi="Palatino Linotype" w:cs="Palatino Linotype"/>
          <w:b/>
          <w:i/>
          <w:sz w:val="22"/>
          <w:szCs w:val="22"/>
        </w:rPr>
        <w:t>Segundo.-</w:t>
      </w:r>
      <w:proofErr w:type="gramEnd"/>
      <w:r w:rsidRPr="00424AE2">
        <w:rPr>
          <w:rFonts w:ascii="Palatino Linotype" w:eastAsia="Palatino Linotype" w:hAnsi="Palatino Linotype" w:cs="Palatino Linotype"/>
          <w:i/>
          <w:sz w:val="22"/>
          <w:szCs w:val="22"/>
        </w:rPr>
        <w:t xml:space="preserve"> Para efectos de los presentes Lineamientos Generales, se entenderá por:</w:t>
      </w:r>
    </w:p>
    <w:p w14:paraId="16C56907"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w:t>
      </w:r>
      <w:r w:rsidRPr="00424AE2">
        <w:rPr>
          <w:rFonts w:ascii="Palatino Linotype" w:eastAsia="Palatino Linotype" w:hAnsi="Palatino Linotype" w:cs="Palatino Linotype"/>
          <w:i/>
          <w:sz w:val="22"/>
          <w:szCs w:val="22"/>
        </w:rPr>
        <w:t>)</w:t>
      </w:r>
    </w:p>
    <w:p w14:paraId="2E5AE0AD"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XVIII.</w:t>
      </w:r>
      <w:r w:rsidRPr="00424AE2">
        <w:rPr>
          <w:rFonts w:ascii="Palatino Linotype" w:eastAsia="Palatino Linotype" w:hAnsi="Palatino Linotype" w:cs="Palatino Linotype"/>
          <w:i/>
          <w:sz w:val="22"/>
          <w:szCs w:val="22"/>
        </w:rPr>
        <w:t xml:space="preserve"> </w:t>
      </w:r>
      <w:r w:rsidRPr="00424AE2">
        <w:rPr>
          <w:rFonts w:ascii="Palatino Linotype" w:eastAsia="Palatino Linotype" w:hAnsi="Palatino Linotype" w:cs="Palatino Linotype"/>
          <w:b/>
          <w:i/>
          <w:sz w:val="22"/>
          <w:szCs w:val="22"/>
        </w:rPr>
        <w:t>Versión pública:</w:t>
      </w:r>
      <w:r w:rsidRPr="00424AE2">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424AE2">
        <w:rPr>
          <w:rFonts w:ascii="Palatino Linotype" w:eastAsia="Palatino Linotype" w:hAnsi="Palatino Linotype" w:cs="Palatino Linotype"/>
          <w:b/>
          <w:i/>
          <w:sz w:val="22"/>
          <w:szCs w:val="22"/>
        </w:rPr>
        <w:t>fundando y motivando la</w:t>
      </w:r>
      <w:r w:rsidRPr="00424AE2">
        <w:rPr>
          <w:rFonts w:ascii="Palatino Linotype" w:eastAsia="Palatino Linotype" w:hAnsi="Palatino Linotype" w:cs="Palatino Linotype"/>
          <w:i/>
          <w:sz w:val="22"/>
          <w:szCs w:val="22"/>
        </w:rPr>
        <w:t xml:space="preserve"> reserva o </w:t>
      </w:r>
      <w:r w:rsidRPr="00424AE2">
        <w:rPr>
          <w:rFonts w:ascii="Palatino Linotype" w:eastAsia="Palatino Linotype" w:hAnsi="Palatino Linotype" w:cs="Palatino Linotype"/>
          <w:b/>
          <w:i/>
          <w:sz w:val="22"/>
          <w:szCs w:val="22"/>
        </w:rPr>
        <w:t>confidencialidad</w:t>
      </w:r>
      <w:r w:rsidRPr="00424AE2">
        <w:rPr>
          <w:rFonts w:ascii="Palatino Linotype" w:eastAsia="Palatino Linotype" w:hAnsi="Palatino Linotype" w:cs="Palatino Linotype"/>
          <w:i/>
          <w:sz w:val="22"/>
          <w:szCs w:val="22"/>
        </w:rPr>
        <w:t>, a través de la resolución que para tal efecto emita el Comité de Transparencia.</w:t>
      </w:r>
    </w:p>
    <w:p w14:paraId="6F6A09FD"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w:t>
      </w:r>
      <w:r w:rsidRPr="00424AE2">
        <w:rPr>
          <w:rFonts w:ascii="Palatino Linotype" w:eastAsia="Palatino Linotype" w:hAnsi="Palatino Linotype" w:cs="Palatino Linotype"/>
          <w:i/>
          <w:sz w:val="22"/>
          <w:szCs w:val="22"/>
        </w:rPr>
        <w:t>)</w:t>
      </w:r>
    </w:p>
    <w:p w14:paraId="520E1124"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Cuarto.</w:t>
      </w:r>
      <w:r w:rsidRPr="00424AE2">
        <w:rPr>
          <w:rFonts w:ascii="Palatino Linotype" w:eastAsia="Palatino Linotype" w:hAnsi="Palatino Linotype" w:cs="Palatino Linotype"/>
          <w:i/>
          <w:sz w:val="22"/>
          <w:szCs w:val="22"/>
        </w:rPr>
        <w:t xml:space="preserve"> </w:t>
      </w:r>
      <w:r w:rsidRPr="00424AE2">
        <w:rPr>
          <w:rFonts w:ascii="Palatino Linotype" w:eastAsia="Palatino Linotype" w:hAnsi="Palatino Linotype" w:cs="Palatino Linotype"/>
          <w:b/>
          <w:i/>
          <w:sz w:val="22"/>
          <w:szCs w:val="22"/>
        </w:rPr>
        <w:t>Para clasificar la información como</w:t>
      </w:r>
      <w:r w:rsidRPr="00424AE2">
        <w:rPr>
          <w:rFonts w:ascii="Palatino Linotype" w:eastAsia="Palatino Linotype" w:hAnsi="Palatino Linotype" w:cs="Palatino Linotype"/>
          <w:i/>
          <w:sz w:val="22"/>
          <w:szCs w:val="22"/>
        </w:rPr>
        <w:t xml:space="preserve"> reservada o </w:t>
      </w:r>
      <w:r w:rsidRPr="00424AE2">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424AE2">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B47104"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5605F40"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7D32E7F3"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Quinto.</w:t>
      </w:r>
      <w:r w:rsidRPr="00424AE2">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F9487B"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0A5E67D6"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Sexto.</w:t>
      </w:r>
      <w:r w:rsidRPr="00424AE2">
        <w:rPr>
          <w:rFonts w:ascii="Palatino Linotype" w:eastAsia="Palatino Linotype" w:hAnsi="Palatino Linotype" w:cs="Palatino Linotype"/>
          <w:i/>
          <w:sz w:val="22"/>
          <w:szCs w:val="22"/>
        </w:rPr>
        <w:t xml:space="preserve"> Se deroga. </w:t>
      </w:r>
    </w:p>
    <w:p w14:paraId="62C2255A"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D1FD8C4"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Séptimo.</w:t>
      </w:r>
      <w:r w:rsidRPr="00424AE2">
        <w:rPr>
          <w:rFonts w:ascii="Palatino Linotype" w:eastAsia="Palatino Linotype" w:hAnsi="Palatino Linotype" w:cs="Palatino Linotype"/>
          <w:i/>
          <w:sz w:val="22"/>
          <w:szCs w:val="22"/>
        </w:rPr>
        <w:t xml:space="preserve"> La clasificación de la información se llevará a cabo en el momento en que:</w:t>
      </w:r>
    </w:p>
    <w:p w14:paraId="59CBC6B2"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I.</w:t>
      </w:r>
      <w:r w:rsidRPr="00424AE2">
        <w:rPr>
          <w:rFonts w:ascii="Palatino Linotype" w:eastAsia="Palatino Linotype" w:hAnsi="Palatino Linotype" w:cs="Palatino Linotype"/>
          <w:i/>
          <w:sz w:val="22"/>
          <w:szCs w:val="22"/>
        </w:rPr>
        <w:t xml:space="preserve"> Se reciba una solicitud de acceso a la información;</w:t>
      </w:r>
    </w:p>
    <w:p w14:paraId="79927F4A"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lastRenderedPageBreak/>
        <w:t>II: Se determine mediante resolución del Comité de Transparencia, el órgano garante competente, o en cumplimiento a una sentencia del Poder Judicial; o</w:t>
      </w:r>
    </w:p>
    <w:p w14:paraId="042A37EB"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 xml:space="preserve">III. </w:t>
      </w:r>
      <w:r w:rsidRPr="00424AE2">
        <w:rPr>
          <w:rFonts w:ascii="Palatino Linotype" w:eastAsia="Palatino Linotype" w:hAnsi="Palatino Linotype" w:cs="Palatino Linotype"/>
          <w:i/>
          <w:sz w:val="22"/>
          <w:szCs w:val="22"/>
        </w:rPr>
        <w:t xml:space="preserve">Se generen versiones públicas para dar cumplimiento a las obligaciones </w:t>
      </w:r>
      <w:proofErr w:type="spellStart"/>
      <w:r w:rsidRPr="00424AE2">
        <w:rPr>
          <w:rFonts w:ascii="Palatino Linotype" w:eastAsia="Palatino Linotype" w:hAnsi="Palatino Linotype" w:cs="Palatino Linotype"/>
          <w:i/>
          <w:sz w:val="22"/>
          <w:szCs w:val="22"/>
        </w:rPr>
        <w:t>detransparencia</w:t>
      </w:r>
      <w:proofErr w:type="spellEnd"/>
      <w:r w:rsidRPr="00424AE2">
        <w:rPr>
          <w:rFonts w:ascii="Palatino Linotype" w:eastAsia="Palatino Linotype" w:hAnsi="Palatino Linotype" w:cs="Palatino Linotype"/>
          <w:i/>
          <w:sz w:val="22"/>
          <w:szCs w:val="22"/>
        </w:rPr>
        <w:t xml:space="preserve"> previstas en la Ley General, la Ley Federal y las correspondientes de </w:t>
      </w:r>
      <w:proofErr w:type="spellStart"/>
      <w:r w:rsidRPr="00424AE2">
        <w:rPr>
          <w:rFonts w:ascii="Palatino Linotype" w:eastAsia="Palatino Linotype" w:hAnsi="Palatino Linotype" w:cs="Palatino Linotype"/>
          <w:i/>
          <w:sz w:val="22"/>
          <w:szCs w:val="22"/>
        </w:rPr>
        <w:t>laentidades</w:t>
      </w:r>
      <w:proofErr w:type="spellEnd"/>
      <w:r w:rsidRPr="00424AE2">
        <w:rPr>
          <w:rFonts w:ascii="Palatino Linotype" w:eastAsia="Palatino Linotype" w:hAnsi="Palatino Linotype" w:cs="Palatino Linotype"/>
          <w:i/>
          <w:sz w:val="22"/>
          <w:szCs w:val="22"/>
        </w:rPr>
        <w:t xml:space="preserve"> federativas.</w:t>
      </w:r>
    </w:p>
    <w:p w14:paraId="62AFD390"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 xml:space="preserve">Los titulares de las áreas deberán revisar la información requerida al momento de </w:t>
      </w:r>
      <w:proofErr w:type="spellStart"/>
      <w:r w:rsidRPr="00424AE2">
        <w:rPr>
          <w:rFonts w:ascii="Palatino Linotype" w:eastAsia="Palatino Linotype" w:hAnsi="Palatino Linotype" w:cs="Palatino Linotype"/>
          <w:i/>
          <w:sz w:val="22"/>
          <w:szCs w:val="22"/>
        </w:rPr>
        <w:t>larecepción</w:t>
      </w:r>
      <w:proofErr w:type="spellEnd"/>
      <w:r w:rsidRPr="00424AE2">
        <w:rPr>
          <w:rFonts w:ascii="Palatino Linotype" w:eastAsia="Palatino Linotype" w:hAnsi="Palatino Linotype" w:cs="Palatino Linotype"/>
          <w:i/>
          <w:sz w:val="22"/>
          <w:szCs w:val="22"/>
        </w:rPr>
        <w:t xml:space="preserve"> de una solicitud de acceso, para verificar, conforme a su naturaleza, si </w:t>
      </w:r>
      <w:proofErr w:type="spellStart"/>
      <w:r w:rsidRPr="00424AE2">
        <w:rPr>
          <w:rFonts w:ascii="Palatino Linotype" w:eastAsia="Palatino Linotype" w:hAnsi="Palatino Linotype" w:cs="Palatino Linotype"/>
          <w:i/>
          <w:sz w:val="22"/>
          <w:szCs w:val="22"/>
        </w:rPr>
        <w:t>encuadraen</w:t>
      </w:r>
      <w:proofErr w:type="spellEnd"/>
      <w:r w:rsidRPr="00424AE2">
        <w:rPr>
          <w:rFonts w:ascii="Palatino Linotype" w:eastAsia="Palatino Linotype" w:hAnsi="Palatino Linotype" w:cs="Palatino Linotype"/>
          <w:i/>
          <w:sz w:val="22"/>
          <w:szCs w:val="22"/>
        </w:rPr>
        <w:t xml:space="preserve"> una causal de reserva o de confidencialidad.</w:t>
      </w:r>
    </w:p>
    <w:p w14:paraId="0E542710"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D6B4BEE"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Octavo.</w:t>
      </w:r>
      <w:r w:rsidRPr="00424AE2">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284CCF5D"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5BBFDD3"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380555BA"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3FB6A4C0"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Noveno.</w:t>
      </w:r>
      <w:r w:rsidRPr="00424AE2">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CDB2DF8"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5F7F633A"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Décimo.</w:t>
      </w:r>
      <w:r w:rsidRPr="00424AE2">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350E83A2"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i/>
          <w:sz w:val="22"/>
          <w:szCs w:val="22"/>
        </w:rPr>
        <w:lastRenderedPageBreak/>
        <w:t>En ausencia de los titulares de las áreas, la información será clasificada o desclasificada por la persona que lo supla, en términos de la normativa que rija la actuación del sujeto obligado.</w:t>
      </w:r>
    </w:p>
    <w:p w14:paraId="08DCB658" w14:textId="77777777"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64C154E" w14:textId="503E9421" w:rsidR="00AC18B6" w:rsidRPr="00424AE2" w:rsidRDefault="00AC18B6" w:rsidP="0025006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Décimo primero.</w:t>
      </w:r>
      <w:r w:rsidRPr="00424AE2">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w:t>
      </w:r>
      <w:r w:rsidR="004F5FA4" w:rsidRPr="00424AE2">
        <w:rPr>
          <w:rFonts w:ascii="Palatino Linotype" w:eastAsia="Palatino Linotype" w:hAnsi="Palatino Linotype" w:cs="Palatino Linotype"/>
          <w:i/>
          <w:sz w:val="22"/>
          <w:szCs w:val="22"/>
        </w:rPr>
        <w:t xml:space="preserve"> de los presentes lineamientos.</w:t>
      </w:r>
    </w:p>
    <w:p w14:paraId="3ACBAF89" w14:textId="4CA782FC" w:rsidR="00AC18B6" w:rsidRPr="00424AE2" w:rsidRDefault="00AC18B6" w:rsidP="00AC18B6">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424AE2">
        <w:rPr>
          <w:rFonts w:ascii="Palatino Linotype" w:eastAsia="Palatino Linotype" w:hAnsi="Palatino Linotype" w:cs="Palatino Linotype"/>
          <w:b/>
          <w:i/>
          <w:sz w:val="22"/>
          <w:szCs w:val="22"/>
        </w:rPr>
        <w:t>Quincuagésimo quinto</w:t>
      </w:r>
      <w:r w:rsidRPr="00424AE2">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424AE2">
        <w:rPr>
          <w:rFonts w:ascii="Palatino Linotype" w:eastAsia="Palatino Linotype" w:hAnsi="Palatino Linotype" w:cs="Palatino Linotype"/>
          <w:i/>
          <w:sz w:val="22"/>
          <w:szCs w:val="22"/>
        </w:rPr>
        <w:t>testado</w:t>
      </w:r>
      <w:proofErr w:type="spellEnd"/>
      <w:r w:rsidRPr="00424AE2">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004F5FA4" w:rsidRPr="00424AE2">
        <w:rPr>
          <w:rFonts w:ascii="Palatino Linotype" w:eastAsia="Palatino Linotype" w:hAnsi="Palatino Linotype" w:cs="Palatino Linotype"/>
          <w:i/>
          <w:sz w:val="22"/>
          <w:szCs w:val="22"/>
        </w:rPr>
        <w:t>”</w:t>
      </w:r>
    </w:p>
    <w:p w14:paraId="6C01A14F" w14:textId="67A1F8F8" w:rsidR="00AF7232" w:rsidRPr="00424AE2" w:rsidRDefault="00692C77" w:rsidP="00692C77">
      <w:pPr>
        <w:spacing w:before="240" w:after="240" w:line="360" w:lineRule="auto"/>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B17A65B" w14:textId="77777777" w:rsidR="00EE6FB1" w:rsidRPr="00424AE2" w:rsidRDefault="00EE6FB1" w:rsidP="00D84F56">
      <w:pPr>
        <w:spacing w:line="360" w:lineRule="auto"/>
        <w:jc w:val="center"/>
        <w:rPr>
          <w:rFonts w:ascii="Palatino Linotype" w:eastAsia="Palatino Linotype" w:hAnsi="Palatino Linotype" w:cs="Palatino Linotype"/>
          <w:b/>
          <w:sz w:val="22"/>
          <w:szCs w:val="22"/>
        </w:rPr>
      </w:pPr>
      <w:r w:rsidRPr="00424AE2">
        <w:rPr>
          <w:rFonts w:ascii="Palatino Linotype" w:eastAsia="Palatino Linotype" w:hAnsi="Palatino Linotype" w:cs="Palatino Linotype"/>
          <w:b/>
          <w:sz w:val="22"/>
          <w:szCs w:val="22"/>
        </w:rPr>
        <w:t>R E S U E L V E</w:t>
      </w:r>
    </w:p>
    <w:p w14:paraId="5555D948" w14:textId="77777777" w:rsidR="00EE6FB1" w:rsidRPr="00424AE2" w:rsidRDefault="00EE6FB1" w:rsidP="00EE6FB1">
      <w:pPr>
        <w:spacing w:line="360" w:lineRule="auto"/>
        <w:ind w:left="1080"/>
        <w:rPr>
          <w:rFonts w:ascii="Palatino Linotype" w:eastAsia="Palatino Linotype" w:hAnsi="Palatino Linotype" w:cs="Palatino Linotype"/>
          <w:b/>
          <w:sz w:val="22"/>
          <w:szCs w:val="22"/>
        </w:rPr>
      </w:pPr>
    </w:p>
    <w:p w14:paraId="597D9278" w14:textId="51AF621C" w:rsidR="00EE6FB1" w:rsidRPr="00424AE2" w:rsidRDefault="00EE6FB1" w:rsidP="00EE6FB1">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Primero.</w:t>
      </w:r>
      <w:r w:rsidRPr="00424AE2">
        <w:rPr>
          <w:rFonts w:ascii="Palatino Linotype" w:eastAsia="Palatino Linotype" w:hAnsi="Palatino Linotype" w:cs="Palatino Linotype"/>
          <w:sz w:val="22"/>
          <w:szCs w:val="22"/>
        </w:rPr>
        <w:t xml:space="preserve"> Resultan</w:t>
      </w:r>
      <w:r w:rsidR="005659A9" w:rsidRPr="00424AE2">
        <w:rPr>
          <w:rFonts w:ascii="Palatino Linotype" w:eastAsia="Palatino Linotype" w:hAnsi="Palatino Linotype" w:cs="Palatino Linotype"/>
          <w:sz w:val="22"/>
          <w:szCs w:val="22"/>
        </w:rPr>
        <w:t xml:space="preserve"> </w:t>
      </w:r>
      <w:r w:rsidR="0032794E" w:rsidRPr="00424AE2">
        <w:rPr>
          <w:rFonts w:ascii="Palatino Linotype" w:eastAsia="Palatino Linotype" w:hAnsi="Palatino Linotype" w:cs="Palatino Linotype"/>
          <w:b/>
          <w:sz w:val="22"/>
          <w:szCs w:val="22"/>
        </w:rPr>
        <w:t>fundados</w:t>
      </w:r>
      <w:r w:rsidR="0032794E"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los motivos de inconformidad hechos valer por</w:t>
      </w:r>
      <w:r w:rsidR="0014425E" w:rsidRPr="00424AE2">
        <w:rPr>
          <w:rFonts w:ascii="Palatino Linotype" w:eastAsia="Palatino Linotype" w:hAnsi="Palatino Linotype" w:cs="Palatino Linotype"/>
          <w:sz w:val="22"/>
          <w:szCs w:val="22"/>
        </w:rPr>
        <w:t xml:space="preserve"> la parte</w:t>
      </w:r>
      <w:r w:rsidRPr="00424AE2">
        <w:rPr>
          <w:rFonts w:ascii="Palatino Linotype" w:eastAsia="Palatino Linotype" w:hAnsi="Palatino Linotype" w:cs="Palatino Linotype"/>
          <w:sz w:val="22"/>
          <w:szCs w:val="22"/>
        </w:rPr>
        <w:t xml:space="preserve"> </w:t>
      </w:r>
      <w:r w:rsidR="0032794E" w:rsidRPr="00424AE2">
        <w:rPr>
          <w:rFonts w:ascii="Palatino Linotype" w:eastAsia="Palatino Linotype" w:hAnsi="Palatino Linotype" w:cs="Palatino Linotype"/>
          <w:b/>
          <w:sz w:val="22"/>
          <w:szCs w:val="22"/>
        </w:rPr>
        <w:t>Recurrente</w:t>
      </w:r>
      <w:r w:rsidR="0032794E"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en el Recurso de Revisión </w:t>
      </w:r>
      <w:r w:rsidR="00314971" w:rsidRPr="00424AE2">
        <w:rPr>
          <w:rFonts w:ascii="Palatino Linotype" w:eastAsia="Palatino Linotype" w:hAnsi="Palatino Linotype" w:cs="Palatino Linotype"/>
          <w:b/>
          <w:sz w:val="22"/>
          <w:szCs w:val="22"/>
        </w:rPr>
        <w:t>0</w:t>
      </w:r>
      <w:r w:rsidR="00F631F3" w:rsidRPr="00424AE2">
        <w:rPr>
          <w:rFonts w:ascii="Palatino Linotype" w:eastAsia="Palatino Linotype" w:hAnsi="Palatino Linotype" w:cs="Palatino Linotype"/>
          <w:b/>
          <w:sz w:val="22"/>
          <w:szCs w:val="22"/>
        </w:rPr>
        <w:t>5014</w:t>
      </w:r>
      <w:r w:rsidR="004A6331" w:rsidRPr="00424AE2">
        <w:rPr>
          <w:rFonts w:ascii="Palatino Linotype" w:eastAsia="Palatino Linotype" w:hAnsi="Palatino Linotype" w:cs="Palatino Linotype"/>
          <w:b/>
          <w:sz w:val="22"/>
          <w:szCs w:val="22"/>
        </w:rPr>
        <w:t>/</w:t>
      </w:r>
      <w:r w:rsidRPr="00424AE2">
        <w:rPr>
          <w:rFonts w:ascii="Palatino Linotype" w:eastAsia="Palatino Linotype" w:hAnsi="Palatino Linotype" w:cs="Palatino Linotype"/>
          <w:b/>
          <w:sz w:val="22"/>
          <w:szCs w:val="22"/>
        </w:rPr>
        <w:t>INFOEM/IP/</w:t>
      </w:r>
      <w:r w:rsidR="00CF4F0B" w:rsidRPr="00424AE2">
        <w:rPr>
          <w:rFonts w:ascii="Palatino Linotype" w:eastAsia="Palatino Linotype" w:hAnsi="Palatino Linotype" w:cs="Palatino Linotype"/>
          <w:b/>
          <w:sz w:val="22"/>
          <w:szCs w:val="22"/>
        </w:rPr>
        <w:t>RR/202</w:t>
      </w:r>
      <w:r w:rsidR="00C40B16" w:rsidRPr="00424AE2">
        <w:rPr>
          <w:rFonts w:ascii="Palatino Linotype" w:eastAsia="Palatino Linotype" w:hAnsi="Palatino Linotype" w:cs="Palatino Linotype"/>
          <w:b/>
          <w:sz w:val="22"/>
          <w:szCs w:val="22"/>
        </w:rPr>
        <w:t>4</w:t>
      </w:r>
      <w:r w:rsidRPr="00424AE2">
        <w:rPr>
          <w:rFonts w:ascii="Palatino Linotype" w:eastAsia="Palatino Linotype" w:hAnsi="Palatino Linotype" w:cs="Palatino Linotype"/>
          <w:sz w:val="22"/>
          <w:szCs w:val="22"/>
        </w:rPr>
        <w:t xml:space="preserve">, por lo que, en términos del </w:t>
      </w:r>
      <w:r w:rsidRPr="00424AE2">
        <w:rPr>
          <w:rFonts w:ascii="Palatino Linotype" w:eastAsia="Palatino Linotype" w:hAnsi="Palatino Linotype" w:cs="Palatino Linotype"/>
          <w:b/>
          <w:sz w:val="22"/>
          <w:szCs w:val="22"/>
        </w:rPr>
        <w:t>Considerando Cuarto</w:t>
      </w:r>
      <w:r w:rsidR="00486ED6" w:rsidRPr="00424AE2">
        <w:rPr>
          <w:rFonts w:ascii="Palatino Linotype" w:eastAsia="Palatino Linotype" w:hAnsi="Palatino Linotype" w:cs="Palatino Linotype"/>
          <w:b/>
          <w:sz w:val="22"/>
          <w:szCs w:val="22"/>
        </w:rPr>
        <w:t xml:space="preserve"> </w:t>
      </w:r>
      <w:r w:rsidRPr="00424AE2">
        <w:rPr>
          <w:rFonts w:ascii="Palatino Linotype" w:eastAsia="Palatino Linotype" w:hAnsi="Palatino Linotype" w:cs="Palatino Linotype"/>
          <w:sz w:val="22"/>
          <w:szCs w:val="22"/>
        </w:rPr>
        <w:t xml:space="preserve">de esta resolución, se </w:t>
      </w:r>
      <w:r w:rsidR="00F631F3" w:rsidRPr="00424AE2">
        <w:rPr>
          <w:rFonts w:ascii="Palatino Linotype" w:eastAsia="Palatino Linotype" w:hAnsi="Palatino Linotype" w:cs="Palatino Linotype"/>
          <w:b/>
          <w:bCs/>
          <w:sz w:val="22"/>
          <w:szCs w:val="22"/>
        </w:rPr>
        <w:t>Re</w:t>
      </w:r>
      <w:r w:rsidR="00420E0B" w:rsidRPr="00424AE2">
        <w:rPr>
          <w:rFonts w:ascii="Palatino Linotype" w:eastAsia="Palatino Linotype" w:hAnsi="Palatino Linotype" w:cs="Palatino Linotype"/>
          <w:b/>
          <w:bCs/>
          <w:sz w:val="22"/>
          <w:szCs w:val="22"/>
        </w:rPr>
        <w:t>v</w:t>
      </w:r>
      <w:r w:rsidR="00F631F3" w:rsidRPr="00424AE2">
        <w:rPr>
          <w:rFonts w:ascii="Palatino Linotype" w:eastAsia="Palatino Linotype" w:hAnsi="Palatino Linotype" w:cs="Palatino Linotype"/>
          <w:b/>
          <w:bCs/>
          <w:sz w:val="22"/>
          <w:szCs w:val="22"/>
        </w:rPr>
        <w:t>o</w:t>
      </w:r>
      <w:r w:rsidR="008063C8" w:rsidRPr="00424AE2">
        <w:rPr>
          <w:rFonts w:ascii="Palatino Linotype" w:eastAsia="Palatino Linotype" w:hAnsi="Palatino Linotype" w:cs="Palatino Linotype"/>
          <w:b/>
          <w:bCs/>
          <w:sz w:val="22"/>
          <w:szCs w:val="22"/>
        </w:rPr>
        <w:t xml:space="preserve">ca </w:t>
      </w:r>
      <w:r w:rsidRPr="00424AE2">
        <w:rPr>
          <w:rFonts w:ascii="Palatino Linotype" w:eastAsia="Palatino Linotype" w:hAnsi="Palatino Linotype" w:cs="Palatino Linotype"/>
          <w:sz w:val="22"/>
          <w:szCs w:val="22"/>
        </w:rPr>
        <w:t xml:space="preserve">la respuesta emitida por el </w:t>
      </w:r>
      <w:r w:rsidR="0032794E"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w:t>
      </w:r>
    </w:p>
    <w:p w14:paraId="4168F457" w14:textId="77777777" w:rsidR="00EE6FB1" w:rsidRPr="00424AE2" w:rsidRDefault="00EE6FB1" w:rsidP="00EE6FB1">
      <w:pPr>
        <w:spacing w:line="360" w:lineRule="auto"/>
        <w:ind w:right="49"/>
        <w:jc w:val="both"/>
        <w:rPr>
          <w:rFonts w:ascii="Palatino Linotype" w:eastAsia="Palatino Linotype" w:hAnsi="Palatino Linotype" w:cs="Palatino Linotype"/>
          <w:sz w:val="22"/>
          <w:szCs w:val="22"/>
        </w:rPr>
      </w:pPr>
    </w:p>
    <w:p w14:paraId="727272E9" w14:textId="1FFE5759" w:rsidR="00EE6FB1" w:rsidRPr="00424AE2" w:rsidRDefault="00EE6FB1" w:rsidP="00EE6FB1">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lastRenderedPageBreak/>
        <w:t>Segundo</w:t>
      </w:r>
      <w:r w:rsidRPr="00424AE2">
        <w:rPr>
          <w:rFonts w:ascii="Palatino Linotype" w:eastAsia="Palatino Linotype" w:hAnsi="Palatino Linotype" w:cs="Palatino Linotype"/>
          <w:sz w:val="22"/>
          <w:szCs w:val="22"/>
        </w:rPr>
        <w:t xml:space="preserve">. Se </w:t>
      </w:r>
      <w:r w:rsidR="0032794E" w:rsidRPr="00424AE2">
        <w:rPr>
          <w:rFonts w:ascii="Palatino Linotype" w:eastAsia="Palatino Linotype" w:hAnsi="Palatino Linotype" w:cs="Palatino Linotype"/>
          <w:b/>
          <w:sz w:val="22"/>
          <w:szCs w:val="22"/>
        </w:rPr>
        <w:t>ordena</w:t>
      </w:r>
      <w:r w:rsidR="0032794E"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al </w:t>
      </w:r>
      <w:r w:rsidR="0032794E" w:rsidRPr="00424AE2">
        <w:rPr>
          <w:rFonts w:ascii="Palatino Linotype" w:eastAsia="Palatino Linotype" w:hAnsi="Palatino Linotype" w:cs="Palatino Linotype"/>
          <w:b/>
          <w:sz w:val="22"/>
          <w:szCs w:val="22"/>
        </w:rPr>
        <w:t>Sujeto Obligado</w:t>
      </w:r>
      <w:r w:rsidR="0032794E" w:rsidRPr="00424AE2">
        <w:rPr>
          <w:rFonts w:ascii="Palatino Linotype" w:eastAsia="Palatino Linotype" w:hAnsi="Palatino Linotype" w:cs="Palatino Linotype"/>
          <w:sz w:val="22"/>
          <w:szCs w:val="22"/>
        </w:rPr>
        <w:t xml:space="preserve"> </w:t>
      </w:r>
      <w:r w:rsidR="0062533B" w:rsidRPr="00424AE2">
        <w:rPr>
          <w:rFonts w:ascii="Palatino Linotype" w:eastAsia="Palatino Linotype" w:hAnsi="Palatino Linotype" w:cs="Palatino Linotype"/>
          <w:sz w:val="22"/>
          <w:szCs w:val="22"/>
        </w:rPr>
        <w:t>que,</w:t>
      </w:r>
      <w:r w:rsidRPr="00424AE2">
        <w:rPr>
          <w:rFonts w:ascii="Palatino Linotype" w:eastAsia="Palatino Linotype" w:hAnsi="Palatino Linotype" w:cs="Palatino Linotype"/>
          <w:sz w:val="22"/>
          <w:szCs w:val="22"/>
        </w:rPr>
        <w:t xml:space="preserve"> en términos del </w:t>
      </w:r>
      <w:r w:rsidRPr="00424AE2">
        <w:rPr>
          <w:rFonts w:ascii="Palatino Linotype" w:eastAsia="Palatino Linotype" w:hAnsi="Palatino Linotype" w:cs="Palatino Linotype"/>
          <w:b/>
          <w:sz w:val="22"/>
          <w:szCs w:val="22"/>
        </w:rPr>
        <w:t>Considerando Cuarto</w:t>
      </w:r>
      <w:r w:rsidR="00486ED6" w:rsidRPr="00424AE2">
        <w:rPr>
          <w:rFonts w:ascii="Palatino Linotype" w:eastAsia="Palatino Linotype" w:hAnsi="Palatino Linotype" w:cs="Palatino Linotype"/>
          <w:b/>
          <w:sz w:val="22"/>
          <w:szCs w:val="22"/>
        </w:rPr>
        <w:t xml:space="preserve"> y Quinto</w:t>
      </w:r>
      <w:r w:rsidR="00220997" w:rsidRPr="00424AE2">
        <w:rPr>
          <w:rFonts w:ascii="Palatino Linotype" w:eastAsia="Palatino Linotype" w:hAnsi="Palatino Linotype" w:cs="Palatino Linotype"/>
          <w:sz w:val="22"/>
          <w:szCs w:val="22"/>
        </w:rPr>
        <w:t>, haga entrega</w:t>
      </w:r>
      <w:r w:rsidRPr="00424AE2">
        <w:rPr>
          <w:rFonts w:ascii="Palatino Linotype" w:eastAsia="Palatino Linotype" w:hAnsi="Palatino Linotype" w:cs="Palatino Linotype"/>
          <w:sz w:val="22"/>
          <w:szCs w:val="22"/>
        </w:rPr>
        <w:t xml:space="preserve"> </w:t>
      </w:r>
      <w:r w:rsidR="00AF7232" w:rsidRPr="00424AE2">
        <w:rPr>
          <w:rFonts w:ascii="Palatino Linotype" w:eastAsia="Palatino Linotype" w:hAnsi="Palatino Linotype" w:cs="Palatino Linotype"/>
          <w:sz w:val="22"/>
          <w:szCs w:val="22"/>
        </w:rPr>
        <w:t xml:space="preserve">previa búsqueda exhaustiva y razonable, </w:t>
      </w:r>
      <w:r w:rsidRPr="00424AE2">
        <w:rPr>
          <w:rFonts w:ascii="Palatino Linotype" w:eastAsia="Palatino Linotype" w:hAnsi="Palatino Linotype" w:cs="Palatino Linotype"/>
          <w:sz w:val="22"/>
          <w:szCs w:val="22"/>
        </w:rPr>
        <w:t>vía Sistema de Acce</w:t>
      </w:r>
      <w:r w:rsidR="00CF4F0B" w:rsidRPr="00424AE2">
        <w:rPr>
          <w:rFonts w:ascii="Palatino Linotype" w:eastAsia="Palatino Linotype" w:hAnsi="Palatino Linotype" w:cs="Palatino Linotype"/>
          <w:sz w:val="22"/>
          <w:szCs w:val="22"/>
        </w:rPr>
        <w:t xml:space="preserve">so a la Información </w:t>
      </w:r>
      <w:r w:rsidR="00220997" w:rsidRPr="00424AE2">
        <w:rPr>
          <w:rFonts w:ascii="Palatino Linotype" w:eastAsia="Palatino Linotype" w:hAnsi="Palatino Linotype" w:cs="Palatino Linotype"/>
          <w:sz w:val="22"/>
          <w:szCs w:val="22"/>
        </w:rPr>
        <w:t>Mexiquense</w:t>
      </w:r>
      <w:r w:rsidR="00AF7232" w:rsidRPr="00424AE2">
        <w:rPr>
          <w:rFonts w:ascii="Palatino Linotype" w:eastAsia="Palatino Linotype" w:hAnsi="Palatino Linotype" w:cs="Palatino Linotype"/>
          <w:sz w:val="22"/>
          <w:szCs w:val="22"/>
        </w:rPr>
        <w:t xml:space="preserve">, </w:t>
      </w:r>
      <w:r w:rsidR="007366D5" w:rsidRPr="00424AE2">
        <w:rPr>
          <w:rFonts w:ascii="Palatino Linotype" w:eastAsia="Palatino Linotype" w:hAnsi="Palatino Linotype" w:cs="Palatino Linotype"/>
          <w:sz w:val="22"/>
          <w:szCs w:val="22"/>
        </w:rPr>
        <w:t xml:space="preserve">de ser procedente </w:t>
      </w:r>
      <w:r w:rsidR="00AF7232" w:rsidRPr="00424AE2">
        <w:rPr>
          <w:rFonts w:ascii="Palatino Linotype" w:eastAsia="Palatino Linotype" w:hAnsi="Palatino Linotype" w:cs="Palatino Linotype"/>
          <w:sz w:val="22"/>
          <w:szCs w:val="22"/>
        </w:rPr>
        <w:t>en versión pública</w:t>
      </w:r>
      <w:r w:rsidR="00BA562F" w:rsidRPr="00424AE2">
        <w:rPr>
          <w:rFonts w:ascii="Palatino Linotype" w:eastAsia="Palatino Linotype" w:hAnsi="Palatino Linotype" w:cs="Palatino Linotype"/>
          <w:sz w:val="22"/>
          <w:szCs w:val="22"/>
        </w:rPr>
        <w:t xml:space="preserve">, </w:t>
      </w:r>
      <w:r w:rsidR="00297EB4" w:rsidRPr="00424AE2">
        <w:rPr>
          <w:rFonts w:ascii="Palatino Linotype" w:eastAsia="Palatino Linotype" w:hAnsi="Palatino Linotype" w:cs="Palatino Linotype"/>
          <w:sz w:val="22"/>
          <w:szCs w:val="22"/>
        </w:rPr>
        <w:t>de</w:t>
      </w:r>
      <w:r w:rsidR="003659E9"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 xml:space="preserve">lo siguiente: </w:t>
      </w:r>
    </w:p>
    <w:p w14:paraId="46BB50A7" w14:textId="77777777" w:rsidR="003659E9" w:rsidRPr="00424AE2" w:rsidRDefault="003659E9" w:rsidP="00EE6FB1">
      <w:pPr>
        <w:spacing w:line="360" w:lineRule="auto"/>
        <w:ind w:right="49"/>
        <w:jc w:val="both"/>
        <w:rPr>
          <w:rFonts w:ascii="Palatino Linotype" w:eastAsia="Palatino Linotype" w:hAnsi="Palatino Linotype" w:cs="Palatino Linotype"/>
          <w:sz w:val="22"/>
          <w:szCs w:val="22"/>
        </w:rPr>
      </w:pPr>
    </w:p>
    <w:p w14:paraId="673C3C70" w14:textId="63F532AB" w:rsidR="00957E71" w:rsidRPr="00424AE2" w:rsidRDefault="00957E71" w:rsidP="008E64EB">
      <w:pPr>
        <w:pStyle w:val="Prrafodelista"/>
        <w:numPr>
          <w:ilvl w:val="0"/>
          <w:numId w:val="5"/>
        </w:numPr>
        <w:spacing w:line="360" w:lineRule="auto"/>
        <w:ind w:left="851" w:right="616" w:firstLine="0"/>
        <w:jc w:val="both"/>
        <w:rPr>
          <w:rFonts w:ascii="Palatino Linotype" w:hAnsi="Palatino Linotype" w:cs="Arial"/>
          <w:bCs/>
        </w:rPr>
      </w:pPr>
      <w:r w:rsidRPr="00424AE2">
        <w:rPr>
          <w:rFonts w:ascii="Palatino Linotype" w:hAnsi="Palatino Linotype" w:cs="Arial"/>
          <w:bCs/>
        </w:rPr>
        <w:t>E</w:t>
      </w:r>
      <w:r w:rsidR="00297EB4" w:rsidRPr="00424AE2">
        <w:rPr>
          <w:rFonts w:ascii="Palatino Linotype" w:hAnsi="Palatino Linotype" w:cs="Arial"/>
          <w:bCs/>
        </w:rPr>
        <w:t xml:space="preserve">l documento </w:t>
      </w:r>
      <w:r w:rsidRPr="00424AE2">
        <w:rPr>
          <w:rFonts w:ascii="Palatino Linotype" w:hAnsi="Palatino Linotype" w:cs="Arial"/>
          <w:bCs/>
        </w:rPr>
        <w:t>en donde conste el total de servidores públicos que integran la plantilla del Instituto Municipal de Cultura Físi</w:t>
      </w:r>
      <w:r w:rsidR="008B69D3" w:rsidRPr="00424AE2">
        <w:rPr>
          <w:rFonts w:ascii="Palatino Linotype" w:hAnsi="Palatino Linotype" w:cs="Arial"/>
          <w:bCs/>
        </w:rPr>
        <w:t xml:space="preserve">ca y Deporte de Chicoloapan, a </w:t>
      </w:r>
      <w:r w:rsidRPr="00424AE2">
        <w:rPr>
          <w:rFonts w:ascii="Palatino Linotype" w:hAnsi="Palatino Linotype" w:cs="Arial"/>
          <w:bCs/>
        </w:rPr>
        <w:t xml:space="preserve">la segunda quincena de julio de dos mil veinticuatro. </w:t>
      </w:r>
    </w:p>
    <w:p w14:paraId="63E7C07D" w14:textId="7DDCD822" w:rsidR="008E64EB" w:rsidRPr="00424AE2" w:rsidRDefault="008E64EB" w:rsidP="00957E71">
      <w:pPr>
        <w:pStyle w:val="Prrafodelista"/>
        <w:spacing w:line="360" w:lineRule="auto"/>
        <w:ind w:left="851" w:right="616"/>
        <w:jc w:val="both"/>
        <w:rPr>
          <w:rFonts w:ascii="Palatino Linotype" w:hAnsi="Palatino Linotype" w:cs="Arial"/>
          <w:bCs/>
        </w:rPr>
      </w:pPr>
    </w:p>
    <w:p w14:paraId="48F0EFE8" w14:textId="57211C51" w:rsidR="00486ED6" w:rsidRPr="00424AE2" w:rsidRDefault="00486ED6" w:rsidP="008E64EB">
      <w:pPr>
        <w:pStyle w:val="Prrafodelista"/>
        <w:spacing w:line="276" w:lineRule="auto"/>
        <w:ind w:left="851" w:right="616"/>
        <w:jc w:val="both"/>
        <w:rPr>
          <w:rFonts w:ascii="Palatino Linotype" w:hAnsi="Palatino Linotype" w:cs="Arial"/>
          <w:bCs/>
          <w:i/>
        </w:rPr>
      </w:pPr>
      <w:r w:rsidRPr="00424AE2">
        <w:rPr>
          <w:rFonts w:ascii="Palatino Linotype" w:hAnsi="Palatino Linotype" w:cs="Arial"/>
          <w:bCs/>
          <w:i/>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00937E77" w:rsidRPr="00424AE2">
        <w:rPr>
          <w:rFonts w:ascii="Palatino Linotype" w:hAnsi="Palatino Linotype" w:cs="Arial"/>
          <w:b/>
          <w:bCs/>
          <w:i/>
        </w:rPr>
        <w:t>Recurrente</w:t>
      </w:r>
      <w:r w:rsidRPr="00424AE2">
        <w:rPr>
          <w:rFonts w:ascii="Palatino Linotype" w:hAnsi="Palatino Linotype" w:cs="Arial"/>
          <w:bCs/>
          <w:i/>
        </w:rPr>
        <w:t>, mismo que igualmente hará de su conocimiento.</w:t>
      </w:r>
    </w:p>
    <w:p w14:paraId="5E307DA2" w14:textId="77777777" w:rsidR="00486ED6" w:rsidRPr="00424AE2" w:rsidRDefault="00486ED6" w:rsidP="00486ED6">
      <w:pPr>
        <w:pStyle w:val="Prrafodelista"/>
        <w:spacing w:line="276" w:lineRule="auto"/>
        <w:ind w:left="720"/>
        <w:jc w:val="both"/>
        <w:rPr>
          <w:rFonts w:ascii="Palatino Linotype" w:hAnsi="Palatino Linotype" w:cs="Arial"/>
          <w:bCs/>
          <w:i/>
        </w:rPr>
      </w:pPr>
    </w:p>
    <w:p w14:paraId="73B41B36" w14:textId="02B0DFEF" w:rsidR="00634EF5" w:rsidRPr="00424AE2" w:rsidRDefault="00634EF5" w:rsidP="00634EF5">
      <w:pPr>
        <w:spacing w:line="360" w:lineRule="auto"/>
        <w:ind w:right="49"/>
        <w:jc w:val="both"/>
        <w:rPr>
          <w:rFonts w:ascii="Palatino Linotype" w:eastAsia="Palatino Linotype" w:hAnsi="Palatino Linotype" w:cs="Palatino Linotype"/>
          <w:b/>
          <w:sz w:val="22"/>
          <w:szCs w:val="22"/>
          <w:lang w:eastAsia="es-MX"/>
        </w:rPr>
      </w:pPr>
      <w:r w:rsidRPr="00424AE2">
        <w:rPr>
          <w:rFonts w:ascii="Palatino Linotype" w:eastAsia="Palatino Linotype" w:hAnsi="Palatino Linotype" w:cs="Palatino Linotype"/>
          <w:b/>
          <w:sz w:val="22"/>
          <w:szCs w:val="22"/>
        </w:rPr>
        <w:t>Tercero.</w:t>
      </w:r>
      <w:r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b/>
          <w:sz w:val="22"/>
          <w:szCs w:val="22"/>
        </w:rPr>
        <w:t xml:space="preserve">Notifíquese </w:t>
      </w:r>
      <w:r w:rsidRPr="00424AE2">
        <w:rPr>
          <w:rFonts w:ascii="Palatino Linotype" w:eastAsia="Palatino Linotype" w:hAnsi="Palatino Linotype" w:cs="Palatino Linotype"/>
          <w:sz w:val="22"/>
          <w:szCs w:val="22"/>
        </w:rPr>
        <w:t xml:space="preserve">la presente resolución </w:t>
      </w:r>
      <w:r w:rsidR="00D931C7" w:rsidRPr="00424AE2">
        <w:rPr>
          <w:rFonts w:ascii="Palatino Linotype" w:eastAsia="Palatino Linotype" w:hAnsi="Palatino Linotype" w:cs="Palatino Linotype"/>
          <w:b/>
          <w:sz w:val="22"/>
          <w:szCs w:val="22"/>
        </w:rPr>
        <w:t xml:space="preserve">vía SAIMEX </w:t>
      </w:r>
      <w:r w:rsidRPr="00424AE2">
        <w:rPr>
          <w:rFonts w:ascii="Palatino Linotype" w:eastAsia="Palatino Linotype" w:hAnsi="Palatino Linotype" w:cs="Palatino Linotype"/>
          <w:sz w:val="22"/>
          <w:szCs w:val="22"/>
        </w:rPr>
        <w:t>al T</w:t>
      </w:r>
      <w:r w:rsidRPr="00424AE2">
        <w:rPr>
          <w:rFonts w:ascii="Palatino Linotype" w:eastAsia="Palatino Linotype" w:hAnsi="Palatino Linotype" w:cs="Palatino Linotype"/>
          <w:b/>
          <w:sz w:val="22"/>
          <w:szCs w:val="22"/>
        </w:rPr>
        <w:t xml:space="preserve">itular de la Unidad de Transparencia </w:t>
      </w:r>
      <w:r w:rsidRPr="00424AE2">
        <w:rPr>
          <w:rFonts w:ascii="Palatino Linotype" w:eastAsia="Palatino Linotype" w:hAnsi="Palatino Linotype" w:cs="Palatino Linotype"/>
          <w:sz w:val="22"/>
          <w:szCs w:val="22"/>
        </w:rPr>
        <w:t xml:space="preserve">del </w:t>
      </w:r>
      <w:r w:rsidR="00937E77" w:rsidRPr="00424AE2">
        <w:rPr>
          <w:rFonts w:ascii="Palatino Linotype" w:eastAsia="Palatino Linotype" w:hAnsi="Palatino Linotype" w:cs="Palatino Linotype"/>
          <w:b/>
          <w:sz w:val="22"/>
          <w:szCs w:val="22"/>
        </w:rPr>
        <w:t>Sujeto Obligado</w:t>
      </w:r>
      <w:r w:rsidRPr="00424AE2">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E2BAC60" w14:textId="77777777" w:rsidR="00EE6FB1" w:rsidRPr="00424AE2" w:rsidRDefault="00EE6FB1" w:rsidP="00EE6FB1">
      <w:pPr>
        <w:spacing w:line="360" w:lineRule="auto"/>
        <w:ind w:right="49"/>
        <w:jc w:val="both"/>
        <w:rPr>
          <w:rFonts w:ascii="Palatino Linotype" w:eastAsia="Palatino Linotype" w:hAnsi="Palatino Linotype" w:cs="Palatino Linotype"/>
          <w:sz w:val="22"/>
          <w:szCs w:val="22"/>
        </w:rPr>
      </w:pPr>
    </w:p>
    <w:p w14:paraId="3C809DAA" w14:textId="15C932A5" w:rsidR="00EE6FB1" w:rsidRPr="00424AE2" w:rsidRDefault="00EE6FB1" w:rsidP="00EE6FB1">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Cuarto.</w:t>
      </w:r>
      <w:r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b/>
          <w:sz w:val="22"/>
          <w:szCs w:val="22"/>
        </w:rPr>
        <w:t>Notifíquese vía SAIMEX</w:t>
      </w:r>
      <w:r w:rsidR="005D30AB" w:rsidRPr="00424AE2">
        <w:rPr>
          <w:rFonts w:ascii="Palatino Linotype" w:eastAsia="Palatino Linotype" w:hAnsi="Palatino Linotype" w:cs="Palatino Linotype"/>
          <w:b/>
          <w:sz w:val="22"/>
          <w:szCs w:val="22"/>
        </w:rPr>
        <w:t xml:space="preserve"> </w:t>
      </w:r>
      <w:r w:rsidRPr="00424AE2">
        <w:rPr>
          <w:rFonts w:ascii="Palatino Linotype" w:eastAsia="Palatino Linotype" w:hAnsi="Palatino Linotype" w:cs="Palatino Linotype"/>
          <w:sz w:val="22"/>
          <w:szCs w:val="22"/>
        </w:rPr>
        <w:t xml:space="preserve">a la parte </w:t>
      </w:r>
      <w:r w:rsidR="00937E77" w:rsidRPr="00424AE2">
        <w:rPr>
          <w:rFonts w:ascii="Palatino Linotype" w:eastAsia="Palatino Linotype" w:hAnsi="Palatino Linotype" w:cs="Palatino Linotype"/>
          <w:b/>
          <w:sz w:val="22"/>
          <w:szCs w:val="22"/>
        </w:rPr>
        <w:t xml:space="preserve">Recurrente </w:t>
      </w:r>
      <w:r w:rsidRPr="00424AE2">
        <w:rPr>
          <w:rFonts w:ascii="Palatino Linotype" w:eastAsia="Palatino Linotype" w:hAnsi="Palatino Linotype" w:cs="Palatino Linotype"/>
          <w:sz w:val="22"/>
          <w:szCs w:val="22"/>
        </w:rPr>
        <w:t xml:space="preserve">la presente resolución, así como, que de conformidad con lo establecido en el artículo 196 de la Ley de Transparencia y </w:t>
      </w:r>
      <w:r w:rsidRPr="00424AE2">
        <w:rPr>
          <w:rFonts w:ascii="Palatino Linotype" w:eastAsia="Palatino Linotype" w:hAnsi="Palatino Linotype" w:cs="Palatino Linotype"/>
          <w:sz w:val="22"/>
          <w:szCs w:val="22"/>
        </w:rPr>
        <w:lastRenderedPageBreak/>
        <w:t xml:space="preserve">Acceso a la Información Pública del Estado de México y Municipios, podrá impugnar la presente resolución vía Juicio de Amparo en los términos de las leyes aplicables. </w:t>
      </w:r>
    </w:p>
    <w:p w14:paraId="2D2D64D7" w14:textId="77777777" w:rsidR="00EE6FB1" w:rsidRPr="00424AE2" w:rsidRDefault="00EE6FB1" w:rsidP="00EE6FB1">
      <w:pPr>
        <w:spacing w:line="360" w:lineRule="auto"/>
        <w:ind w:right="49"/>
        <w:jc w:val="both"/>
        <w:rPr>
          <w:rFonts w:ascii="Palatino Linotype" w:eastAsia="Palatino Linotype" w:hAnsi="Palatino Linotype" w:cs="Palatino Linotype"/>
          <w:sz w:val="22"/>
          <w:szCs w:val="22"/>
        </w:rPr>
      </w:pPr>
    </w:p>
    <w:p w14:paraId="41825D07" w14:textId="60DAC28B" w:rsidR="00EE6FB1" w:rsidRPr="00424AE2" w:rsidRDefault="00EE6FB1" w:rsidP="00EE6FB1">
      <w:pPr>
        <w:spacing w:line="360" w:lineRule="auto"/>
        <w:ind w:right="49"/>
        <w:jc w:val="both"/>
        <w:rPr>
          <w:rFonts w:ascii="Palatino Linotype" w:eastAsia="Palatino Linotype" w:hAnsi="Palatino Linotype" w:cs="Palatino Linotype"/>
          <w:sz w:val="22"/>
          <w:szCs w:val="22"/>
        </w:rPr>
      </w:pPr>
      <w:r w:rsidRPr="00424AE2">
        <w:rPr>
          <w:rFonts w:ascii="Palatino Linotype" w:eastAsia="Palatino Linotype" w:hAnsi="Palatino Linotype" w:cs="Palatino Linotype"/>
          <w:b/>
          <w:sz w:val="22"/>
          <w:szCs w:val="22"/>
        </w:rPr>
        <w:t>Quinto.</w:t>
      </w:r>
      <w:r w:rsidRPr="00424AE2">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00937E77" w:rsidRPr="00424AE2">
        <w:rPr>
          <w:rFonts w:ascii="Palatino Linotype" w:eastAsia="Palatino Linotype" w:hAnsi="Palatino Linotype" w:cs="Palatino Linotype"/>
          <w:b/>
          <w:sz w:val="22"/>
          <w:szCs w:val="22"/>
        </w:rPr>
        <w:t>Sujeto Obligado</w:t>
      </w:r>
      <w:r w:rsidR="00937E77" w:rsidRPr="00424AE2">
        <w:rPr>
          <w:rFonts w:ascii="Palatino Linotype" w:eastAsia="Palatino Linotype" w:hAnsi="Palatino Linotype" w:cs="Palatino Linotype"/>
          <w:sz w:val="22"/>
          <w:szCs w:val="22"/>
        </w:rPr>
        <w:t xml:space="preserve"> </w:t>
      </w:r>
      <w:r w:rsidRPr="00424AE2">
        <w:rPr>
          <w:rFonts w:ascii="Palatino Linotype" w:eastAsia="Palatino Linotype" w:hAnsi="Palatino Linotype" w:cs="Palatino Linotype"/>
          <w:sz w:val="22"/>
          <w:szCs w:val="22"/>
        </w:rPr>
        <w:t>de manera fundada y motivada, podrá solicitar una ampliación de plazo para el cumplimiento de la presente resolución.</w:t>
      </w:r>
    </w:p>
    <w:p w14:paraId="35E230B4" w14:textId="77777777" w:rsidR="00EE6FB1" w:rsidRPr="00424AE2" w:rsidRDefault="00EE6FB1" w:rsidP="00EE6FB1">
      <w:pPr>
        <w:spacing w:line="360" w:lineRule="auto"/>
        <w:ind w:right="49"/>
        <w:jc w:val="both"/>
        <w:rPr>
          <w:rFonts w:ascii="Palatino Linotype" w:eastAsia="Palatino Linotype" w:hAnsi="Palatino Linotype" w:cs="Palatino Linotype"/>
          <w:sz w:val="22"/>
          <w:szCs w:val="22"/>
        </w:rPr>
      </w:pPr>
    </w:p>
    <w:p w14:paraId="1A1357A5" w14:textId="0740F066" w:rsidR="00397333" w:rsidRPr="00424AE2" w:rsidRDefault="00B16908">
      <w:pPr>
        <w:spacing w:line="360" w:lineRule="auto"/>
        <w:jc w:val="both"/>
        <w:rPr>
          <w:rFonts w:ascii="Palatino Linotype" w:eastAsia="Palatino Linotype" w:hAnsi="Palatino Linotype" w:cs="Palatino Linotype"/>
          <w:sz w:val="22"/>
          <w:szCs w:val="22"/>
        </w:rPr>
        <w:sectPr w:rsidR="00397333" w:rsidRPr="00424AE2">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424AE2">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424AE2">
        <w:rPr>
          <w:rFonts w:ascii="Palatino Linotype" w:eastAsia="Palatino Linotype" w:hAnsi="Palatino Linotype" w:cs="Palatino Linotype"/>
          <w:sz w:val="22"/>
          <w:szCs w:val="22"/>
        </w:rPr>
        <w:t xml:space="preserve"> GUADALUPE RAMÍREZ PEÑA; EN LA </w:t>
      </w:r>
      <w:r w:rsidR="00937E77" w:rsidRPr="00424AE2">
        <w:rPr>
          <w:rFonts w:ascii="Palatino Linotype" w:eastAsia="Palatino Linotype" w:hAnsi="Palatino Linotype" w:cs="Palatino Linotype"/>
          <w:sz w:val="22"/>
          <w:szCs w:val="22"/>
        </w:rPr>
        <w:t xml:space="preserve">TRIGÉSIMA </w:t>
      </w:r>
      <w:r w:rsidR="004F5FA4" w:rsidRPr="00424AE2">
        <w:rPr>
          <w:rFonts w:ascii="Palatino Linotype" w:eastAsia="Palatino Linotype" w:hAnsi="Palatino Linotype" w:cs="Palatino Linotype"/>
          <w:sz w:val="22"/>
          <w:szCs w:val="22"/>
        </w:rPr>
        <w:t>SEXTA</w:t>
      </w:r>
      <w:r w:rsidR="00AC18B6" w:rsidRPr="00424AE2">
        <w:rPr>
          <w:rFonts w:ascii="Palatino Linotype" w:eastAsia="Palatino Linotype" w:hAnsi="Palatino Linotype" w:cs="Palatino Linotype"/>
          <w:sz w:val="22"/>
          <w:szCs w:val="22"/>
        </w:rPr>
        <w:t xml:space="preserve"> </w:t>
      </w:r>
      <w:r w:rsidR="00CF4F0B" w:rsidRPr="00424AE2">
        <w:rPr>
          <w:rFonts w:ascii="Palatino Linotype" w:eastAsia="Palatino Linotype" w:hAnsi="Palatino Linotype" w:cs="Palatino Linotype"/>
          <w:sz w:val="22"/>
          <w:szCs w:val="22"/>
        </w:rPr>
        <w:t xml:space="preserve">SESIÓN ORDINARIA CELEBRADA EL </w:t>
      </w:r>
      <w:r w:rsidR="004F5FA4" w:rsidRPr="00424AE2">
        <w:rPr>
          <w:rFonts w:ascii="Palatino Linotype" w:eastAsia="Palatino Linotype" w:hAnsi="Palatino Linotype" w:cs="Palatino Linotype"/>
          <w:sz w:val="22"/>
          <w:szCs w:val="22"/>
        </w:rPr>
        <w:t xml:space="preserve">NUEVE </w:t>
      </w:r>
      <w:r w:rsidR="00AC18B6" w:rsidRPr="00424AE2">
        <w:rPr>
          <w:rFonts w:ascii="Palatino Linotype" w:eastAsia="Palatino Linotype" w:hAnsi="Palatino Linotype" w:cs="Palatino Linotype"/>
          <w:sz w:val="22"/>
          <w:szCs w:val="22"/>
        </w:rPr>
        <w:t xml:space="preserve">DE OCTUBRE </w:t>
      </w:r>
      <w:r w:rsidR="00042166" w:rsidRPr="00424AE2">
        <w:rPr>
          <w:rFonts w:ascii="Palatino Linotype" w:eastAsia="Palatino Linotype" w:hAnsi="Palatino Linotype" w:cs="Palatino Linotype"/>
          <w:sz w:val="22"/>
          <w:szCs w:val="22"/>
        </w:rPr>
        <w:t>DE DOS MIL VEINTICUATRO</w:t>
      </w:r>
      <w:r w:rsidRPr="00424AE2">
        <w:rPr>
          <w:rFonts w:ascii="Palatino Linotype" w:eastAsia="Palatino Linotype" w:hAnsi="Palatino Linotype" w:cs="Palatino Linotype"/>
          <w:sz w:val="22"/>
          <w:szCs w:val="22"/>
        </w:rPr>
        <w:t>, ANTE EL SECRETARIO TÉCNICO DEL PLENO ALEXIS TAPIA RAMÍREZ</w:t>
      </w:r>
      <w:r w:rsidR="00E22C26" w:rsidRPr="00424AE2">
        <w:rPr>
          <w:rFonts w:ascii="Palatino Linotype" w:eastAsia="Palatino Linotype" w:hAnsi="Palatino Linotype" w:cs="Palatino Linotype"/>
          <w:sz w:val="22"/>
          <w:szCs w:val="22"/>
        </w:rPr>
        <w:t xml:space="preserve">.                              </w:t>
      </w:r>
    </w:p>
    <w:p w14:paraId="731620FE" w14:textId="77777777" w:rsidR="00397333" w:rsidRPr="00424AE2" w:rsidRDefault="00397333">
      <w:pPr>
        <w:spacing w:line="360" w:lineRule="auto"/>
        <w:jc w:val="both"/>
        <w:rPr>
          <w:rFonts w:ascii="Palatino Linotype" w:eastAsia="Palatino Linotype" w:hAnsi="Palatino Linotype" w:cs="Palatino Linotype"/>
          <w:sz w:val="22"/>
          <w:szCs w:val="22"/>
        </w:rPr>
      </w:pPr>
    </w:p>
    <w:sectPr w:rsidR="00397333" w:rsidRPr="00424AE2">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E551" w14:textId="77777777" w:rsidR="00777F51" w:rsidRDefault="00777F51">
      <w:r>
        <w:separator/>
      </w:r>
    </w:p>
  </w:endnote>
  <w:endnote w:type="continuationSeparator" w:id="0">
    <w:p w14:paraId="59BA5E53" w14:textId="77777777" w:rsidR="00777F51" w:rsidRDefault="007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E52305" w:rsidRDefault="00E523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74D87">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74D87">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14:paraId="74FD0940" w14:textId="77777777" w:rsidR="00E52305" w:rsidRDefault="00E52305">
    <w:pPr>
      <w:pBdr>
        <w:top w:val="nil"/>
        <w:left w:val="nil"/>
        <w:bottom w:val="nil"/>
        <w:right w:val="nil"/>
        <w:between w:val="nil"/>
      </w:pBdr>
      <w:tabs>
        <w:tab w:val="center" w:pos="4252"/>
        <w:tab w:val="right" w:pos="8504"/>
      </w:tabs>
      <w:rPr>
        <w:color w:val="000000"/>
      </w:rPr>
    </w:pPr>
  </w:p>
  <w:p w14:paraId="2A58C321" w14:textId="77777777" w:rsidR="00E52305" w:rsidRDefault="00E5230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E52305" w:rsidRDefault="00E5230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74D87">
      <w:rPr>
        <w:rFonts w:ascii="Arial" w:eastAsia="Arial" w:hAnsi="Arial" w:cs="Arial"/>
        <w:b/>
        <w:noProof/>
        <w:color w:val="000000"/>
        <w:sz w:val="20"/>
        <w:szCs w:val="20"/>
      </w:rPr>
      <w:t>44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74D87">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14:paraId="086B091E" w14:textId="77777777" w:rsidR="00E52305" w:rsidRDefault="00E5230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D41D" w14:textId="77777777" w:rsidR="00777F51" w:rsidRDefault="00777F51">
      <w:r>
        <w:separator/>
      </w:r>
    </w:p>
  </w:footnote>
  <w:footnote w:type="continuationSeparator" w:id="0">
    <w:p w14:paraId="26443F4C" w14:textId="77777777" w:rsidR="00777F51" w:rsidRDefault="0077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E52305" w:rsidRDefault="00E5230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E52305" w14:paraId="410F6866" w14:textId="77777777">
      <w:tc>
        <w:tcPr>
          <w:tcW w:w="2551" w:type="dxa"/>
          <w:vAlign w:val="center"/>
        </w:tcPr>
        <w:p w14:paraId="4F3EC25E" w14:textId="77777777" w:rsidR="00E52305" w:rsidRDefault="00E523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C8F5A1F" w:rsidR="00E52305" w:rsidRDefault="00E52305" w:rsidP="0059763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05014/INFOEM/IP/RR/2024</w:t>
          </w:r>
        </w:p>
      </w:tc>
    </w:tr>
    <w:tr w:rsidR="00E52305" w14:paraId="7FF3BFBA" w14:textId="77777777">
      <w:trPr>
        <w:trHeight w:val="228"/>
      </w:trPr>
      <w:tc>
        <w:tcPr>
          <w:tcW w:w="2551" w:type="dxa"/>
          <w:vAlign w:val="center"/>
        </w:tcPr>
        <w:p w14:paraId="2DC18B76" w14:textId="3ED92A85" w:rsidR="00E52305" w:rsidRDefault="00E523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59FF2B3B" w:rsidR="00E52305" w:rsidRDefault="00E52305" w:rsidP="00515A6B">
          <w:pPr>
            <w:jc w:val="both"/>
            <w:rPr>
              <w:rFonts w:ascii="Palatino Linotype" w:eastAsia="Palatino Linotype" w:hAnsi="Palatino Linotype" w:cs="Palatino Linotype"/>
              <w:b/>
              <w:sz w:val="22"/>
              <w:szCs w:val="22"/>
            </w:rPr>
          </w:pPr>
          <w:r w:rsidRPr="00597635">
            <w:rPr>
              <w:rFonts w:ascii="Palatino Linotype" w:eastAsia="Palatino Linotype" w:hAnsi="Palatino Linotype" w:cs="Palatino Linotype"/>
              <w:b/>
              <w:sz w:val="22"/>
              <w:szCs w:val="22"/>
            </w:rPr>
            <w:t>Instituto Municipal de Cultura Física y Deporte de Chicoloapan</w:t>
          </w:r>
        </w:p>
      </w:tc>
    </w:tr>
    <w:tr w:rsidR="00E52305" w14:paraId="4B680A7E" w14:textId="77777777">
      <w:tc>
        <w:tcPr>
          <w:tcW w:w="2551" w:type="dxa"/>
          <w:vAlign w:val="center"/>
        </w:tcPr>
        <w:p w14:paraId="450F4EE9" w14:textId="77777777" w:rsidR="00E52305" w:rsidRDefault="00E523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E52305" w:rsidRDefault="00E5230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E52305" w:rsidRDefault="00E5230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E52305" w:rsidRDefault="00E5230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6237" w:type="dxa"/>
      <w:tblInd w:w="2552" w:type="dxa"/>
      <w:tblLayout w:type="fixed"/>
      <w:tblLook w:val="0400" w:firstRow="0" w:lastRow="0" w:firstColumn="0" w:lastColumn="0" w:noHBand="0" w:noVBand="1"/>
    </w:tblPr>
    <w:tblGrid>
      <w:gridCol w:w="2551"/>
      <w:gridCol w:w="3686"/>
    </w:tblGrid>
    <w:tr w:rsidR="00E52305" w14:paraId="0ABB4C37" w14:textId="77777777" w:rsidTr="0049645A">
      <w:tc>
        <w:tcPr>
          <w:tcW w:w="2551" w:type="dxa"/>
          <w:vAlign w:val="center"/>
        </w:tcPr>
        <w:p w14:paraId="23A06263" w14:textId="77777777" w:rsidR="00E52305" w:rsidRDefault="00E523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vAlign w:val="center"/>
        </w:tcPr>
        <w:p w14:paraId="5AEB2A1C" w14:textId="06E9E62B" w:rsidR="00E52305" w:rsidRDefault="00E52305" w:rsidP="0059763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05014/INFOEM/IP/RR/2024</w:t>
          </w:r>
        </w:p>
      </w:tc>
    </w:tr>
    <w:tr w:rsidR="00E52305" w14:paraId="021994CC" w14:textId="77777777" w:rsidTr="0049645A">
      <w:tc>
        <w:tcPr>
          <w:tcW w:w="2551" w:type="dxa"/>
          <w:vAlign w:val="center"/>
        </w:tcPr>
        <w:p w14:paraId="4E679DDD" w14:textId="77777777" w:rsidR="00E52305" w:rsidRPr="00CF4F0B" w:rsidRDefault="00E52305">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686" w:type="dxa"/>
          <w:vAlign w:val="center"/>
        </w:tcPr>
        <w:p w14:paraId="782016DA" w14:textId="4D23A1AF" w:rsidR="00E52305" w:rsidRPr="00CF4F0B" w:rsidRDefault="006A21BE" w:rsidP="0049645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w:t>
          </w:r>
        </w:p>
      </w:tc>
    </w:tr>
    <w:tr w:rsidR="00E52305" w14:paraId="491D29D6" w14:textId="77777777" w:rsidTr="0049645A">
      <w:trPr>
        <w:trHeight w:val="228"/>
      </w:trPr>
      <w:tc>
        <w:tcPr>
          <w:tcW w:w="2551" w:type="dxa"/>
          <w:vAlign w:val="center"/>
        </w:tcPr>
        <w:p w14:paraId="2A6E034B" w14:textId="1A8E0197" w:rsidR="00E52305" w:rsidRDefault="00E523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vAlign w:val="center"/>
        </w:tcPr>
        <w:p w14:paraId="59811C07" w14:textId="6849294A" w:rsidR="00E52305" w:rsidRDefault="00E52305" w:rsidP="00515A6B">
          <w:pPr>
            <w:ind w:right="27"/>
            <w:jc w:val="both"/>
            <w:rPr>
              <w:rFonts w:ascii="Palatino Linotype" w:eastAsia="Palatino Linotype" w:hAnsi="Palatino Linotype" w:cs="Palatino Linotype"/>
              <w:b/>
              <w:sz w:val="22"/>
              <w:szCs w:val="22"/>
            </w:rPr>
          </w:pPr>
          <w:r w:rsidRPr="00597635">
            <w:rPr>
              <w:rFonts w:ascii="Palatino Linotype" w:eastAsia="Palatino Linotype" w:hAnsi="Palatino Linotype" w:cs="Palatino Linotype"/>
              <w:b/>
              <w:sz w:val="22"/>
              <w:szCs w:val="22"/>
            </w:rPr>
            <w:t>Instituto Municipal de Cultura Física y Deporte de Chicoloapan</w:t>
          </w:r>
        </w:p>
      </w:tc>
    </w:tr>
    <w:tr w:rsidR="00E52305" w14:paraId="412F3721" w14:textId="77777777" w:rsidTr="0049645A">
      <w:tc>
        <w:tcPr>
          <w:tcW w:w="2551" w:type="dxa"/>
          <w:vAlign w:val="center"/>
        </w:tcPr>
        <w:p w14:paraId="7EDAC2CA" w14:textId="77777777" w:rsidR="00E52305" w:rsidRDefault="00E523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vAlign w:val="center"/>
        </w:tcPr>
        <w:p w14:paraId="296FCD99" w14:textId="77777777" w:rsidR="00E52305" w:rsidRDefault="00E5230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E52305" w:rsidRDefault="00E5230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E52305" w:rsidRDefault="00E5230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E52305" w:rsidRDefault="00E5230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500"/>
    <w:multiLevelType w:val="multilevel"/>
    <w:tmpl w:val="09B029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64A2FD8"/>
    <w:multiLevelType w:val="hybridMultilevel"/>
    <w:tmpl w:val="745A321C"/>
    <w:lvl w:ilvl="0" w:tplc="080A000F">
      <w:start w:val="1"/>
      <w:numFmt w:val="decimal"/>
      <w:lvlText w:val="%1."/>
      <w:lvlJc w:val="left"/>
      <w:pPr>
        <w:ind w:left="720" w:hanging="360"/>
      </w:pPr>
    </w:lvl>
    <w:lvl w:ilvl="1" w:tplc="B6B6D2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BD9523B"/>
    <w:multiLevelType w:val="hybridMultilevel"/>
    <w:tmpl w:val="B9C09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D93D52"/>
    <w:multiLevelType w:val="hybridMultilevel"/>
    <w:tmpl w:val="6810C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AF4E50"/>
    <w:multiLevelType w:val="multilevel"/>
    <w:tmpl w:val="4F3E9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0C13FF"/>
    <w:multiLevelType w:val="multilevel"/>
    <w:tmpl w:val="C67C1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831484"/>
    <w:multiLevelType w:val="hybridMultilevel"/>
    <w:tmpl w:val="635407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8F0309"/>
    <w:multiLevelType w:val="hybridMultilevel"/>
    <w:tmpl w:val="3BF810B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F656843"/>
    <w:multiLevelType w:val="hybridMultilevel"/>
    <w:tmpl w:val="4184CD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607A1D"/>
    <w:multiLevelType w:val="hybridMultilevel"/>
    <w:tmpl w:val="F838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A216A9"/>
    <w:multiLevelType w:val="hybridMultilevel"/>
    <w:tmpl w:val="213ED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8"/>
  </w:num>
  <w:num w:numId="2">
    <w:abstractNumId w:val="3"/>
  </w:num>
  <w:num w:numId="3">
    <w:abstractNumId w:val="16"/>
  </w:num>
  <w:num w:numId="4">
    <w:abstractNumId w:val="14"/>
  </w:num>
  <w:num w:numId="5">
    <w:abstractNumId w:val="9"/>
  </w:num>
  <w:num w:numId="6">
    <w:abstractNumId w:val="2"/>
  </w:num>
  <w:num w:numId="7">
    <w:abstractNumId w:val="11"/>
  </w:num>
  <w:num w:numId="8">
    <w:abstractNumId w:val="13"/>
  </w:num>
  <w:num w:numId="9">
    <w:abstractNumId w:val="1"/>
  </w:num>
  <w:num w:numId="10">
    <w:abstractNumId w:val="0"/>
  </w:num>
  <w:num w:numId="11">
    <w:abstractNumId w:val="12"/>
  </w:num>
  <w:num w:numId="12">
    <w:abstractNumId w:val="10"/>
  </w:num>
  <w:num w:numId="13">
    <w:abstractNumId w:val="4"/>
  </w:num>
  <w:num w:numId="14">
    <w:abstractNumId w:val="5"/>
  </w:num>
  <w:num w:numId="15">
    <w:abstractNumId w:val="15"/>
  </w:num>
  <w:num w:numId="16">
    <w:abstractNumId w:val="6"/>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46FA"/>
    <w:rsid w:val="000247E9"/>
    <w:rsid w:val="00025FCE"/>
    <w:rsid w:val="00042166"/>
    <w:rsid w:val="000453FB"/>
    <w:rsid w:val="000462AF"/>
    <w:rsid w:val="0004656A"/>
    <w:rsid w:val="0005655C"/>
    <w:rsid w:val="000679EF"/>
    <w:rsid w:val="00071508"/>
    <w:rsid w:val="00085616"/>
    <w:rsid w:val="00087455"/>
    <w:rsid w:val="000A0DA5"/>
    <w:rsid w:val="000A16ED"/>
    <w:rsid w:val="000A5850"/>
    <w:rsid w:val="000A7328"/>
    <w:rsid w:val="000A7F9F"/>
    <w:rsid w:val="000B3C3B"/>
    <w:rsid w:val="000C308A"/>
    <w:rsid w:val="000D394F"/>
    <w:rsid w:val="000D3BE0"/>
    <w:rsid w:val="000D4A9B"/>
    <w:rsid w:val="000E0874"/>
    <w:rsid w:val="000E3910"/>
    <w:rsid w:val="000E596C"/>
    <w:rsid w:val="000E69DE"/>
    <w:rsid w:val="000F491D"/>
    <w:rsid w:val="00100EE5"/>
    <w:rsid w:val="00103F6F"/>
    <w:rsid w:val="00104B28"/>
    <w:rsid w:val="00105688"/>
    <w:rsid w:val="0011177E"/>
    <w:rsid w:val="001119DF"/>
    <w:rsid w:val="00111D33"/>
    <w:rsid w:val="00116A80"/>
    <w:rsid w:val="00123C2A"/>
    <w:rsid w:val="00124E9F"/>
    <w:rsid w:val="00130ADB"/>
    <w:rsid w:val="00135DB6"/>
    <w:rsid w:val="00136D08"/>
    <w:rsid w:val="00137FAD"/>
    <w:rsid w:val="0014425E"/>
    <w:rsid w:val="0015352F"/>
    <w:rsid w:val="001725B0"/>
    <w:rsid w:val="00172FCA"/>
    <w:rsid w:val="00174A7F"/>
    <w:rsid w:val="00181245"/>
    <w:rsid w:val="00182F33"/>
    <w:rsid w:val="00184FE8"/>
    <w:rsid w:val="001A1E20"/>
    <w:rsid w:val="001A2789"/>
    <w:rsid w:val="001A44D0"/>
    <w:rsid w:val="001A7D5C"/>
    <w:rsid w:val="001B6BF6"/>
    <w:rsid w:val="001C1D7D"/>
    <w:rsid w:val="001C34BA"/>
    <w:rsid w:val="001D2CC3"/>
    <w:rsid w:val="001D33EF"/>
    <w:rsid w:val="001D39BA"/>
    <w:rsid w:val="001D7660"/>
    <w:rsid w:val="001E0464"/>
    <w:rsid w:val="001E4D34"/>
    <w:rsid w:val="001F2EC6"/>
    <w:rsid w:val="002039ED"/>
    <w:rsid w:val="0021224F"/>
    <w:rsid w:val="00214386"/>
    <w:rsid w:val="00215DEF"/>
    <w:rsid w:val="00220997"/>
    <w:rsid w:val="002217AA"/>
    <w:rsid w:val="002238B3"/>
    <w:rsid w:val="002261B9"/>
    <w:rsid w:val="00227026"/>
    <w:rsid w:val="002354BD"/>
    <w:rsid w:val="002359C0"/>
    <w:rsid w:val="00237EBD"/>
    <w:rsid w:val="00241E82"/>
    <w:rsid w:val="00242A98"/>
    <w:rsid w:val="0024674D"/>
    <w:rsid w:val="00250067"/>
    <w:rsid w:val="00250736"/>
    <w:rsid w:val="00252E63"/>
    <w:rsid w:val="00254589"/>
    <w:rsid w:val="00264062"/>
    <w:rsid w:val="00264EBB"/>
    <w:rsid w:val="00270670"/>
    <w:rsid w:val="00272A4B"/>
    <w:rsid w:val="00272FE8"/>
    <w:rsid w:val="00274708"/>
    <w:rsid w:val="00274D87"/>
    <w:rsid w:val="00276A26"/>
    <w:rsid w:val="00280452"/>
    <w:rsid w:val="00295E3E"/>
    <w:rsid w:val="00297EB4"/>
    <w:rsid w:val="002A02E6"/>
    <w:rsid w:val="002B2401"/>
    <w:rsid w:val="002B51BD"/>
    <w:rsid w:val="002C466B"/>
    <w:rsid w:val="002C59DD"/>
    <w:rsid w:val="002D4650"/>
    <w:rsid w:val="002E6925"/>
    <w:rsid w:val="002E7B69"/>
    <w:rsid w:val="002F38D1"/>
    <w:rsid w:val="002F3CFA"/>
    <w:rsid w:val="002F5666"/>
    <w:rsid w:val="003035EC"/>
    <w:rsid w:val="00304749"/>
    <w:rsid w:val="00314971"/>
    <w:rsid w:val="00315481"/>
    <w:rsid w:val="003211A2"/>
    <w:rsid w:val="00322F66"/>
    <w:rsid w:val="003251E5"/>
    <w:rsid w:val="0032794E"/>
    <w:rsid w:val="0033118C"/>
    <w:rsid w:val="00334DC9"/>
    <w:rsid w:val="00337929"/>
    <w:rsid w:val="00344842"/>
    <w:rsid w:val="00345FC2"/>
    <w:rsid w:val="00350409"/>
    <w:rsid w:val="00351E2E"/>
    <w:rsid w:val="003537BC"/>
    <w:rsid w:val="00354447"/>
    <w:rsid w:val="00357C24"/>
    <w:rsid w:val="003639F4"/>
    <w:rsid w:val="00363BB8"/>
    <w:rsid w:val="003658E9"/>
    <w:rsid w:val="003659E9"/>
    <w:rsid w:val="003776E1"/>
    <w:rsid w:val="003804FB"/>
    <w:rsid w:val="00385565"/>
    <w:rsid w:val="00385A18"/>
    <w:rsid w:val="003928B4"/>
    <w:rsid w:val="00397333"/>
    <w:rsid w:val="003B735D"/>
    <w:rsid w:val="003C0A84"/>
    <w:rsid w:val="003C16E8"/>
    <w:rsid w:val="003C479D"/>
    <w:rsid w:val="003D1B5D"/>
    <w:rsid w:val="003E2AB0"/>
    <w:rsid w:val="003E4045"/>
    <w:rsid w:val="003F6A4E"/>
    <w:rsid w:val="00400292"/>
    <w:rsid w:val="0040533F"/>
    <w:rsid w:val="0040700C"/>
    <w:rsid w:val="0041004E"/>
    <w:rsid w:val="00420E0B"/>
    <w:rsid w:val="00424AE2"/>
    <w:rsid w:val="004367AB"/>
    <w:rsid w:val="0045248B"/>
    <w:rsid w:val="00452B2D"/>
    <w:rsid w:val="004601E2"/>
    <w:rsid w:val="00462FEA"/>
    <w:rsid w:val="00463BE0"/>
    <w:rsid w:val="00467B3C"/>
    <w:rsid w:val="004711FB"/>
    <w:rsid w:val="0047162B"/>
    <w:rsid w:val="00477CB8"/>
    <w:rsid w:val="00480E30"/>
    <w:rsid w:val="00485BC1"/>
    <w:rsid w:val="00485DFA"/>
    <w:rsid w:val="00486ED6"/>
    <w:rsid w:val="004875AB"/>
    <w:rsid w:val="004948E3"/>
    <w:rsid w:val="0049645A"/>
    <w:rsid w:val="00496DCD"/>
    <w:rsid w:val="004A6331"/>
    <w:rsid w:val="004A7859"/>
    <w:rsid w:val="004B010E"/>
    <w:rsid w:val="004C4ED0"/>
    <w:rsid w:val="004C7D40"/>
    <w:rsid w:val="004E1D11"/>
    <w:rsid w:val="004E331B"/>
    <w:rsid w:val="004E437D"/>
    <w:rsid w:val="004E4C2E"/>
    <w:rsid w:val="004F14D4"/>
    <w:rsid w:val="004F5FA4"/>
    <w:rsid w:val="005006EA"/>
    <w:rsid w:val="005022EF"/>
    <w:rsid w:val="00505D52"/>
    <w:rsid w:val="005065F2"/>
    <w:rsid w:val="00507AAF"/>
    <w:rsid w:val="005100F1"/>
    <w:rsid w:val="00513E97"/>
    <w:rsid w:val="00515A6B"/>
    <w:rsid w:val="00527423"/>
    <w:rsid w:val="00530055"/>
    <w:rsid w:val="00530576"/>
    <w:rsid w:val="005318B3"/>
    <w:rsid w:val="005357CD"/>
    <w:rsid w:val="00537023"/>
    <w:rsid w:val="00543060"/>
    <w:rsid w:val="00550C9E"/>
    <w:rsid w:val="00550FBB"/>
    <w:rsid w:val="005519B7"/>
    <w:rsid w:val="005532C7"/>
    <w:rsid w:val="00563C00"/>
    <w:rsid w:val="005659A9"/>
    <w:rsid w:val="00565A5E"/>
    <w:rsid w:val="00570E16"/>
    <w:rsid w:val="0057774C"/>
    <w:rsid w:val="00580273"/>
    <w:rsid w:val="00580ACA"/>
    <w:rsid w:val="00597635"/>
    <w:rsid w:val="005A18AE"/>
    <w:rsid w:val="005A2F85"/>
    <w:rsid w:val="005B6F34"/>
    <w:rsid w:val="005C0173"/>
    <w:rsid w:val="005C5EA7"/>
    <w:rsid w:val="005D01D8"/>
    <w:rsid w:val="005D0A1E"/>
    <w:rsid w:val="005D30AB"/>
    <w:rsid w:val="005D310A"/>
    <w:rsid w:val="005D3DBF"/>
    <w:rsid w:val="005D6DC2"/>
    <w:rsid w:val="005D76CC"/>
    <w:rsid w:val="005D7E33"/>
    <w:rsid w:val="005E0498"/>
    <w:rsid w:val="005E2631"/>
    <w:rsid w:val="005E2677"/>
    <w:rsid w:val="005E5984"/>
    <w:rsid w:val="005F062B"/>
    <w:rsid w:val="005F320C"/>
    <w:rsid w:val="006039B6"/>
    <w:rsid w:val="006046C3"/>
    <w:rsid w:val="00606D77"/>
    <w:rsid w:val="00613B06"/>
    <w:rsid w:val="00615A93"/>
    <w:rsid w:val="0062533B"/>
    <w:rsid w:val="00630345"/>
    <w:rsid w:val="006310DA"/>
    <w:rsid w:val="00634EF5"/>
    <w:rsid w:val="00641518"/>
    <w:rsid w:val="00644DB5"/>
    <w:rsid w:val="00646715"/>
    <w:rsid w:val="006544F0"/>
    <w:rsid w:val="00655336"/>
    <w:rsid w:val="00655383"/>
    <w:rsid w:val="00656B51"/>
    <w:rsid w:val="006650BC"/>
    <w:rsid w:val="006668B4"/>
    <w:rsid w:val="00675E43"/>
    <w:rsid w:val="00680762"/>
    <w:rsid w:val="0068546A"/>
    <w:rsid w:val="00692C77"/>
    <w:rsid w:val="00695E22"/>
    <w:rsid w:val="006A21BE"/>
    <w:rsid w:val="006A6D8A"/>
    <w:rsid w:val="006B1E49"/>
    <w:rsid w:val="006C7300"/>
    <w:rsid w:val="006D3077"/>
    <w:rsid w:val="006D7BB5"/>
    <w:rsid w:val="006E24A6"/>
    <w:rsid w:val="006E6281"/>
    <w:rsid w:val="006F6B6B"/>
    <w:rsid w:val="007063C1"/>
    <w:rsid w:val="00707551"/>
    <w:rsid w:val="00714EEE"/>
    <w:rsid w:val="00715DE8"/>
    <w:rsid w:val="0072058A"/>
    <w:rsid w:val="00726023"/>
    <w:rsid w:val="00726088"/>
    <w:rsid w:val="00734297"/>
    <w:rsid w:val="00735939"/>
    <w:rsid w:val="007366D5"/>
    <w:rsid w:val="007402C5"/>
    <w:rsid w:val="00744C3B"/>
    <w:rsid w:val="00751CEF"/>
    <w:rsid w:val="00753E24"/>
    <w:rsid w:val="00770319"/>
    <w:rsid w:val="007729C9"/>
    <w:rsid w:val="0077760E"/>
    <w:rsid w:val="00777F51"/>
    <w:rsid w:val="007855ED"/>
    <w:rsid w:val="00793549"/>
    <w:rsid w:val="007A09C7"/>
    <w:rsid w:val="007A44F2"/>
    <w:rsid w:val="007A59B6"/>
    <w:rsid w:val="007B2993"/>
    <w:rsid w:val="007B492E"/>
    <w:rsid w:val="007B5B80"/>
    <w:rsid w:val="007C7A18"/>
    <w:rsid w:val="007D7E05"/>
    <w:rsid w:val="007E1638"/>
    <w:rsid w:val="007F0857"/>
    <w:rsid w:val="007F091A"/>
    <w:rsid w:val="007F24D2"/>
    <w:rsid w:val="007F6767"/>
    <w:rsid w:val="007F7DB0"/>
    <w:rsid w:val="008014E6"/>
    <w:rsid w:val="008063C8"/>
    <w:rsid w:val="00807BFF"/>
    <w:rsid w:val="0081059A"/>
    <w:rsid w:val="00811EAE"/>
    <w:rsid w:val="00813356"/>
    <w:rsid w:val="0082236C"/>
    <w:rsid w:val="008307DC"/>
    <w:rsid w:val="00831675"/>
    <w:rsid w:val="00836A8D"/>
    <w:rsid w:val="008373C1"/>
    <w:rsid w:val="00846B9D"/>
    <w:rsid w:val="0085501C"/>
    <w:rsid w:val="0086536E"/>
    <w:rsid w:val="0086793A"/>
    <w:rsid w:val="0087134D"/>
    <w:rsid w:val="00873C8F"/>
    <w:rsid w:val="00874291"/>
    <w:rsid w:val="0087513D"/>
    <w:rsid w:val="008813ED"/>
    <w:rsid w:val="00886EB4"/>
    <w:rsid w:val="00892659"/>
    <w:rsid w:val="00894575"/>
    <w:rsid w:val="00895318"/>
    <w:rsid w:val="008A3588"/>
    <w:rsid w:val="008A4716"/>
    <w:rsid w:val="008A70A9"/>
    <w:rsid w:val="008B1733"/>
    <w:rsid w:val="008B3DA6"/>
    <w:rsid w:val="008B69D3"/>
    <w:rsid w:val="008B717D"/>
    <w:rsid w:val="008B7BBE"/>
    <w:rsid w:val="008C2BED"/>
    <w:rsid w:val="008C5C02"/>
    <w:rsid w:val="008D7E32"/>
    <w:rsid w:val="008E1D40"/>
    <w:rsid w:val="008E64EB"/>
    <w:rsid w:val="008F0FC6"/>
    <w:rsid w:val="008F7D75"/>
    <w:rsid w:val="00920EA1"/>
    <w:rsid w:val="00921C12"/>
    <w:rsid w:val="0092539E"/>
    <w:rsid w:val="0093719C"/>
    <w:rsid w:val="00937E77"/>
    <w:rsid w:val="009400E6"/>
    <w:rsid w:val="0094563A"/>
    <w:rsid w:val="00951545"/>
    <w:rsid w:val="00956711"/>
    <w:rsid w:val="00957E71"/>
    <w:rsid w:val="009605F3"/>
    <w:rsid w:val="00961448"/>
    <w:rsid w:val="00963859"/>
    <w:rsid w:val="009652B2"/>
    <w:rsid w:val="00971DB3"/>
    <w:rsid w:val="00973351"/>
    <w:rsid w:val="009734D4"/>
    <w:rsid w:val="009748C8"/>
    <w:rsid w:val="009807CD"/>
    <w:rsid w:val="00981795"/>
    <w:rsid w:val="009833D4"/>
    <w:rsid w:val="0098416C"/>
    <w:rsid w:val="00985530"/>
    <w:rsid w:val="00987FBD"/>
    <w:rsid w:val="0099390D"/>
    <w:rsid w:val="009A026A"/>
    <w:rsid w:val="009A52A2"/>
    <w:rsid w:val="009A79AB"/>
    <w:rsid w:val="009B1DDF"/>
    <w:rsid w:val="009B51E1"/>
    <w:rsid w:val="009B527D"/>
    <w:rsid w:val="009C2E15"/>
    <w:rsid w:val="009C722B"/>
    <w:rsid w:val="009C793E"/>
    <w:rsid w:val="009D3D8A"/>
    <w:rsid w:val="009D40A7"/>
    <w:rsid w:val="009E7E93"/>
    <w:rsid w:val="009F2325"/>
    <w:rsid w:val="009F4E80"/>
    <w:rsid w:val="009F764F"/>
    <w:rsid w:val="00A15E4B"/>
    <w:rsid w:val="00A204A0"/>
    <w:rsid w:val="00A2410E"/>
    <w:rsid w:val="00A24371"/>
    <w:rsid w:val="00A27355"/>
    <w:rsid w:val="00A34258"/>
    <w:rsid w:val="00A461E5"/>
    <w:rsid w:val="00A51BBB"/>
    <w:rsid w:val="00A61961"/>
    <w:rsid w:val="00A62C18"/>
    <w:rsid w:val="00A62D4E"/>
    <w:rsid w:val="00A6555D"/>
    <w:rsid w:val="00A663F7"/>
    <w:rsid w:val="00A714AD"/>
    <w:rsid w:val="00A715EB"/>
    <w:rsid w:val="00A74A95"/>
    <w:rsid w:val="00A8286C"/>
    <w:rsid w:val="00A8346C"/>
    <w:rsid w:val="00A86253"/>
    <w:rsid w:val="00A90D86"/>
    <w:rsid w:val="00A9193B"/>
    <w:rsid w:val="00A9475D"/>
    <w:rsid w:val="00A94A15"/>
    <w:rsid w:val="00A95952"/>
    <w:rsid w:val="00AA0185"/>
    <w:rsid w:val="00AC18B6"/>
    <w:rsid w:val="00AD1890"/>
    <w:rsid w:val="00AD2B38"/>
    <w:rsid w:val="00AE3BA7"/>
    <w:rsid w:val="00AE6CC8"/>
    <w:rsid w:val="00AE6D18"/>
    <w:rsid w:val="00AF2B61"/>
    <w:rsid w:val="00AF370C"/>
    <w:rsid w:val="00AF7232"/>
    <w:rsid w:val="00B0008F"/>
    <w:rsid w:val="00B0446D"/>
    <w:rsid w:val="00B04D45"/>
    <w:rsid w:val="00B06BF3"/>
    <w:rsid w:val="00B15AFE"/>
    <w:rsid w:val="00B16908"/>
    <w:rsid w:val="00B174AF"/>
    <w:rsid w:val="00B270E7"/>
    <w:rsid w:val="00B312E7"/>
    <w:rsid w:val="00B46B39"/>
    <w:rsid w:val="00B4791A"/>
    <w:rsid w:val="00B47B61"/>
    <w:rsid w:val="00B53B7E"/>
    <w:rsid w:val="00B5516A"/>
    <w:rsid w:val="00B642FD"/>
    <w:rsid w:val="00B64787"/>
    <w:rsid w:val="00B65523"/>
    <w:rsid w:val="00B74C1C"/>
    <w:rsid w:val="00B75E54"/>
    <w:rsid w:val="00B83874"/>
    <w:rsid w:val="00B84371"/>
    <w:rsid w:val="00B851A7"/>
    <w:rsid w:val="00B85C15"/>
    <w:rsid w:val="00B928F5"/>
    <w:rsid w:val="00B939FC"/>
    <w:rsid w:val="00BA0EC3"/>
    <w:rsid w:val="00BA562F"/>
    <w:rsid w:val="00BA5C49"/>
    <w:rsid w:val="00BA69CA"/>
    <w:rsid w:val="00BB0BC6"/>
    <w:rsid w:val="00BB2D0E"/>
    <w:rsid w:val="00BB3E37"/>
    <w:rsid w:val="00BB3EFA"/>
    <w:rsid w:val="00BC7555"/>
    <w:rsid w:val="00BD0D0D"/>
    <w:rsid w:val="00BE5E97"/>
    <w:rsid w:val="00BE716D"/>
    <w:rsid w:val="00BF2BDB"/>
    <w:rsid w:val="00BF48B8"/>
    <w:rsid w:val="00C02820"/>
    <w:rsid w:val="00C05F52"/>
    <w:rsid w:val="00C13B11"/>
    <w:rsid w:val="00C151BE"/>
    <w:rsid w:val="00C17928"/>
    <w:rsid w:val="00C17DD7"/>
    <w:rsid w:val="00C26C88"/>
    <w:rsid w:val="00C27AB3"/>
    <w:rsid w:val="00C32E95"/>
    <w:rsid w:val="00C33785"/>
    <w:rsid w:val="00C40B16"/>
    <w:rsid w:val="00C42377"/>
    <w:rsid w:val="00C44E5E"/>
    <w:rsid w:val="00C45371"/>
    <w:rsid w:val="00C54DE3"/>
    <w:rsid w:val="00C55863"/>
    <w:rsid w:val="00C63FAA"/>
    <w:rsid w:val="00C66F52"/>
    <w:rsid w:val="00C757D6"/>
    <w:rsid w:val="00C81AB2"/>
    <w:rsid w:val="00C87A8E"/>
    <w:rsid w:val="00C95C53"/>
    <w:rsid w:val="00C96224"/>
    <w:rsid w:val="00C963F2"/>
    <w:rsid w:val="00CA34D7"/>
    <w:rsid w:val="00CA657E"/>
    <w:rsid w:val="00CB31E7"/>
    <w:rsid w:val="00CB78D3"/>
    <w:rsid w:val="00CE0FF1"/>
    <w:rsid w:val="00CF4F0B"/>
    <w:rsid w:val="00D02185"/>
    <w:rsid w:val="00D070EA"/>
    <w:rsid w:val="00D126B9"/>
    <w:rsid w:val="00D155F3"/>
    <w:rsid w:val="00D230D5"/>
    <w:rsid w:val="00D31685"/>
    <w:rsid w:val="00D36A8C"/>
    <w:rsid w:val="00D461EB"/>
    <w:rsid w:val="00D524D6"/>
    <w:rsid w:val="00D6232B"/>
    <w:rsid w:val="00D73947"/>
    <w:rsid w:val="00D8337B"/>
    <w:rsid w:val="00D833A1"/>
    <w:rsid w:val="00D83F3A"/>
    <w:rsid w:val="00D84F56"/>
    <w:rsid w:val="00D931C7"/>
    <w:rsid w:val="00D9430A"/>
    <w:rsid w:val="00D94F48"/>
    <w:rsid w:val="00D95A08"/>
    <w:rsid w:val="00D96B67"/>
    <w:rsid w:val="00DA3D41"/>
    <w:rsid w:val="00DA55A9"/>
    <w:rsid w:val="00DB14CB"/>
    <w:rsid w:val="00DB3B8A"/>
    <w:rsid w:val="00DB46DD"/>
    <w:rsid w:val="00DB4715"/>
    <w:rsid w:val="00DB78DA"/>
    <w:rsid w:val="00DB7EE8"/>
    <w:rsid w:val="00DC1728"/>
    <w:rsid w:val="00DD0662"/>
    <w:rsid w:val="00DE2797"/>
    <w:rsid w:val="00DE6BC8"/>
    <w:rsid w:val="00DF0EE7"/>
    <w:rsid w:val="00DF2496"/>
    <w:rsid w:val="00DF32F6"/>
    <w:rsid w:val="00DF7656"/>
    <w:rsid w:val="00DF7678"/>
    <w:rsid w:val="00E06B79"/>
    <w:rsid w:val="00E104E5"/>
    <w:rsid w:val="00E15040"/>
    <w:rsid w:val="00E22C26"/>
    <w:rsid w:val="00E258F9"/>
    <w:rsid w:val="00E25A5C"/>
    <w:rsid w:val="00E3154F"/>
    <w:rsid w:val="00E31A05"/>
    <w:rsid w:val="00E34508"/>
    <w:rsid w:val="00E37309"/>
    <w:rsid w:val="00E37601"/>
    <w:rsid w:val="00E41ED1"/>
    <w:rsid w:val="00E45040"/>
    <w:rsid w:val="00E5019F"/>
    <w:rsid w:val="00E52305"/>
    <w:rsid w:val="00E536F8"/>
    <w:rsid w:val="00E567CE"/>
    <w:rsid w:val="00E57BE8"/>
    <w:rsid w:val="00E64081"/>
    <w:rsid w:val="00E7434B"/>
    <w:rsid w:val="00E77807"/>
    <w:rsid w:val="00E80A78"/>
    <w:rsid w:val="00E80ADB"/>
    <w:rsid w:val="00E92928"/>
    <w:rsid w:val="00E962A6"/>
    <w:rsid w:val="00EA4234"/>
    <w:rsid w:val="00EA4DA5"/>
    <w:rsid w:val="00EB03B3"/>
    <w:rsid w:val="00EB315A"/>
    <w:rsid w:val="00EB36FF"/>
    <w:rsid w:val="00EB7982"/>
    <w:rsid w:val="00EC11B6"/>
    <w:rsid w:val="00EC376F"/>
    <w:rsid w:val="00EC68D1"/>
    <w:rsid w:val="00ED573C"/>
    <w:rsid w:val="00ED7E38"/>
    <w:rsid w:val="00EE05BB"/>
    <w:rsid w:val="00EE5476"/>
    <w:rsid w:val="00EE6FB1"/>
    <w:rsid w:val="00EF0C20"/>
    <w:rsid w:val="00F03038"/>
    <w:rsid w:val="00F1163D"/>
    <w:rsid w:val="00F12AF5"/>
    <w:rsid w:val="00F17047"/>
    <w:rsid w:val="00F222C9"/>
    <w:rsid w:val="00F24342"/>
    <w:rsid w:val="00F32DF6"/>
    <w:rsid w:val="00F41B7B"/>
    <w:rsid w:val="00F43242"/>
    <w:rsid w:val="00F4456C"/>
    <w:rsid w:val="00F5033E"/>
    <w:rsid w:val="00F51652"/>
    <w:rsid w:val="00F52955"/>
    <w:rsid w:val="00F5715E"/>
    <w:rsid w:val="00F60280"/>
    <w:rsid w:val="00F6247B"/>
    <w:rsid w:val="00F631F3"/>
    <w:rsid w:val="00F73737"/>
    <w:rsid w:val="00F80A2F"/>
    <w:rsid w:val="00F82574"/>
    <w:rsid w:val="00F82E85"/>
    <w:rsid w:val="00F859CC"/>
    <w:rsid w:val="00F87616"/>
    <w:rsid w:val="00FA360E"/>
    <w:rsid w:val="00FA6F09"/>
    <w:rsid w:val="00FA74A4"/>
    <w:rsid w:val="00FB08B5"/>
    <w:rsid w:val="00FC0CC5"/>
    <w:rsid w:val="00FC2596"/>
    <w:rsid w:val="00FC4DC6"/>
    <w:rsid w:val="00FC6BD8"/>
    <w:rsid w:val="00FE53C5"/>
    <w:rsid w:val="00FE5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306">
      <w:bodyDiv w:val="1"/>
      <w:marLeft w:val="0"/>
      <w:marRight w:val="0"/>
      <w:marTop w:val="0"/>
      <w:marBottom w:val="0"/>
      <w:divBdr>
        <w:top w:val="none" w:sz="0" w:space="0" w:color="auto"/>
        <w:left w:val="none" w:sz="0" w:space="0" w:color="auto"/>
        <w:bottom w:val="none" w:sz="0" w:space="0" w:color="auto"/>
        <w:right w:val="none" w:sz="0" w:space="0" w:color="auto"/>
      </w:divBdr>
    </w:div>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19480201">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44552558">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17847745">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F850E349-01C8-46AC-AD78-218ACA9BFC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10788</Words>
  <Characters>59338</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2024-10-11T18:24:00Z</cp:lastPrinted>
  <dcterms:created xsi:type="dcterms:W3CDTF">2024-10-24T18:54:00Z</dcterms:created>
  <dcterms:modified xsi:type="dcterms:W3CDTF">2024-10-24T18:54:00Z</dcterms:modified>
</cp:coreProperties>
</file>