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8D3E19" w14:textId="74FFE014" w:rsidR="00072693" w:rsidRPr="009622EB" w:rsidRDefault="002C1F92" w:rsidP="000C77FA">
      <w:pPr>
        <w:spacing w:line="360" w:lineRule="auto"/>
        <w:jc w:val="both"/>
        <w:rPr>
          <w:rFonts w:ascii="Palatino Linotype" w:eastAsia="Palatino Linotype" w:hAnsi="Palatino Linotype" w:cs="Palatino Linotype"/>
          <w:b/>
          <w:bCs/>
        </w:rPr>
      </w:pPr>
      <w:bookmarkStart w:id="0" w:name="_heading=h.gjdgxs" w:colFirst="0" w:colLast="0"/>
      <w:bookmarkEnd w:id="0"/>
      <w:r w:rsidRPr="000C77FA">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w:t>
      </w:r>
      <w:r w:rsidR="00FE46E2" w:rsidRPr="000C77FA">
        <w:rPr>
          <w:rFonts w:ascii="Palatino Linotype" w:eastAsia="Palatino Linotype" w:hAnsi="Palatino Linotype" w:cs="Palatino Linotype"/>
        </w:rPr>
        <w:t>Metepe</w:t>
      </w:r>
      <w:r w:rsidRPr="000C77FA">
        <w:rPr>
          <w:rFonts w:ascii="Palatino Linotype" w:eastAsia="Palatino Linotype" w:hAnsi="Palatino Linotype" w:cs="Palatino Linotype"/>
        </w:rPr>
        <w:t xml:space="preserve">c, Estado de México, </w:t>
      </w:r>
      <w:r w:rsidRPr="009622EB">
        <w:rPr>
          <w:rFonts w:ascii="Palatino Linotype" w:eastAsia="Palatino Linotype" w:hAnsi="Palatino Linotype" w:cs="Palatino Linotype"/>
          <w:b/>
          <w:bCs/>
        </w:rPr>
        <w:t xml:space="preserve">el </w:t>
      </w:r>
      <w:r w:rsidR="0067052C" w:rsidRPr="009622EB">
        <w:rPr>
          <w:rFonts w:ascii="Palatino Linotype" w:eastAsia="Palatino Linotype" w:hAnsi="Palatino Linotype" w:cs="Palatino Linotype"/>
          <w:b/>
          <w:bCs/>
        </w:rPr>
        <w:t xml:space="preserve">tres de abril </w:t>
      </w:r>
      <w:r w:rsidRPr="009622EB">
        <w:rPr>
          <w:rFonts w:ascii="Palatino Linotype" w:eastAsia="Palatino Linotype" w:hAnsi="Palatino Linotype" w:cs="Palatino Linotype"/>
          <w:b/>
          <w:bCs/>
        </w:rPr>
        <w:t xml:space="preserve">dos mil veinticuatro. </w:t>
      </w:r>
    </w:p>
    <w:p w14:paraId="5F9430FA" w14:textId="77777777" w:rsidR="00072693" w:rsidRPr="009622EB" w:rsidRDefault="00072693" w:rsidP="000C77FA">
      <w:pPr>
        <w:spacing w:line="360" w:lineRule="auto"/>
        <w:jc w:val="both"/>
        <w:rPr>
          <w:rFonts w:ascii="Palatino Linotype" w:eastAsia="Palatino Linotype" w:hAnsi="Palatino Linotype" w:cs="Palatino Linotype"/>
          <w:b/>
          <w:bCs/>
          <w:sz w:val="22"/>
          <w:szCs w:val="22"/>
        </w:rPr>
      </w:pPr>
    </w:p>
    <w:p w14:paraId="5327D63D" w14:textId="7FA1C9ED" w:rsidR="00072693" w:rsidRPr="000C77FA" w:rsidRDefault="002C1F92" w:rsidP="000C77FA">
      <w:pPr>
        <w:spacing w:line="360" w:lineRule="auto"/>
        <w:jc w:val="both"/>
        <w:rPr>
          <w:rFonts w:ascii="Palatino Linotype" w:eastAsia="Palatino Linotype" w:hAnsi="Palatino Linotype" w:cs="Palatino Linotype"/>
        </w:rPr>
      </w:pPr>
      <w:bookmarkStart w:id="1" w:name="_heading=h.30j0zll" w:colFirst="0" w:colLast="0"/>
      <w:bookmarkEnd w:id="1"/>
      <w:r w:rsidRPr="000C77FA">
        <w:rPr>
          <w:rFonts w:ascii="Palatino Linotype" w:eastAsia="Palatino Linotype" w:hAnsi="Palatino Linotype" w:cs="Palatino Linotype"/>
          <w:b/>
          <w:sz w:val="28"/>
          <w:szCs w:val="28"/>
        </w:rPr>
        <w:t>VISTO</w:t>
      </w:r>
      <w:r w:rsidRPr="000C77FA">
        <w:rPr>
          <w:rFonts w:ascii="Palatino Linotype" w:eastAsia="Palatino Linotype" w:hAnsi="Palatino Linotype" w:cs="Palatino Linotype"/>
        </w:rPr>
        <w:t xml:space="preserve"> el expediente formado con motivo de los Recursos de Revisión </w:t>
      </w:r>
      <w:r w:rsidRPr="000C77FA">
        <w:rPr>
          <w:rFonts w:ascii="Palatino Linotype" w:eastAsia="Palatino Linotype" w:hAnsi="Palatino Linotype" w:cs="Palatino Linotype"/>
          <w:b/>
          <w:sz w:val="22"/>
          <w:szCs w:val="22"/>
        </w:rPr>
        <w:t xml:space="preserve">00207/INFOEM/IP/RR/2023, 00208/INFOEM/IP/RR/2023, 00210/INFOEM/IP/RR/2023 y 00211/INFOEM/IP/RR/2023 </w:t>
      </w:r>
      <w:r w:rsidRPr="000C77FA">
        <w:rPr>
          <w:rFonts w:ascii="Palatino Linotype" w:eastAsia="Palatino Linotype" w:hAnsi="Palatino Linotype" w:cs="Palatino Linotype"/>
          <w:b/>
        </w:rPr>
        <w:t>acumulados</w:t>
      </w:r>
      <w:r w:rsidRPr="000C77FA">
        <w:rPr>
          <w:rFonts w:ascii="Palatino Linotype" w:eastAsia="Palatino Linotype" w:hAnsi="Palatino Linotype" w:cs="Palatino Linotype"/>
        </w:rPr>
        <w:t xml:space="preserve"> promovidos por quien se ostenta como “</w:t>
      </w:r>
      <w:bookmarkStart w:id="2" w:name="_GoBack"/>
      <w:r w:rsidR="00802DB3">
        <w:rPr>
          <w:rFonts w:ascii="Palatino Linotype" w:eastAsia="Palatino Linotype" w:hAnsi="Palatino Linotype" w:cs="Palatino Linotype"/>
          <w:i/>
        </w:rPr>
        <w:t>XXXX XXXXXXX XXXXXX</w:t>
      </w:r>
      <w:bookmarkEnd w:id="2"/>
      <w:r w:rsidRPr="000C77FA">
        <w:rPr>
          <w:rFonts w:ascii="Palatino Linotype" w:eastAsia="Palatino Linotype" w:hAnsi="Palatino Linotype" w:cs="Palatino Linotype"/>
        </w:rPr>
        <w:t>”,</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rPr>
        <w:t xml:space="preserve">a quien en lo sucesivo se le denominará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en contra de las respuestas de la </w:t>
      </w:r>
      <w:r w:rsidRPr="000C77FA">
        <w:rPr>
          <w:rFonts w:ascii="Palatino Linotype" w:eastAsia="Palatino Linotype" w:hAnsi="Palatino Linotype" w:cs="Palatino Linotype"/>
          <w:b/>
        </w:rPr>
        <w:t>Secretaría de Cultura y Turismo</w:t>
      </w:r>
      <w:r w:rsidRPr="000C77FA">
        <w:rPr>
          <w:rFonts w:ascii="Palatino Linotype" w:eastAsia="Palatino Linotype" w:hAnsi="Palatino Linotype" w:cs="Palatino Linotype"/>
        </w:rPr>
        <w:t xml:space="preserve">, en lo subsecuente, </w:t>
      </w:r>
      <w:r w:rsidRPr="000C77FA">
        <w:rPr>
          <w:rFonts w:ascii="Palatino Linotype" w:eastAsia="Palatino Linotype" w:hAnsi="Palatino Linotype" w:cs="Palatino Linotype"/>
          <w:b/>
        </w:rPr>
        <w:t xml:space="preserve">EL SUJETO OBLIGADO; </w:t>
      </w:r>
      <w:r w:rsidRPr="000C77FA">
        <w:rPr>
          <w:rFonts w:ascii="Palatino Linotype" w:eastAsia="Palatino Linotype" w:hAnsi="Palatino Linotype" w:cs="Palatino Linotype"/>
        </w:rPr>
        <w:t>se procede a dictar la presente resolución con base en los siguientes:</w:t>
      </w:r>
    </w:p>
    <w:p w14:paraId="3A52BFD2" w14:textId="77777777" w:rsidR="00072693" w:rsidRPr="000C77FA" w:rsidRDefault="002C1F92" w:rsidP="000C77FA">
      <w:pPr>
        <w:spacing w:line="360" w:lineRule="auto"/>
        <w:jc w:val="center"/>
        <w:rPr>
          <w:rFonts w:ascii="Palatino Linotype" w:eastAsia="Palatino Linotype" w:hAnsi="Palatino Linotype" w:cs="Palatino Linotype"/>
          <w:b/>
          <w:sz w:val="28"/>
          <w:szCs w:val="28"/>
        </w:rPr>
      </w:pPr>
      <w:r w:rsidRPr="000C77FA">
        <w:rPr>
          <w:rFonts w:ascii="Palatino Linotype" w:eastAsia="Palatino Linotype" w:hAnsi="Palatino Linotype" w:cs="Palatino Linotype"/>
          <w:b/>
          <w:sz w:val="28"/>
          <w:szCs w:val="28"/>
        </w:rPr>
        <w:t>ANTECEDENTES</w:t>
      </w:r>
    </w:p>
    <w:p w14:paraId="1395B714" w14:textId="77777777" w:rsidR="00072693" w:rsidRPr="000C77FA" w:rsidRDefault="00072693" w:rsidP="000C77FA">
      <w:pPr>
        <w:jc w:val="both"/>
        <w:rPr>
          <w:rFonts w:ascii="Palatino Linotype" w:eastAsia="Palatino Linotype" w:hAnsi="Palatino Linotype" w:cs="Palatino Linotype"/>
          <w:b/>
          <w:sz w:val="28"/>
          <w:szCs w:val="28"/>
        </w:rPr>
      </w:pPr>
      <w:bookmarkStart w:id="3" w:name="_heading=h.1fob9te" w:colFirst="0" w:colLast="0"/>
      <w:bookmarkEnd w:id="3"/>
    </w:p>
    <w:p w14:paraId="719D414C" w14:textId="77777777" w:rsidR="00072693" w:rsidRPr="000C77FA" w:rsidRDefault="002C1F92" w:rsidP="000C77FA">
      <w:pPr>
        <w:spacing w:line="360" w:lineRule="auto"/>
        <w:jc w:val="both"/>
        <w:rPr>
          <w:rFonts w:ascii="Palatino Linotype" w:eastAsia="Palatino Linotype" w:hAnsi="Palatino Linotype" w:cs="Palatino Linotype"/>
          <w:b/>
          <w:sz w:val="28"/>
          <w:szCs w:val="28"/>
        </w:rPr>
      </w:pPr>
      <w:r w:rsidRPr="000C77FA">
        <w:rPr>
          <w:rFonts w:ascii="Palatino Linotype" w:eastAsia="Palatino Linotype" w:hAnsi="Palatino Linotype" w:cs="Palatino Linotype"/>
          <w:b/>
          <w:sz w:val="28"/>
          <w:szCs w:val="28"/>
        </w:rPr>
        <w:t>I.</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b/>
          <w:sz w:val="28"/>
          <w:szCs w:val="28"/>
        </w:rPr>
        <w:t>De las Solicitudes de Información.</w:t>
      </w:r>
    </w:p>
    <w:p w14:paraId="38DEE1F1"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1. Presentación.</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presentó el dieciocho de noviembre de dos mil veintidós ante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a través del Sistema de Acceso a la Información Mexiquense, en lo subsecuente </w:t>
      </w:r>
      <w:r w:rsidRPr="000C77FA">
        <w:rPr>
          <w:rFonts w:ascii="Palatino Linotype" w:eastAsia="Palatino Linotype" w:hAnsi="Palatino Linotype" w:cs="Palatino Linotype"/>
          <w:b/>
        </w:rPr>
        <w:t>EL SAIMEX</w:t>
      </w:r>
      <w:r w:rsidRPr="000C77FA">
        <w:rPr>
          <w:rFonts w:ascii="Palatino Linotype" w:eastAsia="Palatino Linotype" w:hAnsi="Palatino Linotype" w:cs="Palatino Linotype"/>
        </w:rPr>
        <w:t>, las Solicitudes de Acceso a la Información Pública</w:t>
      </w:r>
      <w:r w:rsidRPr="000C77FA">
        <w:rPr>
          <w:rFonts w:ascii="Palatino Linotype" w:eastAsia="Palatino Linotype" w:hAnsi="Palatino Linotype" w:cs="Palatino Linotype"/>
          <w:b/>
          <w:sz w:val="28"/>
          <w:szCs w:val="28"/>
          <w:vertAlign w:val="superscript"/>
        </w:rPr>
        <w:footnoteReference w:id="1"/>
      </w:r>
      <w:r w:rsidRPr="000C77FA">
        <w:rPr>
          <w:rFonts w:ascii="Palatino Linotype" w:eastAsia="Palatino Linotype" w:hAnsi="Palatino Linotype" w:cs="Palatino Linotype"/>
        </w:rPr>
        <w:t xml:space="preserve"> con los folios siguientes:</w:t>
      </w:r>
    </w:p>
    <w:p w14:paraId="598EB297" w14:textId="77777777" w:rsidR="00072693" w:rsidRPr="000C77FA" w:rsidRDefault="00072693" w:rsidP="000C77FA">
      <w:pPr>
        <w:spacing w:line="360" w:lineRule="auto"/>
        <w:jc w:val="both"/>
        <w:rPr>
          <w:rFonts w:ascii="Palatino Linotype" w:eastAsia="Palatino Linotype" w:hAnsi="Palatino Linotype" w:cs="Palatino Linotype"/>
        </w:rPr>
      </w:pPr>
    </w:p>
    <w:tbl>
      <w:tblPr>
        <w:tblStyle w:val="a"/>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2351"/>
        <w:gridCol w:w="5670"/>
      </w:tblGrid>
      <w:tr w:rsidR="000C77FA" w:rsidRPr="000C77FA" w14:paraId="3B55E24E" w14:textId="77777777">
        <w:trPr>
          <w:tblHeader/>
          <w:jc w:val="center"/>
        </w:trPr>
        <w:tc>
          <w:tcPr>
            <w:tcW w:w="479" w:type="dxa"/>
            <w:shd w:val="clear" w:color="auto" w:fill="auto"/>
            <w:vAlign w:val="center"/>
          </w:tcPr>
          <w:p w14:paraId="5266351A" w14:textId="77777777" w:rsidR="00072693" w:rsidRPr="000C77FA" w:rsidRDefault="002C1F92" w:rsidP="000C77FA">
            <w:pPr>
              <w:jc w:val="center"/>
              <w:rPr>
                <w:rFonts w:ascii="Palatino Linotype" w:eastAsia="Palatino Linotype" w:hAnsi="Palatino Linotype" w:cs="Palatino Linotype"/>
                <w:b/>
                <w:sz w:val="16"/>
                <w:szCs w:val="16"/>
              </w:rPr>
            </w:pPr>
            <w:bookmarkStart w:id="4" w:name="_heading=h.ck4h1jecfd32" w:colFirst="0" w:colLast="0"/>
            <w:bookmarkEnd w:id="4"/>
            <w:r w:rsidRPr="000C77FA">
              <w:rPr>
                <w:rFonts w:ascii="Palatino Linotype" w:eastAsia="Palatino Linotype" w:hAnsi="Palatino Linotype" w:cs="Palatino Linotype"/>
                <w:b/>
                <w:sz w:val="16"/>
                <w:szCs w:val="16"/>
              </w:rPr>
              <w:lastRenderedPageBreak/>
              <w:t>No.</w:t>
            </w:r>
          </w:p>
        </w:tc>
        <w:tc>
          <w:tcPr>
            <w:tcW w:w="2351" w:type="dxa"/>
            <w:shd w:val="clear" w:color="auto" w:fill="auto"/>
            <w:vAlign w:val="center"/>
          </w:tcPr>
          <w:p w14:paraId="36101604"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Fecha</w:t>
            </w:r>
          </w:p>
          <w:p w14:paraId="22295CB0"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Folio de Solicitud</w:t>
            </w:r>
            <w:r w:rsidRPr="000C77FA">
              <w:rPr>
                <w:rFonts w:ascii="Palatino Linotype" w:eastAsia="Palatino Linotype" w:hAnsi="Palatino Linotype" w:cs="Palatino Linotype"/>
                <w:b/>
                <w:sz w:val="16"/>
                <w:szCs w:val="16"/>
                <w:vertAlign w:val="superscript"/>
              </w:rPr>
              <w:footnoteReference w:id="2"/>
            </w:r>
          </w:p>
          <w:p w14:paraId="27D59F7C"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16"/>
                <w:szCs w:val="16"/>
              </w:rPr>
              <w:t>/</w:t>
            </w:r>
            <w:r w:rsidRPr="000C77FA">
              <w:rPr>
                <w:rFonts w:ascii="Palatino Linotype" w:eastAsia="Palatino Linotype" w:hAnsi="Palatino Linotype" w:cs="Palatino Linotype"/>
                <w:sz w:val="16"/>
                <w:szCs w:val="16"/>
              </w:rPr>
              <w:t>Recurso</w:t>
            </w:r>
          </w:p>
        </w:tc>
        <w:tc>
          <w:tcPr>
            <w:tcW w:w="5670" w:type="dxa"/>
            <w:shd w:val="clear" w:color="auto" w:fill="auto"/>
            <w:vAlign w:val="center"/>
          </w:tcPr>
          <w:p w14:paraId="49541FD4" w14:textId="77777777" w:rsidR="00072693" w:rsidRPr="000C77FA" w:rsidRDefault="002C1F92" w:rsidP="000C77FA">
            <w:pPr>
              <w:spacing w:line="220" w:lineRule="auto"/>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Solicitud</w:t>
            </w:r>
          </w:p>
        </w:tc>
      </w:tr>
      <w:tr w:rsidR="000C77FA" w:rsidRPr="000C77FA" w14:paraId="7BFB878E" w14:textId="77777777">
        <w:trPr>
          <w:jc w:val="center"/>
        </w:trPr>
        <w:tc>
          <w:tcPr>
            <w:tcW w:w="479" w:type="dxa"/>
            <w:shd w:val="clear" w:color="auto" w:fill="auto"/>
            <w:vAlign w:val="center"/>
          </w:tcPr>
          <w:p w14:paraId="68D79F74" w14:textId="77777777" w:rsidR="00072693" w:rsidRPr="000C77FA" w:rsidRDefault="002C1F92" w:rsidP="000C77FA">
            <w:pPr>
              <w:jc w:val="center"/>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t>1</w:t>
            </w:r>
          </w:p>
        </w:tc>
        <w:tc>
          <w:tcPr>
            <w:tcW w:w="2351" w:type="dxa"/>
            <w:shd w:val="clear" w:color="auto" w:fill="auto"/>
            <w:vAlign w:val="center"/>
          </w:tcPr>
          <w:p w14:paraId="330D0C2B" w14:textId="77777777" w:rsidR="00072693" w:rsidRPr="000C77FA" w:rsidRDefault="002C1F92" w:rsidP="000C77FA">
            <w:pPr>
              <w:jc w:val="center"/>
              <w:rPr>
                <w:rFonts w:ascii="Palatino Linotype" w:eastAsia="Palatino Linotype" w:hAnsi="Palatino Linotype" w:cs="Palatino Linotype"/>
                <w:b/>
                <w:sz w:val="20"/>
                <w:szCs w:val="20"/>
                <w:lang w:val="en-US"/>
              </w:rPr>
            </w:pPr>
            <w:r w:rsidRPr="000C77FA">
              <w:rPr>
                <w:rFonts w:ascii="Palatino Linotype" w:eastAsia="Palatino Linotype" w:hAnsi="Palatino Linotype" w:cs="Palatino Linotype"/>
                <w:b/>
                <w:sz w:val="20"/>
                <w:szCs w:val="20"/>
                <w:lang w:val="en-US"/>
              </w:rPr>
              <w:t>18-11-2022</w:t>
            </w:r>
          </w:p>
          <w:p w14:paraId="16989E19" w14:textId="77777777" w:rsidR="00072693" w:rsidRPr="000C77FA" w:rsidRDefault="002C1F92" w:rsidP="000C77FA">
            <w:pPr>
              <w:jc w:val="center"/>
              <w:rPr>
                <w:rFonts w:ascii="Palatino Linotype" w:eastAsia="Palatino Linotype" w:hAnsi="Palatino Linotype" w:cs="Palatino Linotype"/>
                <w:sz w:val="16"/>
                <w:szCs w:val="16"/>
                <w:lang w:val="en-US"/>
              </w:rPr>
            </w:pPr>
            <w:r w:rsidRPr="000C77FA">
              <w:rPr>
                <w:rFonts w:ascii="Palatino Linotype" w:eastAsia="Palatino Linotype" w:hAnsi="Palatino Linotype" w:cs="Palatino Linotype"/>
                <w:b/>
                <w:sz w:val="20"/>
                <w:szCs w:val="20"/>
                <w:lang w:val="en-US"/>
              </w:rPr>
              <w:t xml:space="preserve"> 00179/SCTUR/IP/2022 </w:t>
            </w:r>
            <w:r w:rsidRPr="000C77FA">
              <w:rPr>
                <w:rFonts w:ascii="Palatino Linotype" w:eastAsia="Palatino Linotype" w:hAnsi="Palatino Linotype" w:cs="Palatino Linotype"/>
                <w:sz w:val="16"/>
                <w:szCs w:val="16"/>
                <w:lang w:val="en-US"/>
              </w:rPr>
              <w:t>00207/INFOEM/IP/RR/2023</w:t>
            </w:r>
          </w:p>
        </w:tc>
        <w:tc>
          <w:tcPr>
            <w:tcW w:w="5670" w:type="dxa"/>
            <w:shd w:val="clear" w:color="auto" w:fill="auto"/>
          </w:tcPr>
          <w:p w14:paraId="77F5DBB4" w14:textId="77777777" w:rsidR="00072693" w:rsidRPr="000C77FA" w:rsidRDefault="002C1F92" w:rsidP="000C77FA">
            <w:pPr>
              <w:spacing w:line="220" w:lineRule="auto"/>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 las siguientes unidades administrativas, si es que lo tuvieron: Oficina del Secretario de Cultura y Turismo, Dirección General de Patrimonio y Servicios Culturales; UIPPE y Subsecretaría de Turismo; del periodo enero-junio 2022.</w:t>
            </w:r>
          </w:p>
          <w:p w14:paraId="2DFA7231" w14:textId="77777777" w:rsidR="00072693" w:rsidRPr="000C77FA" w:rsidRDefault="00072693" w:rsidP="000C77FA">
            <w:pPr>
              <w:spacing w:line="220" w:lineRule="auto"/>
              <w:jc w:val="both"/>
              <w:rPr>
                <w:rFonts w:ascii="Palatino Linotype" w:eastAsia="Palatino Linotype" w:hAnsi="Palatino Linotype" w:cs="Palatino Linotype"/>
                <w:i/>
                <w:sz w:val="18"/>
                <w:szCs w:val="18"/>
              </w:rPr>
            </w:pPr>
          </w:p>
        </w:tc>
      </w:tr>
      <w:tr w:rsidR="000C77FA" w:rsidRPr="000C77FA" w14:paraId="439FE3A7" w14:textId="77777777">
        <w:trPr>
          <w:jc w:val="center"/>
        </w:trPr>
        <w:tc>
          <w:tcPr>
            <w:tcW w:w="479" w:type="dxa"/>
            <w:shd w:val="clear" w:color="auto" w:fill="auto"/>
            <w:vAlign w:val="center"/>
          </w:tcPr>
          <w:p w14:paraId="7B8C56E8" w14:textId="77777777" w:rsidR="00072693" w:rsidRPr="000C77FA" w:rsidRDefault="002C1F92" w:rsidP="000C77FA">
            <w:pPr>
              <w:jc w:val="center"/>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t>2</w:t>
            </w:r>
          </w:p>
        </w:tc>
        <w:tc>
          <w:tcPr>
            <w:tcW w:w="2351" w:type="dxa"/>
            <w:shd w:val="clear" w:color="auto" w:fill="auto"/>
            <w:vAlign w:val="center"/>
          </w:tcPr>
          <w:p w14:paraId="51EEFA17" w14:textId="77777777" w:rsidR="00072693" w:rsidRPr="000C77FA" w:rsidRDefault="002C1F92" w:rsidP="000C77FA">
            <w:pPr>
              <w:jc w:val="center"/>
              <w:rPr>
                <w:rFonts w:ascii="Palatino Linotype" w:eastAsia="Palatino Linotype" w:hAnsi="Palatino Linotype" w:cs="Palatino Linotype"/>
                <w:b/>
                <w:sz w:val="20"/>
                <w:szCs w:val="20"/>
                <w:lang w:val="en-US"/>
              </w:rPr>
            </w:pPr>
            <w:r w:rsidRPr="000C77FA">
              <w:rPr>
                <w:rFonts w:ascii="Palatino Linotype" w:eastAsia="Palatino Linotype" w:hAnsi="Palatino Linotype" w:cs="Palatino Linotype"/>
                <w:b/>
                <w:sz w:val="20"/>
                <w:szCs w:val="20"/>
                <w:lang w:val="en-US"/>
              </w:rPr>
              <w:t>18-11-2022</w:t>
            </w:r>
          </w:p>
          <w:p w14:paraId="57FD2F47" w14:textId="77777777" w:rsidR="00072693" w:rsidRPr="000C77FA" w:rsidRDefault="002C1F92" w:rsidP="000C77FA">
            <w:pPr>
              <w:jc w:val="center"/>
              <w:rPr>
                <w:rFonts w:ascii="Palatino Linotype" w:eastAsia="Palatino Linotype" w:hAnsi="Palatino Linotype" w:cs="Palatino Linotype"/>
                <w:b/>
                <w:sz w:val="16"/>
                <w:szCs w:val="16"/>
                <w:lang w:val="en-US"/>
              </w:rPr>
            </w:pPr>
            <w:r w:rsidRPr="000C77FA">
              <w:rPr>
                <w:rFonts w:ascii="Palatino Linotype" w:eastAsia="Palatino Linotype" w:hAnsi="Palatino Linotype" w:cs="Palatino Linotype"/>
                <w:b/>
                <w:sz w:val="20"/>
                <w:szCs w:val="20"/>
                <w:lang w:val="en-US"/>
              </w:rPr>
              <w:t>00180/SCTUR/IP/2022</w:t>
            </w:r>
          </w:p>
          <w:p w14:paraId="270B985A" w14:textId="77777777" w:rsidR="00072693" w:rsidRPr="000C77FA" w:rsidRDefault="002C1F92" w:rsidP="000C77FA">
            <w:pPr>
              <w:jc w:val="center"/>
              <w:rPr>
                <w:rFonts w:ascii="Palatino Linotype" w:eastAsia="Palatino Linotype" w:hAnsi="Palatino Linotype" w:cs="Palatino Linotype"/>
                <w:sz w:val="16"/>
                <w:szCs w:val="16"/>
                <w:lang w:val="en-US"/>
              </w:rPr>
            </w:pPr>
            <w:r w:rsidRPr="000C77FA">
              <w:rPr>
                <w:rFonts w:ascii="Palatino Linotype" w:eastAsia="Palatino Linotype" w:hAnsi="Palatino Linotype" w:cs="Palatino Linotype"/>
                <w:sz w:val="16"/>
                <w:szCs w:val="16"/>
                <w:lang w:val="en-US"/>
              </w:rPr>
              <w:t>00208/INFOEM/IP/RR/2023</w:t>
            </w:r>
          </w:p>
        </w:tc>
        <w:tc>
          <w:tcPr>
            <w:tcW w:w="5670" w:type="dxa"/>
            <w:shd w:val="clear" w:color="auto" w:fill="auto"/>
          </w:tcPr>
          <w:p w14:paraId="02E07B35" w14:textId="77777777" w:rsidR="00072693" w:rsidRPr="000C77FA" w:rsidRDefault="002C1F92" w:rsidP="000C77FA">
            <w:pPr>
              <w:spacing w:line="220" w:lineRule="auto"/>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 las siguientes unidades administrativas, si es que lo tuvieron: Oficina del Secretario de Cultura y Turismo, Dirección General de Patrimonio y Servicios Culturales; UIPPE y Subsecretaría de Turismo; del periodo julio-octubre 2022.</w:t>
            </w:r>
          </w:p>
          <w:p w14:paraId="78E350CE" w14:textId="77777777" w:rsidR="00072693" w:rsidRPr="000C77FA" w:rsidRDefault="00072693" w:rsidP="000C77FA">
            <w:pPr>
              <w:spacing w:line="220" w:lineRule="auto"/>
              <w:jc w:val="both"/>
              <w:rPr>
                <w:rFonts w:ascii="Palatino Linotype" w:eastAsia="Palatino Linotype" w:hAnsi="Palatino Linotype" w:cs="Palatino Linotype"/>
                <w:i/>
                <w:sz w:val="18"/>
                <w:szCs w:val="18"/>
              </w:rPr>
            </w:pPr>
          </w:p>
        </w:tc>
      </w:tr>
      <w:tr w:rsidR="000C77FA" w:rsidRPr="000C77FA" w14:paraId="1F2BA506" w14:textId="77777777">
        <w:trPr>
          <w:jc w:val="center"/>
        </w:trPr>
        <w:tc>
          <w:tcPr>
            <w:tcW w:w="479" w:type="dxa"/>
            <w:shd w:val="clear" w:color="auto" w:fill="auto"/>
            <w:vAlign w:val="center"/>
          </w:tcPr>
          <w:p w14:paraId="67ED4EF7" w14:textId="77777777" w:rsidR="00072693" w:rsidRPr="000C77FA" w:rsidRDefault="002C1F92" w:rsidP="000C77FA">
            <w:pPr>
              <w:jc w:val="center"/>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lastRenderedPageBreak/>
              <w:t>3</w:t>
            </w:r>
          </w:p>
        </w:tc>
        <w:tc>
          <w:tcPr>
            <w:tcW w:w="2351" w:type="dxa"/>
            <w:shd w:val="clear" w:color="auto" w:fill="auto"/>
            <w:vAlign w:val="center"/>
          </w:tcPr>
          <w:p w14:paraId="15FB36A5" w14:textId="77777777" w:rsidR="00072693" w:rsidRPr="000C77FA" w:rsidRDefault="002C1F92" w:rsidP="000C77FA">
            <w:pPr>
              <w:jc w:val="center"/>
              <w:rPr>
                <w:rFonts w:ascii="Palatino Linotype" w:eastAsia="Palatino Linotype" w:hAnsi="Palatino Linotype" w:cs="Palatino Linotype"/>
                <w:b/>
                <w:sz w:val="20"/>
                <w:szCs w:val="20"/>
                <w:lang w:val="en-US"/>
              </w:rPr>
            </w:pPr>
            <w:r w:rsidRPr="000C77FA">
              <w:rPr>
                <w:rFonts w:ascii="Palatino Linotype" w:eastAsia="Palatino Linotype" w:hAnsi="Palatino Linotype" w:cs="Palatino Linotype"/>
                <w:b/>
                <w:sz w:val="20"/>
                <w:szCs w:val="20"/>
                <w:lang w:val="en-US"/>
              </w:rPr>
              <w:t>18-11-2022</w:t>
            </w:r>
          </w:p>
          <w:p w14:paraId="616C1468" w14:textId="77777777" w:rsidR="00072693" w:rsidRPr="000C77FA" w:rsidRDefault="002C1F92" w:rsidP="000C77FA">
            <w:pPr>
              <w:jc w:val="center"/>
              <w:rPr>
                <w:rFonts w:ascii="Palatino Linotype" w:eastAsia="Palatino Linotype" w:hAnsi="Palatino Linotype" w:cs="Palatino Linotype"/>
                <w:b/>
                <w:sz w:val="16"/>
                <w:szCs w:val="16"/>
                <w:lang w:val="en-US"/>
              </w:rPr>
            </w:pPr>
            <w:r w:rsidRPr="000C77FA">
              <w:rPr>
                <w:rFonts w:ascii="Palatino Linotype" w:eastAsia="Palatino Linotype" w:hAnsi="Palatino Linotype" w:cs="Palatino Linotype"/>
                <w:b/>
                <w:sz w:val="20"/>
                <w:szCs w:val="20"/>
                <w:lang w:val="en-US"/>
              </w:rPr>
              <w:t>00181/SCTUR/IP/2022</w:t>
            </w:r>
          </w:p>
          <w:p w14:paraId="0A57CA07" w14:textId="77777777" w:rsidR="00072693" w:rsidRPr="000C77FA" w:rsidRDefault="002C1F92" w:rsidP="000C77FA">
            <w:pPr>
              <w:jc w:val="center"/>
              <w:rPr>
                <w:rFonts w:ascii="Palatino Linotype" w:eastAsia="Palatino Linotype" w:hAnsi="Palatino Linotype" w:cs="Palatino Linotype"/>
                <w:sz w:val="16"/>
                <w:szCs w:val="16"/>
                <w:lang w:val="en-US"/>
              </w:rPr>
            </w:pPr>
            <w:r w:rsidRPr="000C77FA">
              <w:rPr>
                <w:rFonts w:ascii="Palatino Linotype" w:eastAsia="Palatino Linotype" w:hAnsi="Palatino Linotype" w:cs="Palatino Linotype"/>
                <w:sz w:val="16"/>
                <w:szCs w:val="16"/>
                <w:lang w:val="en-US"/>
              </w:rPr>
              <w:t>00210/INFOEM/IP/RR/2023</w:t>
            </w:r>
          </w:p>
        </w:tc>
        <w:tc>
          <w:tcPr>
            <w:tcW w:w="5670" w:type="dxa"/>
            <w:shd w:val="clear" w:color="auto" w:fill="auto"/>
          </w:tcPr>
          <w:p w14:paraId="64EE25C3" w14:textId="77777777" w:rsidR="00072693" w:rsidRPr="000C77FA" w:rsidRDefault="002C1F92" w:rsidP="000C77FA">
            <w:pPr>
              <w:spacing w:line="220" w:lineRule="auto"/>
              <w:jc w:val="both"/>
              <w:rPr>
                <w:rFonts w:ascii="Palatino Linotype" w:eastAsia="Palatino Linotype" w:hAnsi="Palatino Linotype" w:cs="Palatino Linotype"/>
                <w:i/>
                <w:sz w:val="18"/>
                <w:szCs w:val="18"/>
              </w:rPr>
            </w:pPr>
            <w:bookmarkStart w:id="5" w:name="_heading=h.3znysh7" w:colFirst="0" w:colLast="0"/>
            <w:bookmarkEnd w:id="5"/>
            <w:r w:rsidRPr="000C77FA">
              <w:rPr>
                <w:rFonts w:ascii="Palatino Linotype" w:eastAsia="Palatino Linotype" w:hAnsi="Palatino Linotype" w:cs="Palatino Linotype"/>
                <w:i/>
                <w:sz w:val="18"/>
                <w:szCs w:val="18"/>
              </w:rPr>
              <w:t xml:space="preserve">¿Para el ejercicio fiscal 2021,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Del ejercicio fiscal 2021,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 las siguientes unidades administrativas, si es que lo tuvieron: Oficina del Secretario de Cultura y Turismo, Unidad Jurídica, Dirección General de Turismo de Reuniones; UIPPE y Unidad de Comunicación Social; del periodo enero-junio 2021.</w:t>
            </w:r>
          </w:p>
        </w:tc>
      </w:tr>
      <w:tr w:rsidR="00072693" w:rsidRPr="000C77FA" w14:paraId="05644377" w14:textId="77777777">
        <w:trPr>
          <w:jc w:val="center"/>
        </w:trPr>
        <w:tc>
          <w:tcPr>
            <w:tcW w:w="479" w:type="dxa"/>
            <w:shd w:val="clear" w:color="auto" w:fill="auto"/>
            <w:vAlign w:val="center"/>
          </w:tcPr>
          <w:p w14:paraId="6866A255" w14:textId="77777777" w:rsidR="00072693" w:rsidRPr="000C77FA" w:rsidRDefault="002C1F92" w:rsidP="000C77FA">
            <w:pPr>
              <w:jc w:val="center"/>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t>4</w:t>
            </w:r>
          </w:p>
        </w:tc>
        <w:tc>
          <w:tcPr>
            <w:tcW w:w="2351" w:type="dxa"/>
            <w:shd w:val="clear" w:color="auto" w:fill="auto"/>
            <w:vAlign w:val="center"/>
          </w:tcPr>
          <w:p w14:paraId="446E77D6" w14:textId="77777777" w:rsidR="00072693" w:rsidRPr="000C77FA" w:rsidRDefault="002C1F92" w:rsidP="000C77FA">
            <w:pPr>
              <w:jc w:val="center"/>
              <w:rPr>
                <w:rFonts w:ascii="Palatino Linotype" w:eastAsia="Palatino Linotype" w:hAnsi="Palatino Linotype" w:cs="Palatino Linotype"/>
                <w:b/>
                <w:sz w:val="20"/>
                <w:szCs w:val="20"/>
                <w:lang w:val="en-US"/>
              </w:rPr>
            </w:pPr>
            <w:r w:rsidRPr="000C77FA">
              <w:rPr>
                <w:rFonts w:ascii="Palatino Linotype" w:eastAsia="Palatino Linotype" w:hAnsi="Palatino Linotype" w:cs="Palatino Linotype"/>
                <w:b/>
                <w:sz w:val="20"/>
                <w:szCs w:val="20"/>
                <w:lang w:val="en-US"/>
              </w:rPr>
              <w:t>18-11-2022</w:t>
            </w:r>
          </w:p>
          <w:p w14:paraId="5CF8283A" w14:textId="77777777" w:rsidR="00072693" w:rsidRPr="000C77FA" w:rsidRDefault="002C1F92" w:rsidP="000C77FA">
            <w:pPr>
              <w:jc w:val="center"/>
              <w:rPr>
                <w:rFonts w:ascii="Palatino Linotype" w:eastAsia="Palatino Linotype" w:hAnsi="Palatino Linotype" w:cs="Palatino Linotype"/>
                <w:b/>
                <w:sz w:val="16"/>
                <w:szCs w:val="16"/>
                <w:lang w:val="en-US"/>
              </w:rPr>
            </w:pPr>
            <w:r w:rsidRPr="000C77FA">
              <w:rPr>
                <w:rFonts w:ascii="Palatino Linotype" w:eastAsia="Palatino Linotype" w:hAnsi="Palatino Linotype" w:cs="Palatino Linotype"/>
                <w:b/>
                <w:sz w:val="20"/>
                <w:szCs w:val="20"/>
                <w:lang w:val="en-US"/>
              </w:rPr>
              <w:t>00182/SCTUR/IP/2022</w:t>
            </w:r>
          </w:p>
          <w:p w14:paraId="372C30F5" w14:textId="77777777" w:rsidR="00072693" w:rsidRPr="000C77FA" w:rsidRDefault="002C1F92" w:rsidP="000C77FA">
            <w:pPr>
              <w:jc w:val="center"/>
              <w:rPr>
                <w:rFonts w:ascii="Palatino Linotype" w:eastAsia="Palatino Linotype" w:hAnsi="Palatino Linotype" w:cs="Palatino Linotype"/>
                <w:b/>
                <w:sz w:val="20"/>
                <w:szCs w:val="20"/>
                <w:lang w:val="en-US"/>
              </w:rPr>
            </w:pPr>
            <w:r w:rsidRPr="000C77FA">
              <w:rPr>
                <w:rFonts w:ascii="Palatino Linotype" w:eastAsia="Palatino Linotype" w:hAnsi="Palatino Linotype" w:cs="Palatino Linotype"/>
                <w:sz w:val="16"/>
                <w:szCs w:val="16"/>
                <w:lang w:val="en-US"/>
              </w:rPr>
              <w:t>00211/INFOEM/IP/RR/2023</w:t>
            </w:r>
          </w:p>
        </w:tc>
        <w:tc>
          <w:tcPr>
            <w:tcW w:w="5670" w:type="dxa"/>
            <w:shd w:val="clear" w:color="auto" w:fill="auto"/>
          </w:tcPr>
          <w:p w14:paraId="355EF275" w14:textId="77777777" w:rsidR="00072693" w:rsidRPr="000C77FA" w:rsidRDefault="00072693" w:rsidP="000C77FA">
            <w:pPr>
              <w:spacing w:line="220" w:lineRule="auto"/>
              <w:jc w:val="both"/>
              <w:rPr>
                <w:rFonts w:ascii="Palatino Linotype" w:eastAsia="Palatino Linotype" w:hAnsi="Palatino Linotype" w:cs="Palatino Linotype"/>
                <w:i/>
                <w:sz w:val="18"/>
                <w:szCs w:val="18"/>
                <w:lang w:val="en-US"/>
              </w:rPr>
            </w:pPr>
          </w:p>
          <w:p w14:paraId="168848F9" w14:textId="77777777" w:rsidR="00072693" w:rsidRPr="000C77FA" w:rsidRDefault="002C1F92" w:rsidP="000C77FA">
            <w:pPr>
              <w:spacing w:line="220" w:lineRule="auto"/>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¿Para el ejercicio fiscal 2021,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Del ejercicio fiscal 2021,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 las siguientes unidades administrativas, si es que lo tuvieron: Oficina del Secretario de Cultura y Turismo, Unidad Jurídica, Dirección General de Turismo de Reuniones; UIPPE y Unidad de Comunicación Social; del periodo julio-octubre 2021.</w:t>
            </w:r>
          </w:p>
        </w:tc>
      </w:tr>
    </w:tbl>
    <w:p w14:paraId="727CD8E3" w14:textId="77777777" w:rsidR="00072693" w:rsidRPr="000C77FA" w:rsidRDefault="00072693" w:rsidP="000C77FA">
      <w:pPr>
        <w:ind w:right="899"/>
        <w:jc w:val="both"/>
        <w:rPr>
          <w:rFonts w:ascii="Palatino Linotype" w:eastAsia="Palatino Linotype" w:hAnsi="Palatino Linotype" w:cs="Palatino Linotype"/>
          <w:sz w:val="22"/>
          <w:szCs w:val="22"/>
        </w:rPr>
      </w:pPr>
    </w:p>
    <w:p w14:paraId="3A996032" w14:textId="77777777" w:rsidR="00072693" w:rsidRPr="000C77FA" w:rsidRDefault="002C1F92" w:rsidP="000C77FA">
      <w:pPr>
        <w:widowControl w:val="0"/>
        <w:spacing w:line="360" w:lineRule="auto"/>
        <w:jc w:val="both"/>
        <w:rPr>
          <w:rFonts w:ascii="Palatino Linotype" w:eastAsia="Palatino Linotype" w:hAnsi="Palatino Linotype" w:cs="Palatino Linotype"/>
          <w:b/>
        </w:rPr>
      </w:pPr>
      <w:r w:rsidRPr="000C77FA">
        <w:rPr>
          <w:rFonts w:ascii="Palatino Linotype" w:eastAsia="Palatino Linotype" w:hAnsi="Palatino Linotype" w:cs="Palatino Linotype"/>
          <w:b/>
        </w:rPr>
        <w:t xml:space="preserve">MODALIDAD DE ENTREGA: </w:t>
      </w:r>
      <w:r w:rsidRPr="000C77FA">
        <w:rPr>
          <w:rFonts w:ascii="Palatino Linotype" w:eastAsia="Palatino Linotype" w:hAnsi="Palatino Linotype" w:cs="Palatino Linotype"/>
        </w:rPr>
        <w:t xml:space="preserve">Vía </w:t>
      </w:r>
      <w:r w:rsidRPr="000C77FA">
        <w:rPr>
          <w:rFonts w:ascii="Palatino Linotype" w:eastAsia="Palatino Linotype" w:hAnsi="Palatino Linotype" w:cs="Palatino Linotype"/>
          <w:b/>
        </w:rPr>
        <w:t xml:space="preserve">SAIMEX </w:t>
      </w:r>
    </w:p>
    <w:p w14:paraId="290C2F03" w14:textId="77777777" w:rsidR="00072693" w:rsidRPr="000C77FA" w:rsidRDefault="00072693" w:rsidP="000C77FA">
      <w:pPr>
        <w:widowControl w:val="0"/>
        <w:spacing w:line="360" w:lineRule="auto"/>
        <w:jc w:val="both"/>
        <w:rPr>
          <w:rFonts w:ascii="Palatino Linotype" w:eastAsia="Palatino Linotype" w:hAnsi="Palatino Linotype" w:cs="Palatino Linotype"/>
          <w:b/>
        </w:rPr>
      </w:pPr>
    </w:p>
    <w:p w14:paraId="53745F8E" w14:textId="77777777" w:rsidR="00072693" w:rsidRPr="000C77FA" w:rsidRDefault="002C1F92" w:rsidP="000C77FA">
      <w:pPr>
        <w:widowControl w:val="0"/>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2. Turnos de requerimientos DEL SUJETO OBLIGADO. </w:t>
      </w:r>
      <w:r w:rsidRPr="000C77FA">
        <w:rPr>
          <w:rFonts w:ascii="Palatino Linotype" w:eastAsia="Palatino Linotype" w:hAnsi="Palatino Linotype" w:cs="Palatino Linotype"/>
        </w:rPr>
        <w:t>El Titular de la Unidad de Transparencia turnó las solicitudes de información a los servidores públicos habilitados que estimó competentes, en términos del artículo 162 de la Ley de Transparencia y Acceso a la Información Pública del Estado de México y Municipios</w:t>
      </w:r>
      <w:r w:rsidRPr="000C77FA">
        <w:rPr>
          <w:rFonts w:ascii="Palatino Linotype" w:eastAsia="Palatino Linotype" w:hAnsi="Palatino Linotype" w:cs="Palatino Linotype"/>
          <w:vertAlign w:val="superscript"/>
        </w:rPr>
        <w:footnoteReference w:id="3"/>
      </w:r>
      <w:r w:rsidRPr="000C77FA">
        <w:rPr>
          <w:rFonts w:ascii="Palatino Linotype" w:eastAsia="Palatino Linotype" w:hAnsi="Palatino Linotype" w:cs="Palatino Linotype"/>
        </w:rPr>
        <w:t>.</w:t>
      </w:r>
    </w:p>
    <w:p w14:paraId="58388349" w14:textId="77777777" w:rsidR="00072693" w:rsidRPr="000C77FA" w:rsidRDefault="002C1F92" w:rsidP="000C77FA">
      <w:pPr>
        <w:widowControl w:val="0"/>
        <w:spacing w:line="360" w:lineRule="auto"/>
        <w:jc w:val="both"/>
        <w:rPr>
          <w:rFonts w:ascii="Palatino Linotype" w:eastAsia="Palatino Linotype" w:hAnsi="Palatino Linotype" w:cs="Palatino Linotype"/>
          <w:i/>
        </w:rPr>
      </w:pPr>
      <w:r w:rsidRPr="000C77FA">
        <w:rPr>
          <w:rFonts w:ascii="Palatino Linotype" w:eastAsia="Palatino Linotype" w:hAnsi="Palatino Linotype" w:cs="Palatino Linotype"/>
          <w:b/>
        </w:rPr>
        <w:lastRenderedPageBreak/>
        <w:t xml:space="preserve">3. Incompetencia parcial. </w:t>
      </w:r>
      <w:r w:rsidRPr="000C77FA">
        <w:rPr>
          <w:rFonts w:ascii="Palatino Linotype" w:eastAsia="Palatino Linotype" w:hAnsi="Palatino Linotype" w:cs="Palatino Linotype"/>
        </w:rPr>
        <w:t xml:space="preserve">El día siguiente,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informó sobre la incompetencia parcial respecto del requerimiento </w:t>
      </w:r>
      <w:r w:rsidRPr="000C77FA">
        <w:rPr>
          <w:rFonts w:ascii="Palatino Linotype" w:eastAsia="Palatino Linotype" w:hAnsi="Palatino Linotype" w:cs="Palatino Linotype"/>
          <w:i/>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w:t>
      </w:r>
      <w:r w:rsidRPr="000C77FA">
        <w:rPr>
          <w:rFonts w:ascii="Palatino Linotype" w:eastAsia="Palatino Linotype" w:hAnsi="Palatino Linotype" w:cs="Palatino Linotype"/>
        </w:rPr>
        <w:t xml:space="preserve"> al considerar que es de la competencia de la Secretaría de la Contraloría, remitiendo para ello, a un vínculo de IPOMEX, así como el archivo </w:t>
      </w:r>
      <w:r w:rsidRPr="000C77FA">
        <w:rPr>
          <w:rFonts w:ascii="Palatino Linotype" w:eastAsia="Palatino Linotype" w:hAnsi="Palatino Linotype" w:cs="Palatino Linotype"/>
          <w:i/>
        </w:rPr>
        <w:t>CONTRALORIA 23-11-2022-130143.pdf</w:t>
      </w:r>
      <w:r w:rsidRPr="000C77FA">
        <w:rPr>
          <w:rFonts w:ascii="Palatino Linotype" w:eastAsia="Palatino Linotype" w:hAnsi="Palatino Linotype" w:cs="Palatino Linotype"/>
        </w:rPr>
        <w:t xml:space="preserve"> relativo a unos Lineamientos</w:t>
      </w:r>
      <w:r w:rsidRPr="000C77FA">
        <w:rPr>
          <w:rFonts w:ascii="Palatino Linotype" w:eastAsia="Palatino Linotype" w:hAnsi="Palatino Linotype" w:cs="Palatino Linotype"/>
          <w:vertAlign w:val="superscript"/>
        </w:rPr>
        <w:footnoteReference w:id="4"/>
      </w:r>
    </w:p>
    <w:p w14:paraId="0B117A3D" w14:textId="77777777" w:rsidR="00072693" w:rsidRPr="000C77FA" w:rsidRDefault="00072693" w:rsidP="000C77FA">
      <w:pPr>
        <w:widowControl w:val="0"/>
        <w:spacing w:line="360" w:lineRule="auto"/>
        <w:jc w:val="both"/>
        <w:rPr>
          <w:rFonts w:ascii="Palatino Linotype" w:eastAsia="Palatino Linotype" w:hAnsi="Palatino Linotype" w:cs="Palatino Linotype"/>
          <w:b/>
        </w:rPr>
      </w:pPr>
    </w:p>
    <w:p w14:paraId="388B2D29" w14:textId="77777777" w:rsidR="00072693" w:rsidRPr="000C77FA" w:rsidRDefault="002C1F92" w:rsidP="000C77FA">
      <w:pPr>
        <w:widowControl w:val="0"/>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4. Respuestas. </w:t>
      </w:r>
      <w:r w:rsidRPr="000C77FA">
        <w:rPr>
          <w:rFonts w:ascii="Palatino Linotype" w:eastAsia="Palatino Linotype" w:hAnsi="Palatino Linotype" w:cs="Palatino Linotype"/>
        </w:rPr>
        <w:t xml:space="preserve">El doce de diciembre de esa misma anualidad,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dio respuesta a cada una de las solicitudes de información de la forma siguiente: </w:t>
      </w:r>
    </w:p>
    <w:tbl>
      <w:tblPr>
        <w:tblStyle w:val="a0"/>
        <w:tblW w:w="922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1359"/>
        <w:gridCol w:w="7376"/>
        <w:gridCol w:w="10"/>
      </w:tblGrid>
      <w:tr w:rsidR="000C77FA" w:rsidRPr="000C77FA" w14:paraId="4D196C30" w14:textId="77777777">
        <w:trPr>
          <w:tblHeader/>
          <w:jc w:val="center"/>
        </w:trPr>
        <w:tc>
          <w:tcPr>
            <w:tcW w:w="479" w:type="dxa"/>
            <w:shd w:val="clear" w:color="auto" w:fill="D9D9D9"/>
            <w:vAlign w:val="center"/>
          </w:tcPr>
          <w:p w14:paraId="4E503DCF" w14:textId="77777777" w:rsidR="00072693" w:rsidRPr="000C77FA" w:rsidRDefault="002C1F92" w:rsidP="000C77FA">
            <w:pPr>
              <w:jc w:val="center"/>
              <w:rPr>
                <w:rFonts w:ascii="Palatino Linotype" w:eastAsia="Palatino Linotype" w:hAnsi="Palatino Linotype" w:cs="Palatino Linotype"/>
                <w:b/>
                <w:sz w:val="16"/>
                <w:szCs w:val="16"/>
              </w:rPr>
            </w:pPr>
            <w:bookmarkStart w:id="6" w:name="_heading=h.2et92p0" w:colFirst="0" w:colLast="0"/>
            <w:bookmarkEnd w:id="6"/>
            <w:r w:rsidRPr="000C77FA">
              <w:rPr>
                <w:rFonts w:ascii="Palatino Linotype" w:eastAsia="Palatino Linotype" w:hAnsi="Palatino Linotype" w:cs="Palatino Linotype"/>
                <w:b/>
                <w:sz w:val="16"/>
                <w:szCs w:val="16"/>
              </w:rPr>
              <w:t>No.</w:t>
            </w:r>
          </w:p>
        </w:tc>
        <w:tc>
          <w:tcPr>
            <w:tcW w:w="1359" w:type="dxa"/>
            <w:shd w:val="clear" w:color="auto" w:fill="D9D9D9"/>
            <w:vAlign w:val="center"/>
          </w:tcPr>
          <w:p w14:paraId="776005B6" w14:textId="77777777" w:rsidR="00072693" w:rsidRPr="000C77FA" w:rsidRDefault="002C1F92" w:rsidP="000C77FA">
            <w:pPr>
              <w:jc w:val="center"/>
              <w:rPr>
                <w:rFonts w:ascii="Palatino Linotype" w:eastAsia="Palatino Linotype" w:hAnsi="Palatino Linotype" w:cs="Palatino Linotype"/>
                <w:b/>
                <w:sz w:val="22"/>
                <w:szCs w:val="22"/>
              </w:rPr>
            </w:pPr>
            <w:r w:rsidRPr="000C77FA">
              <w:rPr>
                <w:rFonts w:ascii="Palatino Linotype" w:eastAsia="Palatino Linotype" w:hAnsi="Palatino Linotype" w:cs="Palatino Linotype"/>
                <w:b/>
                <w:sz w:val="22"/>
                <w:szCs w:val="22"/>
              </w:rPr>
              <w:t>Solicitud /Recurso</w:t>
            </w:r>
          </w:p>
        </w:tc>
        <w:tc>
          <w:tcPr>
            <w:tcW w:w="7386" w:type="dxa"/>
            <w:gridSpan w:val="2"/>
            <w:shd w:val="clear" w:color="auto" w:fill="D9D9D9"/>
            <w:vAlign w:val="center"/>
          </w:tcPr>
          <w:p w14:paraId="39C81D51" w14:textId="77777777" w:rsidR="00072693" w:rsidRPr="000C77FA" w:rsidRDefault="002C1F92" w:rsidP="000C77FA">
            <w:pPr>
              <w:jc w:val="both"/>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Resumen de respuesta</w:t>
            </w:r>
            <w:r w:rsidRPr="000C77FA">
              <w:rPr>
                <w:rFonts w:ascii="Palatino Linotype" w:eastAsia="Palatino Linotype" w:hAnsi="Palatino Linotype" w:cs="Palatino Linotype"/>
                <w:b/>
                <w:sz w:val="20"/>
                <w:szCs w:val="20"/>
                <w:vertAlign w:val="superscript"/>
              </w:rPr>
              <w:footnoteReference w:id="5"/>
            </w:r>
          </w:p>
        </w:tc>
      </w:tr>
      <w:tr w:rsidR="000C77FA" w:rsidRPr="000C77FA" w14:paraId="170860B4" w14:textId="77777777">
        <w:trPr>
          <w:jc w:val="center"/>
        </w:trPr>
        <w:tc>
          <w:tcPr>
            <w:tcW w:w="479" w:type="dxa"/>
            <w:shd w:val="clear" w:color="auto" w:fill="D9D9D9"/>
            <w:vAlign w:val="center"/>
          </w:tcPr>
          <w:p w14:paraId="63585D61"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1</w:t>
            </w:r>
          </w:p>
        </w:tc>
        <w:tc>
          <w:tcPr>
            <w:tcW w:w="1359" w:type="dxa"/>
          </w:tcPr>
          <w:p w14:paraId="50033A50" w14:textId="77777777" w:rsidR="00072693" w:rsidRPr="000C77FA" w:rsidRDefault="002C1F92" w:rsidP="000C77FA">
            <w:pPr>
              <w:rPr>
                <w:rFonts w:ascii="Palatino Linotype" w:eastAsia="Palatino Linotype" w:hAnsi="Palatino Linotype" w:cs="Palatino Linotype"/>
                <w:sz w:val="22"/>
                <w:szCs w:val="22"/>
              </w:rPr>
            </w:pPr>
            <w:r w:rsidRPr="000C77FA">
              <w:rPr>
                <w:rFonts w:ascii="Palatino Linotype" w:eastAsia="Palatino Linotype" w:hAnsi="Palatino Linotype" w:cs="Palatino Linotype"/>
                <w:b/>
                <w:sz w:val="22"/>
                <w:szCs w:val="22"/>
              </w:rPr>
              <w:t>0179/</w:t>
            </w:r>
            <w:r w:rsidRPr="000C77FA">
              <w:rPr>
                <w:rFonts w:ascii="Palatino Linotype" w:eastAsia="Palatino Linotype" w:hAnsi="Palatino Linotype" w:cs="Palatino Linotype"/>
                <w:sz w:val="22"/>
                <w:szCs w:val="22"/>
              </w:rPr>
              <w:t>00207</w:t>
            </w:r>
          </w:p>
          <w:p w14:paraId="26E0F45E" w14:textId="77777777" w:rsidR="00072693" w:rsidRPr="000C77FA" w:rsidRDefault="00072693" w:rsidP="000C77FA">
            <w:pPr>
              <w:rPr>
                <w:rFonts w:ascii="Palatino Linotype" w:eastAsia="Palatino Linotype" w:hAnsi="Palatino Linotype" w:cs="Palatino Linotype"/>
                <w:sz w:val="22"/>
                <w:szCs w:val="22"/>
              </w:rPr>
            </w:pPr>
          </w:p>
        </w:tc>
        <w:tc>
          <w:tcPr>
            <w:tcW w:w="7386" w:type="dxa"/>
            <w:gridSpan w:val="2"/>
          </w:tcPr>
          <w:p w14:paraId="1F0B83CE"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la normatividad aplicable para el ejercicio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Manual de Normas y Políticas para el Gasto Público del Gobierno del Estado de México </w:t>
            </w:r>
          </w:p>
          <w:p w14:paraId="17CC3E85"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¿Cuáles sanciones se consideran en el uso indebido de esos recursos? Responsabilidades administrativas según lo determine el Órgano Interno de Control</w:t>
            </w:r>
          </w:p>
          <w:p w14:paraId="11872F23"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Esta Secretaría declaró su incompetencia, respecto a estar facultada para atender la información solicitada. </w:t>
            </w:r>
          </w:p>
          <w:p w14:paraId="0A281BBF"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¿Cuántas y cuáles unidades administrativas de la Secretaría de Cultura y Turismo contaron con fono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1. Oficina del C. Secretario de Cultura y Turismo 2. Dirección General de Patrimonio y Servicios Culturales del Valle de Toluca 3. Dirección General de Patrimonio y Servicios Culturales del Valle de los Volcanes 4. Dirección General de la Orquesta Sinfónica del Estado de México 5. Dirección General de Conservatorio de Música del Estado de México 6. Dirección General </w:t>
            </w:r>
            <w:r w:rsidRPr="000C77FA">
              <w:rPr>
                <w:rFonts w:ascii="Palatino Linotype" w:eastAsia="Palatino Linotype" w:hAnsi="Palatino Linotype" w:cs="Palatino Linotype"/>
                <w:sz w:val="20"/>
                <w:szCs w:val="20"/>
              </w:rPr>
              <w:lastRenderedPageBreak/>
              <w:t xml:space="preserve">de Cultura Física y Deporte 7. Secretaria Ejecutiva del Consejo Editorial de la Administración Pública Estatal 8. Subsecretaría de Turismo 9. Dirección General de Promoción Operación y Calidad Turística 10. Dirección General de Turismo de Reunión. </w:t>
            </w:r>
          </w:p>
          <w:p w14:paraId="3FBD338C"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fue el monto mensual asignado de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para cada unidad administrativa? 1. Oficina del C. Secretario de Cultura y Turismo $12,162.76 2. Dirección General de Patrimonio y Servicios Culturales del Valle de Toluca $317,374.56 3. Dirección General de Patrimonio y Servicios Culturales del Valle de los Volcanes $3,322.49 4. Dirección General de la Orquesta Sinfónica del Estado de México $15,291.19 5. Dirección General de Conservatorio de Música del Estado de México $12,803.47 6. Dirección General de Cultura Física y Deporte $70,852.86 7. Secretaria Ejecutiva del Consejo Editorial de la Administración Pública Estatal $124,880.48 8. Subsecretaría de Turismo $14,870.26 9. Dirección General de Promoción Operación y Calidad Turística $23,369.58 10. Dirección General de Turismo de Reunión $24,291.73. </w:t>
            </w:r>
          </w:p>
          <w:p w14:paraId="586F4E6F"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¿Quién y cómo se determina que unidades administrativas tienen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en la Secretaría de Cultura y Turismo? LA Secretaría de Finanzas, a través, de la Secretaría de Planeación y Gasto Público de acuerdo al artículo 29 del Manual en mención. </w:t>
            </w:r>
          </w:p>
          <w:p w14:paraId="4120EA97"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¿Cómo se determinó el monto asignado para 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de cada unidad administrativa que lo tiene? El monto que se asigna se determina de conformidad con lo establecido en el artículo 41 del Manual de Normas y Políticas para el Gasto Público del Gobierno del Estado de México. </w:t>
            </w:r>
          </w:p>
          <w:p w14:paraId="26D47CC5"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¿En qué ordenamiento jurídico establece la forma de asignación de los montos? Manual de Normas y Políticas para el Gasto Público del Gobierno del Estado de México. </w:t>
            </w:r>
          </w:p>
          <w:p w14:paraId="40C36A35"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¿En caso de no existir normatividad al respecto de la forma de asignación los montos, qué servidor los autoriza? Si existe normatividad aplicable. </w:t>
            </w:r>
          </w:p>
          <w:p w14:paraId="23CE4886"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¿Por qué las unidades administrativas que no lo tienen carecen de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En apego a las Medidas de Austeridad y Contención del Gasto Público del Poder Ejecutivo del Gobierno del Estado de México y sus funciones operativas de las unidades administrativas. </w:t>
            </w:r>
          </w:p>
          <w:p w14:paraId="3BC10B48"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Solicito de manera legible las facturas que acreditan el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Con fundamento en el artículo 158 la Ley de Transparencia y Acceso a la Información Pública del Estado de México y Municipios, se informó a la Unidad de Información, Planeación, Programación y Evaluación, </w:t>
            </w:r>
            <w:r w:rsidRPr="000C77FA">
              <w:rPr>
                <w:rFonts w:ascii="Palatino Linotype" w:eastAsia="Palatino Linotype" w:hAnsi="Palatino Linotype" w:cs="Palatino Linotype"/>
                <w:b/>
                <w:sz w:val="20"/>
                <w:szCs w:val="20"/>
              </w:rPr>
              <w:t>que la entrega o reproducción sobrepasa las capacidades técnicas, administrativas y humanas</w:t>
            </w:r>
            <w:r w:rsidRPr="000C77FA">
              <w:rPr>
                <w:rFonts w:ascii="Palatino Linotype" w:eastAsia="Palatino Linotype" w:hAnsi="Palatino Linotype" w:cs="Palatino Linotype"/>
                <w:sz w:val="20"/>
                <w:szCs w:val="20"/>
              </w:rPr>
              <w:t xml:space="preserve"> de este sujeto obligado. Por lo que, mediante el acta SCTYTUR/CT/EXT-25/2022, </w:t>
            </w:r>
            <w:r w:rsidRPr="000C77FA">
              <w:rPr>
                <w:rFonts w:ascii="Palatino Linotype" w:eastAsia="Palatino Linotype" w:hAnsi="Palatino Linotype" w:cs="Palatino Linotype"/>
                <w:b/>
                <w:sz w:val="20"/>
                <w:szCs w:val="20"/>
              </w:rPr>
              <w:t xml:space="preserve">se determinó poner a disposición del ciudadano el acervo documental relativo a la solicitud en mención; en las oficinas de la Dirección de Finanzas </w:t>
            </w:r>
            <w:r w:rsidRPr="000C77FA">
              <w:rPr>
                <w:rFonts w:ascii="Palatino Linotype" w:eastAsia="Palatino Linotype" w:hAnsi="Palatino Linotype" w:cs="Palatino Linotype"/>
                <w:b/>
                <w:sz w:val="20"/>
                <w:szCs w:val="20"/>
              </w:rPr>
              <w:lastRenderedPageBreak/>
              <w:t>de la Secretaría de Cultura y Turismo</w:t>
            </w:r>
            <w:r w:rsidRPr="000C77FA">
              <w:rPr>
                <w:rFonts w:ascii="Palatino Linotype" w:eastAsia="Palatino Linotype" w:hAnsi="Palatino Linotype" w:cs="Palatino Linotype"/>
                <w:sz w:val="20"/>
                <w:szCs w:val="20"/>
              </w:rPr>
              <w:t xml:space="preserve">, ubicadas en CD. Deportiva “Edo. </w:t>
            </w:r>
            <w:proofErr w:type="spellStart"/>
            <w:r w:rsidRPr="000C77FA">
              <w:rPr>
                <w:rFonts w:ascii="Palatino Linotype" w:eastAsia="Palatino Linotype" w:hAnsi="Palatino Linotype" w:cs="Palatino Linotype"/>
                <w:sz w:val="20"/>
                <w:szCs w:val="20"/>
              </w:rPr>
              <w:t>Méx</w:t>
            </w:r>
            <w:proofErr w:type="spellEnd"/>
            <w:r w:rsidRPr="000C77FA">
              <w:rPr>
                <w:rFonts w:ascii="Palatino Linotype" w:eastAsia="Palatino Linotype" w:hAnsi="Palatino Linotype" w:cs="Palatino Linotype"/>
                <w:sz w:val="20"/>
                <w:szCs w:val="20"/>
              </w:rPr>
              <w:t>”, calle Deportiva #100, colonia Irma Patricia Galindo de Reza, Zinacantepec, Estado de México; en un horario de 9:00 a 18:00 horas, para su consulta y revisión. (</w:t>
            </w:r>
            <w:proofErr w:type="gramStart"/>
            <w:r w:rsidRPr="000C77FA">
              <w:rPr>
                <w:rFonts w:ascii="Palatino Linotype" w:eastAsia="Palatino Linotype" w:hAnsi="Palatino Linotype" w:cs="Palatino Linotype"/>
                <w:sz w:val="20"/>
                <w:szCs w:val="20"/>
              </w:rPr>
              <w:t>se</w:t>
            </w:r>
            <w:proofErr w:type="gramEnd"/>
            <w:r w:rsidRPr="000C77FA">
              <w:rPr>
                <w:rFonts w:ascii="Palatino Linotype" w:eastAsia="Palatino Linotype" w:hAnsi="Palatino Linotype" w:cs="Palatino Linotype"/>
                <w:sz w:val="20"/>
                <w:szCs w:val="20"/>
              </w:rPr>
              <w:t xml:space="preserve"> adjunta acta).</w:t>
            </w:r>
          </w:p>
          <w:p w14:paraId="77DA9162"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Acompaña Acta de la vigésima quinta sesión extraordinaria del Comité de Transparencia de la Secretaria de Cultura y Turismo del gobierno del Estado de México.</w:t>
            </w:r>
          </w:p>
        </w:tc>
      </w:tr>
      <w:tr w:rsidR="000C77FA" w:rsidRPr="000C77FA" w14:paraId="5A64335F" w14:textId="77777777">
        <w:trPr>
          <w:jc w:val="center"/>
        </w:trPr>
        <w:tc>
          <w:tcPr>
            <w:tcW w:w="479" w:type="dxa"/>
            <w:shd w:val="clear" w:color="auto" w:fill="D9D9D9"/>
            <w:vAlign w:val="center"/>
          </w:tcPr>
          <w:p w14:paraId="377295DC"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lastRenderedPageBreak/>
              <w:t>2</w:t>
            </w:r>
          </w:p>
        </w:tc>
        <w:tc>
          <w:tcPr>
            <w:tcW w:w="1359" w:type="dxa"/>
          </w:tcPr>
          <w:p w14:paraId="41EBE2CD" w14:textId="77777777" w:rsidR="00072693" w:rsidRPr="000C77FA" w:rsidRDefault="002C1F92" w:rsidP="000C77FA">
            <w:pPr>
              <w:rPr>
                <w:rFonts w:ascii="Palatino Linotype" w:eastAsia="Palatino Linotype" w:hAnsi="Palatino Linotype" w:cs="Palatino Linotype"/>
                <w:sz w:val="22"/>
                <w:szCs w:val="22"/>
              </w:rPr>
            </w:pPr>
            <w:r w:rsidRPr="000C77FA">
              <w:rPr>
                <w:rFonts w:ascii="Palatino Linotype" w:eastAsia="Palatino Linotype" w:hAnsi="Palatino Linotype" w:cs="Palatino Linotype"/>
                <w:b/>
                <w:sz w:val="22"/>
                <w:szCs w:val="22"/>
              </w:rPr>
              <w:t>0180/</w:t>
            </w:r>
            <w:r w:rsidRPr="000C77FA">
              <w:rPr>
                <w:rFonts w:ascii="Palatino Linotype" w:eastAsia="Palatino Linotype" w:hAnsi="Palatino Linotype" w:cs="Palatino Linotype"/>
                <w:sz w:val="22"/>
                <w:szCs w:val="22"/>
              </w:rPr>
              <w:t>00208</w:t>
            </w:r>
          </w:p>
          <w:p w14:paraId="1168B010" w14:textId="77777777" w:rsidR="00072693" w:rsidRPr="000C77FA" w:rsidRDefault="00072693" w:rsidP="000C77FA">
            <w:pPr>
              <w:rPr>
                <w:rFonts w:ascii="Palatino Linotype" w:eastAsia="Palatino Linotype" w:hAnsi="Palatino Linotype" w:cs="Palatino Linotype"/>
                <w:b/>
                <w:sz w:val="22"/>
                <w:szCs w:val="22"/>
              </w:rPr>
            </w:pPr>
          </w:p>
        </w:tc>
        <w:tc>
          <w:tcPr>
            <w:tcW w:w="7386" w:type="dxa"/>
            <w:gridSpan w:val="2"/>
          </w:tcPr>
          <w:p w14:paraId="78370444"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la normatividad aplicable para el ejercicio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Manual de Normas y Políticas para el Gasto Público del Gobierno del Estado de México </w:t>
            </w:r>
          </w:p>
          <w:p w14:paraId="71AB9637"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¿Cuáles sanciones se consideran en el uso indebido de esos recursos? Responsabilidades administrativas según lo determine el Órgano Interno de Control</w:t>
            </w:r>
          </w:p>
          <w:p w14:paraId="5EAEC360"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Esta Secretaría declaró su incompetencia, respecto a estar facultada para atender la información solicitada. </w:t>
            </w:r>
          </w:p>
          <w:p w14:paraId="718A1C67"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¿Cuántas y cuáles unidades administrativas de la Secretaría de Cultura y Turismo contaron con fono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1. Oficina del C. Secretario de Cultura y Turismo 2. Dirección General de Patrimonio y Servicios Culturales del Valle de Toluca 3. Dirección General de Patrimonio y Servicios Culturales del Valle de los Volcanes 4. Dirección General de la Orquesta Sinfónica del Estado de México 5. Dirección General de Conservatorio de Música del Estado de México 6. Dirección General de Cultura Física y Deporte 7. Secretaria Ejecutiva del Consejo Editorial de la Administración Pública Estatal 8. Subsecretaría de Turismo 9. Dirección General de Promoción Operación y Calidad Turística 10. Dirección General de Turismo de Reunión.</w:t>
            </w:r>
          </w:p>
          <w:p w14:paraId="5A709626"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 ¿Cuál fue el monto mensual asignado de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para cada unidad administrativa? 1. Oficina del C. Secretario de Cultura y Turismo $12,162.76 2. Dirección General de Patrimonio y Servicios Culturales del Valle de Toluca $317,374.56 3. Dirección General de Patrimonio y Servicios Culturales del Valle de los Volcanes $3,322.49 4. Dirección General de la Orquesta Sinfónica del Estado de México $15,291.19 5. Dirección General de Conservatorio de Música del Estado de México $12,803.47 6. Dirección General de Cultura Física y Deporte $70,852.86 7. Secretaria Ejecutiva del Consejo Editorial de la Administración Pública Estatal $124,880.48 8. Subsecretaría de Turismo $14,870.26 9. Dirección General de Promoción Operación y Calidad Turística $23,369.58 10. Dirección General de Turismo de Reunión $24,291.73. </w:t>
            </w:r>
          </w:p>
          <w:p w14:paraId="2C3D1E07"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¿Quién y cómo se determina que unidades administrativas tienen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en la Secretaría de Cultura y Turismo? LA Secretaría de Finanzas, a través, de la Secretaría de Planeación y Gasto Público de acuerdo al artículo 29 del Manual en mención. </w:t>
            </w:r>
          </w:p>
          <w:p w14:paraId="3FB5AD70"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lastRenderedPageBreak/>
              <w:t xml:space="preserve">¿Cómo se determinó el monto asignado para 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de cada unidad administrativa que lo tiene? El monto que se asigna se determina de conformidad con lo establecido en el artículo 41 del Manual de Normas y Políticas para el Gasto Público del Gobierno del Estado de México. </w:t>
            </w:r>
          </w:p>
          <w:p w14:paraId="37CB72B0"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¿En qué ordenamiento jurídico establece la forma de asignación de los montos? Manual de Normas y Políticas para el Gasto Público del Gobierno del Estado de México.</w:t>
            </w:r>
          </w:p>
          <w:p w14:paraId="12FB8AFA"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 ¿En caso de no existir normatividad al respecto de la forma de asignación los montos, qué servidor los autoriza? Si existe normatividad aplicable. </w:t>
            </w:r>
          </w:p>
          <w:p w14:paraId="570F65C5"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¿Por qué las unidades administrativas que no lo tienen carecen de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En apego a las Medidas de Austeridad y Contención del Gasto Público del Poder Ejecutivo del Gobierno del Estado de México y sus funciones operativas de las unidades administrativas. </w:t>
            </w:r>
          </w:p>
          <w:p w14:paraId="04C02550"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Solicito de manera legible las facturas que acreditan el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Con fundamento en el artículo 158 la Ley de Transparencia y Acceso a la Información Pública del Estado de México y Municipios, se informó a la Unidad de Información, Planeación, Programación y Evaluación, que </w:t>
            </w:r>
            <w:r w:rsidRPr="000C77FA">
              <w:rPr>
                <w:rFonts w:ascii="Palatino Linotype" w:eastAsia="Palatino Linotype" w:hAnsi="Palatino Linotype" w:cs="Palatino Linotype"/>
                <w:b/>
                <w:sz w:val="20"/>
                <w:szCs w:val="20"/>
              </w:rPr>
              <w:t>la entrega o reproducción sobrepasa las capacidades técnicas, administrativas y humanas</w:t>
            </w:r>
            <w:r w:rsidRPr="000C77FA">
              <w:rPr>
                <w:rFonts w:ascii="Palatino Linotype" w:eastAsia="Palatino Linotype" w:hAnsi="Palatino Linotype" w:cs="Palatino Linotype"/>
                <w:sz w:val="20"/>
                <w:szCs w:val="20"/>
              </w:rPr>
              <w:t xml:space="preserve"> de este sujeto obligado. Por lo que, mediante el acta SCTYTUR/CT/EXT-25/2022, </w:t>
            </w:r>
            <w:r w:rsidRPr="000C77FA">
              <w:rPr>
                <w:rFonts w:ascii="Palatino Linotype" w:eastAsia="Palatino Linotype" w:hAnsi="Palatino Linotype" w:cs="Palatino Linotype"/>
                <w:b/>
                <w:sz w:val="20"/>
                <w:szCs w:val="20"/>
              </w:rPr>
              <w:t>se determinó poner a disposición del ciudadano el acervo documental relativo a la solicitud en mención</w:t>
            </w:r>
            <w:r w:rsidRPr="000C77FA">
              <w:rPr>
                <w:rFonts w:ascii="Palatino Linotype" w:eastAsia="Palatino Linotype" w:hAnsi="Palatino Linotype" w:cs="Palatino Linotype"/>
                <w:sz w:val="20"/>
                <w:szCs w:val="20"/>
              </w:rPr>
              <w:t xml:space="preserve">; en las oficinas de la Dirección de Finanzas de la Secretaría de Cultura y Turismo, ubicadas en CD. Deportiva “Edo. </w:t>
            </w:r>
            <w:proofErr w:type="spellStart"/>
            <w:r w:rsidRPr="000C77FA">
              <w:rPr>
                <w:rFonts w:ascii="Palatino Linotype" w:eastAsia="Palatino Linotype" w:hAnsi="Palatino Linotype" w:cs="Palatino Linotype"/>
                <w:sz w:val="20"/>
                <w:szCs w:val="20"/>
              </w:rPr>
              <w:t>Méx</w:t>
            </w:r>
            <w:proofErr w:type="spellEnd"/>
            <w:r w:rsidRPr="000C77FA">
              <w:rPr>
                <w:rFonts w:ascii="Palatino Linotype" w:eastAsia="Palatino Linotype" w:hAnsi="Palatino Linotype" w:cs="Palatino Linotype"/>
                <w:sz w:val="20"/>
                <w:szCs w:val="20"/>
              </w:rPr>
              <w:t>”, calle Deportiva #100, colonia Irma Patricia Galindo de Reza, Zinacantepec, Estado de México; en un horario de 9:00 a 18:00 horas, para su consulta y revisión. (se adjunta acta)</w:t>
            </w:r>
          </w:p>
        </w:tc>
      </w:tr>
      <w:tr w:rsidR="000C77FA" w:rsidRPr="000C77FA" w14:paraId="73037244" w14:textId="77777777">
        <w:trPr>
          <w:gridAfter w:val="1"/>
          <w:wAfter w:w="10" w:type="dxa"/>
          <w:trHeight w:val="525"/>
          <w:jc w:val="center"/>
        </w:trPr>
        <w:tc>
          <w:tcPr>
            <w:tcW w:w="479" w:type="dxa"/>
            <w:shd w:val="clear" w:color="auto" w:fill="D9D9D9"/>
            <w:vAlign w:val="center"/>
          </w:tcPr>
          <w:p w14:paraId="51139E06"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lastRenderedPageBreak/>
              <w:t>3</w:t>
            </w:r>
          </w:p>
        </w:tc>
        <w:tc>
          <w:tcPr>
            <w:tcW w:w="1359" w:type="dxa"/>
          </w:tcPr>
          <w:p w14:paraId="78A23633" w14:textId="77777777" w:rsidR="00072693" w:rsidRPr="000C77FA" w:rsidRDefault="002C1F92" w:rsidP="000C77FA">
            <w:pPr>
              <w:rPr>
                <w:rFonts w:ascii="Palatino Linotype" w:eastAsia="Palatino Linotype" w:hAnsi="Palatino Linotype" w:cs="Palatino Linotype"/>
                <w:b/>
                <w:sz w:val="22"/>
                <w:szCs w:val="22"/>
              </w:rPr>
            </w:pPr>
            <w:r w:rsidRPr="000C77FA">
              <w:rPr>
                <w:rFonts w:ascii="Palatino Linotype" w:eastAsia="Palatino Linotype" w:hAnsi="Palatino Linotype" w:cs="Palatino Linotype"/>
                <w:b/>
                <w:sz w:val="22"/>
                <w:szCs w:val="22"/>
              </w:rPr>
              <w:t>0181/</w:t>
            </w:r>
            <w:r w:rsidRPr="000C77FA">
              <w:rPr>
                <w:rFonts w:ascii="Palatino Linotype" w:eastAsia="Palatino Linotype" w:hAnsi="Palatino Linotype" w:cs="Palatino Linotype"/>
                <w:sz w:val="22"/>
                <w:szCs w:val="22"/>
              </w:rPr>
              <w:t>00210</w:t>
            </w:r>
          </w:p>
        </w:tc>
        <w:tc>
          <w:tcPr>
            <w:tcW w:w="7376" w:type="dxa"/>
          </w:tcPr>
          <w:p w14:paraId="0206438F"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la normatividad aplicable para el ejercicio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Manual de Normas y Políticas para el Gasto Público del Gobierno del Estado de México </w:t>
            </w:r>
          </w:p>
          <w:p w14:paraId="455A7055"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¿Cuáles sanciones se consideran en el uso indebido de esos recursos? Responsabilidades administrativas según lo determine el Órgano Interno de Control </w:t>
            </w:r>
          </w:p>
          <w:p w14:paraId="39944D3D"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Esta Secretaría declaró su incompetencia, respecto a estar facultada para atender la información solicitada. </w:t>
            </w:r>
          </w:p>
          <w:p w14:paraId="0963FE45"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¿Cuántas y cuáles unidades administrativas de la Secretaría de Cultura y Turismo contaron con fono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Oficina del C. Secretario de Cultura y Turismo | Dirección General de Patrimonio y Servicios Culturales del Valle de Toluca | Dirección General de la Orquesta Sinfónica del Estado de México | Dirección General de Conservatorio de Música del Estado de México | Dirección General de Cultura Física y Deporte | Secretaria Ejecutiva del Consejo Editorial de la Administración Pública Estatal | Subsecretaría de Turismo </w:t>
            </w:r>
          </w:p>
          <w:p w14:paraId="5C1E6020"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lastRenderedPageBreak/>
              <w:t xml:space="preserve">¿Cuál fue el monto mensual asignado de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para cada unidad administrativa? Oficina del C. Secretario de Cultura y Turismo $38,709.48 | Dirección General de Patrimonio y Servicios Culturales del Valle de Toluca $372,710.13 | Dirección General de la Orquesta Sinfónica del Estado de México $23,058.38 | Dirección General de Conservatorio de Música del Estado de México $6,892.05 | Dirección General de Cultura Física y Deporte $246,404.21 | Secretaria Ejecutiva del Consejo Editorial de la Administración Pública Estatal $185,744.11 | Subsecretaría de Turismo $72,460.68 </w:t>
            </w:r>
          </w:p>
          <w:p w14:paraId="145A9B45"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Solicito de manera legible las facturas que acreditan el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Con fundamento en el artículo 158 la Ley de Transparencia y Acceso a la Información Pública del Estado de México y Municipios, se informó a la Unidad de Información, Planeación, Programación y Evaluación, </w:t>
            </w:r>
            <w:r w:rsidRPr="000C77FA">
              <w:rPr>
                <w:rFonts w:ascii="Palatino Linotype" w:eastAsia="Palatino Linotype" w:hAnsi="Palatino Linotype" w:cs="Palatino Linotype"/>
                <w:b/>
                <w:sz w:val="20"/>
                <w:szCs w:val="20"/>
              </w:rPr>
              <w:t>que la entrega o reproducción sobrepasa las capacidades técnicas, administrativas y humanas</w:t>
            </w:r>
            <w:r w:rsidRPr="000C77FA">
              <w:rPr>
                <w:rFonts w:ascii="Palatino Linotype" w:eastAsia="Palatino Linotype" w:hAnsi="Palatino Linotype" w:cs="Palatino Linotype"/>
                <w:sz w:val="20"/>
                <w:szCs w:val="20"/>
              </w:rPr>
              <w:t xml:space="preserve"> de este sujeto obligado. Por lo que, mediante el acta SCTYTUR/CT/EXT-25/2022, </w:t>
            </w:r>
            <w:r w:rsidRPr="000C77FA">
              <w:rPr>
                <w:rFonts w:ascii="Palatino Linotype" w:eastAsia="Palatino Linotype" w:hAnsi="Palatino Linotype" w:cs="Palatino Linotype"/>
                <w:b/>
                <w:sz w:val="20"/>
                <w:szCs w:val="20"/>
              </w:rPr>
              <w:t>se determinó poner a disposición del ciudadano el acervo documental relativo a la solicitud en mención</w:t>
            </w:r>
            <w:r w:rsidRPr="000C77FA">
              <w:rPr>
                <w:rFonts w:ascii="Palatino Linotype" w:eastAsia="Palatino Linotype" w:hAnsi="Palatino Linotype" w:cs="Palatino Linotype"/>
                <w:sz w:val="20"/>
                <w:szCs w:val="20"/>
              </w:rPr>
              <w:t xml:space="preserve">; en las oficinas de la Dirección de Finanzas de la Secretaría de Cultura y Turismo, ubicadas en CD. Deportiva “Edo. </w:t>
            </w:r>
            <w:proofErr w:type="spellStart"/>
            <w:r w:rsidRPr="000C77FA">
              <w:rPr>
                <w:rFonts w:ascii="Palatino Linotype" w:eastAsia="Palatino Linotype" w:hAnsi="Palatino Linotype" w:cs="Palatino Linotype"/>
                <w:sz w:val="20"/>
                <w:szCs w:val="20"/>
              </w:rPr>
              <w:t>Méx</w:t>
            </w:r>
            <w:proofErr w:type="spellEnd"/>
            <w:r w:rsidRPr="000C77FA">
              <w:rPr>
                <w:rFonts w:ascii="Palatino Linotype" w:eastAsia="Palatino Linotype" w:hAnsi="Palatino Linotype" w:cs="Palatino Linotype"/>
                <w:sz w:val="20"/>
                <w:szCs w:val="20"/>
              </w:rPr>
              <w:t>”, calle Deportiva #100, colonia Irma Patricia Galindo de Reza, Zinacantepec, Estado de México; en un horario de 9:00 a 18:00 horas, para su consulta y revisión. (se adjunta acta)</w:t>
            </w:r>
          </w:p>
        </w:tc>
      </w:tr>
      <w:tr w:rsidR="000C77FA" w:rsidRPr="000C77FA" w14:paraId="017A2A70" w14:textId="77777777">
        <w:trPr>
          <w:gridAfter w:val="1"/>
          <w:wAfter w:w="10" w:type="dxa"/>
          <w:trHeight w:val="525"/>
          <w:jc w:val="center"/>
        </w:trPr>
        <w:tc>
          <w:tcPr>
            <w:tcW w:w="479" w:type="dxa"/>
            <w:shd w:val="clear" w:color="auto" w:fill="D9D9D9"/>
            <w:vAlign w:val="center"/>
          </w:tcPr>
          <w:p w14:paraId="6643907D"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lastRenderedPageBreak/>
              <w:t>4</w:t>
            </w:r>
          </w:p>
        </w:tc>
        <w:tc>
          <w:tcPr>
            <w:tcW w:w="1359" w:type="dxa"/>
          </w:tcPr>
          <w:p w14:paraId="490AF9EE" w14:textId="77777777" w:rsidR="00072693" w:rsidRPr="000C77FA" w:rsidRDefault="002C1F92" w:rsidP="000C77FA">
            <w:pPr>
              <w:rPr>
                <w:rFonts w:ascii="Palatino Linotype" w:eastAsia="Palatino Linotype" w:hAnsi="Palatino Linotype" w:cs="Palatino Linotype"/>
                <w:b/>
                <w:sz w:val="22"/>
                <w:szCs w:val="22"/>
              </w:rPr>
            </w:pPr>
            <w:r w:rsidRPr="000C77FA">
              <w:rPr>
                <w:rFonts w:ascii="Palatino Linotype" w:eastAsia="Palatino Linotype" w:hAnsi="Palatino Linotype" w:cs="Palatino Linotype"/>
                <w:b/>
                <w:sz w:val="22"/>
                <w:szCs w:val="22"/>
              </w:rPr>
              <w:t>0182/</w:t>
            </w:r>
            <w:r w:rsidRPr="000C77FA">
              <w:rPr>
                <w:rFonts w:ascii="Palatino Linotype" w:eastAsia="Palatino Linotype" w:hAnsi="Palatino Linotype" w:cs="Palatino Linotype"/>
                <w:sz w:val="22"/>
                <w:szCs w:val="22"/>
              </w:rPr>
              <w:t>00211</w:t>
            </w:r>
          </w:p>
        </w:tc>
        <w:tc>
          <w:tcPr>
            <w:tcW w:w="7376" w:type="dxa"/>
          </w:tcPr>
          <w:p w14:paraId="4522F63A"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la normatividad aplicable para el ejercicio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Manual de Normas y Políticas para el Gasto Público del Gobierno del Estado de México </w:t>
            </w:r>
          </w:p>
          <w:p w14:paraId="694CF5F2"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¿Cuáles sanciones se consideran en el uso indebido de esos recursos? Responsabilidades administrativas según lo determine el Órgano Interno de Control </w:t>
            </w:r>
          </w:p>
          <w:p w14:paraId="48842DD0"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Esta Secretaría declaró su incompetencia, respecto a estar facultada para atender la información solicitada. </w:t>
            </w:r>
          </w:p>
          <w:p w14:paraId="11DE69CB"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¿Cuántas y cuáles unidades administrativas de la Secretaría de Cultura y Turismo contaron con fono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Oficina del C. Secretario de Cultura y Turismo | Dirección General de Patrimonio y Servicios Culturales del Valle de Toluca | Dirección General de la Orquesta Sinfónica del Estado de México | Dirección General de Conservatorio de Música del Estado de México | Dirección General de Cultura Física y Deporte | Secretaria Ejecutiva del Consejo Editorial de la Administración Pública Estatal | Subsecretaría de Turismo </w:t>
            </w:r>
          </w:p>
          <w:p w14:paraId="1C8D536F"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 xml:space="preserve">¿Cuál fue el monto mensual asignado de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para cada unidad administrativa? Oficina del C. Secretario de Cultura y Turismo $38,709.48 | Dirección General de Patrimonio y Servicios Culturales del Valle de Toluca $372,710.13 | Dirección General de la Orquesta Sinfónica del Estado de México $23,058.38 | Dirección General de Conservatorio de Música del Estado de México </w:t>
            </w:r>
            <w:r w:rsidRPr="000C77FA">
              <w:rPr>
                <w:rFonts w:ascii="Palatino Linotype" w:eastAsia="Palatino Linotype" w:hAnsi="Palatino Linotype" w:cs="Palatino Linotype"/>
                <w:sz w:val="20"/>
                <w:szCs w:val="20"/>
              </w:rPr>
              <w:lastRenderedPageBreak/>
              <w:t xml:space="preserve">$6,892.05 | Dirección General de Cultura Física y Deporte $246,404.21 | Secretaria Ejecutiva del Consejo Editorial de la Administración Pública Estatal $185,744.11 | Subsecretaría de Turismo $72,460.68 </w:t>
            </w:r>
          </w:p>
          <w:p w14:paraId="74C6961F" w14:textId="77777777" w:rsidR="00072693" w:rsidRPr="000C77FA" w:rsidRDefault="002C1F92" w:rsidP="000C77FA">
            <w:pPr>
              <w:pBdr>
                <w:top w:val="nil"/>
                <w:left w:val="nil"/>
                <w:bottom w:val="nil"/>
                <w:right w:val="nil"/>
                <w:between w:val="nil"/>
              </w:pBdr>
              <w:jc w:val="both"/>
              <w:rPr>
                <w:rFonts w:ascii="Palatino Linotype" w:eastAsia="Palatino Linotype" w:hAnsi="Palatino Linotype" w:cs="Palatino Linotype"/>
                <w:i/>
                <w:sz w:val="20"/>
                <w:szCs w:val="20"/>
              </w:rPr>
            </w:pPr>
            <w:r w:rsidRPr="000C77FA">
              <w:rPr>
                <w:rFonts w:ascii="Palatino Linotype" w:eastAsia="Palatino Linotype" w:hAnsi="Palatino Linotype" w:cs="Palatino Linotype"/>
                <w:sz w:val="20"/>
                <w:szCs w:val="20"/>
              </w:rPr>
              <w:t xml:space="preserve">Solicito de manera legible las facturas que acreditan el ejercicio de los recursos del fondo </w:t>
            </w:r>
            <w:proofErr w:type="spellStart"/>
            <w:r w:rsidRPr="000C77FA">
              <w:rPr>
                <w:rFonts w:ascii="Palatino Linotype" w:eastAsia="Palatino Linotype" w:hAnsi="Palatino Linotype" w:cs="Palatino Linotype"/>
                <w:sz w:val="20"/>
                <w:szCs w:val="20"/>
              </w:rPr>
              <w:t>revolvente</w:t>
            </w:r>
            <w:proofErr w:type="spellEnd"/>
            <w:r w:rsidRPr="000C77FA">
              <w:rPr>
                <w:rFonts w:ascii="Palatino Linotype" w:eastAsia="Palatino Linotype" w:hAnsi="Palatino Linotype" w:cs="Palatino Linotype"/>
                <w:sz w:val="20"/>
                <w:szCs w:val="20"/>
              </w:rPr>
              <w:t xml:space="preserve">… Con fundamento en el artículo 158 la Ley de Transparencia y Acceso a la Información Pública del Estado de México y Municipios, se informó a la Unidad de Información, Planeación, Programación y Evaluación, que la entrega o reproducción </w:t>
            </w:r>
            <w:r w:rsidRPr="000C77FA">
              <w:rPr>
                <w:rFonts w:ascii="Palatino Linotype" w:eastAsia="Palatino Linotype" w:hAnsi="Palatino Linotype" w:cs="Palatino Linotype"/>
                <w:b/>
                <w:sz w:val="20"/>
                <w:szCs w:val="20"/>
              </w:rPr>
              <w:t>sobrepasa las capacidades técnicas, administrativas y humanas de este sujeto obligado</w:t>
            </w:r>
            <w:r w:rsidRPr="000C77FA">
              <w:rPr>
                <w:rFonts w:ascii="Palatino Linotype" w:eastAsia="Palatino Linotype" w:hAnsi="Palatino Linotype" w:cs="Palatino Linotype"/>
                <w:sz w:val="20"/>
                <w:szCs w:val="20"/>
              </w:rPr>
              <w:t xml:space="preserve">. Por lo que, mediante el acta SCTYTUR/CT/EXT-25/2022, se determinó poner a disposición del ciudadano el acervo documental relativo a la solicitud en mención; en las oficinas de la Dirección de Finanzas de la Secretaría de Cultura y Turismo, ubicadas en CD. Deportiva “Edo. </w:t>
            </w:r>
            <w:proofErr w:type="spellStart"/>
            <w:r w:rsidRPr="000C77FA">
              <w:rPr>
                <w:rFonts w:ascii="Palatino Linotype" w:eastAsia="Palatino Linotype" w:hAnsi="Palatino Linotype" w:cs="Palatino Linotype"/>
                <w:sz w:val="20"/>
                <w:szCs w:val="20"/>
              </w:rPr>
              <w:t>Méx</w:t>
            </w:r>
            <w:proofErr w:type="spellEnd"/>
            <w:r w:rsidRPr="000C77FA">
              <w:rPr>
                <w:rFonts w:ascii="Palatino Linotype" w:eastAsia="Palatino Linotype" w:hAnsi="Palatino Linotype" w:cs="Palatino Linotype"/>
                <w:sz w:val="20"/>
                <w:szCs w:val="20"/>
              </w:rPr>
              <w:t>”, calle Deportiva #100, colonia Irma Patricia Galindo de Reza, Zinacantepec, Estado de México; en un horario de 9:00 a 18:00 horas, para su consulta y revisión. (se adjunta acta)</w:t>
            </w:r>
          </w:p>
        </w:tc>
      </w:tr>
    </w:tbl>
    <w:p w14:paraId="46BAB1E0" w14:textId="77777777" w:rsidR="00072693" w:rsidRPr="000C77FA" w:rsidRDefault="00072693" w:rsidP="000C77FA">
      <w:pPr>
        <w:spacing w:line="360" w:lineRule="auto"/>
        <w:jc w:val="both"/>
        <w:rPr>
          <w:rFonts w:ascii="Palatino Linotype" w:eastAsia="Palatino Linotype" w:hAnsi="Palatino Linotype" w:cs="Palatino Linotype"/>
        </w:rPr>
      </w:pPr>
    </w:p>
    <w:p w14:paraId="0346B825" w14:textId="77777777" w:rsidR="00072693" w:rsidRPr="000C77FA" w:rsidRDefault="002C1F92" w:rsidP="000C77FA">
      <w:pPr>
        <w:spacing w:line="360" w:lineRule="auto"/>
        <w:jc w:val="both"/>
        <w:rPr>
          <w:rFonts w:ascii="Palatino Linotype" w:eastAsia="Palatino Linotype" w:hAnsi="Palatino Linotype" w:cs="Palatino Linotype"/>
          <w:b/>
        </w:rPr>
      </w:pPr>
      <w:r w:rsidRPr="000C77FA">
        <w:rPr>
          <w:rFonts w:ascii="Palatino Linotype" w:eastAsia="Palatino Linotype" w:hAnsi="Palatino Linotype" w:cs="Palatino Linotype"/>
          <w:b/>
          <w:sz w:val="28"/>
          <w:szCs w:val="28"/>
        </w:rPr>
        <w:t>II. De los Recursos de Revisión</w:t>
      </w:r>
      <w:r w:rsidRPr="000C77FA">
        <w:rPr>
          <w:rFonts w:ascii="Palatino Linotype" w:eastAsia="Palatino Linotype" w:hAnsi="Palatino Linotype" w:cs="Palatino Linotype"/>
          <w:b/>
        </w:rPr>
        <w:t>.</w:t>
      </w:r>
    </w:p>
    <w:p w14:paraId="4B13133F" w14:textId="6C661759" w:rsidR="00072693" w:rsidRPr="000C77FA" w:rsidRDefault="002C1F92" w:rsidP="000C77FA">
      <w:pPr>
        <w:widowControl w:val="0"/>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1. Interposición. </w:t>
      </w:r>
      <w:r w:rsidRPr="000C77FA">
        <w:rPr>
          <w:rFonts w:ascii="Palatino Linotype" w:eastAsia="Palatino Linotype" w:hAnsi="Palatino Linotype" w:cs="Palatino Linotype"/>
        </w:rPr>
        <w:t xml:space="preserve">Inconforme por las respuestas, el doce de </w:t>
      </w:r>
      <w:r w:rsidR="004744AB" w:rsidRPr="000C77FA">
        <w:rPr>
          <w:rFonts w:ascii="Palatino Linotype" w:eastAsia="Palatino Linotype" w:hAnsi="Palatino Linotype" w:cs="Palatino Linotype"/>
        </w:rPr>
        <w:t>enero</w:t>
      </w:r>
      <w:r w:rsidRPr="000C77FA">
        <w:rPr>
          <w:rFonts w:ascii="Palatino Linotype" w:eastAsia="Palatino Linotype" w:hAnsi="Palatino Linotype" w:cs="Palatino Linotype"/>
        </w:rPr>
        <w:t xml:space="preserve"> de dos mil veinti</w:t>
      </w:r>
      <w:r w:rsidR="004744AB" w:rsidRPr="000C77FA">
        <w:rPr>
          <w:rFonts w:ascii="Palatino Linotype" w:eastAsia="Palatino Linotype" w:hAnsi="Palatino Linotype" w:cs="Palatino Linotype"/>
        </w:rPr>
        <w:t>trés</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 xml:space="preserve">EL RECURRENTE </w:t>
      </w:r>
      <w:r w:rsidRPr="000C77FA">
        <w:rPr>
          <w:rFonts w:ascii="Palatino Linotype" w:eastAsia="Palatino Linotype" w:hAnsi="Palatino Linotype" w:cs="Palatino Linotype"/>
        </w:rPr>
        <w:t xml:space="preserve">interpuso los Recursos de Revisión, registrados en </w:t>
      </w:r>
      <w:r w:rsidRPr="000C77FA">
        <w:rPr>
          <w:rFonts w:ascii="Palatino Linotype" w:eastAsia="Palatino Linotype" w:hAnsi="Palatino Linotype" w:cs="Palatino Linotype"/>
          <w:b/>
        </w:rPr>
        <w:t>EL SAIMEX</w:t>
      </w:r>
      <w:r w:rsidRPr="000C77FA">
        <w:rPr>
          <w:rFonts w:ascii="Palatino Linotype" w:eastAsia="Palatino Linotype" w:hAnsi="Palatino Linotype" w:cs="Palatino Linotype"/>
        </w:rPr>
        <w:t xml:space="preserve"> bajo los números de expedientes </w:t>
      </w:r>
      <w:r w:rsidRPr="000C77FA">
        <w:rPr>
          <w:rFonts w:ascii="Palatino Linotype" w:eastAsia="Palatino Linotype" w:hAnsi="Palatino Linotype" w:cs="Palatino Linotype"/>
          <w:b/>
          <w:sz w:val="22"/>
          <w:szCs w:val="22"/>
        </w:rPr>
        <w:t>00207/INFOEM/IP/RR/2023, 00208/INFOEM/IP/RR/2023, 00210/INFOEM/IP/RR/2023 y 00211/INFOEM/IP/RR/2023</w:t>
      </w:r>
      <w:r w:rsidRPr="000C77FA">
        <w:rPr>
          <w:rFonts w:ascii="Palatino Linotype" w:eastAsia="Palatino Linotype" w:hAnsi="Palatino Linotype" w:cs="Palatino Linotype"/>
        </w:rPr>
        <w:t>,</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rPr>
        <w:t xml:space="preserve">con los actos impugnados y motivos de agravio siguientes: </w:t>
      </w:r>
    </w:p>
    <w:p w14:paraId="35D62D62" w14:textId="77777777" w:rsidR="00072693" w:rsidRPr="000C77FA" w:rsidRDefault="00072693" w:rsidP="000C77FA">
      <w:pPr>
        <w:widowControl w:val="0"/>
        <w:spacing w:line="360" w:lineRule="auto"/>
        <w:jc w:val="both"/>
        <w:rPr>
          <w:rFonts w:ascii="Palatino Linotype" w:eastAsia="Palatino Linotype" w:hAnsi="Palatino Linotype" w:cs="Palatino Linotype"/>
        </w:rPr>
      </w:pPr>
    </w:p>
    <w:tbl>
      <w:tblPr>
        <w:tblStyle w:val="a1"/>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18"/>
        <w:gridCol w:w="6951"/>
      </w:tblGrid>
      <w:tr w:rsidR="000C77FA" w:rsidRPr="000C77FA" w14:paraId="3A8DE024" w14:textId="77777777">
        <w:trPr>
          <w:trHeight w:val="436"/>
          <w:tblHeader/>
          <w:jc w:val="center"/>
        </w:trPr>
        <w:tc>
          <w:tcPr>
            <w:tcW w:w="562" w:type="dxa"/>
            <w:shd w:val="clear" w:color="auto" w:fill="D9D9D9"/>
            <w:vAlign w:val="center"/>
          </w:tcPr>
          <w:p w14:paraId="7497DCBE" w14:textId="77777777" w:rsidR="00072693" w:rsidRPr="000C77FA" w:rsidRDefault="002C1F92" w:rsidP="000C77FA">
            <w:pPr>
              <w:jc w:val="center"/>
              <w:rPr>
                <w:rFonts w:ascii="Palatino Linotype" w:eastAsia="Palatino Linotype" w:hAnsi="Palatino Linotype" w:cs="Palatino Linotype"/>
                <w:b/>
                <w:sz w:val="20"/>
                <w:szCs w:val="20"/>
              </w:rPr>
            </w:pPr>
            <w:bookmarkStart w:id="7" w:name="_heading=h.tyjcwt" w:colFirst="0" w:colLast="0"/>
            <w:bookmarkEnd w:id="7"/>
            <w:r w:rsidRPr="000C77FA">
              <w:rPr>
                <w:rFonts w:ascii="Palatino Linotype" w:eastAsia="Palatino Linotype" w:hAnsi="Palatino Linotype" w:cs="Palatino Linotype"/>
                <w:b/>
                <w:sz w:val="20"/>
                <w:szCs w:val="20"/>
              </w:rPr>
              <w:t>No.</w:t>
            </w:r>
          </w:p>
        </w:tc>
        <w:tc>
          <w:tcPr>
            <w:tcW w:w="1418" w:type="dxa"/>
            <w:shd w:val="clear" w:color="auto" w:fill="D9D9D9"/>
            <w:vAlign w:val="center"/>
          </w:tcPr>
          <w:p w14:paraId="00FC648E"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Recurso de Revisión</w:t>
            </w:r>
          </w:p>
        </w:tc>
        <w:tc>
          <w:tcPr>
            <w:tcW w:w="6951" w:type="dxa"/>
            <w:shd w:val="clear" w:color="auto" w:fill="D9D9D9"/>
            <w:vAlign w:val="center"/>
          </w:tcPr>
          <w:p w14:paraId="6DAA550E" w14:textId="77777777" w:rsidR="00072693" w:rsidRPr="000C77FA" w:rsidRDefault="002C1F92" w:rsidP="000C77FA">
            <w:pPr>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Actos impugnados y motivos de agravio</w:t>
            </w:r>
          </w:p>
        </w:tc>
      </w:tr>
      <w:tr w:rsidR="000C77FA" w:rsidRPr="000C77FA" w14:paraId="626B12AC" w14:textId="77777777">
        <w:trPr>
          <w:jc w:val="center"/>
        </w:trPr>
        <w:tc>
          <w:tcPr>
            <w:tcW w:w="562" w:type="dxa"/>
            <w:shd w:val="clear" w:color="auto" w:fill="D9D9D9"/>
            <w:vAlign w:val="center"/>
          </w:tcPr>
          <w:p w14:paraId="6FDC933A" w14:textId="77777777" w:rsidR="00072693" w:rsidRPr="000C77FA" w:rsidRDefault="00072693" w:rsidP="000C77FA">
            <w:pPr>
              <w:jc w:val="center"/>
              <w:rPr>
                <w:rFonts w:ascii="Palatino Linotype" w:eastAsia="Palatino Linotype" w:hAnsi="Palatino Linotype" w:cs="Palatino Linotype"/>
                <w:b/>
                <w:sz w:val="20"/>
                <w:szCs w:val="20"/>
              </w:rPr>
            </w:pPr>
          </w:p>
          <w:p w14:paraId="7C090337"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1</w:t>
            </w:r>
          </w:p>
        </w:tc>
        <w:tc>
          <w:tcPr>
            <w:tcW w:w="1418" w:type="dxa"/>
          </w:tcPr>
          <w:p w14:paraId="00CD4B99" w14:textId="77777777" w:rsidR="00072693" w:rsidRPr="000C77FA" w:rsidRDefault="00072693" w:rsidP="000C77FA">
            <w:pPr>
              <w:rPr>
                <w:rFonts w:ascii="Palatino Linotype" w:eastAsia="Palatino Linotype" w:hAnsi="Palatino Linotype" w:cs="Palatino Linotype"/>
                <w:b/>
                <w:sz w:val="20"/>
                <w:szCs w:val="20"/>
              </w:rPr>
            </w:pPr>
          </w:p>
          <w:p w14:paraId="5ED9CE60"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00207</w:t>
            </w:r>
            <w:r w:rsidRPr="000C77FA">
              <w:rPr>
                <w:rFonts w:ascii="Palatino Linotype" w:eastAsia="Palatino Linotype" w:hAnsi="Palatino Linotype" w:cs="Palatino Linotype"/>
                <w:sz w:val="20"/>
                <w:szCs w:val="20"/>
              </w:rPr>
              <w:t xml:space="preserve"> (00179)</w:t>
            </w:r>
          </w:p>
          <w:p w14:paraId="64CF0FA4" w14:textId="77777777" w:rsidR="00072693" w:rsidRPr="000C77FA" w:rsidRDefault="00072693" w:rsidP="000C77FA">
            <w:pPr>
              <w:rPr>
                <w:rFonts w:ascii="Palatino Linotype" w:eastAsia="Palatino Linotype" w:hAnsi="Palatino Linotype" w:cs="Palatino Linotype"/>
                <w:sz w:val="20"/>
                <w:szCs w:val="20"/>
              </w:rPr>
            </w:pPr>
          </w:p>
        </w:tc>
        <w:tc>
          <w:tcPr>
            <w:tcW w:w="6951" w:type="dxa"/>
          </w:tcPr>
          <w:p w14:paraId="7697F8EA" w14:textId="77777777" w:rsidR="00072693" w:rsidRPr="000C77FA" w:rsidRDefault="00072693" w:rsidP="000C77FA">
            <w:pPr>
              <w:jc w:val="both"/>
              <w:rPr>
                <w:rFonts w:ascii="Palatino Linotype" w:eastAsia="Palatino Linotype" w:hAnsi="Palatino Linotype" w:cs="Palatino Linotype"/>
                <w:i/>
                <w:sz w:val="18"/>
                <w:szCs w:val="18"/>
              </w:rPr>
            </w:pPr>
          </w:p>
          <w:p w14:paraId="3F353041"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entrega de información de la solicitud de información 00179/SCTUR/IP/2022</w:t>
            </w:r>
          </w:p>
          <w:p w14:paraId="76890234" w14:textId="77777777" w:rsidR="00072693" w:rsidRPr="000C77FA" w:rsidRDefault="00072693" w:rsidP="000C77FA">
            <w:pPr>
              <w:jc w:val="both"/>
              <w:rPr>
                <w:rFonts w:ascii="Palatino Linotype" w:eastAsia="Palatino Linotype" w:hAnsi="Palatino Linotype" w:cs="Palatino Linotype"/>
                <w:i/>
                <w:sz w:val="18"/>
                <w:szCs w:val="18"/>
              </w:rPr>
            </w:pPr>
          </w:p>
          <w:p w14:paraId="012687DF" w14:textId="3AFFDB0E"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“RAZONES O MOTIVOS DE LA INCONFORMIDAD: La respuesta a las siguientes solicitudes de información: ...</w:t>
            </w:r>
            <w:r w:rsidR="00EB3F9F" w:rsidRPr="000C77FA">
              <w:rPr>
                <w:rFonts w:ascii="Palatino Linotype" w:eastAsia="Palatino Linotype" w:hAnsi="Palatino Linotype" w:cs="Palatino Linotype"/>
                <w:i/>
                <w:sz w:val="18"/>
                <w:szCs w:val="18"/>
              </w:rPr>
              <w:t xml:space="preserve"> </w:t>
            </w:r>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w:t>
            </w:r>
            <w:r w:rsidRPr="000C77FA">
              <w:rPr>
                <w:rFonts w:ascii="Palatino Linotype" w:eastAsia="Palatino Linotype" w:hAnsi="Palatino Linotype" w:cs="Palatino Linotype"/>
                <w:i/>
                <w:sz w:val="18"/>
                <w:szCs w:val="18"/>
              </w:rPr>
              <w:lastRenderedPageBreak/>
              <w:t xml:space="preserve">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Ya están archivadas como para ser parte de un expediente que rebasa las 9,250 hojas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 Las anteriores son preguntas que no fueron respondidas independientemente del tema del archivo y su tamaño. La solicitud de información antes referida no puede ser parte de un archivo existente, tal como si lo puede ser los comprobantes y/o facturas. En cuanto a la solicitud de información: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Dirección General de Patrimonio y Servicios Culturales; UIPPE y Subsecretaría de Turismo; del periodo enero-junio 2022. Suponiendo que todas esas áreas tengan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del periodo solicitado (seis meses), el número de hojas que "DICEN" compone el expediente por el tiempo requerido es de 9,250, es decir 2,312 por cada una de las cuatro unidades administrativas, 385 hojas por mes de cada unidad administrativa, 12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i/>
                <w:sz w:val="18"/>
                <w:szCs w:val="18"/>
              </w:rPr>
              <w:t>???</w:t>
            </w:r>
            <w:proofErr w:type="gramEnd"/>
          </w:p>
          <w:p w14:paraId="3E37169B" w14:textId="77777777" w:rsidR="00072693" w:rsidRPr="000C77FA" w:rsidRDefault="00072693" w:rsidP="000C77FA">
            <w:pPr>
              <w:jc w:val="both"/>
              <w:rPr>
                <w:rFonts w:ascii="Palatino Linotype" w:eastAsia="Palatino Linotype" w:hAnsi="Palatino Linotype" w:cs="Palatino Linotype"/>
                <w:i/>
                <w:sz w:val="18"/>
                <w:szCs w:val="18"/>
              </w:rPr>
            </w:pPr>
          </w:p>
        </w:tc>
      </w:tr>
      <w:tr w:rsidR="000C77FA" w:rsidRPr="000C77FA" w14:paraId="4E1C7234" w14:textId="77777777">
        <w:trPr>
          <w:jc w:val="center"/>
        </w:trPr>
        <w:tc>
          <w:tcPr>
            <w:tcW w:w="562" w:type="dxa"/>
            <w:shd w:val="clear" w:color="auto" w:fill="D9D9D9"/>
            <w:vAlign w:val="center"/>
          </w:tcPr>
          <w:p w14:paraId="40B83809"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lastRenderedPageBreak/>
              <w:t>2</w:t>
            </w:r>
          </w:p>
        </w:tc>
        <w:tc>
          <w:tcPr>
            <w:tcW w:w="1418" w:type="dxa"/>
          </w:tcPr>
          <w:p w14:paraId="764A8C28" w14:textId="77777777" w:rsidR="00072693" w:rsidRPr="000C77FA" w:rsidRDefault="00072693" w:rsidP="000C77FA">
            <w:pPr>
              <w:rPr>
                <w:rFonts w:ascii="Palatino Linotype" w:eastAsia="Palatino Linotype" w:hAnsi="Palatino Linotype" w:cs="Palatino Linotype"/>
                <w:b/>
                <w:sz w:val="20"/>
                <w:szCs w:val="20"/>
              </w:rPr>
            </w:pPr>
          </w:p>
          <w:p w14:paraId="24EFC109"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 xml:space="preserve">00208 </w:t>
            </w:r>
            <w:r w:rsidRPr="000C77FA">
              <w:rPr>
                <w:rFonts w:ascii="Palatino Linotype" w:eastAsia="Palatino Linotype" w:hAnsi="Palatino Linotype" w:cs="Palatino Linotype"/>
                <w:sz w:val="20"/>
                <w:szCs w:val="20"/>
              </w:rPr>
              <w:t>(0180)</w:t>
            </w:r>
          </w:p>
          <w:p w14:paraId="1CCD3C54" w14:textId="77777777" w:rsidR="00072693" w:rsidRPr="000C77FA" w:rsidRDefault="00072693" w:rsidP="000C77FA">
            <w:pPr>
              <w:rPr>
                <w:rFonts w:ascii="Palatino Linotype" w:eastAsia="Palatino Linotype" w:hAnsi="Palatino Linotype" w:cs="Palatino Linotype"/>
                <w:sz w:val="20"/>
                <w:szCs w:val="20"/>
              </w:rPr>
            </w:pPr>
          </w:p>
        </w:tc>
        <w:tc>
          <w:tcPr>
            <w:tcW w:w="6951" w:type="dxa"/>
          </w:tcPr>
          <w:p w14:paraId="089035FD" w14:textId="77777777" w:rsidR="00072693" w:rsidRPr="000C77FA" w:rsidRDefault="00072693" w:rsidP="000C77FA">
            <w:pPr>
              <w:jc w:val="both"/>
              <w:rPr>
                <w:rFonts w:ascii="Palatino Linotype" w:eastAsia="Palatino Linotype" w:hAnsi="Palatino Linotype" w:cs="Palatino Linotype"/>
                <w:i/>
                <w:sz w:val="18"/>
                <w:szCs w:val="18"/>
              </w:rPr>
            </w:pPr>
          </w:p>
          <w:p w14:paraId="1F73EBBA"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respuesta a la solicitud de información 00180/SCTUR/IP/2022</w:t>
            </w:r>
          </w:p>
          <w:p w14:paraId="3D26F69E" w14:textId="77777777" w:rsidR="00072693" w:rsidRPr="000C77FA" w:rsidRDefault="00072693" w:rsidP="000C77FA">
            <w:pPr>
              <w:jc w:val="both"/>
              <w:rPr>
                <w:rFonts w:ascii="Palatino Linotype" w:eastAsia="Palatino Linotype" w:hAnsi="Palatino Linotype" w:cs="Palatino Linotype"/>
                <w:i/>
                <w:sz w:val="18"/>
                <w:szCs w:val="18"/>
              </w:rPr>
            </w:pPr>
          </w:p>
          <w:p w14:paraId="1ACFE025" w14:textId="77777777" w:rsidR="00072693" w:rsidRPr="000C77FA" w:rsidRDefault="002C1F92" w:rsidP="000C77FA">
            <w:pPr>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i/>
                <w:sz w:val="18"/>
                <w:szCs w:val="18"/>
              </w:rPr>
              <w:t>“RAZONES O MOTIVOS DE LA INCONFORMIDAD:</w:t>
            </w:r>
            <w:r w:rsidRPr="000C77FA">
              <w:rPr>
                <w:rFonts w:ascii="Palatino Linotype" w:eastAsia="Palatino Linotype" w:hAnsi="Palatino Linotype" w:cs="Palatino Linotype"/>
                <w:sz w:val="18"/>
                <w:szCs w:val="18"/>
              </w:rPr>
              <w:t xml:space="preserve"> </w:t>
            </w:r>
            <w:r w:rsidRPr="000C77FA">
              <w:rPr>
                <w:rFonts w:ascii="Palatino Linotype" w:eastAsia="Palatino Linotype" w:hAnsi="Palatino Linotype" w:cs="Palatino Linotype"/>
                <w:i/>
                <w:sz w:val="18"/>
                <w:szCs w:val="18"/>
              </w:rPr>
              <w:t xml:space="preserve">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Ya están archivadas como para ser parte de un expediente que rebasa las 10,210 hojas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 Las anteriores son preguntas que no fueron respondidas independientemente del tema del archivo y su tamaño. La solicitud de información antes referida no puede ser parte de un archivo existente, tal como si lo puede ser los comprobantes y/o facturas. En cuanto a la solicitud de información: Del ejercicio fiscal 2022, solicito </w:t>
            </w:r>
            <w:r w:rsidRPr="000C77FA">
              <w:rPr>
                <w:rFonts w:ascii="Palatino Linotype" w:eastAsia="Palatino Linotype" w:hAnsi="Palatino Linotype" w:cs="Palatino Linotype"/>
                <w:i/>
                <w:sz w:val="18"/>
                <w:szCs w:val="18"/>
              </w:rPr>
              <w:lastRenderedPageBreak/>
              <w:t xml:space="preserve">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Dirección General de Patrimonio y Servicios Culturales; UIPPE y Subsecretaría de Turismo; del periodo julio-octubre 2022. Suponiendo que todas esas áreas tengan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del periodo solicitado (seis meses), el número de hojas que "DICEN" compone el expediente por el tiempo requerido es de 10,210 es decir 2,552 por cada una de las cuatro unidades administrativas, 638 hojas por mes de cada unidad administrativa, 21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 Cómo es posible que para la solicitud de información 00179/SCTUR/IP/2022, que abarca un periodo de seis meses (enero-junio) exista un expediente de 9,250 hojas y para la solicitud de información 00180/SCTUR/IP/2022 que abarca un periodo de cuatro meses (julio-octubre) el número de hojas del expediente sea de 10,210 con dos meses menos que el anterior</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....no es </w:t>
            </w:r>
            <w:proofErr w:type="spellStart"/>
            <w:r w:rsidRPr="000C77FA">
              <w:rPr>
                <w:rFonts w:ascii="Palatino Linotype" w:eastAsia="Palatino Linotype" w:hAnsi="Palatino Linotype" w:cs="Palatino Linotype"/>
                <w:i/>
                <w:sz w:val="18"/>
                <w:szCs w:val="18"/>
              </w:rPr>
              <w:t>creible</w:t>
            </w:r>
            <w:proofErr w:type="spellEnd"/>
            <w:r w:rsidRPr="000C77FA">
              <w:rPr>
                <w:rFonts w:ascii="Palatino Linotype" w:eastAsia="Palatino Linotype" w:hAnsi="Palatino Linotype" w:cs="Palatino Linotype"/>
                <w:i/>
                <w:sz w:val="18"/>
                <w:szCs w:val="18"/>
              </w:rPr>
              <w:t xml:space="preserve"> que nieguen la información como les fue solicitada y menos que un COMITE haya aprobado de esa manera un acta con el cambio de entrega de información.</w:t>
            </w:r>
          </w:p>
          <w:p w14:paraId="33D6AFA1" w14:textId="77777777" w:rsidR="00072693" w:rsidRPr="000C77FA" w:rsidRDefault="00072693" w:rsidP="000C77FA">
            <w:pPr>
              <w:jc w:val="both"/>
              <w:rPr>
                <w:rFonts w:ascii="Palatino Linotype" w:eastAsia="Palatino Linotype" w:hAnsi="Palatino Linotype" w:cs="Palatino Linotype"/>
                <w:i/>
                <w:sz w:val="18"/>
                <w:szCs w:val="18"/>
              </w:rPr>
            </w:pPr>
          </w:p>
        </w:tc>
      </w:tr>
      <w:tr w:rsidR="000C77FA" w:rsidRPr="000C77FA" w14:paraId="503024B7" w14:textId="77777777">
        <w:trPr>
          <w:jc w:val="center"/>
        </w:trPr>
        <w:tc>
          <w:tcPr>
            <w:tcW w:w="562" w:type="dxa"/>
            <w:shd w:val="clear" w:color="auto" w:fill="D9D9D9"/>
            <w:vAlign w:val="center"/>
          </w:tcPr>
          <w:p w14:paraId="34561001"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lastRenderedPageBreak/>
              <w:t>3</w:t>
            </w:r>
          </w:p>
        </w:tc>
        <w:tc>
          <w:tcPr>
            <w:tcW w:w="1418" w:type="dxa"/>
          </w:tcPr>
          <w:p w14:paraId="64B0CB68" w14:textId="77777777" w:rsidR="00072693" w:rsidRPr="000C77FA" w:rsidRDefault="00072693" w:rsidP="000C77FA">
            <w:pPr>
              <w:rPr>
                <w:rFonts w:ascii="Palatino Linotype" w:eastAsia="Palatino Linotype" w:hAnsi="Palatino Linotype" w:cs="Palatino Linotype"/>
                <w:b/>
                <w:sz w:val="20"/>
                <w:szCs w:val="20"/>
              </w:rPr>
            </w:pPr>
          </w:p>
          <w:p w14:paraId="6D7834D6"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00210</w:t>
            </w:r>
            <w:r w:rsidRPr="000C77FA">
              <w:rPr>
                <w:rFonts w:ascii="Palatino Linotype" w:eastAsia="Palatino Linotype" w:hAnsi="Palatino Linotype" w:cs="Palatino Linotype"/>
                <w:sz w:val="20"/>
                <w:szCs w:val="20"/>
              </w:rPr>
              <w:t xml:space="preserve"> (0181)</w:t>
            </w:r>
          </w:p>
          <w:p w14:paraId="378FF0B3" w14:textId="77777777" w:rsidR="00072693" w:rsidRPr="000C77FA" w:rsidRDefault="00072693" w:rsidP="000C77FA">
            <w:pPr>
              <w:rPr>
                <w:rFonts w:ascii="Palatino Linotype" w:eastAsia="Palatino Linotype" w:hAnsi="Palatino Linotype" w:cs="Palatino Linotype"/>
                <w:sz w:val="20"/>
                <w:szCs w:val="20"/>
              </w:rPr>
            </w:pPr>
          </w:p>
        </w:tc>
        <w:tc>
          <w:tcPr>
            <w:tcW w:w="6951" w:type="dxa"/>
          </w:tcPr>
          <w:p w14:paraId="2811DFB7" w14:textId="77777777" w:rsidR="00072693" w:rsidRPr="000C77FA" w:rsidRDefault="00072693" w:rsidP="000C77FA">
            <w:pPr>
              <w:jc w:val="both"/>
              <w:rPr>
                <w:rFonts w:ascii="Palatino Linotype" w:eastAsia="Palatino Linotype" w:hAnsi="Palatino Linotype" w:cs="Palatino Linotype"/>
                <w:i/>
                <w:sz w:val="18"/>
                <w:szCs w:val="18"/>
              </w:rPr>
            </w:pPr>
          </w:p>
          <w:p w14:paraId="50C03D68"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respuesta a la solicitud de información 00181/SCTUR/IP/202.</w:t>
            </w:r>
          </w:p>
          <w:p w14:paraId="7A009505" w14:textId="77777777" w:rsidR="00072693" w:rsidRPr="000C77FA" w:rsidRDefault="00072693" w:rsidP="000C77FA">
            <w:pPr>
              <w:jc w:val="both"/>
              <w:rPr>
                <w:rFonts w:ascii="Palatino Linotype" w:eastAsia="Palatino Linotype" w:hAnsi="Palatino Linotype" w:cs="Palatino Linotype"/>
                <w:i/>
                <w:sz w:val="18"/>
                <w:szCs w:val="18"/>
              </w:rPr>
            </w:pPr>
          </w:p>
          <w:p w14:paraId="0361E3A5"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“RAZONES O MOTIVOS DE LA INCONFORMIDAD: 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2021,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Ya están archivadas como para ser parte de un expediente que rebasa las 8,300 hojas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 Las anteriores son preguntas que no fueron respondidas independientemente del tema del archivo y su tamaño. La solicitud de información antes referida no puede ser parte de un archivo existente, tal como si lo puede ser los comprobantes y/o facturas. En cuanto a la solicitud de información: Del ejercicio fiscal 2021,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Unidad jurídica, Dirección General de Turismo de Reuniones; UIPPE y Unidad de Comunicación social; del periodo enero-junio 2021. Suponiendo que todas esas áreas tengan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del periodo solicitado (seis meses), el número de hojas que "DICEN" compone el expediente por el tiempo </w:t>
            </w:r>
            <w:r w:rsidRPr="000C77FA">
              <w:rPr>
                <w:rFonts w:ascii="Palatino Linotype" w:eastAsia="Palatino Linotype" w:hAnsi="Palatino Linotype" w:cs="Palatino Linotype"/>
                <w:i/>
                <w:sz w:val="18"/>
                <w:szCs w:val="18"/>
              </w:rPr>
              <w:lastRenderedPageBreak/>
              <w:t>requerido es de 8,300, es decir 1,660 por cada una de las cinco unidades administrativas, 276 hojas por mes de cada unidad administrativa, 9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i/>
                <w:sz w:val="18"/>
                <w:szCs w:val="18"/>
              </w:rPr>
              <w:t>???</w:t>
            </w:r>
            <w:proofErr w:type="gramEnd"/>
          </w:p>
          <w:p w14:paraId="5D66EA1C" w14:textId="77777777" w:rsidR="00072693" w:rsidRPr="000C77FA" w:rsidRDefault="00072693" w:rsidP="000C77FA">
            <w:pPr>
              <w:jc w:val="both"/>
              <w:rPr>
                <w:rFonts w:ascii="Palatino Linotype" w:eastAsia="Palatino Linotype" w:hAnsi="Palatino Linotype" w:cs="Palatino Linotype"/>
                <w:i/>
                <w:sz w:val="18"/>
                <w:szCs w:val="18"/>
              </w:rPr>
            </w:pPr>
          </w:p>
        </w:tc>
      </w:tr>
      <w:tr w:rsidR="000C77FA" w:rsidRPr="000C77FA" w14:paraId="3A343C01" w14:textId="77777777">
        <w:trPr>
          <w:jc w:val="center"/>
        </w:trPr>
        <w:tc>
          <w:tcPr>
            <w:tcW w:w="562" w:type="dxa"/>
            <w:shd w:val="clear" w:color="auto" w:fill="D9D9D9"/>
            <w:vAlign w:val="center"/>
          </w:tcPr>
          <w:p w14:paraId="61FD5393" w14:textId="77777777" w:rsidR="00072693" w:rsidRPr="000C77FA" w:rsidRDefault="00072693" w:rsidP="000C77FA">
            <w:pPr>
              <w:jc w:val="center"/>
              <w:rPr>
                <w:rFonts w:ascii="Palatino Linotype" w:eastAsia="Palatino Linotype" w:hAnsi="Palatino Linotype" w:cs="Palatino Linotype"/>
                <w:b/>
                <w:sz w:val="20"/>
                <w:szCs w:val="20"/>
              </w:rPr>
            </w:pPr>
          </w:p>
        </w:tc>
        <w:tc>
          <w:tcPr>
            <w:tcW w:w="1418" w:type="dxa"/>
          </w:tcPr>
          <w:p w14:paraId="4E7C191A" w14:textId="77777777" w:rsidR="00072693" w:rsidRPr="000C77FA" w:rsidRDefault="00072693" w:rsidP="000C77FA">
            <w:pPr>
              <w:rPr>
                <w:rFonts w:ascii="Palatino Linotype" w:eastAsia="Palatino Linotype" w:hAnsi="Palatino Linotype" w:cs="Palatino Linotype"/>
                <w:b/>
                <w:sz w:val="20"/>
                <w:szCs w:val="20"/>
              </w:rPr>
            </w:pPr>
          </w:p>
          <w:p w14:paraId="09DBC71A"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00211</w:t>
            </w:r>
            <w:r w:rsidRPr="000C77FA">
              <w:rPr>
                <w:rFonts w:ascii="Palatino Linotype" w:eastAsia="Palatino Linotype" w:hAnsi="Palatino Linotype" w:cs="Palatino Linotype"/>
                <w:sz w:val="20"/>
                <w:szCs w:val="20"/>
              </w:rPr>
              <w:t xml:space="preserve"> (0182)</w:t>
            </w:r>
          </w:p>
          <w:p w14:paraId="4F71DCF4" w14:textId="77777777" w:rsidR="00072693" w:rsidRPr="000C77FA" w:rsidRDefault="00072693" w:rsidP="000C77FA">
            <w:pPr>
              <w:rPr>
                <w:rFonts w:ascii="Palatino Linotype" w:eastAsia="Palatino Linotype" w:hAnsi="Palatino Linotype" w:cs="Palatino Linotype"/>
                <w:b/>
                <w:sz w:val="22"/>
                <w:szCs w:val="22"/>
              </w:rPr>
            </w:pPr>
          </w:p>
          <w:p w14:paraId="5E36526F" w14:textId="77777777" w:rsidR="00072693" w:rsidRPr="000C77FA" w:rsidRDefault="00072693" w:rsidP="000C77FA">
            <w:pPr>
              <w:rPr>
                <w:rFonts w:ascii="Palatino Linotype" w:eastAsia="Palatino Linotype" w:hAnsi="Palatino Linotype" w:cs="Palatino Linotype"/>
                <w:b/>
                <w:sz w:val="20"/>
                <w:szCs w:val="20"/>
              </w:rPr>
            </w:pPr>
          </w:p>
        </w:tc>
        <w:tc>
          <w:tcPr>
            <w:tcW w:w="6951" w:type="dxa"/>
          </w:tcPr>
          <w:p w14:paraId="65054556" w14:textId="77777777" w:rsidR="00072693" w:rsidRPr="000C77FA" w:rsidRDefault="00072693" w:rsidP="000C77FA">
            <w:pPr>
              <w:jc w:val="both"/>
              <w:rPr>
                <w:rFonts w:ascii="Palatino Linotype" w:eastAsia="Palatino Linotype" w:hAnsi="Palatino Linotype" w:cs="Palatino Linotype"/>
                <w:i/>
                <w:sz w:val="18"/>
                <w:szCs w:val="18"/>
              </w:rPr>
            </w:pPr>
          </w:p>
          <w:p w14:paraId="1641EC5B"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w:t>
            </w:r>
            <w:r w:rsidRPr="000C77FA">
              <w:t xml:space="preserve"> </w:t>
            </w:r>
            <w:r w:rsidRPr="000C77FA">
              <w:rPr>
                <w:rFonts w:ascii="Palatino Linotype" w:eastAsia="Palatino Linotype" w:hAnsi="Palatino Linotype" w:cs="Palatino Linotype"/>
                <w:i/>
                <w:sz w:val="18"/>
                <w:szCs w:val="18"/>
              </w:rPr>
              <w:t>La respuesta a la solicitud de información 00182/SCTUR/IP/2022</w:t>
            </w:r>
          </w:p>
          <w:p w14:paraId="7A15190D" w14:textId="77777777" w:rsidR="00072693" w:rsidRPr="000C77FA" w:rsidRDefault="00072693" w:rsidP="000C77FA">
            <w:pPr>
              <w:jc w:val="both"/>
              <w:rPr>
                <w:rFonts w:ascii="Palatino Linotype" w:eastAsia="Palatino Linotype" w:hAnsi="Palatino Linotype" w:cs="Palatino Linotype"/>
                <w:i/>
                <w:sz w:val="18"/>
                <w:szCs w:val="18"/>
              </w:rPr>
            </w:pPr>
          </w:p>
          <w:p w14:paraId="166EF831"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RAZONES O MOTIVOS DE LA INCONFORMIDA: 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Ya están archivadas como para ser parte de un expediente que rebasa las 9,250 hojas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 Las anteriores son preguntas que no fueron respondidas independientemente del tema del archivo y su tamaño. La solicitud de información antes referida no puede ser parte de un archivo existente, tal como si lo puede ser los comprobantes y/o facturas. En cuanto a la solicitud de información: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Dirección General de Patrimonio y Servicios Culturales; UIPPE y Subsecretaría de Turismo; del periodo enero-junio 2022. Suponiendo que todas esas áreas tengan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del periodo solicitado (seis meses), el número de hojas que "DICEN" compone el expediente por el tiempo requerido es de 9,250, es decir 2,312 por cada una de las cuatro unidades administrativas, 385 hojas por mes de cada unidad administrativa, 12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i/>
                <w:sz w:val="18"/>
                <w:szCs w:val="18"/>
              </w:rPr>
              <w:t>???</w:t>
            </w:r>
            <w:proofErr w:type="gramEnd"/>
          </w:p>
        </w:tc>
      </w:tr>
    </w:tbl>
    <w:p w14:paraId="00EEC1CB" w14:textId="77777777" w:rsidR="00072693" w:rsidRPr="000C77FA" w:rsidRDefault="00072693" w:rsidP="000C77FA">
      <w:pPr>
        <w:spacing w:line="360" w:lineRule="auto"/>
        <w:jc w:val="both"/>
        <w:rPr>
          <w:rFonts w:ascii="Palatino Linotype" w:eastAsia="Palatino Linotype" w:hAnsi="Palatino Linotype" w:cs="Palatino Linotype"/>
          <w:b/>
        </w:rPr>
      </w:pPr>
    </w:p>
    <w:p w14:paraId="628D2A89"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2. Del turno de los Recursos de Revisión. </w:t>
      </w:r>
      <w:r w:rsidRPr="000C77FA">
        <w:rPr>
          <w:rFonts w:ascii="Palatino Linotype" w:eastAsia="Palatino Linotype" w:hAnsi="Palatino Linotype" w:cs="Palatino Linotype"/>
        </w:rPr>
        <w:t xml:space="preserve">El mismo día en que fueron interpuestos, los recursos se enviaron electrónicamente a este Instituto de Transparencia; y con fundamento en el artículo 185, fracción I de la Ley de Transparencia local, fueron </w:t>
      </w:r>
      <w:r w:rsidRPr="000C77FA">
        <w:rPr>
          <w:rFonts w:ascii="Palatino Linotype" w:eastAsia="Palatino Linotype" w:hAnsi="Palatino Linotype" w:cs="Palatino Linotype"/>
        </w:rPr>
        <w:lastRenderedPageBreak/>
        <w:t xml:space="preserve">turnados a los Comisionados de este Instituto, a efecto de decretar la admisión o </w:t>
      </w:r>
      <w:proofErr w:type="spellStart"/>
      <w:r w:rsidRPr="000C77FA">
        <w:rPr>
          <w:rFonts w:ascii="Palatino Linotype" w:eastAsia="Palatino Linotype" w:hAnsi="Palatino Linotype" w:cs="Palatino Linotype"/>
        </w:rPr>
        <w:t>desechamiento</w:t>
      </w:r>
      <w:proofErr w:type="spellEnd"/>
      <w:r w:rsidRPr="000C77FA">
        <w:rPr>
          <w:rFonts w:ascii="Palatino Linotype" w:eastAsia="Palatino Linotype" w:hAnsi="Palatino Linotype" w:cs="Palatino Linotype"/>
        </w:rPr>
        <w:t xml:space="preserve"> de los mismos, conforme a lo siguiente:</w:t>
      </w:r>
    </w:p>
    <w:p w14:paraId="5CA5C6E6" w14:textId="77777777" w:rsidR="00072693" w:rsidRPr="000C77FA" w:rsidRDefault="00072693" w:rsidP="000C77FA">
      <w:pPr>
        <w:spacing w:line="360" w:lineRule="auto"/>
        <w:jc w:val="both"/>
        <w:rPr>
          <w:rFonts w:ascii="Palatino Linotype" w:eastAsia="Palatino Linotype" w:hAnsi="Palatino Linotype" w:cs="Palatino Linotype"/>
        </w:rPr>
      </w:pPr>
    </w:p>
    <w:tbl>
      <w:tblPr>
        <w:tblStyle w:val="a2"/>
        <w:tblW w:w="53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1436"/>
        <w:gridCol w:w="3402"/>
      </w:tblGrid>
      <w:tr w:rsidR="000C77FA" w:rsidRPr="000C77FA" w14:paraId="746AD2E0" w14:textId="77777777">
        <w:trPr>
          <w:trHeight w:val="454"/>
          <w:jc w:val="center"/>
        </w:trPr>
        <w:tc>
          <w:tcPr>
            <w:tcW w:w="544" w:type="dxa"/>
            <w:shd w:val="clear" w:color="auto" w:fill="D9D9D9"/>
            <w:vAlign w:val="center"/>
          </w:tcPr>
          <w:p w14:paraId="5ECC57E5" w14:textId="77777777" w:rsidR="00072693" w:rsidRPr="000C77FA" w:rsidRDefault="002C1F92" w:rsidP="000C77FA">
            <w:pPr>
              <w:jc w:val="center"/>
              <w:rPr>
                <w:rFonts w:ascii="Palatino Linotype" w:eastAsia="Palatino Linotype" w:hAnsi="Palatino Linotype" w:cs="Palatino Linotype"/>
                <w:b/>
                <w:sz w:val="16"/>
                <w:szCs w:val="16"/>
              </w:rPr>
            </w:pPr>
            <w:bookmarkStart w:id="8" w:name="_heading=h.3dy6vkm" w:colFirst="0" w:colLast="0"/>
            <w:bookmarkEnd w:id="8"/>
            <w:r w:rsidRPr="000C77FA">
              <w:rPr>
                <w:rFonts w:ascii="Palatino Linotype" w:eastAsia="Palatino Linotype" w:hAnsi="Palatino Linotype" w:cs="Palatino Linotype"/>
                <w:b/>
                <w:sz w:val="16"/>
                <w:szCs w:val="16"/>
              </w:rPr>
              <w:t>No.</w:t>
            </w:r>
          </w:p>
        </w:tc>
        <w:tc>
          <w:tcPr>
            <w:tcW w:w="1436" w:type="dxa"/>
            <w:shd w:val="clear" w:color="auto" w:fill="D9D9D9"/>
            <w:vAlign w:val="center"/>
          </w:tcPr>
          <w:p w14:paraId="6054CD12" w14:textId="77777777" w:rsidR="00072693" w:rsidRPr="000C77FA" w:rsidRDefault="002C1F92" w:rsidP="000C77FA">
            <w:pPr>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Recurso</w:t>
            </w:r>
          </w:p>
        </w:tc>
        <w:tc>
          <w:tcPr>
            <w:tcW w:w="3402" w:type="dxa"/>
            <w:shd w:val="clear" w:color="auto" w:fill="D9D9D9"/>
            <w:vAlign w:val="center"/>
          </w:tcPr>
          <w:p w14:paraId="304C266C" w14:textId="77777777" w:rsidR="00072693" w:rsidRPr="000C77FA" w:rsidRDefault="002C1F92" w:rsidP="000C77FA">
            <w:pPr>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Comisionado ponente</w:t>
            </w:r>
          </w:p>
        </w:tc>
      </w:tr>
      <w:tr w:rsidR="000C77FA" w:rsidRPr="000C77FA" w14:paraId="45544154" w14:textId="77777777">
        <w:trPr>
          <w:trHeight w:val="397"/>
          <w:jc w:val="center"/>
        </w:trPr>
        <w:tc>
          <w:tcPr>
            <w:tcW w:w="544" w:type="dxa"/>
            <w:shd w:val="clear" w:color="auto" w:fill="D9D9D9"/>
          </w:tcPr>
          <w:p w14:paraId="4128CCD1"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1</w:t>
            </w:r>
          </w:p>
        </w:tc>
        <w:tc>
          <w:tcPr>
            <w:tcW w:w="1436" w:type="dxa"/>
          </w:tcPr>
          <w:p w14:paraId="55464810"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00207</w:t>
            </w:r>
            <w:r w:rsidRPr="000C77FA">
              <w:rPr>
                <w:rFonts w:ascii="Palatino Linotype" w:eastAsia="Palatino Linotype" w:hAnsi="Palatino Linotype" w:cs="Palatino Linotype"/>
                <w:sz w:val="20"/>
                <w:szCs w:val="20"/>
              </w:rPr>
              <w:t xml:space="preserve"> (00179)</w:t>
            </w:r>
          </w:p>
        </w:tc>
        <w:tc>
          <w:tcPr>
            <w:tcW w:w="3402" w:type="dxa"/>
          </w:tcPr>
          <w:p w14:paraId="04477B5D"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Sharon Cristina Morales Martínez</w:t>
            </w:r>
          </w:p>
        </w:tc>
      </w:tr>
      <w:tr w:rsidR="000C77FA" w:rsidRPr="000C77FA" w14:paraId="7F264B00" w14:textId="77777777">
        <w:trPr>
          <w:trHeight w:val="397"/>
          <w:jc w:val="center"/>
        </w:trPr>
        <w:tc>
          <w:tcPr>
            <w:tcW w:w="544" w:type="dxa"/>
            <w:shd w:val="clear" w:color="auto" w:fill="D9D9D9"/>
          </w:tcPr>
          <w:p w14:paraId="4C5B033D"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2</w:t>
            </w:r>
          </w:p>
        </w:tc>
        <w:tc>
          <w:tcPr>
            <w:tcW w:w="1436" w:type="dxa"/>
          </w:tcPr>
          <w:p w14:paraId="5A981F30" w14:textId="0483745E"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 xml:space="preserve">00208 </w:t>
            </w:r>
            <w:r w:rsidRPr="000C77FA">
              <w:rPr>
                <w:rFonts w:ascii="Palatino Linotype" w:eastAsia="Palatino Linotype" w:hAnsi="Palatino Linotype" w:cs="Palatino Linotype"/>
                <w:sz w:val="20"/>
                <w:szCs w:val="20"/>
              </w:rPr>
              <w:t>(0</w:t>
            </w:r>
            <w:r w:rsidR="00EB3F9F" w:rsidRPr="000C77FA">
              <w:rPr>
                <w:rFonts w:ascii="Palatino Linotype" w:eastAsia="Palatino Linotype" w:hAnsi="Palatino Linotype" w:cs="Palatino Linotype"/>
                <w:sz w:val="20"/>
                <w:szCs w:val="20"/>
              </w:rPr>
              <w:t>0</w:t>
            </w:r>
            <w:r w:rsidRPr="000C77FA">
              <w:rPr>
                <w:rFonts w:ascii="Palatino Linotype" w:eastAsia="Palatino Linotype" w:hAnsi="Palatino Linotype" w:cs="Palatino Linotype"/>
                <w:sz w:val="20"/>
                <w:szCs w:val="20"/>
              </w:rPr>
              <w:t>180)</w:t>
            </w:r>
          </w:p>
        </w:tc>
        <w:tc>
          <w:tcPr>
            <w:tcW w:w="3402" w:type="dxa"/>
          </w:tcPr>
          <w:p w14:paraId="18F16116"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María Del Rosario Mejía Ayala</w:t>
            </w:r>
          </w:p>
        </w:tc>
      </w:tr>
      <w:tr w:rsidR="000C77FA" w:rsidRPr="000C77FA" w14:paraId="61C60A32" w14:textId="77777777">
        <w:trPr>
          <w:trHeight w:val="397"/>
          <w:jc w:val="center"/>
        </w:trPr>
        <w:tc>
          <w:tcPr>
            <w:tcW w:w="544" w:type="dxa"/>
            <w:shd w:val="clear" w:color="auto" w:fill="D9D9D9"/>
          </w:tcPr>
          <w:p w14:paraId="7B18402C"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3</w:t>
            </w:r>
          </w:p>
        </w:tc>
        <w:tc>
          <w:tcPr>
            <w:tcW w:w="1436" w:type="dxa"/>
          </w:tcPr>
          <w:p w14:paraId="6C62DDE1" w14:textId="4213EA2D"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00210</w:t>
            </w:r>
            <w:r w:rsidRPr="000C77FA">
              <w:rPr>
                <w:rFonts w:ascii="Palatino Linotype" w:eastAsia="Palatino Linotype" w:hAnsi="Palatino Linotype" w:cs="Palatino Linotype"/>
                <w:sz w:val="20"/>
                <w:szCs w:val="20"/>
              </w:rPr>
              <w:t xml:space="preserve"> (0</w:t>
            </w:r>
            <w:r w:rsidR="00EB3F9F" w:rsidRPr="000C77FA">
              <w:rPr>
                <w:rFonts w:ascii="Palatino Linotype" w:eastAsia="Palatino Linotype" w:hAnsi="Palatino Linotype" w:cs="Palatino Linotype"/>
                <w:sz w:val="20"/>
                <w:szCs w:val="20"/>
              </w:rPr>
              <w:t>0</w:t>
            </w:r>
            <w:r w:rsidRPr="000C77FA">
              <w:rPr>
                <w:rFonts w:ascii="Palatino Linotype" w:eastAsia="Palatino Linotype" w:hAnsi="Palatino Linotype" w:cs="Palatino Linotype"/>
                <w:sz w:val="20"/>
                <w:szCs w:val="20"/>
              </w:rPr>
              <w:t>181)</w:t>
            </w:r>
          </w:p>
        </w:tc>
        <w:tc>
          <w:tcPr>
            <w:tcW w:w="3402" w:type="dxa"/>
          </w:tcPr>
          <w:p w14:paraId="27E6F15B"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José Martínez Vilchis</w:t>
            </w:r>
          </w:p>
        </w:tc>
      </w:tr>
      <w:tr w:rsidR="000C77FA" w:rsidRPr="000C77FA" w14:paraId="7B414AF2" w14:textId="77777777">
        <w:trPr>
          <w:trHeight w:val="397"/>
          <w:jc w:val="center"/>
        </w:trPr>
        <w:tc>
          <w:tcPr>
            <w:tcW w:w="544" w:type="dxa"/>
            <w:shd w:val="clear" w:color="auto" w:fill="D9D9D9"/>
          </w:tcPr>
          <w:p w14:paraId="05820DB7"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4</w:t>
            </w:r>
          </w:p>
        </w:tc>
        <w:tc>
          <w:tcPr>
            <w:tcW w:w="1436" w:type="dxa"/>
          </w:tcPr>
          <w:p w14:paraId="6954C805" w14:textId="110BAAC0"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00211</w:t>
            </w:r>
            <w:r w:rsidRPr="000C77FA">
              <w:rPr>
                <w:rFonts w:ascii="Palatino Linotype" w:eastAsia="Palatino Linotype" w:hAnsi="Palatino Linotype" w:cs="Palatino Linotype"/>
                <w:sz w:val="20"/>
                <w:szCs w:val="20"/>
              </w:rPr>
              <w:t xml:space="preserve"> (0</w:t>
            </w:r>
            <w:r w:rsidR="00EB3F9F" w:rsidRPr="000C77FA">
              <w:rPr>
                <w:rFonts w:ascii="Palatino Linotype" w:eastAsia="Palatino Linotype" w:hAnsi="Palatino Linotype" w:cs="Palatino Linotype"/>
                <w:sz w:val="20"/>
                <w:szCs w:val="20"/>
              </w:rPr>
              <w:t>0</w:t>
            </w:r>
            <w:r w:rsidRPr="000C77FA">
              <w:rPr>
                <w:rFonts w:ascii="Palatino Linotype" w:eastAsia="Palatino Linotype" w:hAnsi="Palatino Linotype" w:cs="Palatino Linotype"/>
                <w:sz w:val="20"/>
                <w:szCs w:val="20"/>
              </w:rPr>
              <w:t>182)</w:t>
            </w:r>
          </w:p>
        </w:tc>
        <w:tc>
          <w:tcPr>
            <w:tcW w:w="3402" w:type="dxa"/>
          </w:tcPr>
          <w:p w14:paraId="748A5DE7"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Luis Gustavo Parra Noriega</w:t>
            </w:r>
          </w:p>
        </w:tc>
      </w:tr>
    </w:tbl>
    <w:p w14:paraId="12E512A3" w14:textId="77777777" w:rsidR="00072693" w:rsidRPr="000C77FA" w:rsidRDefault="00072693" w:rsidP="000C77FA">
      <w:pPr>
        <w:tabs>
          <w:tab w:val="center" w:pos="4252"/>
          <w:tab w:val="right" w:pos="8504"/>
        </w:tabs>
        <w:spacing w:line="360" w:lineRule="auto"/>
        <w:jc w:val="both"/>
        <w:rPr>
          <w:rFonts w:ascii="Palatino Linotype" w:eastAsia="Palatino Linotype" w:hAnsi="Palatino Linotype" w:cs="Palatino Linotype"/>
          <w:b/>
        </w:rPr>
      </w:pPr>
    </w:p>
    <w:p w14:paraId="7908C044" w14:textId="77777777" w:rsidR="00072693" w:rsidRPr="000C77FA" w:rsidRDefault="002C1F92" w:rsidP="000C77FA">
      <w:pPr>
        <w:tabs>
          <w:tab w:val="center" w:pos="4252"/>
          <w:tab w:val="right" w:pos="8504"/>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3. Admisiones de los Recursos de Revisión. </w:t>
      </w:r>
      <w:r w:rsidRPr="000C77FA">
        <w:rPr>
          <w:rFonts w:ascii="Palatino Linotype" w:eastAsia="Palatino Linotype" w:hAnsi="Palatino Linotype" w:cs="Palatino Linotype"/>
        </w:rPr>
        <w:t xml:space="preserve">En diversos días se acordó la admisión a trámite de los Recursos de Revisión que nos ocupan, así como la integración de los expedientes respectivos, mismos que se pusieron a disposición de las partes, para que en un plazo máximo de siete días hábiles </w:t>
      </w:r>
      <w:r w:rsidRPr="000C77FA">
        <w:rPr>
          <w:rFonts w:ascii="Palatino Linotype" w:eastAsia="Palatino Linotype" w:hAnsi="Palatino Linotype" w:cs="Palatino Linotype"/>
          <w:b/>
        </w:rPr>
        <w:t xml:space="preserve">EL RECURRENTE </w:t>
      </w:r>
      <w:r w:rsidRPr="000C77FA">
        <w:rPr>
          <w:rFonts w:ascii="Palatino Linotype" w:eastAsia="Palatino Linotype" w:hAnsi="Palatino Linotype" w:cs="Palatino Linotype"/>
        </w:rPr>
        <w:t xml:space="preserve">manifestara lo que a su derecho conviniera; así como para que </w:t>
      </w:r>
      <w:r w:rsidRPr="000C77FA">
        <w:rPr>
          <w:rFonts w:ascii="Palatino Linotype" w:eastAsia="Palatino Linotype" w:hAnsi="Palatino Linotype" w:cs="Palatino Linotype"/>
          <w:b/>
        </w:rPr>
        <w:t xml:space="preserve">EL SUJETO OBLIGADO </w:t>
      </w:r>
      <w:r w:rsidRPr="000C77FA">
        <w:rPr>
          <w:rFonts w:ascii="Palatino Linotype" w:eastAsia="Palatino Linotype" w:hAnsi="Palatino Linotype" w:cs="Palatino Linotype"/>
        </w:rPr>
        <w:t>rindiera los Informes Justificados correspondientes; lo anterior, conforme a lo dispuesto por el artículo 185 de la Ley de Transparencia local, en los siguientes términos:</w:t>
      </w:r>
    </w:p>
    <w:p w14:paraId="5FC4F4BA" w14:textId="77777777" w:rsidR="00072693" w:rsidRPr="000C77FA" w:rsidRDefault="00072693" w:rsidP="000C77FA">
      <w:pPr>
        <w:tabs>
          <w:tab w:val="center" w:pos="4252"/>
          <w:tab w:val="right" w:pos="8504"/>
        </w:tabs>
        <w:spacing w:line="360" w:lineRule="auto"/>
        <w:jc w:val="both"/>
        <w:rPr>
          <w:rFonts w:ascii="Palatino Linotype" w:eastAsia="Palatino Linotype" w:hAnsi="Palatino Linotype" w:cs="Palatino Linotype"/>
        </w:rPr>
      </w:pPr>
    </w:p>
    <w:tbl>
      <w:tblPr>
        <w:tblStyle w:val="a3"/>
        <w:tblW w:w="39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4"/>
        <w:gridCol w:w="1578"/>
        <w:gridCol w:w="1842"/>
      </w:tblGrid>
      <w:tr w:rsidR="000C77FA" w:rsidRPr="000C77FA" w14:paraId="36ADDC54" w14:textId="77777777">
        <w:trPr>
          <w:trHeight w:val="454"/>
          <w:tblHeader/>
          <w:jc w:val="center"/>
        </w:trPr>
        <w:tc>
          <w:tcPr>
            <w:tcW w:w="544" w:type="dxa"/>
            <w:shd w:val="clear" w:color="auto" w:fill="D9D9D9"/>
          </w:tcPr>
          <w:p w14:paraId="21ED5F82" w14:textId="77777777" w:rsidR="00072693" w:rsidRPr="000C77FA" w:rsidRDefault="002C1F92" w:rsidP="000C77FA">
            <w:pPr>
              <w:ind w:left="-12"/>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No.</w:t>
            </w:r>
          </w:p>
        </w:tc>
        <w:tc>
          <w:tcPr>
            <w:tcW w:w="1578" w:type="dxa"/>
            <w:shd w:val="clear" w:color="auto" w:fill="D9D9D9"/>
          </w:tcPr>
          <w:p w14:paraId="2A75D332"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Recurso</w:t>
            </w:r>
          </w:p>
        </w:tc>
        <w:tc>
          <w:tcPr>
            <w:tcW w:w="1842" w:type="dxa"/>
            <w:shd w:val="clear" w:color="auto" w:fill="D9D9D9"/>
          </w:tcPr>
          <w:p w14:paraId="0533FE42" w14:textId="77777777" w:rsidR="00072693" w:rsidRPr="000C77FA" w:rsidRDefault="002C1F92" w:rsidP="000C77FA">
            <w:pPr>
              <w:jc w:val="center"/>
              <w:rPr>
                <w:rFonts w:ascii="Palatino Linotype" w:eastAsia="Palatino Linotype" w:hAnsi="Palatino Linotype" w:cs="Palatino Linotype"/>
                <w:b/>
                <w:sz w:val="19"/>
                <w:szCs w:val="19"/>
              </w:rPr>
            </w:pPr>
            <w:r w:rsidRPr="000C77FA">
              <w:rPr>
                <w:rFonts w:ascii="Palatino Linotype" w:eastAsia="Palatino Linotype" w:hAnsi="Palatino Linotype" w:cs="Palatino Linotype"/>
                <w:b/>
                <w:sz w:val="19"/>
                <w:szCs w:val="19"/>
              </w:rPr>
              <w:t>Fecha de admisión</w:t>
            </w:r>
          </w:p>
        </w:tc>
      </w:tr>
      <w:tr w:rsidR="000C77FA" w:rsidRPr="000C77FA" w14:paraId="1D7327DE" w14:textId="77777777">
        <w:trPr>
          <w:trHeight w:val="454"/>
          <w:jc w:val="center"/>
        </w:trPr>
        <w:tc>
          <w:tcPr>
            <w:tcW w:w="544" w:type="dxa"/>
            <w:shd w:val="clear" w:color="auto" w:fill="D9D9D9"/>
          </w:tcPr>
          <w:p w14:paraId="46EA5EC1"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1</w:t>
            </w:r>
          </w:p>
        </w:tc>
        <w:tc>
          <w:tcPr>
            <w:tcW w:w="1578" w:type="dxa"/>
          </w:tcPr>
          <w:p w14:paraId="2841DC98"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00207</w:t>
            </w:r>
            <w:r w:rsidRPr="000C77FA">
              <w:rPr>
                <w:rFonts w:ascii="Palatino Linotype" w:eastAsia="Palatino Linotype" w:hAnsi="Palatino Linotype" w:cs="Palatino Linotype"/>
                <w:sz w:val="20"/>
                <w:szCs w:val="20"/>
              </w:rPr>
              <w:t xml:space="preserve"> </w:t>
            </w:r>
            <w:r w:rsidRPr="000C77FA">
              <w:rPr>
                <w:rFonts w:ascii="Palatino Linotype" w:eastAsia="Palatino Linotype" w:hAnsi="Palatino Linotype" w:cs="Palatino Linotype"/>
                <w:sz w:val="16"/>
                <w:szCs w:val="16"/>
              </w:rPr>
              <w:t>(00179)</w:t>
            </w:r>
          </w:p>
        </w:tc>
        <w:tc>
          <w:tcPr>
            <w:tcW w:w="1842" w:type="dxa"/>
          </w:tcPr>
          <w:p w14:paraId="01B87BD4" w14:textId="77777777" w:rsidR="00072693" w:rsidRPr="000C77FA" w:rsidRDefault="002C1F92" w:rsidP="000C77FA">
            <w:pPr>
              <w:jc w:val="center"/>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13-01-2023</w:t>
            </w:r>
          </w:p>
        </w:tc>
      </w:tr>
      <w:tr w:rsidR="000C77FA" w:rsidRPr="000C77FA" w14:paraId="5E906FD8" w14:textId="77777777">
        <w:trPr>
          <w:trHeight w:val="454"/>
          <w:jc w:val="center"/>
        </w:trPr>
        <w:tc>
          <w:tcPr>
            <w:tcW w:w="544" w:type="dxa"/>
            <w:shd w:val="clear" w:color="auto" w:fill="D9D9D9"/>
          </w:tcPr>
          <w:p w14:paraId="65CD3DCD"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2</w:t>
            </w:r>
          </w:p>
        </w:tc>
        <w:tc>
          <w:tcPr>
            <w:tcW w:w="1578" w:type="dxa"/>
          </w:tcPr>
          <w:p w14:paraId="0DC8BD43" w14:textId="69F2754C"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 xml:space="preserve">00208 </w:t>
            </w:r>
            <w:r w:rsidRPr="000C77FA">
              <w:rPr>
                <w:rFonts w:ascii="Palatino Linotype" w:eastAsia="Palatino Linotype" w:hAnsi="Palatino Linotype" w:cs="Palatino Linotype"/>
                <w:sz w:val="16"/>
                <w:szCs w:val="16"/>
              </w:rPr>
              <w:t>(0</w:t>
            </w:r>
            <w:r w:rsidR="005B6C4C" w:rsidRPr="000C77FA">
              <w:rPr>
                <w:rFonts w:ascii="Palatino Linotype" w:eastAsia="Palatino Linotype" w:hAnsi="Palatino Linotype" w:cs="Palatino Linotype"/>
                <w:sz w:val="16"/>
                <w:szCs w:val="16"/>
              </w:rPr>
              <w:t>0</w:t>
            </w:r>
            <w:r w:rsidRPr="000C77FA">
              <w:rPr>
                <w:rFonts w:ascii="Palatino Linotype" w:eastAsia="Palatino Linotype" w:hAnsi="Palatino Linotype" w:cs="Palatino Linotype"/>
                <w:sz w:val="16"/>
                <w:szCs w:val="16"/>
              </w:rPr>
              <w:t>180)</w:t>
            </w:r>
          </w:p>
        </w:tc>
        <w:tc>
          <w:tcPr>
            <w:tcW w:w="1842" w:type="dxa"/>
          </w:tcPr>
          <w:p w14:paraId="69117A5F" w14:textId="77777777" w:rsidR="00072693" w:rsidRPr="000C77FA" w:rsidRDefault="002C1F92" w:rsidP="000C77FA">
            <w:pPr>
              <w:jc w:val="center"/>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18-01-2023</w:t>
            </w:r>
          </w:p>
        </w:tc>
      </w:tr>
      <w:tr w:rsidR="000C77FA" w:rsidRPr="000C77FA" w14:paraId="2D49D713" w14:textId="77777777">
        <w:trPr>
          <w:trHeight w:val="454"/>
          <w:jc w:val="center"/>
        </w:trPr>
        <w:tc>
          <w:tcPr>
            <w:tcW w:w="544" w:type="dxa"/>
            <w:shd w:val="clear" w:color="auto" w:fill="D9D9D9"/>
          </w:tcPr>
          <w:p w14:paraId="661F896F"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3</w:t>
            </w:r>
          </w:p>
        </w:tc>
        <w:tc>
          <w:tcPr>
            <w:tcW w:w="1578" w:type="dxa"/>
          </w:tcPr>
          <w:p w14:paraId="62E84A9A" w14:textId="158AE62A"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00210</w:t>
            </w:r>
            <w:r w:rsidRPr="000C77FA">
              <w:rPr>
                <w:rFonts w:ascii="Palatino Linotype" w:eastAsia="Palatino Linotype" w:hAnsi="Palatino Linotype" w:cs="Palatino Linotype"/>
                <w:sz w:val="20"/>
                <w:szCs w:val="20"/>
              </w:rPr>
              <w:t xml:space="preserve"> </w:t>
            </w:r>
            <w:r w:rsidRPr="000C77FA">
              <w:rPr>
                <w:rFonts w:ascii="Palatino Linotype" w:eastAsia="Palatino Linotype" w:hAnsi="Palatino Linotype" w:cs="Palatino Linotype"/>
                <w:sz w:val="16"/>
                <w:szCs w:val="16"/>
              </w:rPr>
              <w:t>(0</w:t>
            </w:r>
            <w:r w:rsidR="005B6C4C" w:rsidRPr="000C77FA">
              <w:rPr>
                <w:rFonts w:ascii="Palatino Linotype" w:eastAsia="Palatino Linotype" w:hAnsi="Palatino Linotype" w:cs="Palatino Linotype"/>
                <w:sz w:val="16"/>
                <w:szCs w:val="16"/>
              </w:rPr>
              <w:t>0</w:t>
            </w:r>
            <w:r w:rsidRPr="000C77FA">
              <w:rPr>
                <w:rFonts w:ascii="Palatino Linotype" w:eastAsia="Palatino Linotype" w:hAnsi="Palatino Linotype" w:cs="Palatino Linotype"/>
                <w:sz w:val="16"/>
                <w:szCs w:val="16"/>
              </w:rPr>
              <w:t>181)</w:t>
            </w:r>
          </w:p>
        </w:tc>
        <w:tc>
          <w:tcPr>
            <w:tcW w:w="1842" w:type="dxa"/>
          </w:tcPr>
          <w:p w14:paraId="0482E9A3" w14:textId="77777777" w:rsidR="00072693" w:rsidRPr="000C77FA" w:rsidRDefault="002C1F92" w:rsidP="000C77FA">
            <w:pPr>
              <w:jc w:val="center"/>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18-01-2023</w:t>
            </w:r>
          </w:p>
        </w:tc>
      </w:tr>
      <w:tr w:rsidR="000C77FA" w:rsidRPr="000C77FA" w14:paraId="707C18CE" w14:textId="77777777">
        <w:trPr>
          <w:trHeight w:val="454"/>
          <w:jc w:val="center"/>
        </w:trPr>
        <w:tc>
          <w:tcPr>
            <w:tcW w:w="544" w:type="dxa"/>
            <w:shd w:val="clear" w:color="auto" w:fill="D9D9D9"/>
          </w:tcPr>
          <w:p w14:paraId="04CCCAF9" w14:textId="77777777" w:rsidR="00072693" w:rsidRPr="000C77FA" w:rsidRDefault="002C1F92" w:rsidP="000C77FA">
            <w:pPr>
              <w:jc w:val="center"/>
              <w:rPr>
                <w:rFonts w:ascii="Palatino Linotype" w:eastAsia="Palatino Linotype" w:hAnsi="Palatino Linotype" w:cs="Palatino Linotype"/>
                <w:b/>
                <w:sz w:val="16"/>
                <w:szCs w:val="16"/>
              </w:rPr>
            </w:pPr>
            <w:r w:rsidRPr="000C77FA">
              <w:rPr>
                <w:rFonts w:ascii="Palatino Linotype" w:eastAsia="Palatino Linotype" w:hAnsi="Palatino Linotype" w:cs="Palatino Linotype"/>
                <w:b/>
                <w:sz w:val="16"/>
                <w:szCs w:val="16"/>
              </w:rPr>
              <w:t>4</w:t>
            </w:r>
          </w:p>
        </w:tc>
        <w:tc>
          <w:tcPr>
            <w:tcW w:w="1578" w:type="dxa"/>
          </w:tcPr>
          <w:p w14:paraId="3F93687B" w14:textId="0CAC8EE9"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00211</w:t>
            </w:r>
            <w:r w:rsidRPr="000C77FA">
              <w:rPr>
                <w:rFonts w:ascii="Palatino Linotype" w:eastAsia="Palatino Linotype" w:hAnsi="Palatino Linotype" w:cs="Palatino Linotype"/>
                <w:sz w:val="20"/>
                <w:szCs w:val="20"/>
              </w:rPr>
              <w:t xml:space="preserve"> </w:t>
            </w:r>
            <w:r w:rsidRPr="000C77FA">
              <w:rPr>
                <w:rFonts w:ascii="Palatino Linotype" w:eastAsia="Palatino Linotype" w:hAnsi="Palatino Linotype" w:cs="Palatino Linotype"/>
                <w:sz w:val="16"/>
                <w:szCs w:val="16"/>
              </w:rPr>
              <w:t>(0</w:t>
            </w:r>
            <w:r w:rsidR="005B6C4C" w:rsidRPr="000C77FA">
              <w:rPr>
                <w:rFonts w:ascii="Palatino Linotype" w:eastAsia="Palatino Linotype" w:hAnsi="Palatino Linotype" w:cs="Palatino Linotype"/>
                <w:sz w:val="16"/>
                <w:szCs w:val="16"/>
              </w:rPr>
              <w:t>0</w:t>
            </w:r>
            <w:r w:rsidRPr="000C77FA">
              <w:rPr>
                <w:rFonts w:ascii="Palatino Linotype" w:eastAsia="Palatino Linotype" w:hAnsi="Palatino Linotype" w:cs="Palatino Linotype"/>
                <w:sz w:val="16"/>
                <w:szCs w:val="16"/>
              </w:rPr>
              <w:t>182)</w:t>
            </w:r>
          </w:p>
        </w:tc>
        <w:tc>
          <w:tcPr>
            <w:tcW w:w="1842" w:type="dxa"/>
          </w:tcPr>
          <w:p w14:paraId="151C0F1A" w14:textId="77777777" w:rsidR="00072693" w:rsidRPr="000C77FA" w:rsidRDefault="002C1F92" w:rsidP="000C77FA">
            <w:pPr>
              <w:jc w:val="center"/>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17-01-2023</w:t>
            </w:r>
          </w:p>
        </w:tc>
      </w:tr>
    </w:tbl>
    <w:p w14:paraId="63D09829" w14:textId="2473199D" w:rsidR="00072693" w:rsidRPr="000C77FA" w:rsidRDefault="00072693" w:rsidP="000C77FA">
      <w:pPr>
        <w:widowControl w:val="0"/>
        <w:tabs>
          <w:tab w:val="left" w:pos="0"/>
        </w:tabs>
        <w:spacing w:line="360" w:lineRule="auto"/>
        <w:jc w:val="both"/>
        <w:rPr>
          <w:rFonts w:ascii="Palatino Linotype" w:eastAsia="Palatino Linotype" w:hAnsi="Palatino Linotype" w:cs="Palatino Linotype"/>
          <w:b/>
        </w:rPr>
      </w:pPr>
    </w:p>
    <w:p w14:paraId="6EAA5D5F" w14:textId="77777777" w:rsidR="000C77FA" w:rsidRPr="000C77FA" w:rsidRDefault="000C77FA" w:rsidP="000C77FA">
      <w:pPr>
        <w:widowControl w:val="0"/>
        <w:tabs>
          <w:tab w:val="left" w:pos="0"/>
        </w:tabs>
        <w:spacing w:line="360" w:lineRule="auto"/>
        <w:jc w:val="both"/>
        <w:rPr>
          <w:rFonts w:ascii="Palatino Linotype" w:eastAsia="Palatino Linotype" w:hAnsi="Palatino Linotype" w:cs="Palatino Linotype"/>
          <w:b/>
        </w:rPr>
      </w:pPr>
    </w:p>
    <w:p w14:paraId="546A4A84" w14:textId="77777777" w:rsidR="00072693" w:rsidRPr="000C77FA" w:rsidRDefault="002C1F92" w:rsidP="000C77FA">
      <w:pPr>
        <w:widowControl w:val="0"/>
        <w:tabs>
          <w:tab w:val="left" w:pos="0"/>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lastRenderedPageBreak/>
        <w:t xml:space="preserve">4. Manifestaciones e Informes Justificados. </w:t>
      </w:r>
      <w:r w:rsidRPr="000C77FA">
        <w:rPr>
          <w:rFonts w:ascii="Palatino Linotype" w:eastAsia="Palatino Linotype" w:hAnsi="Palatino Linotype" w:cs="Palatino Linotype"/>
        </w:rPr>
        <w:t>Conforme a lo dispuesto en el artículo 185 de la Ley de Transparencia local, dentro del término legalmente concedido a</w:t>
      </w:r>
      <w:r w:rsidRPr="000C77FA">
        <w:rPr>
          <w:rFonts w:ascii="Palatino Linotype" w:eastAsia="Palatino Linotype" w:hAnsi="Palatino Linotype" w:cs="Palatino Linotype"/>
          <w:b/>
        </w:rPr>
        <w:t xml:space="preserve"> EL RECURRENTE</w:t>
      </w:r>
      <w:r w:rsidRPr="000C77FA">
        <w:rPr>
          <w:rFonts w:ascii="Palatino Linotype" w:eastAsia="Palatino Linotype" w:hAnsi="Palatino Linotype" w:cs="Palatino Linotype"/>
        </w:rPr>
        <w:t xml:space="preserve">, se advierte que no realizó manifestación alguna, por su parte, </w:t>
      </w:r>
      <w:r w:rsidRPr="000C77FA">
        <w:rPr>
          <w:rFonts w:ascii="Palatino Linotype" w:eastAsia="Palatino Linotype" w:hAnsi="Palatino Linotype" w:cs="Palatino Linotype"/>
          <w:b/>
        </w:rPr>
        <w:t xml:space="preserve">EL SUJETO OBLIGADO </w:t>
      </w:r>
      <w:r w:rsidRPr="000C77FA">
        <w:rPr>
          <w:rFonts w:ascii="Palatino Linotype" w:eastAsia="Palatino Linotype" w:hAnsi="Palatino Linotype" w:cs="Palatino Linotype"/>
        </w:rPr>
        <w:t>rindió sus Informes Justificados en los términos siguientes:</w:t>
      </w:r>
    </w:p>
    <w:tbl>
      <w:tblPr>
        <w:tblStyle w:val="a4"/>
        <w:tblW w:w="509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1418"/>
        <w:gridCol w:w="3118"/>
      </w:tblGrid>
      <w:tr w:rsidR="000C77FA" w:rsidRPr="000C77FA" w14:paraId="726EBB98" w14:textId="77777777">
        <w:trPr>
          <w:trHeight w:val="436"/>
          <w:tblHeader/>
          <w:jc w:val="center"/>
        </w:trPr>
        <w:tc>
          <w:tcPr>
            <w:tcW w:w="562" w:type="dxa"/>
            <w:shd w:val="clear" w:color="auto" w:fill="D9D9D9"/>
            <w:vAlign w:val="center"/>
          </w:tcPr>
          <w:p w14:paraId="0CB979D5"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No.</w:t>
            </w:r>
          </w:p>
        </w:tc>
        <w:tc>
          <w:tcPr>
            <w:tcW w:w="1418" w:type="dxa"/>
            <w:shd w:val="clear" w:color="auto" w:fill="D9D9D9"/>
            <w:vAlign w:val="center"/>
          </w:tcPr>
          <w:p w14:paraId="4283859E"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Recurso de Revisión</w:t>
            </w:r>
          </w:p>
        </w:tc>
        <w:tc>
          <w:tcPr>
            <w:tcW w:w="3118" w:type="dxa"/>
            <w:shd w:val="clear" w:color="auto" w:fill="D9D9D9"/>
            <w:vAlign w:val="center"/>
          </w:tcPr>
          <w:p w14:paraId="4AA9E2CD" w14:textId="77777777" w:rsidR="00072693" w:rsidRPr="000C77FA" w:rsidRDefault="002C1F92" w:rsidP="000C77FA">
            <w:pPr>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Informe Justificado</w:t>
            </w:r>
          </w:p>
        </w:tc>
      </w:tr>
      <w:tr w:rsidR="000C77FA" w:rsidRPr="000C77FA" w14:paraId="6ABB9F11" w14:textId="77777777">
        <w:trPr>
          <w:jc w:val="center"/>
        </w:trPr>
        <w:tc>
          <w:tcPr>
            <w:tcW w:w="562" w:type="dxa"/>
            <w:shd w:val="clear" w:color="auto" w:fill="D9D9D9"/>
            <w:vAlign w:val="center"/>
          </w:tcPr>
          <w:p w14:paraId="1D1FB05B"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1</w:t>
            </w:r>
          </w:p>
        </w:tc>
        <w:tc>
          <w:tcPr>
            <w:tcW w:w="1418" w:type="dxa"/>
          </w:tcPr>
          <w:p w14:paraId="63BD4988"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00207</w:t>
            </w:r>
            <w:r w:rsidRPr="000C77FA">
              <w:rPr>
                <w:rFonts w:ascii="Palatino Linotype" w:eastAsia="Palatino Linotype" w:hAnsi="Palatino Linotype" w:cs="Palatino Linotype"/>
                <w:sz w:val="20"/>
                <w:szCs w:val="20"/>
              </w:rPr>
              <w:t xml:space="preserve"> (00179)</w:t>
            </w:r>
          </w:p>
        </w:tc>
        <w:tc>
          <w:tcPr>
            <w:tcW w:w="3118" w:type="dxa"/>
          </w:tcPr>
          <w:p w14:paraId="6FBAC244"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El Coordinador Administrativo, ratifica su respuesta.</w:t>
            </w:r>
          </w:p>
        </w:tc>
      </w:tr>
      <w:tr w:rsidR="000C77FA" w:rsidRPr="000C77FA" w14:paraId="42559201" w14:textId="77777777">
        <w:trPr>
          <w:jc w:val="center"/>
        </w:trPr>
        <w:tc>
          <w:tcPr>
            <w:tcW w:w="562" w:type="dxa"/>
            <w:shd w:val="clear" w:color="auto" w:fill="D9D9D9"/>
            <w:vAlign w:val="center"/>
          </w:tcPr>
          <w:p w14:paraId="3AD22C76"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2</w:t>
            </w:r>
          </w:p>
        </w:tc>
        <w:tc>
          <w:tcPr>
            <w:tcW w:w="1418" w:type="dxa"/>
          </w:tcPr>
          <w:p w14:paraId="2C008A2D" w14:textId="52F33638"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 xml:space="preserve">00208 </w:t>
            </w:r>
            <w:r w:rsidRPr="000C77FA">
              <w:rPr>
                <w:rFonts w:ascii="Palatino Linotype" w:eastAsia="Palatino Linotype" w:hAnsi="Palatino Linotype" w:cs="Palatino Linotype"/>
                <w:sz w:val="20"/>
                <w:szCs w:val="20"/>
              </w:rPr>
              <w:t>(0</w:t>
            </w:r>
            <w:r w:rsidR="005B6C4C" w:rsidRPr="000C77FA">
              <w:rPr>
                <w:rFonts w:ascii="Palatino Linotype" w:eastAsia="Palatino Linotype" w:hAnsi="Palatino Linotype" w:cs="Palatino Linotype"/>
                <w:sz w:val="20"/>
                <w:szCs w:val="20"/>
              </w:rPr>
              <w:t>0</w:t>
            </w:r>
            <w:r w:rsidRPr="000C77FA">
              <w:rPr>
                <w:rFonts w:ascii="Palatino Linotype" w:eastAsia="Palatino Linotype" w:hAnsi="Palatino Linotype" w:cs="Palatino Linotype"/>
                <w:sz w:val="20"/>
                <w:szCs w:val="20"/>
              </w:rPr>
              <w:t>180)</w:t>
            </w:r>
          </w:p>
        </w:tc>
        <w:tc>
          <w:tcPr>
            <w:tcW w:w="3118" w:type="dxa"/>
          </w:tcPr>
          <w:p w14:paraId="2BC1BBFD"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El Coordinador Administrativo, ratifica su respuesta.</w:t>
            </w:r>
          </w:p>
        </w:tc>
      </w:tr>
      <w:tr w:rsidR="000C77FA" w:rsidRPr="000C77FA" w14:paraId="2AA6D933" w14:textId="77777777">
        <w:trPr>
          <w:jc w:val="center"/>
        </w:trPr>
        <w:tc>
          <w:tcPr>
            <w:tcW w:w="562" w:type="dxa"/>
            <w:shd w:val="clear" w:color="auto" w:fill="D9D9D9"/>
            <w:vAlign w:val="center"/>
          </w:tcPr>
          <w:p w14:paraId="67CF19EF"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3</w:t>
            </w:r>
          </w:p>
        </w:tc>
        <w:tc>
          <w:tcPr>
            <w:tcW w:w="1418" w:type="dxa"/>
          </w:tcPr>
          <w:p w14:paraId="0F22E368" w14:textId="5773D750"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00210</w:t>
            </w:r>
            <w:r w:rsidRPr="000C77FA">
              <w:rPr>
                <w:rFonts w:ascii="Palatino Linotype" w:eastAsia="Palatino Linotype" w:hAnsi="Palatino Linotype" w:cs="Palatino Linotype"/>
                <w:sz w:val="20"/>
                <w:szCs w:val="20"/>
              </w:rPr>
              <w:t xml:space="preserve"> (0</w:t>
            </w:r>
            <w:r w:rsidR="005B6C4C" w:rsidRPr="000C77FA">
              <w:rPr>
                <w:rFonts w:ascii="Palatino Linotype" w:eastAsia="Palatino Linotype" w:hAnsi="Palatino Linotype" w:cs="Palatino Linotype"/>
                <w:sz w:val="20"/>
                <w:szCs w:val="20"/>
              </w:rPr>
              <w:t>0</w:t>
            </w:r>
            <w:r w:rsidRPr="000C77FA">
              <w:rPr>
                <w:rFonts w:ascii="Palatino Linotype" w:eastAsia="Palatino Linotype" w:hAnsi="Palatino Linotype" w:cs="Palatino Linotype"/>
                <w:sz w:val="20"/>
                <w:szCs w:val="20"/>
              </w:rPr>
              <w:t>181)</w:t>
            </w:r>
          </w:p>
        </w:tc>
        <w:tc>
          <w:tcPr>
            <w:tcW w:w="3118" w:type="dxa"/>
          </w:tcPr>
          <w:p w14:paraId="487AD0BE"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El Coordinador Administrativo, ratifica su respuesta.</w:t>
            </w:r>
          </w:p>
        </w:tc>
      </w:tr>
      <w:tr w:rsidR="000C77FA" w:rsidRPr="000C77FA" w14:paraId="42EDE986" w14:textId="77777777">
        <w:trPr>
          <w:jc w:val="center"/>
        </w:trPr>
        <w:tc>
          <w:tcPr>
            <w:tcW w:w="562" w:type="dxa"/>
            <w:shd w:val="clear" w:color="auto" w:fill="D9D9D9"/>
            <w:vAlign w:val="center"/>
          </w:tcPr>
          <w:p w14:paraId="5DE73AA3"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4</w:t>
            </w:r>
          </w:p>
        </w:tc>
        <w:tc>
          <w:tcPr>
            <w:tcW w:w="1418" w:type="dxa"/>
          </w:tcPr>
          <w:p w14:paraId="0AC17980" w14:textId="1217F128" w:rsidR="00072693" w:rsidRPr="000C77FA" w:rsidRDefault="002C1F92" w:rsidP="000C77FA">
            <w:pP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00211</w:t>
            </w:r>
            <w:r w:rsidRPr="000C77FA">
              <w:rPr>
                <w:rFonts w:ascii="Palatino Linotype" w:eastAsia="Palatino Linotype" w:hAnsi="Palatino Linotype" w:cs="Palatino Linotype"/>
                <w:sz w:val="20"/>
                <w:szCs w:val="20"/>
              </w:rPr>
              <w:t xml:space="preserve"> (0</w:t>
            </w:r>
            <w:r w:rsidR="005B6C4C" w:rsidRPr="000C77FA">
              <w:rPr>
                <w:rFonts w:ascii="Palatino Linotype" w:eastAsia="Palatino Linotype" w:hAnsi="Palatino Linotype" w:cs="Palatino Linotype"/>
                <w:sz w:val="20"/>
                <w:szCs w:val="20"/>
              </w:rPr>
              <w:t>0</w:t>
            </w:r>
            <w:r w:rsidRPr="000C77FA">
              <w:rPr>
                <w:rFonts w:ascii="Palatino Linotype" w:eastAsia="Palatino Linotype" w:hAnsi="Palatino Linotype" w:cs="Palatino Linotype"/>
                <w:sz w:val="20"/>
                <w:szCs w:val="20"/>
              </w:rPr>
              <w:t>182)</w:t>
            </w:r>
          </w:p>
        </w:tc>
        <w:tc>
          <w:tcPr>
            <w:tcW w:w="3118" w:type="dxa"/>
          </w:tcPr>
          <w:p w14:paraId="3B5EE7C3" w14:textId="77777777" w:rsidR="00072693" w:rsidRPr="000C77FA" w:rsidRDefault="002C1F92" w:rsidP="000C77FA">
            <w:pPr>
              <w:jc w:val="both"/>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El Coordinador Administrativo, ratifica su respuesta.</w:t>
            </w:r>
          </w:p>
        </w:tc>
      </w:tr>
    </w:tbl>
    <w:p w14:paraId="3C2490AC" w14:textId="77777777" w:rsidR="00072693" w:rsidRPr="000C77FA" w:rsidRDefault="00072693" w:rsidP="000C77FA">
      <w:pPr>
        <w:widowControl w:val="0"/>
        <w:tabs>
          <w:tab w:val="left" w:pos="0"/>
        </w:tabs>
        <w:spacing w:line="360" w:lineRule="auto"/>
        <w:jc w:val="both"/>
        <w:rPr>
          <w:rFonts w:ascii="Palatino Linotype" w:eastAsia="Palatino Linotype" w:hAnsi="Palatino Linotype" w:cs="Palatino Linotype"/>
        </w:rPr>
      </w:pPr>
    </w:p>
    <w:p w14:paraId="61CEEBE7" w14:textId="7FE76E88" w:rsidR="00072693" w:rsidRPr="000C77FA" w:rsidRDefault="002C1F92" w:rsidP="000C77FA">
      <w:pPr>
        <w:widowControl w:val="0"/>
        <w:tabs>
          <w:tab w:val="left" w:pos="0"/>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sz w:val="28"/>
          <w:szCs w:val="28"/>
        </w:rPr>
        <w:t xml:space="preserve">5. </w:t>
      </w:r>
      <w:r w:rsidRPr="000C77FA">
        <w:rPr>
          <w:rFonts w:ascii="Palatino Linotype" w:eastAsia="Palatino Linotype" w:hAnsi="Palatino Linotype" w:cs="Palatino Linotype"/>
          <w:b/>
        </w:rPr>
        <w:t xml:space="preserve">Acumulación. </w:t>
      </w:r>
      <w:r w:rsidRPr="000C77FA">
        <w:rPr>
          <w:rFonts w:ascii="Palatino Linotype" w:eastAsia="Palatino Linotype" w:hAnsi="Palatino Linotype" w:cs="Palatino Linotype"/>
        </w:rPr>
        <w:t xml:space="preserve">Por economía procesal y con la finalidad de evitar resoluciones contradictorias, en la tercera sesión </w:t>
      </w:r>
      <w:r w:rsidRPr="000C77FA">
        <w:rPr>
          <w:rFonts w:ascii="Palatino Linotype" w:eastAsia="Palatino Linotype" w:hAnsi="Palatino Linotype" w:cs="Palatino Linotype"/>
          <w:b/>
        </w:rPr>
        <w:t>ordinaria del Pleno de este Instituto de veinti</w:t>
      </w:r>
      <w:r w:rsidR="004744AB" w:rsidRPr="000C77FA">
        <w:rPr>
          <w:rFonts w:ascii="Palatino Linotype" w:eastAsia="Palatino Linotype" w:hAnsi="Palatino Linotype" w:cs="Palatino Linotype"/>
          <w:b/>
        </w:rPr>
        <w:t>cinco</w:t>
      </w:r>
      <w:r w:rsidRPr="000C77FA">
        <w:rPr>
          <w:rFonts w:ascii="Palatino Linotype" w:eastAsia="Palatino Linotype" w:hAnsi="Palatino Linotype" w:cs="Palatino Linotype"/>
          <w:b/>
        </w:rPr>
        <w:t xml:space="preserve"> de enero de dos mil veintitrés, </w:t>
      </w:r>
      <w:r w:rsidRPr="000C77FA">
        <w:rPr>
          <w:rFonts w:ascii="Palatino Linotype" w:eastAsia="Palatino Linotype" w:hAnsi="Palatino Linotype" w:cs="Palatino Linotype"/>
        </w:rPr>
        <w:t xml:space="preserve">se acumularon los recursos </w:t>
      </w:r>
      <w:r w:rsidRPr="000C77FA">
        <w:rPr>
          <w:rFonts w:ascii="Palatino Linotype" w:eastAsia="Palatino Linotype" w:hAnsi="Palatino Linotype" w:cs="Palatino Linotype"/>
          <w:b/>
        </w:rPr>
        <w:t xml:space="preserve">00208, 00210, 00211 al 00207, </w:t>
      </w:r>
      <w:r w:rsidRPr="000C77FA">
        <w:rPr>
          <w:rFonts w:ascii="Palatino Linotype" w:eastAsia="Palatino Linotype" w:hAnsi="Palatino Linotype" w:cs="Palatino Linotype"/>
        </w:rPr>
        <w:t>por ser éste último el más antiguo,</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rPr>
        <w:t xml:space="preserve">quedando la elaboración del proyecto de resolución a cargo de la Comisionada Sharon Cristina Morales Martínez. </w:t>
      </w:r>
    </w:p>
    <w:p w14:paraId="5A3CD974" w14:textId="77777777" w:rsidR="00072693" w:rsidRPr="000C77FA" w:rsidRDefault="00072693" w:rsidP="000C77FA">
      <w:pPr>
        <w:widowControl w:val="0"/>
        <w:tabs>
          <w:tab w:val="left" w:pos="0"/>
        </w:tabs>
        <w:spacing w:line="360" w:lineRule="auto"/>
        <w:jc w:val="both"/>
        <w:rPr>
          <w:rFonts w:ascii="Palatino Linotype" w:eastAsia="Palatino Linotype" w:hAnsi="Palatino Linotype" w:cs="Palatino Linotype"/>
        </w:rPr>
      </w:pPr>
    </w:p>
    <w:p w14:paraId="6B6F1D7E"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6. Ampliación del Recurso de Revisión. </w:t>
      </w:r>
      <w:r w:rsidRPr="000C77FA">
        <w:rPr>
          <w:rFonts w:ascii="Palatino Linotype" w:eastAsia="Palatino Linotype" w:hAnsi="Palatino Linotype" w:cs="Palatino Linotype"/>
        </w:rPr>
        <w:t xml:space="preserve">El </w:t>
      </w:r>
      <w:r w:rsidRPr="000C77FA">
        <w:rPr>
          <w:rFonts w:ascii="Palatino Linotype" w:eastAsia="Palatino Linotype" w:hAnsi="Palatino Linotype" w:cs="Palatino Linotype"/>
          <w:b/>
        </w:rPr>
        <w:t>uno de marzo de dos mil veintitrés</w:t>
      </w:r>
      <w:r w:rsidRPr="000C77FA">
        <w:rPr>
          <w:rFonts w:ascii="Palatino Linotype" w:eastAsia="Palatino Linotype" w:hAnsi="Palatino Linotype" w:cs="Palatino Linotype"/>
        </w:rPr>
        <w:t xml:space="preserve"> se notificó el acuerdo de ampliación de plazo para resolver el presente Recurso de Revisión y sus acumulados, previsto en el artículo 181, tercer párrafo de la Ley de Transparencia local.</w:t>
      </w:r>
    </w:p>
    <w:p w14:paraId="20CB4943" w14:textId="77777777" w:rsidR="00072693" w:rsidRPr="000C77FA" w:rsidRDefault="00072693" w:rsidP="000C77FA">
      <w:pPr>
        <w:spacing w:line="360" w:lineRule="auto"/>
        <w:jc w:val="both"/>
        <w:rPr>
          <w:rFonts w:ascii="Palatino Linotype" w:eastAsia="Palatino Linotype" w:hAnsi="Palatino Linotype" w:cs="Palatino Linotype"/>
        </w:rPr>
      </w:pPr>
    </w:p>
    <w:p w14:paraId="31C644C4"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Este organismo garante no pasa por alto justificar, que la dilación en la resolución del presente asunto encuentra justificación en el alto número de recursos de revisión recibidos a partir del año dos mil veintidós, circunstancia atípica que ha rebasado las capacidades técnicas y humanas del personal encargado de la proyección de las resoluciones a dichos medios de impugnación.</w:t>
      </w:r>
    </w:p>
    <w:p w14:paraId="1E48DA3D" w14:textId="77777777" w:rsidR="00072693" w:rsidRPr="000C77FA" w:rsidRDefault="00072693" w:rsidP="000C77FA">
      <w:pPr>
        <w:spacing w:line="360" w:lineRule="auto"/>
        <w:jc w:val="both"/>
        <w:rPr>
          <w:rFonts w:ascii="Palatino Linotype" w:eastAsia="Palatino Linotype" w:hAnsi="Palatino Linotype" w:cs="Palatino Linotype"/>
        </w:rPr>
      </w:pPr>
    </w:p>
    <w:p w14:paraId="6BE91120"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6742F6F4" w14:textId="77777777" w:rsidR="00072693" w:rsidRPr="000C77FA" w:rsidRDefault="00072693" w:rsidP="000C77FA">
      <w:pPr>
        <w:spacing w:line="360" w:lineRule="auto"/>
        <w:jc w:val="both"/>
        <w:rPr>
          <w:rFonts w:ascii="Palatino Linotype" w:eastAsia="Palatino Linotype" w:hAnsi="Palatino Linotype" w:cs="Palatino Linotype"/>
        </w:rPr>
      </w:pPr>
    </w:p>
    <w:p w14:paraId="0F08D213"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06FD7CD" w14:textId="77777777" w:rsidR="00072693" w:rsidRPr="000C77FA" w:rsidRDefault="00072693" w:rsidP="000C77FA">
      <w:pPr>
        <w:spacing w:line="360" w:lineRule="auto"/>
        <w:jc w:val="both"/>
        <w:rPr>
          <w:rFonts w:ascii="Palatino Linotype" w:eastAsia="Palatino Linotype" w:hAnsi="Palatino Linotype" w:cs="Palatino Linotype"/>
        </w:rPr>
      </w:pPr>
    </w:p>
    <w:p w14:paraId="3DB6B674"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8257F5" w14:textId="77777777" w:rsidR="00072693" w:rsidRPr="000C77FA" w:rsidRDefault="00072693" w:rsidP="000C77FA">
      <w:pPr>
        <w:spacing w:line="360" w:lineRule="auto"/>
        <w:jc w:val="both"/>
        <w:rPr>
          <w:rFonts w:ascii="Palatino Linotype" w:eastAsia="Palatino Linotype" w:hAnsi="Palatino Linotype" w:cs="Palatino Linotype"/>
        </w:rPr>
      </w:pPr>
    </w:p>
    <w:p w14:paraId="1475275A"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 dicha dilación atendiendo a los siguientes criterios:   </w:t>
      </w:r>
    </w:p>
    <w:p w14:paraId="6D7356E6" w14:textId="77777777" w:rsidR="00072693" w:rsidRPr="000C77FA" w:rsidRDefault="002C1F92" w:rsidP="000C77FA">
      <w:pPr>
        <w:numPr>
          <w:ilvl w:val="0"/>
          <w:numId w:val="1"/>
        </w:num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CD9A006" w14:textId="77777777" w:rsidR="00072693" w:rsidRPr="000C77FA" w:rsidRDefault="002C1F92" w:rsidP="000C77FA">
      <w:pPr>
        <w:numPr>
          <w:ilvl w:val="0"/>
          <w:numId w:val="1"/>
        </w:num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Actividad Procesal del interesado: Acciones u omisiones del interesado.</w:t>
      </w:r>
    </w:p>
    <w:p w14:paraId="43DD0ABA" w14:textId="77777777" w:rsidR="00072693" w:rsidRPr="000C77FA" w:rsidRDefault="002C1F92" w:rsidP="000C77FA">
      <w:pPr>
        <w:numPr>
          <w:ilvl w:val="0"/>
          <w:numId w:val="1"/>
        </w:num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Conducta de la Autoridad: Las Acciones u omisiones realizadas en el procedimiento. Así como si la autoridad actuó con la debida diligencia.</w:t>
      </w:r>
    </w:p>
    <w:p w14:paraId="11F167DA" w14:textId="77777777" w:rsidR="00072693" w:rsidRPr="000C77FA" w:rsidRDefault="002C1F92" w:rsidP="000C77FA">
      <w:pPr>
        <w:spacing w:line="360" w:lineRule="auto"/>
        <w:ind w:left="927" w:hanging="360"/>
        <w:jc w:val="both"/>
        <w:rPr>
          <w:rFonts w:ascii="Palatino Linotype" w:eastAsia="Palatino Linotype" w:hAnsi="Palatino Linotype" w:cs="Palatino Linotype"/>
        </w:rPr>
      </w:pPr>
      <w:r w:rsidRPr="000C77FA">
        <w:rPr>
          <w:rFonts w:ascii="Palatino Linotype" w:eastAsia="Palatino Linotype" w:hAnsi="Palatino Linotype" w:cs="Palatino Linotype"/>
        </w:rPr>
        <w:t>d) La afectación generada en la situación jurídica de la persona involucrada en el proceso: Violación a sus derechos humanos.</w:t>
      </w:r>
    </w:p>
    <w:p w14:paraId="7529C758" w14:textId="77777777" w:rsidR="00072693" w:rsidRPr="000C77FA" w:rsidRDefault="00072693" w:rsidP="000C77FA">
      <w:pPr>
        <w:spacing w:line="360" w:lineRule="auto"/>
        <w:jc w:val="both"/>
        <w:rPr>
          <w:rFonts w:ascii="Palatino Linotype" w:eastAsia="Palatino Linotype" w:hAnsi="Palatino Linotype" w:cs="Palatino Linotype"/>
        </w:rPr>
      </w:pPr>
    </w:p>
    <w:p w14:paraId="5ED1812A" w14:textId="77777777" w:rsidR="00072693" w:rsidRPr="000C77FA" w:rsidRDefault="002C1F92" w:rsidP="000C77FA">
      <w:pPr>
        <w:spacing w:line="360" w:lineRule="auto"/>
        <w:jc w:val="both"/>
        <w:rPr>
          <w:rFonts w:ascii="Palatino Linotype" w:eastAsia="Palatino Linotype" w:hAnsi="Palatino Linotype" w:cs="Palatino Linotype"/>
          <w:b/>
        </w:rPr>
      </w:pPr>
      <w:r w:rsidRPr="000C77FA">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 Argumento que encuentra sustento en la jurisprudencia </w:t>
      </w:r>
      <w:r w:rsidRPr="000C77FA">
        <w:rPr>
          <w:rFonts w:ascii="Palatino Linotype" w:eastAsia="Palatino Linotype" w:hAnsi="Palatino Linotype" w:cs="Palatino Linotype"/>
          <w:b/>
        </w:rPr>
        <w:t>P</w:t>
      </w:r>
      <w:proofErr w:type="gramStart"/>
      <w:r w:rsidRPr="000C77FA">
        <w:rPr>
          <w:rFonts w:ascii="Palatino Linotype" w:eastAsia="Palatino Linotype" w:hAnsi="Palatino Linotype" w:cs="Palatino Linotype"/>
          <w:b/>
        </w:rPr>
        <w:t>./</w:t>
      </w:r>
      <w:proofErr w:type="gramEnd"/>
      <w:r w:rsidRPr="000C77FA">
        <w:rPr>
          <w:rFonts w:ascii="Palatino Linotype" w:eastAsia="Palatino Linotype" w:hAnsi="Palatino Linotype" w:cs="Palatino Linotype"/>
          <w:b/>
        </w:rPr>
        <w:t>J. 32/92</w:t>
      </w:r>
      <w:r w:rsidRPr="000C77FA">
        <w:rPr>
          <w:rFonts w:ascii="Palatino Linotype" w:eastAsia="Palatino Linotype" w:hAnsi="Palatino Linotype" w:cs="Palatino Linotype"/>
        </w:rPr>
        <w:t xml:space="preserve"> emitida por el Pleno de la Suprema Corte de Justicia de la Nación de rubro </w:t>
      </w: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TÉRMINOS PROCESALES. PARA DETERMINAR SI UN FUNCIONARIO JUDICIAL ACTUÓ INDEBIDAMENTE POR NO RESPETARLOS SE DEBE ATENDER AL PRESUPUESTO QUE CONSIDERÓ EL LEGISLADOR AL FIJARLOS Y LAS CARACTERÍSTICAS DEL CASO.</w:t>
      </w: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rPr>
        <w:t>, visible en la Gaceta del Seminario Judicial de la Federación con el registro digital 205635.</w:t>
      </w:r>
    </w:p>
    <w:p w14:paraId="2815B58C"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3E27D92" w14:textId="77777777" w:rsidR="00072693" w:rsidRPr="000C77FA" w:rsidRDefault="00072693" w:rsidP="000C77FA">
      <w:pPr>
        <w:spacing w:line="360" w:lineRule="auto"/>
        <w:jc w:val="both"/>
        <w:rPr>
          <w:rFonts w:ascii="Palatino Linotype" w:eastAsia="Palatino Linotype" w:hAnsi="Palatino Linotype" w:cs="Palatino Linotype"/>
          <w:sz w:val="16"/>
          <w:szCs w:val="16"/>
        </w:rPr>
      </w:pPr>
    </w:p>
    <w:p w14:paraId="02F82F59"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063D0CA1" w14:textId="77777777" w:rsidR="00072693" w:rsidRPr="000C77FA" w:rsidRDefault="00072693" w:rsidP="000C77FA">
      <w:pPr>
        <w:spacing w:line="360" w:lineRule="auto"/>
        <w:jc w:val="both"/>
        <w:rPr>
          <w:rFonts w:ascii="Palatino Linotype" w:eastAsia="Palatino Linotype" w:hAnsi="Palatino Linotype" w:cs="Palatino Linotype"/>
          <w:sz w:val="16"/>
          <w:szCs w:val="16"/>
        </w:rPr>
      </w:pPr>
    </w:p>
    <w:p w14:paraId="6F1A1ECE"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581CBD03" w14:textId="77777777" w:rsidR="00072693" w:rsidRPr="000C77FA" w:rsidRDefault="00072693" w:rsidP="000C77FA">
      <w:pPr>
        <w:spacing w:line="360" w:lineRule="auto"/>
        <w:jc w:val="both"/>
        <w:rPr>
          <w:rFonts w:ascii="Palatino Linotype" w:eastAsia="Palatino Linotype" w:hAnsi="Palatino Linotype" w:cs="Palatino Linotype"/>
          <w:sz w:val="16"/>
          <w:szCs w:val="16"/>
        </w:rPr>
      </w:pPr>
    </w:p>
    <w:p w14:paraId="618BF447" w14:textId="18CCEE5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PLAZO RAZONABLE PARA RESOLVER. DIMENSIÓN Y EFECTOS DE ESTE CONCEPTO CUANDO SE ADUCE EXCESIVA CARGA DE TRABAJO</w:t>
      </w: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rPr>
        <w:t xml:space="preserve"> consultable en el Seminario Judicial de la Federación y su gaceta, con el registro digital 2002351. </w:t>
      </w: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 xml:space="preserve">PLAZO RAZONABLE PARA RESOLVER. CONCEPTO Y ELEMENTOS QUE LO INTEGRAN A LA LUZ DEL DERECHO INTERNACIONAL DE LOS DERECHOS </w:t>
      </w:r>
      <w:r w:rsidRPr="000C77FA">
        <w:rPr>
          <w:rFonts w:ascii="Palatino Linotype" w:eastAsia="Palatino Linotype" w:hAnsi="Palatino Linotype" w:cs="Palatino Linotype"/>
          <w:b/>
          <w:i/>
          <w:sz w:val="22"/>
          <w:szCs w:val="22"/>
        </w:rPr>
        <w:lastRenderedPageBreak/>
        <w:t>HUMANOS.</w:t>
      </w: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sz w:val="22"/>
          <w:szCs w:val="22"/>
        </w:rPr>
        <w:t>,</w:t>
      </w:r>
      <w:r w:rsidRPr="000C77FA">
        <w:rPr>
          <w:rFonts w:ascii="Palatino Linotype" w:eastAsia="Palatino Linotype" w:hAnsi="Palatino Linotype" w:cs="Palatino Linotype"/>
        </w:rPr>
        <w:t xml:space="preserve"> visible en el Seminario Judicial de la Federación y su gaceta, con el registro digital 2002350, y</w:t>
      </w:r>
    </w:p>
    <w:p w14:paraId="08E03795" w14:textId="77777777" w:rsidR="000C77FA" w:rsidRPr="000C77FA" w:rsidRDefault="000C77FA" w:rsidP="000C77FA">
      <w:pPr>
        <w:spacing w:line="360" w:lineRule="auto"/>
        <w:jc w:val="both"/>
        <w:rPr>
          <w:rFonts w:ascii="Palatino Linotype" w:eastAsia="Palatino Linotype" w:hAnsi="Palatino Linotype" w:cs="Palatino Linotype"/>
        </w:rPr>
      </w:pPr>
    </w:p>
    <w:p w14:paraId="69CE4125" w14:textId="1485C801"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7. Cierre de Instrucción. </w:t>
      </w:r>
      <w:r w:rsidRPr="000C77FA">
        <w:rPr>
          <w:rFonts w:ascii="Palatino Linotype" w:eastAsia="Palatino Linotype" w:hAnsi="Palatino Linotype" w:cs="Palatino Linotype"/>
        </w:rPr>
        <w:t xml:space="preserve">Por lo que, una vez analizado el estado procesal que guardaba el expediente, el </w:t>
      </w:r>
      <w:r w:rsidR="00FB7F5D" w:rsidRPr="000C77FA">
        <w:rPr>
          <w:rFonts w:ascii="Palatino Linotype" w:eastAsia="Palatino Linotype" w:hAnsi="Palatino Linotype" w:cs="Palatino Linotype"/>
          <w:b/>
        </w:rPr>
        <w:t xml:space="preserve">dos de abril </w:t>
      </w:r>
      <w:r w:rsidRPr="000C77FA">
        <w:rPr>
          <w:rFonts w:ascii="Palatino Linotype" w:eastAsia="Palatino Linotype" w:hAnsi="Palatino Linotype" w:cs="Palatino Linotype"/>
          <w:b/>
        </w:rPr>
        <w:t>de dos mil veinticuatro</w:t>
      </w:r>
      <w:r w:rsidRPr="000C77FA">
        <w:rPr>
          <w:rFonts w:ascii="Palatino Linotype" w:eastAsia="Palatino Linotype" w:hAnsi="Palatino Linotype" w:cs="Palatino Linotype"/>
        </w:rPr>
        <w:t xml:space="preserve">, la </w:t>
      </w:r>
      <w:r w:rsidRPr="000C77FA">
        <w:rPr>
          <w:rFonts w:ascii="Palatino Linotype" w:eastAsia="Palatino Linotype" w:hAnsi="Palatino Linotype" w:cs="Palatino Linotype"/>
          <w:b/>
        </w:rPr>
        <w:t xml:space="preserve">Comisionada Sharon Christina Morales Martínez </w:t>
      </w:r>
      <w:r w:rsidRPr="000C77FA">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local.</w:t>
      </w:r>
    </w:p>
    <w:p w14:paraId="28A614CA" w14:textId="77777777" w:rsidR="00072693" w:rsidRPr="000C77FA" w:rsidRDefault="00072693" w:rsidP="000C77FA">
      <w:pPr>
        <w:spacing w:line="360" w:lineRule="auto"/>
        <w:jc w:val="both"/>
        <w:rPr>
          <w:rFonts w:ascii="Palatino Linotype" w:eastAsia="Palatino Linotype" w:hAnsi="Palatino Linotype" w:cs="Palatino Linotype"/>
        </w:rPr>
      </w:pPr>
    </w:p>
    <w:p w14:paraId="067855E3" w14:textId="77777777" w:rsidR="00072693" w:rsidRPr="000C77FA" w:rsidRDefault="002C1F92" w:rsidP="000C77FA">
      <w:pPr>
        <w:jc w:val="center"/>
        <w:rPr>
          <w:rFonts w:ascii="Palatino Linotype" w:eastAsia="Palatino Linotype" w:hAnsi="Palatino Linotype" w:cs="Palatino Linotype"/>
          <w:b/>
          <w:sz w:val="28"/>
          <w:szCs w:val="28"/>
        </w:rPr>
      </w:pPr>
      <w:r w:rsidRPr="000C77FA">
        <w:rPr>
          <w:rFonts w:ascii="Palatino Linotype" w:eastAsia="Palatino Linotype" w:hAnsi="Palatino Linotype" w:cs="Palatino Linotype"/>
          <w:b/>
          <w:sz w:val="28"/>
          <w:szCs w:val="28"/>
        </w:rPr>
        <w:t>CONSIDERANDOS</w:t>
      </w:r>
    </w:p>
    <w:p w14:paraId="5183AA66" w14:textId="77777777" w:rsidR="00072693" w:rsidRPr="000C77FA" w:rsidRDefault="00072693" w:rsidP="000C77FA">
      <w:pPr>
        <w:jc w:val="center"/>
        <w:rPr>
          <w:rFonts w:ascii="Palatino Linotype" w:eastAsia="Palatino Linotype" w:hAnsi="Palatino Linotype" w:cs="Palatino Linotype"/>
          <w:b/>
          <w:sz w:val="28"/>
          <w:szCs w:val="28"/>
        </w:rPr>
      </w:pPr>
    </w:p>
    <w:p w14:paraId="432CE917" w14:textId="77777777" w:rsidR="00072693" w:rsidRPr="000C77FA" w:rsidRDefault="002C1F92" w:rsidP="000C77FA">
      <w:pPr>
        <w:widowControl w:val="0"/>
        <w:tabs>
          <w:tab w:val="left" w:pos="1701"/>
        </w:tabs>
        <w:spacing w:line="360" w:lineRule="auto"/>
        <w:jc w:val="both"/>
        <w:rPr>
          <w:rFonts w:ascii="Palatino Linotype" w:eastAsia="Palatino Linotype" w:hAnsi="Palatino Linotype" w:cs="Palatino Linotype"/>
          <w:b/>
        </w:rPr>
      </w:pPr>
      <w:bookmarkStart w:id="9" w:name="_heading=h.1t3h5sf" w:colFirst="0" w:colLast="0"/>
      <w:bookmarkEnd w:id="9"/>
      <w:r w:rsidRPr="000C77FA">
        <w:rPr>
          <w:rFonts w:ascii="Palatino Linotype" w:eastAsia="Palatino Linotype" w:hAnsi="Palatino Linotype" w:cs="Palatino Linotype"/>
          <w:b/>
          <w:sz w:val="26"/>
          <w:szCs w:val="26"/>
        </w:rPr>
        <w:t>PRIMERO.</w:t>
      </w:r>
      <w:r w:rsidRPr="000C77FA">
        <w:rPr>
          <w:rFonts w:ascii="Palatino Linotype" w:eastAsia="Palatino Linotype" w:hAnsi="Palatino Linotype" w:cs="Palatino Linotype"/>
          <w:b/>
        </w:rPr>
        <w:t xml:space="preserve"> Competencia</w:t>
      </w:r>
      <w:r w:rsidRPr="000C77FA">
        <w:rPr>
          <w:rFonts w:ascii="Palatino Linotype" w:eastAsia="Palatino Linotype" w:hAnsi="Palatino Linotype" w:cs="Palatino Linotype"/>
        </w:rPr>
        <w:t>.</w:t>
      </w:r>
      <w:r w:rsidRPr="000C77FA">
        <w:rPr>
          <w:rFonts w:ascii="Palatino Linotype" w:eastAsia="Palatino Linotype" w:hAnsi="Palatino Linotype" w:cs="Palatino Linotype"/>
          <w:b/>
        </w:rPr>
        <w:t xml:space="preserve"> </w:t>
      </w:r>
    </w:p>
    <w:p w14:paraId="2CF6EF9F" w14:textId="77777777" w:rsidR="00072693" w:rsidRPr="000C77FA" w:rsidRDefault="002C1F92" w:rsidP="000C77FA">
      <w:pPr>
        <w:widowControl w:val="0"/>
        <w:tabs>
          <w:tab w:val="left" w:pos="1701"/>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y acumulados,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18537F8E" w14:textId="1CC0F68B" w:rsidR="00072693" w:rsidRPr="000C77FA" w:rsidRDefault="00072693" w:rsidP="000C77FA">
      <w:pPr>
        <w:widowControl w:val="0"/>
        <w:tabs>
          <w:tab w:val="left" w:pos="1701"/>
        </w:tabs>
        <w:spacing w:line="360" w:lineRule="auto"/>
        <w:jc w:val="both"/>
        <w:rPr>
          <w:rFonts w:ascii="Palatino Linotype" w:eastAsia="Palatino Linotype" w:hAnsi="Palatino Linotype" w:cs="Palatino Linotype"/>
        </w:rPr>
      </w:pPr>
    </w:p>
    <w:p w14:paraId="31BEFACE" w14:textId="77777777" w:rsidR="000C77FA" w:rsidRPr="000C77FA" w:rsidRDefault="000C77FA" w:rsidP="000C77FA">
      <w:pPr>
        <w:widowControl w:val="0"/>
        <w:tabs>
          <w:tab w:val="left" w:pos="1701"/>
        </w:tabs>
        <w:spacing w:line="360" w:lineRule="auto"/>
        <w:jc w:val="both"/>
        <w:rPr>
          <w:rFonts w:ascii="Palatino Linotype" w:eastAsia="Palatino Linotype" w:hAnsi="Palatino Linotype" w:cs="Palatino Linotype"/>
        </w:rPr>
      </w:pPr>
    </w:p>
    <w:p w14:paraId="5651276D" w14:textId="77777777" w:rsidR="00072693" w:rsidRPr="000C77FA" w:rsidRDefault="002C1F92" w:rsidP="000C77FA">
      <w:pPr>
        <w:tabs>
          <w:tab w:val="center" w:pos="4252"/>
          <w:tab w:val="right" w:pos="8504"/>
        </w:tabs>
        <w:spacing w:line="360" w:lineRule="auto"/>
        <w:ind w:left="-57"/>
        <w:jc w:val="both"/>
        <w:rPr>
          <w:rFonts w:ascii="Palatino Linotype" w:eastAsia="Palatino Linotype" w:hAnsi="Palatino Linotype" w:cs="Palatino Linotype"/>
        </w:rPr>
      </w:pPr>
      <w:r w:rsidRPr="000C77FA">
        <w:rPr>
          <w:rFonts w:ascii="Palatino Linotype" w:eastAsia="Palatino Linotype" w:hAnsi="Palatino Linotype" w:cs="Palatino Linotype"/>
          <w:b/>
          <w:sz w:val="26"/>
          <w:szCs w:val="26"/>
        </w:rPr>
        <w:lastRenderedPageBreak/>
        <w:t>SEGUNDO.</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De la Acumulación de los Recursos.</w:t>
      </w:r>
      <w:r w:rsidRPr="000C77FA">
        <w:rPr>
          <w:rFonts w:ascii="Palatino Linotype" w:eastAsia="Palatino Linotype" w:hAnsi="Palatino Linotype" w:cs="Palatino Linotype"/>
        </w:rPr>
        <w:t xml:space="preserve"> </w:t>
      </w:r>
    </w:p>
    <w:p w14:paraId="02626D53" w14:textId="77777777" w:rsidR="00072693" w:rsidRPr="000C77FA" w:rsidRDefault="002C1F92" w:rsidP="000C77FA">
      <w:pPr>
        <w:tabs>
          <w:tab w:val="center" w:pos="4252"/>
          <w:tab w:val="right" w:pos="8504"/>
        </w:tabs>
        <w:spacing w:line="360" w:lineRule="auto"/>
        <w:ind w:left="-57"/>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las constancias que obran en los expedientes acumulados, se advierte que los Recursos de Revisión </w:t>
      </w:r>
      <w:r w:rsidRPr="000C77FA">
        <w:rPr>
          <w:rFonts w:ascii="Palatino Linotype" w:eastAsia="Palatino Linotype" w:hAnsi="Palatino Linotype" w:cs="Palatino Linotype"/>
          <w:b/>
        </w:rPr>
        <w:t xml:space="preserve">00207, 00208, 00210 y 00211 </w:t>
      </w:r>
      <w:r w:rsidRPr="000C77FA">
        <w:rPr>
          <w:rFonts w:ascii="Palatino Linotype" w:eastAsia="Palatino Linotype" w:hAnsi="Palatino Linotype" w:cs="Palatino Linotype"/>
        </w:rPr>
        <w:t xml:space="preserve">fueron presentados por la misma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respecto de los actos u omisiones del mismo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razón por la cual resulta conveniente su trámite de forma unificada para homogéneamente resolver y evitar la emisión de resoluciones contradictorias, derivado de ello, este órgano garante realizó la acumulación respectiva, de conformidad con lo dispuesto en el artículo 18 del Código de Procedimientos Administrativos del Estado de México, de aplicación supletoria en términos del artículo 195 de la Ley de Transparencia local en vigor.</w:t>
      </w:r>
    </w:p>
    <w:p w14:paraId="1508ABC6" w14:textId="77777777" w:rsidR="00072693" w:rsidRPr="000C77FA" w:rsidRDefault="00072693" w:rsidP="000C77FA">
      <w:pPr>
        <w:tabs>
          <w:tab w:val="center" w:pos="4252"/>
          <w:tab w:val="right" w:pos="8504"/>
        </w:tabs>
        <w:spacing w:line="360" w:lineRule="auto"/>
        <w:ind w:left="-57"/>
        <w:jc w:val="both"/>
        <w:rPr>
          <w:rFonts w:ascii="Palatino Linotype" w:eastAsia="Palatino Linotype" w:hAnsi="Palatino Linotype" w:cs="Palatino Linotype"/>
        </w:rPr>
      </w:pPr>
    </w:p>
    <w:p w14:paraId="08B27B44" w14:textId="77777777" w:rsidR="00072693" w:rsidRPr="000C77FA" w:rsidRDefault="002C1F92" w:rsidP="000C77FA">
      <w:pPr>
        <w:tabs>
          <w:tab w:val="center" w:pos="4252"/>
          <w:tab w:val="right" w:pos="8504"/>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De lo dispuesto en los numerales citados en el párrafo que antecede, dicha acumulación procede cuando:</w:t>
      </w:r>
    </w:p>
    <w:p w14:paraId="422F89E3" w14:textId="77777777" w:rsidR="00072693" w:rsidRPr="000C77FA" w:rsidRDefault="002C1F92" w:rsidP="000C77FA">
      <w:pPr>
        <w:numPr>
          <w:ilvl w:val="0"/>
          <w:numId w:val="3"/>
        </w:numPr>
        <w:tabs>
          <w:tab w:val="center" w:pos="4252"/>
          <w:tab w:val="right" w:pos="8504"/>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El solicitante y la información referida sean las mismas;</w:t>
      </w:r>
    </w:p>
    <w:p w14:paraId="34C9AD6C" w14:textId="77777777" w:rsidR="00072693" w:rsidRPr="000C77FA" w:rsidRDefault="002C1F92" w:rsidP="000C77FA">
      <w:pPr>
        <w:numPr>
          <w:ilvl w:val="0"/>
          <w:numId w:val="3"/>
        </w:numPr>
        <w:tabs>
          <w:tab w:val="center" w:pos="4252"/>
          <w:tab w:val="right" w:pos="8504"/>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Las partes o los actos impugnados sean iguales;</w:t>
      </w:r>
    </w:p>
    <w:p w14:paraId="380EC78D" w14:textId="77777777" w:rsidR="00072693" w:rsidRPr="000C77FA" w:rsidRDefault="002C1F92" w:rsidP="000C77FA">
      <w:pPr>
        <w:numPr>
          <w:ilvl w:val="0"/>
          <w:numId w:val="3"/>
        </w:numPr>
        <w:tabs>
          <w:tab w:val="center" w:pos="4252"/>
          <w:tab w:val="right" w:pos="8504"/>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Cuando se trate del mismo solicitante, el mismo Sujeto Obligado; y</w:t>
      </w:r>
    </w:p>
    <w:p w14:paraId="2A0A325B" w14:textId="77777777" w:rsidR="00072693" w:rsidRPr="000C77FA" w:rsidRDefault="002C1F92" w:rsidP="000C77FA">
      <w:pPr>
        <w:numPr>
          <w:ilvl w:val="0"/>
          <w:numId w:val="3"/>
        </w:numPr>
        <w:tabs>
          <w:tab w:val="center" w:pos="4252"/>
          <w:tab w:val="right" w:pos="8504"/>
        </w:tabs>
        <w:spacing w:line="360" w:lineRule="auto"/>
        <w:ind w:left="357"/>
        <w:jc w:val="both"/>
        <w:rPr>
          <w:rFonts w:ascii="Palatino Linotype" w:eastAsia="Palatino Linotype" w:hAnsi="Palatino Linotype" w:cs="Palatino Linotype"/>
        </w:rPr>
      </w:pPr>
      <w:r w:rsidRPr="000C77FA">
        <w:rPr>
          <w:rFonts w:ascii="Palatino Linotype" w:eastAsia="Palatino Linotype" w:hAnsi="Palatino Linotype" w:cs="Palatino Linotype"/>
        </w:rPr>
        <w:t>Aun tratándose de solicitudes diversas, resulte conveniente la resolución unificada de los asuntos</w:t>
      </w:r>
      <w:r w:rsidRPr="000C77FA">
        <w:rPr>
          <w:rFonts w:ascii="Palatino Linotype" w:eastAsia="Palatino Linotype" w:hAnsi="Palatino Linotype" w:cs="Palatino Linotype"/>
          <w:i/>
        </w:rPr>
        <w:t>.</w:t>
      </w:r>
    </w:p>
    <w:p w14:paraId="643AA77F" w14:textId="77777777" w:rsidR="00072693" w:rsidRPr="000C77FA" w:rsidRDefault="00072693" w:rsidP="000C77FA">
      <w:pPr>
        <w:widowControl w:val="0"/>
        <w:spacing w:line="360" w:lineRule="auto"/>
        <w:jc w:val="both"/>
        <w:rPr>
          <w:rFonts w:ascii="Palatino Linotype" w:eastAsia="Palatino Linotype" w:hAnsi="Palatino Linotype" w:cs="Palatino Linotype"/>
        </w:rPr>
      </w:pPr>
    </w:p>
    <w:p w14:paraId="39389631" w14:textId="77777777" w:rsidR="00072693" w:rsidRPr="000C77FA" w:rsidRDefault="002C1F92" w:rsidP="000C77FA">
      <w:pPr>
        <w:widowControl w:val="0"/>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tal suerte que, como se mencionó anteriormente, los Recursos de Revisión que nos ocupan fueron interpuestos por la misma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ante el mismo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por lo que, resulta conveniente la resolución conjunta por economía procesal y con el fin de no emitir resoluciones contradictorias entre sí, en </w:t>
      </w:r>
      <w:r w:rsidRPr="000C77FA">
        <w:rPr>
          <w:rFonts w:ascii="Palatino Linotype" w:eastAsia="Palatino Linotype" w:hAnsi="Palatino Linotype" w:cs="Palatino Linotype"/>
        </w:rPr>
        <w:lastRenderedPageBreak/>
        <w:t>caso de resolverlos en forma separada por Ponentes diferentes.</w:t>
      </w:r>
    </w:p>
    <w:p w14:paraId="0FAAAFB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sz w:val="26"/>
          <w:szCs w:val="26"/>
        </w:rPr>
        <w:t>TERCERO.</w:t>
      </w:r>
      <w:r w:rsidRPr="000C77FA">
        <w:rPr>
          <w:rFonts w:ascii="Palatino Linotype" w:eastAsia="Palatino Linotype" w:hAnsi="Palatino Linotype" w:cs="Palatino Linotype"/>
          <w:b/>
        </w:rPr>
        <w:t xml:space="preserve"> Requisitos de procedencia. </w:t>
      </w:r>
      <w:r w:rsidRPr="000C77FA">
        <w:rPr>
          <w:rFonts w:ascii="Palatino Linotype" w:eastAsia="Palatino Linotype" w:hAnsi="Palatino Linotype" w:cs="Palatino Linotype"/>
        </w:rPr>
        <w:t xml:space="preserve">Los Recursos </w:t>
      </w:r>
      <w:r w:rsidRPr="000C77FA">
        <w:rPr>
          <w:rFonts w:ascii="Palatino Linotype" w:eastAsia="Palatino Linotype" w:hAnsi="Palatino Linotype" w:cs="Palatino Linotype"/>
          <w:b/>
        </w:rPr>
        <w:t xml:space="preserve">00207, 00208, 00210 y 00211 </w:t>
      </w:r>
      <w:r w:rsidRPr="000C77FA">
        <w:rPr>
          <w:rFonts w:ascii="Palatino Linotype" w:eastAsia="Palatino Linotype" w:hAnsi="Palatino Linotype" w:cs="Palatino Linotype"/>
        </w:rPr>
        <w:t xml:space="preserve">reúnen los requisitos establecidos en el artículo 180 de la ley de la materia, conforme a lo siguiente:  </w:t>
      </w:r>
    </w:p>
    <w:p w14:paraId="53BF772F" w14:textId="77777777" w:rsidR="00072693" w:rsidRPr="000C77FA" w:rsidRDefault="002C1F92" w:rsidP="000C77FA">
      <w:pPr>
        <w:spacing w:line="360" w:lineRule="auto"/>
        <w:jc w:val="both"/>
        <w:rPr>
          <w:rFonts w:ascii="Palatino Linotype" w:eastAsia="Palatino Linotype" w:hAnsi="Palatino Linotype" w:cs="Palatino Linotype"/>
          <w:b/>
        </w:rPr>
      </w:pPr>
      <w:r w:rsidRPr="000C77FA">
        <w:rPr>
          <w:rFonts w:ascii="Palatino Linotype" w:eastAsia="Palatino Linotype" w:hAnsi="Palatino Linotype" w:cs="Palatino Linotype"/>
          <w:b/>
        </w:rPr>
        <w:t xml:space="preserve">a) Forma. </w:t>
      </w:r>
      <w:r w:rsidRPr="000C77FA">
        <w:rPr>
          <w:rFonts w:ascii="Palatino Linotype" w:eastAsia="Palatino Linotype" w:hAnsi="Palatino Linotype" w:cs="Palatino Linotype"/>
        </w:rPr>
        <w:t xml:space="preserve">Los Recursos de Revisión en estudio fueron presentados vía SAIMEX, constando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de la solicitud, el número de folio de respuesta de la solicitud de acceso, la fecha en que fue notificada la respuesta al solicitante, el acto recurrido y los motivos de inconformidad.</w:t>
      </w:r>
    </w:p>
    <w:p w14:paraId="734C35F0" w14:textId="77777777" w:rsidR="00072693" w:rsidRPr="000C77FA" w:rsidRDefault="00072693" w:rsidP="000C77FA">
      <w:pPr>
        <w:spacing w:line="360" w:lineRule="auto"/>
        <w:jc w:val="both"/>
        <w:rPr>
          <w:rFonts w:ascii="Palatino Linotype" w:eastAsia="Palatino Linotype" w:hAnsi="Palatino Linotype" w:cs="Palatino Linotype"/>
          <w:b/>
        </w:rPr>
      </w:pPr>
    </w:p>
    <w:p w14:paraId="4DBE3FA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 xml:space="preserve">b) Interés. </w:t>
      </w:r>
      <w:r w:rsidRPr="000C77FA">
        <w:rPr>
          <w:rFonts w:ascii="Palatino Linotype" w:eastAsia="Palatino Linotype" w:hAnsi="Palatino Linotype" w:cs="Palatino Linotype"/>
        </w:rPr>
        <w:t xml:space="preserve">Los Recursos fueron interpuestos por parte legítima, en atención a que se presentaron por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quien es la misma persona que formuló las solicitudes de acceso a la información pública al </w:t>
      </w:r>
      <w:r w:rsidRPr="000C77FA">
        <w:rPr>
          <w:rFonts w:ascii="Palatino Linotype" w:eastAsia="Palatino Linotype" w:hAnsi="Palatino Linotype" w:cs="Palatino Linotype"/>
          <w:b/>
        </w:rPr>
        <w:t xml:space="preserve">SUJETO OBLIGADO, </w:t>
      </w:r>
      <w:r w:rsidRPr="000C77FA">
        <w:rPr>
          <w:rFonts w:ascii="Palatino Linotype" w:eastAsia="Palatino Linotype" w:hAnsi="Palatino Linotype" w:cs="Palatino Linotype"/>
        </w:rPr>
        <w:t xml:space="preserve">pues para ello, es necesario que el particular ingrese al </w:t>
      </w:r>
      <w:r w:rsidRPr="000C77FA">
        <w:rPr>
          <w:rFonts w:ascii="Palatino Linotype" w:eastAsia="Palatino Linotype" w:hAnsi="Palatino Linotype" w:cs="Palatino Linotype"/>
          <w:b/>
        </w:rPr>
        <w:t xml:space="preserve">SAIMEX </w:t>
      </w:r>
      <w:r w:rsidRPr="000C77FA">
        <w:rPr>
          <w:rFonts w:ascii="Palatino Linotype" w:eastAsia="Palatino Linotype" w:hAnsi="Palatino Linotype" w:cs="Palatino Linotype"/>
        </w:rPr>
        <w:t>mediante la utilización de su clave de usuario y contraseña.</w:t>
      </w:r>
    </w:p>
    <w:p w14:paraId="169CF975" w14:textId="77777777" w:rsidR="00072693" w:rsidRPr="000C77FA" w:rsidRDefault="00072693" w:rsidP="000C77FA">
      <w:pPr>
        <w:spacing w:line="360" w:lineRule="auto"/>
        <w:jc w:val="both"/>
        <w:rPr>
          <w:rFonts w:ascii="Palatino Linotype" w:eastAsia="Palatino Linotype" w:hAnsi="Palatino Linotype" w:cs="Palatino Linotype"/>
        </w:rPr>
      </w:pPr>
    </w:p>
    <w:p w14:paraId="1F1AC6C9" w14:textId="77777777" w:rsidR="00072693" w:rsidRPr="000C77FA" w:rsidRDefault="002C1F92" w:rsidP="000C77FA">
      <w:pPr>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b/>
          <w:sz w:val="28"/>
          <w:szCs w:val="28"/>
        </w:rPr>
        <w:t>c)</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Oportunidad</w:t>
      </w:r>
      <w:r w:rsidRPr="000C77FA">
        <w:rPr>
          <w:rFonts w:ascii="Palatino Linotype" w:eastAsia="Palatino Linotype" w:hAnsi="Palatino Linotype" w:cs="Palatino Linotype"/>
        </w:rPr>
        <w:t xml:space="preserve">. </w:t>
      </w:r>
    </w:p>
    <w:p w14:paraId="6148D93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Los Recursos de Revisión fueron interpuestos dentro del plazo de quince días hábiles, contados a partir del día siguiente aquel que </w:t>
      </w:r>
      <w:r w:rsidRPr="000C77FA">
        <w:rPr>
          <w:rFonts w:ascii="Palatino Linotype" w:eastAsia="Palatino Linotype" w:hAnsi="Palatino Linotype" w:cs="Palatino Linotype"/>
          <w:b/>
        </w:rPr>
        <w:t xml:space="preserve">EL RECURRENTE </w:t>
      </w:r>
      <w:r w:rsidRPr="000C77FA">
        <w:rPr>
          <w:rFonts w:ascii="Palatino Linotype" w:eastAsia="Palatino Linotype" w:hAnsi="Palatino Linotype" w:cs="Palatino Linotype"/>
        </w:rPr>
        <w:t>tuvo conocimiento de la respuesta impugnada; tal y como, lo prevé el artículo 178 de la Ley de Transparencia local, según se observa en el siguiente cuadro las fechas de notificación de respuesta e interposición del recurso.</w:t>
      </w:r>
      <w:r w:rsidRPr="000C77FA">
        <w:rPr>
          <w:rFonts w:ascii="Palatino Linotype" w:eastAsia="Palatino Linotype" w:hAnsi="Palatino Linotype" w:cs="Palatino Linotype"/>
          <w:vertAlign w:val="superscript"/>
        </w:rPr>
        <w:footnoteReference w:id="6"/>
      </w:r>
      <w:r w:rsidRPr="000C77FA">
        <w:rPr>
          <w:rFonts w:ascii="Palatino Linotype" w:eastAsia="Palatino Linotype" w:hAnsi="Palatino Linotype" w:cs="Palatino Linotype"/>
        </w:rPr>
        <w:t xml:space="preserve"> </w:t>
      </w:r>
    </w:p>
    <w:tbl>
      <w:tblPr>
        <w:tblStyle w:val="a5"/>
        <w:tblW w:w="77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1482"/>
        <w:gridCol w:w="2273"/>
        <w:gridCol w:w="1701"/>
        <w:gridCol w:w="1418"/>
      </w:tblGrid>
      <w:tr w:rsidR="000C77FA" w:rsidRPr="000C77FA" w14:paraId="0F4A7B58" w14:textId="77777777">
        <w:trPr>
          <w:trHeight w:val="624"/>
          <w:tblHeader/>
          <w:jc w:val="center"/>
        </w:trPr>
        <w:tc>
          <w:tcPr>
            <w:tcW w:w="918" w:type="dxa"/>
            <w:shd w:val="clear" w:color="auto" w:fill="D9D9D9"/>
            <w:vAlign w:val="center"/>
          </w:tcPr>
          <w:p w14:paraId="42C22F22" w14:textId="77777777" w:rsidR="00072693" w:rsidRPr="000C77FA" w:rsidRDefault="002C1F92" w:rsidP="000C77FA">
            <w:pP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lastRenderedPageBreak/>
              <w:t>Recurso</w:t>
            </w:r>
          </w:p>
        </w:tc>
        <w:tc>
          <w:tcPr>
            <w:tcW w:w="1482" w:type="dxa"/>
            <w:shd w:val="clear" w:color="auto" w:fill="D9D9D9"/>
            <w:vAlign w:val="center"/>
          </w:tcPr>
          <w:p w14:paraId="2E96F382" w14:textId="77777777" w:rsidR="00072693" w:rsidRPr="000C77FA" w:rsidRDefault="002C1F92" w:rsidP="000C77FA">
            <w:pPr>
              <w:jc w:val="center"/>
              <w:rPr>
                <w:rFonts w:ascii="Palatino Linotype" w:eastAsia="Palatino Linotype" w:hAnsi="Palatino Linotype" w:cs="Palatino Linotype"/>
                <w:b/>
                <w:sz w:val="19"/>
                <w:szCs w:val="19"/>
              </w:rPr>
            </w:pPr>
            <w:r w:rsidRPr="000C77FA">
              <w:rPr>
                <w:rFonts w:ascii="Palatino Linotype" w:eastAsia="Palatino Linotype" w:hAnsi="Palatino Linotype" w:cs="Palatino Linotype"/>
                <w:b/>
                <w:sz w:val="19"/>
                <w:szCs w:val="19"/>
              </w:rPr>
              <w:t>Notificación de respuesta</w:t>
            </w:r>
          </w:p>
        </w:tc>
        <w:tc>
          <w:tcPr>
            <w:tcW w:w="2273" w:type="dxa"/>
            <w:shd w:val="clear" w:color="auto" w:fill="D9D9D9"/>
            <w:vAlign w:val="center"/>
          </w:tcPr>
          <w:p w14:paraId="700898FE" w14:textId="77777777" w:rsidR="00072693" w:rsidRPr="000C77FA" w:rsidRDefault="002C1F92" w:rsidP="000C77FA">
            <w:pPr>
              <w:rPr>
                <w:rFonts w:ascii="Palatino Linotype" w:eastAsia="Palatino Linotype" w:hAnsi="Palatino Linotype" w:cs="Palatino Linotype"/>
                <w:b/>
                <w:sz w:val="19"/>
                <w:szCs w:val="19"/>
              </w:rPr>
            </w:pPr>
            <w:r w:rsidRPr="000C77FA">
              <w:rPr>
                <w:rFonts w:ascii="Palatino Linotype" w:eastAsia="Palatino Linotype" w:hAnsi="Palatino Linotype" w:cs="Palatino Linotype"/>
                <w:b/>
                <w:sz w:val="19"/>
                <w:szCs w:val="19"/>
              </w:rPr>
              <w:t>Plazo de presentación</w:t>
            </w:r>
            <w:r w:rsidRPr="000C77FA">
              <w:rPr>
                <w:rFonts w:ascii="Palatino Linotype" w:eastAsia="Palatino Linotype" w:hAnsi="Palatino Linotype" w:cs="Palatino Linotype"/>
                <w:b/>
                <w:sz w:val="19"/>
                <w:szCs w:val="19"/>
                <w:vertAlign w:val="superscript"/>
              </w:rPr>
              <w:footnoteReference w:id="7"/>
            </w:r>
          </w:p>
        </w:tc>
        <w:tc>
          <w:tcPr>
            <w:tcW w:w="1701" w:type="dxa"/>
            <w:shd w:val="clear" w:color="auto" w:fill="D9D9D9"/>
            <w:vAlign w:val="center"/>
          </w:tcPr>
          <w:p w14:paraId="14E22F27" w14:textId="77777777" w:rsidR="00072693" w:rsidRPr="000C77FA" w:rsidRDefault="002C1F92" w:rsidP="000C77FA">
            <w:pPr>
              <w:jc w:val="center"/>
              <w:rPr>
                <w:rFonts w:ascii="Palatino Linotype" w:eastAsia="Palatino Linotype" w:hAnsi="Palatino Linotype" w:cs="Palatino Linotype"/>
                <w:b/>
                <w:sz w:val="19"/>
                <w:szCs w:val="19"/>
              </w:rPr>
            </w:pPr>
            <w:r w:rsidRPr="000C77FA">
              <w:rPr>
                <w:rFonts w:ascii="Palatino Linotype" w:eastAsia="Palatino Linotype" w:hAnsi="Palatino Linotype" w:cs="Palatino Linotype"/>
                <w:b/>
                <w:sz w:val="19"/>
                <w:szCs w:val="19"/>
              </w:rPr>
              <w:t>Fecha de interposición</w:t>
            </w:r>
          </w:p>
        </w:tc>
        <w:tc>
          <w:tcPr>
            <w:tcW w:w="1418" w:type="dxa"/>
            <w:shd w:val="clear" w:color="auto" w:fill="D9D9D9"/>
            <w:vAlign w:val="center"/>
          </w:tcPr>
          <w:p w14:paraId="4437ADC7" w14:textId="77777777" w:rsidR="00072693" w:rsidRPr="000C77FA" w:rsidRDefault="002C1F92" w:rsidP="000C77FA">
            <w:pPr>
              <w:jc w:val="center"/>
              <w:rPr>
                <w:rFonts w:ascii="Palatino Linotype" w:eastAsia="Palatino Linotype" w:hAnsi="Palatino Linotype" w:cs="Palatino Linotype"/>
                <w:b/>
                <w:sz w:val="19"/>
                <w:szCs w:val="19"/>
              </w:rPr>
            </w:pPr>
            <w:r w:rsidRPr="000C77FA">
              <w:rPr>
                <w:rFonts w:ascii="Palatino Linotype" w:eastAsia="Palatino Linotype" w:hAnsi="Palatino Linotype" w:cs="Palatino Linotype"/>
                <w:b/>
                <w:sz w:val="19"/>
                <w:szCs w:val="19"/>
              </w:rPr>
              <w:t>Oportunidad</w:t>
            </w:r>
          </w:p>
          <w:p w14:paraId="2712977E" w14:textId="77777777" w:rsidR="00072693" w:rsidRPr="000C77FA" w:rsidRDefault="002C1F92" w:rsidP="000C77FA">
            <w:pPr>
              <w:jc w:val="center"/>
              <w:rPr>
                <w:rFonts w:ascii="Palatino Linotype" w:eastAsia="Palatino Linotype" w:hAnsi="Palatino Linotype" w:cs="Palatino Linotype"/>
                <w:b/>
                <w:sz w:val="19"/>
                <w:szCs w:val="19"/>
              </w:rPr>
            </w:pPr>
            <w:r w:rsidRPr="000C77FA">
              <w:rPr>
                <w:rFonts w:ascii="Palatino Linotype" w:eastAsia="Palatino Linotype" w:hAnsi="Palatino Linotype" w:cs="Palatino Linotype"/>
                <w:b/>
                <w:sz w:val="19"/>
                <w:szCs w:val="19"/>
              </w:rPr>
              <w:t>Si/No</w:t>
            </w:r>
          </w:p>
        </w:tc>
      </w:tr>
      <w:tr w:rsidR="000C77FA" w:rsidRPr="000C77FA" w14:paraId="1E8B155C" w14:textId="77777777">
        <w:trPr>
          <w:trHeight w:val="624"/>
          <w:jc w:val="center"/>
        </w:trPr>
        <w:tc>
          <w:tcPr>
            <w:tcW w:w="918" w:type="dxa"/>
            <w:shd w:val="clear" w:color="auto" w:fill="auto"/>
            <w:vAlign w:val="center"/>
          </w:tcPr>
          <w:p w14:paraId="376A85C8" w14:textId="77777777" w:rsidR="00072693" w:rsidRPr="000C77FA" w:rsidRDefault="002C1F92" w:rsidP="000C77FA">
            <w:pPr>
              <w:rPr>
                <w:rFonts w:ascii="Palatino Linotype" w:eastAsia="Palatino Linotype" w:hAnsi="Palatino Linotype" w:cs="Palatino Linotype"/>
                <w:b/>
                <w:sz w:val="20"/>
                <w:szCs w:val="20"/>
              </w:rPr>
            </w:pPr>
            <w:r w:rsidRPr="000C77FA">
              <w:rPr>
                <w:rFonts w:ascii="Palatino Linotype" w:eastAsia="Palatino Linotype" w:hAnsi="Palatino Linotype" w:cs="Palatino Linotype"/>
                <w:sz w:val="20"/>
                <w:szCs w:val="20"/>
              </w:rPr>
              <w:t>00207</w:t>
            </w:r>
          </w:p>
        </w:tc>
        <w:tc>
          <w:tcPr>
            <w:tcW w:w="1482" w:type="dxa"/>
            <w:shd w:val="clear" w:color="auto" w:fill="auto"/>
            <w:vAlign w:val="center"/>
          </w:tcPr>
          <w:p w14:paraId="0C9B26F2"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12-12-2022</w:t>
            </w:r>
          </w:p>
        </w:tc>
        <w:tc>
          <w:tcPr>
            <w:tcW w:w="2273" w:type="dxa"/>
            <w:shd w:val="clear" w:color="auto" w:fill="auto"/>
            <w:vAlign w:val="center"/>
          </w:tcPr>
          <w:p w14:paraId="3731CADC" w14:textId="77777777" w:rsidR="00072693" w:rsidRPr="000C77FA" w:rsidRDefault="002C1F92" w:rsidP="000C77FA">
            <w:pP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Del 13 de diciembre al 18 de enero</w:t>
            </w:r>
          </w:p>
        </w:tc>
        <w:tc>
          <w:tcPr>
            <w:tcW w:w="1701" w:type="dxa"/>
            <w:shd w:val="clear" w:color="auto" w:fill="auto"/>
            <w:vAlign w:val="center"/>
          </w:tcPr>
          <w:p w14:paraId="0C403590"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12-01-2023</w:t>
            </w:r>
          </w:p>
        </w:tc>
        <w:tc>
          <w:tcPr>
            <w:tcW w:w="1418" w:type="dxa"/>
            <w:shd w:val="clear" w:color="auto" w:fill="auto"/>
            <w:vAlign w:val="center"/>
          </w:tcPr>
          <w:p w14:paraId="16538E69"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Si</w:t>
            </w:r>
          </w:p>
        </w:tc>
      </w:tr>
      <w:tr w:rsidR="000C77FA" w:rsidRPr="000C77FA" w14:paraId="32986536" w14:textId="77777777">
        <w:trPr>
          <w:trHeight w:val="624"/>
          <w:jc w:val="center"/>
        </w:trPr>
        <w:tc>
          <w:tcPr>
            <w:tcW w:w="918" w:type="dxa"/>
            <w:shd w:val="clear" w:color="auto" w:fill="auto"/>
            <w:vAlign w:val="center"/>
          </w:tcPr>
          <w:p w14:paraId="58BF1B46" w14:textId="77777777" w:rsidR="00072693" w:rsidRPr="000C77FA" w:rsidRDefault="002C1F92" w:rsidP="000C77FA">
            <w:pPr>
              <w:rPr>
                <w:rFonts w:ascii="Palatino Linotype" w:eastAsia="Palatino Linotype" w:hAnsi="Palatino Linotype" w:cs="Palatino Linotype"/>
                <w:b/>
                <w:sz w:val="20"/>
                <w:szCs w:val="20"/>
              </w:rPr>
            </w:pPr>
            <w:r w:rsidRPr="000C77FA">
              <w:rPr>
                <w:rFonts w:ascii="Palatino Linotype" w:eastAsia="Palatino Linotype" w:hAnsi="Palatino Linotype" w:cs="Palatino Linotype"/>
                <w:sz w:val="20"/>
                <w:szCs w:val="20"/>
              </w:rPr>
              <w:t>00208</w:t>
            </w:r>
          </w:p>
        </w:tc>
        <w:tc>
          <w:tcPr>
            <w:tcW w:w="1482" w:type="dxa"/>
            <w:shd w:val="clear" w:color="auto" w:fill="auto"/>
            <w:vAlign w:val="center"/>
          </w:tcPr>
          <w:p w14:paraId="368636C1"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12-12-2022</w:t>
            </w:r>
          </w:p>
        </w:tc>
        <w:tc>
          <w:tcPr>
            <w:tcW w:w="2273" w:type="dxa"/>
            <w:shd w:val="clear" w:color="auto" w:fill="auto"/>
          </w:tcPr>
          <w:p w14:paraId="55EF5A49" w14:textId="77777777" w:rsidR="00072693" w:rsidRPr="000C77FA" w:rsidRDefault="002C1F92" w:rsidP="000C77FA">
            <w:pPr>
              <w:rPr>
                <w:sz w:val="19"/>
                <w:szCs w:val="19"/>
              </w:rPr>
            </w:pPr>
            <w:r w:rsidRPr="000C77FA">
              <w:rPr>
                <w:rFonts w:ascii="Palatino Linotype" w:eastAsia="Palatino Linotype" w:hAnsi="Palatino Linotype" w:cs="Palatino Linotype"/>
                <w:sz w:val="19"/>
                <w:szCs w:val="19"/>
              </w:rPr>
              <w:t>Del 13 de diciembre al 18 de enero</w:t>
            </w:r>
          </w:p>
        </w:tc>
        <w:tc>
          <w:tcPr>
            <w:tcW w:w="1701" w:type="dxa"/>
            <w:shd w:val="clear" w:color="auto" w:fill="auto"/>
            <w:vAlign w:val="center"/>
          </w:tcPr>
          <w:p w14:paraId="5A6789FF"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12-01-2023</w:t>
            </w:r>
          </w:p>
        </w:tc>
        <w:tc>
          <w:tcPr>
            <w:tcW w:w="1418" w:type="dxa"/>
            <w:shd w:val="clear" w:color="auto" w:fill="auto"/>
            <w:vAlign w:val="center"/>
          </w:tcPr>
          <w:p w14:paraId="5125CF8E"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Si</w:t>
            </w:r>
          </w:p>
        </w:tc>
      </w:tr>
      <w:tr w:rsidR="000C77FA" w:rsidRPr="000C77FA" w14:paraId="4C14F97D" w14:textId="77777777">
        <w:trPr>
          <w:trHeight w:val="624"/>
          <w:jc w:val="center"/>
        </w:trPr>
        <w:tc>
          <w:tcPr>
            <w:tcW w:w="918" w:type="dxa"/>
            <w:shd w:val="clear" w:color="auto" w:fill="auto"/>
            <w:vAlign w:val="center"/>
          </w:tcPr>
          <w:p w14:paraId="1B6F8E4E" w14:textId="77777777" w:rsidR="00072693" w:rsidRPr="000C77FA" w:rsidRDefault="002C1F92" w:rsidP="000C77FA">
            <w:pPr>
              <w:rPr>
                <w:rFonts w:ascii="Palatino Linotype" w:eastAsia="Palatino Linotype" w:hAnsi="Palatino Linotype" w:cs="Palatino Linotype"/>
                <w:b/>
                <w:sz w:val="20"/>
                <w:szCs w:val="20"/>
              </w:rPr>
            </w:pPr>
            <w:r w:rsidRPr="000C77FA">
              <w:rPr>
                <w:rFonts w:ascii="Palatino Linotype" w:eastAsia="Palatino Linotype" w:hAnsi="Palatino Linotype" w:cs="Palatino Linotype"/>
                <w:sz w:val="20"/>
                <w:szCs w:val="20"/>
              </w:rPr>
              <w:t>00210</w:t>
            </w:r>
          </w:p>
        </w:tc>
        <w:tc>
          <w:tcPr>
            <w:tcW w:w="1482" w:type="dxa"/>
            <w:shd w:val="clear" w:color="auto" w:fill="auto"/>
            <w:vAlign w:val="center"/>
          </w:tcPr>
          <w:p w14:paraId="21B2F6F7"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12-12-2022</w:t>
            </w:r>
          </w:p>
        </w:tc>
        <w:tc>
          <w:tcPr>
            <w:tcW w:w="2273" w:type="dxa"/>
            <w:shd w:val="clear" w:color="auto" w:fill="auto"/>
          </w:tcPr>
          <w:p w14:paraId="69B93726" w14:textId="77777777" w:rsidR="00072693" w:rsidRPr="000C77FA" w:rsidRDefault="002C1F92" w:rsidP="000C77FA">
            <w:pPr>
              <w:rPr>
                <w:sz w:val="19"/>
                <w:szCs w:val="19"/>
              </w:rPr>
            </w:pPr>
            <w:r w:rsidRPr="000C77FA">
              <w:rPr>
                <w:rFonts w:ascii="Palatino Linotype" w:eastAsia="Palatino Linotype" w:hAnsi="Palatino Linotype" w:cs="Palatino Linotype"/>
                <w:sz w:val="19"/>
                <w:szCs w:val="19"/>
              </w:rPr>
              <w:t>Del 13 de diciembre al 18 de enero</w:t>
            </w:r>
          </w:p>
        </w:tc>
        <w:tc>
          <w:tcPr>
            <w:tcW w:w="1701" w:type="dxa"/>
            <w:shd w:val="clear" w:color="auto" w:fill="auto"/>
            <w:vAlign w:val="center"/>
          </w:tcPr>
          <w:p w14:paraId="01858958"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12-01-2023</w:t>
            </w:r>
          </w:p>
        </w:tc>
        <w:tc>
          <w:tcPr>
            <w:tcW w:w="1418" w:type="dxa"/>
            <w:shd w:val="clear" w:color="auto" w:fill="auto"/>
            <w:vAlign w:val="center"/>
          </w:tcPr>
          <w:p w14:paraId="7AF2B4F4"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Si</w:t>
            </w:r>
          </w:p>
        </w:tc>
      </w:tr>
      <w:tr w:rsidR="00072693" w:rsidRPr="000C77FA" w14:paraId="19F77D6B" w14:textId="77777777">
        <w:trPr>
          <w:trHeight w:val="624"/>
          <w:jc w:val="center"/>
        </w:trPr>
        <w:tc>
          <w:tcPr>
            <w:tcW w:w="918" w:type="dxa"/>
            <w:shd w:val="clear" w:color="auto" w:fill="auto"/>
            <w:vAlign w:val="center"/>
          </w:tcPr>
          <w:p w14:paraId="5BB417BC"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sz w:val="20"/>
                <w:szCs w:val="20"/>
              </w:rPr>
              <w:t>00211</w:t>
            </w:r>
          </w:p>
        </w:tc>
        <w:tc>
          <w:tcPr>
            <w:tcW w:w="1482" w:type="dxa"/>
            <w:shd w:val="clear" w:color="auto" w:fill="auto"/>
            <w:vAlign w:val="center"/>
          </w:tcPr>
          <w:p w14:paraId="26FF73A5"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12-12-2022</w:t>
            </w:r>
          </w:p>
        </w:tc>
        <w:tc>
          <w:tcPr>
            <w:tcW w:w="2273" w:type="dxa"/>
            <w:shd w:val="clear" w:color="auto" w:fill="auto"/>
          </w:tcPr>
          <w:p w14:paraId="31044D72" w14:textId="77777777" w:rsidR="00072693" w:rsidRPr="000C77FA" w:rsidRDefault="002C1F92" w:rsidP="000C77FA">
            <w:pPr>
              <w:rPr>
                <w:sz w:val="19"/>
                <w:szCs w:val="19"/>
              </w:rPr>
            </w:pPr>
            <w:r w:rsidRPr="000C77FA">
              <w:rPr>
                <w:rFonts w:ascii="Palatino Linotype" w:eastAsia="Palatino Linotype" w:hAnsi="Palatino Linotype" w:cs="Palatino Linotype"/>
                <w:sz w:val="19"/>
                <w:szCs w:val="19"/>
              </w:rPr>
              <w:t>Del 13 de diciembre al 18 de enero</w:t>
            </w:r>
          </w:p>
        </w:tc>
        <w:tc>
          <w:tcPr>
            <w:tcW w:w="1701" w:type="dxa"/>
            <w:shd w:val="clear" w:color="auto" w:fill="auto"/>
            <w:vAlign w:val="center"/>
          </w:tcPr>
          <w:p w14:paraId="0D1BD35A"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12-01-2023</w:t>
            </w:r>
          </w:p>
        </w:tc>
        <w:tc>
          <w:tcPr>
            <w:tcW w:w="1418" w:type="dxa"/>
            <w:shd w:val="clear" w:color="auto" w:fill="auto"/>
            <w:vAlign w:val="center"/>
          </w:tcPr>
          <w:p w14:paraId="7F87DB5D" w14:textId="77777777" w:rsidR="00072693" w:rsidRPr="000C77FA" w:rsidRDefault="002C1F92" w:rsidP="000C77FA">
            <w:pPr>
              <w:jc w:val="center"/>
              <w:rPr>
                <w:rFonts w:ascii="Palatino Linotype" w:eastAsia="Palatino Linotype" w:hAnsi="Palatino Linotype" w:cs="Palatino Linotype"/>
                <w:sz w:val="19"/>
                <w:szCs w:val="19"/>
              </w:rPr>
            </w:pPr>
            <w:r w:rsidRPr="000C77FA">
              <w:rPr>
                <w:rFonts w:ascii="Palatino Linotype" w:eastAsia="Palatino Linotype" w:hAnsi="Palatino Linotype" w:cs="Palatino Linotype"/>
                <w:sz w:val="19"/>
                <w:szCs w:val="19"/>
              </w:rPr>
              <w:t>Si</w:t>
            </w:r>
          </w:p>
        </w:tc>
      </w:tr>
    </w:tbl>
    <w:p w14:paraId="46932473" w14:textId="77777777" w:rsidR="00072693" w:rsidRPr="000C77FA" w:rsidRDefault="00072693" w:rsidP="000C77FA">
      <w:pPr>
        <w:spacing w:line="360" w:lineRule="auto"/>
        <w:rPr>
          <w:rFonts w:ascii="Palatino Linotype" w:eastAsia="Palatino Linotype" w:hAnsi="Palatino Linotype" w:cs="Palatino Linotype"/>
        </w:rPr>
      </w:pPr>
    </w:p>
    <w:p w14:paraId="15EA1A8F"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efecto, atendiendo a la fecha de notificación de las respuestas a las solicitudes de información pública, y la fecha de impugnación, es evidente que su presentación fue oportuna. </w:t>
      </w:r>
    </w:p>
    <w:p w14:paraId="51099E10" w14:textId="77777777" w:rsidR="00072693" w:rsidRPr="000C77FA" w:rsidRDefault="00072693" w:rsidP="000C77FA">
      <w:pPr>
        <w:tabs>
          <w:tab w:val="left" w:pos="3615"/>
        </w:tabs>
        <w:spacing w:line="360" w:lineRule="auto"/>
        <w:jc w:val="both"/>
        <w:rPr>
          <w:rFonts w:ascii="Palatino Linotype" w:eastAsia="Palatino Linotype" w:hAnsi="Palatino Linotype" w:cs="Palatino Linotype"/>
        </w:rPr>
      </w:pPr>
    </w:p>
    <w:p w14:paraId="7901BBE7" w14:textId="77777777" w:rsidR="00072693" w:rsidRPr="000C77FA" w:rsidRDefault="002C1F92" w:rsidP="000C77FA">
      <w:pPr>
        <w:spacing w:line="360" w:lineRule="auto"/>
        <w:ind w:right="49"/>
        <w:jc w:val="both"/>
        <w:rPr>
          <w:rFonts w:ascii="Palatino Linotype" w:eastAsia="Palatino Linotype" w:hAnsi="Palatino Linotype" w:cs="Palatino Linotype"/>
          <w:b/>
        </w:rPr>
      </w:pPr>
      <w:r w:rsidRPr="000C77FA">
        <w:rPr>
          <w:rFonts w:ascii="Palatino Linotype" w:eastAsia="Palatino Linotype" w:hAnsi="Palatino Linotype" w:cs="Palatino Linotype"/>
          <w:b/>
          <w:sz w:val="26"/>
          <w:szCs w:val="26"/>
        </w:rPr>
        <w:t xml:space="preserve">CUARTO. </w:t>
      </w:r>
      <w:r w:rsidRPr="000C77FA">
        <w:rPr>
          <w:rFonts w:ascii="Palatino Linotype" w:eastAsia="Palatino Linotype" w:hAnsi="Palatino Linotype" w:cs="Palatino Linotype"/>
          <w:b/>
        </w:rPr>
        <w:t>Análisis de procedencia.</w:t>
      </w:r>
    </w:p>
    <w:p w14:paraId="529282EE"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 efecto de determinar la procedencia del estudio de la acción intentada por la solicitante, se procede a revisar la solicitud, la respuesta, los actos impugnados y las razones de inconformidad planteadas por </w:t>
      </w:r>
      <w:r w:rsidRPr="000C77FA">
        <w:rPr>
          <w:rFonts w:ascii="Palatino Linotype" w:eastAsia="Palatino Linotype" w:hAnsi="Palatino Linotype" w:cs="Palatino Linotype"/>
          <w:b/>
        </w:rPr>
        <w:t xml:space="preserve">EL RECURRENTE </w:t>
      </w:r>
      <w:r w:rsidRPr="000C77FA">
        <w:rPr>
          <w:rFonts w:ascii="Palatino Linotype" w:eastAsia="Palatino Linotype" w:hAnsi="Palatino Linotype" w:cs="Palatino Linotype"/>
        </w:rPr>
        <w:t>expuestos en los antecedentes de la presente resolución,</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rPr>
        <w:t xml:space="preserve">advirtiéndose que se actualizan las hipótesis </w:t>
      </w:r>
      <w:r w:rsidRPr="000C77FA">
        <w:rPr>
          <w:rFonts w:ascii="Palatino Linotype" w:eastAsia="Palatino Linotype" w:hAnsi="Palatino Linotype" w:cs="Palatino Linotype"/>
        </w:rPr>
        <w:lastRenderedPageBreak/>
        <w:t xml:space="preserve">de </w:t>
      </w:r>
      <w:proofErr w:type="spellStart"/>
      <w:r w:rsidRPr="000C77FA">
        <w:rPr>
          <w:rFonts w:ascii="Palatino Linotype" w:eastAsia="Palatino Linotype" w:hAnsi="Palatino Linotype" w:cs="Palatino Linotype"/>
        </w:rPr>
        <w:t>procedibilidad</w:t>
      </w:r>
      <w:proofErr w:type="spellEnd"/>
      <w:r w:rsidRPr="000C77FA">
        <w:rPr>
          <w:rFonts w:ascii="Palatino Linotype" w:eastAsia="Palatino Linotype" w:hAnsi="Palatino Linotype" w:cs="Palatino Linotype"/>
        </w:rPr>
        <w:t xml:space="preserve"> previstas en las fracciones V y VI, del artículo 179 de la Ley de la materia, el cual a la letra dice:</w:t>
      </w:r>
    </w:p>
    <w:p w14:paraId="59B5C198" w14:textId="77777777" w:rsidR="00072693" w:rsidRPr="000C77FA" w:rsidRDefault="00072693" w:rsidP="000C77FA">
      <w:pPr>
        <w:spacing w:line="360" w:lineRule="auto"/>
        <w:jc w:val="both"/>
        <w:rPr>
          <w:rFonts w:ascii="Palatino Linotype" w:eastAsia="Palatino Linotype" w:hAnsi="Palatino Linotype" w:cs="Palatino Linotype"/>
        </w:rPr>
      </w:pPr>
    </w:p>
    <w:p w14:paraId="2CD0DBF5" w14:textId="77777777" w:rsidR="00072693" w:rsidRPr="000C77FA" w:rsidRDefault="002C1F92" w:rsidP="000C77FA">
      <w:pPr>
        <w:tabs>
          <w:tab w:val="left" w:pos="8222"/>
        </w:tabs>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Artículo 179.</w:t>
      </w:r>
      <w:r w:rsidRPr="000C77FA">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3930385" w14:textId="77777777" w:rsidR="00072693" w:rsidRPr="000C77FA" w:rsidRDefault="00072693" w:rsidP="000C77FA">
      <w:pPr>
        <w:tabs>
          <w:tab w:val="left" w:pos="8222"/>
        </w:tabs>
        <w:ind w:left="851" w:right="901"/>
        <w:jc w:val="both"/>
        <w:rPr>
          <w:rFonts w:ascii="Palatino Linotype" w:eastAsia="Palatino Linotype" w:hAnsi="Palatino Linotype" w:cs="Palatino Linotype"/>
          <w:i/>
          <w:sz w:val="22"/>
          <w:szCs w:val="22"/>
        </w:rPr>
      </w:pPr>
    </w:p>
    <w:p w14:paraId="19FAE407" w14:textId="77777777" w:rsidR="00072693" w:rsidRPr="000C77FA" w:rsidRDefault="002C1F92" w:rsidP="000C77FA">
      <w:pPr>
        <w:tabs>
          <w:tab w:val="left" w:pos="8222"/>
        </w:tabs>
        <w:ind w:left="851" w:right="90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w:t>
      </w:r>
    </w:p>
    <w:p w14:paraId="490AAACC" w14:textId="77777777" w:rsidR="00072693" w:rsidRPr="000C77FA" w:rsidRDefault="002C1F92" w:rsidP="000C77FA">
      <w:pPr>
        <w:tabs>
          <w:tab w:val="left" w:pos="8222"/>
        </w:tabs>
        <w:ind w:left="851" w:right="90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V. La entrega de información incompleta;</w:t>
      </w:r>
    </w:p>
    <w:p w14:paraId="39472E2D" w14:textId="77777777" w:rsidR="00072693" w:rsidRPr="000C77FA" w:rsidRDefault="002C1F92" w:rsidP="000C77FA">
      <w:pPr>
        <w:tabs>
          <w:tab w:val="left" w:pos="8222"/>
        </w:tabs>
        <w:ind w:left="851" w:right="90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VI. La entrega de información que no corresponda con lo solicitado;</w:t>
      </w:r>
    </w:p>
    <w:p w14:paraId="7AC3348F" w14:textId="77777777" w:rsidR="00072693" w:rsidRPr="000C77FA" w:rsidRDefault="002C1F92" w:rsidP="000C77FA">
      <w:pPr>
        <w:tabs>
          <w:tab w:val="left" w:pos="8222"/>
        </w:tabs>
        <w:ind w:left="851" w:right="901"/>
        <w:rPr>
          <w:rFonts w:ascii="Palatino Linotype" w:eastAsia="Palatino Linotype" w:hAnsi="Palatino Linotype" w:cs="Palatino Linotype"/>
        </w:rPr>
      </w:pPr>
      <w:r w:rsidRPr="000C77FA">
        <w:rPr>
          <w:rFonts w:ascii="Palatino Linotype" w:eastAsia="Palatino Linotype" w:hAnsi="Palatino Linotype" w:cs="Palatino Linotype"/>
          <w:b/>
          <w:i/>
          <w:sz w:val="22"/>
          <w:szCs w:val="22"/>
        </w:rPr>
        <w:t xml:space="preserve"> …</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i/>
          <w:sz w:val="16"/>
          <w:szCs w:val="16"/>
        </w:rPr>
        <w:t>(Énfasis añadido)</w:t>
      </w:r>
    </w:p>
    <w:p w14:paraId="2DC44557" w14:textId="77777777" w:rsidR="00072693" w:rsidRPr="000C77FA" w:rsidRDefault="00072693" w:rsidP="000C77FA">
      <w:pPr>
        <w:spacing w:line="360" w:lineRule="auto"/>
        <w:jc w:val="both"/>
        <w:rPr>
          <w:rFonts w:ascii="Palatino Linotype" w:eastAsia="Palatino Linotype" w:hAnsi="Palatino Linotype" w:cs="Palatino Linotype"/>
        </w:rPr>
      </w:pPr>
    </w:p>
    <w:p w14:paraId="5DA4E9F4"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Atendiendo a lo anterior y al no identificarse causa alguna que impida el estudio de los motivos de inconformidad planteados, se procede al análisis respectivo.</w:t>
      </w:r>
    </w:p>
    <w:p w14:paraId="1AB01D32" w14:textId="77777777" w:rsidR="00072693" w:rsidRPr="000C77FA" w:rsidRDefault="00072693" w:rsidP="000C77FA">
      <w:pPr>
        <w:spacing w:line="360" w:lineRule="auto"/>
        <w:jc w:val="both"/>
        <w:rPr>
          <w:rFonts w:ascii="Palatino Linotype" w:eastAsia="Palatino Linotype" w:hAnsi="Palatino Linotype" w:cs="Palatino Linotype"/>
        </w:rPr>
      </w:pPr>
    </w:p>
    <w:p w14:paraId="715CBBB0" w14:textId="77777777" w:rsidR="00072693" w:rsidRPr="000C77FA" w:rsidRDefault="002C1F92" w:rsidP="000C77FA">
      <w:pPr>
        <w:spacing w:line="360" w:lineRule="auto"/>
        <w:jc w:val="both"/>
        <w:rPr>
          <w:rFonts w:ascii="Palatino Linotype" w:eastAsia="Palatino Linotype" w:hAnsi="Palatino Linotype" w:cs="Palatino Linotype"/>
          <w:b/>
        </w:rPr>
      </w:pPr>
      <w:r w:rsidRPr="000C77FA">
        <w:rPr>
          <w:rFonts w:ascii="Palatino Linotype" w:eastAsia="Palatino Linotype" w:hAnsi="Palatino Linotype" w:cs="Palatino Linotype"/>
          <w:b/>
        </w:rPr>
        <w:t>Respecto de las causales de improcedencia.</w:t>
      </w:r>
    </w:p>
    <w:p w14:paraId="0D993571" w14:textId="77777777" w:rsidR="00072693" w:rsidRPr="000C77FA" w:rsidRDefault="002C1F92" w:rsidP="000C77FA">
      <w:pPr>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El estudio de las causas de improcedencia que se hagan valer por las partes o que se advierta de oficio por este órgano </w:t>
      </w:r>
      <w:proofErr w:type="spellStart"/>
      <w:r w:rsidRPr="000C77FA">
        <w:rPr>
          <w:rFonts w:ascii="Palatino Linotype" w:eastAsia="Palatino Linotype" w:hAnsi="Palatino Linotype" w:cs="Palatino Linotype"/>
        </w:rPr>
        <w:t>resolutor</w:t>
      </w:r>
      <w:proofErr w:type="spellEnd"/>
      <w:r w:rsidRPr="000C77FA">
        <w:rPr>
          <w:rFonts w:ascii="Palatino Linotype" w:eastAsia="Palatino Linotype" w:hAnsi="Palatino Linotype" w:cs="Palatino Linotype"/>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w:t>
      </w:r>
    </w:p>
    <w:p w14:paraId="49A3F61C" w14:textId="77777777" w:rsidR="00072693" w:rsidRPr="000C77FA" w:rsidRDefault="00072693" w:rsidP="000C77FA">
      <w:pPr>
        <w:spacing w:line="360" w:lineRule="auto"/>
        <w:ind w:right="49"/>
        <w:jc w:val="both"/>
        <w:rPr>
          <w:rFonts w:ascii="Palatino Linotype" w:eastAsia="Palatino Linotype" w:hAnsi="Palatino Linotype" w:cs="Palatino Linotype"/>
        </w:rPr>
      </w:pPr>
    </w:p>
    <w:p w14:paraId="322563A5"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las cosas, del análisis a los expedientes electrónicos, no se actualiza ninguna causa de improcedencia de las referidas en el artículo 191 de la Ley de Transparencia local, ni mucho menos se hizo valer causa de improcedencia alguna por las partes, </w:t>
      </w:r>
      <w:r w:rsidRPr="000C77FA">
        <w:rPr>
          <w:rFonts w:ascii="Palatino Linotype" w:eastAsia="Palatino Linotype" w:hAnsi="Palatino Linotype" w:cs="Palatino Linotype"/>
        </w:rPr>
        <w:lastRenderedPageBreak/>
        <w:t>encontrándose actualizados todos los presupuestos procesales para atender el fondo del asunto, en los términos del considerando posterior.</w:t>
      </w:r>
    </w:p>
    <w:p w14:paraId="5F6C71C1" w14:textId="77777777" w:rsidR="00072693" w:rsidRPr="000C77FA" w:rsidRDefault="00072693" w:rsidP="000C77FA">
      <w:pPr>
        <w:spacing w:line="360" w:lineRule="auto"/>
        <w:jc w:val="both"/>
        <w:rPr>
          <w:rFonts w:ascii="Palatino Linotype" w:eastAsia="Palatino Linotype" w:hAnsi="Palatino Linotype" w:cs="Palatino Linotype"/>
        </w:rPr>
      </w:pPr>
    </w:p>
    <w:p w14:paraId="5E54D785"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Atendiendo a lo anterior y al no identificarse causa alguna que impida el estudio de los motivos de inconformidad planteados, se procede al análisis respectivo.</w:t>
      </w:r>
    </w:p>
    <w:p w14:paraId="77DD046C" w14:textId="77777777" w:rsidR="00072693" w:rsidRPr="000C77FA" w:rsidRDefault="00072693" w:rsidP="000C77FA">
      <w:pPr>
        <w:spacing w:line="360" w:lineRule="auto"/>
        <w:jc w:val="both"/>
        <w:rPr>
          <w:rFonts w:ascii="Palatino Linotype" w:eastAsia="Palatino Linotype" w:hAnsi="Palatino Linotype" w:cs="Palatino Linotype"/>
        </w:rPr>
      </w:pPr>
    </w:p>
    <w:p w14:paraId="74FF8DC8" w14:textId="77777777" w:rsidR="00072693" w:rsidRPr="000C77FA" w:rsidRDefault="002C1F92" w:rsidP="000C77FA">
      <w:pPr>
        <w:spacing w:line="360" w:lineRule="auto"/>
        <w:jc w:val="both"/>
        <w:rPr>
          <w:rFonts w:ascii="Palatino Linotype" w:eastAsia="Palatino Linotype" w:hAnsi="Palatino Linotype" w:cs="Palatino Linotype"/>
          <w:b/>
          <w:sz w:val="26"/>
          <w:szCs w:val="26"/>
        </w:rPr>
      </w:pPr>
      <w:r w:rsidRPr="000C77FA">
        <w:rPr>
          <w:rFonts w:ascii="Palatino Linotype" w:eastAsia="Palatino Linotype" w:hAnsi="Palatino Linotype" w:cs="Palatino Linotype"/>
          <w:b/>
          <w:sz w:val="26"/>
          <w:szCs w:val="26"/>
        </w:rPr>
        <w:t xml:space="preserve">QUINTO. </w:t>
      </w:r>
      <w:r w:rsidRPr="000C77FA">
        <w:rPr>
          <w:rFonts w:ascii="Palatino Linotype" w:eastAsia="Palatino Linotype" w:hAnsi="Palatino Linotype" w:cs="Palatino Linotype"/>
          <w:b/>
        </w:rPr>
        <w:t>Estudio y resolución del asunto.</w:t>
      </w:r>
      <w:r w:rsidRPr="000C77FA">
        <w:rPr>
          <w:rFonts w:ascii="Palatino Linotype" w:eastAsia="Palatino Linotype" w:hAnsi="Palatino Linotype" w:cs="Palatino Linotype"/>
          <w:b/>
          <w:sz w:val="26"/>
          <w:szCs w:val="26"/>
        </w:rPr>
        <w:t xml:space="preserve"> </w:t>
      </w:r>
    </w:p>
    <w:p w14:paraId="0AEF16E3" w14:textId="77777777" w:rsidR="00072693" w:rsidRPr="000C77FA" w:rsidRDefault="002C1F92" w:rsidP="000C77FA">
      <w:pPr>
        <w:tabs>
          <w:tab w:val="left" w:pos="2422"/>
        </w:tabs>
        <w:spacing w:line="360" w:lineRule="auto"/>
        <w:ind w:right="49"/>
        <w:jc w:val="both"/>
        <w:rPr>
          <w:rFonts w:ascii="Palatino Linotype" w:eastAsia="Palatino Linotype" w:hAnsi="Palatino Linotype" w:cs="Palatino Linotype"/>
          <w:b/>
        </w:rPr>
      </w:pPr>
      <w:r w:rsidRPr="000C77FA">
        <w:rPr>
          <w:rFonts w:ascii="Palatino Linotype" w:eastAsia="Palatino Linotype" w:hAnsi="Palatino Linotype" w:cs="Palatino Linotype"/>
          <w:b/>
        </w:rPr>
        <w:t>Marco Normativo General.</w:t>
      </w:r>
    </w:p>
    <w:p w14:paraId="114DC53B"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Con la finalidad de dictar un fallo conforme a derecho, este Órgano Garante realizará un análisis del contenido íntegro de las actuaciones que obran en el expediente electrónico formado en </w:t>
      </w:r>
      <w:r w:rsidRPr="000C77FA">
        <w:rPr>
          <w:rFonts w:ascii="Palatino Linotype" w:eastAsia="Palatino Linotype" w:hAnsi="Palatino Linotype" w:cs="Palatino Linotype"/>
          <w:b/>
        </w:rPr>
        <w:t>EL SAIMEX</w:t>
      </w:r>
      <w:r w:rsidRPr="000C77FA">
        <w:rPr>
          <w:rFonts w:ascii="Palatino Linotype" w:eastAsia="Palatino Linotype" w:hAnsi="Palatino Linotype" w:cs="Palatino Linotype"/>
        </w:rPr>
        <w:t>, tomando en consideración los elementos aportados por las partes y respetando en todo momento al principio de máxima publicidad consagrado en la Constitución Política de los Estados Unidos Mexicanos, Constitución Política del Estado Libre y Soberano de México y demás leyes aplicables en la materia; así como, en los Tratados Internacionales en los que el Estado Mexicano sea parte.</w:t>
      </w:r>
    </w:p>
    <w:p w14:paraId="6F9415D6" w14:textId="77777777" w:rsidR="00072693" w:rsidRPr="000C77FA" w:rsidRDefault="00072693" w:rsidP="000C77FA">
      <w:pPr>
        <w:spacing w:line="360" w:lineRule="auto"/>
        <w:jc w:val="both"/>
        <w:rPr>
          <w:rFonts w:ascii="Palatino Linotype" w:eastAsia="Palatino Linotype" w:hAnsi="Palatino Linotype" w:cs="Palatino Linotype"/>
        </w:rPr>
      </w:pPr>
    </w:p>
    <w:p w14:paraId="1F16B5CB" w14:textId="77777777" w:rsidR="00072693" w:rsidRPr="000C77FA" w:rsidRDefault="002C1F92" w:rsidP="000C77FA">
      <w:pPr>
        <w:tabs>
          <w:tab w:val="left" w:pos="2422"/>
        </w:tabs>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b/>
        </w:rPr>
        <w:t>El derecho de acceso a la Información Pública</w:t>
      </w:r>
      <w:r w:rsidRPr="000C77FA">
        <w:rPr>
          <w:rFonts w:ascii="Palatino Linotype" w:eastAsia="Palatino Linotype" w:hAnsi="Palatino Linotype" w:cs="Palatino Linotype"/>
        </w:rPr>
        <w:t xml:space="preserve"> se encuentra sustentado en el artículo 6°, Apartado A de la Constitución Política de los Estados Unidos Mexicanos, el cual señala que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w:t>
      </w:r>
      <w:r w:rsidRPr="000C77FA">
        <w:rPr>
          <w:rFonts w:ascii="Palatino Linotype" w:eastAsia="Palatino Linotype" w:hAnsi="Palatino Linotype" w:cs="Palatino Linotype"/>
        </w:rPr>
        <w:lastRenderedPageBreak/>
        <w:t xml:space="preserve">públicos o realice actos de autoridad en el ámbito federal, estatal y municipal, es pública y sólo podrá ser reservada temporalmente por razones de interés público y seguridad nacional, en los términos que fijen las leyes. </w:t>
      </w:r>
    </w:p>
    <w:p w14:paraId="4548FABF" w14:textId="77777777" w:rsidR="00072693" w:rsidRPr="000C77FA" w:rsidRDefault="00072693" w:rsidP="000C77FA">
      <w:pPr>
        <w:tabs>
          <w:tab w:val="left" w:pos="2422"/>
        </w:tabs>
        <w:spacing w:line="360" w:lineRule="auto"/>
        <w:ind w:right="51"/>
        <w:jc w:val="both"/>
        <w:rPr>
          <w:rFonts w:ascii="Palatino Linotype" w:eastAsia="Palatino Linotype" w:hAnsi="Palatino Linotype" w:cs="Palatino Linotype"/>
        </w:rPr>
      </w:pPr>
    </w:p>
    <w:p w14:paraId="1BC84E9A"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igual manera, el artículo 5º de la Constitución Política del Estado Libre y Soberano de México, establece que el derecho a la información será garantizado por el Estado. La ley establecerá las previsiones que permitan asegurar la protección, el respeto y la difusión de este derecho. </w:t>
      </w:r>
    </w:p>
    <w:p w14:paraId="6E7C1BEC" w14:textId="77777777" w:rsidR="00072693" w:rsidRPr="000C77FA" w:rsidRDefault="00072693" w:rsidP="000C77FA">
      <w:pPr>
        <w:spacing w:line="360" w:lineRule="auto"/>
        <w:jc w:val="both"/>
        <w:rPr>
          <w:rFonts w:ascii="Palatino Linotype" w:eastAsia="Palatino Linotype" w:hAnsi="Palatino Linotype" w:cs="Palatino Linotype"/>
        </w:rPr>
      </w:pPr>
    </w:p>
    <w:p w14:paraId="2A480C7F" w14:textId="77777777" w:rsidR="00072693" w:rsidRPr="000C77FA" w:rsidRDefault="002C1F92" w:rsidP="000C77FA">
      <w:pPr>
        <w:spacing w:line="360" w:lineRule="auto"/>
        <w:jc w:val="both"/>
        <w:rPr>
          <w:rFonts w:ascii="Palatino Linotype" w:eastAsia="Palatino Linotype" w:hAnsi="Palatino Linotype" w:cs="Palatino Linotype"/>
          <w:b/>
          <w:i/>
        </w:rPr>
      </w:pPr>
      <w:r w:rsidRPr="000C77FA">
        <w:rPr>
          <w:rFonts w:ascii="Palatino Linotype" w:eastAsia="Palatino Linotype" w:hAnsi="Palatino Linotype" w:cs="Palatino Linotype"/>
        </w:rPr>
        <w:t>Por su parte, la Ley de Transparencia local prevé en su artículo 23, que los sujetos obligados deberán transparentar y permitir el acceso a su información y proteger los datos personales que obren en su poder, encontrándose entre otros, “</w:t>
      </w:r>
      <w:r w:rsidRPr="000C77FA">
        <w:rPr>
          <w:rFonts w:ascii="Palatino Linotype" w:eastAsia="Palatino Linotype" w:hAnsi="Palatino Linotype" w:cs="Palatino Linotype"/>
          <w:b/>
          <w:i/>
        </w:rPr>
        <w:t>Los ayuntamientos, dependencias, organismos, órganos y entidades de la administración municipal”.</w:t>
      </w:r>
    </w:p>
    <w:p w14:paraId="29141D02" w14:textId="77777777" w:rsidR="00072693" w:rsidRPr="000C77FA" w:rsidRDefault="00072693" w:rsidP="000C77FA">
      <w:pPr>
        <w:spacing w:line="360" w:lineRule="auto"/>
        <w:jc w:val="both"/>
        <w:rPr>
          <w:rFonts w:ascii="Palatino Linotype" w:eastAsia="Palatino Linotype" w:hAnsi="Palatino Linotype" w:cs="Palatino Linotype"/>
          <w:b/>
          <w:sz w:val="22"/>
          <w:szCs w:val="22"/>
        </w:rPr>
      </w:pPr>
    </w:p>
    <w:p w14:paraId="03A9AA66" w14:textId="77777777" w:rsidR="00072693" w:rsidRPr="000C77FA" w:rsidRDefault="002C1F92"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De los preceptos legales citados se establece que los Ayuntamientos se encuentran obligados a documentar y transparentar su actuar, así como a permitir el acceso a la información que generen, posean o administren; de ahí que la Ley de la materia delimite perfectamente los alcances de las obligaciones que corresponden a los Ayuntamientos. En ese tenor es necesario referir el contenido del artículo 115, fracciones I, II y IV de la Constitución Política de los Estados Unidos Mexicanos.</w:t>
      </w:r>
    </w:p>
    <w:p w14:paraId="1EFAC846"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15E1E845" w14:textId="77777777" w:rsidR="00072693" w:rsidRPr="000C77FA" w:rsidRDefault="002C1F92" w:rsidP="000C77FA">
      <w:pPr>
        <w:tabs>
          <w:tab w:val="left" w:pos="709"/>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Por otro lado, resulta importante el contenido de los artículos 4 y 12 de la Ley de Transparencia local</w:t>
      </w:r>
      <w:r w:rsidRPr="000C77FA">
        <w:rPr>
          <w:rFonts w:ascii="Palatino Linotype" w:eastAsia="Palatino Linotype" w:hAnsi="Palatino Linotype" w:cs="Palatino Linotype"/>
          <w:vertAlign w:val="superscript"/>
        </w:rPr>
        <w:footnoteReference w:id="8"/>
      </w:r>
      <w:r w:rsidRPr="000C77FA">
        <w:rPr>
          <w:rFonts w:ascii="Palatino Linotype" w:eastAsia="Palatino Linotype" w:hAnsi="Palatino Linotype" w:cs="Palatino Linotype"/>
        </w:rPr>
        <w:t>, los cuales, en esencia refieren que los Sujetos Obligados se encuentran constreñidos a entregar la información pública solicitada por los particulares que se encuentre en sus archivos o que obre en su posesión, privilegiando en todo momento el principio de máxima publicidad, sin generarla, procesarla, resumirla, ni presentarla conforme al interés del solicitante.</w:t>
      </w:r>
    </w:p>
    <w:p w14:paraId="16985372" w14:textId="77777777" w:rsidR="00072693" w:rsidRPr="000C77FA" w:rsidRDefault="00072693" w:rsidP="000C77FA">
      <w:pPr>
        <w:spacing w:line="360" w:lineRule="auto"/>
        <w:jc w:val="both"/>
        <w:rPr>
          <w:rFonts w:ascii="Palatino Linotype" w:eastAsia="Palatino Linotype" w:hAnsi="Palatino Linotype" w:cs="Palatino Linotype"/>
        </w:rPr>
      </w:pPr>
    </w:p>
    <w:p w14:paraId="6CC5EE9D"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Queda de manifiesto entonces que, </w:t>
      </w:r>
      <w:r w:rsidRPr="000C77FA">
        <w:rPr>
          <w:rFonts w:ascii="Palatino Linotype" w:eastAsia="Palatino Linotype" w:hAnsi="Palatino Linotype" w:cs="Palatino Linotype"/>
          <w:b/>
        </w:rPr>
        <w:t>se considera información pública al conjunto de datos que posee cualquier autoridad, obtenidos en virtud del ejercicio de sus funciones de derecho público,</w:t>
      </w:r>
      <w:r w:rsidRPr="000C77FA">
        <w:t xml:space="preserve"> c</w:t>
      </w:r>
      <w:r w:rsidRPr="000C77FA">
        <w:rPr>
          <w:rFonts w:ascii="Palatino Linotype" w:eastAsia="Palatino Linotype" w:hAnsi="Palatino Linotype" w:cs="Palatino Linotype"/>
        </w:rPr>
        <w:t>riterio que ha sostenido la Suprema Corte de Justicia de la Nación</w:t>
      </w:r>
      <w:r w:rsidRPr="000C77FA">
        <w:rPr>
          <w:rFonts w:ascii="Palatino Linotype" w:eastAsia="Palatino Linotype" w:hAnsi="Palatino Linotype" w:cs="Palatino Linotype"/>
          <w:vertAlign w:val="superscript"/>
        </w:rPr>
        <w:footnoteReference w:id="9"/>
      </w:r>
      <w:r w:rsidRPr="000C77FA">
        <w:rPr>
          <w:rFonts w:ascii="Palatino Linotype" w:eastAsia="Palatino Linotype" w:hAnsi="Palatino Linotype" w:cs="Palatino Linotype"/>
        </w:rPr>
        <w:t>.</w:t>
      </w:r>
    </w:p>
    <w:p w14:paraId="005FF1B4" w14:textId="77777777" w:rsidR="00072693" w:rsidRPr="000C77FA" w:rsidRDefault="00072693" w:rsidP="000C77FA">
      <w:pPr>
        <w:spacing w:line="360" w:lineRule="auto"/>
        <w:jc w:val="both"/>
        <w:rPr>
          <w:rFonts w:ascii="Palatino Linotype" w:eastAsia="Palatino Linotype" w:hAnsi="Palatino Linotype" w:cs="Palatino Linotype"/>
        </w:rPr>
      </w:pPr>
    </w:p>
    <w:p w14:paraId="7BC832D2"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Así que la obligación de acceso a la información se tendrá por cumplida cuando el solicitante tenga a su disposición la información requerida, o cuando realice su consulta en el lugar que ésta se localice, conforme a lo previsto en los artículos 3 fracción XI, 4, 12 y 24 último párrafo de la Ley de Transparencia local.</w:t>
      </w:r>
    </w:p>
    <w:p w14:paraId="5D8A0ED7" w14:textId="77777777" w:rsidR="00072693" w:rsidRPr="000C77FA" w:rsidRDefault="002C1F92" w:rsidP="000C77FA">
      <w:pPr>
        <w:spacing w:line="360" w:lineRule="auto"/>
        <w:jc w:val="both"/>
        <w:rPr>
          <w:rFonts w:ascii="Palatino Linotype" w:eastAsia="Palatino Linotype" w:hAnsi="Palatino Linotype" w:cs="Palatino Linotype"/>
          <w:sz w:val="22"/>
          <w:szCs w:val="22"/>
        </w:rPr>
      </w:pPr>
      <w:r w:rsidRPr="000C77FA">
        <w:rPr>
          <w:rFonts w:ascii="Palatino Linotype" w:eastAsia="Palatino Linotype" w:hAnsi="Palatino Linotype" w:cs="Palatino Linotype"/>
        </w:rPr>
        <w:t>En el caso que nos ocupa, es aplicable el criterio de interpretación en el orden administrativo número 0002-11</w:t>
      </w:r>
      <w:r w:rsidRPr="000C77FA">
        <w:rPr>
          <w:rFonts w:ascii="Palatino Linotype" w:eastAsia="Palatino Linotype" w:hAnsi="Palatino Linotype" w:cs="Palatino Linotype"/>
          <w:vertAlign w:val="superscript"/>
        </w:rPr>
        <w:footnoteReference w:id="10"/>
      </w:r>
      <w:r w:rsidRPr="000C77FA">
        <w:rPr>
          <w:rFonts w:ascii="Palatino Linotype" w:eastAsia="Palatino Linotype" w:hAnsi="Palatino Linotype" w:cs="Palatino Linotype"/>
        </w:rPr>
        <w:t>, cuyo rubro y texto dispone:</w:t>
      </w:r>
    </w:p>
    <w:p w14:paraId="1468410C" w14:textId="77777777" w:rsidR="00072693" w:rsidRPr="000C77FA" w:rsidRDefault="00072693" w:rsidP="000C77FA">
      <w:pPr>
        <w:ind w:left="851" w:right="1134"/>
        <w:jc w:val="center"/>
        <w:rPr>
          <w:rFonts w:ascii="Palatino Linotype" w:eastAsia="Palatino Linotype" w:hAnsi="Palatino Linotype" w:cs="Palatino Linotype"/>
          <w:sz w:val="22"/>
          <w:szCs w:val="22"/>
        </w:rPr>
      </w:pPr>
    </w:p>
    <w:p w14:paraId="7E943542"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0"/>
          <w:szCs w:val="20"/>
        </w:rPr>
        <w:t>INFORMACIÓN PÚBLICA, CONCEPTO DE, EN MATERIA DE TRANSPARENCIA. INTERPRETACIÓN SISTEMÁTICA DE LOS ARTÍCULOS 2°, FRACCIÓN V, XV, Y XVI, 3°, 4°, 11 Y 41.</w:t>
      </w:r>
      <w:r w:rsidRPr="000C77FA">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6CC2542"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30BE0741"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5291DE3"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156C35B4"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355029E"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37F2C9F8"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783AF8F8" w14:textId="77777777" w:rsidR="00072693" w:rsidRPr="000C77FA" w:rsidRDefault="002C1F92" w:rsidP="000C77FA">
      <w:pPr>
        <w:ind w:left="851" w:right="616"/>
        <w:jc w:val="right"/>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t>(Énfasis añadido)</w:t>
      </w:r>
    </w:p>
    <w:p w14:paraId="096E460C" w14:textId="77777777" w:rsidR="00072693" w:rsidRPr="000C77FA" w:rsidRDefault="00072693" w:rsidP="000C77FA">
      <w:pPr>
        <w:spacing w:line="360" w:lineRule="auto"/>
        <w:ind w:right="616"/>
        <w:jc w:val="both"/>
        <w:rPr>
          <w:rFonts w:ascii="Palatino Linotype" w:eastAsia="Palatino Linotype" w:hAnsi="Palatino Linotype" w:cs="Palatino Linotype"/>
        </w:rPr>
      </w:pPr>
    </w:p>
    <w:p w14:paraId="6681E8E3" w14:textId="77777777" w:rsidR="00072693" w:rsidRPr="000C77FA" w:rsidRDefault="002C1F92" w:rsidP="000C77FA">
      <w:pPr>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Con base a lo anterior, podemos afirmar que las autoridades locales se encuentran constreñidas a la observancia de que, toda la información que generen, administren o posean en su calidad de los Sujetos Obligados, debe ser considerada un bien de dominio público y accesible a cualquier persona; como es de amplio conocimiento, el derecho imperante en materia de transparencia se rige por el </w:t>
      </w:r>
      <w:r w:rsidRPr="000C77FA">
        <w:rPr>
          <w:rFonts w:ascii="Palatino Linotype" w:eastAsia="Palatino Linotype" w:hAnsi="Palatino Linotype" w:cs="Palatino Linotype"/>
          <w:b/>
        </w:rPr>
        <w:t>principio de máxima publicidad</w:t>
      </w:r>
      <w:r w:rsidRPr="000C77FA">
        <w:rPr>
          <w:rFonts w:ascii="Palatino Linotype" w:eastAsia="Palatino Linotype" w:hAnsi="Palatino Linotype" w:cs="Palatino Linotype"/>
        </w:rPr>
        <w:t xml:space="preserve">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 </w:t>
      </w:r>
    </w:p>
    <w:p w14:paraId="20D044F4" w14:textId="77777777" w:rsidR="00072693" w:rsidRPr="000C77FA" w:rsidRDefault="00072693" w:rsidP="000C77FA">
      <w:pPr>
        <w:spacing w:line="360" w:lineRule="auto"/>
        <w:ind w:right="49"/>
        <w:jc w:val="both"/>
        <w:rPr>
          <w:rFonts w:ascii="Palatino Linotype" w:eastAsia="Palatino Linotype" w:hAnsi="Palatino Linotype" w:cs="Palatino Linotype"/>
        </w:rPr>
      </w:pPr>
    </w:p>
    <w:p w14:paraId="70F1FB1C" w14:textId="77777777" w:rsidR="00072693" w:rsidRPr="000C77FA" w:rsidRDefault="002C1F92" w:rsidP="000C77FA">
      <w:pPr>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rPr>
        <w:t>Atendiendo a los preceptos legales a los cuales se hizo referencia, se concluye que, la Secretaría de Cultura y Turismo, se encuentra dentro de los supuestos de obligatoriedad a transparentar y garantizar el Acceso a la Información Pública.</w:t>
      </w:r>
    </w:p>
    <w:p w14:paraId="0E3B6367" w14:textId="77777777" w:rsidR="00072693" w:rsidRPr="000C77FA" w:rsidRDefault="00072693" w:rsidP="000C77FA">
      <w:pPr>
        <w:spacing w:line="360" w:lineRule="auto"/>
        <w:ind w:right="49"/>
        <w:jc w:val="both"/>
        <w:rPr>
          <w:rFonts w:ascii="Palatino Linotype" w:eastAsia="Palatino Linotype" w:hAnsi="Palatino Linotype" w:cs="Palatino Linotype"/>
        </w:rPr>
      </w:pPr>
    </w:p>
    <w:p w14:paraId="17610E35" w14:textId="77777777" w:rsidR="00072693" w:rsidRPr="000C77FA" w:rsidRDefault="002C1F92" w:rsidP="000C77FA">
      <w:pPr>
        <w:spacing w:line="360" w:lineRule="auto"/>
        <w:ind w:right="49"/>
        <w:jc w:val="both"/>
        <w:rPr>
          <w:rFonts w:ascii="Palatino Linotype" w:eastAsia="Palatino Linotype" w:hAnsi="Palatino Linotype" w:cs="Palatino Linotype"/>
          <w:b/>
        </w:rPr>
      </w:pPr>
      <w:r w:rsidRPr="000C77FA">
        <w:rPr>
          <w:rFonts w:ascii="Palatino Linotype" w:eastAsia="Palatino Linotype" w:hAnsi="Palatino Linotype" w:cs="Palatino Linotype"/>
        </w:rPr>
        <w:t xml:space="preserve">Fijado el marco constitucional y legal, procederemos al análisis del </w:t>
      </w:r>
      <w:r w:rsidRPr="000C77FA">
        <w:rPr>
          <w:rFonts w:ascii="Palatino Linotype" w:eastAsia="Palatino Linotype" w:hAnsi="Palatino Linotype" w:cs="Palatino Linotype"/>
          <w:b/>
        </w:rPr>
        <w:t>caso en concreto.</w:t>
      </w:r>
    </w:p>
    <w:p w14:paraId="016ACC0B" w14:textId="77777777" w:rsidR="00072693" w:rsidRPr="000C77FA" w:rsidRDefault="00072693" w:rsidP="000C77FA">
      <w:pPr>
        <w:spacing w:line="360" w:lineRule="auto"/>
        <w:ind w:right="49"/>
        <w:jc w:val="both"/>
        <w:rPr>
          <w:rFonts w:ascii="Palatino Linotype" w:eastAsia="Palatino Linotype" w:hAnsi="Palatino Linotype" w:cs="Palatino Linotype"/>
          <w:b/>
        </w:rPr>
      </w:pPr>
    </w:p>
    <w:tbl>
      <w:tblPr>
        <w:tblStyle w:val="a6"/>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
        <w:gridCol w:w="2764"/>
        <w:gridCol w:w="3677"/>
        <w:gridCol w:w="1560"/>
      </w:tblGrid>
      <w:tr w:rsidR="000C77FA" w:rsidRPr="000C77FA" w14:paraId="1F083AAE" w14:textId="77777777" w:rsidTr="00FB7F5D">
        <w:tc>
          <w:tcPr>
            <w:tcW w:w="925" w:type="dxa"/>
          </w:tcPr>
          <w:p w14:paraId="79226BBA" w14:textId="77777777" w:rsidR="00072693" w:rsidRPr="000C77FA" w:rsidRDefault="002C1F92" w:rsidP="000C77FA">
            <w:pPr>
              <w:spacing w:line="360" w:lineRule="auto"/>
              <w:ind w:right="49"/>
              <w:jc w:val="both"/>
              <w:rPr>
                <w:rFonts w:ascii="Palatino Linotype" w:eastAsia="Palatino Linotype" w:hAnsi="Palatino Linotype" w:cs="Palatino Linotype"/>
                <w:b/>
                <w:sz w:val="18"/>
                <w:szCs w:val="18"/>
              </w:rPr>
            </w:pPr>
            <w:bookmarkStart w:id="10" w:name="_heading=h.4d34og8" w:colFirst="0" w:colLast="0"/>
            <w:bookmarkEnd w:id="10"/>
            <w:r w:rsidRPr="000C77FA">
              <w:rPr>
                <w:rFonts w:ascii="Palatino Linotype" w:eastAsia="Palatino Linotype" w:hAnsi="Palatino Linotype" w:cs="Palatino Linotype"/>
                <w:b/>
                <w:sz w:val="18"/>
                <w:szCs w:val="18"/>
              </w:rPr>
              <w:t>Recurso</w:t>
            </w:r>
          </w:p>
        </w:tc>
        <w:tc>
          <w:tcPr>
            <w:tcW w:w="2764" w:type="dxa"/>
            <w:tcBorders>
              <w:bottom w:val="single" w:sz="4" w:space="0" w:color="auto"/>
            </w:tcBorders>
          </w:tcPr>
          <w:p w14:paraId="388BC571" w14:textId="77777777" w:rsidR="00072693" w:rsidRPr="000C77FA" w:rsidRDefault="002C1F92" w:rsidP="000C77FA">
            <w:pPr>
              <w:spacing w:line="360" w:lineRule="auto"/>
              <w:ind w:right="49"/>
              <w:jc w:val="both"/>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Lo solicitado</w:t>
            </w:r>
          </w:p>
        </w:tc>
        <w:tc>
          <w:tcPr>
            <w:tcW w:w="3677" w:type="dxa"/>
            <w:tcBorders>
              <w:bottom w:val="single" w:sz="4" w:space="0" w:color="auto"/>
            </w:tcBorders>
          </w:tcPr>
          <w:p w14:paraId="652263A1" w14:textId="77777777" w:rsidR="00072693" w:rsidRPr="000C77FA" w:rsidRDefault="002C1F92" w:rsidP="000C77FA">
            <w:pPr>
              <w:ind w:right="49"/>
              <w:jc w:val="both"/>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Respuesta</w:t>
            </w:r>
          </w:p>
        </w:tc>
        <w:tc>
          <w:tcPr>
            <w:tcW w:w="1560" w:type="dxa"/>
            <w:tcBorders>
              <w:bottom w:val="single" w:sz="4" w:space="0" w:color="auto"/>
            </w:tcBorders>
          </w:tcPr>
          <w:p w14:paraId="735500AF" w14:textId="77777777" w:rsidR="00072693" w:rsidRPr="000C77FA" w:rsidRDefault="002C1F92" w:rsidP="000C77FA">
            <w:pPr>
              <w:spacing w:line="360" w:lineRule="auto"/>
              <w:ind w:right="49"/>
              <w:jc w:val="both"/>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Observaciones</w:t>
            </w:r>
          </w:p>
        </w:tc>
      </w:tr>
      <w:tr w:rsidR="000C77FA" w:rsidRPr="000C77FA" w14:paraId="5A18705A" w14:textId="77777777" w:rsidTr="00FB7F5D">
        <w:trPr>
          <w:trHeight w:val="625"/>
        </w:trPr>
        <w:tc>
          <w:tcPr>
            <w:tcW w:w="925" w:type="dxa"/>
            <w:vMerge w:val="restart"/>
            <w:tcBorders>
              <w:right w:val="single" w:sz="4" w:space="0" w:color="auto"/>
            </w:tcBorders>
          </w:tcPr>
          <w:p w14:paraId="19BFD77E" w14:textId="77777777" w:rsidR="00072693" w:rsidRPr="000C77FA" w:rsidRDefault="002C1F92" w:rsidP="000C77FA">
            <w:pPr>
              <w:spacing w:line="360" w:lineRule="auto"/>
              <w:ind w:right="49"/>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00207</w:t>
            </w:r>
          </w:p>
        </w:tc>
        <w:tc>
          <w:tcPr>
            <w:tcW w:w="2764" w:type="dxa"/>
            <w:tcBorders>
              <w:top w:val="single" w:sz="4" w:space="0" w:color="auto"/>
              <w:left w:val="single" w:sz="4" w:space="0" w:color="auto"/>
              <w:bottom w:val="single" w:sz="4" w:space="0" w:color="auto"/>
              <w:right w:val="single" w:sz="4" w:space="0" w:color="auto"/>
            </w:tcBorders>
          </w:tcPr>
          <w:p w14:paraId="6FBAABAD"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i/>
                <w:sz w:val="16"/>
                <w:szCs w:val="16"/>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y </w:t>
            </w:r>
          </w:p>
        </w:tc>
        <w:tc>
          <w:tcPr>
            <w:tcW w:w="3677" w:type="dxa"/>
            <w:tcBorders>
              <w:top w:val="single" w:sz="4" w:space="0" w:color="auto"/>
              <w:left w:val="single" w:sz="4" w:space="0" w:color="auto"/>
              <w:bottom w:val="single" w:sz="4" w:space="0" w:color="auto"/>
              <w:right w:val="single" w:sz="4" w:space="0" w:color="auto"/>
            </w:tcBorders>
          </w:tcPr>
          <w:p w14:paraId="675900CF"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Manual de Normas y Políticas para el Gasto Público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5C80F3DE" w14:textId="268D36DB"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 xml:space="preserve">Atendido </w:t>
            </w:r>
            <w:r w:rsidR="00590865" w:rsidRPr="000C77FA">
              <w:rPr>
                <w:rFonts w:ascii="Palatino Linotype" w:eastAsia="Palatino Linotype" w:hAnsi="Palatino Linotype" w:cs="Palatino Linotype"/>
                <w:sz w:val="18"/>
                <w:szCs w:val="18"/>
              </w:rPr>
              <w:t>- COLMADO</w:t>
            </w:r>
          </w:p>
        </w:tc>
      </w:tr>
      <w:tr w:rsidR="000C77FA" w:rsidRPr="000C77FA" w14:paraId="46E86EF1" w14:textId="77777777" w:rsidTr="00FB7F5D">
        <w:trPr>
          <w:trHeight w:val="340"/>
        </w:trPr>
        <w:tc>
          <w:tcPr>
            <w:tcW w:w="925" w:type="dxa"/>
            <w:vMerge/>
            <w:tcBorders>
              <w:right w:val="single" w:sz="4" w:space="0" w:color="auto"/>
            </w:tcBorders>
          </w:tcPr>
          <w:p w14:paraId="769B0B54"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350E7F2A"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cuáles sanciones se consideran en el uso indebido de esos recursos</w:t>
            </w:r>
            <w:proofErr w:type="gramStart"/>
            <w:r w:rsidRPr="000C77FA">
              <w:rPr>
                <w:rFonts w:ascii="Palatino Linotype" w:eastAsia="Palatino Linotype" w:hAnsi="Palatino Linotype" w:cs="Palatino Linotype"/>
                <w:i/>
                <w:sz w:val="16"/>
                <w:szCs w:val="16"/>
              </w:rPr>
              <w:t>?</w:t>
            </w:r>
            <w:proofErr w:type="gramEnd"/>
            <w:r w:rsidRPr="000C77FA">
              <w:rPr>
                <w:rFonts w:ascii="Palatino Linotype" w:eastAsia="Palatino Linotype" w:hAnsi="Palatino Linotype" w:cs="Palatino Linotype"/>
                <w:i/>
                <w:sz w:val="16"/>
                <w:szCs w:val="16"/>
              </w:rPr>
              <w:t xml:space="preserve"> </w:t>
            </w:r>
          </w:p>
        </w:tc>
        <w:tc>
          <w:tcPr>
            <w:tcW w:w="3677" w:type="dxa"/>
            <w:tcBorders>
              <w:top w:val="single" w:sz="4" w:space="0" w:color="auto"/>
              <w:left w:val="single" w:sz="4" w:space="0" w:color="auto"/>
              <w:bottom w:val="single" w:sz="4" w:space="0" w:color="auto"/>
              <w:right w:val="single" w:sz="4" w:space="0" w:color="auto"/>
            </w:tcBorders>
          </w:tcPr>
          <w:p w14:paraId="08314C99"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Responsabilidades administrativas según lo determine el Órgano Interno de Control.</w:t>
            </w:r>
          </w:p>
        </w:tc>
        <w:tc>
          <w:tcPr>
            <w:tcW w:w="1560" w:type="dxa"/>
            <w:tcBorders>
              <w:top w:val="single" w:sz="4" w:space="0" w:color="auto"/>
              <w:left w:val="single" w:sz="4" w:space="0" w:color="auto"/>
              <w:bottom w:val="single" w:sz="4" w:space="0" w:color="auto"/>
              <w:right w:val="single" w:sz="4" w:space="0" w:color="auto"/>
            </w:tcBorders>
          </w:tcPr>
          <w:p w14:paraId="665430FE"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 xml:space="preserve">Atendido </w:t>
            </w:r>
          </w:p>
        </w:tc>
      </w:tr>
      <w:tr w:rsidR="000C77FA" w:rsidRPr="000C77FA" w14:paraId="606755EB" w14:textId="77777777" w:rsidTr="00FB7F5D">
        <w:trPr>
          <w:trHeight w:val="954"/>
        </w:trPr>
        <w:tc>
          <w:tcPr>
            <w:tcW w:w="925" w:type="dxa"/>
            <w:vMerge/>
            <w:tcBorders>
              <w:right w:val="single" w:sz="4" w:space="0" w:color="auto"/>
            </w:tcBorders>
          </w:tcPr>
          <w:p w14:paraId="5DF4F841"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19E4B440"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tc>
        <w:tc>
          <w:tcPr>
            <w:tcW w:w="3677" w:type="dxa"/>
            <w:tcBorders>
              <w:top w:val="single" w:sz="4" w:space="0" w:color="auto"/>
              <w:left w:val="single" w:sz="4" w:space="0" w:color="auto"/>
              <w:bottom w:val="single" w:sz="4" w:space="0" w:color="auto"/>
              <w:right w:val="single" w:sz="4" w:space="0" w:color="auto"/>
            </w:tcBorders>
          </w:tcPr>
          <w:p w14:paraId="75E3BE88"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Esta Secretaría declaró su incompetencia, respecto a estar facultada para atender la información solicitada.</w:t>
            </w:r>
          </w:p>
        </w:tc>
        <w:tc>
          <w:tcPr>
            <w:tcW w:w="1560" w:type="dxa"/>
            <w:tcBorders>
              <w:top w:val="single" w:sz="4" w:space="0" w:color="auto"/>
              <w:left w:val="single" w:sz="4" w:space="0" w:color="auto"/>
              <w:bottom w:val="single" w:sz="4" w:space="0" w:color="auto"/>
              <w:right w:val="single" w:sz="4" w:space="0" w:color="auto"/>
            </w:tcBorders>
          </w:tcPr>
          <w:p w14:paraId="3D116BF4"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r w:rsidR="000C77FA" w:rsidRPr="000C77FA" w14:paraId="04211C3D" w14:textId="77777777" w:rsidTr="00FB7F5D">
        <w:trPr>
          <w:trHeight w:val="1076"/>
        </w:trPr>
        <w:tc>
          <w:tcPr>
            <w:tcW w:w="925" w:type="dxa"/>
            <w:vMerge/>
            <w:tcBorders>
              <w:right w:val="single" w:sz="4" w:space="0" w:color="auto"/>
            </w:tcBorders>
          </w:tcPr>
          <w:p w14:paraId="7757EFE2"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039AB74D"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tc>
        <w:tc>
          <w:tcPr>
            <w:tcW w:w="3677" w:type="dxa"/>
            <w:tcBorders>
              <w:top w:val="single" w:sz="4" w:space="0" w:color="auto"/>
              <w:left w:val="single" w:sz="4" w:space="0" w:color="auto"/>
              <w:bottom w:val="single" w:sz="4" w:space="0" w:color="auto"/>
              <w:right w:val="single" w:sz="4" w:space="0" w:color="auto"/>
            </w:tcBorders>
          </w:tcPr>
          <w:p w14:paraId="6176C4BC"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1. Oficina del C. Secretario de Cultura y Turismo 2. Dirección General de Patrimonio y Servicios Culturales del Valle de Toluca 3. Dirección General de Patrimonio y Servicios Culturales del Valle de los Volcanes 4. Dirección General de la Orquesta Sinfónica del Estado de México 5. Dirección General de Conservatorio de Música del Estado de México 6. Dirección General de Cultura Física y Deporte 7. Secretaria Ejecutiva del Consejo Editorial de la Administración Pública Estatal 8. Subsecretaría de Turismo 9. Dirección General de Promoción Operación y Calidad Turística 10. Dirección General de Turismo de Reunión.</w:t>
            </w:r>
          </w:p>
        </w:tc>
        <w:tc>
          <w:tcPr>
            <w:tcW w:w="1560" w:type="dxa"/>
            <w:tcBorders>
              <w:top w:val="single" w:sz="4" w:space="0" w:color="auto"/>
              <w:left w:val="single" w:sz="4" w:space="0" w:color="auto"/>
              <w:bottom w:val="single" w:sz="4" w:space="0" w:color="auto"/>
              <w:right w:val="single" w:sz="4" w:space="0" w:color="auto"/>
            </w:tcBorders>
          </w:tcPr>
          <w:p w14:paraId="2466503E" w14:textId="10ADB45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 COLMADO</w:t>
            </w:r>
          </w:p>
        </w:tc>
      </w:tr>
      <w:tr w:rsidR="000C77FA" w:rsidRPr="000C77FA" w14:paraId="3623933B" w14:textId="77777777" w:rsidTr="00FB7F5D">
        <w:trPr>
          <w:trHeight w:val="851"/>
        </w:trPr>
        <w:tc>
          <w:tcPr>
            <w:tcW w:w="925" w:type="dxa"/>
            <w:vMerge/>
            <w:tcBorders>
              <w:right w:val="single" w:sz="4" w:space="0" w:color="auto"/>
            </w:tcBorders>
          </w:tcPr>
          <w:p w14:paraId="05450F1B"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4561221A"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2022, cuál fue el monto mensual asignado de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para cada unidad administrativa? </w:t>
            </w:r>
          </w:p>
        </w:tc>
        <w:tc>
          <w:tcPr>
            <w:tcW w:w="3677" w:type="dxa"/>
            <w:tcBorders>
              <w:top w:val="single" w:sz="4" w:space="0" w:color="auto"/>
              <w:left w:val="single" w:sz="4" w:space="0" w:color="auto"/>
              <w:bottom w:val="single" w:sz="4" w:space="0" w:color="auto"/>
              <w:right w:val="single" w:sz="4" w:space="0" w:color="auto"/>
            </w:tcBorders>
          </w:tcPr>
          <w:p w14:paraId="3A660820"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1. Oficina del C. Secretario de Cultura y Turismo $12,162.76 2. Dirección General de Patrimonio y Servicios Culturales del Valle de Toluca $317,374.56 3. Dirección General de Patrimonio y Servicios Culturales del Valle de los Volcanes $3,322.49 4. Dirección General de la Orquesta Sinfónica del Estado de México $15,291.19 5. Dirección General de Conservatorio de Música del Estado de México $12,803.47 6. Dirección General de Cultura Física y Deporte $70,852.86 7. Secretaria Ejecutiva del Consejo Editorial de la Administración Pública Estatal $124,880.48 8. Subsecretaría de Turismo $14,870.26 9. Dirección General de Promoción Operación y Calidad Turística $23,369.58 10. Dirección General de Turismo de Reunión $24,291.73.</w:t>
            </w:r>
          </w:p>
        </w:tc>
        <w:tc>
          <w:tcPr>
            <w:tcW w:w="1560" w:type="dxa"/>
            <w:tcBorders>
              <w:top w:val="single" w:sz="4" w:space="0" w:color="auto"/>
              <w:left w:val="single" w:sz="4" w:space="0" w:color="auto"/>
              <w:bottom w:val="single" w:sz="4" w:space="0" w:color="auto"/>
              <w:right w:val="single" w:sz="4" w:space="0" w:color="auto"/>
            </w:tcBorders>
          </w:tcPr>
          <w:p w14:paraId="775294CE" w14:textId="2BFFC5B1"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 </w:t>
            </w:r>
          </w:p>
        </w:tc>
      </w:tr>
      <w:tr w:rsidR="000C77FA" w:rsidRPr="000C77FA" w14:paraId="56981801" w14:textId="77777777" w:rsidTr="00FB7F5D">
        <w:trPr>
          <w:trHeight w:val="969"/>
        </w:trPr>
        <w:tc>
          <w:tcPr>
            <w:tcW w:w="925" w:type="dxa"/>
            <w:vMerge/>
            <w:tcBorders>
              <w:right w:val="single" w:sz="4" w:space="0" w:color="auto"/>
            </w:tcBorders>
          </w:tcPr>
          <w:p w14:paraId="0DD40399"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199AAACC"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¿Quién y cómo se determina que unidades administrativas tienen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en la Secretaría de Cultura y Turismo; </w:t>
            </w:r>
          </w:p>
        </w:tc>
        <w:tc>
          <w:tcPr>
            <w:tcW w:w="3677" w:type="dxa"/>
            <w:tcBorders>
              <w:top w:val="single" w:sz="4" w:space="0" w:color="auto"/>
              <w:left w:val="single" w:sz="4" w:space="0" w:color="auto"/>
              <w:bottom w:val="single" w:sz="4" w:space="0" w:color="auto"/>
              <w:right w:val="single" w:sz="4" w:space="0" w:color="auto"/>
            </w:tcBorders>
          </w:tcPr>
          <w:p w14:paraId="5D972003"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La Secretaría de Finanzas, a través, de la Secretaría de Planeación y Gasto Público de acuerdo al artículo 29 del Manual en mención.</w:t>
            </w:r>
          </w:p>
        </w:tc>
        <w:tc>
          <w:tcPr>
            <w:tcW w:w="1560" w:type="dxa"/>
            <w:tcBorders>
              <w:top w:val="single" w:sz="4" w:space="0" w:color="auto"/>
              <w:left w:val="single" w:sz="4" w:space="0" w:color="auto"/>
              <w:bottom w:val="single" w:sz="4" w:space="0" w:color="auto"/>
              <w:right w:val="single" w:sz="4" w:space="0" w:color="auto"/>
            </w:tcBorders>
          </w:tcPr>
          <w:p w14:paraId="09B3ED02" w14:textId="27AFC544"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w:t>
            </w:r>
          </w:p>
        </w:tc>
      </w:tr>
      <w:tr w:rsidR="000C77FA" w:rsidRPr="000C77FA" w14:paraId="09A14BA5" w14:textId="77777777" w:rsidTr="00FB7F5D">
        <w:trPr>
          <w:trHeight w:val="685"/>
        </w:trPr>
        <w:tc>
          <w:tcPr>
            <w:tcW w:w="925" w:type="dxa"/>
            <w:vMerge/>
            <w:tcBorders>
              <w:right w:val="single" w:sz="4" w:space="0" w:color="auto"/>
            </w:tcBorders>
          </w:tcPr>
          <w:p w14:paraId="23DDB3A2"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0B411C74"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cómo se determinó el monto asignado para 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de cada unidad administrativa que lo tiene;</w:t>
            </w:r>
          </w:p>
        </w:tc>
        <w:tc>
          <w:tcPr>
            <w:tcW w:w="3677" w:type="dxa"/>
            <w:tcBorders>
              <w:top w:val="single" w:sz="4" w:space="0" w:color="auto"/>
              <w:left w:val="single" w:sz="4" w:space="0" w:color="auto"/>
              <w:bottom w:val="single" w:sz="4" w:space="0" w:color="auto"/>
              <w:right w:val="single" w:sz="4" w:space="0" w:color="auto"/>
            </w:tcBorders>
          </w:tcPr>
          <w:p w14:paraId="5BED565F"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El monto que se asigna se determina de conformidad con lo establecido en el artículo 41 del Manual de Normas y Políticas para el Gasto Público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3B17583F"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r w:rsidR="000C77FA" w:rsidRPr="000C77FA" w14:paraId="3C10FECA" w14:textId="77777777" w:rsidTr="00FB7F5D">
        <w:trPr>
          <w:trHeight w:val="567"/>
        </w:trPr>
        <w:tc>
          <w:tcPr>
            <w:tcW w:w="925" w:type="dxa"/>
            <w:vMerge/>
            <w:tcBorders>
              <w:right w:val="single" w:sz="4" w:space="0" w:color="auto"/>
            </w:tcBorders>
          </w:tcPr>
          <w:p w14:paraId="0BDFBBDB"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21367BE7"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en que ordenamiento jurídico se establece la forma de asignar los montos;</w:t>
            </w:r>
          </w:p>
          <w:p w14:paraId="423C215D" w14:textId="77777777" w:rsidR="00072693" w:rsidRPr="000C77FA" w:rsidRDefault="00072693" w:rsidP="000C77FA">
            <w:pPr>
              <w:tabs>
                <w:tab w:val="left" w:pos="277"/>
              </w:tabs>
              <w:spacing w:line="220" w:lineRule="auto"/>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17D8BB76"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Manual de Normas y Políticas para el Gasto Público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709C6D10" w14:textId="56C35B12"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-COLMADO</w:t>
            </w:r>
          </w:p>
        </w:tc>
      </w:tr>
      <w:tr w:rsidR="000C77FA" w:rsidRPr="000C77FA" w14:paraId="1B1D8F95" w14:textId="77777777" w:rsidTr="00FB7F5D">
        <w:trPr>
          <w:trHeight w:val="803"/>
        </w:trPr>
        <w:tc>
          <w:tcPr>
            <w:tcW w:w="925" w:type="dxa"/>
            <w:vMerge/>
            <w:tcBorders>
              <w:right w:val="single" w:sz="4" w:space="0" w:color="auto"/>
            </w:tcBorders>
          </w:tcPr>
          <w:p w14:paraId="730B6E83"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189B7D58"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en caso de no existir normatividad al respecto de la forma de asignar los montos, que servidor público los autoriza; y </w:t>
            </w:r>
          </w:p>
          <w:p w14:paraId="20246639" w14:textId="77777777" w:rsidR="00072693" w:rsidRPr="000C77FA" w:rsidRDefault="00072693" w:rsidP="000C77FA">
            <w:pPr>
              <w:tabs>
                <w:tab w:val="left" w:pos="277"/>
              </w:tabs>
              <w:spacing w:line="220" w:lineRule="auto"/>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2F725699"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Si existe normatividad aplicable.</w:t>
            </w:r>
          </w:p>
        </w:tc>
        <w:tc>
          <w:tcPr>
            <w:tcW w:w="1560" w:type="dxa"/>
            <w:tcBorders>
              <w:top w:val="single" w:sz="4" w:space="0" w:color="auto"/>
              <w:left w:val="single" w:sz="4" w:space="0" w:color="auto"/>
              <w:bottom w:val="single" w:sz="4" w:space="0" w:color="auto"/>
              <w:right w:val="single" w:sz="4" w:space="0" w:color="auto"/>
            </w:tcBorders>
          </w:tcPr>
          <w:p w14:paraId="507106C5" w14:textId="3C3A808C"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6B6381" w:rsidRPr="000C77FA">
              <w:rPr>
                <w:rFonts w:ascii="Palatino Linotype" w:eastAsia="Palatino Linotype" w:hAnsi="Palatino Linotype" w:cs="Palatino Linotype"/>
                <w:sz w:val="18"/>
                <w:szCs w:val="18"/>
              </w:rPr>
              <w:t xml:space="preserve"> - COLMADO</w:t>
            </w:r>
          </w:p>
        </w:tc>
      </w:tr>
      <w:tr w:rsidR="000C77FA" w:rsidRPr="000C77FA" w14:paraId="63D8B271" w14:textId="77777777" w:rsidTr="00FB7F5D">
        <w:trPr>
          <w:trHeight w:val="675"/>
        </w:trPr>
        <w:tc>
          <w:tcPr>
            <w:tcW w:w="925" w:type="dxa"/>
            <w:vMerge/>
            <w:tcBorders>
              <w:right w:val="single" w:sz="4" w:space="0" w:color="auto"/>
            </w:tcBorders>
          </w:tcPr>
          <w:p w14:paraId="5819FCB4"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78005A5B"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por qué las unidades administrativas que no lo tienen carecen de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w:t>
            </w:r>
          </w:p>
        </w:tc>
        <w:tc>
          <w:tcPr>
            <w:tcW w:w="3677" w:type="dxa"/>
            <w:tcBorders>
              <w:top w:val="single" w:sz="4" w:space="0" w:color="auto"/>
              <w:left w:val="single" w:sz="4" w:space="0" w:color="auto"/>
              <w:bottom w:val="single" w:sz="4" w:space="0" w:color="auto"/>
              <w:right w:val="single" w:sz="4" w:space="0" w:color="auto"/>
            </w:tcBorders>
          </w:tcPr>
          <w:p w14:paraId="40975483"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En apego a las Medidas de Austeridad y Contención del Gasto Público del Poder Ejecutivo del Gobierno del Estado de México y sus funciones operativas de las unidades administrativas.</w:t>
            </w:r>
          </w:p>
        </w:tc>
        <w:tc>
          <w:tcPr>
            <w:tcW w:w="1560" w:type="dxa"/>
            <w:tcBorders>
              <w:top w:val="single" w:sz="4" w:space="0" w:color="auto"/>
              <w:left w:val="single" w:sz="4" w:space="0" w:color="auto"/>
              <w:bottom w:val="single" w:sz="4" w:space="0" w:color="auto"/>
              <w:right w:val="single" w:sz="4" w:space="0" w:color="auto"/>
            </w:tcBorders>
          </w:tcPr>
          <w:p w14:paraId="0891FE62" w14:textId="032B9AF3"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 COLMADO</w:t>
            </w:r>
          </w:p>
        </w:tc>
      </w:tr>
      <w:tr w:rsidR="000C77FA" w:rsidRPr="000C77FA" w14:paraId="4B8AA76F" w14:textId="77777777" w:rsidTr="00FB7F5D">
        <w:trPr>
          <w:trHeight w:val="3413"/>
        </w:trPr>
        <w:tc>
          <w:tcPr>
            <w:tcW w:w="925" w:type="dxa"/>
            <w:vMerge/>
            <w:tcBorders>
              <w:right w:val="single" w:sz="4" w:space="0" w:color="auto"/>
            </w:tcBorders>
          </w:tcPr>
          <w:p w14:paraId="0B4285C6"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1212C5EA"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753F5255" w14:textId="77777777" w:rsidR="00072693" w:rsidRPr="000C77FA" w:rsidRDefault="002C1F92" w:rsidP="000C77FA">
            <w:pPr>
              <w:numPr>
                <w:ilvl w:val="0"/>
                <w:numId w:val="6"/>
              </w:numPr>
              <w:tabs>
                <w:tab w:val="left" w:pos="277"/>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de las siguientes unidades administrativas, si es que lo tuvieron: Oficina del Secretario de Cultura y Turismo, Dirección General de Patrimonio y Servicios Culturales; UIPPE y Subsecretaría de Turismo; del periodo enero-junio 2022.</w:t>
            </w:r>
          </w:p>
        </w:tc>
        <w:tc>
          <w:tcPr>
            <w:tcW w:w="3677" w:type="dxa"/>
            <w:tcBorders>
              <w:top w:val="single" w:sz="4" w:space="0" w:color="auto"/>
              <w:left w:val="single" w:sz="4" w:space="0" w:color="auto"/>
              <w:bottom w:val="single" w:sz="4" w:space="0" w:color="auto"/>
              <w:right w:val="single" w:sz="4" w:space="0" w:color="auto"/>
            </w:tcBorders>
          </w:tcPr>
          <w:p w14:paraId="19468D27"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Con fundamento en el artículo 158 la Ley de Transparencia y Acceso a la Información Pública del Estado de México y Municipios, se informó a la Unidad de Información, Planeación, Programación y Evaluación, que la entrega o reproducción sobrepasa las capacidades técnicas, administrativas y humanas de este sujeto obligado. Por lo que, mediante el acta SCTYTUR/CT/EXT-25/2022, se determinó poner a disposición del ciudadano el acervo documental relativo a la solicitud en mención; en las oficinas de la Dirección de Finanzas de la Secretaría de Cultura y Turismo, ubicadas en CD. Deportiva “Edo. </w:t>
            </w:r>
            <w:proofErr w:type="spellStart"/>
            <w:r w:rsidRPr="000C77FA">
              <w:rPr>
                <w:rFonts w:ascii="Palatino Linotype" w:eastAsia="Palatino Linotype" w:hAnsi="Palatino Linotype" w:cs="Palatino Linotype"/>
                <w:i/>
                <w:sz w:val="16"/>
                <w:szCs w:val="16"/>
              </w:rPr>
              <w:t>Méx</w:t>
            </w:r>
            <w:proofErr w:type="spellEnd"/>
            <w:r w:rsidRPr="000C77FA">
              <w:rPr>
                <w:rFonts w:ascii="Palatino Linotype" w:eastAsia="Palatino Linotype" w:hAnsi="Palatino Linotype" w:cs="Palatino Linotype"/>
                <w:i/>
                <w:sz w:val="16"/>
                <w:szCs w:val="16"/>
              </w:rPr>
              <w:t>”, calle Deportiva #100, colonia Irma Patricia Galindo de Reza, Zinacantepec, Estado de México; en un horario de 9:00 a 18:00 horas, para su consulta y revisión. (</w:t>
            </w:r>
            <w:proofErr w:type="gramStart"/>
            <w:r w:rsidRPr="000C77FA">
              <w:rPr>
                <w:rFonts w:ascii="Palatino Linotype" w:eastAsia="Palatino Linotype" w:hAnsi="Palatino Linotype" w:cs="Palatino Linotype"/>
                <w:i/>
                <w:sz w:val="16"/>
                <w:szCs w:val="16"/>
              </w:rPr>
              <w:t>se</w:t>
            </w:r>
            <w:proofErr w:type="gramEnd"/>
            <w:r w:rsidRPr="000C77FA">
              <w:rPr>
                <w:rFonts w:ascii="Palatino Linotype" w:eastAsia="Palatino Linotype" w:hAnsi="Palatino Linotype" w:cs="Palatino Linotype"/>
                <w:i/>
                <w:sz w:val="16"/>
                <w:szCs w:val="16"/>
              </w:rPr>
              <w:t xml:space="preserve"> adjunta acta).</w:t>
            </w:r>
          </w:p>
          <w:p w14:paraId="42A1D7D3"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Acompaña Acta de la vigésima quinta sesión extraordinaria del Comité de Transparencia de la Secretaria de Cultura y Turismo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55E19E81"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r w:rsidR="000C77FA" w:rsidRPr="000C77FA" w14:paraId="08F57471" w14:textId="77777777" w:rsidTr="00FB7F5D">
        <w:trPr>
          <w:trHeight w:val="750"/>
        </w:trPr>
        <w:tc>
          <w:tcPr>
            <w:tcW w:w="925" w:type="dxa"/>
            <w:vMerge w:val="restart"/>
            <w:tcBorders>
              <w:right w:val="single" w:sz="4" w:space="0" w:color="auto"/>
            </w:tcBorders>
          </w:tcPr>
          <w:p w14:paraId="21462EBC" w14:textId="77777777" w:rsidR="00072693" w:rsidRPr="000C77FA" w:rsidRDefault="002C1F92" w:rsidP="000C77FA">
            <w:pPr>
              <w:spacing w:line="360" w:lineRule="auto"/>
              <w:ind w:right="49"/>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00208</w:t>
            </w:r>
          </w:p>
        </w:tc>
        <w:tc>
          <w:tcPr>
            <w:tcW w:w="2764" w:type="dxa"/>
            <w:tcBorders>
              <w:top w:val="single" w:sz="4" w:space="0" w:color="auto"/>
              <w:left w:val="single" w:sz="4" w:space="0" w:color="auto"/>
              <w:bottom w:val="single" w:sz="4" w:space="0" w:color="auto"/>
              <w:right w:val="single" w:sz="4" w:space="0" w:color="auto"/>
            </w:tcBorders>
          </w:tcPr>
          <w:p w14:paraId="1C7B9ADF"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y </w:t>
            </w:r>
          </w:p>
          <w:p w14:paraId="4CF115CF" w14:textId="77777777" w:rsidR="00072693" w:rsidRPr="000C77FA" w:rsidRDefault="00072693" w:rsidP="000C77FA">
            <w:pPr>
              <w:ind w:right="49"/>
              <w:jc w:val="both"/>
              <w:rPr>
                <w:rFonts w:ascii="Palatino Linotype" w:eastAsia="Palatino Linotype" w:hAnsi="Palatino Linotype" w:cs="Palatino Linotype"/>
                <w:sz w:val="18"/>
                <w:szCs w:val="18"/>
              </w:rPr>
            </w:pPr>
          </w:p>
        </w:tc>
        <w:tc>
          <w:tcPr>
            <w:tcW w:w="3677" w:type="dxa"/>
            <w:tcBorders>
              <w:top w:val="single" w:sz="4" w:space="0" w:color="auto"/>
              <w:left w:val="single" w:sz="4" w:space="0" w:color="auto"/>
              <w:bottom w:val="single" w:sz="4" w:space="0" w:color="auto"/>
              <w:right w:val="single" w:sz="4" w:space="0" w:color="auto"/>
            </w:tcBorders>
          </w:tcPr>
          <w:p w14:paraId="57DE73E6"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Manual de Normas y Políticas para el Gasto Público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0C112642" w14:textId="1C2ABB9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-COLMADO</w:t>
            </w:r>
          </w:p>
        </w:tc>
      </w:tr>
      <w:tr w:rsidR="000C77FA" w:rsidRPr="000C77FA" w14:paraId="3BB24F77" w14:textId="77777777" w:rsidTr="00FB7F5D">
        <w:trPr>
          <w:trHeight w:val="518"/>
        </w:trPr>
        <w:tc>
          <w:tcPr>
            <w:tcW w:w="925" w:type="dxa"/>
            <w:vMerge/>
            <w:tcBorders>
              <w:right w:val="single" w:sz="4" w:space="0" w:color="auto"/>
            </w:tcBorders>
          </w:tcPr>
          <w:p w14:paraId="4B80CAF2"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26F69316"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cuáles sanciones se consideran en el uso indebido de esos recursos</w:t>
            </w:r>
            <w:proofErr w:type="gramStart"/>
            <w:r w:rsidRPr="000C77FA">
              <w:rPr>
                <w:rFonts w:ascii="Palatino Linotype" w:eastAsia="Palatino Linotype" w:hAnsi="Palatino Linotype" w:cs="Palatino Linotype"/>
                <w:i/>
                <w:sz w:val="16"/>
                <w:szCs w:val="16"/>
              </w:rPr>
              <w:t>?</w:t>
            </w:r>
            <w:proofErr w:type="gramEnd"/>
          </w:p>
          <w:p w14:paraId="5C757F6B"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22A61034"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Responsabilidades administrativas según lo determine el Órgano Interno de Control</w:t>
            </w:r>
          </w:p>
        </w:tc>
        <w:tc>
          <w:tcPr>
            <w:tcW w:w="1560" w:type="dxa"/>
            <w:tcBorders>
              <w:top w:val="single" w:sz="4" w:space="0" w:color="auto"/>
              <w:left w:val="single" w:sz="4" w:space="0" w:color="auto"/>
              <w:bottom w:val="single" w:sz="4" w:space="0" w:color="auto"/>
              <w:right w:val="single" w:sz="4" w:space="0" w:color="auto"/>
            </w:tcBorders>
          </w:tcPr>
          <w:p w14:paraId="57C856AF" w14:textId="77A16F15"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w:t>
            </w:r>
          </w:p>
        </w:tc>
      </w:tr>
      <w:tr w:rsidR="000C77FA" w:rsidRPr="000C77FA" w14:paraId="02E66B5E" w14:textId="77777777" w:rsidTr="00FB7F5D">
        <w:trPr>
          <w:trHeight w:val="1050"/>
        </w:trPr>
        <w:tc>
          <w:tcPr>
            <w:tcW w:w="925" w:type="dxa"/>
            <w:vMerge/>
            <w:tcBorders>
              <w:right w:val="single" w:sz="4" w:space="0" w:color="auto"/>
            </w:tcBorders>
          </w:tcPr>
          <w:p w14:paraId="429F648B"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77E0F9F1"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p w14:paraId="0CE17D67"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41948CCB"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Esta Secretaría declaró su incompetencia, respecto a estar facultada para atender la información solicitada.</w:t>
            </w:r>
          </w:p>
        </w:tc>
        <w:tc>
          <w:tcPr>
            <w:tcW w:w="1560" w:type="dxa"/>
            <w:tcBorders>
              <w:top w:val="single" w:sz="4" w:space="0" w:color="auto"/>
              <w:left w:val="single" w:sz="4" w:space="0" w:color="auto"/>
              <w:bottom w:val="single" w:sz="4" w:space="0" w:color="auto"/>
              <w:right w:val="single" w:sz="4" w:space="0" w:color="auto"/>
            </w:tcBorders>
          </w:tcPr>
          <w:p w14:paraId="7AEA204F"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r w:rsidR="000C77FA" w:rsidRPr="000C77FA" w14:paraId="41622E2C" w14:textId="77777777" w:rsidTr="00FB7F5D">
        <w:trPr>
          <w:trHeight w:val="1305"/>
        </w:trPr>
        <w:tc>
          <w:tcPr>
            <w:tcW w:w="925" w:type="dxa"/>
            <w:vMerge/>
            <w:tcBorders>
              <w:right w:val="single" w:sz="4" w:space="0" w:color="auto"/>
            </w:tcBorders>
          </w:tcPr>
          <w:p w14:paraId="5CB1A194"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25909FF5"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w:t>
            </w:r>
          </w:p>
          <w:p w14:paraId="385547C8"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3AAF8BF6"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1. Oficina del C. Secretario de Cultura y Turismo 2. Dirección General de Patrimonio y Servicios Culturales del Valle de Toluca 3. Dirección General de Patrimonio y Servicios Culturales del Valle de los Volcanes 4. Dirección General de la Orquesta Sinfónica del Estado de México 5. Dirección General de Conservatorio de Música del Estado de México 6. Dirección General de Cultura Física y Deporte 7. Secretaria Ejecutiva del Consejo Editorial de la Administración Pública Estatal 8. Subsecretaría de Turismo 9. Dirección General de Promoción Operación y Calidad Turística 10. Dirección General de Turismo de Reunión.</w:t>
            </w:r>
          </w:p>
        </w:tc>
        <w:tc>
          <w:tcPr>
            <w:tcW w:w="1560" w:type="dxa"/>
            <w:tcBorders>
              <w:top w:val="single" w:sz="4" w:space="0" w:color="auto"/>
              <w:left w:val="single" w:sz="4" w:space="0" w:color="auto"/>
              <w:bottom w:val="single" w:sz="4" w:space="0" w:color="auto"/>
              <w:right w:val="single" w:sz="4" w:space="0" w:color="auto"/>
            </w:tcBorders>
          </w:tcPr>
          <w:p w14:paraId="7B994111" w14:textId="0523A8CB"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 COLMADO</w:t>
            </w:r>
          </w:p>
        </w:tc>
      </w:tr>
      <w:tr w:rsidR="000C77FA" w:rsidRPr="000C77FA" w14:paraId="1DE239CF" w14:textId="77777777" w:rsidTr="00FB7F5D">
        <w:trPr>
          <w:trHeight w:val="915"/>
        </w:trPr>
        <w:tc>
          <w:tcPr>
            <w:tcW w:w="925" w:type="dxa"/>
            <w:vMerge/>
            <w:tcBorders>
              <w:right w:val="single" w:sz="4" w:space="0" w:color="auto"/>
            </w:tcBorders>
          </w:tcPr>
          <w:p w14:paraId="6E9237B5"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7A6FFFE7"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2022, cuál fue el monto mensual asignado de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para cada unidad administrativa? </w:t>
            </w:r>
          </w:p>
          <w:p w14:paraId="35B94983"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20460587"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1. Oficina del C. Secretario de Cultura y Turismo $12,162.76 2. Dirección General de Patrimonio y Servicios Culturales del Valle de Toluca $317,374.56 3. Dirección General de Patrimonio y Servicios Culturales del Valle de los Volcanes $3,322.49 4. Dirección General de la Orquesta Sinfónica del Estado de México $15,291.19 5. Dirección General de Conservatorio de Música del Estado de México </w:t>
            </w:r>
            <w:r w:rsidRPr="000C77FA">
              <w:rPr>
                <w:rFonts w:ascii="Palatino Linotype" w:eastAsia="Palatino Linotype" w:hAnsi="Palatino Linotype" w:cs="Palatino Linotype"/>
                <w:i/>
                <w:sz w:val="16"/>
                <w:szCs w:val="16"/>
              </w:rPr>
              <w:lastRenderedPageBreak/>
              <w:t>$12,803.47 6. Dirección General de Cultura Física y Deporte $70,852.86 7. Secretaria Ejecutiva del Consejo Editorial de la Administración Pública Estatal $124,880.48 8. Subsecretaría de Turismo $14,870.26 9. Dirección General de Promoción Operación y Calidad Turística $23,369.58 10. Dirección General de Turismo de Reunión $24,291.73.</w:t>
            </w:r>
          </w:p>
        </w:tc>
        <w:tc>
          <w:tcPr>
            <w:tcW w:w="1560" w:type="dxa"/>
            <w:tcBorders>
              <w:top w:val="single" w:sz="4" w:space="0" w:color="auto"/>
              <w:left w:val="single" w:sz="4" w:space="0" w:color="auto"/>
              <w:bottom w:val="single" w:sz="4" w:space="0" w:color="auto"/>
              <w:right w:val="single" w:sz="4" w:space="0" w:color="auto"/>
            </w:tcBorders>
          </w:tcPr>
          <w:p w14:paraId="394EC4D7" w14:textId="1B71F8E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lastRenderedPageBreak/>
              <w:t>Atendido</w:t>
            </w:r>
            <w:r w:rsidR="00590865" w:rsidRPr="000C77FA">
              <w:rPr>
                <w:rFonts w:ascii="Palatino Linotype" w:eastAsia="Palatino Linotype" w:hAnsi="Palatino Linotype" w:cs="Palatino Linotype"/>
                <w:sz w:val="18"/>
                <w:szCs w:val="18"/>
              </w:rPr>
              <w:t xml:space="preserve"> </w:t>
            </w:r>
          </w:p>
        </w:tc>
      </w:tr>
      <w:tr w:rsidR="000C77FA" w:rsidRPr="000C77FA" w14:paraId="17E5B7A4" w14:textId="77777777" w:rsidTr="00FB7F5D">
        <w:trPr>
          <w:trHeight w:val="825"/>
        </w:trPr>
        <w:tc>
          <w:tcPr>
            <w:tcW w:w="925" w:type="dxa"/>
            <w:vMerge/>
            <w:tcBorders>
              <w:right w:val="single" w:sz="4" w:space="0" w:color="auto"/>
            </w:tcBorders>
          </w:tcPr>
          <w:p w14:paraId="0AD07B8A"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7B201F97"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¿Quién y cómo se determina que unidades administrativas tienen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en la Secretaría de Cultura y Turismo; </w:t>
            </w:r>
          </w:p>
          <w:p w14:paraId="1A68E87B"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45AB7DA4"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La Secretaría de Finanzas, a través, de la Secretaría de Planeación y Gasto Público de acuerdo al artículo 29 del Manual en mención.</w:t>
            </w:r>
          </w:p>
        </w:tc>
        <w:tc>
          <w:tcPr>
            <w:tcW w:w="1560" w:type="dxa"/>
            <w:tcBorders>
              <w:top w:val="single" w:sz="4" w:space="0" w:color="auto"/>
              <w:left w:val="single" w:sz="4" w:space="0" w:color="auto"/>
              <w:bottom w:val="single" w:sz="4" w:space="0" w:color="auto"/>
              <w:right w:val="single" w:sz="4" w:space="0" w:color="auto"/>
            </w:tcBorders>
          </w:tcPr>
          <w:p w14:paraId="5EFFD6F1"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r w:rsidR="000C77FA" w:rsidRPr="000C77FA" w14:paraId="7E0583A4" w14:textId="77777777" w:rsidTr="00FB7F5D">
        <w:trPr>
          <w:trHeight w:val="720"/>
        </w:trPr>
        <w:tc>
          <w:tcPr>
            <w:tcW w:w="925" w:type="dxa"/>
            <w:vMerge/>
            <w:tcBorders>
              <w:right w:val="single" w:sz="4" w:space="0" w:color="auto"/>
            </w:tcBorders>
          </w:tcPr>
          <w:p w14:paraId="62C2CB1E"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65F7351B"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cómo se determinó el monto asignado para 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de cada unidad administrativa que lo tiene;</w:t>
            </w:r>
          </w:p>
          <w:p w14:paraId="57BD4CA3"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1431DE69"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El monto que se asigna se determina de conformidad con lo establecido en el artículo 41 del Manual de Normas y Políticas para el Gasto Público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582E29C6"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r w:rsidR="000C77FA" w:rsidRPr="000C77FA" w14:paraId="019E6781" w14:textId="77777777" w:rsidTr="00FB7F5D">
        <w:trPr>
          <w:trHeight w:val="668"/>
        </w:trPr>
        <w:tc>
          <w:tcPr>
            <w:tcW w:w="925" w:type="dxa"/>
            <w:vMerge/>
            <w:tcBorders>
              <w:right w:val="single" w:sz="4" w:space="0" w:color="auto"/>
            </w:tcBorders>
          </w:tcPr>
          <w:p w14:paraId="34982E4E"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4D352666"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 en que ordenamiento jurídico se establece la forma de asignar los montos;</w:t>
            </w:r>
          </w:p>
          <w:p w14:paraId="0B0EFC83"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58F9DED1"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Manual de Normas y Políticas para el Gasto Público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04E5DEBB" w14:textId="4263FECF"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 COLMADO</w:t>
            </w:r>
          </w:p>
        </w:tc>
      </w:tr>
      <w:tr w:rsidR="000C77FA" w:rsidRPr="000C77FA" w14:paraId="16A17EE7" w14:textId="77777777" w:rsidTr="00FB7F5D">
        <w:trPr>
          <w:trHeight w:val="4587"/>
        </w:trPr>
        <w:tc>
          <w:tcPr>
            <w:tcW w:w="925" w:type="dxa"/>
            <w:vMerge/>
            <w:tcBorders>
              <w:right w:val="single" w:sz="4" w:space="0" w:color="auto"/>
            </w:tcBorders>
          </w:tcPr>
          <w:p w14:paraId="34F582DA" w14:textId="77777777" w:rsidR="00072693" w:rsidRPr="000C77FA" w:rsidRDefault="00072693" w:rsidP="000C77FA">
            <w:pPr>
              <w:widowControl w:val="0"/>
              <w:pBdr>
                <w:top w:val="nil"/>
                <w:left w:val="nil"/>
                <w:bottom w:val="nil"/>
                <w:right w:val="nil"/>
                <w:between w:val="nil"/>
              </w:pBdr>
              <w:spacing w:line="276" w:lineRule="auto"/>
              <w:rPr>
                <w:rFonts w:ascii="Palatino Linotype" w:eastAsia="Palatino Linotype" w:hAnsi="Palatino Linotype" w:cs="Palatino Linotype"/>
                <w:sz w:val="18"/>
                <w:szCs w:val="18"/>
              </w:rPr>
            </w:pPr>
          </w:p>
        </w:tc>
        <w:tc>
          <w:tcPr>
            <w:tcW w:w="2764" w:type="dxa"/>
            <w:tcBorders>
              <w:top w:val="single" w:sz="4" w:space="0" w:color="auto"/>
              <w:left w:val="single" w:sz="4" w:space="0" w:color="auto"/>
              <w:bottom w:val="single" w:sz="4" w:space="0" w:color="auto"/>
              <w:right w:val="single" w:sz="4" w:space="0" w:color="auto"/>
            </w:tcBorders>
          </w:tcPr>
          <w:p w14:paraId="49A9A782"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 en caso de no existir normatividad al respecto de la forma de asignar los montos, que servidor público los autoriza; y</w:t>
            </w:r>
          </w:p>
          <w:p w14:paraId="0C8C020E"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72378A61"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57C4AD63"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 por qué las unidades administrativas que no lo tienen carecen de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w:t>
            </w:r>
          </w:p>
          <w:p w14:paraId="2F3C9C70"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434A36A0"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11E6BF9"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5720ECBF" w14:textId="77777777" w:rsidR="00072693" w:rsidRPr="000C77FA" w:rsidRDefault="002C1F92" w:rsidP="000C77FA">
            <w:pPr>
              <w:numPr>
                <w:ilvl w:val="0"/>
                <w:numId w:val="8"/>
              </w:numPr>
              <w:tabs>
                <w:tab w:val="left" w:pos="317"/>
              </w:tabs>
              <w:spacing w:line="220" w:lineRule="auto"/>
              <w:ind w:left="0" w:firstLine="34"/>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de las siguientes unidades administrativas, si es que lo tuvieron: Oficina del Secretario de Cultura y Turismo, Dirección General de Patrimonio y Servicios Culturales; UIPPE y Subsecretaría de Turismo; del periodo julio-octubre 2022.</w:t>
            </w:r>
          </w:p>
          <w:p w14:paraId="25274B8E"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Borders>
              <w:top w:val="single" w:sz="4" w:space="0" w:color="auto"/>
              <w:left w:val="single" w:sz="4" w:space="0" w:color="auto"/>
              <w:bottom w:val="single" w:sz="4" w:space="0" w:color="auto"/>
              <w:right w:val="single" w:sz="4" w:space="0" w:color="auto"/>
            </w:tcBorders>
          </w:tcPr>
          <w:p w14:paraId="6F8A5D33"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Si existe normatividad aplicable.</w:t>
            </w:r>
          </w:p>
          <w:p w14:paraId="2A266CD5"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1F29F23C"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273EACE2"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2A7B1FB6"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507C5924"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4D74939E"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En apego a las Medidas de Austeridad y Contención del Gasto Público del Poder Ejecutivo del Gobierno del Estado de México y sus funciones operativas de las unidades administrativas. </w:t>
            </w:r>
          </w:p>
          <w:p w14:paraId="0C4FF090"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71CC87D2"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Con fundamento en el artículo 158 la Ley de Transparencia y Acceso a la Información Pública del Estado de México y Municipios, se informó a la Unidad de Información, Planeación, Programación y Evaluación, que </w:t>
            </w:r>
            <w:r w:rsidRPr="000C77FA">
              <w:rPr>
                <w:rFonts w:ascii="Palatino Linotype" w:eastAsia="Palatino Linotype" w:hAnsi="Palatino Linotype" w:cs="Palatino Linotype"/>
                <w:b/>
                <w:i/>
                <w:sz w:val="16"/>
                <w:szCs w:val="16"/>
              </w:rPr>
              <w:t>la entrega o reproducción sobrepasa las capacidades técnicas, administrativas y humanas</w:t>
            </w:r>
            <w:r w:rsidRPr="000C77FA">
              <w:rPr>
                <w:rFonts w:ascii="Palatino Linotype" w:eastAsia="Palatino Linotype" w:hAnsi="Palatino Linotype" w:cs="Palatino Linotype"/>
                <w:i/>
                <w:sz w:val="16"/>
                <w:szCs w:val="16"/>
              </w:rPr>
              <w:t xml:space="preserve"> de este sujeto obligado. Por lo que, mediante el acta SCTYTUR/CT/EXT-25/2022, </w:t>
            </w:r>
            <w:r w:rsidRPr="000C77FA">
              <w:rPr>
                <w:rFonts w:ascii="Palatino Linotype" w:eastAsia="Palatino Linotype" w:hAnsi="Palatino Linotype" w:cs="Palatino Linotype"/>
                <w:b/>
                <w:i/>
                <w:sz w:val="16"/>
                <w:szCs w:val="16"/>
              </w:rPr>
              <w:t>se determinó poner a disposición del ciudadano el acervo documental relativo a la solicitud en mención</w:t>
            </w:r>
            <w:r w:rsidRPr="000C77FA">
              <w:rPr>
                <w:rFonts w:ascii="Palatino Linotype" w:eastAsia="Palatino Linotype" w:hAnsi="Palatino Linotype" w:cs="Palatino Linotype"/>
                <w:i/>
                <w:sz w:val="16"/>
                <w:szCs w:val="16"/>
              </w:rPr>
              <w:t xml:space="preserve">; en las oficinas de la Dirección de Finanzas de la Secretaría de Cultura y Turismo, ubicadas en CD. Deportiva “Edo. </w:t>
            </w:r>
            <w:proofErr w:type="spellStart"/>
            <w:r w:rsidRPr="000C77FA">
              <w:rPr>
                <w:rFonts w:ascii="Palatino Linotype" w:eastAsia="Palatino Linotype" w:hAnsi="Palatino Linotype" w:cs="Palatino Linotype"/>
                <w:i/>
                <w:sz w:val="16"/>
                <w:szCs w:val="16"/>
              </w:rPr>
              <w:t>Méx</w:t>
            </w:r>
            <w:proofErr w:type="spellEnd"/>
            <w:r w:rsidRPr="000C77FA">
              <w:rPr>
                <w:rFonts w:ascii="Palatino Linotype" w:eastAsia="Palatino Linotype" w:hAnsi="Palatino Linotype" w:cs="Palatino Linotype"/>
                <w:i/>
                <w:sz w:val="16"/>
                <w:szCs w:val="16"/>
              </w:rPr>
              <w:t>”, calle Deportiva #100, colonia Irma Patricia Galindo de Reza, Zinacantepec, Estado de México; en un horario de 9:00 a 18:00 horas, para su consulta y revisión. (se adjunta acta)</w:t>
            </w:r>
          </w:p>
          <w:p w14:paraId="4E837661"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Acompaña Acta de la vigésima quinta sesión extraordinaria del Comité de Transparencia de la Secretaria de Cultura y Turismo del gobierno del Estado de México.</w:t>
            </w:r>
          </w:p>
        </w:tc>
        <w:tc>
          <w:tcPr>
            <w:tcW w:w="1560" w:type="dxa"/>
            <w:tcBorders>
              <w:top w:val="single" w:sz="4" w:space="0" w:color="auto"/>
              <w:left w:val="single" w:sz="4" w:space="0" w:color="auto"/>
              <w:bottom w:val="single" w:sz="4" w:space="0" w:color="auto"/>
              <w:right w:val="single" w:sz="4" w:space="0" w:color="auto"/>
            </w:tcBorders>
          </w:tcPr>
          <w:p w14:paraId="24614114" w14:textId="3A7B5595"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-COLMADO</w:t>
            </w:r>
          </w:p>
          <w:p w14:paraId="420A6DF0" w14:textId="77777777" w:rsidR="00072693" w:rsidRPr="000C77FA" w:rsidRDefault="00072693" w:rsidP="000C77FA">
            <w:pPr>
              <w:ind w:right="49"/>
              <w:jc w:val="both"/>
              <w:rPr>
                <w:rFonts w:ascii="Palatino Linotype" w:eastAsia="Palatino Linotype" w:hAnsi="Palatino Linotype" w:cs="Palatino Linotype"/>
                <w:sz w:val="18"/>
                <w:szCs w:val="18"/>
              </w:rPr>
            </w:pPr>
          </w:p>
          <w:p w14:paraId="1A6720FE" w14:textId="77777777" w:rsidR="00072693" w:rsidRPr="000C77FA" w:rsidRDefault="00072693" w:rsidP="000C77FA">
            <w:pPr>
              <w:ind w:right="49"/>
              <w:jc w:val="both"/>
              <w:rPr>
                <w:rFonts w:ascii="Palatino Linotype" w:eastAsia="Palatino Linotype" w:hAnsi="Palatino Linotype" w:cs="Palatino Linotype"/>
                <w:sz w:val="18"/>
                <w:szCs w:val="18"/>
              </w:rPr>
            </w:pPr>
          </w:p>
          <w:p w14:paraId="01697C08" w14:textId="77777777" w:rsidR="00072693" w:rsidRPr="000C77FA" w:rsidRDefault="00072693" w:rsidP="000C77FA">
            <w:pPr>
              <w:ind w:right="49"/>
              <w:jc w:val="both"/>
              <w:rPr>
                <w:rFonts w:ascii="Palatino Linotype" w:eastAsia="Palatino Linotype" w:hAnsi="Palatino Linotype" w:cs="Palatino Linotype"/>
                <w:sz w:val="18"/>
                <w:szCs w:val="18"/>
              </w:rPr>
            </w:pPr>
          </w:p>
          <w:p w14:paraId="46C7E485" w14:textId="5EA35CAD"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 COLMADO</w:t>
            </w:r>
          </w:p>
          <w:p w14:paraId="7D96A332" w14:textId="77777777" w:rsidR="00072693" w:rsidRPr="000C77FA" w:rsidRDefault="00072693" w:rsidP="000C77FA">
            <w:pPr>
              <w:ind w:right="49"/>
              <w:jc w:val="both"/>
              <w:rPr>
                <w:rFonts w:ascii="Palatino Linotype" w:eastAsia="Palatino Linotype" w:hAnsi="Palatino Linotype" w:cs="Palatino Linotype"/>
                <w:sz w:val="18"/>
                <w:szCs w:val="18"/>
              </w:rPr>
            </w:pPr>
          </w:p>
          <w:p w14:paraId="6BC95E4A" w14:textId="77777777" w:rsidR="00072693" w:rsidRPr="000C77FA" w:rsidRDefault="00072693" w:rsidP="000C77FA">
            <w:pPr>
              <w:ind w:right="49"/>
              <w:jc w:val="both"/>
              <w:rPr>
                <w:rFonts w:ascii="Palatino Linotype" w:eastAsia="Palatino Linotype" w:hAnsi="Palatino Linotype" w:cs="Palatino Linotype"/>
                <w:sz w:val="18"/>
                <w:szCs w:val="18"/>
              </w:rPr>
            </w:pPr>
          </w:p>
          <w:p w14:paraId="27332496" w14:textId="77777777" w:rsidR="00072693" w:rsidRPr="000C77FA" w:rsidRDefault="00072693" w:rsidP="000C77FA">
            <w:pPr>
              <w:ind w:right="49"/>
              <w:jc w:val="both"/>
              <w:rPr>
                <w:rFonts w:ascii="Palatino Linotype" w:eastAsia="Palatino Linotype" w:hAnsi="Palatino Linotype" w:cs="Palatino Linotype"/>
                <w:sz w:val="18"/>
                <w:szCs w:val="18"/>
              </w:rPr>
            </w:pPr>
          </w:p>
          <w:p w14:paraId="700F50F3"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bl>
    <w:p w14:paraId="4C8E2AE0" w14:textId="77777777" w:rsidR="00072693" w:rsidRPr="000C77FA" w:rsidRDefault="00072693" w:rsidP="000C77FA"/>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
        <w:gridCol w:w="2764"/>
        <w:gridCol w:w="3677"/>
        <w:gridCol w:w="1560"/>
      </w:tblGrid>
      <w:tr w:rsidR="00072693" w:rsidRPr="000C77FA" w14:paraId="176225E9" w14:textId="77777777">
        <w:trPr>
          <w:trHeight w:val="3210"/>
        </w:trPr>
        <w:tc>
          <w:tcPr>
            <w:tcW w:w="925" w:type="dxa"/>
          </w:tcPr>
          <w:p w14:paraId="050FADBE" w14:textId="77777777" w:rsidR="00072693" w:rsidRPr="000C77FA" w:rsidRDefault="002C1F92" w:rsidP="000C77FA">
            <w:pPr>
              <w:spacing w:line="360" w:lineRule="auto"/>
              <w:ind w:right="49"/>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00210</w:t>
            </w:r>
          </w:p>
          <w:p w14:paraId="458907BF" w14:textId="77777777" w:rsidR="00072693" w:rsidRPr="000C77FA" w:rsidRDefault="00072693" w:rsidP="000C77FA">
            <w:pPr>
              <w:spacing w:line="360" w:lineRule="auto"/>
              <w:ind w:right="49"/>
              <w:jc w:val="center"/>
              <w:rPr>
                <w:rFonts w:ascii="Palatino Linotype" w:eastAsia="Palatino Linotype" w:hAnsi="Palatino Linotype" w:cs="Palatino Linotype"/>
                <w:b/>
                <w:sz w:val="18"/>
                <w:szCs w:val="18"/>
              </w:rPr>
            </w:pPr>
          </w:p>
        </w:tc>
        <w:tc>
          <w:tcPr>
            <w:tcW w:w="2764" w:type="dxa"/>
          </w:tcPr>
          <w:p w14:paraId="34FB0D4B" w14:textId="77777777" w:rsidR="00072693" w:rsidRPr="000C77FA" w:rsidRDefault="002C1F92" w:rsidP="000C77FA">
            <w:pPr>
              <w:numPr>
                <w:ilvl w:val="0"/>
                <w:numId w:val="10"/>
              </w:numPr>
              <w:tabs>
                <w:tab w:val="left" w:pos="317"/>
              </w:tabs>
              <w:spacing w:line="220" w:lineRule="auto"/>
              <w:ind w:left="34"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2021, cuál es la normatividad aplicable para el ejercicio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y</w:t>
            </w:r>
          </w:p>
          <w:p w14:paraId="1E39C719"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p w14:paraId="2997BD2F" w14:textId="77777777" w:rsidR="00072693" w:rsidRPr="000C77FA" w:rsidRDefault="002C1F92" w:rsidP="000C77FA">
            <w:pPr>
              <w:numPr>
                <w:ilvl w:val="0"/>
                <w:numId w:val="10"/>
              </w:numPr>
              <w:tabs>
                <w:tab w:val="left" w:pos="317"/>
              </w:tabs>
              <w:spacing w:line="220" w:lineRule="auto"/>
              <w:ind w:left="34"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 cuáles sanciones se consideran en el uso indebido de esos recursos</w:t>
            </w:r>
            <w:proofErr w:type="gramStart"/>
            <w:r w:rsidRPr="000C77FA">
              <w:rPr>
                <w:rFonts w:ascii="Palatino Linotype" w:eastAsia="Palatino Linotype" w:hAnsi="Palatino Linotype" w:cs="Palatino Linotype"/>
                <w:i/>
                <w:sz w:val="16"/>
                <w:szCs w:val="16"/>
              </w:rPr>
              <w:t>?</w:t>
            </w:r>
            <w:proofErr w:type="gramEnd"/>
            <w:r w:rsidRPr="000C77FA">
              <w:rPr>
                <w:rFonts w:ascii="Palatino Linotype" w:eastAsia="Palatino Linotype" w:hAnsi="Palatino Linotype" w:cs="Palatino Linotype"/>
                <w:i/>
                <w:sz w:val="16"/>
                <w:szCs w:val="16"/>
              </w:rPr>
              <w:t xml:space="preserve"> </w:t>
            </w:r>
          </w:p>
          <w:p w14:paraId="3D418945"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63BE3B3" w14:textId="77777777" w:rsidR="00072693" w:rsidRPr="000C77FA" w:rsidRDefault="002C1F92" w:rsidP="000C77FA">
            <w:pPr>
              <w:numPr>
                <w:ilvl w:val="0"/>
                <w:numId w:val="10"/>
              </w:numPr>
              <w:tabs>
                <w:tab w:val="left" w:pos="317"/>
              </w:tabs>
              <w:spacing w:line="220" w:lineRule="auto"/>
              <w:ind w:left="34"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p w14:paraId="129B1662"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p w14:paraId="62B66499" w14:textId="77777777" w:rsidR="00072693" w:rsidRPr="000C77FA" w:rsidRDefault="002C1F92" w:rsidP="000C77FA">
            <w:pPr>
              <w:numPr>
                <w:ilvl w:val="0"/>
                <w:numId w:val="10"/>
              </w:numPr>
              <w:tabs>
                <w:tab w:val="left" w:pos="317"/>
              </w:tabs>
              <w:spacing w:line="220" w:lineRule="auto"/>
              <w:ind w:left="34"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2021, cuántas y cuales unidades administrativas de la Secretaría de Cultura y Turismo contaron con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p w14:paraId="0A3E27DD"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0D8BFA71"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4E137A85"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5C50265E"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09DCCD20"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76B60A75"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40BC0F6F" w14:textId="77777777" w:rsidR="00072693" w:rsidRPr="000C77FA" w:rsidRDefault="002C1F92" w:rsidP="000C77FA">
            <w:pPr>
              <w:numPr>
                <w:ilvl w:val="0"/>
                <w:numId w:val="10"/>
              </w:numPr>
              <w:tabs>
                <w:tab w:val="left" w:pos="317"/>
              </w:tabs>
              <w:spacing w:line="220" w:lineRule="auto"/>
              <w:ind w:left="34"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2021, cuál fue el monto mensual asignado de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para cada unidad administrativa? </w:t>
            </w:r>
          </w:p>
          <w:p w14:paraId="09A8E294"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2F0905A8"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082AD939"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6EDC155A"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0C2C2000"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13D44EAF"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52DB4945"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4196B0A9" w14:textId="77777777" w:rsidR="00072693" w:rsidRPr="000C77FA" w:rsidRDefault="00072693" w:rsidP="000C77FA">
            <w:pPr>
              <w:tabs>
                <w:tab w:val="left" w:pos="317"/>
              </w:tabs>
              <w:spacing w:line="220" w:lineRule="auto"/>
              <w:jc w:val="both"/>
              <w:rPr>
                <w:rFonts w:ascii="Palatino Linotype" w:eastAsia="Palatino Linotype" w:hAnsi="Palatino Linotype" w:cs="Palatino Linotype"/>
                <w:i/>
                <w:sz w:val="16"/>
                <w:szCs w:val="16"/>
              </w:rPr>
            </w:pPr>
          </w:p>
          <w:p w14:paraId="4D042001"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324CB3AF" w14:textId="77777777" w:rsidR="00072693" w:rsidRPr="000C77FA" w:rsidRDefault="002C1F92" w:rsidP="000C77FA">
            <w:pPr>
              <w:numPr>
                <w:ilvl w:val="0"/>
                <w:numId w:val="10"/>
              </w:numPr>
              <w:tabs>
                <w:tab w:val="left" w:pos="317"/>
              </w:tabs>
              <w:spacing w:line="220" w:lineRule="auto"/>
              <w:ind w:left="34"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Del ejercicio fiscal 2021,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de las siguientes unidades administrativas, si es que lo tuvieron: Oficina del Secretario de Cultura y Turismo, Unidad Jurídica, Dirección General de Turismo de Reuniones; UIPPE y Unidad de Comunicación Social; del periodo enero-junio 2021.</w:t>
            </w:r>
          </w:p>
          <w:p w14:paraId="43961AF0" w14:textId="77777777" w:rsidR="00072693" w:rsidRPr="000C77FA" w:rsidRDefault="00072693" w:rsidP="000C77FA">
            <w:pPr>
              <w:tabs>
                <w:tab w:val="left" w:pos="317"/>
              </w:tabs>
              <w:spacing w:line="220" w:lineRule="auto"/>
              <w:ind w:left="34"/>
              <w:jc w:val="both"/>
              <w:rPr>
                <w:rFonts w:ascii="Palatino Linotype" w:eastAsia="Palatino Linotype" w:hAnsi="Palatino Linotype" w:cs="Palatino Linotype"/>
                <w:i/>
                <w:sz w:val="16"/>
                <w:szCs w:val="16"/>
              </w:rPr>
            </w:pPr>
          </w:p>
        </w:tc>
        <w:tc>
          <w:tcPr>
            <w:tcW w:w="3677" w:type="dxa"/>
          </w:tcPr>
          <w:p w14:paraId="70944546"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Manual de Normas y Políticas para el Gasto Público del Gobierno del Estado de México.</w:t>
            </w:r>
          </w:p>
          <w:p w14:paraId="03327157"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4132C117"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Responsabilidades administrativas según lo determine el Órgano Interno de Control.</w:t>
            </w:r>
          </w:p>
          <w:p w14:paraId="532668D2"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03902C7D"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Esta Secretaría declaró su incompetencia, respecto a estar facultada para atender la información solicitada.</w:t>
            </w:r>
          </w:p>
          <w:p w14:paraId="4D0775FA"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3245C4FF"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39A347EC"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480B080B"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Oficina del C. Secretario de Cultura y Turismo | Dirección General de Patrimonio y Servicios Culturales del Valle de Toluca | Dirección General de la Orquesta Sinfónica del Estado de México | Dirección General de Conservatorio de Música del Estado de México | Dirección General de Cultura Física y Deporte | Secretaria Ejecutiva del Consejo Editorial de la Administración Pública Estatal | Subsecretaría de Turismo</w:t>
            </w:r>
          </w:p>
          <w:p w14:paraId="6A4069A2"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44214B4F"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Oficina del C. Secretario de Cultura y Turismo $38,709.48 | Dirección General de Patrimonio y Servicios Culturales del Valle de Toluca $372,710.13 | Dirección General de la Orquesta Sinfónica del Estado de México $23,058.38 | Dirección General de Conservatorio de Música del Estado de México $6,892.05 | Dirección General de Cultura Física y Deporte $246,404.21 | Secretaria Ejecutiva del Consejo Editorial de la Administración Pública Estatal $185,744.11 | Subsecretaría de Turismo $72,460.68 </w:t>
            </w:r>
          </w:p>
          <w:p w14:paraId="4C52FF46"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2717F7A6"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Con fundamento en el artículo 158 la Ley de Transparencia y Acceso a la Información Pública del Estado de México y Municipios, se informó a la Unidad de Información, Planeación, Programación y Evaluación, </w:t>
            </w:r>
            <w:r w:rsidRPr="000C77FA">
              <w:rPr>
                <w:rFonts w:ascii="Palatino Linotype" w:eastAsia="Palatino Linotype" w:hAnsi="Palatino Linotype" w:cs="Palatino Linotype"/>
                <w:b/>
                <w:i/>
                <w:sz w:val="16"/>
                <w:szCs w:val="16"/>
              </w:rPr>
              <w:t>que la entrega o reproducción sobrepasa las capacidades técnicas, administrativas y humanas</w:t>
            </w:r>
            <w:r w:rsidRPr="000C77FA">
              <w:rPr>
                <w:rFonts w:ascii="Palatino Linotype" w:eastAsia="Palatino Linotype" w:hAnsi="Palatino Linotype" w:cs="Palatino Linotype"/>
                <w:i/>
                <w:sz w:val="16"/>
                <w:szCs w:val="16"/>
              </w:rPr>
              <w:t xml:space="preserve"> de este sujeto obligado. Por lo que, mediante el acta SCTYTUR/CT/EXT-25/2022, </w:t>
            </w:r>
            <w:r w:rsidRPr="000C77FA">
              <w:rPr>
                <w:rFonts w:ascii="Palatino Linotype" w:eastAsia="Palatino Linotype" w:hAnsi="Palatino Linotype" w:cs="Palatino Linotype"/>
                <w:b/>
                <w:i/>
                <w:sz w:val="16"/>
                <w:szCs w:val="16"/>
              </w:rPr>
              <w:t>se determinó poner a disposición del ciudadano el acervo documental relativo a la solicitud en mención</w:t>
            </w:r>
            <w:r w:rsidRPr="000C77FA">
              <w:rPr>
                <w:rFonts w:ascii="Palatino Linotype" w:eastAsia="Palatino Linotype" w:hAnsi="Palatino Linotype" w:cs="Palatino Linotype"/>
                <w:i/>
                <w:sz w:val="16"/>
                <w:szCs w:val="16"/>
              </w:rPr>
              <w:t xml:space="preserve">; en las oficinas de la Dirección de Finanzas de la Secretaría de Cultura y Turismo, ubicadas en CD. Deportiva “Edo. </w:t>
            </w:r>
            <w:proofErr w:type="spellStart"/>
            <w:r w:rsidRPr="000C77FA">
              <w:rPr>
                <w:rFonts w:ascii="Palatino Linotype" w:eastAsia="Palatino Linotype" w:hAnsi="Palatino Linotype" w:cs="Palatino Linotype"/>
                <w:i/>
                <w:sz w:val="16"/>
                <w:szCs w:val="16"/>
              </w:rPr>
              <w:t>Méx</w:t>
            </w:r>
            <w:proofErr w:type="spellEnd"/>
            <w:r w:rsidRPr="000C77FA">
              <w:rPr>
                <w:rFonts w:ascii="Palatino Linotype" w:eastAsia="Palatino Linotype" w:hAnsi="Palatino Linotype" w:cs="Palatino Linotype"/>
                <w:i/>
                <w:sz w:val="16"/>
                <w:szCs w:val="16"/>
              </w:rPr>
              <w:t>”, calle Deportiva #100, colonia Irma Patricia Galindo de Reza, Zinacantepec, Estado de México; en un horario de 9:00 a 18:00 horas, para su consulta y revisión. (se adjunta acta)</w:t>
            </w:r>
          </w:p>
          <w:p w14:paraId="5D845F43"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lastRenderedPageBreak/>
              <w:t>Acompaña Acta de la vigésima quinta sesión extraordinaria.</w:t>
            </w:r>
          </w:p>
        </w:tc>
        <w:tc>
          <w:tcPr>
            <w:tcW w:w="1560" w:type="dxa"/>
          </w:tcPr>
          <w:p w14:paraId="649B0FD9" w14:textId="062E7A3F"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lastRenderedPageBreak/>
              <w:t>Atendido</w:t>
            </w:r>
            <w:r w:rsidR="00590865" w:rsidRPr="000C77FA">
              <w:rPr>
                <w:rFonts w:ascii="Palatino Linotype" w:eastAsia="Palatino Linotype" w:hAnsi="Palatino Linotype" w:cs="Palatino Linotype"/>
                <w:sz w:val="18"/>
                <w:szCs w:val="18"/>
              </w:rPr>
              <w:t xml:space="preserve"> -COLMADO</w:t>
            </w:r>
          </w:p>
          <w:p w14:paraId="2BBBF21E" w14:textId="77777777" w:rsidR="00072693" w:rsidRPr="000C77FA" w:rsidRDefault="00072693" w:rsidP="000C77FA">
            <w:pPr>
              <w:ind w:right="49"/>
              <w:jc w:val="both"/>
              <w:rPr>
                <w:rFonts w:ascii="Palatino Linotype" w:eastAsia="Palatino Linotype" w:hAnsi="Palatino Linotype" w:cs="Palatino Linotype"/>
                <w:sz w:val="18"/>
                <w:szCs w:val="18"/>
              </w:rPr>
            </w:pPr>
          </w:p>
          <w:p w14:paraId="64442D28"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p w14:paraId="26854394" w14:textId="77777777" w:rsidR="00072693" w:rsidRPr="000C77FA" w:rsidRDefault="00072693" w:rsidP="000C77FA">
            <w:pPr>
              <w:ind w:right="49"/>
              <w:jc w:val="both"/>
              <w:rPr>
                <w:rFonts w:ascii="Palatino Linotype" w:eastAsia="Palatino Linotype" w:hAnsi="Palatino Linotype" w:cs="Palatino Linotype"/>
                <w:sz w:val="18"/>
                <w:szCs w:val="18"/>
              </w:rPr>
            </w:pPr>
          </w:p>
          <w:p w14:paraId="617E5BC1" w14:textId="77777777" w:rsidR="00072693" w:rsidRPr="000C77FA" w:rsidRDefault="00072693" w:rsidP="000C77FA">
            <w:pPr>
              <w:ind w:right="49"/>
              <w:jc w:val="both"/>
              <w:rPr>
                <w:rFonts w:ascii="Palatino Linotype" w:eastAsia="Palatino Linotype" w:hAnsi="Palatino Linotype" w:cs="Palatino Linotype"/>
                <w:sz w:val="18"/>
                <w:szCs w:val="18"/>
              </w:rPr>
            </w:pPr>
          </w:p>
          <w:p w14:paraId="4792F6E5"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p w14:paraId="6C168BBA" w14:textId="77777777" w:rsidR="00072693" w:rsidRPr="000C77FA" w:rsidRDefault="00072693" w:rsidP="000C77FA">
            <w:pPr>
              <w:ind w:right="49"/>
              <w:jc w:val="both"/>
              <w:rPr>
                <w:rFonts w:ascii="Palatino Linotype" w:eastAsia="Palatino Linotype" w:hAnsi="Palatino Linotype" w:cs="Palatino Linotype"/>
                <w:sz w:val="18"/>
                <w:szCs w:val="18"/>
              </w:rPr>
            </w:pPr>
          </w:p>
          <w:p w14:paraId="37FB44EC" w14:textId="77777777" w:rsidR="00072693" w:rsidRPr="000C77FA" w:rsidRDefault="00072693" w:rsidP="000C77FA">
            <w:pPr>
              <w:ind w:right="49"/>
              <w:jc w:val="both"/>
              <w:rPr>
                <w:rFonts w:ascii="Palatino Linotype" w:eastAsia="Palatino Linotype" w:hAnsi="Palatino Linotype" w:cs="Palatino Linotype"/>
                <w:sz w:val="18"/>
                <w:szCs w:val="18"/>
              </w:rPr>
            </w:pPr>
          </w:p>
          <w:p w14:paraId="56052FCC" w14:textId="19F9EB3F"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590865" w:rsidRPr="000C77FA">
              <w:rPr>
                <w:rFonts w:ascii="Palatino Linotype" w:eastAsia="Palatino Linotype" w:hAnsi="Palatino Linotype" w:cs="Palatino Linotype"/>
                <w:sz w:val="18"/>
                <w:szCs w:val="18"/>
              </w:rPr>
              <w:t xml:space="preserve"> -COLMADO</w:t>
            </w:r>
          </w:p>
          <w:p w14:paraId="2007834C" w14:textId="77777777" w:rsidR="00072693" w:rsidRPr="000C77FA" w:rsidRDefault="00072693" w:rsidP="000C77FA">
            <w:pPr>
              <w:ind w:right="49"/>
              <w:jc w:val="both"/>
              <w:rPr>
                <w:rFonts w:ascii="Palatino Linotype" w:eastAsia="Palatino Linotype" w:hAnsi="Palatino Linotype" w:cs="Palatino Linotype"/>
                <w:sz w:val="18"/>
                <w:szCs w:val="18"/>
              </w:rPr>
            </w:pPr>
          </w:p>
          <w:p w14:paraId="5B44BA72" w14:textId="77777777" w:rsidR="00072693" w:rsidRPr="000C77FA" w:rsidRDefault="00072693" w:rsidP="000C77FA">
            <w:pPr>
              <w:ind w:right="49"/>
              <w:jc w:val="both"/>
              <w:rPr>
                <w:rFonts w:ascii="Palatino Linotype" w:eastAsia="Palatino Linotype" w:hAnsi="Palatino Linotype" w:cs="Palatino Linotype"/>
                <w:sz w:val="18"/>
                <w:szCs w:val="18"/>
              </w:rPr>
            </w:pPr>
          </w:p>
          <w:p w14:paraId="76B19E52" w14:textId="77777777" w:rsidR="00072693" w:rsidRPr="000C77FA" w:rsidRDefault="00072693" w:rsidP="000C77FA">
            <w:pPr>
              <w:ind w:right="49"/>
              <w:jc w:val="both"/>
              <w:rPr>
                <w:rFonts w:ascii="Palatino Linotype" w:eastAsia="Palatino Linotype" w:hAnsi="Palatino Linotype" w:cs="Palatino Linotype"/>
                <w:sz w:val="18"/>
                <w:szCs w:val="18"/>
              </w:rPr>
            </w:pPr>
          </w:p>
          <w:p w14:paraId="1713BA1C" w14:textId="77777777" w:rsidR="00072693" w:rsidRPr="000C77FA" w:rsidRDefault="00072693" w:rsidP="000C77FA">
            <w:pPr>
              <w:ind w:right="49"/>
              <w:jc w:val="both"/>
              <w:rPr>
                <w:rFonts w:ascii="Palatino Linotype" w:eastAsia="Palatino Linotype" w:hAnsi="Palatino Linotype" w:cs="Palatino Linotype"/>
                <w:sz w:val="18"/>
                <w:szCs w:val="18"/>
              </w:rPr>
            </w:pPr>
          </w:p>
          <w:p w14:paraId="6AD783A2" w14:textId="77777777" w:rsidR="00072693" w:rsidRPr="000C77FA" w:rsidRDefault="00072693" w:rsidP="000C77FA">
            <w:pPr>
              <w:ind w:right="49"/>
              <w:jc w:val="both"/>
              <w:rPr>
                <w:rFonts w:ascii="Palatino Linotype" w:eastAsia="Palatino Linotype" w:hAnsi="Palatino Linotype" w:cs="Palatino Linotype"/>
                <w:sz w:val="18"/>
                <w:szCs w:val="18"/>
              </w:rPr>
            </w:pPr>
          </w:p>
          <w:p w14:paraId="68E1D848" w14:textId="77777777" w:rsidR="00072693" w:rsidRPr="000C77FA" w:rsidRDefault="00072693" w:rsidP="000C77FA">
            <w:pPr>
              <w:ind w:right="49"/>
              <w:jc w:val="both"/>
              <w:rPr>
                <w:rFonts w:ascii="Palatino Linotype" w:eastAsia="Palatino Linotype" w:hAnsi="Palatino Linotype" w:cs="Palatino Linotype"/>
                <w:sz w:val="18"/>
                <w:szCs w:val="18"/>
              </w:rPr>
            </w:pPr>
          </w:p>
          <w:p w14:paraId="3B333ADE" w14:textId="77777777" w:rsidR="00072693" w:rsidRPr="000C77FA" w:rsidRDefault="00072693" w:rsidP="000C77FA">
            <w:pPr>
              <w:ind w:right="49"/>
              <w:jc w:val="both"/>
              <w:rPr>
                <w:rFonts w:ascii="Palatino Linotype" w:eastAsia="Palatino Linotype" w:hAnsi="Palatino Linotype" w:cs="Palatino Linotype"/>
                <w:sz w:val="18"/>
                <w:szCs w:val="18"/>
              </w:rPr>
            </w:pPr>
          </w:p>
          <w:p w14:paraId="37662207" w14:textId="77777777" w:rsidR="00072693" w:rsidRPr="000C77FA" w:rsidRDefault="00072693" w:rsidP="000C77FA">
            <w:pPr>
              <w:ind w:right="49"/>
              <w:jc w:val="both"/>
              <w:rPr>
                <w:rFonts w:ascii="Palatino Linotype" w:eastAsia="Palatino Linotype" w:hAnsi="Palatino Linotype" w:cs="Palatino Linotype"/>
                <w:sz w:val="18"/>
                <w:szCs w:val="18"/>
              </w:rPr>
            </w:pPr>
          </w:p>
          <w:p w14:paraId="6434360A"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 xml:space="preserve">Atendido </w:t>
            </w:r>
          </w:p>
          <w:p w14:paraId="178C5EE9" w14:textId="77777777" w:rsidR="00072693" w:rsidRPr="000C77FA" w:rsidRDefault="00072693" w:rsidP="000C77FA">
            <w:pPr>
              <w:ind w:right="49"/>
              <w:jc w:val="both"/>
              <w:rPr>
                <w:rFonts w:ascii="Palatino Linotype" w:eastAsia="Palatino Linotype" w:hAnsi="Palatino Linotype" w:cs="Palatino Linotype"/>
                <w:sz w:val="18"/>
                <w:szCs w:val="18"/>
              </w:rPr>
            </w:pPr>
          </w:p>
          <w:p w14:paraId="7F21D187" w14:textId="77777777" w:rsidR="00072693" w:rsidRPr="000C77FA" w:rsidRDefault="00072693" w:rsidP="000C77FA">
            <w:pPr>
              <w:ind w:right="49"/>
              <w:jc w:val="both"/>
              <w:rPr>
                <w:rFonts w:ascii="Palatino Linotype" w:eastAsia="Palatino Linotype" w:hAnsi="Palatino Linotype" w:cs="Palatino Linotype"/>
                <w:sz w:val="18"/>
                <w:szCs w:val="18"/>
              </w:rPr>
            </w:pPr>
          </w:p>
          <w:p w14:paraId="4F7033C9" w14:textId="77777777" w:rsidR="00072693" w:rsidRPr="000C77FA" w:rsidRDefault="00072693" w:rsidP="000C77FA">
            <w:pPr>
              <w:ind w:right="49"/>
              <w:jc w:val="both"/>
              <w:rPr>
                <w:rFonts w:ascii="Palatino Linotype" w:eastAsia="Palatino Linotype" w:hAnsi="Palatino Linotype" w:cs="Palatino Linotype"/>
                <w:sz w:val="18"/>
                <w:szCs w:val="18"/>
              </w:rPr>
            </w:pPr>
          </w:p>
          <w:p w14:paraId="1E7F76B8" w14:textId="77777777" w:rsidR="00072693" w:rsidRPr="000C77FA" w:rsidRDefault="00072693" w:rsidP="000C77FA">
            <w:pPr>
              <w:ind w:right="49"/>
              <w:jc w:val="both"/>
              <w:rPr>
                <w:rFonts w:ascii="Palatino Linotype" w:eastAsia="Palatino Linotype" w:hAnsi="Palatino Linotype" w:cs="Palatino Linotype"/>
                <w:sz w:val="18"/>
                <w:szCs w:val="18"/>
              </w:rPr>
            </w:pPr>
          </w:p>
          <w:p w14:paraId="1AFA3C60" w14:textId="77777777" w:rsidR="00072693" w:rsidRPr="000C77FA" w:rsidRDefault="00072693" w:rsidP="000C77FA">
            <w:pPr>
              <w:ind w:right="49"/>
              <w:jc w:val="both"/>
              <w:rPr>
                <w:rFonts w:ascii="Palatino Linotype" w:eastAsia="Palatino Linotype" w:hAnsi="Palatino Linotype" w:cs="Palatino Linotype"/>
                <w:sz w:val="18"/>
                <w:szCs w:val="18"/>
              </w:rPr>
            </w:pPr>
          </w:p>
          <w:p w14:paraId="0CEAE5F3" w14:textId="77777777" w:rsidR="00072693" w:rsidRPr="000C77FA" w:rsidRDefault="00072693" w:rsidP="000C77FA">
            <w:pPr>
              <w:ind w:right="49"/>
              <w:jc w:val="both"/>
              <w:rPr>
                <w:rFonts w:ascii="Palatino Linotype" w:eastAsia="Palatino Linotype" w:hAnsi="Palatino Linotype" w:cs="Palatino Linotype"/>
                <w:sz w:val="18"/>
                <w:szCs w:val="18"/>
              </w:rPr>
            </w:pPr>
          </w:p>
          <w:p w14:paraId="2A846229" w14:textId="77777777" w:rsidR="00072693" w:rsidRPr="000C77FA" w:rsidRDefault="00072693" w:rsidP="000C77FA">
            <w:pPr>
              <w:ind w:right="49"/>
              <w:jc w:val="both"/>
              <w:rPr>
                <w:rFonts w:ascii="Palatino Linotype" w:eastAsia="Palatino Linotype" w:hAnsi="Palatino Linotype" w:cs="Palatino Linotype"/>
                <w:sz w:val="18"/>
                <w:szCs w:val="18"/>
              </w:rPr>
            </w:pPr>
          </w:p>
          <w:p w14:paraId="33B6924A" w14:textId="77777777" w:rsidR="00072693" w:rsidRPr="000C77FA" w:rsidRDefault="00072693" w:rsidP="000C77FA">
            <w:pPr>
              <w:ind w:right="49"/>
              <w:jc w:val="both"/>
              <w:rPr>
                <w:rFonts w:ascii="Palatino Linotype" w:eastAsia="Palatino Linotype" w:hAnsi="Palatino Linotype" w:cs="Palatino Linotype"/>
                <w:sz w:val="18"/>
                <w:szCs w:val="18"/>
              </w:rPr>
            </w:pPr>
          </w:p>
          <w:p w14:paraId="7E170116" w14:textId="77777777" w:rsidR="00072693" w:rsidRPr="000C77FA" w:rsidRDefault="00072693" w:rsidP="000C77FA">
            <w:pPr>
              <w:ind w:right="49"/>
              <w:jc w:val="both"/>
              <w:rPr>
                <w:rFonts w:ascii="Palatino Linotype" w:eastAsia="Palatino Linotype" w:hAnsi="Palatino Linotype" w:cs="Palatino Linotype"/>
                <w:sz w:val="18"/>
                <w:szCs w:val="18"/>
              </w:rPr>
            </w:pPr>
          </w:p>
          <w:p w14:paraId="5391B1E3"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Atendida</w:t>
            </w:r>
          </w:p>
        </w:tc>
      </w:tr>
    </w:tbl>
    <w:p w14:paraId="2B552A52" w14:textId="77777777" w:rsidR="00072693" w:rsidRPr="000C77FA" w:rsidRDefault="00072693" w:rsidP="000C77FA"/>
    <w:tbl>
      <w:tblPr>
        <w:tblStyle w:val="a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
        <w:gridCol w:w="2764"/>
        <w:gridCol w:w="3677"/>
        <w:gridCol w:w="1560"/>
      </w:tblGrid>
      <w:tr w:rsidR="00072693" w:rsidRPr="000C77FA" w14:paraId="19790586" w14:textId="77777777">
        <w:trPr>
          <w:trHeight w:val="9930"/>
        </w:trPr>
        <w:tc>
          <w:tcPr>
            <w:tcW w:w="925" w:type="dxa"/>
          </w:tcPr>
          <w:p w14:paraId="7D455AFC" w14:textId="77777777" w:rsidR="00072693" w:rsidRPr="000C77FA" w:rsidRDefault="002C1F92" w:rsidP="000C77FA">
            <w:pPr>
              <w:spacing w:line="360" w:lineRule="auto"/>
              <w:ind w:right="49"/>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lastRenderedPageBreak/>
              <w:t>00211</w:t>
            </w:r>
          </w:p>
        </w:tc>
        <w:tc>
          <w:tcPr>
            <w:tcW w:w="2764" w:type="dxa"/>
          </w:tcPr>
          <w:p w14:paraId="68C07586" w14:textId="77777777" w:rsidR="00072693" w:rsidRPr="000C77FA" w:rsidRDefault="002C1F92" w:rsidP="000C77FA">
            <w:pPr>
              <w:numPr>
                <w:ilvl w:val="0"/>
                <w:numId w:val="12"/>
              </w:numPr>
              <w:tabs>
                <w:tab w:val="left" w:pos="316"/>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2021, cuál es la normatividad aplicable para el ejercicio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y </w:t>
            </w:r>
          </w:p>
          <w:p w14:paraId="3A6978CF" w14:textId="77777777" w:rsidR="00072693" w:rsidRPr="000C77FA" w:rsidRDefault="00072693" w:rsidP="000C77FA">
            <w:pPr>
              <w:tabs>
                <w:tab w:val="left" w:pos="316"/>
              </w:tabs>
              <w:spacing w:line="220" w:lineRule="auto"/>
              <w:jc w:val="both"/>
              <w:rPr>
                <w:rFonts w:ascii="Palatino Linotype" w:eastAsia="Palatino Linotype" w:hAnsi="Palatino Linotype" w:cs="Palatino Linotype"/>
                <w:i/>
                <w:sz w:val="16"/>
                <w:szCs w:val="16"/>
              </w:rPr>
            </w:pPr>
          </w:p>
          <w:p w14:paraId="7B4C82F3" w14:textId="77777777" w:rsidR="00072693" w:rsidRPr="000C77FA" w:rsidRDefault="002C1F92" w:rsidP="000C77FA">
            <w:pPr>
              <w:numPr>
                <w:ilvl w:val="0"/>
                <w:numId w:val="12"/>
              </w:numPr>
              <w:tabs>
                <w:tab w:val="left" w:pos="316"/>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cuáles sanciones se consideran en el uso indebido de esos recursos</w:t>
            </w:r>
            <w:proofErr w:type="gramStart"/>
            <w:r w:rsidRPr="000C77FA">
              <w:rPr>
                <w:rFonts w:ascii="Palatino Linotype" w:eastAsia="Palatino Linotype" w:hAnsi="Palatino Linotype" w:cs="Palatino Linotype"/>
                <w:i/>
                <w:sz w:val="16"/>
                <w:szCs w:val="16"/>
              </w:rPr>
              <w:t>?</w:t>
            </w:r>
            <w:proofErr w:type="gramEnd"/>
            <w:r w:rsidRPr="000C77FA">
              <w:rPr>
                <w:rFonts w:ascii="Palatino Linotype" w:eastAsia="Palatino Linotype" w:hAnsi="Palatino Linotype" w:cs="Palatino Linotype"/>
                <w:i/>
                <w:sz w:val="16"/>
                <w:szCs w:val="16"/>
              </w:rPr>
              <w:t xml:space="preserve"> </w:t>
            </w:r>
          </w:p>
          <w:p w14:paraId="414897BE"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8F22A6B" w14:textId="77777777" w:rsidR="00072693" w:rsidRPr="000C77FA" w:rsidRDefault="002C1F92" w:rsidP="000C77FA">
            <w:pPr>
              <w:numPr>
                <w:ilvl w:val="0"/>
                <w:numId w:val="12"/>
              </w:numPr>
              <w:tabs>
                <w:tab w:val="left" w:pos="316"/>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p w14:paraId="1D520EE9"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7012B16C" w14:textId="77777777" w:rsidR="00072693" w:rsidRPr="000C77FA" w:rsidRDefault="002C1F92" w:rsidP="000C77FA">
            <w:pPr>
              <w:numPr>
                <w:ilvl w:val="0"/>
                <w:numId w:val="12"/>
              </w:numPr>
              <w:tabs>
                <w:tab w:val="left" w:pos="316"/>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2021, cuántas y cuales unidades administrativas de la Secretaría de Cultura y Turismo contaron con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w:t>
            </w:r>
          </w:p>
          <w:p w14:paraId="182D5F98"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FB8F84D"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61A70A6"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0F605F82"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7F3CB179"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56717873" w14:textId="77777777" w:rsidR="00072693" w:rsidRPr="000C77FA" w:rsidRDefault="002C1F92" w:rsidP="000C77FA">
            <w:pPr>
              <w:numPr>
                <w:ilvl w:val="0"/>
                <w:numId w:val="12"/>
              </w:numPr>
              <w:tabs>
                <w:tab w:val="left" w:pos="316"/>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¿Para el ejercicio fiscal 2021, cuál fue el monto mensual asignado de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xml:space="preserve">”, para cada unidad administrativa? </w:t>
            </w:r>
          </w:p>
          <w:p w14:paraId="5A26B99B"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AAB4361"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3744B26F"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617E3021"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410939BB"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19F88950"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6EB87563"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357C4110"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7AD8E471" w14:textId="77777777" w:rsidR="00072693" w:rsidRPr="000C77FA" w:rsidRDefault="00072693" w:rsidP="000C77FA">
            <w:pPr>
              <w:pBdr>
                <w:top w:val="nil"/>
                <w:left w:val="nil"/>
                <w:bottom w:val="nil"/>
                <w:right w:val="nil"/>
                <w:between w:val="nil"/>
              </w:pBdr>
              <w:ind w:left="708"/>
              <w:rPr>
                <w:rFonts w:ascii="Palatino Linotype" w:eastAsia="Palatino Linotype" w:hAnsi="Palatino Linotype" w:cs="Palatino Linotype"/>
                <w:i/>
                <w:sz w:val="16"/>
                <w:szCs w:val="16"/>
              </w:rPr>
            </w:pPr>
          </w:p>
          <w:p w14:paraId="6DC0B6E3" w14:textId="77777777" w:rsidR="00072693" w:rsidRPr="000C77FA" w:rsidRDefault="002C1F92" w:rsidP="000C77FA">
            <w:pPr>
              <w:numPr>
                <w:ilvl w:val="0"/>
                <w:numId w:val="12"/>
              </w:numPr>
              <w:tabs>
                <w:tab w:val="left" w:pos="316"/>
              </w:tabs>
              <w:spacing w:line="220" w:lineRule="auto"/>
              <w:ind w:left="0" w:firstLine="0"/>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Del ejercicio fiscal 2021,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6"/>
                <w:szCs w:val="16"/>
              </w:rPr>
              <w:t>revolvente</w:t>
            </w:r>
            <w:proofErr w:type="spellEnd"/>
            <w:r w:rsidRPr="000C77FA">
              <w:rPr>
                <w:rFonts w:ascii="Palatino Linotype" w:eastAsia="Palatino Linotype" w:hAnsi="Palatino Linotype" w:cs="Palatino Linotype"/>
                <w:i/>
                <w:sz w:val="16"/>
                <w:szCs w:val="16"/>
              </w:rPr>
              <w:t>” de las siguientes unidades administrativas, si es que lo tuvieron: Oficina del Secretario de Cultura y Turismo, Unidad Jurídica, Dirección General de Turismo de Reuniones; UIPPE y Unidad de Comunicación Social; del periodo julio-octubre 2021.</w:t>
            </w:r>
          </w:p>
        </w:tc>
        <w:tc>
          <w:tcPr>
            <w:tcW w:w="3677" w:type="dxa"/>
          </w:tcPr>
          <w:p w14:paraId="15351BC7"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Manual de Normas y Políticas para el Gasto Público del Gobierno del Estado de México</w:t>
            </w:r>
          </w:p>
          <w:p w14:paraId="317757C4"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4A6ED611"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Responsabilidades administrativas según lo determine el Órgano Interno de Control </w:t>
            </w:r>
          </w:p>
          <w:p w14:paraId="1917182E"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2607538F"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021D6D4B"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Esta Secretaría declaró su incompetencia, respecto a estar facultada para atender la información solicitada.</w:t>
            </w:r>
          </w:p>
          <w:p w14:paraId="3DF68FA4"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36F165AA"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65D6087E"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Oficina del C. Secretario de Cultura y Turismo | Dirección General de Patrimonio y Servicios Culturales del Valle de Toluca | Dirección General de la Orquesta Sinfónica del Estado de México | Dirección General de Conservatorio de Música del Estado de México | Dirección General de Cultura Física y Deporte | Secretaria Ejecutiva del Consejo Editorial de la Administración Pública Estatal | Subsecretaría de Turismo.</w:t>
            </w:r>
          </w:p>
          <w:p w14:paraId="5F10AC87"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1DB7A052"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Oficina del C. Secretario de Cultura y Turismo $38,709.48 | Dirección General de Patrimonio y Servicios Culturales del Valle de Toluca $372,710.13 | Dirección General de la Orquesta Sinfónica del Estado de México $23,058.38 | Dirección General de Conservatorio de Música del Estado de México $6,892.05 | Dirección General de Cultura Física y Deporte $246,404.21 | Secretaria Ejecutiva del Consejo Editorial de la Administración Pública Estatal $185,744.11 | Subsecretaría de Turismo $72,460.68 </w:t>
            </w:r>
          </w:p>
          <w:p w14:paraId="288E2522" w14:textId="77777777" w:rsidR="00072693" w:rsidRPr="000C77FA" w:rsidRDefault="00072693" w:rsidP="000C77FA">
            <w:pPr>
              <w:ind w:right="49"/>
              <w:jc w:val="both"/>
              <w:rPr>
                <w:rFonts w:ascii="Palatino Linotype" w:eastAsia="Palatino Linotype" w:hAnsi="Palatino Linotype" w:cs="Palatino Linotype"/>
                <w:i/>
                <w:sz w:val="16"/>
                <w:szCs w:val="16"/>
              </w:rPr>
            </w:pPr>
          </w:p>
          <w:p w14:paraId="70335DCB"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 xml:space="preserve">Con fundamento en el artículo 158 la Ley de Transparencia y Acceso a la Información Pública del Estado de México y Municipios, se informó a la Unidad de Información, Planeación, Programación y Evaluación, que la entrega o reproducción </w:t>
            </w:r>
            <w:r w:rsidRPr="000C77FA">
              <w:rPr>
                <w:rFonts w:ascii="Palatino Linotype" w:eastAsia="Palatino Linotype" w:hAnsi="Palatino Linotype" w:cs="Palatino Linotype"/>
                <w:b/>
                <w:i/>
                <w:sz w:val="16"/>
                <w:szCs w:val="16"/>
              </w:rPr>
              <w:t>sobrepasa las capacidades técnicas, administrativas y humanas de este sujeto obligado</w:t>
            </w:r>
            <w:r w:rsidRPr="000C77FA">
              <w:rPr>
                <w:rFonts w:ascii="Palatino Linotype" w:eastAsia="Palatino Linotype" w:hAnsi="Palatino Linotype" w:cs="Palatino Linotype"/>
                <w:i/>
                <w:sz w:val="16"/>
                <w:szCs w:val="16"/>
              </w:rPr>
              <w:t xml:space="preserve">. Por lo que, mediante el acta SCTYTUR/CT/EXT-25/2022, se determinó poner a disposición del ciudadano el acervo documental relativo a la solicitud en mención; en las oficinas de la Dirección de Finanzas de la Secretaría de Cultura y Turismo, ubicadas en CD. Deportiva “Edo. </w:t>
            </w:r>
            <w:proofErr w:type="spellStart"/>
            <w:r w:rsidRPr="000C77FA">
              <w:rPr>
                <w:rFonts w:ascii="Palatino Linotype" w:eastAsia="Palatino Linotype" w:hAnsi="Palatino Linotype" w:cs="Palatino Linotype"/>
                <w:i/>
                <w:sz w:val="16"/>
                <w:szCs w:val="16"/>
              </w:rPr>
              <w:t>Méx</w:t>
            </w:r>
            <w:proofErr w:type="spellEnd"/>
            <w:r w:rsidRPr="000C77FA">
              <w:rPr>
                <w:rFonts w:ascii="Palatino Linotype" w:eastAsia="Palatino Linotype" w:hAnsi="Palatino Linotype" w:cs="Palatino Linotype"/>
                <w:i/>
                <w:sz w:val="16"/>
                <w:szCs w:val="16"/>
              </w:rPr>
              <w:t>”, calle Deportiva #100, colonia Irma Patricia Galindo de Reza, Zinacantepec, Estado de México; en un horario de 9:00 a 18:00 horas, para su consulta y revisión. (se adjunta acta)</w:t>
            </w:r>
          </w:p>
          <w:p w14:paraId="7DA229C8" w14:textId="77777777" w:rsidR="00072693" w:rsidRPr="000C77FA" w:rsidRDefault="002C1F92" w:rsidP="000C77FA">
            <w:pPr>
              <w:ind w:right="49"/>
              <w:jc w:val="both"/>
              <w:rPr>
                <w:rFonts w:ascii="Palatino Linotype" w:eastAsia="Palatino Linotype" w:hAnsi="Palatino Linotype" w:cs="Palatino Linotype"/>
                <w:i/>
                <w:sz w:val="16"/>
                <w:szCs w:val="16"/>
              </w:rPr>
            </w:pPr>
            <w:r w:rsidRPr="000C77FA">
              <w:rPr>
                <w:rFonts w:ascii="Palatino Linotype" w:eastAsia="Palatino Linotype" w:hAnsi="Palatino Linotype" w:cs="Palatino Linotype"/>
                <w:i/>
                <w:sz w:val="16"/>
                <w:szCs w:val="16"/>
              </w:rPr>
              <w:t>Acompaña Acta de la vigésima quinta sesión extraordinaria.</w:t>
            </w:r>
          </w:p>
        </w:tc>
        <w:tc>
          <w:tcPr>
            <w:tcW w:w="1560" w:type="dxa"/>
          </w:tcPr>
          <w:p w14:paraId="5129D35E" w14:textId="7AEBEA9D"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4A3DAC" w:rsidRPr="000C77FA">
              <w:rPr>
                <w:rFonts w:ascii="Palatino Linotype" w:eastAsia="Palatino Linotype" w:hAnsi="Palatino Linotype" w:cs="Palatino Linotype"/>
                <w:sz w:val="18"/>
                <w:szCs w:val="18"/>
              </w:rPr>
              <w:t>- COLMADO</w:t>
            </w:r>
          </w:p>
          <w:p w14:paraId="4C9EA4C6" w14:textId="77777777" w:rsidR="00072693" w:rsidRPr="000C77FA" w:rsidRDefault="00072693" w:rsidP="000C77FA">
            <w:pPr>
              <w:ind w:right="49"/>
              <w:jc w:val="both"/>
              <w:rPr>
                <w:rFonts w:ascii="Palatino Linotype" w:eastAsia="Palatino Linotype" w:hAnsi="Palatino Linotype" w:cs="Palatino Linotype"/>
                <w:sz w:val="18"/>
                <w:szCs w:val="18"/>
              </w:rPr>
            </w:pPr>
          </w:p>
          <w:p w14:paraId="6E30FE66"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p w14:paraId="689C7BEC" w14:textId="77777777" w:rsidR="00072693" w:rsidRPr="000C77FA" w:rsidRDefault="00072693" w:rsidP="000C77FA">
            <w:pPr>
              <w:ind w:right="49"/>
              <w:jc w:val="both"/>
              <w:rPr>
                <w:rFonts w:ascii="Palatino Linotype" w:eastAsia="Palatino Linotype" w:hAnsi="Palatino Linotype" w:cs="Palatino Linotype"/>
                <w:sz w:val="18"/>
                <w:szCs w:val="18"/>
              </w:rPr>
            </w:pPr>
          </w:p>
          <w:p w14:paraId="564B0A17" w14:textId="77777777" w:rsidR="00072693" w:rsidRPr="000C77FA" w:rsidRDefault="00072693" w:rsidP="000C77FA">
            <w:pPr>
              <w:ind w:right="49"/>
              <w:jc w:val="both"/>
              <w:rPr>
                <w:rFonts w:ascii="Palatino Linotype" w:eastAsia="Palatino Linotype" w:hAnsi="Palatino Linotype" w:cs="Palatino Linotype"/>
                <w:sz w:val="18"/>
                <w:szCs w:val="18"/>
              </w:rPr>
            </w:pPr>
          </w:p>
          <w:p w14:paraId="77EB2D77"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p w14:paraId="143C1496" w14:textId="77777777" w:rsidR="00072693" w:rsidRPr="000C77FA" w:rsidRDefault="00072693" w:rsidP="000C77FA">
            <w:pPr>
              <w:ind w:right="49"/>
              <w:jc w:val="both"/>
              <w:rPr>
                <w:rFonts w:ascii="Palatino Linotype" w:eastAsia="Palatino Linotype" w:hAnsi="Palatino Linotype" w:cs="Palatino Linotype"/>
                <w:sz w:val="18"/>
                <w:szCs w:val="18"/>
              </w:rPr>
            </w:pPr>
          </w:p>
          <w:p w14:paraId="5FEE76C3" w14:textId="77777777" w:rsidR="00072693" w:rsidRPr="000C77FA" w:rsidRDefault="00072693" w:rsidP="000C77FA">
            <w:pPr>
              <w:ind w:right="49"/>
              <w:jc w:val="both"/>
              <w:rPr>
                <w:rFonts w:ascii="Palatino Linotype" w:eastAsia="Palatino Linotype" w:hAnsi="Palatino Linotype" w:cs="Palatino Linotype"/>
                <w:sz w:val="18"/>
                <w:szCs w:val="18"/>
              </w:rPr>
            </w:pPr>
          </w:p>
          <w:p w14:paraId="5A4F007D" w14:textId="31B64502"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r w:rsidR="004A3DAC" w:rsidRPr="000C77FA">
              <w:rPr>
                <w:rFonts w:ascii="Palatino Linotype" w:eastAsia="Palatino Linotype" w:hAnsi="Palatino Linotype" w:cs="Palatino Linotype"/>
                <w:sz w:val="18"/>
                <w:szCs w:val="18"/>
              </w:rPr>
              <w:t xml:space="preserve"> - COLMADO</w:t>
            </w:r>
          </w:p>
          <w:p w14:paraId="23D29999" w14:textId="77777777" w:rsidR="00072693" w:rsidRPr="000C77FA" w:rsidRDefault="00072693" w:rsidP="000C77FA">
            <w:pPr>
              <w:ind w:right="49"/>
              <w:jc w:val="both"/>
              <w:rPr>
                <w:rFonts w:ascii="Palatino Linotype" w:eastAsia="Palatino Linotype" w:hAnsi="Palatino Linotype" w:cs="Palatino Linotype"/>
                <w:sz w:val="18"/>
                <w:szCs w:val="18"/>
              </w:rPr>
            </w:pPr>
          </w:p>
          <w:p w14:paraId="615B426B" w14:textId="77777777" w:rsidR="00072693" w:rsidRPr="000C77FA" w:rsidRDefault="00072693" w:rsidP="000C77FA">
            <w:pPr>
              <w:ind w:right="49"/>
              <w:jc w:val="both"/>
              <w:rPr>
                <w:rFonts w:ascii="Palatino Linotype" w:eastAsia="Palatino Linotype" w:hAnsi="Palatino Linotype" w:cs="Palatino Linotype"/>
                <w:sz w:val="18"/>
                <w:szCs w:val="18"/>
              </w:rPr>
            </w:pPr>
          </w:p>
          <w:p w14:paraId="050FF9C9" w14:textId="77777777" w:rsidR="00072693" w:rsidRPr="000C77FA" w:rsidRDefault="00072693" w:rsidP="000C77FA">
            <w:pPr>
              <w:ind w:right="49"/>
              <w:jc w:val="both"/>
              <w:rPr>
                <w:rFonts w:ascii="Palatino Linotype" w:eastAsia="Palatino Linotype" w:hAnsi="Palatino Linotype" w:cs="Palatino Linotype"/>
                <w:sz w:val="18"/>
                <w:szCs w:val="18"/>
              </w:rPr>
            </w:pPr>
          </w:p>
          <w:p w14:paraId="50EE519C" w14:textId="77777777" w:rsidR="00072693" w:rsidRPr="000C77FA" w:rsidRDefault="00072693" w:rsidP="000C77FA">
            <w:pPr>
              <w:ind w:right="49"/>
              <w:jc w:val="both"/>
              <w:rPr>
                <w:rFonts w:ascii="Palatino Linotype" w:eastAsia="Palatino Linotype" w:hAnsi="Palatino Linotype" w:cs="Palatino Linotype"/>
                <w:sz w:val="18"/>
                <w:szCs w:val="18"/>
              </w:rPr>
            </w:pPr>
          </w:p>
          <w:p w14:paraId="61BDB359" w14:textId="77777777" w:rsidR="00072693" w:rsidRPr="000C77FA" w:rsidRDefault="00072693" w:rsidP="000C77FA">
            <w:pPr>
              <w:ind w:right="49"/>
              <w:jc w:val="both"/>
              <w:rPr>
                <w:rFonts w:ascii="Palatino Linotype" w:eastAsia="Palatino Linotype" w:hAnsi="Palatino Linotype" w:cs="Palatino Linotype"/>
                <w:sz w:val="18"/>
                <w:szCs w:val="18"/>
              </w:rPr>
            </w:pPr>
          </w:p>
          <w:p w14:paraId="459649D4" w14:textId="77777777" w:rsidR="00072693" w:rsidRPr="000C77FA" w:rsidRDefault="00072693" w:rsidP="000C77FA">
            <w:pPr>
              <w:ind w:right="49"/>
              <w:jc w:val="both"/>
              <w:rPr>
                <w:rFonts w:ascii="Palatino Linotype" w:eastAsia="Palatino Linotype" w:hAnsi="Palatino Linotype" w:cs="Palatino Linotype"/>
                <w:sz w:val="18"/>
                <w:szCs w:val="18"/>
              </w:rPr>
            </w:pPr>
          </w:p>
          <w:p w14:paraId="319B2475" w14:textId="77777777" w:rsidR="00072693" w:rsidRPr="000C77FA" w:rsidRDefault="00072693" w:rsidP="000C77FA">
            <w:pPr>
              <w:ind w:right="49"/>
              <w:jc w:val="both"/>
              <w:rPr>
                <w:rFonts w:ascii="Palatino Linotype" w:eastAsia="Palatino Linotype" w:hAnsi="Palatino Linotype" w:cs="Palatino Linotype"/>
                <w:sz w:val="18"/>
                <w:szCs w:val="18"/>
              </w:rPr>
            </w:pPr>
          </w:p>
          <w:p w14:paraId="4BB4B1F3"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p w14:paraId="6E1B887F" w14:textId="77777777" w:rsidR="00072693" w:rsidRPr="000C77FA" w:rsidRDefault="00072693" w:rsidP="000C77FA">
            <w:pPr>
              <w:ind w:right="49"/>
              <w:jc w:val="both"/>
              <w:rPr>
                <w:rFonts w:ascii="Palatino Linotype" w:eastAsia="Palatino Linotype" w:hAnsi="Palatino Linotype" w:cs="Palatino Linotype"/>
                <w:sz w:val="18"/>
                <w:szCs w:val="18"/>
              </w:rPr>
            </w:pPr>
          </w:p>
          <w:p w14:paraId="31506C72" w14:textId="77777777" w:rsidR="00072693" w:rsidRPr="000C77FA" w:rsidRDefault="00072693" w:rsidP="000C77FA">
            <w:pPr>
              <w:ind w:right="49"/>
              <w:jc w:val="both"/>
              <w:rPr>
                <w:rFonts w:ascii="Palatino Linotype" w:eastAsia="Palatino Linotype" w:hAnsi="Palatino Linotype" w:cs="Palatino Linotype"/>
                <w:sz w:val="18"/>
                <w:szCs w:val="18"/>
              </w:rPr>
            </w:pPr>
          </w:p>
          <w:p w14:paraId="755D1213" w14:textId="77777777" w:rsidR="00072693" w:rsidRPr="000C77FA" w:rsidRDefault="00072693" w:rsidP="000C77FA">
            <w:pPr>
              <w:ind w:right="49"/>
              <w:jc w:val="both"/>
              <w:rPr>
                <w:rFonts w:ascii="Palatino Linotype" w:eastAsia="Palatino Linotype" w:hAnsi="Palatino Linotype" w:cs="Palatino Linotype"/>
                <w:sz w:val="18"/>
                <w:szCs w:val="18"/>
              </w:rPr>
            </w:pPr>
          </w:p>
          <w:p w14:paraId="0E8B59BE" w14:textId="77777777" w:rsidR="00072693" w:rsidRPr="000C77FA" w:rsidRDefault="00072693" w:rsidP="000C77FA">
            <w:pPr>
              <w:ind w:right="49"/>
              <w:jc w:val="both"/>
              <w:rPr>
                <w:rFonts w:ascii="Palatino Linotype" w:eastAsia="Palatino Linotype" w:hAnsi="Palatino Linotype" w:cs="Palatino Linotype"/>
                <w:sz w:val="18"/>
                <w:szCs w:val="18"/>
              </w:rPr>
            </w:pPr>
          </w:p>
          <w:p w14:paraId="12FE84CD" w14:textId="77777777" w:rsidR="00072693" w:rsidRPr="000C77FA" w:rsidRDefault="00072693" w:rsidP="000C77FA">
            <w:pPr>
              <w:ind w:right="49"/>
              <w:jc w:val="both"/>
              <w:rPr>
                <w:rFonts w:ascii="Palatino Linotype" w:eastAsia="Palatino Linotype" w:hAnsi="Palatino Linotype" w:cs="Palatino Linotype"/>
                <w:sz w:val="18"/>
                <w:szCs w:val="18"/>
              </w:rPr>
            </w:pPr>
          </w:p>
          <w:p w14:paraId="4939577B" w14:textId="77777777" w:rsidR="00072693" w:rsidRPr="000C77FA" w:rsidRDefault="00072693" w:rsidP="000C77FA">
            <w:pPr>
              <w:ind w:right="49"/>
              <w:jc w:val="both"/>
              <w:rPr>
                <w:rFonts w:ascii="Palatino Linotype" w:eastAsia="Palatino Linotype" w:hAnsi="Palatino Linotype" w:cs="Palatino Linotype"/>
                <w:sz w:val="18"/>
                <w:szCs w:val="18"/>
              </w:rPr>
            </w:pPr>
          </w:p>
          <w:p w14:paraId="37DDED90" w14:textId="77777777" w:rsidR="00072693" w:rsidRPr="000C77FA" w:rsidRDefault="00072693" w:rsidP="000C77FA">
            <w:pPr>
              <w:ind w:right="49"/>
              <w:jc w:val="both"/>
              <w:rPr>
                <w:rFonts w:ascii="Palatino Linotype" w:eastAsia="Palatino Linotype" w:hAnsi="Palatino Linotype" w:cs="Palatino Linotype"/>
                <w:sz w:val="18"/>
                <w:szCs w:val="18"/>
              </w:rPr>
            </w:pPr>
          </w:p>
          <w:p w14:paraId="57EF8C05" w14:textId="77777777" w:rsidR="00072693" w:rsidRPr="000C77FA" w:rsidRDefault="00072693" w:rsidP="000C77FA">
            <w:pPr>
              <w:ind w:right="49"/>
              <w:jc w:val="both"/>
              <w:rPr>
                <w:rFonts w:ascii="Palatino Linotype" w:eastAsia="Palatino Linotype" w:hAnsi="Palatino Linotype" w:cs="Palatino Linotype"/>
                <w:sz w:val="18"/>
                <w:szCs w:val="18"/>
              </w:rPr>
            </w:pPr>
          </w:p>
          <w:p w14:paraId="1BDB8C70" w14:textId="77777777" w:rsidR="00072693" w:rsidRPr="000C77FA" w:rsidRDefault="00072693" w:rsidP="000C77FA">
            <w:pPr>
              <w:ind w:right="49"/>
              <w:jc w:val="both"/>
              <w:rPr>
                <w:rFonts w:ascii="Palatino Linotype" w:eastAsia="Palatino Linotype" w:hAnsi="Palatino Linotype" w:cs="Palatino Linotype"/>
                <w:sz w:val="18"/>
                <w:szCs w:val="18"/>
              </w:rPr>
            </w:pPr>
          </w:p>
          <w:p w14:paraId="50A75863" w14:textId="77777777" w:rsidR="00072693" w:rsidRPr="000C77FA" w:rsidRDefault="00072693" w:rsidP="000C77FA">
            <w:pPr>
              <w:ind w:right="49"/>
              <w:jc w:val="both"/>
              <w:rPr>
                <w:rFonts w:ascii="Palatino Linotype" w:eastAsia="Palatino Linotype" w:hAnsi="Palatino Linotype" w:cs="Palatino Linotype"/>
                <w:sz w:val="18"/>
                <w:szCs w:val="18"/>
              </w:rPr>
            </w:pPr>
          </w:p>
          <w:p w14:paraId="3EF6B48B" w14:textId="77777777" w:rsidR="00072693" w:rsidRPr="000C77FA" w:rsidRDefault="002C1F92" w:rsidP="000C77FA">
            <w:pPr>
              <w:ind w:right="49"/>
              <w:jc w:val="both"/>
              <w:rPr>
                <w:rFonts w:ascii="Palatino Linotype" w:eastAsia="Palatino Linotype" w:hAnsi="Palatino Linotype" w:cs="Palatino Linotype"/>
                <w:sz w:val="18"/>
                <w:szCs w:val="18"/>
              </w:rPr>
            </w:pPr>
            <w:r w:rsidRPr="000C77FA">
              <w:rPr>
                <w:rFonts w:ascii="Palatino Linotype" w:eastAsia="Palatino Linotype" w:hAnsi="Palatino Linotype" w:cs="Palatino Linotype"/>
                <w:sz w:val="18"/>
                <w:szCs w:val="18"/>
              </w:rPr>
              <w:t>Atendido</w:t>
            </w:r>
          </w:p>
        </w:tc>
      </w:tr>
    </w:tbl>
    <w:p w14:paraId="52D5B507" w14:textId="77777777" w:rsidR="00072693" w:rsidRPr="000C77FA" w:rsidRDefault="00072693" w:rsidP="000C77FA">
      <w:pPr>
        <w:spacing w:line="360" w:lineRule="auto"/>
        <w:ind w:right="49"/>
        <w:jc w:val="both"/>
        <w:rPr>
          <w:rFonts w:ascii="Palatino Linotype" w:eastAsia="Palatino Linotype" w:hAnsi="Palatino Linotype" w:cs="Palatino Linotype"/>
        </w:rPr>
      </w:pPr>
    </w:p>
    <w:p w14:paraId="6B8EB517" w14:textId="77777777" w:rsidR="00072693" w:rsidRPr="000C77FA" w:rsidRDefault="002C1F92" w:rsidP="000C77FA">
      <w:pPr>
        <w:tabs>
          <w:tab w:val="left" w:pos="2422"/>
        </w:tabs>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Inconforme, </w:t>
      </w:r>
      <w:r w:rsidRPr="000C77FA">
        <w:rPr>
          <w:rFonts w:ascii="Palatino Linotype" w:eastAsia="Palatino Linotype" w:hAnsi="Palatino Linotype" w:cs="Palatino Linotype"/>
          <w:b/>
        </w:rPr>
        <w:t xml:space="preserve">EL RECURRENTE </w:t>
      </w:r>
      <w:r w:rsidRPr="000C77FA">
        <w:rPr>
          <w:rFonts w:ascii="Palatino Linotype" w:eastAsia="Palatino Linotype" w:hAnsi="Palatino Linotype" w:cs="Palatino Linotype"/>
        </w:rPr>
        <w:t>interpuso los presentes recursos aduciendo:</w:t>
      </w:r>
    </w:p>
    <w:tbl>
      <w:tblPr>
        <w:tblStyle w:val="a9"/>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8074"/>
      </w:tblGrid>
      <w:tr w:rsidR="000C77FA" w:rsidRPr="000C77FA" w14:paraId="4C11457E" w14:textId="77777777">
        <w:trPr>
          <w:trHeight w:val="436"/>
          <w:tblHeader/>
          <w:jc w:val="center"/>
        </w:trPr>
        <w:tc>
          <w:tcPr>
            <w:tcW w:w="993" w:type="dxa"/>
            <w:shd w:val="clear" w:color="auto" w:fill="D9D9D9"/>
            <w:vAlign w:val="center"/>
          </w:tcPr>
          <w:p w14:paraId="5CC6349B" w14:textId="77777777" w:rsidR="00072693" w:rsidRPr="000C77FA" w:rsidRDefault="002C1F92" w:rsidP="000C77FA">
            <w:pPr>
              <w:jc w:val="cente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t>Recurso</w:t>
            </w:r>
          </w:p>
        </w:tc>
        <w:tc>
          <w:tcPr>
            <w:tcW w:w="8074" w:type="dxa"/>
            <w:shd w:val="clear" w:color="auto" w:fill="D9D9D9"/>
            <w:vAlign w:val="center"/>
          </w:tcPr>
          <w:p w14:paraId="3ADD04E3" w14:textId="77777777" w:rsidR="00072693" w:rsidRPr="000C77FA" w:rsidRDefault="002C1F92" w:rsidP="000C77FA">
            <w:pPr>
              <w:jc w:val="center"/>
              <w:rPr>
                <w:rFonts w:ascii="Palatino Linotype" w:eastAsia="Palatino Linotype" w:hAnsi="Palatino Linotype" w:cs="Palatino Linotype"/>
                <w:b/>
                <w:sz w:val="18"/>
                <w:szCs w:val="18"/>
              </w:rPr>
            </w:pPr>
            <w:r w:rsidRPr="000C77FA">
              <w:rPr>
                <w:rFonts w:ascii="Palatino Linotype" w:eastAsia="Palatino Linotype" w:hAnsi="Palatino Linotype" w:cs="Palatino Linotype"/>
                <w:b/>
                <w:sz w:val="18"/>
                <w:szCs w:val="18"/>
              </w:rPr>
              <w:t>Actos impugnados y motivos de agravio</w:t>
            </w:r>
          </w:p>
        </w:tc>
      </w:tr>
      <w:tr w:rsidR="000C77FA" w:rsidRPr="000C77FA" w14:paraId="2B71D80D" w14:textId="77777777">
        <w:trPr>
          <w:jc w:val="center"/>
        </w:trPr>
        <w:tc>
          <w:tcPr>
            <w:tcW w:w="993" w:type="dxa"/>
          </w:tcPr>
          <w:p w14:paraId="4DA3C21F"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00207</w:t>
            </w:r>
            <w:r w:rsidRPr="000C77FA">
              <w:rPr>
                <w:rFonts w:ascii="Palatino Linotype" w:eastAsia="Palatino Linotype" w:hAnsi="Palatino Linotype" w:cs="Palatino Linotype"/>
                <w:sz w:val="20"/>
                <w:szCs w:val="20"/>
              </w:rPr>
              <w:t xml:space="preserve"> </w:t>
            </w:r>
          </w:p>
          <w:p w14:paraId="1E5B06D1" w14:textId="77777777" w:rsidR="00072693" w:rsidRPr="000C77FA" w:rsidRDefault="00072693" w:rsidP="000C77FA">
            <w:pPr>
              <w:rPr>
                <w:rFonts w:ascii="Palatino Linotype" w:eastAsia="Palatino Linotype" w:hAnsi="Palatino Linotype" w:cs="Palatino Linotype"/>
                <w:sz w:val="20"/>
                <w:szCs w:val="20"/>
              </w:rPr>
            </w:pPr>
          </w:p>
        </w:tc>
        <w:tc>
          <w:tcPr>
            <w:tcW w:w="8074" w:type="dxa"/>
          </w:tcPr>
          <w:p w14:paraId="25213474"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entrega de información de la solicitud de información 00179/SCTUR/IP/2022”</w:t>
            </w:r>
          </w:p>
          <w:p w14:paraId="05E60648" w14:textId="77777777" w:rsidR="00072693" w:rsidRPr="000C77FA" w:rsidRDefault="00072693" w:rsidP="000C77FA">
            <w:pPr>
              <w:jc w:val="both"/>
              <w:rPr>
                <w:rFonts w:ascii="Palatino Linotype" w:eastAsia="Palatino Linotype" w:hAnsi="Palatino Linotype" w:cs="Palatino Linotype"/>
                <w:i/>
                <w:sz w:val="18"/>
                <w:szCs w:val="18"/>
              </w:rPr>
            </w:pPr>
          </w:p>
          <w:p w14:paraId="648BBE36" w14:textId="77777777" w:rsidR="00072693" w:rsidRPr="000C77FA" w:rsidRDefault="002C1F92" w:rsidP="000C77FA">
            <w:pPr>
              <w:jc w:val="both"/>
              <w:rPr>
                <w:rFonts w:ascii="Palatino Linotype" w:eastAsia="Palatino Linotype" w:hAnsi="Palatino Linotype" w:cs="Palatino Linotype"/>
                <w:b/>
                <w:i/>
                <w:sz w:val="18"/>
                <w:szCs w:val="18"/>
              </w:rPr>
            </w:pPr>
            <w:r w:rsidRPr="000C77FA">
              <w:rPr>
                <w:rFonts w:ascii="Palatino Linotype" w:eastAsia="Palatino Linotype" w:hAnsi="Palatino Linotype" w:cs="Palatino Linotype"/>
                <w:i/>
                <w:sz w:val="18"/>
                <w:szCs w:val="18"/>
              </w:rPr>
              <w:t xml:space="preserve">“RAZONES O MOTIVOS DE LA INCONFORMIDAD: 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w:t>
            </w:r>
            <w:r w:rsidRPr="000C77FA">
              <w:rPr>
                <w:rFonts w:ascii="Palatino Linotype" w:eastAsia="Palatino Linotype" w:hAnsi="Palatino Linotype" w:cs="Palatino Linotype"/>
                <w:b/>
                <w:i/>
                <w:sz w:val="18"/>
                <w:szCs w:val="18"/>
              </w:rPr>
              <w:t xml:space="preserve">Ya están archivadas como para ser parte de un expediente que rebasa las 9,250 hojas </w:t>
            </w:r>
            <w:proofErr w:type="gramStart"/>
            <w:r w:rsidRPr="000C77FA">
              <w:rPr>
                <w:rFonts w:ascii="Palatino Linotype" w:eastAsia="Palatino Linotype" w:hAnsi="Palatino Linotype" w:cs="Palatino Linotype"/>
                <w:b/>
                <w:i/>
                <w:sz w:val="18"/>
                <w:szCs w:val="18"/>
              </w:rPr>
              <w:t>??.</w:t>
            </w:r>
            <w:proofErr w:type="gramEnd"/>
            <w:r w:rsidRPr="000C77FA">
              <w:rPr>
                <w:rFonts w:ascii="Palatino Linotype" w:eastAsia="Palatino Linotype" w:hAnsi="Palatino Linotype" w:cs="Palatino Linotype"/>
                <w:b/>
                <w:i/>
                <w:sz w:val="18"/>
                <w:szCs w:val="18"/>
              </w:rPr>
              <w:t xml:space="preserve"> Las anteriores son preguntas que no fueron respondidas independientemente del tema del archivo y su tamaño.</w:t>
            </w:r>
            <w:r w:rsidRPr="000C77FA">
              <w:rPr>
                <w:rFonts w:ascii="Palatino Linotype" w:eastAsia="Palatino Linotype" w:hAnsi="Palatino Linotype" w:cs="Palatino Linotype"/>
                <w:i/>
                <w:sz w:val="18"/>
                <w:szCs w:val="18"/>
              </w:rPr>
              <w:t xml:space="preserve"> </w:t>
            </w:r>
            <w:r w:rsidRPr="000C77FA">
              <w:rPr>
                <w:rFonts w:ascii="Palatino Linotype" w:eastAsia="Palatino Linotype" w:hAnsi="Palatino Linotype" w:cs="Palatino Linotype"/>
                <w:b/>
                <w:i/>
                <w:sz w:val="18"/>
                <w:szCs w:val="18"/>
              </w:rPr>
              <w:t xml:space="preserve">La solicitud de información antes referida no puede ser parte de un archivo existente, tal como si lo puede ser los comprobantes y/o facturas. </w:t>
            </w:r>
            <w:r w:rsidRPr="000C77FA">
              <w:rPr>
                <w:rFonts w:ascii="Palatino Linotype" w:eastAsia="Palatino Linotype" w:hAnsi="Palatino Linotype" w:cs="Palatino Linotype"/>
                <w:i/>
                <w:sz w:val="18"/>
                <w:szCs w:val="18"/>
              </w:rPr>
              <w:t xml:space="preserve">En cuanto a la solicitud de información: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Dirección General de Patrimonio y Servicios Culturales; UIPPE y Subsecretaría de Turismo; del periodo enero-junio 2022. </w:t>
            </w:r>
            <w:r w:rsidRPr="000C77FA">
              <w:rPr>
                <w:rFonts w:ascii="Palatino Linotype" w:eastAsia="Palatino Linotype" w:hAnsi="Palatino Linotype" w:cs="Palatino Linotype"/>
                <w:b/>
                <w:i/>
                <w:sz w:val="18"/>
                <w:szCs w:val="18"/>
              </w:rPr>
              <w:t xml:space="preserve">Suponiendo que todas esas áreas tengan fondo </w:t>
            </w:r>
            <w:proofErr w:type="spellStart"/>
            <w:r w:rsidRPr="000C77FA">
              <w:rPr>
                <w:rFonts w:ascii="Palatino Linotype" w:eastAsia="Palatino Linotype" w:hAnsi="Palatino Linotype" w:cs="Palatino Linotype"/>
                <w:b/>
                <w:i/>
                <w:sz w:val="18"/>
                <w:szCs w:val="18"/>
              </w:rPr>
              <w:t>revolvente</w:t>
            </w:r>
            <w:proofErr w:type="spellEnd"/>
            <w:r w:rsidRPr="000C77FA">
              <w:rPr>
                <w:rFonts w:ascii="Palatino Linotype" w:eastAsia="Palatino Linotype" w:hAnsi="Palatino Linotype" w:cs="Palatino Linotype"/>
                <w:b/>
                <w:i/>
                <w:sz w:val="18"/>
                <w:szCs w:val="18"/>
              </w:rPr>
              <w:t>, del periodo solicitado (seis meses), el número de hojas que "DICEN" compone el expediente por el tiempo requerido es de 9,250, es decir 2,312 por cada una de las cuatro unidades administrativas, 385 hojas por mes de cada unidad administrativa, 12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b/>
                <w:i/>
                <w:sz w:val="18"/>
                <w:szCs w:val="18"/>
              </w:rPr>
              <w:t>???</w:t>
            </w:r>
            <w:proofErr w:type="gramEnd"/>
          </w:p>
          <w:p w14:paraId="600D1773"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 </w:t>
            </w:r>
          </w:p>
          <w:p w14:paraId="71497DF3" w14:textId="77777777" w:rsidR="00072693" w:rsidRPr="000C77FA" w:rsidRDefault="00072693" w:rsidP="000C77FA">
            <w:pPr>
              <w:jc w:val="both"/>
              <w:rPr>
                <w:rFonts w:ascii="Palatino Linotype" w:eastAsia="Palatino Linotype" w:hAnsi="Palatino Linotype" w:cs="Palatino Linotype"/>
                <w:i/>
                <w:sz w:val="18"/>
                <w:szCs w:val="18"/>
              </w:rPr>
            </w:pPr>
          </w:p>
        </w:tc>
      </w:tr>
      <w:tr w:rsidR="000C77FA" w:rsidRPr="000C77FA" w14:paraId="0AE6B272" w14:textId="77777777">
        <w:trPr>
          <w:jc w:val="center"/>
        </w:trPr>
        <w:tc>
          <w:tcPr>
            <w:tcW w:w="993" w:type="dxa"/>
          </w:tcPr>
          <w:p w14:paraId="497A3F77"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t>00208</w:t>
            </w:r>
          </w:p>
        </w:tc>
        <w:tc>
          <w:tcPr>
            <w:tcW w:w="8074" w:type="dxa"/>
          </w:tcPr>
          <w:p w14:paraId="71E1A2C7"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respuesta a la solicitud de información 00180/SCTUR/IP/2022”</w:t>
            </w:r>
          </w:p>
          <w:p w14:paraId="782E915E" w14:textId="77777777" w:rsidR="00072693" w:rsidRPr="000C77FA" w:rsidRDefault="00072693" w:rsidP="000C77FA">
            <w:pPr>
              <w:jc w:val="both"/>
              <w:rPr>
                <w:rFonts w:ascii="Palatino Linotype" w:eastAsia="Palatino Linotype" w:hAnsi="Palatino Linotype" w:cs="Palatino Linotype"/>
                <w:i/>
                <w:sz w:val="18"/>
                <w:szCs w:val="18"/>
              </w:rPr>
            </w:pPr>
          </w:p>
          <w:p w14:paraId="2D8BC4B3" w14:textId="77777777" w:rsidR="00072693" w:rsidRPr="000C77FA" w:rsidRDefault="002C1F92" w:rsidP="000C77FA">
            <w:pPr>
              <w:jc w:val="both"/>
              <w:rPr>
                <w:rFonts w:ascii="Palatino Linotype" w:eastAsia="Palatino Linotype" w:hAnsi="Palatino Linotype" w:cs="Palatino Linotype"/>
                <w:b/>
                <w:i/>
                <w:sz w:val="18"/>
                <w:szCs w:val="18"/>
              </w:rPr>
            </w:pPr>
            <w:r w:rsidRPr="000C77FA">
              <w:rPr>
                <w:rFonts w:ascii="Palatino Linotype" w:eastAsia="Palatino Linotype" w:hAnsi="Palatino Linotype" w:cs="Palatino Linotype"/>
                <w:i/>
                <w:sz w:val="18"/>
                <w:szCs w:val="18"/>
              </w:rPr>
              <w:t>“RAZONES O MOTIVOS DE LA INCONFORMIDAD:</w:t>
            </w:r>
            <w:r w:rsidRPr="000C77FA">
              <w:rPr>
                <w:rFonts w:ascii="Palatino Linotype" w:eastAsia="Palatino Linotype" w:hAnsi="Palatino Linotype" w:cs="Palatino Linotype"/>
                <w:sz w:val="18"/>
                <w:szCs w:val="18"/>
              </w:rPr>
              <w:t xml:space="preserve"> </w:t>
            </w:r>
            <w:r w:rsidRPr="000C77FA">
              <w:rPr>
                <w:rFonts w:ascii="Palatino Linotype" w:eastAsia="Palatino Linotype" w:hAnsi="Palatino Linotype" w:cs="Palatino Linotype"/>
                <w:i/>
                <w:sz w:val="18"/>
                <w:szCs w:val="18"/>
              </w:rPr>
              <w:t xml:space="preserve">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Ya están archivadas como para ser parte de un expediente que rebasa las 10,210 hojas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 Las anteriores son preguntas que no fueron respondidas independientemente del tema del </w:t>
            </w:r>
            <w:r w:rsidRPr="000C77FA">
              <w:rPr>
                <w:rFonts w:ascii="Palatino Linotype" w:eastAsia="Palatino Linotype" w:hAnsi="Palatino Linotype" w:cs="Palatino Linotype"/>
                <w:i/>
                <w:sz w:val="18"/>
                <w:szCs w:val="18"/>
              </w:rPr>
              <w:lastRenderedPageBreak/>
              <w:t xml:space="preserve">archivo y su tamaño. La solicitud de información antes referida no puede ser parte de un archivo existente, tal como si lo puede ser los comprobantes y/o facturas. En cuanto a la solicitud de información: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Dirección General de Patrimonio y Servicios Culturales; UIPPE y Subsecretaría de Turismo; del periodo julio-octubre 2022. </w:t>
            </w:r>
            <w:r w:rsidRPr="000C77FA">
              <w:rPr>
                <w:rFonts w:ascii="Palatino Linotype" w:eastAsia="Palatino Linotype" w:hAnsi="Palatino Linotype" w:cs="Palatino Linotype"/>
                <w:b/>
                <w:i/>
                <w:sz w:val="18"/>
                <w:szCs w:val="18"/>
              </w:rPr>
              <w:t xml:space="preserve">Suponiendo que todas esas áreas tengan fondo </w:t>
            </w:r>
            <w:proofErr w:type="spellStart"/>
            <w:r w:rsidRPr="000C77FA">
              <w:rPr>
                <w:rFonts w:ascii="Palatino Linotype" w:eastAsia="Palatino Linotype" w:hAnsi="Palatino Linotype" w:cs="Palatino Linotype"/>
                <w:b/>
                <w:i/>
                <w:sz w:val="18"/>
                <w:szCs w:val="18"/>
              </w:rPr>
              <w:t>revolvente</w:t>
            </w:r>
            <w:proofErr w:type="spellEnd"/>
            <w:r w:rsidRPr="000C77FA">
              <w:rPr>
                <w:rFonts w:ascii="Palatino Linotype" w:eastAsia="Palatino Linotype" w:hAnsi="Palatino Linotype" w:cs="Palatino Linotype"/>
                <w:b/>
                <w:i/>
                <w:sz w:val="18"/>
                <w:szCs w:val="18"/>
              </w:rPr>
              <w:t>, del periodo solicitado (seis meses), el número de hojas que "DICEN" compone el expediente por el tiempo requerido es de 10,210 es decir 2,552 por cada una de las cuatro unidades administrativas, 638 hojas por mes de cada unidad administrativa, 21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b/>
                <w:i/>
                <w:sz w:val="18"/>
                <w:szCs w:val="18"/>
              </w:rPr>
              <w:t>???</w:t>
            </w:r>
            <w:proofErr w:type="gramEnd"/>
            <w:r w:rsidRPr="000C77FA">
              <w:rPr>
                <w:rFonts w:ascii="Palatino Linotype" w:eastAsia="Palatino Linotype" w:hAnsi="Palatino Linotype" w:cs="Palatino Linotype"/>
                <w:b/>
                <w:i/>
                <w:sz w:val="18"/>
                <w:szCs w:val="18"/>
              </w:rPr>
              <w:t xml:space="preserve"> Cómo es posible que para la solicitud de información 00179/SCTUR/IP/2022, que abarca un periodo de seis meses (enero-junio) exista un expediente de 9,250 hojas y para la solicitud de información 00180/SCTUR/IP/2022 que abarca un periodo de cuatro meses (julio-octubre) el número de hojas del expediente sea de 10,210 con dos meses menos que el anterior</w:t>
            </w:r>
            <w:proofErr w:type="gramStart"/>
            <w:r w:rsidRPr="000C77FA">
              <w:rPr>
                <w:rFonts w:ascii="Palatino Linotype" w:eastAsia="Palatino Linotype" w:hAnsi="Palatino Linotype" w:cs="Palatino Linotype"/>
                <w:b/>
                <w:i/>
                <w:sz w:val="18"/>
                <w:szCs w:val="18"/>
              </w:rPr>
              <w:t>?????</w:t>
            </w:r>
            <w:proofErr w:type="gramEnd"/>
            <w:r w:rsidRPr="000C77FA">
              <w:rPr>
                <w:rFonts w:ascii="Palatino Linotype" w:eastAsia="Palatino Linotype" w:hAnsi="Palatino Linotype" w:cs="Palatino Linotype"/>
                <w:b/>
                <w:i/>
                <w:sz w:val="18"/>
                <w:szCs w:val="18"/>
              </w:rPr>
              <w:t xml:space="preserve">....no es </w:t>
            </w:r>
            <w:proofErr w:type="spellStart"/>
            <w:r w:rsidRPr="000C77FA">
              <w:rPr>
                <w:rFonts w:ascii="Palatino Linotype" w:eastAsia="Palatino Linotype" w:hAnsi="Palatino Linotype" w:cs="Palatino Linotype"/>
                <w:b/>
                <w:i/>
                <w:sz w:val="18"/>
                <w:szCs w:val="18"/>
              </w:rPr>
              <w:t>creible</w:t>
            </w:r>
            <w:proofErr w:type="spellEnd"/>
            <w:r w:rsidRPr="000C77FA">
              <w:rPr>
                <w:rFonts w:ascii="Palatino Linotype" w:eastAsia="Palatino Linotype" w:hAnsi="Palatino Linotype" w:cs="Palatino Linotype"/>
                <w:b/>
                <w:i/>
                <w:sz w:val="18"/>
                <w:szCs w:val="18"/>
              </w:rPr>
              <w:t xml:space="preserve"> que nieguen la información como les fue solicitada y menos que un COMITE haya aprobado de esa manera un acta con el cambio de entrega de información.”</w:t>
            </w:r>
          </w:p>
          <w:p w14:paraId="6605E31D" w14:textId="77777777" w:rsidR="00072693" w:rsidRPr="000C77FA" w:rsidRDefault="00072693" w:rsidP="000C77FA">
            <w:pPr>
              <w:jc w:val="both"/>
              <w:rPr>
                <w:rFonts w:ascii="Palatino Linotype" w:eastAsia="Palatino Linotype" w:hAnsi="Palatino Linotype" w:cs="Palatino Linotype"/>
                <w:i/>
                <w:sz w:val="18"/>
                <w:szCs w:val="18"/>
              </w:rPr>
            </w:pPr>
          </w:p>
        </w:tc>
      </w:tr>
      <w:tr w:rsidR="000C77FA" w:rsidRPr="000C77FA" w14:paraId="51A6654F" w14:textId="77777777">
        <w:trPr>
          <w:jc w:val="center"/>
        </w:trPr>
        <w:tc>
          <w:tcPr>
            <w:tcW w:w="993" w:type="dxa"/>
          </w:tcPr>
          <w:p w14:paraId="4F5869E6" w14:textId="77777777" w:rsidR="00072693" w:rsidRPr="000C77FA" w:rsidRDefault="002C1F92" w:rsidP="000C77FA">
            <w:pPr>
              <w:rPr>
                <w:rFonts w:ascii="Palatino Linotype" w:eastAsia="Palatino Linotype" w:hAnsi="Palatino Linotype" w:cs="Palatino Linotype"/>
                <w:sz w:val="20"/>
                <w:szCs w:val="20"/>
              </w:rPr>
            </w:pPr>
            <w:r w:rsidRPr="000C77FA">
              <w:rPr>
                <w:rFonts w:ascii="Palatino Linotype" w:eastAsia="Palatino Linotype" w:hAnsi="Palatino Linotype" w:cs="Palatino Linotype"/>
                <w:b/>
                <w:sz w:val="20"/>
                <w:szCs w:val="20"/>
              </w:rPr>
              <w:lastRenderedPageBreak/>
              <w:t>00210</w:t>
            </w:r>
            <w:r w:rsidRPr="000C77FA">
              <w:rPr>
                <w:rFonts w:ascii="Palatino Linotype" w:eastAsia="Palatino Linotype" w:hAnsi="Palatino Linotype" w:cs="Palatino Linotype"/>
                <w:sz w:val="20"/>
                <w:szCs w:val="20"/>
              </w:rPr>
              <w:t xml:space="preserve"> </w:t>
            </w:r>
          </w:p>
        </w:tc>
        <w:tc>
          <w:tcPr>
            <w:tcW w:w="8074" w:type="dxa"/>
          </w:tcPr>
          <w:p w14:paraId="0DE37606"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respuesta a la solicitud de información 00181/SCTUR/IP/202”</w:t>
            </w:r>
          </w:p>
          <w:p w14:paraId="6A337302" w14:textId="77777777" w:rsidR="00072693" w:rsidRPr="000C77FA" w:rsidRDefault="00072693" w:rsidP="000C77FA">
            <w:pPr>
              <w:jc w:val="both"/>
              <w:rPr>
                <w:rFonts w:ascii="Palatino Linotype" w:eastAsia="Palatino Linotype" w:hAnsi="Palatino Linotype" w:cs="Palatino Linotype"/>
                <w:i/>
                <w:sz w:val="18"/>
                <w:szCs w:val="18"/>
              </w:rPr>
            </w:pPr>
          </w:p>
          <w:p w14:paraId="52D001B8" w14:textId="77777777" w:rsidR="00072693" w:rsidRPr="000C77FA" w:rsidRDefault="002C1F92" w:rsidP="000C77FA">
            <w:pPr>
              <w:jc w:val="both"/>
              <w:rPr>
                <w:rFonts w:ascii="Palatino Linotype" w:eastAsia="Palatino Linotype" w:hAnsi="Palatino Linotype" w:cs="Palatino Linotype"/>
                <w:b/>
                <w:i/>
                <w:sz w:val="18"/>
                <w:szCs w:val="18"/>
              </w:rPr>
            </w:pPr>
            <w:r w:rsidRPr="000C77FA">
              <w:rPr>
                <w:rFonts w:ascii="Palatino Linotype" w:eastAsia="Palatino Linotype" w:hAnsi="Palatino Linotype" w:cs="Palatino Linotype"/>
                <w:i/>
                <w:sz w:val="18"/>
                <w:szCs w:val="18"/>
              </w:rPr>
              <w:t>“RAZONES O MOTIVOS DE LA INCONFORMIDAD:</w:t>
            </w:r>
            <w:r w:rsidRPr="000C77FA">
              <w:rPr>
                <w:rFonts w:ascii="Palatino Linotype" w:eastAsia="Palatino Linotype" w:hAnsi="Palatino Linotype" w:cs="Palatino Linotype"/>
                <w:sz w:val="18"/>
                <w:szCs w:val="18"/>
              </w:rPr>
              <w:t xml:space="preserve"> </w:t>
            </w:r>
            <w:r w:rsidRPr="000C77FA">
              <w:rPr>
                <w:rFonts w:ascii="Palatino Linotype" w:eastAsia="Palatino Linotype" w:hAnsi="Palatino Linotype" w:cs="Palatino Linotype"/>
                <w:i/>
                <w:sz w:val="18"/>
                <w:szCs w:val="18"/>
              </w:rPr>
              <w:t xml:space="preserve">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2021,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2021,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w:t>
            </w:r>
            <w:r w:rsidRPr="000C77FA">
              <w:rPr>
                <w:rFonts w:ascii="Palatino Linotype" w:eastAsia="Palatino Linotype" w:hAnsi="Palatino Linotype" w:cs="Palatino Linotype"/>
                <w:b/>
                <w:i/>
                <w:sz w:val="18"/>
                <w:szCs w:val="18"/>
              </w:rPr>
              <w:t xml:space="preserve">Ya están archivadas como para ser parte de un expediente que rebasa las 8,300 hojas </w:t>
            </w:r>
            <w:proofErr w:type="gramStart"/>
            <w:r w:rsidRPr="000C77FA">
              <w:rPr>
                <w:rFonts w:ascii="Palatino Linotype" w:eastAsia="Palatino Linotype" w:hAnsi="Palatino Linotype" w:cs="Palatino Linotype"/>
                <w:b/>
                <w:i/>
                <w:sz w:val="18"/>
                <w:szCs w:val="18"/>
              </w:rPr>
              <w:t>??.</w:t>
            </w:r>
            <w:proofErr w:type="gramEnd"/>
            <w:r w:rsidRPr="000C77FA">
              <w:rPr>
                <w:rFonts w:ascii="Palatino Linotype" w:eastAsia="Palatino Linotype" w:hAnsi="Palatino Linotype" w:cs="Palatino Linotype"/>
                <w:b/>
                <w:i/>
                <w:sz w:val="18"/>
                <w:szCs w:val="18"/>
              </w:rPr>
              <w:t xml:space="preserve"> Las anteriores son preguntas que no fueron respondidas independientemente del tema del archivo y su tamaño. La solicitud de información antes referida no puede ser parte de un archivo existente, tal como si lo puede ser los comprobantes y/o facturas.</w:t>
            </w:r>
            <w:r w:rsidRPr="000C77FA">
              <w:rPr>
                <w:rFonts w:ascii="Palatino Linotype" w:eastAsia="Palatino Linotype" w:hAnsi="Palatino Linotype" w:cs="Palatino Linotype"/>
                <w:i/>
                <w:sz w:val="18"/>
                <w:szCs w:val="18"/>
              </w:rPr>
              <w:t xml:space="preserve"> En cuanto a la solicitud de información: Del ejercicio fiscal 2021,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Unidad jurídica, Dirección General de Turismo de Reuniones; UIPPE y Unidad de Comunicación social; del periodo enero-junio 2021. </w:t>
            </w:r>
            <w:r w:rsidRPr="000C77FA">
              <w:rPr>
                <w:rFonts w:ascii="Palatino Linotype" w:eastAsia="Palatino Linotype" w:hAnsi="Palatino Linotype" w:cs="Palatino Linotype"/>
                <w:b/>
                <w:i/>
                <w:sz w:val="18"/>
                <w:szCs w:val="18"/>
              </w:rPr>
              <w:t xml:space="preserve">Suponiendo que todas esas áreas tengan fondo </w:t>
            </w:r>
            <w:proofErr w:type="spellStart"/>
            <w:r w:rsidRPr="000C77FA">
              <w:rPr>
                <w:rFonts w:ascii="Palatino Linotype" w:eastAsia="Palatino Linotype" w:hAnsi="Palatino Linotype" w:cs="Palatino Linotype"/>
                <w:b/>
                <w:i/>
                <w:sz w:val="18"/>
                <w:szCs w:val="18"/>
              </w:rPr>
              <w:t>revolvente</w:t>
            </w:r>
            <w:proofErr w:type="spellEnd"/>
            <w:r w:rsidRPr="000C77FA">
              <w:rPr>
                <w:rFonts w:ascii="Palatino Linotype" w:eastAsia="Palatino Linotype" w:hAnsi="Palatino Linotype" w:cs="Palatino Linotype"/>
                <w:b/>
                <w:i/>
                <w:sz w:val="18"/>
                <w:szCs w:val="18"/>
              </w:rPr>
              <w:t>, del periodo solicitado (seis meses), el número de hojas que "DICEN" compone el expediente por el tiempo requerido es de 8,300, es decir 1,660 por cada una de las cinco unidades administrativas, 276 hojas por mes de cada unidad administrativa, 9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b/>
                <w:i/>
                <w:sz w:val="18"/>
                <w:szCs w:val="18"/>
              </w:rPr>
              <w:t>???</w:t>
            </w:r>
            <w:proofErr w:type="gramEnd"/>
            <w:r w:rsidRPr="000C77FA">
              <w:rPr>
                <w:rFonts w:ascii="Palatino Linotype" w:eastAsia="Palatino Linotype" w:hAnsi="Palatino Linotype" w:cs="Palatino Linotype"/>
                <w:b/>
                <w:i/>
                <w:sz w:val="18"/>
                <w:szCs w:val="18"/>
              </w:rPr>
              <w:t>”</w:t>
            </w:r>
          </w:p>
          <w:p w14:paraId="10DEE290" w14:textId="77777777" w:rsidR="00072693" w:rsidRPr="000C77FA" w:rsidRDefault="00072693" w:rsidP="000C77FA">
            <w:pPr>
              <w:jc w:val="both"/>
              <w:rPr>
                <w:rFonts w:ascii="Palatino Linotype" w:eastAsia="Palatino Linotype" w:hAnsi="Palatino Linotype" w:cs="Palatino Linotype"/>
                <w:i/>
                <w:sz w:val="18"/>
                <w:szCs w:val="18"/>
              </w:rPr>
            </w:pPr>
          </w:p>
        </w:tc>
      </w:tr>
      <w:tr w:rsidR="00072693" w:rsidRPr="000C77FA" w14:paraId="3049FD7D" w14:textId="77777777">
        <w:trPr>
          <w:jc w:val="center"/>
        </w:trPr>
        <w:tc>
          <w:tcPr>
            <w:tcW w:w="993" w:type="dxa"/>
          </w:tcPr>
          <w:p w14:paraId="77896DF9" w14:textId="77777777" w:rsidR="00072693" w:rsidRPr="000C77FA" w:rsidRDefault="002C1F92" w:rsidP="000C77FA">
            <w:pPr>
              <w:rPr>
                <w:rFonts w:ascii="Palatino Linotype" w:eastAsia="Palatino Linotype" w:hAnsi="Palatino Linotype" w:cs="Palatino Linotype"/>
                <w:b/>
                <w:sz w:val="20"/>
                <w:szCs w:val="20"/>
              </w:rPr>
            </w:pPr>
            <w:r w:rsidRPr="000C77FA">
              <w:rPr>
                <w:rFonts w:ascii="Palatino Linotype" w:eastAsia="Palatino Linotype" w:hAnsi="Palatino Linotype" w:cs="Palatino Linotype"/>
                <w:b/>
                <w:sz w:val="20"/>
                <w:szCs w:val="20"/>
              </w:rPr>
              <w:lastRenderedPageBreak/>
              <w:t>00211</w:t>
            </w:r>
          </w:p>
        </w:tc>
        <w:tc>
          <w:tcPr>
            <w:tcW w:w="8074" w:type="dxa"/>
          </w:tcPr>
          <w:p w14:paraId="6E4CE756"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ACTO IMPUGNADO: La respuesta a la solicitud de información 00182/SCTUR/IP/2022</w:t>
            </w:r>
          </w:p>
          <w:p w14:paraId="1753AE14" w14:textId="77777777" w:rsidR="00072693" w:rsidRPr="000C77FA" w:rsidRDefault="00072693" w:rsidP="000C77FA">
            <w:pPr>
              <w:jc w:val="both"/>
              <w:rPr>
                <w:rFonts w:ascii="Palatino Linotype" w:eastAsia="Palatino Linotype" w:hAnsi="Palatino Linotype" w:cs="Palatino Linotype"/>
                <w:i/>
                <w:sz w:val="18"/>
                <w:szCs w:val="18"/>
              </w:rPr>
            </w:pPr>
          </w:p>
          <w:p w14:paraId="0049F509" w14:textId="77777777" w:rsidR="00072693" w:rsidRPr="000C77FA" w:rsidRDefault="002C1F92" w:rsidP="000C77FA">
            <w:pPr>
              <w:jc w:val="both"/>
              <w:rPr>
                <w:rFonts w:ascii="Palatino Linotype" w:eastAsia="Palatino Linotype" w:hAnsi="Palatino Linotype" w:cs="Palatino Linotype"/>
                <w:i/>
                <w:sz w:val="18"/>
                <w:szCs w:val="18"/>
              </w:rPr>
            </w:pPr>
            <w:r w:rsidRPr="000C77FA">
              <w:rPr>
                <w:rFonts w:ascii="Palatino Linotype" w:eastAsia="Palatino Linotype" w:hAnsi="Palatino Linotype" w:cs="Palatino Linotype"/>
                <w:i/>
                <w:sz w:val="18"/>
                <w:szCs w:val="18"/>
              </w:rPr>
              <w:t xml:space="preserve">RAZONES O MOTIVOS DE LA INCONFORMIDA: La respuesta a las siguientes solicitudes de información: </w:t>
            </w:r>
            <w:proofErr w:type="gramStart"/>
            <w:r w:rsidRPr="000C77FA">
              <w:rPr>
                <w:rFonts w:ascii="Palatino Linotype" w:eastAsia="Palatino Linotype" w:hAnsi="Palatino Linotype" w:cs="Palatino Linotype"/>
                <w:i/>
                <w:sz w:val="18"/>
                <w:szCs w:val="18"/>
              </w:rPr>
              <w:t>.....¿</w:t>
            </w:r>
            <w:proofErr w:type="gramEnd"/>
            <w:r w:rsidRPr="000C77FA">
              <w:rPr>
                <w:rFonts w:ascii="Palatino Linotype" w:eastAsia="Palatino Linotype" w:hAnsi="Palatino Linotype" w:cs="Palatino Linotype"/>
                <w:i/>
                <w:sz w:val="18"/>
                <w:szCs w:val="18"/>
              </w:rPr>
              <w:t xml:space="preserve">Para el ejercicio fiscal 2022, cuál es la normatividad aplicable para el ejercicio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y cuáles sanciones se consideran en el uso indebido de esos recursos? ¿Cuál es el papel que desempeña el órgano interno de control en la vigilancia del correcto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cuántas y cuales unidades administrativas de la Secretaría de Cultura y Turismo contaron con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el ejercicio fiscal 2022, cuál fue el monto mensual asignado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para cada unidad administrativa? ¿Quién y cómo se determina que unidades administrativas tienen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en la Secretaría de Cultura y Turismo; cómo se determinó el monto asignado para 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cada unidad administrativa que lo tiene; en que ordenamiento jurídico se establece la forma de asignar los montos; en caso de no existir normatividad al respecto de la forma de asignar los montos, que servidor público los autoriza; y por qué las unidades administrativas que no lo tienen carecen de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w:t>
            </w:r>
            <w:r w:rsidRPr="000C77FA">
              <w:rPr>
                <w:rFonts w:ascii="Palatino Linotype" w:eastAsia="Palatino Linotype" w:hAnsi="Palatino Linotype" w:cs="Palatino Linotype"/>
                <w:b/>
                <w:i/>
                <w:sz w:val="18"/>
                <w:szCs w:val="18"/>
              </w:rPr>
              <w:t xml:space="preserve">Ya están archivadas como para ser parte de un expediente que rebasa las 9,250 hojas </w:t>
            </w:r>
            <w:proofErr w:type="gramStart"/>
            <w:r w:rsidRPr="000C77FA">
              <w:rPr>
                <w:rFonts w:ascii="Palatino Linotype" w:eastAsia="Palatino Linotype" w:hAnsi="Palatino Linotype" w:cs="Palatino Linotype"/>
                <w:b/>
                <w:i/>
                <w:sz w:val="18"/>
                <w:szCs w:val="18"/>
              </w:rPr>
              <w:t>??.</w:t>
            </w:r>
            <w:proofErr w:type="gramEnd"/>
            <w:r w:rsidRPr="000C77FA">
              <w:rPr>
                <w:rFonts w:ascii="Palatino Linotype" w:eastAsia="Palatino Linotype" w:hAnsi="Palatino Linotype" w:cs="Palatino Linotype"/>
                <w:b/>
                <w:i/>
                <w:sz w:val="18"/>
                <w:szCs w:val="18"/>
              </w:rPr>
              <w:t xml:space="preserve"> Las anteriores son preguntas que no fueron respondidas independientemente del tema del archivo y su tamaño. La solicitud de información antes referida no puede ser parte de un archivo existente, tal como si lo puede ser los comprobantes y/o facturas</w:t>
            </w:r>
            <w:r w:rsidRPr="000C77FA">
              <w:rPr>
                <w:rFonts w:ascii="Palatino Linotype" w:eastAsia="Palatino Linotype" w:hAnsi="Palatino Linotype" w:cs="Palatino Linotype"/>
                <w:i/>
                <w:sz w:val="18"/>
                <w:szCs w:val="18"/>
              </w:rPr>
              <w:t xml:space="preserve">. En cuanto a la solicitud de información: Del ejercicio fiscal 2022, solicito escaneadas de manera legible (por cada unidad administrativa) las facturas que acreditan el ejercicio de los recursos del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 las siguientes unidades administrativas, si es que lo tuvieron: Oficina del Secretario de Cultura y Turismo, Dirección General de Patrimonio y Servicios Culturales; UIPPE y Subsecretaría de Turismo; del periodo enero-junio 2022. Suponiendo que todas esas áreas tengan fondo </w:t>
            </w:r>
            <w:proofErr w:type="spellStart"/>
            <w:r w:rsidRPr="000C77FA">
              <w:rPr>
                <w:rFonts w:ascii="Palatino Linotype" w:eastAsia="Palatino Linotype" w:hAnsi="Palatino Linotype" w:cs="Palatino Linotype"/>
                <w:i/>
                <w:sz w:val="18"/>
                <w:szCs w:val="18"/>
              </w:rPr>
              <w:t>revolvente</w:t>
            </w:r>
            <w:proofErr w:type="spellEnd"/>
            <w:r w:rsidRPr="000C77FA">
              <w:rPr>
                <w:rFonts w:ascii="Palatino Linotype" w:eastAsia="Palatino Linotype" w:hAnsi="Palatino Linotype" w:cs="Palatino Linotype"/>
                <w:i/>
                <w:sz w:val="18"/>
                <w:szCs w:val="18"/>
              </w:rPr>
              <w:t xml:space="preserve">, del periodo solicitado (seis meses), </w:t>
            </w:r>
            <w:r w:rsidRPr="000C77FA">
              <w:rPr>
                <w:rFonts w:ascii="Palatino Linotype" w:eastAsia="Palatino Linotype" w:hAnsi="Palatino Linotype" w:cs="Palatino Linotype"/>
                <w:b/>
                <w:i/>
                <w:sz w:val="18"/>
                <w:szCs w:val="18"/>
              </w:rPr>
              <w:t>el número de hojas que "DICEN" compone el expediente por el tiempo requerido es de 9,250, es decir 2,312 por cada una de las cuatro unidades administrativas, 385 hojas por mes de cada unidad administrativa, 12 hojas o facturas por día, tomando en cuenta los 7 días de la semana. Es real que generen tal cantidad de información o solo por flojera no la están proporcionando</w:t>
            </w:r>
            <w:proofErr w:type="gramStart"/>
            <w:r w:rsidRPr="000C77FA">
              <w:rPr>
                <w:rFonts w:ascii="Palatino Linotype" w:eastAsia="Palatino Linotype" w:hAnsi="Palatino Linotype" w:cs="Palatino Linotype"/>
                <w:b/>
                <w:i/>
                <w:sz w:val="18"/>
                <w:szCs w:val="18"/>
              </w:rPr>
              <w:t>???</w:t>
            </w:r>
            <w:proofErr w:type="gramEnd"/>
          </w:p>
        </w:tc>
      </w:tr>
    </w:tbl>
    <w:p w14:paraId="218E6620" w14:textId="77777777" w:rsidR="00072693" w:rsidRPr="000C77FA" w:rsidRDefault="00072693" w:rsidP="000C77FA">
      <w:pPr>
        <w:tabs>
          <w:tab w:val="left" w:pos="2422"/>
        </w:tabs>
        <w:spacing w:line="360" w:lineRule="auto"/>
        <w:ind w:right="49"/>
        <w:jc w:val="both"/>
        <w:rPr>
          <w:rFonts w:ascii="Palatino Linotype" w:eastAsia="Palatino Linotype" w:hAnsi="Palatino Linotype" w:cs="Palatino Linotype"/>
        </w:rPr>
      </w:pPr>
    </w:p>
    <w:p w14:paraId="6EF0A6F3" w14:textId="77777777" w:rsidR="00072693" w:rsidRPr="000C77FA" w:rsidRDefault="002C1F92" w:rsidP="000C77FA">
      <w:pPr>
        <w:widowControl w:val="0"/>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Es importante mencionar que se obvia el estudio de la fuente obligacional que constriñe al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a pronunciarse y contar con lo solicitado por la particular, toda vez que éste no se encuentra desconociendo los hechos, sino por el contrario, responde a los planteamientos.</w:t>
      </w:r>
    </w:p>
    <w:p w14:paraId="2141A380" w14:textId="77777777" w:rsidR="00072693" w:rsidRPr="000C77FA" w:rsidRDefault="00072693" w:rsidP="000C77FA">
      <w:pPr>
        <w:widowControl w:val="0"/>
        <w:spacing w:line="360" w:lineRule="auto"/>
        <w:jc w:val="both"/>
        <w:rPr>
          <w:rFonts w:ascii="Palatino Linotype" w:eastAsia="Palatino Linotype" w:hAnsi="Palatino Linotype" w:cs="Palatino Linotype"/>
        </w:rPr>
      </w:pPr>
    </w:p>
    <w:p w14:paraId="6E2A3CA4"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Al respecto es importante señalar que, de la redacción del requerimiento de información, podemos advertir que </w:t>
      </w:r>
      <w:r w:rsidRPr="000C77FA">
        <w:rPr>
          <w:rFonts w:ascii="Palatino Linotype" w:eastAsia="Palatino Linotype" w:hAnsi="Palatino Linotype" w:cs="Palatino Linotype"/>
          <w:b/>
          <w:u w:val="single"/>
        </w:rPr>
        <w:t>pareciera que, el Recurrente no desea acceder a documentos en específico, al formularlo en forma de cuestionamientos</w:t>
      </w:r>
      <w:r w:rsidRPr="000C77FA">
        <w:rPr>
          <w:rFonts w:ascii="Palatino Linotype" w:eastAsia="Palatino Linotype" w:hAnsi="Palatino Linotype" w:cs="Palatino Linotype"/>
        </w:rPr>
        <w:t xml:space="preserve">; por ello, </w:t>
      </w:r>
      <w:r w:rsidRPr="000C77FA">
        <w:rPr>
          <w:rFonts w:ascii="Palatino Linotype" w:eastAsia="Palatino Linotype" w:hAnsi="Palatino Linotype" w:cs="Palatino Linotype"/>
        </w:rPr>
        <w:lastRenderedPageBreak/>
        <w:t xml:space="preserve">resulta necesario hacerle del conocimiento que, el derecho de acceso a la información, se satisface con la entrega del soporte documental en el cual obre la información, no así en hacer que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se pronuncie y/o de respuesta a cuestionamientos, toda vez que esto es derecho de petición, al tratarse de interrogantes y declaraciones que no se colman con la entrega de documentos, situación que conlleva a afirmar que se está en presencia del ejercicio del derecho de petición.</w:t>
      </w:r>
    </w:p>
    <w:p w14:paraId="656542EE" w14:textId="77777777" w:rsidR="00072693" w:rsidRPr="000C77FA" w:rsidRDefault="00072693" w:rsidP="000C77FA">
      <w:pPr>
        <w:spacing w:line="360" w:lineRule="auto"/>
        <w:jc w:val="both"/>
        <w:rPr>
          <w:rFonts w:ascii="Palatino Linotype" w:eastAsia="Palatino Linotype" w:hAnsi="Palatino Linotype" w:cs="Palatino Linotype"/>
        </w:rPr>
      </w:pPr>
    </w:p>
    <w:p w14:paraId="78C59F44"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La entrega de una razón o un razonamiento por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no es algo que la Ley de Transparencia Local establezca como atribución, derecho, facultad u obligación; pues ello implicaría un juicio de valor referente a un cuestionamiento realizado. Los cuales, al constituir interrogantes, inquietudes y manifestaciones se satisfacen vía derecho de petición (consagrado en el artículo 8° Constitucional), no así en ejercicio del derecho de acceso a la información pública.</w:t>
      </w:r>
    </w:p>
    <w:p w14:paraId="507BE8BE" w14:textId="77777777" w:rsidR="00072693" w:rsidRPr="000C77FA" w:rsidRDefault="00072693" w:rsidP="000C77FA">
      <w:pPr>
        <w:spacing w:line="360" w:lineRule="auto"/>
        <w:jc w:val="both"/>
        <w:rPr>
          <w:rFonts w:ascii="Palatino Linotype" w:eastAsia="Palatino Linotype" w:hAnsi="Palatino Linotype" w:cs="Palatino Linotype"/>
        </w:rPr>
      </w:pPr>
    </w:p>
    <w:p w14:paraId="3C9C905F"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Acotado lo anterior, si bien, corresponden a cuestionamientos atendibles mediante el derecho de petición, también lo es que, de conformidad con el Criterio </w:t>
      </w:r>
      <w:r w:rsidRPr="000C77FA">
        <w:rPr>
          <w:rFonts w:ascii="Palatino Linotype" w:eastAsia="Palatino Linotype" w:hAnsi="Palatino Linotype" w:cs="Palatino Linotype"/>
          <w:b/>
        </w:rPr>
        <w:t>028-10</w:t>
      </w:r>
      <w:r w:rsidRPr="000C77FA">
        <w:rPr>
          <w:rFonts w:ascii="Palatino Linotype" w:eastAsia="Palatino Linotype" w:hAnsi="Palatino Linotype" w:cs="Palatino Linotype"/>
        </w:rPr>
        <w:t xml:space="preserve"> emitido por el Pleno del entonces llamado Instituto Federal de Acceso a la Información y Protección de Datos, ahora Instituto Nacional de Transparencia, Acceso a la Información y Protección de Datos Personales </w:t>
      </w:r>
      <w:r w:rsidRPr="000C77FA">
        <w:rPr>
          <w:rFonts w:ascii="Palatino Linotype" w:eastAsia="Palatino Linotype" w:hAnsi="Palatino Linotype" w:cs="Palatino Linotype"/>
          <w:b/>
        </w:rPr>
        <w:t>IFAI</w:t>
      </w:r>
      <w:r w:rsidRPr="000C77FA">
        <w:rPr>
          <w:rFonts w:ascii="Palatino Linotype" w:eastAsia="Palatino Linotype" w:hAnsi="Palatino Linotype" w:cs="Palatino Linotype"/>
        </w:rPr>
        <w:t xml:space="preserve">, el cual establece que se deberá garantizar el acceso a la información contenida en documentos que los sujetos obligados generen, obtengan, adquieran, transformen o conserven por cualquier título; que se entienden como cualquier registro que documente el ejercicio </w:t>
      </w:r>
      <w:r w:rsidRPr="000C77FA">
        <w:rPr>
          <w:rFonts w:ascii="Palatino Linotype" w:eastAsia="Palatino Linotype" w:hAnsi="Palatino Linotype" w:cs="Palatino Linotype"/>
        </w:rPr>
        <w:lastRenderedPageBreak/>
        <w:t>de las facultades o la actividad de los sujetos obligados sin importar su fuente o fecha de elaboración criterio que para mayor referencia se cita a continuación:</w:t>
      </w:r>
    </w:p>
    <w:p w14:paraId="5D5B7410" w14:textId="77777777" w:rsidR="00072693" w:rsidRPr="000C77FA" w:rsidRDefault="002C1F92" w:rsidP="000C77FA">
      <w:pPr>
        <w:ind w:left="567" w:right="616"/>
        <w:jc w:val="both"/>
        <w:rPr>
          <w:rFonts w:ascii="Palatino Linotype" w:eastAsia="Palatino Linotype" w:hAnsi="Palatino Linotype" w:cs="Palatino Linotype"/>
          <w:sz w:val="22"/>
          <w:szCs w:val="22"/>
        </w:rPr>
      </w:pPr>
      <w:r w:rsidRPr="000C77FA">
        <w:rPr>
          <w:rFonts w:ascii="Palatino Linotype" w:eastAsia="Palatino Linotype" w:hAnsi="Palatino Linotype" w:cs="Palatino Linotype"/>
          <w:b/>
          <w:i/>
          <w:sz w:val="22"/>
          <w:szCs w:val="22"/>
        </w:rPr>
        <w:t>“Cuando en una solicitud de información no se identifique un documento en específico, si ésta tiene una expresión documental, el sujeto obligado deberá entregar al particular el documento en específico.</w:t>
      </w:r>
      <w:r w:rsidRPr="000C77FA">
        <w:rPr>
          <w:rFonts w:ascii="Palatino Linotype" w:eastAsia="Palatino Linotype" w:hAnsi="Palatino Linotype" w:cs="Palatino Linotype"/>
          <w:i/>
          <w:sz w:val="22"/>
          <w:szCs w:val="22"/>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w:t>
      </w:r>
      <w:r w:rsidRPr="000C77FA">
        <w:rPr>
          <w:rFonts w:ascii="Palatino Linotype" w:eastAsia="Palatino Linotype" w:hAnsi="Palatino Linotype" w:cs="Palatino Linotype"/>
          <w:i/>
          <w:sz w:val="22"/>
          <w:szCs w:val="22"/>
          <w:u w:val="single"/>
        </w:rPr>
        <w:t>,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0C77FA">
        <w:rPr>
          <w:rFonts w:ascii="Palatino Linotype" w:eastAsia="Palatino Linotype" w:hAnsi="Palatino Linotype" w:cs="Palatino Linotype"/>
          <w:i/>
          <w:sz w:val="22"/>
          <w:szCs w:val="22"/>
        </w:rPr>
        <w:t>. Es decir, si la respuesta a la solicitud obra en algún documento en poder de la autoridad, pero el particular no hace referencia específica a tal documento, se deberá hacer entrega del mismo al solicitante.”</w:t>
      </w:r>
    </w:p>
    <w:p w14:paraId="188064B4" w14:textId="77777777" w:rsidR="00072693" w:rsidRPr="000C77FA" w:rsidRDefault="002C1F92" w:rsidP="000C77FA">
      <w:pPr>
        <w:ind w:left="567" w:right="616"/>
        <w:jc w:val="right"/>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t>(Énfasis añadido)</w:t>
      </w:r>
    </w:p>
    <w:p w14:paraId="10A40D88" w14:textId="77777777" w:rsidR="00072693" w:rsidRPr="000C77FA" w:rsidRDefault="00072693" w:rsidP="000C77FA">
      <w:pPr>
        <w:spacing w:line="360" w:lineRule="auto"/>
        <w:ind w:right="49"/>
        <w:jc w:val="both"/>
        <w:rPr>
          <w:rFonts w:ascii="Palatino Linotype" w:eastAsia="Palatino Linotype" w:hAnsi="Palatino Linotype" w:cs="Palatino Linotype"/>
        </w:rPr>
      </w:pPr>
    </w:p>
    <w:p w14:paraId="00A7E078" w14:textId="77777777" w:rsidR="00072693" w:rsidRPr="000C77FA" w:rsidRDefault="002C1F92" w:rsidP="000C77FA">
      <w:pPr>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Robustece lo anterior el Criterio Orientador </w:t>
      </w:r>
      <w:r w:rsidRPr="000C77FA">
        <w:rPr>
          <w:rFonts w:ascii="Palatino Linotype" w:eastAsia="Palatino Linotype" w:hAnsi="Palatino Linotype" w:cs="Palatino Linotype"/>
          <w:b/>
        </w:rPr>
        <w:t>16/17</w:t>
      </w:r>
      <w:r w:rsidRPr="000C77FA">
        <w:rPr>
          <w:rFonts w:ascii="Palatino Linotype" w:eastAsia="Palatino Linotype" w:hAnsi="Palatino Linotype" w:cs="Palatino Linotype"/>
        </w:rPr>
        <w:t xml:space="preserve"> emitido de igual forma por el Instituto Nacional de Transparencia, Acceso a la Información y Protección de Datos Personales que a la literalidad prevé:</w:t>
      </w:r>
    </w:p>
    <w:p w14:paraId="569DD8B8" w14:textId="3AB2F07A" w:rsidR="00072693" w:rsidRPr="000C77FA" w:rsidRDefault="002C1F92" w:rsidP="000C77FA">
      <w:pPr>
        <w:ind w:left="567"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“Expresión documental</w:t>
      </w:r>
      <w:r w:rsidRPr="000C77FA">
        <w:rPr>
          <w:rFonts w:ascii="Palatino Linotype" w:eastAsia="Palatino Linotype" w:hAnsi="Palatino Linotype" w:cs="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w:t>
      </w:r>
      <w:r w:rsidRPr="000C77FA">
        <w:rPr>
          <w:rFonts w:ascii="Palatino Linotype" w:eastAsia="Palatino Linotype" w:hAnsi="Palatino Linotype" w:cs="Palatino Linotype"/>
          <w:i/>
          <w:sz w:val="22"/>
          <w:szCs w:val="22"/>
          <w:u w:val="single"/>
        </w:rPr>
        <w:t>los sujetos obligados</w:t>
      </w:r>
      <w:r w:rsidRPr="000C77FA">
        <w:rPr>
          <w:rFonts w:ascii="Palatino Linotype" w:eastAsia="Palatino Linotype" w:hAnsi="Palatino Linotype" w:cs="Palatino Linotype"/>
          <w:i/>
          <w:sz w:val="22"/>
          <w:szCs w:val="22"/>
        </w:rPr>
        <w:t xml:space="preserve">, éstos </w:t>
      </w:r>
      <w:r w:rsidRPr="000C77FA">
        <w:rPr>
          <w:rFonts w:ascii="Palatino Linotype" w:eastAsia="Palatino Linotype" w:hAnsi="Palatino Linotype" w:cs="Palatino Linotype"/>
          <w:i/>
          <w:sz w:val="22"/>
          <w:szCs w:val="22"/>
          <w:u w:val="single"/>
        </w:rPr>
        <w:t>deben dar a dichas solicitudes una interpretación que les otorgue una expresión documental.</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i/>
          <w:sz w:val="18"/>
          <w:szCs w:val="18"/>
        </w:rPr>
        <w:t>”</w:t>
      </w:r>
    </w:p>
    <w:p w14:paraId="2C3EF3FF" w14:textId="54C98FD3" w:rsidR="00072693" w:rsidRPr="000C77FA" w:rsidRDefault="002C1F92" w:rsidP="000C77FA">
      <w:pPr>
        <w:ind w:left="567" w:right="567"/>
        <w:rPr>
          <w:rFonts w:ascii="Palatino Linotype" w:eastAsia="Palatino Linotype" w:hAnsi="Palatino Linotype" w:cs="Palatino Linotype"/>
          <w:sz w:val="16"/>
          <w:szCs w:val="16"/>
        </w:rPr>
      </w:pPr>
      <w:r w:rsidRPr="000C77FA">
        <w:rPr>
          <w:rFonts w:ascii="Palatino Linotype" w:eastAsia="Palatino Linotype" w:hAnsi="Palatino Linotype" w:cs="Palatino Linotype"/>
          <w:sz w:val="16"/>
          <w:szCs w:val="16"/>
        </w:rPr>
        <w:t>(Énfasis añadido)</w:t>
      </w:r>
    </w:p>
    <w:p w14:paraId="539F84F7" w14:textId="29BCE67A" w:rsidR="00FB7F5D" w:rsidRPr="000C77FA" w:rsidRDefault="00FB7F5D" w:rsidP="000C77FA">
      <w:pPr>
        <w:ind w:left="567" w:right="567"/>
        <w:rPr>
          <w:rFonts w:ascii="Palatino Linotype" w:eastAsia="Palatino Linotype" w:hAnsi="Palatino Linotype" w:cs="Palatino Linotype"/>
          <w:sz w:val="16"/>
          <w:szCs w:val="16"/>
        </w:rPr>
      </w:pPr>
    </w:p>
    <w:p w14:paraId="4EE29BA1" w14:textId="77777777" w:rsidR="00FB7F5D" w:rsidRPr="000C77FA" w:rsidRDefault="00FB7F5D" w:rsidP="000C77FA">
      <w:pPr>
        <w:ind w:left="567" w:right="567"/>
        <w:rPr>
          <w:rFonts w:ascii="Palatino Linotype" w:eastAsia="Palatino Linotype" w:hAnsi="Palatino Linotype" w:cs="Palatino Linotype"/>
          <w:sz w:val="16"/>
          <w:szCs w:val="16"/>
        </w:rPr>
      </w:pPr>
    </w:p>
    <w:p w14:paraId="062349C5"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Es así que, cuando se aprecien deficiencias en la solicitud, o bien, que los particulares no especifiquen el documento en donde consta la información requerida, los sujetos </w:t>
      </w:r>
      <w:r w:rsidRPr="000C77FA">
        <w:rPr>
          <w:rFonts w:ascii="Palatino Linotype" w:eastAsia="Palatino Linotype" w:hAnsi="Palatino Linotype" w:cs="Palatino Linotype"/>
        </w:rPr>
        <w:lastRenderedPageBreak/>
        <w:t>obligados deben realizar acciones tendientes a garantizar el derecho de los recurrentes, haciendo entrega del soporte documental que dé cuenta de los requerimientos.</w:t>
      </w:r>
    </w:p>
    <w:p w14:paraId="12D1B82A" w14:textId="77777777" w:rsidR="00072693" w:rsidRPr="000C77FA" w:rsidRDefault="00072693" w:rsidP="000C77FA">
      <w:pPr>
        <w:spacing w:line="360" w:lineRule="auto"/>
        <w:jc w:val="both"/>
        <w:rPr>
          <w:rFonts w:ascii="Palatino Linotype" w:eastAsia="Palatino Linotype" w:hAnsi="Palatino Linotype" w:cs="Palatino Linotype"/>
        </w:rPr>
      </w:pPr>
    </w:p>
    <w:p w14:paraId="1292D7D3" w14:textId="663A4BD2"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Ahora bien, de la información solicitada y la impugnada se advierte que se actualizan los actos consentidos, es decir, la inconformidad del particular versa sobre un</w:t>
      </w:r>
      <w:r w:rsidR="00590865" w:rsidRPr="000C77FA">
        <w:rPr>
          <w:rFonts w:ascii="Palatino Linotype" w:eastAsia="Palatino Linotype" w:hAnsi="Palatino Linotype" w:cs="Palatino Linotype"/>
        </w:rPr>
        <w:t>a</w:t>
      </w:r>
      <w:r w:rsidRPr="000C77FA">
        <w:rPr>
          <w:rFonts w:ascii="Palatino Linotype" w:eastAsia="Palatino Linotype" w:hAnsi="Palatino Linotype" w:cs="Palatino Linotype"/>
        </w:rPr>
        <w:t xml:space="preserve"> parte de la solicitud y no de la totalidad; por consiguiente, la parte de la petición y la respuesta otorgada a la misma que no fue impugnada debe declararse consentida por el hoy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pues por estos rubros no expresó manifestaciones de inconformidad, por lo que no pueden producirse efectos jurídicos tendentes a revocar, confirmar o modificar el acto reclamado, ya que se infiere un consentimiento del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ante la falta de impugnación eficaz. </w:t>
      </w:r>
    </w:p>
    <w:p w14:paraId="266E6A18" w14:textId="77777777" w:rsidR="00072693" w:rsidRPr="000C77FA" w:rsidRDefault="00072693" w:rsidP="000C77FA">
      <w:pPr>
        <w:spacing w:line="360" w:lineRule="auto"/>
        <w:jc w:val="both"/>
        <w:rPr>
          <w:rFonts w:ascii="Palatino Linotype" w:eastAsia="Palatino Linotype" w:hAnsi="Palatino Linotype" w:cs="Palatino Linotype"/>
        </w:rPr>
      </w:pPr>
    </w:p>
    <w:p w14:paraId="74E8F1E5"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794D837"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14377526"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ACTOS CONSENTIDOS. SON LOS QUE NO SE IMPUGNAN MEDIANTE EL RECURSO IDÓNEO</w:t>
      </w:r>
      <w:r w:rsidRPr="000C77FA">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E95EB01" w14:textId="77777777" w:rsidR="00072693" w:rsidRPr="000C77FA" w:rsidRDefault="00072693" w:rsidP="000C77FA">
      <w:pPr>
        <w:spacing w:line="360" w:lineRule="auto"/>
        <w:jc w:val="both"/>
        <w:rPr>
          <w:rFonts w:ascii="Palatino Linotype" w:eastAsia="Palatino Linotype" w:hAnsi="Palatino Linotype" w:cs="Palatino Linotype"/>
          <w:sz w:val="22"/>
          <w:szCs w:val="22"/>
        </w:rPr>
      </w:pPr>
    </w:p>
    <w:p w14:paraId="486541AE"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Lo anterior es así, debido a que, cuando </w:t>
      </w:r>
      <w:r w:rsidRPr="000C77FA">
        <w:rPr>
          <w:rFonts w:ascii="Palatino Linotype" w:eastAsia="Palatino Linotype" w:hAnsi="Palatino Linotype" w:cs="Palatino Linotype"/>
          <w:b/>
        </w:rPr>
        <w:t xml:space="preserve">EL RECURRENTE </w:t>
      </w:r>
      <w:r w:rsidRPr="000C77FA">
        <w:rPr>
          <w:rFonts w:ascii="Palatino Linotype" w:eastAsia="Palatino Linotype" w:hAnsi="Palatino Linotype" w:cs="Palatino Linotype"/>
        </w:rPr>
        <w:t xml:space="preserve">impugnó la respuesta del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no expresó razón o motivo de inconformidad en contra </w:t>
      </w:r>
      <w:r w:rsidRPr="000C77FA">
        <w:rPr>
          <w:rFonts w:ascii="Palatino Linotype" w:eastAsia="Palatino Linotype" w:hAnsi="Palatino Linotype" w:cs="Palatino Linotype"/>
        </w:rPr>
        <w:lastRenderedPageBreak/>
        <w:t>de todos los rubros solicitados; por lo que, debe declararse atendido pues se entiende que</w:t>
      </w:r>
      <w:r w:rsidRPr="000C77FA">
        <w:rPr>
          <w:rFonts w:ascii="Palatino Linotype" w:eastAsia="Palatino Linotype" w:hAnsi="Palatino Linotype" w:cs="Palatino Linotype"/>
          <w:b/>
        </w:rPr>
        <w:t xml:space="preserve"> EL RECURRENTE </w:t>
      </w:r>
      <w:r w:rsidRPr="000C77FA">
        <w:rPr>
          <w:rFonts w:ascii="Palatino Linotype" w:eastAsia="Palatino Linotype" w:hAnsi="Palatino Linotype" w:cs="Palatino Linotype"/>
        </w:rPr>
        <w:t>está conforme con la información al no contravenir la misma.</w:t>
      </w:r>
    </w:p>
    <w:p w14:paraId="6F959284" w14:textId="77777777" w:rsidR="00072693" w:rsidRPr="000C77FA" w:rsidRDefault="00072693" w:rsidP="000C77FA">
      <w:pPr>
        <w:spacing w:line="360" w:lineRule="auto"/>
        <w:jc w:val="both"/>
        <w:rPr>
          <w:rFonts w:ascii="Palatino Linotype" w:eastAsia="Palatino Linotype" w:hAnsi="Palatino Linotype" w:cs="Palatino Linotype"/>
        </w:rPr>
      </w:pPr>
    </w:p>
    <w:p w14:paraId="5822B7C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46F147CD" w14:textId="77777777" w:rsidR="00072693" w:rsidRPr="000C77FA" w:rsidRDefault="00072693" w:rsidP="000C77FA">
      <w:pPr>
        <w:spacing w:line="259" w:lineRule="auto"/>
        <w:ind w:left="850" w:right="616"/>
        <w:jc w:val="both"/>
        <w:rPr>
          <w:rFonts w:ascii="Palatino Linotype" w:eastAsia="Palatino Linotype" w:hAnsi="Palatino Linotype" w:cs="Palatino Linotype"/>
          <w:i/>
          <w:sz w:val="22"/>
          <w:szCs w:val="22"/>
        </w:rPr>
      </w:pPr>
    </w:p>
    <w:p w14:paraId="315C5CA3" w14:textId="77777777" w:rsidR="00072693" w:rsidRPr="000C77FA" w:rsidRDefault="002C1F92" w:rsidP="000C77FA">
      <w:pPr>
        <w:ind w:left="850" w:right="616"/>
        <w:jc w:val="both"/>
        <w:rPr>
          <w:rFonts w:ascii="Palatino Linotype" w:eastAsia="Palatino Linotype" w:hAnsi="Palatino Linotype" w:cs="Palatino Linotype"/>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REVISIÓN EN AMPARO. LOS RESOLUTIVOS NO COMBATIDOS DEBEN DECLARARSE FIRMES.</w:t>
      </w:r>
      <w:r w:rsidRPr="000C77FA">
        <w:rPr>
          <w:rFonts w:ascii="Palatino Linotype" w:eastAsia="Palatino Linotype" w:hAnsi="Palatino Linotype" w:cs="Palatino Linotype"/>
          <w:i/>
          <w:sz w:val="22"/>
          <w:szCs w:val="22"/>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3F5AB8E6" w14:textId="77777777" w:rsidR="00072693" w:rsidRPr="000C77FA" w:rsidRDefault="00072693" w:rsidP="000C77FA">
      <w:pPr>
        <w:spacing w:line="360" w:lineRule="auto"/>
        <w:jc w:val="both"/>
        <w:rPr>
          <w:rFonts w:ascii="Palatino Linotype" w:eastAsia="Palatino Linotype" w:hAnsi="Palatino Linotype" w:cs="Palatino Linotype"/>
          <w:sz w:val="22"/>
          <w:szCs w:val="22"/>
        </w:rPr>
      </w:pPr>
    </w:p>
    <w:p w14:paraId="167427AC" w14:textId="428FDE3B"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Atendiendo a lo anterior, toda vez que en la inconformidad el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no se duele de la incompetencia anunciada por parte del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conforme a los antecedentes anunciados, dicha incompetencia no será materia del presente estudio. </w:t>
      </w:r>
    </w:p>
    <w:p w14:paraId="0122BC58" w14:textId="77777777" w:rsidR="00072693" w:rsidRPr="000C77FA" w:rsidRDefault="00072693" w:rsidP="000C77FA">
      <w:pPr>
        <w:spacing w:line="360" w:lineRule="auto"/>
        <w:ind w:right="49"/>
        <w:jc w:val="both"/>
        <w:rPr>
          <w:rFonts w:ascii="Palatino Linotype" w:eastAsia="Palatino Linotype" w:hAnsi="Palatino Linotype" w:cs="Palatino Linotype"/>
        </w:rPr>
      </w:pPr>
    </w:p>
    <w:p w14:paraId="2CA01AB1"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ese orden de ideas, tomando en consideración lo expuesto respecto de la expresión documental y el acto consentido anunciado, para efecto del presente análisis, se considera importante señalar la metodología que se seguirá para determinar si se ha vulnerado el derecho de acceso a la información del hoy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w:t>
      </w:r>
    </w:p>
    <w:p w14:paraId="152CBDEA" w14:textId="77777777" w:rsidR="00072693" w:rsidRPr="000C77FA" w:rsidRDefault="00072693" w:rsidP="000C77FA">
      <w:pPr>
        <w:spacing w:line="360" w:lineRule="auto"/>
        <w:jc w:val="both"/>
        <w:rPr>
          <w:rFonts w:ascii="Palatino Linotype" w:eastAsia="Palatino Linotype" w:hAnsi="Palatino Linotype" w:cs="Palatino Linotype"/>
        </w:rPr>
      </w:pPr>
    </w:p>
    <w:p w14:paraId="707E6F2B" w14:textId="159E32D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Metodología.</w:t>
      </w:r>
      <w:r w:rsidRPr="000C77FA">
        <w:rPr>
          <w:rFonts w:ascii="Palatino Linotype" w:eastAsia="Palatino Linotype" w:hAnsi="Palatino Linotype" w:cs="Palatino Linotype"/>
        </w:rPr>
        <w:t xml:space="preserve"> Ante la estrecha vinculación que existe en los planteamientos del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difiriendo respecto al periodo solicitado, </w:t>
      </w:r>
      <w:r w:rsidR="005715BF" w:rsidRPr="000C77FA">
        <w:rPr>
          <w:rFonts w:ascii="Palatino Linotype" w:eastAsia="Palatino Linotype" w:hAnsi="Palatino Linotype" w:cs="Palatino Linotype"/>
        </w:rPr>
        <w:t>primeramente,</w:t>
      </w:r>
      <w:r w:rsidRPr="000C77FA">
        <w:rPr>
          <w:rFonts w:ascii="Palatino Linotype" w:eastAsia="Palatino Linotype" w:hAnsi="Palatino Linotype" w:cs="Palatino Linotype"/>
        </w:rPr>
        <w:t xml:space="preserve"> fijaremos un marco conceptual y normativo en materia de fondo </w:t>
      </w:r>
      <w:proofErr w:type="spellStart"/>
      <w:r w:rsidRPr="000C77FA">
        <w:rPr>
          <w:rFonts w:ascii="Palatino Linotype" w:eastAsia="Palatino Linotype" w:hAnsi="Palatino Linotype" w:cs="Palatino Linotype"/>
        </w:rPr>
        <w:t>re</w:t>
      </w:r>
      <w:r w:rsidR="005B6C4C" w:rsidRPr="000C77FA">
        <w:rPr>
          <w:rFonts w:ascii="Palatino Linotype" w:eastAsia="Palatino Linotype" w:hAnsi="Palatino Linotype" w:cs="Palatino Linotype"/>
        </w:rPr>
        <w:t>v</w:t>
      </w:r>
      <w:r w:rsidRPr="000C77FA">
        <w:rPr>
          <w:rFonts w:ascii="Palatino Linotype" w:eastAsia="Palatino Linotype" w:hAnsi="Palatino Linotype" w:cs="Palatino Linotype"/>
        </w:rPr>
        <w:t>olvente</w:t>
      </w:r>
      <w:proofErr w:type="spellEnd"/>
      <w:r w:rsidRPr="000C77FA">
        <w:rPr>
          <w:rFonts w:ascii="Palatino Linotype" w:eastAsia="Palatino Linotype" w:hAnsi="Palatino Linotype" w:cs="Palatino Linotype"/>
        </w:rPr>
        <w:t xml:space="preserve">, y después serán analizados de forma conjunta los planteamientos de los Recursos de Revisión </w:t>
      </w:r>
      <w:r w:rsidRPr="000C77FA">
        <w:rPr>
          <w:rFonts w:ascii="Palatino Linotype" w:eastAsia="Palatino Linotype" w:hAnsi="Palatino Linotype" w:cs="Palatino Linotype"/>
          <w:b/>
        </w:rPr>
        <w:t>00207</w:t>
      </w:r>
      <w:r w:rsidRPr="000C77FA">
        <w:rPr>
          <w:rFonts w:ascii="Palatino Linotype" w:eastAsia="Palatino Linotype" w:hAnsi="Palatino Linotype" w:cs="Palatino Linotype"/>
        </w:rPr>
        <w:t xml:space="preserve"> y </w:t>
      </w:r>
      <w:r w:rsidRPr="000C77FA">
        <w:rPr>
          <w:rFonts w:ascii="Palatino Linotype" w:eastAsia="Palatino Linotype" w:hAnsi="Palatino Linotype" w:cs="Palatino Linotype"/>
          <w:b/>
        </w:rPr>
        <w:t>00208,</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00210</w:t>
      </w:r>
      <w:r w:rsidRPr="000C77FA">
        <w:rPr>
          <w:rFonts w:ascii="Palatino Linotype" w:eastAsia="Palatino Linotype" w:hAnsi="Palatino Linotype" w:cs="Palatino Linotype"/>
        </w:rPr>
        <w:t xml:space="preserve"> y </w:t>
      </w:r>
      <w:r w:rsidRPr="000C77FA">
        <w:rPr>
          <w:rFonts w:ascii="Palatino Linotype" w:eastAsia="Palatino Linotype" w:hAnsi="Palatino Linotype" w:cs="Palatino Linotype"/>
          <w:b/>
        </w:rPr>
        <w:t>00211</w:t>
      </w:r>
      <w:r w:rsidRPr="000C77FA">
        <w:rPr>
          <w:rFonts w:ascii="Palatino Linotype" w:eastAsia="Palatino Linotype" w:hAnsi="Palatino Linotype" w:cs="Palatino Linotype"/>
        </w:rPr>
        <w:t>.</w:t>
      </w:r>
    </w:p>
    <w:p w14:paraId="3D7BACCF" w14:textId="77777777" w:rsidR="00072693" w:rsidRPr="000C77FA" w:rsidRDefault="00072693" w:rsidP="000C77FA">
      <w:pPr>
        <w:spacing w:line="360" w:lineRule="auto"/>
        <w:jc w:val="both"/>
        <w:rPr>
          <w:rFonts w:ascii="Palatino Linotype" w:eastAsia="Palatino Linotype" w:hAnsi="Palatino Linotype" w:cs="Palatino Linotype"/>
        </w:rPr>
      </w:pPr>
    </w:p>
    <w:p w14:paraId="4CA15DE3" w14:textId="0B1A5F25" w:rsidR="00072693" w:rsidRPr="000C77FA" w:rsidRDefault="002C1F92" w:rsidP="000C77FA">
      <w:pPr>
        <w:spacing w:line="360" w:lineRule="auto"/>
        <w:jc w:val="both"/>
        <w:rPr>
          <w:rFonts w:ascii="Palatino Linotype" w:eastAsia="Palatino Linotype" w:hAnsi="Palatino Linotype" w:cs="Palatino Linotype"/>
          <w:b/>
        </w:rPr>
      </w:pPr>
      <w:r w:rsidRPr="000C77FA">
        <w:rPr>
          <w:rFonts w:ascii="Palatino Linotype" w:eastAsia="Palatino Linotype" w:hAnsi="Palatino Linotype" w:cs="Palatino Linotype"/>
          <w:b/>
        </w:rPr>
        <w:t>Marco conceptual y normativo</w:t>
      </w:r>
      <w:r w:rsidR="005B6C4C" w:rsidRPr="000C77FA">
        <w:rPr>
          <w:rFonts w:ascii="Palatino Linotype" w:eastAsia="Palatino Linotype" w:hAnsi="Palatino Linotype" w:cs="Palatino Linotype"/>
          <w:b/>
        </w:rPr>
        <w:t>.</w:t>
      </w:r>
      <w:r w:rsidRPr="000C77FA">
        <w:rPr>
          <w:rFonts w:ascii="Palatino Linotype" w:eastAsia="Palatino Linotype" w:hAnsi="Palatino Linotype" w:cs="Palatino Linotype"/>
          <w:b/>
        </w:rPr>
        <w:t xml:space="preserve"> </w:t>
      </w:r>
    </w:p>
    <w:p w14:paraId="659B9B63"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Primeramente, debemos establecer lo que se entiende por fondo </w:t>
      </w:r>
      <w:proofErr w:type="spellStart"/>
      <w:r w:rsidRPr="000C77FA">
        <w:rPr>
          <w:rFonts w:ascii="Palatino Linotype" w:eastAsia="Palatino Linotype" w:hAnsi="Palatino Linotype" w:cs="Palatino Linotype"/>
        </w:rPr>
        <w:t>revolvente</w:t>
      </w:r>
      <w:proofErr w:type="spellEnd"/>
      <w:r w:rsidRPr="000C77FA">
        <w:rPr>
          <w:rFonts w:ascii="Palatino Linotype" w:eastAsia="Palatino Linotype" w:hAnsi="Palatino Linotype" w:cs="Palatino Linotype"/>
        </w:rPr>
        <w:t>. El Glosario de términos del Manual de para la Planeación, Programación y Presupuesto de Egresos Municipal para el Ejercicio Fiscal 2023</w:t>
      </w:r>
      <w:r w:rsidRPr="000C77FA">
        <w:rPr>
          <w:rFonts w:ascii="Palatino Linotype" w:eastAsia="Palatino Linotype" w:hAnsi="Palatino Linotype" w:cs="Palatino Linotype"/>
          <w:vertAlign w:val="superscript"/>
        </w:rPr>
        <w:footnoteReference w:id="11"/>
      </w:r>
      <w:r w:rsidRPr="000C77FA">
        <w:rPr>
          <w:rFonts w:ascii="Palatino Linotype" w:eastAsia="Palatino Linotype" w:hAnsi="Palatino Linotype" w:cs="Palatino Linotype"/>
        </w:rPr>
        <w:t>, señala:</w:t>
      </w:r>
    </w:p>
    <w:p w14:paraId="1DA52193" w14:textId="77777777" w:rsidR="00072693" w:rsidRPr="000C77FA" w:rsidRDefault="00072693" w:rsidP="000C77FA">
      <w:pPr>
        <w:ind w:left="851" w:right="616"/>
        <w:jc w:val="both"/>
        <w:rPr>
          <w:rFonts w:ascii="Palatino Linotype" w:eastAsia="Palatino Linotype" w:hAnsi="Palatino Linotype" w:cs="Palatino Linotype"/>
          <w:b/>
          <w:i/>
          <w:sz w:val="22"/>
          <w:szCs w:val="22"/>
        </w:rPr>
      </w:pPr>
    </w:p>
    <w:p w14:paraId="6305BA80"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 xml:space="preserve">Fondo </w:t>
      </w:r>
      <w:proofErr w:type="spellStart"/>
      <w:r w:rsidRPr="000C77FA">
        <w:rPr>
          <w:rFonts w:ascii="Palatino Linotype" w:eastAsia="Palatino Linotype" w:hAnsi="Palatino Linotype" w:cs="Palatino Linotype"/>
          <w:b/>
          <w:i/>
          <w:sz w:val="22"/>
          <w:szCs w:val="22"/>
        </w:rPr>
        <w:t>Revolvente</w:t>
      </w:r>
      <w:proofErr w:type="spellEnd"/>
      <w:r w:rsidRPr="000C77FA">
        <w:rPr>
          <w:rFonts w:ascii="Palatino Linotype" w:eastAsia="Palatino Linotype" w:hAnsi="Palatino Linotype" w:cs="Palatino Linotype"/>
          <w:b/>
          <w:i/>
          <w:sz w:val="22"/>
          <w:szCs w:val="22"/>
        </w:rPr>
        <w:t xml:space="preserve">: </w:t>
      </w:r>
      <w:r w:rsidRPr="000C77FA">
        <w:rPr>
          <w:rFonts w:ascii="Palatino Linotype" w:eastAsia="Palatino Linotype" w:hAnsi="Palatino Linotype" w:cs="Palatino Linotype"/>
          <w:i/>
          <w:sz w:val="22"/>
          <w:szCs w:val="22"/>
        </w:rPr>
        <w:t xml:space="preserve">Importe o monto que en las dependencias y organismos auxiliares de la administración pública se destina para cubrir necesidades urgentes que no rebasen determinados niveles </w:t>
      </w:r>
      <w:r w:rsidRPr="000C77FA">
        <w:rPr>
          <w:rFonts w:ascii="Palatino Linotype" w:eastAsia="Palatino Linotype" w:hAnsi="Palatino Linotype" w:cs="Palatino Linotype"/>
          <w:b/>
          <w:i/>
          <w:sz w:val="22"/>
          <w:szCs w:val="22"/>
        </w:rPr>
        <w:t>y que se restituyen mediante la comprobación respectiva</w:t>
      </w:r>
      <w:r w:rsidRPr="000C77FA">
        <w:rPr>
          <w:rFonts w:ascii="Palatino Linotype" w:eastAsia="Palatino Linotype" w:hAnsi="Palatino Linotype" w:cs="Palatino Linotype"/>
          <w:i/>
          <w:sz w:val="22"/>
          <w:szCs w:val="22"/>
        </w:rPr>
        <w:t>. Dicho monto es definido y autorizado por la Secretaría.</w:t>
      </w:r>
    </w:p>
    <w:p w14:paraId="6DD09FE2" w14:textId="77777777" w:rsidR="00072693" w:rsidRPr="000C77FA" w:rsidRDefault="00072693" w:rsidP="000C77FA">
      <w:pPr>
        <w:spacing w:line="360" w:lineRule="auto"/>
        <w:jc w:val="both"/>
        <w:rPr>
          <w:rFonts w:ascii="Palatino Linotype" w:eastAsia="Palatino Linotype" w:hAnsi="Palatino Linotype" w:cs="Palatino Linotype"/>
        </w:rPr>
      </w:pPr>
    </w:p>
    <w:p w14:paraId="779283B4" w14:textId="7111319A"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Luego entonces, el fondo </w:t>
      </w:r>
      <w:proofErr w:type="spellStart"/>
      <w:r w:rsidRPr="000C77FA">
        <w:rPr>
          <w:rFonts w:ascii="Palatino Linotype" w:eastAsia="Palatino Linotype" w:hAnsi="Palatino Linotype" w:cs="Palatino Linotype"/>
        </w:rPr>
        <w:t>revolvente</w:t>
      </w:r>
      <w:proofErr w:type="spellEnd"/>
      <w:r w:rsidRPr="000C77FA">
        <w:rPr>
          <w:rFonts w:ascii="Palatino Linotype" w:eastAsia="Palatino Linotype" w:hAnsi="Palatino Linotype" w:cs="Palatino Linotype"/>
        </w:rPr>
        <w:t xml:space="preserve"> es la suma de dinero destinada para efectuar gastos, con la finalidad de cubrir las necesidades urgentes con la característica de que se restituye mediante la comprobación.</w:t>
      </w:r>
    </w:p>
    <w:p w14:paraId="3BA8D66F" w14:textId="77777777" w:rsidR="005715BF" w:rsidRPr="000C77FA" w:rsidRDefault="005715BF" w:rsidP="000C77FA">
      <w:pPr>
        <w:spacing w:line="360" w:lineRule="auto"/>
        <w:jc w:val="both"/>
        <w:rPr>
          <w:rFonts w:ascii="Palatino Linotype" w:eastAsia="Palatino Linotype" w:hAnsi="Palatino Linotype" w:cs="Palatino Linotype"/>
        </w:rPr>
      </w:pPr>
    </w:p>
    <w:p w14:paraId="4AD39217"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Ahora bien, conforme al</w:t>
      </w:r>
      <w:r w:rsidRPr="000C77FA">
        <w:t xml:space="preserve"> </w:t>
      </w:r>
      <w:r w:rsidRPr="000C77FA">
        <w:rPr>
          <w:rFonts w:ascii="Palatino Linotype" w:eastAsia="Palatino Linotype" w:hAnsi="Palatino Linotype" w:cs="Palatino Linotype"/>
        </w:rPr>
        <w:t>Manual General de Organización de la Secretaría de Cultura y Turismo</w:t>
      </w:r>
      <w:r w:rsidRPr="000C77FA">
        <w:rPr>
          <w:rFonts w:ascii="Palatino Linotype" w:eastAsia="Palatino Linotype" w:hAnsi="Palatino Linotype" w:cs="Palatino Linotype"/>
          <w:vertAlign w:val="superscript"/>
        </w:rPr>
        <w:footnoteReference w:id="12"/>
      </w:r>
      <w:r w:rsidRPr="000C77FA">
        <w:rPr>
          <w:rFonts w:ascii="Palatino Linotype" w:eastAsia="Palatino Linotype" w:hAnsi="Palatino Linotype" w:cs="Palatino Linotype"/>
        </w:rPr>
        <w:t xml:space="preserve"> corresponde a la Coordinación Administrativa y sus áreas, Departamento de Control de Ingresos y Departamento de Contabilidad, entre otras funciones:</w:t>
      </w:r>
    </w:p>
    <w:p w14:paraId="31986661" w14:textId="77777777" w:rsidR="00072693" w:rsidRPr="000C77FA" w:rsidRDefault="002C1F92" w:rsidP="000C77FA">
      <w:pPr>
        <w:ind w:left="851" w:right="616"/>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 xml:space="preserve">22600003000000S COORDINACIÓN ADMINISTRATIVA </w:t>
      </w:r>
    </w:p>
    <w:p w14:paraId="3E9C71E7"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OBJETIVO: Programar, gestionar, organizar y controlar el suministro, la administración y la aplicación de los recursos humanos, materiales, financieros, técnicos y servicios generales que requieran las unidades administrativas para su funcionamiento, así como la solicitud de obra por encargo a la Secretaría de Desarrollo Urbano y Obra.</w:t>
      </w:r>
    </w:p>
    <w:p w14:paraId="12CA7C85"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7D17A65F"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FUNCIONES:</w:t>
      </w:r>
    </w:p>
    <w:p w14:paraId="0F568339"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p>
    <w:p w14:paraId="04F4ED2A"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Supervisar la elaboración, la asignación y el ejercicio del presupuesto autorizado de la Secretaría de Cultura y Turismo y vigilar que todas las operaciones presupuestales y los desarrollos programáticos que realicen las unidades administrativas se efectúen con apego a las disposiciones legales y administrativas aplicables. </w:t>
      </w:r>
    </w:p>
    <w:p w14:paraId="433B145D"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Certificar la suficiencia presupuestaria que requieran las unidades ejecutoras de la Secretaría, de conformidad con el origen y destino de los recursos.</w:t>
      </w:r>
    </w:p>
    <w:p w14:paraId="4C88FECA"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3EA35E67"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22600003010001S DEPARTAMENTO DE CONTROL DE INGRESOS</w:t>
      </w:r>
      <w:r w:rsidRPr="000C77FA">
        <w:rPr>
          <w:rFonts w:ascii="Palatino Linotype" w:eastAsia="Palatino Linotype" w:hAnsi="Palatino Linotype" w:cs="Palatino Linotype"/>
          <w:i/>
          <w:sz w:val="22"/>
          <w:szCs w:val="22"/>
        </w:rPr>
        <w:t xml:space="preserve"> OBJETIVO: Manejar y vigilar la operación, depósito y custodia de los ingresos que el Gobierno del Estado otorgue para el cumplimiento de las funciones de la Secretaría de Cultura y Turismo, así como de los recursos que la Federación proporcione para el desarrollo de los diferentes programas de las unidades administrativas adscritas a esta Secretaría, con base en los lineamientos que para tal efecto establezca la Coordinación Administrativa. </w:t>
      </w:r>
    </w:p>
    <w:p w14:paraId="1C697926"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15597795"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FUNCIONES:</w:t>
      </w:r>
    </w:p>
    <w:p w14:paraId="244D3B44"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p>
    <w:p w14:paraId="41E752A8"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lastRenderedPageBreak/>
        <w:t xml:space="preserve">− Realizar, anualmente, la reposición de los </w:t>
      </w:r>
      <w:r w:rsidRPr="000C77FA">
        <w:rPr>
          <w:rFonts w:ascii="Palatino Linotype" w:eastAsia="Palatino Linotype" w:hAnsi="Palatino Linotype" w:cs="Palatino Linotype"/>
          <w:b/>
          <w:i/>
          <w:sz w:val="22"/>
          <w:szCs w:val="22"/>
        </w:rPr>
        <w:t xml:space="preserve">fondos </w:t>
      </w:r>
      <w:proofErr w:type="spellStart"/>
      <w:r w:rsidRPr="000C77FA">
        <w:rPr>
          <w:rFonts w:ascii="Palatino Linotype" w:eastAsia="Palatino Linotype" w:hAnsi="Palatino Linotype" w:cs="Palatino Linotype"/>
          <w:b/>
          <w:i/>
          <w:sz w:val="22"/>
          <w:szCs w:val="22"/>
        </w:rPr>
        <w:t>revolventes</w:t>
      </w:r>
      <w:proofErr w:type="spellEnd"/>
      <w:r w:rsidRPr="000C77FA">
        <w:rPr>
          <w:rFonts w:ascii="Palatino Linotype" w:eastAsia="Palatino Linotype" w:hAnsi="Palatino Linotype" w:cs="Palatino Linotype"/>
          <w:i/>
          <w:sz w:val="22"/>
          <w:szCs w:val="22"/>
        </w:rPr>
        <w:t xml:space="preserve"> asignados a las unidades administrativas ejecutoras de la Secretaría, previa autorización y comprobación del ejercicio anterior.</w:t>
      </w:r>
    </w:p>
    <w:p w14:paraId="625ABE49"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4E42ECC1" w14:textId="77777777" w:rsidR="00072693" w:rsidRPr="000C77FA" w:rsidRDefault="002C1F92" w:rsidP="000C77FA">
      <w:pPr>
        <w:ind w:left="851" w:right="616"/>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 xml:space="preserve">22600003010002S DEPARTAMENTO DE CONTABILIDAD </w:t>
      </w:r>
    </w:p>
    <w:p w14:paraId="78819A13"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OBJETIVO: Llevar el registro y control de los movimientos financieros y las operaciones contables de la Secretaría de Cultura y Turismo, a través del sistema PROGRESS, para consolidar la información ante la Dirección de Contabilidad del Sector Central. </w:t>
      </w:r>
    </w:p>
    <w:p w14:paraId="1F00D5AC"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FUNCIONES:</w:t>
      </w:r>
    </w:p>
    <w:p w14:paraId="7E11EA3E"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p>
    <w:p w14:paraId="105446A9"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Validar y resguardar la documentación comprobatoria fiscal de las operaciones generadas por las unidades ejecutoras correspondientes a gastos a comprobar, reposición de </w:t>
      </w:r>
      <w:r w:rsidRPr="000C77FA">
        <w:rPr>
          <w:rFonts w:ascii="Palatino Linotype" w:eastAsia="Palatino Linotype" w:hAnsi="Palatino Linotype" w:cs="Palatino Linotype"/>
          <w:b/>
          <w:i/>
          <w:sz w:val="22"/>
          <w:szCs w:val="22"/>
        </w:rPr>
        <w:t xml:space="preserve">fondos </w:t>
      </w:r>
      <w:proofErr w:type="spellStart"/>
      <w:r w:rsidRPr="000C77FA">
        <w:rPr>
          <w:rFonts w:ascii="Palatino Linotype" w:eastAsia="Palatino Linotype" w:hAnsi="Palatino Linotype" w:cs="Palatino Linotype"/>
          <w:b/>
          <w:i/>
          <w:sz w:val="22"/>
          <w:szCs w:val="22"/>
        </w:rPr>
        <w:t>revolventes</w:t>
      </w:r>
      <w:proofErr w:type="spellEnd"/>
      <w:r w:rsidRPr="000C77FA">
        <w:rPr>
          <w:rFonts w:ascii="Palatino Linotype" w:eastAsia="Palatino Linotype" w:hAnsi="Palatino Linotype" w:cs="Palatino Linotype"/>
          <w:i/>
          <w:sz w:val="22"/>
          <w:szCs w:val="22"/>
        </w:rPr>
        <w:t xml:space="preserve"> y pagos diversos derivados de las operaciones contables.</w:t>
      </w:r>
    </w:p>
    <w:p w14:paraId="0C2777DF"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noProof/>
        </w:rPr>
        <w:drawing>
          <wp:inline distT="0" distB="0" distL="0" distR="0" wp14:anchorId="4BF678EE" wp14:editId="498A27FD">
            <wp:extent cx="5903253" cy="2087980"/>
            <wp:effectExtent l="0" t="0" r="0" b="0"/>
            <wp:docPr id="18564647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03253" cy="2087980"/>
                    </a:xfrm>
                    <a:prstGeom prst="rect">
                      <a:avLst/>
                    </a:prstGeom>
                    <a:ln/>
                  </pic:spPr>
                </pic:pic>
              </a:graphicData>
            </a:graphic>
          </wp:inline>
        </w:drawing>
      </w:r>
    </w:p>
    <w:p w14:paraId="612E5B82"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4A797E97" w14:textId="58FB009B"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Fijado el marco conceptual y normativo en materia de fondo </w:t>
      </w:r>
      <w:proofErr w:type="spellStart"/>
      <w:r w:rsidRPr="000C77FA">
        <w:rPr>
          <w:rFonts w:ascii="Palatino Linotype" w:eastAsia="Palatino Linotype" w:hAnsi="Palatino Linotype" w:cs="Palatino Linotype"/>
        </w:rPr>
        <w:t>re</w:t>
      </w:r>
      <w:r w:rsidR="005B6C4C" w:rsidRPr="000C77FA">
        <w:rPr>
          <w:rFonts w:ascii="Palatino Linotype" w:eastAsia="Palatino Linotype" w:hAnsi="Palatino Linotype" w:cs="Palatino Linotype"/>
        </w:rPr>
        <w:t>v</w:t>
      </w:r>
      <w:r w:rsidRPr="000C77FA">
        <w:rPr>
          <w:rFonts w:ascii="Palatino Linotype" w:eastAsia="Palatino Linotype" w:hAnsi="Palatino Linotype" w:cs="Palatino Linotype"/>
        </w:rPr>
        <w:t>olvente</w:t>
      </w:r>
      <w:proofErr w:type="spellEnd"/>
      <w:r w:rsidRPr="000C77FA">
        <w:rPr>
          <w:rFonts w:ascii="Palatino Linotype" w:eastAsia="Palatino Linotype" w:hAnsi="Palatino Linotype" w:cs="Palatino Linotype"/>
        </w:rPr>
        <w:t xml:space="preserve"> dentro de la </w:t>
      </w:r>
      <w:r w:rsidR="005715BF" w:rsidRPr="000C77FA">
        <w:rPr>
          <w:rFonts w:ascii="Palatino Linotype" w:eastAsia="Palatino Linotype" w:hAnsi="Palatino Linotype" w:cs="Palatino Linotype"/>
        </w:rPr>
        <w:t xml:space="preserve">Secretaría </w:t>
      </w:r>
      <w:r w:rsidRPr="000C77FA">
        <w:rPr>
          <w:rFonts w:ascii="Palatino Linotype" w:eastAsia="Palatino Linotype" w:hAnsi="Palatino Linotype" w:cs="Palatino Linotype"/>
        </w:rPr>
        <w:t xml:space="preserve">de Cultura y Turismo, es procedente señalar que, contrario a lo señalo por el </w:t>
      </w:r>
      <w:r w:rsidRPr="000C77FA">
        <w:rPr>
          <w:rFonts w:ascii="Palatino Linotype" w:eastAsia="Palatino Linotype" w:hAnsi="Palatino Linotype" w:cs="Palatino Linotype"/>
          <w:b/>
        </w:rPr>
        <w:t xml:space="preserve">RECURRENTE </w:t>
      </w:r>
      <w:r w:rsidRPr="000C77FA">
        <w:rPr>
          <w:rFonts w:ascii="Palatino Linotype" w:eastAsia="Palatino Linotype" w:hAnsi="Palatino Linotype" w:cs="Palatino Linotype"/>
        </w:rPr>
        <w:t>referente a que</w:t>
      </w:r>
      <w:r w:rsidRPr="000C77FA">
        <w:t xml:space="preserve"> “</w:t>
      </w:r>
      <w:r w:rsidRPr="000C77FA">
        <w:rPr>
          <w:rFonts w:ascii="Palatino Linotype" w:eastAsia="Palatino Linotype" w:hAnsi="Palatino Linotype" w:cs="Palatino Linotype"/>
          <w:i/>
        </w:rPr>
        <w:t>Las anteriores son preguntas que no fueron respondidas</w:t>
      </w:r>
      <w:r w:rsidRPr="000C77FA">
        <w:rPr>
          <w:rFonts w:ascii="Palatino Linotype" w:eastAsia="Palatino Linotype" w:hAnsi="Palatino Linotype" w:cs="Palatino Linotype"/>
        </w:rPr>
        <w:t xml:space="preserve">”, </w:t>
      </w:r>
      <w:r w:rsidR="005B6C4C" w:rsidRPr="000C77FA">
        <w:rPr>
          <w:rFonts w:ascii="Palatino Linotype" w:eastAsia="Palatino Linotype" w:hAnsi="Palatino Linotype" w:cs="Palatino Linotype"/>
        </w:rPr>
        <w:t xml:space="preserve">se advierte que, </w:t>
      </w:r>
      <w:r w:rsidRPr="000C77FA">
        <w:rPr>
          <w:rFonts w:ascii="Palatino Linotype" w:eastAsia="Palatino Linotype" w:hAnsi="Palatino Linotype" w:cs="Palatino Linotype"/>
        </w:rPr>
        <w:t xml:space="preserve">el </w:t>
      </w:r>
      <w:r w:rsidRPr="000C77FA">
        <w:rPr>
          <w:rFonts w:ascii="Palatino Linotype" w:eastAsia="Palatino Linotype" w:hAnsi="Palatino Linotype" w:cs="Palatino Linotype"/>
          <w:b/>
        </w:rPr>
        <w:t xml:space="preserve">SUJETO OBLIGADO </w:t>
      </w:r>
      <w:r w:rsidRPr="000C77FA">
        <w:rPr>
          <w:rFonts w:ascii="Palatino Linotype" w:eastAsia="Palatino Linotype" w:hAnsi="Palatino Linotype" w:cs="Palatino Linotype"/>
        </w:rPr>
        <w:t>sí se ha pronunciado respecto de cada uno de dichos planteamientos.</w:t>
      </w:r>
    </w:p>
    <w:p w14:paraId="31FA4411" w14:textId="77777777" w:rsidR="00BA3A71" w:rsidRPr="000C77FA" w:rsidRDefault="00BA3A71" w:rsidP="000C77FA">
      <w:pPr>
        <w:tabs>
          <w:tab w:val="left" w:pos="7938"/>
        </w:tabs>
        <w:spacing w:line="360" w:lineRule="auto"/>
        <w:jc w:val="both"/>
        <w:rPr>
          <w:rFonts w:ascii="Palatino Linotype" w:eastAsia="Palatino Linotype" w:hAnsi="Palatino Linotype" w:cs="Palatino Linotype"/>
        </w:rPr>
      </w:pPr>
    </w:p>
    <w:p w14:paraId="69121884" w14:textId="3053108D"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Sin embargo, aun y cuando se ha pronunciado, no se puede tener por colmado el derecho con su respuesta, pues debió entregar alguna expresión documental en donde se evidencie el acceso a </w:t>
      </w:r>
      <w:r w:rsidR="005B6C4C" w:rsidRPr="000C77FA">
        <w:rPr>
          <w:rFonts w:ascii="Palatino Linotype" w:eastAsia="Palatino Linotype" w:hAnsi="Palatino Linotype" w:cs="Palatino Linotype"/>
        </w:rPr>
        <w:t xml:space="preserve">la </w:t>
      </w:r>
      <w:r w:rsidRPr="000C77FA">
        <w:rPr>
          <w:rFonts w:ascii="Palatino Linotype" w:eastAsia="Palatino Linotype" w:hAnsi="Palatino Linotype" w:cs="Palatino Linotype"/>
        </w:rPr>
        <w:t xml:space="preserve">información de </w:t>
      </w:r>
      <w:r w:rsidR="005B6C4C" w:rsidRPr="000C77FA">
        <w:rPr>
          <w:rFonts w:ascii="Palatino Linotype" w:eastAsia="Palatino Linotype" w:hAnsi="Palatino Linotype" w:cs="Palatino Linotype"/>
        </w:rPr>
        <w:t>lo</w:t>
      </w:r>
      <w:r w:rsidRPr="000C77FA">
        <w:rPr>
          <w:rFonts w:ascii="Palatino Linotype" w:eastAsia="Palatino Linotype" w:hAnsi="Palatino Linotype" w:cs="Palatino Linotype"/>
        </w:rPr>
        <w:t>s planteamientos:</w:t>
      </w:r>
    </w:p>
    <w:p w14:paraId="7DAECDAE" w14:textId="06A86F2E" w:rsidR="005715BF" w:rsidRPr="000C77FA" w:rsidRDefault="005715BF" w:rsidP="000C77FA">
      <w:pPr>
        <w:tabs>
          <w:tab w:val="left" w:pos="7938"/>
        </w:tabs>
        <w:spacing w:line="360" w:lineRule="auto"/>
        <w:jc w:val="both"/>
        <w:rPr>
          <w:rFonts w:ascii="Palatino Linotype" w:eastAsia="Palatino Linotype" w:hAnsi="Palatino Linotype" w:cs="Palatino Linotype"/>
        </w:rPr>
      </w:pPr>
    </w:p>
    <w:p w14:paraId="06BDEFFC" w14:textId="77777777" w:rsidR="000C77FA" w:rsidRPr="000C77FA" w:rsidRDefault="000C77FA" w:rsidP="000C77FA">
      <w:pPr>
        <w:tabs>
          <w:tab w:val="left" w:pos="7938"/>
        </w:tabs>
        <w:spacing w:line="360" w:lineRule="auto"/>
        <w:jc w:val="both"/>
        <w:rPr>
          <w:rFonts w:ascii="Palatino Linotype" w:eastAsia="Palatino Linotype" w:hAnsi="Palatino Linotype" w:cs="Palatino Linotype"/>
        </w:rPr>
      </w:pPr>
    </w:p>
    <w:p w14:paraId="76435FB5" w14:textId="77777777" w:rsidR="00072693" w:rsidRPr="000C77FA" w:rsidRDefault="002C1F92" w:rsidP="000C77FA">
      <w:pPr>
        <w:numPr>
          <w:ilvl w:val="0"/>
          <w:numId w:val="4"/>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i/>
        </w:rPr>
      </w:pPr>
      <w:r w:rsidRPr="000C77FA">
        <w:rPr>
          <w:rFonts w:ascii="Palatino Linotype" w:eastAsia="Palatino Linotype" w:hAnsi="Palatino Linotype" w:cs="Palatino Linotype"/>
          <w:i/>
        </w:rPr>
        <w:t>¿Cuáles sanciones se consideran en el uso indebido de esos recursos?</w:t>
      </w:r>
    </w:p>
    <w:p w14:paraId="11BBA834" w14:textId="77777777" w:rsidR="00072693" w:rsidRPr="000C77FA" w:rsidRDefault="002C1F92" w:rsidP="000C77FA">
      <w:pPr>
        <w:numPr>
          <w:ilvl w:val="0"/>
          <w:numId w:val="4"/>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i/>
        </w:rPr>
      </w:pPr>
      <w:r w:rsidRPr="000C77FA">
        <w:rPr>
          <w:rFonts w:ascii="Palatino Linotype" w:eastAsia="Palatino Linotype" w:hAnsi="Palatino Linotype" w:cs="Palatino Linotype"/>
          <w:i/>
        </w:rPr>
        <w:t xml:space="preserve">¿Cuál fue el monto mensual asignado de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para cada unidad administrativa?</w:t>
      </w:r>
    </w:p>
    <w:p w14:paraId="673099B2" w14:textId="77777777" w:rsidR="00072693" w:rsidRPr="000C77FA" w:rsidRDefault="002C1F92" w:rsidP="000C77FA">
      <w:pPr>
        <w:numPr>
          <w:ilvl w:val="0"/>
          <w:numId w:val="4"/>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i/>
        </w:rPr>
      </w:pPr>
      <w:r w:rsidRPr="000C77FA">
        <w:rPr>
          <w:rFonts w:ascii="Palatino Linotype" w:eastAsia="Palatino Linotype" w:hAnsi="Palatino Linotype" w:cs="Palatino Linotype"/>
          <w:i/>
        </w:rPr>
        <w:t xml:space="preserve">¿Quién y cómo se determina que unidades administrativas tienen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en la Secretaría de Cultura y Turismo?</w:t>
      </w:r>
    </w:p>
    <w:p w14:paraId="4E853474" w14:textId="77777777" w:rsidR="00072693" w:rsidRPr="000C77FA" w:rsidRDefault="002C1F92" w:rsidP="000C77FA">
      <w:pPr>
        <w:numPr>
          <w:ilvl w:val="0"/>
          <w:numId w:val="4"/>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i/>
        </w:rPr>
      </w:pPr>
      <w:r w:rsidRPr="000C77FA">
        <w:rPr>
          <w:rFonts w:ascii="Palatino Linotype" w:eastAsia="Palatino Linotype" w:hAnsi="Palatino Linotype" w:cs="Palatino Linotype"/>
          <w:i/>
        </w:rPr>
        <w:t xml:space="preserve">¿Cómo se determinó el monto asignado para el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de cada unidad administrativa que lo tiene?</w:t>
      </w:r>
    </w:p>
    <w:p w14:paraId="673A2A78"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3D7C1FC0" w14:textId="1A304A01"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Caso contrario</w:t>
      </w:r>
      <w:r w:rsidR="0032559A" w:rsidRPr="000C77FA">
        <w:rPr>
          <w:rFonts w:ascii="Palatino Linotype" w:eastAsia="Palatino Linotype" w:hAnsi="Palatino Linotype" w:cs="Palatino Linotype"/>
        </w:rPr>
        <w:t>, en</w:t>
      </w:r>
      <w:r w:rsidRPr="000C77FA">
        <w:rPr>
          <w:rFonts w:ascii="Palatino Linotype" w:eastAsia="Palatino Linotype" w:hAnsi="Palatino Linotype" w:cs="Palatino Linotype"/>
        </w:rPr>
        <w:t xml:space="preserve"> los cuestionamientos:</w:t>
      </w:r>
    </w:p>
    <w:p w14:paraId="5DDAE0A4" w14:textId="77777777" w:rsidR="00072693" w:rsidRPr="000C77FA" w:rsidRDefault="002C1F92" w:rsidP="000C77FA">
      <w:pPr>
        <w:numPr>
          <w:ilvl w:val="0"/>
          <w:numId w:val="7"/>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bookmarkStart w:id="11" w:name="_Hlk162887547"/>
      <w:r w:rsidRPr="000C77FA">
        <w:rPr>
          <w:rFonts w:ascii="Palatino Linotype" w:eastAsia="Palatino Linotype" w:hAnsi="Palatino Linotype" w:cs="Palatino Linotype"/>
        </w:rPr>
        <w:t xml:space="preserve">¿Cuál es la normatividad aplicable para el ejercicio del fondo </w:t>
      </w:r>
      <w:proofErr w:type="spellStart"/>
      <w:r w:rsidRPr="000C77FA">
        <w:rPr>
          <w:rFonts w:ascii="Palatino Linotype" w:eastAsia="Palatino Linotype" w:hAnsi="Palatino Linotype" w:cs="Palatino Linotype"/>
        </w:rPr>
        <w:t>revolvente</w:t>
      </w:r>
      <w:proofErr w:type="spellEnd"/>
      <w:r w:rsidRPr="000C77FA">
        <w:rPr>
          <w:rFonts w:ascii="Palatino Linotype" w:eastAsia="Palatino Linotype" w:hAnsi="Palatino Linotype" w:cs="Palatino Linotype"/>
        </w:rPr>
        <w:t>?</w:t>
      </w:r>
    </w:p>
    <w:p w14:paraId="30E8CFE4" w14:textId="77777777" w:rsidR="00072693" w:rsidRPr="000C77FA" w:rsidRDefault="002C1F92" w:rsidP="000C77FA">
      <w:pPr>
        <w:numPr>
          <w:ilvl w:val="0"/>
          <w:numId w:val="7"/>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¿Cuántas y cuáles unidades administrativas de la Secretaría de Cultura y Turismo contaron con fondo </w:t>
      </w:r>
      <w:proofErr w:type="spellStart"/>
      <w:r w:rsidRPr="000C77FA">
        <w:rPr>
          <w:rFonts w:ascii="Palatino Linotype" w:eastAsia="Palatino Linotype" w:hAnsi="Palatino Linotype" w:cs="Palatino Linotype"/>
        </w:rPr>
        <w:t>revolvente</w:t>
      </w:r>
      <w:proofErr w:type="spellEnd"/>
      <w:r w:rsidRPr="000C77FA">
        <w:rPr>
          <w:rFonts w:ascii="Palatino Linotype" w:eastAsia="Palatino Linotype" w:hAnsi="Palatino Linotype" w:cs="Palatino Linotype"/>
        </w:rPr>
        <w:t>?</w:t>
      </w:r>
    </w:p>
    <w:p w14:paraId="6E7C2F46" w14:textId="77777777" w:rsidR="00072693" w:rsidRPr="000C77FA" w:rsidRDefault="002C1F92" w:rsidP="000C77FA">
      <w:pPr>
        <w:numPr>
          <w:ilvl w:val="0"/>
          <w:numId w:val="7"/>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¿En qué ordenamiento jurídico establece la forma de asignación de los montos?</w:t>
      </w:r>
    </w:p>
    <w:p w14:paraId="2D2E7B47" w14:textId="77777777" w:rsidR="00072693" w:rsidRPr="000C77FA" w:rsidRDefault="002C1F92" w:rsidP="000C77FA">
      <w:pPr>
        <w:numPr>
          <w:ilvl w:val="0"/>
          <w:numId w:val="7"/>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caso de no existir normatividad al respecto de la forma de asignación los montos, qué servidor los autoriza? </w:t>
      </w:r>
    </w:p>
    <w:p w14:paraId="6B3C2D87" w14:textId="77777777" w:rsidR="00072693" w:rsidRPr="000C77FA" w:rsidRDefault="002C1F92" w:rsidP="000C77FA">
      <w:pPr>
        <w:numPr>
          <w:ilvl w:val="0"/>
          <w:numId w:val="7"/>
        </w:numPr>
        <w:pBdr>
          <w:top w:val="nil"/>
          <w:left w:val="nil"/>
          <w:bottom w:val="nil"/>
          <w:right w:val="nil"/>
          <w:between w:val="nil"/>
        </w:pBd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¿Por qué las unidades administrativas que no lo tienen carecen de fondo </w:t>
      </w:r>
      <w:proofErr w:type="spellStart"/>
      <w:r w:rsidRPr="000C77FA">
        <w:rPr>
          <w:rFonts w:ascii="Palatino Linotype" w:eastAsia="Palatino Linotype" w:hAnsi="Palatino Linotype" w:cs="Palatino Linotype"/>
        </w:rPr>
        <w:t>revolvente</w:t>
      </w:r>
      <w:proofErr w:type="spellEnd"/>
      <w:r w:rsidRPr="000C77FA">
        <w:rPr>
          <w:rFonts w:ascii="Palatino Linotype" w:eastAsia="Palatino Linotype" w:hAnsi="Palatino Linotype" w:cs="Palatino Linotype"/>
        </w:rPr>
        <w:t>?</w:t>
      </w:r>
    </w:p>
    <w:bookmarkEnd w:id="11"/>
    <w:p w14:paraId="7EAB92F8" w14:textId="77777777"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Pues en estos últimos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se encuentra colmando lo solicitado.</w:t>
      </w:r>
    </w:p>
    <w:p w14:paraId="173228E9"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7A582D03" w14:textId="77777777"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respecto de </w:t>
      </w:r>
      <w:r w:rsidRPr="000C77FA">
        <w:rPr>
          <w:rFonts w:ascii="Palatino Linotype" w:eastAsia="Palatino Linotype" w:hAnsi="Palatino Linotype" w:cs="Palatino Linotype"/>
          <w:i/>
        </w:rPr>
        <w:t>¿Cuáles sanciones se consideran en el uso indebido de esos recursos?</w:t>
      </w:r>
      <w:r w:rsidRPr="000C77FA">
        <w:rPr>
          <w:rFonts w:ascii="Palatino Linotype" w:eastAsia="Palatino Linotype" w:hAnsi="Palatino Linotype" w:cs="Palatino Linotype"/>
        </w:rPr>
        <w:t xml:space="preserve"> Al corresponder al Órgano de Control Interno, como refiere en su respuesta, debió turnar la solicitud a dicha área para que se pronunciará al respecto, ello, pues en términos del Manual General de Organización de la Secretaría de Cultura y Turismo, se observa que dicha área cuenta con las siguientes funciones:</w:t>
      </w:r>
    </w:p>
    <w:p w14:paraId="23C3B90A" w14:textId="77777777" w:rsidR="00072693" w:rsidRPr="000C77FA" w:rsidRDefault="00072693" w:rsidP="000C77FA">
      <w:pPr>
        <w:ind w:left="851" w:right="616"/>
        <w:jc w:val="both"/>
        <w:rPr>
          <w:rFonts w:ascii="Palatino Linotype" w:eastAsia="Palatino Linotype" w:hAnsi="Palatino Linotype" w:cs="Palatino Linotype"/>
          <w:i/>
          <w:sz w:val="22"/>
          <w:szCs w:val="22"/>
        </w:rPr>
      </w:pPr>
    </w:p>
    <w:p w14:paraId="269E6C4E"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22600002000000S ÓRGANO INTERNO DE CONTROL </w:t>
      </w:r>
    </w:p>
    <w:p w14:paraId="26ADC49A"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OBJETIVO: Promover, evaluar y fortalecer el funcionamiento del sistema de control interno institucional de la Secretaría de Cultura y Turismo, así como prevenir, detectar, disuadir, controlar y sancionar actos de corrupción en los términos establecidos por el Sistema Anticorrupción del Estado de México y Municipios, mediante la ejecución de auditorías y acciones de control y evaluación; el desahogo del procedimiento de investigación, derivado de las denuncias de su competencia, y el desarrollo del procedimiento de responsabilidad administrativa. </w:t>
      </w:r>
    </w:p>
    <w:p w14:paraId="735C20BC"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FUNCIONES: </w:t>
      </w:r>
    </w:p>
    <w:p w14:paraId="3060AF81"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Supervisar la revisión de ingreso, egreso, manejo, custodia y aplicación de recursos públicos de la Secretaría, según corresponda al ámbito de su competencia. </w:t>
      </w:r>
    </w:p>
    <w:p w14:paraId="0839AE3A"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Integrar y coordinar con las áreas de Auditoría, Quejas y Responsabilidades el Programa Anual de Trabajo, a fin de informar periódicamente a la Secretaría de la Contraloría los avances y resultados.</w:t>
      </w:r>
    </w:p>
    <w:p w14:paraId="27DD89B0"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 Instruir al Área de Auditoría la realización de evaluaciones, auditorías, supervisiones y revisiones a las unidades administrativas de la Secretaría, conforme al Programa Anual de Trabajo autorizado para la revisión y fiscalización de las operaciones financieras, administrativas y técnicas realizadas. </w:t>
      </w:r>
    </w:p>
    <w:p w14:paraId="78F7FBA0"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Establecer los mecanismos para la evaluación de los programas de la Secretaría, con el fin de verificar su cumplimiento en términos de la normatividad vigente. </w:t>
      </w:r>
    </w:p>
    <w:p w14:paraId="5C7D2F65"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Dirigir la evaluación al desempeño de las áreas administrativas de la Secretaría y recomendar las acciones de mejora, derivadas de las funciones de control y evaluación, con el propósito de que se realicen las adecuaciones y correcciones que resulten procedentes. </w:t>
      </w:r>
    </w:p>
    <w:p w14:paraId="499022B6"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Dar seguimiento a las observaciones y los hallazgos derivados de las auditorías y acciones de control y evaluación que practiquen las unidades administrativas de la </w:t>
      </w:r>
      <w:r w:rsidRPr="000C77FA">
        <w:rPr>
          <w:rFonts w:ascii="Palatino Linotype" w:eastAsia="Palatino Linotype" w:hAnsi="Palatino Linotype" w:cs="Palatino Linotype"/>
          <w:i/>
          <w:sz w:val="22"/>
          <w:szCs w:val="22"/>
        </w:rPr>
        <w:lastRenderedPageBreak/>
        <w:t xml:space="preserve">Secretaría de la Contraloría, así como los formulados por auditoras y auditores externos y, en su caso, por instancias externas de fiscalización, para su cumplimiento y </w:t>
      </w:r>
      <w:proofErr w:type="spellStart"/>
      <w:r w:rsidRPr="000C77FA">
        <w:rPr>
          <w:rFonts w:ascii="Palatino Linotype" w:eastAsia="Palatino Linotype" w:hAnsi="Palatino Linotype" w:cs="Palatino Linotype"/>
          <w:i/>
          <w:sz w:val="22"/>
          <w:szCs w:val="22"/>
        </w:rPr>
        <w:t>solventación</w:t>
      </w:r>
      <w:proofErr w:type="spellEnd"/>
      <w:r w:rsidRPr="000C77FA">
        <w:rPr>
          <w:rFonts w:ascii="Palatino Linotype" w:eastAsia="Palatino Linotype" w:hAnsi="Palatino Linotype" w:cs="Palatino Linotype"/>
          <w:i/>
          <w:sz w:val="22"/>
          <w:szCs w:val="22"/>
        </w:rPr>
        <w:t xml:space="preserve">. Substanciar y resolver incidentes que no tengan señalada una tramitación especial para su cumplimiento. </w:t>
      </w:r>
    </w:p>
    <w:p w14:paraId="399084F9"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Instruir la implementación de las acciones de control que resulten procedentes para establecer el criterio que, en situaciones específicas, deberán observar las servidoras públicas y los servidores públicos de la Secretaría, en el desempeño de su empleo, cargo o comisión. </w:t>
      </w:r>
    </w:p>
    <w:p w14:paraId="784A0AA9"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Revisar conjuntamente con sus áreas que acciones, informes contables y estados financieros estén basados en los registros contables que lleven las unidades administrativas de la Secretaría. </w:t>
      </w:r>
    </w:p>
    <w:p w14:paraId="4B87FD2A"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Instruir al Área de Auditoría la supervisión permanente del ejercicio del presupuesto de egresos de la Secretaría, con el objeto de verificar su correcta operatividad. </w:t>
      </w:r>
    </w:p>
    <w:p w14:paraId="3B081331"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Revisar conjuntamente con sus áreas que las adquisiciones de bienes y prestación de servicios se ajusten a los procedimientos normativos y a los montos establecidos, con el objeto de verificar su correcta ejecución. </w:t>
      </w:r>
    </w:p>
    <w:p w14:paraId="3FD51DF6"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Coordinar el cumplimiento de la presentación en tiempo y forma de la Declaración de Situación Patrimonial y de Intereses por parte del personal de la Secretaría, con el objeto de evitar posibles </w:t>
      </w:r>
      <w:r w:rsidRPr="000C77FA">
        <w:rPr>
          <w:rFonts w:ascii="Palatino Linotype" w:eastAsia="Palatino Linotype" w:hAnsi="Palatino Linotype" w:cs="Palatino Linotype"/>
          <w:b/>
          <w:i/>
          <w:sz w:val="22"/>
          <w:szCs w:val="22"/>
        </w:rPr>
        <w:t>sanciones</w:t>
      </w:r>
      <w:r w:rsidRPr="000C77FA">
        <w:rPr>
          <w:rFonts w:ascii="Palatino Linotype" w:eastAsia="Palatino Linotype" w:hAnsi="Palatino Linotype" w:cs="Palatino Linotype"/>
          <w:i/>
          <w:sz w:val="22"/>
          <w:szCs w:val="22"/>
        </w:rPr>
        <w:t>.</w:t>
      </w:r>
    </w:p>
    <w:p w14:paraId="6DEB3411"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Verificar el cumplimiento de las recomendaciones que haga el Comité Coordinador del Sistema Estatal Anticorrupción a las unidades administrativas de la Secretaría, con el objeto de adoptar las medidas necesarias para el fortalecimiento institucional y prevenir faltas administrativas y hechos de corrupción. − Facultar al personal del Órgano Interno de Control para testificar los actos de entrega y recepción, a fin de verificar su correcto cumplimiento. − Coordinar la investigación, substanciación y calificación de las faltas administrativas, así como emitir las resoluciones en caso de faltas administrativas no graves, con el objeto de determinar lo que en derecho resulte procedente. − Instruir al Área de Quejas la investigación y elaboración del informe de la presunta responsabilidad de faltas administrativas de oficio, por denuncia o derivado de las auditorías practicadas, a fin de determinar lo que en derecho resulte procedente. </w:t>
      </w:r>
    </w:p>
    <w:p w14:paraId="733957E0"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Ordenar la remisión del Informe de Presunta Responsabilidad Administrativa, en caso de faltas administrativas graves, a la autoridad correspondiente, con el objeto de dar cumplimiento a la normatividad aplicable. </w:t>
      </w:r>
    </w:p>
    <w:p w14:paraId="79ED1532"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Instruir al Área de Responsabilidades la substanciación de los procedimientos de responsabilidad administrativa y resolver en caso de faltas no graves, con el objeto de dar cumplimiento a la normatividad aplicable. </w:t>
      </w:r>
    </w:p>
    <w:p w14:paraId="175323DD"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lastRenderedPageBreak/>
        <w:t xml:space="preserve">− Ordenar por oficio el cierre de instrucción y citar a las partes para oír la resolución que conforme a derecho resulte procedente. </w:t>
      </w:r>
    </w:p>
    <w:p w14:paraId="6B93A322"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Certificar los actos y resoluciones emitidos por el propio Órgano Interno de Control, cuando así se requiera, para su validez. </w:t>
      </w:r>
    </w:p>
    <w:p w14:paraId="19E644FE"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Instruir la imposición y ejecución de </w:t>
      </w:r>
      <w:r w:rsidRPr="000C77FA">
        <w:rPr>
          <w:rFonts w:ascii="Palatino Linotype" w:eastAsia="Palatino Linotype" w:hAnsi="Palatino Linotype" w:cs="Palatino Linotype"/>
          <w:b/>
          <w:i/>
          <w:sz w:val="22"/>
          <w:szCs w:val="22"/>
        </w:rPr>
        <w:t>sanciones</w:t>
      </w:r>
      <w:r w:rsidRPr="000C77FA">
        <w:rPr>
          <w:rFonts w:ascii="Palatino Linotype" w:eastAsia="Palatino Linotype" w:hAnsi="Palatino Linotype" w:cs="Palatino Linotype"/>
          <w:i/>
          <w:sz w:val="22"/>
          <w:szCs w:val="22"/>
        </w:rPr>
        <w:t xml:space="preserve"> administrativas por faltas administrativas no graves de conformidad con la normatividad vigente, para su cumplimiento. </w:t>
      </w:r>
    </w:p>
    <w:p w14:paraId="31F17EA5"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Realizar la defensa jurídica de las resoluciones que emite el Órgano Interno de Control de las diversas instancias jurisdiccionales, así como los informes previos y justificados, y desahogo de vista, con el objeto de dar cumplimiento a los requerimientos de estas. </w:t>
      </w:r>
    </w:p>
    <w:p w14:paraId="18944687"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Dirigir el seguimiento a las sentencias emitidas por los Tribunales Jurisdiccionales, a fin de observar su cumplimiento o, en su caso, presentar los medios de impugnación procedentes. </w:t>
      </w:r>
    </w:p>
    <w:p w14:paraId="0B626092"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Implementar mecanismos de control interno que resulten procedentes para prevenir actos u omisiones que pudieran constituir responsabilidades administrativas. </w:t>
      </w:r>
    </w:p>
    <w:p w14:paraId="581F6501"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Ordenar la ejecución y, en su caso, la verificación de que se hagan efectivas las </w:t>
      </w:r>
      <w:r w:rsidRPr="000C77FA">
        <w:rPr>
          <w:rFonts w:ascii="Palatino Linotype" w:eastAsia="Palatino Linotype" w:hAnsi="Palatino Linotype" w:cs="Palatino Linotype"/>
          <w:b/>
          <w:i/>
          <w:sz w:val="22"/>
          <w:szCs w:val="22"/>
        </w:rPr>
        <w:t>sanciones</w:t>
      </w:r>
      <w:r w:rsidRPr="000C77FA">
        <w:rPr>
          <w:rFonts w:ascii="Palatino Linotype" w:eastAsia="Palatino Linotype" w:hAnsi="Palatino Linotype" w:cs="Palatino Linotype"/>
          <w:i/>
          <w:sz w:val="22"/>
          <w:szCs w:val="22"/>
        </w:rPr>
        <w:t xml:space="preserve"> administrativas impuestas a las personas servidoras públicas, en términos de las leyes respectivas para su cumplimiento. </w:t>
      </w:r>
    </w:p>
    <w:p w14:paraId="4772B865"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Presentar las denuncias por hechos que las leyes señalen como delitos ante la autoridad estatal o federal competente, a efecto de que éstas determinen lo procedente. − Instruir la realización de registro, seguimiento, atención y conclusión de la información concerniente a las plataformas digitales de los sistemas operados por la Secretaría de la Contraloría para mantener un control de los mismos. </w:t>
      </w:r>
    </w:p>
    <w:p w14:paraId="1718DD26"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Coordinar la atención de las solicitudes de información pública que le sean turnadas por el área encargada de transparencia de la Secretaría a las personas servidoras públicas habilitadas, adscritas al Órgano Interno de Control. </w:t>
      </w:r>
    </w:p>
    <w:p w14:paraId="2FE8C835"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Desarrollar las demás funciones inherentes al área de su competencia.</w:t>
      </w:r>
    </w:p>
    <w:p w14:paraId="10556516" w14:textId="77777777" w:rsidR="00072693" w:rsidRPr="000C77FA" w:rsidRDefault="00072693" w:rsidP="000C77FA">
      <w:pPr>
        <w:spacing w:line="360" w:lineRule="auto"/>
        <w:jc w:val="both"/>
        <w:rPr>
          <w:rFonts w:ascii="Palatino Linotype" w:eastAsia="Palatino Linotype" w:hAnsi="Palatino Linotype" w:cs="Palatino Linotype"/>
        </w:rPr>
      </w:pPr>
    </w:p>
    <w:p w14:paraId="3713A993"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ese sentido se advierte que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no siguió el procedimiento establecido por el artículo 162 de la Ley de Transparencia y Acceso a la Información Pública del Estado de México y Municipios, ya que, no se puede perder de vista que para otorgar respuesta a la solicitud inicial,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debió turnar la solicitud a las áreas en las que podría obrar la información de conformidad con la </w:t>
      </w:r>
      <w:r w:rsidRPr="000C77FA">
        <w:rPr>
          <w:rFonts w:ascii="Palatino Linotype" w:eastAsia="Palatino Linotype" w:hAnsi="Palatino Linotype" w:cs="Palatino Linotype"/>
        </w:rPr>
        <w:lastRenderedPageBreak/>
        <w:t xml:space="preserve">fracción XXXIX del artículo tercero de la legislación local vigente en materia de transparencia, el Servidor Público Habilitado es el competente para apoyar, gestionar y entregar la información: </w:t>
      </w:r>
    </w:p>
    <w:p w14:paraId="085D492B" w14:textId="77777777" w:rsidR="00072693" w:rsidRPr="000C77FA" w:rsidRDefault="00072693" w:rsidP="000C77FA">
      <w:pPr>
        <w:spacing w:line="360" w:lineRule="auto"/>
        <w:jc w:val="both"/>
        <w:rPr>
          <w:rFonts w:ascii="Palatino Linotype" w:eastAsia="Palatino Linotype" w:hAnsi="Palatino Linotype" w:cs="Palatino Linotype"/>
        </w:rPr>
      </w:pPr>
    </w:p>
    <w:p w14:paraId="7DCCA526" w14:textId="77777777" w:rsidR="00072693" w:rsidRPr="000C77FA" w:rsidRDefault="002C1F92" w:rsidP="000C77FA">
      <w:pPr>
        <w:spacing w:line="259" w:lineRule="auto"/>
        <w:ind w:left="709"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2EE89B4A" w14:textId="77777777" w:rsidR="00072693" w:rsidRPr="000C77FA" w:rsidRDefault="00072693" w:rsidP="000C77FA">
      <w:pPr>
        <w:spacing w:line="259" w:lineRule="auto"/>
        <w:ind w:left="709" w:right="902"/>
        <w:jc w:val="both"/>
        <w:rPr>
          <w:rFonts w:ascii="Palatino Linotype" w:eastAsia="Palatino Linotype" w:hAnsi="Palatino Linotype" w:cs="Palatino Linotype"/>
          <w:i/>
        </w:rPr>
      </w:pPr>
    </w:p>
    <w:p w14:paraId="2C9A42B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En este orden de ideas, se advierte que efectivamente la Unidad de Transparencia no cumplió con lo expresado en el artículo 162 de la Ley de Transparencia y Acceso a la Información Pública del Estado de México y Municipios, el cual menciona lo siguiente:</w:t>
      </w:r>
    </w:p>
    <w:p w14:paraId="34FE68B5" w14:textId="77777777" w:rsidR="00072693" w:rsidRPr="000C77FA" w:rsidRDefault="002C1F92" w:rsidP="000C77FA">
      <w:pPr>
        <w:ind w:left="993" w:right="104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162.</w:t>
      </w:r>
      <w:r w:rsidRPr="000C77FA">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1F03B5C2" w14:textId="77777777" w:rsidR="00072693" w:rsidRPr="000C77FA" w:rsidRDefault="00072693" w:rsidP="000C77FA">
      <w:pPr>
        <w:spacing w:line="360" w:lineRule="auto"/>
        <w:jc w:val="both"/>
        <w:rPr>
          <w:rFonts w:ascii="Palatino Linotype" w:eastAsia="Palatino Linotype" w:hAnsi="Palatino Linotype" w:cs="Palatino Linotype"/>
        </w:rPr>
      </w:pPr>
    </w:p>
    <w:p w14:paraId="6C608A52" w14:textId="77777777" w:rsidR="00072693" w:rsidRPr="000C77FA" w:rsidRDefault="002C1F92" w:rsidP="000C77FA">
      <w:pPr>
        <w:spacing w:line="360" w:lineRule="auto"/>
        <w:jc w:val="both"/>
        <w:rPr>
          <w:rFonts w:ascii="Calibri" w:eastAsia="Calibri" w:hAnsi="Calibri" w:cs="Calibri"/>
        </w:rPr>
      </w:pPr>
      <w:r w:rsidRPr="000C77FA">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0C77FA">
        <w:rPr>
          <w:rFonts w:ascii="Palatino Linotype" w:eastAsia="Palatino Linotype" w:hAnsi="Palatino Linotype" w:cs="Palatino Linotype"/>
          <w:vertAlign w:val="superscript"/>
        </w:rPr>
        <w:footnoteReference w:id="13"/>
      </w:r>
      <w:r w:rsidRPr="000C77FA">
        <w:rPr>
          <w:rFonts w:ascii="Palatino Linotype" w:eastAsia="Palatino Linotype" w:hAnsi="Palatino Linotype" w:cs="Palatino Linotype"/>
        </w:rPr>
        <w:t xml:space="preserve">, para ello la misma norma establece que los sujetos obligados deberán otorgar el acceso a </w:t>
      </w:r>
      <w:r w:rsidRPr="000C77FA">
        <w:rPr>
          <w:rFonts w:ascii="Palatino Linotype" w:eastAsia="Palatino Linotype" w:hAnsi="Palatino Linotype" w:cs="Palatino Linotype"/>
        </w:rPr>
        <w:lastRenderedPageBreak/>
        <w:t>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4EA76A7E" w14:textId="77777777" w:rsidR="00072693" w:rsidRPr="000C77FA" w:rsidRDefault="00072693" w:rsidP="000C77FA">
      <w:pPr>
        <w:spacing w:line="259" w:lineRule="auto"/>
        <w:ind w:left="851" w:right="616"/>
        <w:jc w:val="both"/>
        <w:rPr>
          <w:rFonts w:ascii="Palatino Linotype" w:eastAsia="Palatino Linotype" w:hAnsi="Palatino Linotype" w:cs="Palatino Linotype"/>
          <w:b/>
          <w:i/>
          <w:sz w:val="22"/>
          <w:szCs w:val="22"/>
        </w:rPr>
      </w:pPr>
    </w:p>
    <w:p w14:paraId="07AD439C"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b/>
          <w:i/>
          <w:sz w:val="22"/>
          <w:szCs w:val="22"/>
        </w:rPr>
        <w:t>“Artículo 160. </w:t>
      </w:r>
      <w:r w:rsidRPr="000C77FA">
        <w:rPr>
          <w:rFonts w:ascii="Palatino Linotype" w:eastAsia="Palatino Linotype" w:hAnsi="Palatino Linotype" w:cs="Palatino Linotype"/>
          <w:i/>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D07775D"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427AED66"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b/>
          <w:i/>
          <w:sz w:val="22"/>
          <w:szCs w:val="22"/>
        </w:rPr>
        <w:t>Artículo 163.</w:t>
      </w:r>
      <w:r w:rsidRPr="000C77FA">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00F227E4"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64F11464"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b/>
          <w:i/>
          <w:sz w:val="22"/>
          <w:szCs w:val="22"/>
        </w:rPr>
        <w:t>Artículo 165.</w:t>
      </w:r>
      <w:r w:rsidRPr="000C77FA">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0FA833DF"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42DAB466" w14:textId="77777777" w:rsidR="00072693" w:rsidRPr="000C77FA" w:rsidRDefault="002C1F92" w:rsidP="000C77FA">
      <w:pPr>
        <w:ind w:left="851" w:right="616"/>
        <w:jc w:val="both"/>
        <w:rPr>
          <w:rFonts w:ascii="Calibri" w:eastAsia="Calibri" w:hAnsi="Calibri" w:cs="Calibri"/>
          <w:sz w:val="22"/>
          <w:szCs w:val="22"/>
        </w:rPr>
      </w:pPr>
      <w:r w:rsidRPr="000C77FA">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5B478458" w14:textId="77777777" w:rsidR="00072693" w:rsidRPr="000C77FA" w:rsidRDefault="00072693" w:rsidP="000C77FA">
      <w:pPr>
        <w:spacing w:line="360" w:lineRule="auto"/>
        <w:jc w:val="both"/>
        <w:rPr>
          <w:rFonts w:ascii="Palatino Linotype" w:eastAsia="Palatino Linotype" w:hAnsi="Palatino Linotype" w:cs="Palatino Linotype"/>
        </w:rPr>
      </w:pPr>
    </w:p>
    <w:p w14:paraId="2C7FBB46" w14:textId="02F97AFC" w:rsidR="00CD0658"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0C77FA">
        <w:rPr>
          <w:rFonts w:ascii="Palatino Linotype" w:eastAsia="Palatino Linotype" w:hAnsi="Palatino Linotype" w:cs="Palatino Linotype"/>
          <w:vertAlign w:val="superscript"/>
        </w:rPr>
        <w:footnoteReference w:id="14"/>
      </w:r>
      <w:r w:rsidRPr="000C77FA">
        <w:rPr>
          <w:rFonts w:ascii="Palatino Linotype" w:eastAsia="Palatino Linotype" w:hAnsi="Palatino Linotype" w:cs="Palatino Linotype"/>
        </w:rPr>
        <w:t xml:space="preserve">, situación que no se advierte en el presente caso, toda vez que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a través de su Unidad de Transparencia no ha brindado el acceso a la información solicitada por el particular de manera completa, por ende para tener por satisfecho el derecho humano en mérito, será necesario que la Unidad de Transparencia en estricto apego al procedimiento descrito </w:t>
      </w:r>
      <w:bookmarkStart w:id="12" w:name="_Hlk161175775"/>
      <w:r w:rsidRPr="000C77FA">
        <w:rPr>
          <w:rFonts w:ascii="Palatino Linotype" w:eastAsia="Palatino Linotype" w:hAnsi="Palatino Linotype" w:cs="Palatino Linotype"/>
        </w:rPr>
        <w:t xml:space="preserve">realice una búsqueda exhaustiva y razonable de la información, </w:t>
      </w:r>
      <w:r w:rsidRPr="000C77FA">
        <w:rPr>
          <w:rFonts w:ascii="Palatino Linotype" w:eastAsia="Palatino Linotype" w:hAnsi="Palatino Linotype" w:cs="Palatino Linotype"/>
          <w:b/>
          <w:bCs/>
        </w:rPr>
        <w:t xml:space="preserve">turnando en este caso al Órgano de Control Interno la solicitud </w:t>
      </w:r>
      <w:r w:rsidRPr="000C77FA">
        <w:rPr>
          <w:rFonts w:ascii="Palatino Linotype" w:eastAsia="Palatino Linotype" w:hAnsi="Palatino Linotype" w:cs="Palatino Linotype"/>
        </w:rPr>
        <w:t>con el objetivo de brindar contestación al requerimiento</w:t>
      </w:r>
      <w:r w:rsidR="00186FDD" w:rsidRPr="000C77FA">
        <w:rPr>
          <w:rFonts w:ascii="Palatino Linotype" w:eastAsia="Palatino Linotype" w:hAnsi="Palatino Linotype" w:cs="Palatino Linotype"/>
        </w:rPr>
        <w:t xml:space="preserve"> de las </w:t>
      </w:r>
      <w:r w:rsidR="00186FDD" w:rsidRPr="000C77FA">
        <w:rPr>
          <w:rFonts w:ascii="Palatino Linotype" w:eastAsia="Palatino Linotype" w:hAnsi="Palatino Linotype" w:cs="Palatino Linotype"/>
          <w:i/>
          <w:iCs/>
        </w:rPr>
        <w:t xml:space="preserve">sanciones por el uso indebido de los recursos destinados al fondo </w:t>
      </w:r>
      <w:proofErr w:type="spellStart"/>
      <w:r w:rsidR="00186FDD" w:rsidRPr="000C77FA">
        <w:rPr>
          <w:rFonts w:ascii="Palatino Linotype" w:eastAsia="Palatino Linotype" w:hAnsi="Palatino Linotype" w:cs="Palatino Linotype"/>
          <w:i/>
          <w:iCs/>
        </w:rPr>
        <w:t>revolvente</w:t>
      </w:r>
      <w:bookmarkEnd w:id="12"/>
      <w:proofErr w:type="spellEnd"/>
      <w:r w:rsidR="00CD0658" w:rsidRPr="000C77FA">
        <w:rPr>
          <w:rFonts w:ascii="Palatino Linotype" w:eastAsia="Palatino Linotype" w:hAnsi="Palatino Linotype" w:cs="Palatino Linotype"/>
        </w:rPr>
        <w:t xml:space="preserve">, haga entrega a </w:t>
      </w:r>
      <w:r w:rsidR="00CD0658" w:rsidRPr="000C77FA">
        <w:rPr>
          <w:rFonts w:ascii="Palatino Linotype" w:eastAsia="Palatino Linotype" w:hAnsi="Palatino Linotype" w:cs="Palatino Linotype"/>
          <w:b/>
        </w:rPr>
        <w:t>EL RECURRENTE</w:t>
      </w:r>
      <w:r w:rsidR="00CD0658" w:rsidRPr="000C77FA">
        <w:rPr>
          <w:rFonts w:ascii="Palatino Linotype" w:eastAsia="Palatino Linotype" w:hAnsi="Palatino Linotype" w:cs="Palatino Linotype"/>
        </w:rPr>
        <w:t>, a través del SAIMEX de ser procedente en versión pública del documento o documentos en donde conste lo siguiente:</w:t>
      </w:r>
    </w:p>
    <w:p w14:paraId="28ACDB15" w14:textId="77777777" w:rsidR="00CD0658" w:rsidRPr="000C77FA" w:rsidRDefault="00CD0658" w:rsidP="000C77FA">
      <w:pPr>
        <w:pStyle w:val="Prrafodelista"/>
        <w:numPr>
          <w:ilvl w:val="1"/>
          <w:numId w:val="1"/>
        </w:numPr>
        <w:pBdr>
          <w:top w:val="nil"/>
          <w:left w:val="nil"/>
          <w:bottom w:val="nil"/>
          <w:right w:val="nil"/>
          <w:between w:val="nil"/>
        </w:pBdr>
        <w:ind w:left="567" w:right="616"/>
        <w:jc w:val="both"/>
        <w:rPr>
          <w:rFonts w:ascii="Palatino Linotype" w:eastAsia="Palatino Linotype" w:hAnsi="Palatino Linotype" w:cs="Palatino Linotype"/>
          <w:i/>
        </w:rPr>
      </w:pPr>
      <w:r w:rsidRPr="000C77FA">
        <w:rPr>
          <w:rFonts w:ascii="Palatino Linotype" w:eastAsia="Palatino Linotype" w:hAnsi="Palatino Linotype" w:cs="Palatino Linotype"/>
          <w:i/>
        </w:rPr>
        <w:t xml:space="preserve">Las sanciones por el uso indebido de los recursos destinados al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vigentes al dieciocho de noviembre de dos mil veintidós.</w:t>
      </w:r>
    </w:p>
    <w:p w14:paraId="48157764" w14:textId="77777777" w:rsidR="00072693" w:rsidRPr="000C77FA" w:rsidRDefault="00072693" w:rsidP="000C77FA">
      <w:pPr>
        <w:spacing w:line="360" w:lineRule="auto"/>
        <w:jc w:val="both"/>
        <w:rPr>
          <w:rFonts w:ascii="Calibri" w:eastAsia="Calibri" w:hAnsi="Calibri" w:cs="Calibri"/>
        </w:rPr>
      </w:pPr>
    </w:p>
    <w:p w14:paraId="7A921F2D"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Ahora bien, por cuanto hace a:</w:t>
      </w:r>
    </w:p>
    <w:p w14:paraId="52C2F81C" w14:textId="77777777" w:rsidR="00072693" w:rsidRPr="000C77FA" w:rsidRDefault="002C1F92" w:rsidP="000C77FA">
      <w:pPr>
        <w:numPr>
          <w:ilvl w:val="0"/>
          <w:numId w:val="4"/>
        </w:numPr>
        <w:tabs>
          <w:tab w:val="left" w:pos="7938"/>
        </w:tabs>
        <w:jc w:val="both"/>
        <w:rPr>
          <w:rFonts w:ascii="Palatino Linotype" w:eastAsia="Palatino Linotype" w:hAnsi="Palatino Linotype" w:cs="Palatino Linotype"/>
          <w:i/>
        </w:rPr>
      </w:pPr>
      <w:bookmarkStart w:id="13" w:name="_Hlk161175736"/>
      <w:r w:rsidRPr="000C77FA">
        <w:rPr>
          <w:rFonts w:ascii="Palatino Linotype" w:eastAsia="Palatino Linotype" w:hAnsi="Palatino Linotype" w:cs="Palatino Linotype"/>
          <w:i/>
        </w:rPr>
        <w:t xml:space="preserve">¿Cuál fue el monto mensual asignado de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para cada unidad administrativa?</w:t>
      </w:r>
    </w:p>
    <w:p w14:paraId="1CB52044" w14:textId="77777777" w:rsidR="00072693" w:rsidRPr="000C77FA" w:rsidRDefault="002C1F92" w:rsidP="000C77FA">
      <w:pPr>
        <w:numPr>
          <w:ilvl w:val="0"/>
          <w:numId w:val="4"/>
        </w:numPr>
        <w:tabs>
          <w:tab w:val="left" w:pos="7938"/>
        </w:tabs>
        <w:jc w:val="both"/>
        <w:rPr>
          <w:rFonts w:ascii="Palatino Linotype" w:eastAsia="Palatino Linotype" w:hAnsi="Palatino Linotype" w:cs="Palatino Linotype"/>
          <w:i/>
        </w:rPr>
      </w:pPr>
      <w:r w:rsidRPr="000C77FA">
        <w:rPr>
          <w:rFonts w:ascii="Palatino Linotype" w:eastAsia="Palatino Linotype" w:hAnsi="Palatino Linotype" w:cs="Palatino Linotype"/>
          <w:i/>
        </w:rPr>
        <w:t xml:space="preserve">¿Quién y cómo se determina que unidades administrativas tienen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en la Secretaría de Cultura y Turismo?</w:t>
      </w:r>
    </w:p>
    <w:p w14:paraId="6BA39F3A" w14:textId="77777777" w:rsidR="00072693" w:rsidRPr="000C77FA" w:rsidRDefault="002C1F92" w:rsidP="000C77FA">
      <w:pPr>
        <w:numPr>
          <w:ilvl w:val="0"/>
          <w:numId w:val="4"/>
        </w:numPr>
        <w:tabs>
          <w:tab w:val="left" w:pos="7938"/>
        </w:tabs>
        <w:jc w:val="both"/>
        <w:rPr>
          <w:rFonts w:ascii="Palatino Linotype" w:eastAsia="Palatino Linotype" w:hAnsi="Palatino Linotype" w:cs="Palatino Linotype"/>
          <w:i/>
        </w:rPr>
      </w:pPr>
      <w:r w:rsidRPr="000C77FA">
        <w:rPr>
          <w:rFonts w:ascii="Palatino Linotype" w:eastAsia="Palatino Linotype" w:hAnsi="Palatino Linotype" w:cs="Palatino Linotype"/>
          <w:i/>
        </w:rPr>
        <w:t xml:space="preserve">¿Cómo se determinó el monto asignado para el fondo </w:t>
      </w:r>
      <w:proofErr w:type="spellStart"/>
      <w:r w:rsidRPr="000C77FA">
        <w:rPr>
          <w:rFonts w:ascii="Palatino Linotype" w:eastAsia="Palatino Linotype" w:hAnsi="Palatino Linotype" w:cs="Palatino Linotype"/>
          <w:i/>
        </w:rPr>
        <w:t>revolvente</w:t>
      </w:r>
      <w:proofErr w:type="spellEnd"/>
      <w:r w:rsidRPr="000C77FA">
        <w:rPr>
          <w:rFonts w:ascii="Palatino Linotype" w:eastAsia="Palatino Linotype" w:hAnsi="Palatino Linotype" w:cs="Palatino Linotype"/>
          <w:i/>
        </w:rPr>
        <w:t xml:space="preserve"> de cada unidad administrativa que lo tiene?</w:t>
      </w:r>
    </w:p>
    <w:bookmarkEnd w:id="13"/>
    <w:p w14:paraId="7F205BB1"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176A9D99" w14:textId="77777777"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Atendiendo a las respuestas, el Manual de Normas y Políticas para el Gasto Público del Gobierno del Estado de México</w:t>
      </w:r>
      <w:r w:rsidRPr="000C77FA">
        <w:rPr>
          <w:rFonts w:ascii="Palatino Linotype" w:eastAsia="Palatino Linotype" w:hAnsi="Palatino Linotype" w:cs="Palatino Linotype"/>
          <w:vertAlign w:val="superscript"/>
        </w:rPr>
        <w:footnoteReference w:id="15"/>
      </w:r>
      <w:r w:rsidRPr="000C77FA">
        <w:rPr>
          <w:rFonts w:ascii="Palatino Linotype" w:eastAsia="Palatino Linotype" w:hAnsi="Palatino Linotype" w:cs="Palatino Linotype"/>
        </w:rPr>
        <w:t xml:space="preserve"> refiere que:</w:t>
      </w:r>
    </w:p>
    <w:p w14:paraId="702CB9A4" w14:textId="77777777"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28.-</w:t>
      </w:r>
      <w:r w:rsidRPr="000C77FA">
        <w:rPr>
          <w:rFonts w:ascii="Palatino Linotype" w:eastAsia="Palatino Linotype" w:hAnsi="Palatino Linotype" w:cs="Palatino Linotype"/>
          <w:i/>
          <w:sz w:val="22"/>
          <w:szCs w:val="22"/>
        </w:rPr>
        <w:t xml:space="preserve"> Los recursos presupuestarios que se manejen a través del Fondo Fijo de Caja, en las dependencias y entidades públicas, sólo podrán financiar gastos menores que por su importancia, urgencia y volumen eficiente la operación de las unidades ejecutoras, sin que esto represente un incremento en el gasto público, para lo cual se deberán sujetar a las siguientes disposiciones generales:</w:t>
      </w:r>
    </w:p>
    <w:p w14:paraId="7EDAB838" w14:textId="77777777" w:rsidR="00072693" w:rsidRPr="000C77FA" w:rsidRDefault="002C1F92" w:rsidP="000C77FA">
      <w:pPr>
        <w:tabs>
          <w:tab w:val="left" w:pos="7938"/>
        </w:tabs>
        <w:ind w:left="851" w:right="616"/>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w:t>
      </w:r>
    </w:p>
    <w:p w14:paraId="27DA2F10" w14:textId="77777777" w:rsidR="00072693" w:rsidRPr="000C77FA" w:rsidRDefault="00072693" w:rsidP="000C77FA">
      <w:pPr>
        <w:tabs>
          <w:tab w:val="left" w:pos="7938"/>
        </w:tabs>
        <w:ind w:left="851" w:right="616"/>
        <w:jc w:val="both"/>
        <w:rPr>
          <w:rFonts w:ascii="Palatino Linotype" w:eastAsia="Palatino Linotype" w:hAnsi="Palatino Linotype" w:cs="Palatino Linotype"/>
          <w:b/>
          <w:i/>
          <w:sz w:val="22"/>
          <w:szCs w:val="22"/>
        </w:rPr>
      </w:pPr>
    </w:p>
    <w:p w14:paraId="784C2FE2" w14:textId="77777777"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29.-</w:t>
      </w:r>
      <w:r w:rsidRPr="000C77FA">
        <w:rPr>
          <w:rFonts w:ascii="Palatino Linotype" w:eastAsia="Palatino Linotype" w:hAnsi="Palatino Linotype" w:cs="Palatino Linotype"/>
          <w:i/>
          <w:sz w:val="22"/>
          <w:szCs w:val="22"/>
        </w:rPr>
        <w:t xml:space="preserve"> El titular de la unidad ejecutora de las dependencias, al inicio de cada ejercicio fiscal, solicitará a través de oficio a la Subsecretaría, la autorización de creación del Fondo, anexando el formato descrito en este Manual, con el monto solicitado de acuerdo a lo que establece el artículo 41 de este ordenamiento y designando al servidor público autorizado para la administración de los recursos del Fondo. </w:t>
      </w:r>
    </w:p>
    <w:p w14:paraId="1DD5DE59" w14:textId="77777777" w:rsidR="00072693" w:rsidRPr="000C77FA" w:rsidRDefault="00072693" w:rsidP="000C77FA">
      <w:pPr>
        <w:tabs>
          <w:tab w:val="left" w:pos="7938"/>
        </w:tabs>
        <w:ind w:left="851" w:right="616"/>
        <w:jc w:val="both"/>
        <w:rPr>
          <w:rFonts w:ascii="Palatino Linotype" w:eastAsia="Palatino Linotype" w:hAnsi="Palatino Linotype" w:cs="Palatino Linotype"/>
          <w:i/>
          <w:sz w:val="22"/>
          <w:szCs w:val="22"/>
        </w:rPr>
      </w:pPr>
    </w:p>
    <w:p w14:paraId="30BFCFE1" w14:textId="77777777"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La Subsecretaría emitirá el oficio de autorización de la creación, modificación o cancelación del monto de los recursos del Fondo a la unidad ejecutora, sin este documento no se podrán liberar los recursos. </w:t>
      </w:r>
    </w:p>
    <w:p w14:paraId="4996B285" w14:textId="77777777" w:rsidR="00072693" w:rsidRPr="000C77FA" w:rsidRDefault="00072693" w:rsidP="000C77FA">
      <w:pPr>
        <w:tabs>
          <w:tab w:val="left" w:pos="7938"/>
        </w:tabs>
        <w:ind w:left="851" w:right="616"/>
        <w:jc w:val="both"/>
        <w:rPr>
          <w:rFonts w:ascii="Palatino Linotype" w:eastAsia="Palatino Linotype" w:hAnsi="Palatino Linotype" w:cs="Palatino Linotype"/>
          <w:i/>
          <w:sz w:val="22"/>
          <w:szCs w:val="22"/>
        </w:rPr>
      </w:pPr>
    </w:p>
    <w:p w14:paraId="354B729B" w14:textId="77777777"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30.-</w:t>
      </w:r>
      <w:r w:rsidRPr="000C77FA">
        <w:rPr>
          <w:rFonts w:ascii="Palatino Linotype" w:eastAsia="Palatino Linotype" w:hAnsi="Palatino Linotype" w:cs="Palatino Linotype"/>
          <w:i/>
          <w:sz w:val="22"/>
          <w:szCs w:val="22"/>
        </w:rPr>
        <w:t xml:space="preserve"> Autorizado el Fondo en las dependencias, el titular de la unidad ejecutora enviará el original del formato a la Contaduría General Gubernamental y copia a la Tesorería para el trámite correspondiente. </w:t>
      </w:r>
    </w:p>
    <w:p w14:paraId="2A78796E" w14:textId="77777777" w:rsidR="00072693" w:rsidRPr="000C77FA" w:rsidRDefault="00072693" w:rsidP="000C77FA">
      <w:pPr>
        <w:tabs>
          <w:tab w:val="left" w:pos="7938"/>
        </w:tabs>
        <w:ind w:left="851" w:right="616"/>
        <w:jc w:val="both"/>
        <w:rPr>
          <w:rFonts w:ascii="Palatino Linotype" w:eastAsia="Palatino Linotype" w:hAnsi="Palatino Linotype" w:cs="Palatino Linotype"/>
          <w:i/>
          <w:sz w:val="22"/>
          <w:szCs w:val="22"/>
        </w:rPr>
      </w:pPr>
    </w:p>
    <w:p w14:paraId="6AD7319F" w14:textId="77777777"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Cuando la Subsecretaría autorice una disminución al Fondo en las dependencias, el titular de la unidad ejecutora, deberá depositar el importe de la reducción en la Caja General y remitir a la Contaduría General Gubernamental fotocopia del recibo de caja.</w:t>
      </w:r>
    </w:p>
    <w:p w14:paraId="5C979799" w14:textId="77777777" w:rsidR="00072693" w:rsidRPr="000C77FA" w:rsidRDefault="00072693" w:rsidP="000C77FA">
      <w:pPr>
        <w:tabs>
          <w:tab w:val="left" w:pos="7938"/>
        </w:tabs>
        <w:ind w:left="851" w:right="616"/>
        <w:jc w:val="both"/>
        <w:rPr>
          <w:rFonts w:ascii="Palatino Linotype" w:eastAsia="Palatino Linotype" w:hAnsi="Palatino Linotype" w:cs="Palatino Linotype"/>
          <w:i/>
          <w:sz w:val="22"/>
          <w:szCs w:val="22"/>
        </w:rPr>
      </w:pPr>
    </w:p>
    <w:p w14:paraId="3E9FA5B8" w14:textId="74DA034C"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33,-</w:t>
      </w:r>
      <w:r w:rsidRPr="000C77FA">
        <w:rPr>
          <w:rFonts w:ascii="Palatino Linotype" w:eastAsia="Palatino Linotype" w:hAnsi="Palatino Linotype" w:cs="Palatino Linotype"/>
          <w:i/>
          <w:sz w:val="22"/>
          <w:szCs w:val="22"/>
        </w:rPr>
        <w:t xml:space="preserve"> Los servidores públicos responsables del Fondo estarán </w:t>
      </w:r>
      <w:r w:rsidRPr="000C77FA">
        <w:rPr>
          <w:rFonts w:ascii="Palatino Linotype" w:eastAsia="Palatino Linotype" w:hAnsi="Palatino Linotype" w:cs="Palatino Linotype"/>
          <w:b/>
          <w:bCs/>
          <w:i/>
          <w:sz w:val="22"/>
          <w:szCs w:val="22"/>
        </w:rPr>
        <w:t>obligados a comprobar la totalidad del mismo, al cierre del ejercicio</w:t>
      </w:r>
      <w:r w:rsidR="00664F53"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i/>
          <w:sz w:val="22"/>
          <w:szCs w:val="22"/>
        </w:rPr>
        <w:t xml:space="preserve"> o en su caso, cuando el órgano de control interno así lo requiera. </w:t>
      </w:r>
    </w:p>
    <w:p w14:paraId="0DA55538" w14:textId="77777777" w:rsidR="00072693" w:rsidRPr="000C77FA" w:rsidRDefault="00072693" w:rsidP="000C77FA">
      <w:pPr>
        <w:tabs>
          <w:tab w:val="left" w:pos="7938"/>
        </w:tabs>
        <w:ind w:left="851" w:right="616"/>
        <w:jc w:val="both"/>
        <w:rPr>
          <w:rFonts w:ascii="Palatino Linotype" w:eastAsia="Palatino Linotype" w:hAnsi="Palatino Linotype" w:cs="Palatino Linotype"/>
          <w:i/>
          <w:sz w:val="22"/>
          <w:szCs w:val="22"/>
        </w:rPr>
      </w:pPr>
    </w:p>
    <w:p w14:paraId="3305AA54" w14:textId="77777777" w:rsidR="005E776D"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lastRenderedPageBreak/>
        <w:t>Artículo 34</w:t>
      </w:r>
      <w:r w:rsidRPr="000C77FA">
        <w:rPr>
          <w:rFonts w:ascii="Palatino Linotype" w:eastAsia="Palatino Linotype" w:hAnsi="Palatino Linotype" w:cs="Palatino Linotype"/>
          <w:i/>
          <w:sz w:val="22"/>
          <w:szCs w:val="22"/>
        </w:rPr>
        <w:t xml:space="preserve">.- El responsable de administrar el Fondo, previa autorización del titular de la unidad ejecutora, podrá crear una caja chica por el monto que de acuerdo a sus necesidades racionales requiera, sujetándose a las disposiciones administrativas en la materia. </w:t>
      </w:r>
    </w:p>
    <w:p w14:paraId="7F0F727B" w14:textId="77777777" w:rsidR="00664F53" w:rsidRPr="000C77FA" w:rsidRDefault="00664F53" w:rsidP="000C77FA">
      <w:pPr>
        <w:tabs>
          <w:tab w:val="left" w:pos="7938"/>
        </w:tabs>
        <w:ind w:left="851" w:right="616"/>
        <w:jc w:val="both"/>
        <w:rPr>
          <w:rFonts w:ascii="Palatino Linotype" w:eastAsia="Palatino Linotype" w:hAnsi="Palatino Linotype" w:cs="Palatino Linotype"/>
          <w:i/>
          <w:sz w:val="22"/>
          <w:szCs w:val="22"/>
        </w:rPr>
      </w:pPr>
    </w:p>
    <w:p w14:paraId="1AC302DD" w14:textId="5522CC55" w:rsidR="00072693" w:rsidRPr="000C77FA" w:rsidRDefault="002C1F92" w:rsidP="000C77FA">
      <w:pPr>
        <w:tabs>
          <w:tab w:val="left" w:pos="7938"/>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bCs/>
          <w:i/>
          <w:sz w:val="22"/>
          <w:szCs w:val="22"/>
        </w:rPr>
        <w:t>Artículo 35</w:t>
      </w:r>
      <w:r w:rsidRPr="000C77FA">
        <w:rPr>
          <w:rFonts w:ascii="Palatino Linotype" w:eastAsia="Palatino Linotype" w:hAnsi="Palatino Linotype" w:cs="Palatino Linotype"/>
          <w:i/>
          <w:sz w:val="22"/>
          <w:szCs w:val="22"/>
        </w:rPr>
        <w:t xml:space="preserve">.- Para crear la caja chica se elaborará un cheque a nombre del responsable de administrarla, para poder disponer del dinero en efectivo, </w:t>
      </w:r>
      <w:proofErr w:type="spellStart"/>
      <w:r w:rsidRPr="000C77FA">
        <w:rPr>
          <w:rFonts w:ascii="Palatino Linotype" w:eastAsia="Palatino Linotype" w:hAnsi="Palatino Linotype" w:cs="Palatino Linotype"/>
          <w:i/>
          <w:sz w:val="22"/>
          <w:szCs w:val="22"/>
        </w:rPr>
        <w:t>requisitando</w:t>
      </w:r>
      <w:proofErr w:type="spellEnd"/>
      <w:r w:rsidRPr="000C77FA">
        <w:rPr>
          <w:rFonts w:ascii="Palatino Linotype" w:eastAsia="Palatino Linotype" w:hAnsi="Palatino Linotype" w:cs="Palatino Linotype"/>
          <w:i/>
          <w:sz w:val="22"/>
          <w:szCs w:val="22"/>
        </w:rPr>
        <w:t xml:space="preserve"> para tal efecto el formato "Creación de Caja Chica". Debiendo validar posteriormente la comprobación de los gastos efectuados con cargo a los recursos de la misma.</w:t>
      </w:r>
    </w:p>
    <w:p w14:paraId="465190A2"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5A74548D" w14:textId="607BCBEE" w:rsidR="00664F5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las disposiciones normativas anteriores, se advierte que ante la obligación de documentar lo ejecutado, el </w:t>
      </w:r>
      <w:r w:rsidRPr="000C77FA">
        <w:rPr>
          <w:rFonts w:ascii="Palatino Linotype" w:eastAsia="Palatino Linotype" w:hAnsi="Palatino Linotype" w:cs="Palatino Linotype"/>
          <w:b/>
        </w:rPr>
        <w:t>SUJETO OBLI</w:t>
      </w:r>
      <w:r w:rsidRPr="000C77FA">
        <w:rPr>
          <w:rFonts w:ascii="Palatino Linotype" w:eastAsia="Palatino Linotype" w:hAnsi="Palatino Linotype" w:cs="Palatino Linotype"/>
          <w:b/>
          <w:bCs/>
        </w:rPr>
        <w:t>GADO</w:t>
      </w:r>
      <w:r w:rsidRPr="000C77FA">
        <w:rPr>
          <w:rFonts w:ascii="Palatino Linotype" w:eastAsia="Palatino Linotype" w:hAnsi="Palatino Linotype" w:cs="Palatino Linotype"/>
        </w:rPr>
        <w:t xml:space="preserve"> debe contar con soportes documentales que respalden su actuar, </w:t>
      </w:r>
      <w:r w:rsidR="00664F53" w:rsidRPr="000C77FA">
        <w:rPr>
          <w:rFonts w:ascii="Palatino Linotype" w:eastAsia="Palatino Linotype" w:hAnsi="Palatino Linotype" w:cs="Palatino Linotype"/>
        </w:rPr>
        <w:t>como podría ser la autorización señalada en los artículos que anteceden por lo que deberá entregar de ser procedente en versión pública</w:t>
      </w:r>
      <w:r w:rsidR="004A3DAC" w:rsidRPr="000C77FA">
        <w:rPr>
          <w:rFonts w:ascii="Palatino Linotype" w:eastAsia="Palatino Linotype" w:hAnsi="Palatino Linotype" w:cs="Palatino Linotype"/>
        </w:rPr>
        <w:t>, el documento o documentos en donde conste</w:t>
      </w:r>
      <w:r w:rsidR="00664F53" w:rsidRPr="000C77FA">
        <w:rPr>
          <w:rFonts w:ascii="Palatino Linotype" w:eastAsia="Palatino Linotype" w:hAnsi="Palatino Linotype" w:cs="Palatino Linotype"/>
        </w:rPr>
        <w:t>:</w:t>
      </w:r>
    </w:p>
    <w:p w14:paraId="356E4743" w14:textId="77777777" w:rsidR="00664F53" w:rsidRPr="000C77FA" w:rsidRDefault="00664F53" w:rsidP="000C77FA">
      <w:pPr>
        <w:pStyle w:val="Prrafodelista"/>
        <w:pBdr>
          <w:top w:val="nil"/>
          <w:left w:val="nil"/>
          <w:bottom w:val="nil"/>
          <w:right w:val="nil"/>
          <w:between w:val="nil"/>
        </w:pBdr>
        <w:ind w:left="567" w:right="616" w:hanging="360"/>
        <w:jc w:val="both"/>
        <w:rPr>
          <w:rFonts w:ascii="Palatino Linotype" w:eastAsia="Palatino Linotype" w:hAnsi="Palatino Linotype" w:cs="Palatino Linotype"/>
          <w:i/>
          <w:sz w:val="22"/>
          <w:szCs w:val="22"/>
        </w:rPr>
      </w:pPr>
    </w:p>
    <w:p w14:paraId="62B0AD61" w14:textId="592FADEC" w:rsidR="00664F53" w:rsidRPr="000C77FA" w:rsidRDefault="00664F53" w:rsidP="000C77FA">
      <w:pPr>
        <w:pBdr>
          <w:top w:val="nil"/>
          <w:left w:val="nil"/>
          <w:bottom w:val="nil"/>
          <w:right w:val="nil"/>
          <w:between w:val="nil"/>
        </w:pBdr>
        <w:ind w:left="567" w:right="616" w:hanging="360"/>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b)  La autorización del monto mensual asignado de fondo </w:t>
      </w:r>
      <w:proofErr w:type="spellStart"/>
      <w:r w:rsidRPr="000C77FA">
        <w:rPr>
          <w:rFonts w:ascii="Palatino Linotype" w:eastAsia="Palatino Linotype" w:hAnsi="Palatino Linotype" w:cs="Palatino Linotype"/>
          <w:i/>
          <w:sz w:val="22"/>
          <w:szCs w:val="22"/>
        </w:rPr>
        <w:t>revolvente</w:t>
      </w:r>
      <w:proofErr w:type="spellEnd"/>
      <w:r w:rsidRPr="000C77FA">
        <w:rPr>
          <w:rFonts w:ascii="Palatino Linotype" w:eastAsia="Palatino Linotype" w:hAnsi="Palatino Linotype" w:cs="Palatino Linotype"/>
          <w:i/>
          <w:sz w:val="22"/>
          <w:szCs w:val="22"/>
        </w:rPr>
        <w:t xml:space="preserve"> para cada unidad administrativa del dieciocho de noviembre de dos mil veintiuno al dieciocho de noviembre de dos mil veintidós.</w:t>
      </w:r>
    </w:p>
    <w:p w14:paraId="2EF84C7D" w14:textId="77777777" w:rsidR="00664F53" w:rsidRPr="000C77FA" w:rsidRDefault="00664F53" w:rsidP="000C77FA">
      <w:pPr>
        <w:ind w:left="567" w:right="992" w:hanging="360"/>
        <w:jc w:val="both"/>
        <w:rPr>
          <w:rFonts w:ascii="Palatino Linotype" w:eastAsia="Palatino Linotype" w:hAnsi="Palatino Linotype" w:cs="Palatino Linotype"/>
          <w:i/>
          <w:sz w:val="22"/>
          <w:szCs w:val="22"/>
        </w:rPr>
      </w:pPr>
    </w:p>
    <w:p w14:paraId="4226611B" w14:textId="66A11DEA" w:rsidR="00072693" w:rsidRPr="000C77FA" w:rsidRDefault="00664F53"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Lo anterior, sin que pase desapercibido para este órgano garante, </w:t>
      </w:r>
      <w:r w:rsidR="002C1F92" w:rsidRPr="000C77FA">
        <w:rPr>
          <w:rFonts w:ascii="Palatino Linotype" w:eastAsia="Palatino Linotype" w:hAnsi="Palatino Linotype" w:cs="Palatino Linotype"/>
        </w:rPr>
        <w:t xml:space="preserve">de forma enunciativa más no limitativa, </w:t>
      </w:r>
      <w:r w:rsidRPr="000C77FA">
        <w:rPr>
          <w:rFonts w:ascii="Palatino Linotype" w:eastAsia="Palatino Linotype" w:hAnsi="Palatino Linotype" w:cs="Palatino Linotype"/>
        </w:rPr>
        <w:t xml:space="preserve">que </w:t>
      </w:r>
      <w:r w:rsidR="002C1F92" w:rsidRPr="000C77FA">
        <w:rPr>
          <w:rFonts w:ascii="Palatino Linotype" w:eastAsia="Palatino Linotype" w:hAnsi="Palatino Linotype" w:cs="Palatino Linotype"/>
        </w:rPr>
        <w:t xml:space="preserve">las facturas reportadas y los informes que en su caso rinda el </w:t>
      </w:r>
      <w:r w:rsidR="002C1F92" w:rsidRPr="000C77FA">
        <w:rPr>
          <w:rFonts w:ascii="Palatino Linotype" w:eastAsia="Palatino Linotype" w:hAnsi="Palatino Linotype" w:cs="Palatino Linotype"/>
          <w:b/>
        </w:rPr>
        <w:t>SUJETO OBLIGADO</w:t>
      </w:r>
      <w:r w:rsidR="002C1F92" w:rsidRPr="000C77FA">
        <w:rPr>
          <w:rFonts w:ascii="Palatino Linotype" w:eastAsia="Palatino Linotype" w:hAnsi="Palatino Linotype" w:cs="Palatino Linotype"/>
        </w:rPr>
        <w:t xml:space="preserve"> podrían contener la información solicitada.</w:t>
      </w:r>
    </w:p>
    <w:p w14:paraId="556822DF"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170EAB97" w14:textId="0ECF7CFD" w:rsidR="00072693" w:rsidRPr="000C77FA" w:rsidRDefault="002C1F92" w:rsidP="000C77FA">
      <w:pPr>
        <w:tabs>
          <w:tab w:val="left" w:pos="7938"/>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ese sentido, respecto de la solicitud de las </w:t>
      </w:r>
      <w:r w:rsidRPr="000C77FA">
        <w:rPr>
          <w:rFonts w:ascii="Palatino Linotype" w:eastAsia="Palatino Linotype" w:hAnsi="Palatino Linotype" w:cs="Palatino Linotype"/>
          <w:i/>
          <w:iCs/>
        </w:rPr>
        <w:t>facturas</w:t>
      </w:r>
      <w:r w:rsidRPr="000C77FA">
        <w:rPr>
          <w:i/>
          <w:iCs/>
        </w:rPr>
        <w:t xml:space="preserve"> </w:t>
      </w:r>
      <w:r w:rsidRPr="000C77FA">
        <w:rPr>
          <w:rFonts w:ascii="Palatino Linotype" w:eastAsia="Palatino Linotype" w:hAnsi="Palatino Linotype" w:cs="Palatino Linotype"/>
          <w:i/>
          <w:iCs/>
        </w:rPr>
        <w:t xml:space="preserve">que acreditan el ejercicio de los recursos del “fondo </w:t>
      </w:r>
      <w:proofErr w:type="spellStart"/>
      <w:r w:rsidRPr="000C77FA">
        <w:rPr>
          <w:rFonts w:ascii="Palatino Linotype" w:eastAsia="Palatino Linotype" w:hAnsi="Palatino Linotype" w:cs="Palatino Linotype"/>
          <w:i/>
          <w:iCs/>
        </w:rPr>
        <w:t>revolvente</w:t>
      </w:r>
      <w:proofErr w:type="spellEnd"/>
      <w:r w:rsidRPr="000C77FA">
        <w:rPr>
          <w:rFonts w:ascii="Palatino Linotype" w:eastAsia="Palatino Linotype" w:hAnsi="Palatino Linotype" w:cs="Palatino Linotype"/>
          <w:i/>
          <w:iCs/>
        </w:rPr>
        <w:t>” de las unidades administrativas</w:t>
      </w:r>
      <w:r w:rsidR="00664F53" w:rsidRPr="000C77FA">
        <w:rPr>
          <w:rFonts w:ascii="Palatino Linotype" w:eastAsia="Palatino Linotype" w:hAnsi="Palatino Linotype" w:cs="Palatino Linotype"/>
        </w:rPr>
        <w:t xml:space="preserve"> de</w:t>
      </w:r>
      <w:r w:rsidRPr="000C77FA">
        <w:rPr>
          <w:rFonts w:ascii="Palatino Linotype" w:eastAsia="Palatino Linotype" w:hAnsi="Palatino Linotype" w:cs="Palatino Linotype"/>
        </w:rPr>
        <w:t>:</w:t>
      </w:r>
    </w:p>
    <w:p w14:paraId="28D98CE2" w14:textId="77777777" w:rsidR="00072693" w:rsidRPr="000C77FA" w:rsidRDefault="002C1F92" w:rsidP="000C77FA">
      <w:pPr>
        <w:numPr>
          <w:ilvl w:val="0"/>
          <w:numId w:val="5"/>
        </w:numPr>
        <w:pBdr>
          <w:top w:val="nil"/>
          <w:left w:val="nil"/>
          <w:bottom w:val="nil"/>
          <w:right w:val="nil"/>
          <w:between w:val="nil"/>
        </w:pBdr>
        <w:tabs>
          <w:tab w:val="left" w:pos="7938"/>
        </w:tabs>
        <w:jc w:val="both"/>
        <w:rPr>
          <w:rFonts w:ascii="Palatino Linotype" w:eastAsia="Palatino Linotype" w:hAnsi="Palatino Linotype" w:cs="Palatino Linotype"/>
          <w:i/>
        </w:rPr>
      </w:pPr>
      <w:r w:rsidRPr="000C77FA">
        <w:rPr>
          <w:rFonts w:ascii="Palatino Linotype" w:eastAsia="Palatino Linotype" w:hAnsi="Palatino Linotype" w:cs="Palatino Linotype"/>
          <w:i/>
        </w:rPr>
        <w:t>Oficina del Secretario de Cultura y Turismo, Dirección General de Patrimonio y Servicios Culturales; UIPPE y Subsecretaría de Turismo; de los periodos enero-junio 2022 y julio-octubre 2022.</w:t>
      </w:r>
    </w:p>
    <w:p w14:paraId="3CFE8973" w14:textId="77777777" w:rsidR="00072693" w:rsidRPr="000C77FA" w:rsidRDefault="002C1F92" w:rsidP="000C77FA">
      <w:pPr>
        <w:numPr>
          <w:ilvl w:val="0"/>
          <w:numId w:val="5"/>
        </w:numPr>
        <w:pBdr>
          <w:top w:val="nil"/>
          <w:left w:val="nil"/>
          <w:bottom w:val="nil"/>
          <w:right w:val="nil"/>
          <w:between w:val="nil"/>
        </w:pBdr>
        <w:tabs>
          <w:tab w:val="left" w:pos="7938"/>
        </w:tabs>
        <w:jc w:val="both"/>
        <w:rPr>
          <w:rFonts w:ascii="Palatino Linotype" w:eastAsia="Palatino Linotype" w:hAnsi="Palatino Linotype" w:cs="Palatino Linotype"/>
          <w:i/>
        </w:rPr>
      </w:pPr>
      <w:r w:rsidRPr="000C77FA">
        <w:rPr>
          <w:rFonts w:ascii="Palatino Linotype" w:eastAsia="Palatino Linotype" w:hAnsi="Palatino Linotype" w:cs="Palatino Linotype"/>
          <w:i/>
        </w:rPr>
        <w:lastRenderedPageBreak/>
        <w:t>Oficina del Secretario de Cultura y Turismo, Unidad Jurídica, Dirección General de Turismo de Reuniones; UIPPE y Unidad de Comunicación Social; de los periodos enero-junio 2021 y julio-octubre 2021.</w:t>
      </w:r>
    </w:p>
    <w:p w14:paraId="0BEBE855" w14:textId="77777777" w:rsidR="00072693" w:rsidRPr="000C77FA" w:rsidRDefault="00072693" w:rsidP="000C77FA">
      <w:pPr>
        <w:tabs>
          <w:tab w:val="left" w:pos="7938"/>
        </w:tabs>
        <w:spacing w:line="360" w:lineRule="auto"/>
        <w:jc w:val="both"/>
        <w:rPr>
          <w:rFonts w:ascii="Palatino Linotype" w:eastAsia="Palatino Linotype" w:hAnsi="Palatino Linotype" w:cs="Palatino Linotype"/>
        </w:rPr>
      </w:pPr>
    </w:p>
    <w:p w14:paraId="743CB967" w14:textId="5F476AA1" w:rsidR="00072693" w:rsidRPr="000C77FA" w:rsidRDefault="00186FDD" w:rsidP="000C77FA">
      <w:pPr>
        <w:spacing w:line="360" w:lineRule="auto"/>
        <w:ind w:right="-232"/>
        <w:jc w:val="both"/>
        <w:rPr>
          <w:rFonts w:ascii="Palatino Linotype" w:eastAsia="Palatino Linotype" w:hAnsi="Palatino Linotype" w:cs="Palatino Linotype"/>
        </w:rPr>
      </w:pPr>
      <w:r w:rsidRPr="000C77FA">
        <w:rPr>
          <w:rFonts w:ascii="Palatino Linotype" w:eastAsia="Palatino Linotype" w:hAnsi="Palatino Linotype" w:cs="Palatino Linotype"/>
        </w:rPr>
        <w:t>Primeramente</w:t>
      </w:r>
      <w:r w:rsidR="002C1F92" w:rsidRPr="000C77FA">
        <w:rPr>
          <w:rFonts w:ascii="Palatino Linotype" w:eastAsia="Palatino Linotype" w:hAnsi="Palatino Linotype" w:cs="Palatino Linotype"/>
        </w:rPr>
        <w:t xml:space="preserve">, debe decirse que, </w:t>
      </w:r>
      <w:r w:rsidR="002C1F92" w:rsidRPr="000C77FA">
        <w:rPr>
          <w:rFonts w:ascii="Palatino Linotype" w:eastAsia="Palatino Linotype" w:hAnsi="Palatino Linotype" w:cs="Palatino Linotype"/>
          <w:b/>
          <w:smallCaps/>
        </w:rPr>
        <w:t>las facturas</w:t>
      </w:r>
      <w:r w:rsidR="002C1F92" w:rsidRPr="000C77FA">
        <w:rPr>
          <w:rFonts w:ascii="Palatino Linotype" w:eastAsia="Palatino Linotype" w:hAnsi="Palatino Linotype" w:cs="Palatino Linotype"/>
          <w:b/>
        </w:rPr>
        <w:t xml:space="preserve"> son</w:t>
      </w:r>
      <w:r w:rsidR="002C1F92" w:rsidRPr="000C77FA">
        <w:rPr>
          <w:rFonts w:ascii="Palatino Linotype" w:eastAsia="Palatino Linotype" w:hAnsi="Palatino Linotype" w:cs="Palatino Linotype"/>
        </w:rPr>
        <w:t xml:space="preserve"> documentos relacionados con la compra y la venta de un producto o servicio; son emitidas por proveedores, contratistas o prestadores de servicios. De acuerdo con el Glosario de Términos Hacendarios que emite el Instituto Hacendario del Estado de México, se entiende como:</w:t>
      </w:r>
    </w:p>
    <w:p w14:paraId="58A18AEB" w14:textId="77777777" w:rsidR="00072693" w:rsidRPr="000C77FA" w:rsidRDefault="00072693" w:rsidP="000C77FA">
      <w:pPr>
        <w:ind w:left="851" w:right="1134"/>
        <w:jc w:val="both"/>
        <w:rPr>
          <w:rFonts w:ascii="Palatino Linotype" w:eastAsia="Palatino Linotype" w:hAnsi="Palatino Linotype" w:cs="Palatino Linotype"/>
          <w:i/>
          <w:sz w:val="22"/>
          <w:szCs w:val="22"/>
        </w:rPr>
      </w:pPr>
    </w:p>
    <w:p w14:paraId="485B45CB" w14:textId="77777777" w:rsidR="00072693" w:rsidRPr="000C77FA" w:rsidRDefault="002C1F92" w:rsidP="000C77FA">
      <w:pPr>
        <w:ind w:left="851" w:right="1134"/>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FACTURA</w:t>
      </w:r>
    </w:p>
    <w:p w14:paraId="70915037" w14:textId="77777777" w:rsidR="00072693" w:rsidRPr="000C77FA" w:rsidRDefault="002C1F92" w:rsidP="000C77FA">
      <w:pPr>
        <w:spacing w:before="120"/>
        <w:ind w:left="851" w:right="1134"/>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Es el documento fiscal que emite la persona física o moral para comprobar la venta o adquisición de un bien y/o servicio.” (Sic)</w:t>
      </w:r>
    </w:p>
    <w:p w14:paraId="11BF3529" w14:textId="77777777" w:rsidR="00072693" w:rsidRPr="000C77FA" w:rsidRDefault="00072693" w:rsidP="000C77FA">
      <w:pPr>
        <w:spacing w:before="120" w:line="360" w:lineRule="auto"/>
        <w:jc w:val="both"/>
        <w:rPr>
          <w:rFonts w:ascii="Palatino Linotype" w:eastAsia="Palatino Linotype" w:hAnsi="Palatino Linotype" w:cs="Palatino Linotype"/>
        </w:rPr>
      </w:pPr>
    </w:p>
    <w:p w14:paraId="6F671E03" w14:textId="77777777" w:rsidR="00072693" w:rsidRPr="000C77FA" w:rsidRDefault="002C1F92" w:rsidP="000C77FA">
      <w:pPr>
        <w:spacing w:before="120"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el caso, las facturas son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14:paraId="61F75B2A" w14:textId="77777777" w:rsidR="00072693" w:rsidRPr="000C77FA" w:rsidRDefault="00072693" w:rsidP="000C77FA">
      <w:pPr>
        <w:spacing w:line="360" w:lineRule="auto"/>
        <w:jc w:val="both"/>
        <w:rPr>
          <w:rFonts w:ascii="Palatino Linotype" w:eastAsia="Palatino Linotype" w:hAnsi="Palatino Linotype" w:cs="Palatino Linotype"/>
        </w:rPr>
      </w:pPr>
    </w:p>
    <w:p w14:paraId="697140AF"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los artículos 342, 343, 344 y 345 del Código Financiero del Estado de México y Municipios, los cuales establecen las políticas que deben seguirse para llevar el </w:t>
      </w:r>
      <w:r w:rsidRPr="000C77FA">
        <w:rPr>
          <w:rFonts w:ascii="Palatino Linotype" w:eastAsia="Palatino Linotype" w:hAnsi="Palatino Linotype" w:cs="Palatino Linotype"/>
        </w:rPr>
        <w:lastRenderedPageBreak/>
        <w:t>registro contable y presupuestal de las operaciones financieras, en los siguientes términos:</w:t>
      </w:r>
    </w:p>
    <w:p w14:paraId="38CB5F07" w14:textId="77777777" w:rsidR="00072693" w:rsidRPr="000C77FA" w:rsidRDefault="00072693" w:rsidP="000C77FA">
      <w:pPr>
        <w:ind w:left="851" w:right="901"/>
        <w:jc w:val="both"/>
        <w:rPr>
          <w:rFonts w:ascii="Palatino Linotype" w:eastAsia="Palatino Linotype" w:hAnsi="Palatino Linotype" w:cs="Palatino Linotype"/>
          <w:b/>
          <w:i/>
          <w:sz w:val="22"/>
          <w:szCs w:val="22"/>
        </w:rPr>
      </w:pPr>
    </w:p>
    <w:p w14:paraId="6D096722" w14:textId="77777777" w:rsidR="00072693" w:rsidRPr="000C77FA" w:rsidRDefault="002C1F92" w:rsidP="000C77FA">
      <w:pPr>
        <w:ind w:left="851" w:right="90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“Artículo 342.-</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b/>
          <w:i/>
          <w:sz w:val="22"/>
          <w:szCs w:val="22"/>
        </w:rPr>
        <w:t xml:space="preserve">El registro contable del efecto patrimonial y presupuestal de las operaciones financieras, se realizará conforme al sistema y a las disposiciones que se aprueben en materia </w:t>
      </w:r>
      <w:r w:rsidRPr="000C77FA">
        <w:rPr>
          <w:rFonts w:ascii="Palatino Linotype" w:eastAsia="Palatino Linotype" w:hAnsi="Palatino Linotype" w:cs="Palatino Linotype"/>
          <w:i/>
          <w:sz w:val="22"/>
          <w:szCs w:val="22"/>
        </w:rPr>
        <w:t>de planeación,</w:t>
      </w:r>
      <w:r w:rsidRPr="000C77FA">
        <w:rPr>
          <w:rFonts w:ascii="Palatino Linotype" w:eastAsia="Palatino Linotype" w:hAnsi="Palatino Linotype" w:cs="Palatino Linotype"/>
          <w:b/>
          <w:i/>
          <w:sz w:val="22"/>
          <w:szCs w:val="22"/>
        </w:rPr>
        <w:t xml:space="preserve"> programación, </w:t>
      </w:r>
      <w:proofErr w:type="spellStart"/>
      <w:r w:rsidRPr="000C77FA">
        <w:rPr>
          <w:rFonts w:ascii="Palatino Linotype" w:eastAsia="Palatino Linotype" w:hAnsi="Palatino Linotype" w:cs="Palatino Linotype"/>
          <w:b/>
          <w:i/>
          <w:sz w:val="22"/>
          <w:szCs w:val="22"/>
        </w:rPr>
        <w:t>presupuestación</w:t>
      </w:r>
      <w:proofErr w:type="spellEnd"/>
      <w:r w:rsidRPr="000C77FA">
        <w:rPr>
          <w:rFonts w:ascii="Palatino Linotype" w:eastAsia="Palatino Linotype" w:hAnsi="Palatino Linotype" w:cs="Palatino Linotype"/>
          <w:i/>
          <w:sz w:val="22"/>
          <w:szCs w:val="22"/>
        </w:rPr>
        <w:t xml:space="preserve">, evaluación y </w:t>
      </w:r>
      <w:r w:rsidRPr="000C77FA">
        <w:rPr>
          <w:rFonts w:ascii="Palatino Linotype" w:eastAsia="Palatino Linotype" w:hAnsi="Palatino Linotype" w:cs="Palatino Linotype"/>
          <w:b/>
          <w:i/>
          <w:sz w:val="22"/>
          <w:szCs w:val="22"/>
        </w:rPr>
        <w:t>contabilidad gubernamental.</w:t>
      </w:r>
      <w:r w:rsidRPr="000C77FA">
        <w:rPr>
          <w:rFonts w:ascii="Palatino Linotype" w:eastAsia="Palatino Linotype" w:hAnsi="Palatino Linotype" w:cs="Palatino Linotype"/>
          <w:i/>
          <w:sz w:val="22"/>
          <w:szCs w:val="22"/>
        </w:rPr>
        <w:t xml:space="preserve"> </w:t>
      </w:r>
    </w:p>
    <w:p w14:paraId="1CC66A28" w14:textId="77777777" w:rsidR="00072693" w:rsidRPr="000C77FA" w:rsidRDefault="002C1F92" w:rsidP="000C77FA">
      <w:pPr>
        <w:ind w:left="851" w:right="90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w:t>
      </w:r>
    </w:p>
    <w:p w14:paraId="02E33C1A"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343.-</w:t>
      </w:r>
      <w:r w:rsidRPr="000C77FA">
        <w:rPr>
          <w:rFonts w:ascii="Palatino Linotype" w:eastAsia="Palatino Linotype" w:hAnsi="Palatino Linotype" w:cs="Palatino Linotype"/>
          <w:i/>
          <w:sz w:val="22"/>
          <w:szCs w:val="22"/>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6285746E" w14:textId="77777777" w:rsidR="00072693" w:rsidRPr="000C77FA" w:rsidRDefault="002C1F92" w:rsidP="000C77FA">
      <w:pPr>
        <w:ind w:left="851" w:right="90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sz w:val="22"/>
          <w:szCs w:val="22"/>
        </w:rPr>
        <w:t xml:space="preserve">El sistema de contabilidad sobre base acumulativa total se sustentará en los postulados básicos y el marco conceptual de la contabilidad gubernamental. </w:t>
      </w:r>
    </w:p>
    <w:p w14:paraId="34D088A4"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C77FA">
        <w:rPr>
          <w:rFonts w:ascii="Palatino Linotype" w:eastAsia="Palatino Linotype" w:hAnsi="Palatino Linotype" w:cs="Palatino Linotype"/>
          <w:i/>
          <w:sz w:val="22"/>
          <w:szCs w:val="22"/>
        </w:rPr>
        <w:t xml:space="preserve">en el caso de los Municipios se hará por la Tesorería. </w:t>
      </w:r>
    </w:p>
    <w:p w14:paraId="3F16BC8B"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Derogado. </w:t>
      </w:r>
    </w:p>
    <w:p w14:paraId="664BE67A" w14:textId="77777777" w:rsidR="00072693" w:rsidRPr="000C77FA" w:rsidRDefault="002C1F92" w:rsidP="000C77FA">
      <w:pPr>
        <w:ind w:left="851" w:right="850"/>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C77FA">
        <w:rPr>
          <w:rFonts w:ascii="Palatino Linotype" w:eastAsia="Palatino Linotype" w:hAnsi="Palatino Linotype" w:cs="Palatino Linotype"/>
          <w:i/>
          <w:sz w:val="22"/>
          <w:szCs w:val="22"/>
        </w:rPr>
        <w:t xml:space="preserve"> a partir del ejercicio presupuestal siguiente al que corresponda, en el caso de los municipios se hará por la Tesorería. </w:t>
      </w:r>
    </w:p>
    <w:p w14:paraId="08D5C930"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p>
    <w:p w14:paraId="0C93FB60"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345.-</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b/>
          <w:i/>
          <w:sz w:val="22"/>
          <w:szCs w:val="22"/>
        </w:rPr>
        <w:t>Las Dependencias, Entidades Públicas y unidades administrativas deberán conservar la documentación contable del año en curso y la de ejercicios anteriores cuyas cuentas públicas hayan sido revisadas y fiscalizadas por la Legislatura</w:t>
      </w:r>
      <w:r w:rsidRPr="000C77FA">
        <w:rPr>
          <w:rFonts w:ascii="Palatino Linotype" w:eastAsia="Palatino Linotype" w:hAnsi="Palatino Linotype" w:cs="Palatino Linotype"/>
          <w:i/>
          <w:sz w:val="22"/>
          <w:szCs w:val="22"/>
        </w:rPr>
        <w:t xml:space="preserve">, la remitirán en un plazo que no excederá de seis meses al Archivo Contable Gubernamental. </w:t>
      </w:r>
      <w:r w:rsidRPr="000C77FA">
        <w:rPr>
          <w:rFonts w:ascii="Palatino Linotype" w:eastAsia="Palatino Linotype" w:hAnsi="Palatino Linotype" w:cs="Palatino Linotype"/>
          <w:b/>
          <w:i/>
          <w:sz w:val="22"/>
          <w:szCs w:val="22"/>
        </w:rPr>
        <w:t>Tratándose de los comprobantes fiscales digitales, estos deberán estar agregados en forma electrónica en cada póliza de registro contable</w:t>
      </w:r>
      <w:r w:rsidRPr="000C77FA">
        <w:rPr>
          <w:rFonts w:ascii="Palatino Linotype" w:eastAsia="Palatino Linotype" w:hAnsi="Palatino Linotype" w:cs="Palatino Linotype"/>
          <w:i/>
          <w:sz w:val="22"/>
          <w:szCs w:val="22"/>
        </w:rPr>
        <w:t xml:space="preserve">. </w:t>
      </w:r>
    </w:p>
    <w:p w14:paraId="241F498C"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lastRenderedPageBreak/>
        <w:t>El plazo señalado en el párrafo anterior, empezará a contar a partir de la publicación en el Periódico Oficial, del decreto correspondiente. “</w:t>
      </w:r>
    </w:p>
    <w:p w14:paraId="5F555820"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(Énfasis añadido)</w:t>
      </w:r>
    </w:p>
    <w:p w14:paraId="68229C6A" w14:textId="77777777" w:rsidR="00072693" w:rsidRPr="000C77FA" w:rsidRDefault="00072693" w:rsidP="000C77FA">
      <w:pPr>
        <w:ind w:left="851" w:right="901"/>
        <w:jc w:val="both"/>
        <w:rPr>
          <w:rFonts w:ascii="Palatino Linotype" w:eastAsia="Palatino Linotype" w:hAnsi="Palatino Linotype" w:cs="Palatino Linotype"/>
          <w:i/>
          <w:sz w:val="22"/>
          <w:szCs w:val="22"/>
        </w:rPr>
      </w:pPr>
    </w:p>
    <w:p w14:paraId="12D771B7"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Realizando una interpretación sistemática de los artículos transcritos, se desprende, que el registro contable se realizará conforme al sistema y a las disposiciones que se aprueben en materia de planeación, programación, </w:t>
      </w:r>
      <w:proofErr w:type="spellStart"/>
      <w:r w:rsidRPr="000C77FA">
        <w:rPr>
          <w:rFonts w:ascii="Palatino Linotype" w:eastAsia="Palatino Linotype" w:hAnsi="Palatino Linotype" w:cs="Palatino Linotype"/>
        </w:rPr>
        <w:t>presupuestación</w:t>
      </w:r>
      <w:proofErr w:type="spellEnd"/>
      <w:r w:rsidRPr="000C77FA">
        <w:rPr>
          <w:rFonts w:ascii="Palatino Linotype" w:eastAsia="Palatino Linotype" w:hAnsi="Palatino Linotype" w:cs="Palatino Linotype"/>
        </w:rPr>
        <w:t>, evaluación y contabilidad gubernamental.</w:t>
      </w:r>
    </w:p>
    <w:p w14:paraId="6E323FD6" w14:textId="77777777" w:rsidR="00072693" w:rsidRPr="000C77FA" w:rsidRDefault="00072693" w:rsidP="000C77FA">
      <w:pPr>
        <w:spacing w:line="360" w:lineRule="auto"/>
        <w:jc w:val="both"/>
        <w:rPr>
          <w:rFonts w:ascii="Palatino Linotype" w:eastAsia="Palatino Linotype" w:hAnsi="Palatino Linotype" w:cs="Palatino Linotype"/>
        </w:rPr>
      </w:pPr>
    </w:p>
    <w:p w14:paraId="18C7E417"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Al respecto, si bien es cierto que el Código Financiero del Estado de México y Municipios establece la obligación de los entes públicos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w:t>
      </w:r>
      <w:proofErr w:type="spellStart"/>
      <w:r w:rsidRPr="000C77FA">
        <w:rPr>
          <w:rFonts w:ascii="Palatino Linotype" w:eastAsia="Palatino Linotype" w:hAnsi="Palatino Linotype" w:cs="Palatino Linotype"/>
        </w:rPr>
        <w:t>Presupuestación</w:t>
      </w:r>
      <w:proofErr w:type="spellEnd"/>
      <w:r w:rsidRPr="000C77FA">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95B3738" w14:textId="77777777" w:rsidR="00072693" w:rsidRPr="000C77FA" w:rsidRDefault="002C1F92" w:rsidP="000C77FA">
      <w:pPr>
        <w:ind w:left="851" w:right="1134"/>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 xml:space="preserve">“REGISTRO CONTABLE </w:t>
      </w:r>
    </w:p>
    <w:p w14:paraId="3B626A7C" w14:textId="77777777" w:rsidR="00072693" w:rsidRPr="000C77FA" w:rsidRDefault="002C1F92" w:rsidP="000C77FA">
      <w:pPr>
        <w:ind w:left="851" w:right="1134"/>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Asiento que se realiza en los libros de contabilidad de las actividades relacionadas con el ingreso y egresos de un ente económico.” (Sic)</w:t>
      </w:r>
    </w:p>
    <w:p w14:paraId="58B8339B" w14:textId="77777777" w:rsidR="00186FDD" w:rsidRPr="000C77FA" w:rsidRDefault="00186FDD" w:rsidP="000C77FA">
      <w:pPr>
        <w:ind w:left="851" w:right="1134"/>
        <w:jc w:val="both"/>
        <w:rPr>
          <w:rFonts w:ascii="Palatino Linotype" w:eastAsia="Palatino Linotype" w:hAnsi="Palatino Linotype" w:cs="Palatino Linotype"/>
          <w:b/>
          <w:i/>
          <w:sz w:val="22"/>
          <w:szCs w:val="22"/>
        </w:rPr>
      </w:pPr>
    </w:p>
    <w:p w14:paraId="499BFCB9" w14:textId="5CAFA0C9" w:rsidR="00072693" w:rsidRPr="000C77FA" w:rsidRDefault="002C1F92" w:rsidP="000C77FA">
      <w:pPr>
        <w:ind w:left="851" w:right="1134"/>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“REGISTRO PRESUPUESTARIO</w:t>
      </w:r>
    </w:p>
    <w:p w14:paraId="003B31B5" w14:textId="77777777" w:rsidR="00072693" w:rsidRPr="000C77FA" w:rsidRDefault="002C1F92" w:rsidP="000C77FA">
      <w:pPr>
        <w:ind w:left="851" w:right="1134"/>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lastRenderedPageBreak/>
        <w:t>Asiento contable de las erogaciones realizadas por las dependencias y entidades con relación a la asignación, modificación y ejercicio de los recursos presupuestarios que se les hayan autorizado.” (Sic)</w:t>
      </w:r>
    </w:p>
    <w:p w14:paraId="79EEA0D3" w14:textId="77777777" w:rsidR="00072693" w:rsidRPr="000C77FA" w:rsidRDefault="00072693" w:rsidP="000C77FA">
      <w:pPr>
        <w:spacing w:before="120" w:line="360" w:lineRule="auto"/>
        <w:jc w:val="both"/>
        <w:rPr>
          <w:rFonts w:ascii="Palatino Linotype" w:eastAsia="Palatino Linotype" w:hAnsi="Palatino Linotype" w:cs="Palatino Linotype"/>
        </w:rPr>
      </w:pPr>
    </w:p>
    <w:p w14:paraId="529CC812"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Por otra parte, se establece que el sistema de contabilidad sobre base acumulativa total se sustentará en los principios de contabilidad gubernamental.</w:t>
      </w:r>
    </w:p>
    <w:p w14:paraId="63B447B5" w14:textId="77777777" w:rsidR="00072693" w:rsidRPr="000C77FA" w:rsidRDefault="00072693" w:rsidP="000C77FA">
      <w:pPr>
        <w:spacing w:line="360" w:lineRule="auto"/>
        <w:jc w:val="both"/>
        <w:rPr>
          <w:rFonts w:ascii="Palatino Linotype" w:eastAsia="Palatino Linotype" w:hAnsi="Palatino Linotype" w:cs="Palatino Linotype"/>
        </w:rPr>
      </w:pPr>
    </w:p>
    <w:p w14:paraId="162FDD8C"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455301D3" w14:textId="77777777" w:rsidR="00072693" w:rsidRPr="000C77FA" w:rsidRDefault="00072693" w:rsidP="000C77FA">
      <w:pPr>
        <w:spacing w:line="360" w:lineRule="auto"/>
        <w:jc w:val="both"/>
        <w:rPr>
          <w:rFonts w:ascii="Palatino Linotype" w:eastAsia="Palatino Linotype" w:hAnsi="Palatino Linotype" w:cs="Palatino Linotype"/>
        </w:rPr>
      </w:pPr>
    </w:p>
    <w:p w14:paraId="1C79DDD0"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Correlativo a lo anterior, es preciso referir una definición de </w:t>
      </w:r>
      <w:r w:rsidRPr="000C77FA">
        <w:rPr>
          <w:rFonts w:ascii="Palatino Linotype" w:eastAsia="Palatino Linotype" w:hAnsi="Palatino Linotype" w:cs="Palatino Linotype"/>
          <w:i/>
        </w:rPr>
        <w:t>póliza contable</w:t>
      </w:r>
      <w:r w:rsidRPr="000C77FA">
        <w:rPr>
          <w:rFonts w:ascii="Palatino Linotype" w:eastAsia="Palatino Linotype" w:hAnsi="Palatino Linotype" w:cs="Palatino Linotype"/>
        </w:rPr>
        <w:t xml:space="preserve">, la cual, primeramente, no está definida en el Código Financiero del Estado de México y Municipios; no obstante, los ya mencionados Glosarios la definen como: </w:t>
      </w:r>
    </w:p>
    <w:p w14:paraId="0A3F2618" w14:textId="77777777" w:rsidR="00072693" w:rsidRPr="000C77FA" w:rsidRDefault="00072693" w:rsidP="000C77FA">
      <w:pPr>
        <w:ind w:left="851" w:right="1134"/>
        <w:jc w:val="both"/>
        <w:rPr>
          <w:rFonts w:ascii="Palatino Linotype" w:eastAsia="Palatino Linotype" w:hAnsi="Palatino Linotype" w:cs="Palatino Linotype"/>
          <w:i/>
          <w:sz w:val="22"/>
          <w:szCs w:val="22"/>
        </w:rPr>
      </w:pPr>
    </w:p>
    <w:p w14:paraId="33A51CAB" w14:textId="77777777" w:rsidR="00072693" w:rsidRPr="000C77FA" w:rsidRDefault="002C1F92" w:rsidP="000C77FA">
      <w:pPr>
        <w:ind w:left="851" w:right="1134"/>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PÓLIZA CONTABLE</w:t>
      </w:r>
    </w:p>
    <w:p w14:paraId="60499D91" w14:textId="77777777" w:rsidR="00072693" w:rsidRPr="000C77FA" w:rsidRDefault="002C1F92" w:rsidP="000C77FA">
      <w:pPr>
        <w:spacing w:before="120"/>
        <w:ind w:left="851" w:right="1134"/>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Documento en el cual se asientan en forma individual todas y cada una de las operaciones desarrolladas por una institución, así como la información necesaria para la identificación de dichas operaciones.” (</w:t>
      </w:r>
      <w:proofErr w:type="gramStart"/>
      <w:r w:rsidRPr="000C77FA">
        <w:rPr>
          <w:rFonts w:ascii="Palatino Linotype" w:eastAsia="Palatino Linotype" w:hAnsi="Palatino Linotype" w:cs="Palatino Linotype"/>
          <w:i/>
          <w:sz w:val="22"/>
          <w:szCs w:val="22"/>
        </w:rPr>
        <w:t>sic</w:t>
      </w:r>
      <w:proofErr w:type="gramEnd"/>
      <w:r w:rsidRPr="000C77FA">
        <w:rPr>
          <w:rFonts w:ascii="Palatino Linotype" w:eastAsia="Palatino Linotype" w:hAnsi="Palatino Linotype" w:cs="Palatino Linotype"/>
          <w:i/>
          <w:sz w:val="22"/>
          <w:szCs w:val="22"/>
        </w:rPr>
        <w:t>)</w:t>
      </w:r>
    </w:p>
    <w:p w14:paraId="032EAE87" w14:textId="77777777" w:rsidR="00072693" w:rsidRPr="000C77FA" w:rsidRDefault="00072693" w:rsidP="000C77FA">
      <w:pPr>
        <w:spacing w:before="120" w:after="120"/>
        <w:ind w:left="851" w:right="899"/>
        <w:jc w:val="both"/>
        <w:rPr>
          <w:rFonts w:ascii="Palatino Linotype" w:eastAsia="Palatino Linotype" w:hAnsi="Palatino Linotype" w:cs="Palatino Linotype"/>
          <w:i/>
        </w:rPr>
      </w:pPr>
    </w:p>
    <w:p w14:paraId="30EA2545" w14:textId="77777777" w:rsidR="00072693" w:rsidRPr="000C77FA" w:rsidRDefault="002C1F92" w:rsidP="000C77FA">
      <w:pPr>
        <w:spacing w:before="120"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se advierte que la </w:t>
      </w:r>
      <w:r w:rsidRPr="000C77FA">
        <w:rPr>
          <w:rFonts w:ascii="Palatino Linotype" w:eastAsia="Palatino Linotype" w:hAnsi="Palatino Linotype" w:cs="Palatino Linotype"/>
          <w:i/>
        </w:rPr>
        <w:t>póliza contable</w:t>
      </w:r>
      <w:r w:rsidRPr="000C77FA">
        <w:rPr>
          <w:rFonts w:ascii="Palatino Linotype" w:eastAsia="Palatino Linotype" w:hAnsi="Palatino Linotype" w:cs="Palatino Linotype"/>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21A492B3" w14:textId="77777777" w:rsidR="00072693" w:rsidRPr="000C77FA" w:rsidRDefault="00072693" w:rsidP="000C77FA">
      <w:pPr>
        <w:spacing w:line="360" w:lineRule="auto"/>
        <w:jc w:val="both"/>
        <w:rPr>
          <w:rFonts w:ascii="Palatino Linotype" w:eastAsia="Palatino Linotype" w:hAnsi="Palatino Linotype" w:cs="Palatino Linotype"/>
        </w:rPr>
      </w:pPr>
    </w:p>
    <w:p w14:paraId="419CA436"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este sentido, existen diversos tipos de pólizas contables de acuerdo a las operaciones realizadas, dentro de las cuales, encontramos las llamadas </w:t>
      </w:r>
      <w:r w:rsidRPr="000C77FA">
        <w:rPr>
          <w:rFonts w:ascii="Palatino Linotype" w:eastAsia="Palatino Linotype" w:hAnsi="Palatino Linotype" w:cs="Palatino Linotype"/>
          <w:i/>
        </w:rPr>
        <w:t>pólizas de egresos</w:t>
      </w:r>
      <w:r w:rsidRPr="000C77FA">
        <w:rPr>
          <w:rFonts w:ascii="Palatino Linotype" w:eastAsia="Palatino Linotype" w:hAnsi="Palatino Linotype" w:cs="Palatino Linotype"/>
        </w:rPr>
        <w:t xml:space="preserve">, son aquellas en las cuales se anotan diariamente las operaciones que representan gastos, es decir, salidas de dinero para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las que, además, deben encontrarse acompañadas de las documentales que sirven de soporte de dicho movimiento. </w:t>
      </w:r>
    </w:p>
    <w:p w14:paraId="31547486" w14:textId="77777777" w:rsidR="00072693" w:rsidRPr="000C77FA" w:rsidRDefault="00072693" w:rsidP="000C77FA">
      <w:pPr>
        <w:spacing w:line="360" w:lineRule="auto"/>
        <w:jc w:val="both"/>
        <w:rPr>
          <w:rFonts w:ascii="Palatino Linotype" w:eastAsia="Palatino Linotype" w:hAnsi="Palatino Linotype" w:cs="Palatino Linotype"/>
        </w:rPr>
      </w:pPr>
    </w:p>
    <w:p w14:paraId="10070868" w14:textId="77777777" w:rsidR="00072693" w:rsidRPr="000C77FA" w:rsidRDefault="002C1F92" w:rsidP="000C77FA">
      <w:pPr>
        <w:spacing w:line="360" w:lineRule="auto"/>
        <w:ind w:right="50"/>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este modo,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debe tener registro de la expedición de las pólizas de egresos; que le son requeridos a través del ejercicio del derecho fundamental de acceso a la información pública, ya que con tales documentales acredita y soporta el gasto realizado, es decir se hace del conocimiento de los particulares el uso y destino de los recursos públicos. </w:t>
      </w:r>
    </w:p>
    <w:p w14:paraId="78DA3B72" w14:textId="77777777" w:rsidR="00072693" w:rsidRPr="000C77FA" w:rsidRDefault="00072693" w:rsidP="000C77FA">
      <w:pPr>
        <w:spacing w:line="360" w:lineRule="auto"/>
        <w:ind w:right="50"/>
        <w:jc w:val="both"/>
        <w:rPr>
          <w:rFonts w:ascii="Palatino Linotype" w:eastAsia="Palatino Linotype" w:hAnsi="Palatino Linotype" w:cs="Palatino Linotype"/>
        </w:rPr>
      </w:pPr>
    </w:p>
    <w:p w14:paraId="6727710F" w14:textId="77777777" w:rsidR="00072693" w:rsidRPr="000C77FA" w:rsidRDefault="002C1F92" w:rsidP="000C77FA">
      <w:pPr>
        <w:spacing w:line="360" w:lineRule="auto"/>
        <w:ind w:right="50"/>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igual forma, es de suma importancia destacar que el penúltimo párrafo, del artículo 23 de la Ley de Transparencia y Acceso a la Información Pública del Estado de México y Municipios, establece como deber de los sujetos obligados de hacer pública toda la información relativa a los montos y personas a quienes se entreguen recursos públicos, con la única finalidad de dar a conocer a la ciudadanía la forma, términos y montos en que se aplican los recursos públicos y con ello transparentar la forma, términos, causas y finalidad en la disposición de esos recursos; ya que este precepto legal que establece: </w:t>
      </w:r>
    </w:p>
    <w:p w14:paraId="6F2934F9" w14:textId="77777777" w:rsidR="00072693" w:rsidRPr="000C77FA" w:rsidRDefault="00072693" w:rsidP="000C77FA">
      <w:pPr>
        <w:ind w:left="902" w:right="851"/>
        <w:jc w:val="both"/>
        <w:rPr>
          <w:rFonts w:ascii="Palatino Linotype" w:eastAsia="Palatino Linotype" w:hAnsi="Palatino Linotype" w:cs="Palatino Linotype"/>
          <w:sz w:val="22"/>
          <w:szCs w:val="22"/>
        </w:rPr>
      </w:pPr>
    </w:p>
    <w:p w14:paraId="1AE21D36" w14:textId="77777777" w:rsidR="00072693" w:rsidRPr="000C77FA" w:rsidRDefault="002C1F92" w:rsidP="000C77FA">
      <w:pPr>
        <w:ind w:left="851" w:right="1134"/>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“Artículo 23…</w:t>
      </w:r>
    </w:p>
    <w:p w14:paraId="6F8751B1" w14:textId="77777777" w:rsidR="00072693" w:rsidRPr="000C77FA" w:rsidRDefault="00072693" w:rsidP="000C77FA">
      <w:pPr>
        <w:ind w:left="851" w:right="1134"/>
        <w:jc w:val="both"/>
        <w:rPr>
          <w:rFonts w:ascii="Palatino Linotype" w:eastAsia="Palatino Linotype" w:hAnsi="Palatino Linotype" w:cs="Palatino Linotype"/>
          <w:i/>
          <w:sz w:val="22"/>
          <w:szCs w:val="22"/>
        </w:rPr>
      </w:pPr>
    </w:p>
    <w:p w14:paraId="3555F288" w14:textId="77777777" w:rsidR="00072693" w:rsidRPr="000C77FA" w:rsidRDefault="002C1F92" w:rsidP="000C77FA">
      <w:pPr>
        <w:ind w:left="851" w:right="1134"/>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D460F5E" w14:textId="77777777" w:rsidR="00072693" w:rsidRPr="000C77FA" w:rsidRDefault="002C1F92" w:rsidP="000C77FA">
      <w:pPr>
        <w:ind w:left="851" w:right="1134"/>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 (…)”</w:t>
      </w:r>
    </w:p>
    <w:p w14:paraId="43C85952" w14:textId="77777777" w:rsidR="00072693" w:rsidRPr="000C77FA" w:rsidRDefault="00072693" w:rsidP="000C77FA">
      <w:pPr>
        <w:pBdr>
          <w:top w:val="nil"/>
          <w:left w:val="nil"/>
          <w:bottom w:val="nil"/>
          <w:right w:val="nil"/>
          <w:between w:val="nil"/>
        </w:pBdr>
        <w:ind w:left="902" w:right="851"/>
        <w:jc w:val="both"/>
        <w:rPr>
          <w:rFonts w:ascii="Palatino Linotype" w:eastAsia="Palatino Linotype" w:hAnsi="Palatino Linotype" w:cs="Palatino Linotype"/>
          <w:sz w:val="22"/>
          <w:szCs w:val="22"/>
        </w:rPr>
      </w:pPr>
    </w:p>
    <w:p w14:paraId="78178643" w14:textId="2DA0B36D" w:rsidR="00072693" w:rsidRPr="000C77FA" w:rsidRDefault="002C1F92" w:rsidP="000C77FA">
      <w:pPr>
        <w:tabs>
          <w:tab w:val="left" w:pos="7938"/>
        </w:tabs>
        <w:spacing w:line="360" w:lineRule="auto"/>
        <w:jc w:val="both"/>
        <w:rPr>
          <w:rFonts w:ascii="Palatino Linotype" w:eastAsia="Palatino Linotype" w:hAnsi="Palatino Linotype" w:cs="Palatino Linotype"/>
        </w:rPr>
      </w:pPr>
      <w:bookmarkStart w:id="14" w:name="_heading=h.2s8eyo1" w:colFirst="0" w:colLast="0"/>
      <w:bookmarkEnd w:id="14"/>
      <w:r w:rsidRPr="000C77FA">
        <w:rPr>
          <w:rFonts w:ascii="Palatino Linotype" w:eastAsia="Palatino Linotype" w:hAnsi="Palatino Linotype" w:cs="Palatino Linotype"/>
        </w:rPr>
        <w:t xml:space="preserve">Ahora bien,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solicitó </w:t>
      </w:r>
      <w:r w:rsidRPr="000C77FA">
        <w:rPr>
          <w:rFonts w:ascii="Palatino Linotype" w:eastAsia="Palatino Linotype" w:hAnsi="Palatino Linotype" w:cs="Palatino Linotype"/>
          <w:u w:val="single"/>
        </w:rPr>
        <w:t>facturas de diferente temporalidad</w:t>
      </w:r>
      <w:r w:rsidRPr="000C77FA">
        <w:rPr>
          <w:rFonts w:ascii="Palatino Linotype" w:eastAsia="Palatino Linotype" w:hAnsi="Palatino Linotype" w:cs="Palatino Linotype"/>
        </w:rPr>
        <w:t xml:space="preserve">, pronunciándose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que: </w:t>
      </w:r>
    </w:p>
    <w:p w14:paraId="3986B2A0" w14:textId="77777777" w:rsidR="00072693" w:rsidRPr="000C77FA" w:rsidRDefault="00072693" w:rsidP="000C77FA">
      <w:pPr>
        <w:spacing w:line="360" w:lineRule="auto"/>
        <w:jc w:val="both"/>
        <w:rPr>
          <w:rFonts w:ascii="Palatino Linotype" w:eastAsia="Palatino Linotype" w:hAnsi="Palatino Linotype" w:cs="Palatino Linotype"/>
        </w:rPr>
      </w:pPr>
    </w:p>
    <w:p w14:paraId="7F7F6862" w14:textId="77777777" w:rsidR="00072693" w:rsidRPr="000C77FA" w:rsidRDefault="002C1F92" w:rsidP="000C77FA">
      <w:pPr>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“Con fundamento en el artículo 158 la Ley de Transparencia y Acceso a la Información Pública del Estado de México y Municipios, se informó a la Unidad de Información, Planeación, Programación y Evaluación, que la entrega o reproducción sobrepasa las capacidades técnicas, administrativas y humanas de este sujeto obligado. Por lo que, mediante el acta SCTYTUR/CT/EXT-25/2022, se determinó poner a disposición del ciudadano el acervo documental relativo a la solicitud en mención; en las oficinas de la Dirección de Finanzas de la Secretaría de Cultura y Turismo, ubicadas en CD. Deportiva “Edo. </w:t>
      </w:r>
      <w:proofErr w:type="spellStart"/>
      <w:r w:rsidRPr="000C77FA">
        <w:rPr>
          <w:rFonts w:ascii="Palatino Linotype" w:eastAsia="Palatino Linotype" w:hAnsi="Palatino Linotype" w:cs="Palatino Linotype"/>
          <w:i/>
          <w:sz w:val="22"/>
          <w:szCs w:val="22"/>
        </w:rPr>
        <w:t>Méx</w:t>
      </w:r>
      <w:proofErr w:type="spellEnd"/>
      <w:r w:rsidRPr="000C77FA">
        <w:rPr>
          <w:rFonts w:ascii="Palatino Linotype" w:eastAsia="Palatino Linotype" w:hAnsi="Palatino Linotype" w:cs="Palatino Linotype"/>
          <w:i/>
          <w:sz w:val="22"/>
          <w:szCs w:val="22"/>
        </w:rPr>
        <w:t>”, calle Deportiva #100, colonia Irma Patricia Galindo de Reza, Zinacantepec, Estado de México; en un horario de 9:00 a 18:00 horas, para su consulta y revisión. (</w:t>
      </w:r>
      <w:proofErr w:type="gramStart"/>
      <w:r w:rsidRPr="000C77FA">
        <w:rPr>
          <w:rFonts w:ascii="Palatino Linotype" w:eastAsia="Palatino Linotype" w:hAnsi="Palatino Linotype" w:cs="Palatino Linotype"/>
          <w:i/>
          <w:sz w:val="22"/>
          <w:szCs w:val="22"/>
        </w:rPr>
        <w:t>se</w:t>
      </w:r>
      <w:proofErr w:type="gramEnd"/>
      <w:r w:rsidRPr="000C77FA">
        <w:rPr>
          <w:rFonts w:ascii="Palatino Linotype" w:eastAsia="Palatino Linotype" w:hAnsi="Palatino Linotype" w:cs="Palatino Linotype"/>
          <w:i/>
          <w:sz w:val="22"/>
          <w:szCs w:val="22"/>
        </w:rPr>
        <w:t xml:space="preserve"> adjunta acta).”</w:t>
      </w:r>
    </w:p>
    <w:p w14:paraId="55D463A6" w14:textId="77777777" w:rsidR="00072693" w:rsidRPr="000C77FA" w:rsidRDefault="00072693" w:rsidP="000C77FA">
      <w:pPr>
        <w:spacing w:line="360" w:lineRule="auto"/>
        <w:jc w:val="both"/>
        <w:rPr>
          <w:rFonts w:ascii="Palatino Linotype" w:eastAsia="Palatino Linotype" w:hAnsi="Palatino Linotype" w:cs="Palatino Linotype"/>
        </w:rPr>
      </w:pPr>
    </w:p>
    <w:p w14:paraId="25E36118" w14:textId="21EBD74A" w:rsidR="009C0436" w:rsidRPr="000C77FA" w:rsidRDefault="00A77541"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este sentido, </w:t>
      </w:r>
      <w:r w:rsidR="00AB772F" w:rsidRPr="000C77FA">
        <w:rPr>
          <w:rFonts w:ascii="Palatino Linotype" w:eastAsia="Palatino Linotype" w:hAnsi="Palatino Linotype" w:cs="Palatino Linotype"/>
        </w:rPr>
        <w:t xml:space="preserve">se advierte que nos encontramos ante un cambio de modalidad, por lo que, </w:t>
      </w:r>
      <w:r w:rsidRPr="000C77FA">
        <w:rPr>
          <w:rFonts w:ascii="Palatino Linotype" w:eastAsia="Palatino Linotype" w:hAnsi="Palatino Linotype" w:cs="Palatino Linotype"/>
        </w:rPr>
        <w:t xml:space="preserve">conviene mencionar que el artículo 155, fracción V, de la Ley de Transparencia y Acceso a la Información Pública del Estado de México y Municipios, precisa que para presentar una solicitud, el particular podrá señalar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En la entidad, el Organismo Garante determinó en el formato de solicitud, que podría ser SAIMEX, </w:t>
      </w:r>
      <w:proofErr w:type="spellStart"/>
      <w:r w:rsidRPr="000C77FA">
        <w:rPr>
          <w:rFonts w:ascii="Palatino Linotype" w:eastAsia="Palatino Linotype" w:hAnsi="Palatino Linotype" w:cs="Palatino Linotype"/>
        </w:rPr>
        <w:t>CD-Rom</w:t>
      </w:r>
      <w:proofErr w:type="spellEnd"/>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rPr>
        <w:lastRenderedPageBreak/>
        <w:t>(con costo), copias simples (con costo), copias certificadas (con costo), consulta directa (sin costo), o bien, cualquier otro que determine la persona solicitante.</w:t>
      </w:r>
    </w:p>
    <w:p w14:paraId="48729E98" w14:textId="77777777" w:rsidR="009C0436" w:rsidRPr="000C77FA" w:rsidRDefault="009C0436" w:rsidP="000C77FA">
      <w:pPr>
        <w:spacing w:line="360" w:lineRule="auto"/>
        <w:ind w:right="51"/>
        <w:jc w:val="both"/>
        <w:rPr>
          <w:rFonts w:ascii="Palatino Linotype" w:eastAsia="Palatino Linotype" w:hAnsi="Palatino Linotype" w:cs="Palatino Linotype"/>
        </w:rPr>
      </w:pPr>
    </w:p>
    <w:p w14:paraId="275257F5" w14:textId="16CAABFE" w:rsidR="00A77541" w:rsidRPr="000C77FA" w:rsidRDefault="00A77541"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Por su parte, 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81F985D" w14:textId="77777777" w:rsidR="00AB772F" w:rsidRPr="000C77FA" w:rsidRDefault="00AB772F" w:rsidP="000C77FA">
      <w:pPr>
        <w:spacing w:line="360" w:lineRule="auto"/>
        <w:ind w:right="51"/>
        <w:jc w:val="both"/>
        <w:rPr>
          <w:rFonts w:ascii="Palatino Linotype" w:eastAsia="Palatino Linotype" w:hAnsi="Palatino Linotype" w:cs="Palatino Linotype"/>
        </w:rPr>
      </w:pPr>
    </w:p>
    <w:p w14:paraId="44D5D2FF" w14:textId="6A0599AC" w:rsidR="00A77541" w:rsidRPr="000C77FA" w:rsidRDefault="00A77541"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De modo que el acceso a la información debe darse en la modalidad de entrega elegida por la parte solicitante, y sólo para los casos en que se encuentren impedidos los sujetos obligados podrán ofrecer otra u otras modalidades debiendo fundar y motivar adecuadamente el cambio de modalidad en la entrega de la información</w:t>
      </w:r>
      <w:r w:rsidRPr="000C77FA">
        <w:rPr>
          <w:rStyle w:val="Refdenotaalpie"/>
          <w:rFonts w:ascii="Palatino Linotype" w:eastAsia="Palatino Linotype" w:hAnsi="Palatino Linotype" w:cs="Palatino Linotype"/>
        </w:rPr>
        <w:footnoteReference w:id="16"/>
      </w:r>
      <w:r w:rsidRPr="000C77FA">
        <w:rPr>
          <w:rFonts w:ascii="Palatino Linotype" w:eastAsia="Palatino Linotype" w:hAnsi="Palatino Linotype" w:cs="Palatino Linotype"/>
        </w:rPr>
        <w:t>,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14:paraId="53729AAD" w14:textId="77777777" w:rsidR="00A77541" w:rsidRPr="000C77FA" w:rsidRDefault="00A77541" w:rsidP="000C77FA">
      <w:pPr>
        <w:ind w:left="851" w:right="616"/>
        <w:jc w:val="both"/>
        <w:rPr>
          <w:rFonts w:ascii="Palatino Linotype" w:eastAsia="Palatino Linotype" w:hAnsi="Palatino Linotype" w:cs="Palatino Linotype"/>
          <w:i/>
          <w:iCs/>
          <w:sz w:val="22"/>
          <w:szCs w:val="22"/>
        </w:rPr>
      </w:pPr>
      <w:r w:rsidRPr="000C77FA">
        <w:rPr>
          <w:rFonts w:ascii="Palatino Linotype" w:eastAsia="Palatino Linotype" w:hAnsi="Palatino Linotype" w:cs="Palatino Linotype"/>
          <w:i/>
          <w:iCs/>
          <w:sz w:val="22"/>
          <w:szCs w:val="22"/>
        </w:rPr>
        <w:lastRenderedPageBreak/>
        <w:t>“</w:t>
      </w:r>
      <w:r w:rsidRPr="000C77FA">
        <w:rPr>
          <w:rFonts w:ascii="Palatino Linotype" w:eastAsia="Palatino Linotype" w:hAnsi="Palatino Linotype" w:cs="Palatino Linotype"/>
          <w:b/>
          <w:bCs/>
          <w:i/>
          <w:iCs/>
          <w:sz w:val="22"/>
          <w:szCs w:val="22"/>
        </w:rPr>
        <w:t>FUNDAMENTACIÓN Y MOTIVACIÓN DE LOS ACTOS ADMINISTRATIVOS.</w:t>
      </w:r>
      <w:r w:rsidRPr="000C77FA">
        <w:rPr>
          <w:rFonts w:ascii="Palatino Linotype" w:eastAsia="Palatino Linotype" w:hAnsi="Palatino Linotype" w:cs="Palatino Linotype"/>
          <w:i/>
          <w:iCs/>
          <w:sz w:val="22"/>
          <w:szCs w:val="22"/>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w:t>
      </w:r>
      <w:proofErr w:type="spellStart"/>
      <w:r w:rsidRPr="000C77FA">
        <w:rPr>
          <w:rFonts w:ascii="Palatino Linotype" w:eastAsia="Palatino Linotype" w:hAnsi="Palatino Linotype" w:cs="Palatino Linotype"/>
          <w:i/>
          <w:iCs/>
          <w:sz w:val="22"/>
          <w:szCs w:val="22"/>
        </w:rPr>
        <w:t>subincisos</w:t>
      </w:r>
      <w:proofErr w:type="spellEnd"/>
      <w:r w:rsidRPr="000C77FA">
        <w:rPr>
          <w:rFonts w:ascii="Palatino Linotype" w:eastAsia="Palatino Linotype" w:hAnsi="Palatino Linotype" w:cs="Palatino Linotype"/>
          <w:i/>
          <w:iCs/>
          <w:sz w:val="22"/>
          <w:szCs w:val="22"/>
        </w:rPr>
        <w:t xml:space="preserve">, fracciones y preceptos aplicable, y b).- Los cuerpos legales y preceptos que otorgan competencia o facultades a las autoridades para emitir el acto en agravio del gobernado.” </w:t>
      </w:r>
    </w:p>
    <w:p w14:paraId="3FCF8F4D" w14:textId="77777777" w:rsidR="00A77541" w:rsidRPr="000C77FA" w:rsidRDefault="00A77541" w:rsidP="000C77FA">
      <w:pPr>
        <w:spacing w:line="360" w:lineRule="auto"/>
        <w:ind w:right="51"/>
        <w:jc w:val="both"/>
        <w:rPr>
          <w:rFonts w:ascii="Palatino Linotype" w:eastAsia="Palatino Linotype" w:hAnsi="Palatino Linotype" w:cs="Palatino Linotype"/>
        </w:rPr>
      </w:pPr>
    </w:p>
    <w:p w14:paraId="3F09F6FC" w14:textId="20FD0641" w:rsidR="00A77541" w:rsidRPr="000C77FA" w:rsidRDefault="00A77541"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En ese entendido, según lo dispuesto en los artículos 160 y 164 de la Ley en cita, los Sujetos Obligados deben otorgar acceso a los documentos que se encuentren en sus archivos o que estén obligados a documentar de acuerdo con sus facultades, competencias o funciones en el formato que el solicitante manifieste, debiendo dar el acceso a la información en la modalidad de entrega solicitada, empero en caso de ofrecer otra u otras modalidades de entrega deberá fundar y motivar su respuesta, a saber:</w:t>
      </w:r>
    </w:p>
    <w:p w14:paraId="60CA32D4" w14:textId="586A27E7" w:rsidR="00A77541" w:rsidRPr="000C77FA" w:rsidRDefault="00A77541" w:rsidP="000C77FA">
      <w:pPr>
        <w:ind w:left="851" w:right="616"/>
        <w:jc w:val="both"/>
        <w:rPr>
          <w:rFonts w:ascii="Palatino Linotype" w:eastAsia="Palatino Linotype" w:hAnsi="Palatino Linotype" w:cs="Palatino Linotype"/>
          <w:i/>
          <w:iCs/>
          <w:sz w:val="22"/>
          <w:szCs w:val="22"/>
        </w:rPr>
      </w:pPr>
      <w:r w:rsidRPr="000C77FA">
        <w:rPr>
          <w:rFonts w:ascii="Palatino Linotype" w:eastAsia="Palatino Linotype" w:hAnsi="Palatino Linotype" w:cs="Palatino Linotype"/>
          <w:i/>
          <w:iCs/>
          <w:sz w:val="22"/>
          <w:szCs w:val="22"/>
        </w:rPr>
        <w:t>“</w:t>
      </w:r>
      <w:r w:rsidRPr="000C77FA">
        <w:rPr>
          <w:rFonts w:ascii="Palatino Linotype" w:eastAsia="Palatino Linotype" w:hAnsi="Palatino Linotype" w:cs="Palatino Linotype"/>
          <w:b/>
          <w:bCs/>
          <w:i/>
          <w:iCs/>
          <w:sz w:val="22"/>
          <w:szCs w:val="22"/>
        </w:rPr>
        <w:t>Artículo 160.</w:t>
      </w:r>
      <w:r w:rsidRPr="000C77FA">
        <w:rPr>
          <w:rFonts w:ascii="Palatino Linotype" w:eastAsia="Palatino Linotype" w:hAnsi="Palatino Linotype" w:cs="Palatino Linotype"/>
          <w:i/>
          <w:iCs/>
          <w:sz w:val="22"/>
          <w:szCs w:val="22"/>
        </w:rPr>
        <w:t xml:space="preserve"> Los sujetos obligados deberán otorgar acceso a los documentos que se encuentren en sus archivos o que estén obligados a documentar de acuerdo con sus facultades, competencias o funciones en el formato que el solicitante manifieste, </w:t>
      </w:r>
      <w:r w:rsidRPr="000C77FA">
        <w:rPr>
          <w:rFonts w:ascii="Palatino Linotype" w:eastAsia="Palatino Linotype" w:hAnsi="Palatino Linotype" w:cs="Palatino Linotype"/>
          <w:i/>
          <w:iCs/>
          <w:sz w:val="22"/>
          <w:szCs w:val="22"/>
        </w:rPr>
        <w:lastRenderedPageBreak/>
        <w:t>de entre aquellos formatos existentes, conforme a las características físicas de la información o del lugar donde se encuentre así lo permita.</w:t>
      </w:r>
    </w:p>
    <w:p w14:paraId="7CCFC487" w14:textId="77777777" w:rsidR="00AB772F" w:rsidRPr="000C77FA" w:rsidRDefault="00AB772F" w:rsidP="000C77FA">
      <w:pPr>
        <w:ind w:left="851" w:right="616"/>
        <w:jc w:val="both"/>
        <w:rPr>
          <w:rFonts w:ascii="Palatino Linotype" w:eastAsia="Palatino Linotype" w:hAnsi="Palatino Linotype" w:cs="Palatino Linotype"/>
          <w:i/>
          <w:iCs/>
          <w:sz w:val="22"/>
          <w:szCs w:val="22"/>
        </w:rPr>
      </w:pPr>
    </w:p>
    <w:p w14:paraId="0B7299CF" w14:textId="65054E8D" w:rsidR="00AB772F" w:rsidRPr="000C77FA" w:rsidRDefault="00AB772F" w:rsidP="000C77FA">
      <w:pPr>
        <w:ind w:left="851" w:right="616"/>
        <w:jc w:val="both"/>
        <w:rPr>
          <w:rFonts w:ascii="Palatino Linotype" w:eastAsia="Palatino Linotype" w:hAnsi="Palatino Linotype" w:cs="Palatino Linotype"/>
          <w:i/>
          <w:iCs/>
          <w:sz w:val="22"/>
          <w:szCs w:val="22"/>
        </w:rPr>
      </w:pPr>
      <w:r w:rsidRPr="000C77FA">
        <w:rPr>
          <w:rFonts w:ascii="Palatino Linotype" w:eastAsia="Palatino Linotype" w:hAnsi="Palatino Linotype" w:cs="Palatino Linotype"/>
          <w:b/>
          <w:bCs/>
          <w:i/>
          <w:iCs/>
          <w:sz w:val="22"/>
          <w:szCs w:val="22"/>
        </w:rPr>
        <w:t>Artículo 164.</w:t>
      </w:r>
      <w:r w:rsidRPr="000C77FA">
        <w:rPr>
          <w:rFonts w:ascii="Palatino Linotype" w:eastAsia="Palatino Linotype" w:hAnsi="Palatino Linotype" w:cs="Palatino Linotype"/>
          <w:i/>
          <w:iCs/>
          <w:sz w:val="22"/>
          <w:szCs w:val="22"/>
        </w:rPr>
        <w:t xml:space="preserve"> El acceso se dará en la modalidad de entrega y, en su caso, de envío elegidos por el solicitante. Cuando la información no pueda entregarse o enviarse en la modalidad solicitada</w:t>
      </w:r>
      <w:r w:rsidRPr="000C77FA">
        <w:rPr>
          <w:rFonts w:ascii="Palatino Linotype" w:eastAsia="Palatino Linotype" w:hAnsi="Palatino Linotype" w:cs="Palatino Linotype"/>
          <w:b/>
          <w:bCs/>
          <w:i/>
          <w:iCs/>
          <w:sz w:val="22"/>
          <w:szCs w:val="22"/>
          <w:u w:val="single"/>
        </w:rPr>
        <w:t>, el sujeto obligado deberá ofrecer otra u otras modalidades de entrega.</w:t>
      </w:r>
      <w:r w:rsidRPr="000C77FA">
        <w:rPr>
          <w:rFonts w:ascii="Palatino Linotype" w:eastAsia="Palatino Linotype" w:hAnsi="Palatino Linotype" w:cs="Palatino Linotype"/>
          <w:i/>
          <w:iCs/>
          <w:sz w:val="22"/>
          <w:szCs w:val="22"/>
        </w:rPr>
        <w:t xml:space="preserve"> En cualquier caso, se deberá fundar y motivar la necesidad de ofrecer otras modalidades.”</w:t>
      </w:r>
    </w:p>
    <w:p w14:paraId="2FD83055" w14:textId="77777777" w:rsidR="00A77541" w:rsidRPr="000C77FA" w:rsidRDefault="00A77541" w:rsidP="000C77FA">
      <w:pPr>
        <w:spacing w:line="360" w:lineRule="auto"/>
        <w:ind w:right="51"/>
        <w:jc w:val="both"/>
        <w:rPr>
          <w:rFonts w:ascii="Palatino Linotype" w:eastAsia="Palatino Linotype" w:hAnsi="Palatino Linotype" w:cs="Palatino Linotype"/>
        </w:rPr>
      </w:pPr>
    </w:p>
    <w:p w14:paraId="2E1E9E5E" w14:textId="49B56E40" w:rsidR="00AB772F" w:rsidRPr="000C77FA" w:rsidRDefault="00AB772F"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Por lo cual, los Sujetos Obligados podrán poner a disposición, los documentos solicitados, en todo caso, por cualquier medio disponible en sus instalaciones, cuando de forma fundada y motivada se determine que implica un análisis, estudio o procesamiento, cuya entrega o reproducción sobrepase las capacidades técnicas administrativas y humanas. 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en la medida de lo posible, en la forma solicitada por el interesado, salvo que exista un impedimento justificado para atenderla, en cuyo caso, deberán exponerse las razones por las cuales no es posible utilizar el medio de reproducción solicitado; en este sentido, la entrega de la información en una modalidad distinta a la elegida por </w:t>
      </w:r>
      <w:r w:rsidR="001E313F" w:rsidRPr="000C77FA">
        <w:rPr>
          <w:rFonts w:ascii="Palatino Linotype" w:eastAsia="Palatino Linotype" w:hAnsi="Palatino Linotype" w:cs="Palatino Linotype"/>
        </w:rPr>
        <w:t>el</w:t>
      </w:r>
      <w:r w:rsidRPr="000C77FA">
        <w:rPr>
          <w:rFonts w:ascii="Palatino Linotype" w:eastAsia="Palatino Linotype" w:hAnsi="Palatino Linotype" w:cs="Palatino Linotype"/>
        </w:rPr>
        <w:t xml:space="preserve"> particular </w:t>
      </w:r>
      <w:r w:rsidRPr="000C77FA">
        <w:rPr>
          <w:rFonts w:ascii="Palatino Linotype" w:eastAsia="Palatino Linotype" w:hAnsi="Palatino Linotype" w:cs="Palatino Linotype"/>
          <w:b/>
          <w:bCs/>
        </w:rPr>
        <w:t>sólo procede, en caso de que se acredite la imposibilidad de atenderla</w:t>
      </w:r>
      <w:r w:rsidRPr="000C77FA">
        <w:rPr>
          <w:rFonts w:ascii="Palatino Linotype" w:eastAsia="Palatino Linotype" w:hAnsi="Palatino Linotype" w:cs="Palatino Linotype"/>
        </w:rPr>
        <w:t>.</w:t>
      </w:r>
    </w:p>
    <w:p w14:paraId="0543AFA4" w14:textId="77777777" w:rsidR="00AB772F" w:rsidRPr="000C77FA" w:rsidRDefault="00AB772F" w:rsidP="000C77FA">
      <w:pPr>
        <w:spacing w:line="360" w:lineRule="auto"/>
        <w:ind w:right="51"/>
        <w:jc w:val="both"/>
        <w:rPr>
          <w:rFonts w:ascii="Palatino Linotype" w:eastAsia="Palatino Linotype" w:hAnsi="Palatino Linotype" w:cs="Palatino Linotype"/>
        </w:rPr>
      </w:pPr>
    </w:p>
    <w:p w14:paraId="2992D946" w14:textId="7208B05A" w:rsidR="00AB772F" w:rsidRPr="000C77FA" w:rsidRDefault="00AB772F"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cuando se justifique el impedimento, los Sujetos Obligados deberán ofrecer al particular otras modalidades de entrega que permita la información, como consulta </w:t>
      </w:r>
      <w:r w:rsidRPr="000C77FA">
        <w:rPr>
          <w:rFonts w:ascii="Palatino Linotype" w:eastAsia="Palatino Linotype" w:hAnsi="Palatino Linotype" w:cs="Palatino Linotype"/>
        </w:rPr>
        <w:lastRenderedPageBreak/>
        <w:t>directa en las oficinas de la Unidad de Transparencia, la expedición de copias simples o certificadas, o la reproducción en cualquier otro medio, incluidos los electrónicos, lo que se robustece con el criterio 08/17, emitido por el Pleno del Instituto Nacional de Transparencia, Acceso a la Información y Protección de Datos Personales, el cual establece lo siguiente:</w:t>
      </w:r>
    </w:p>
    <w:p w14:paraId="4BF02FF8" w14:textId="77777777" w:rsidR="00AB772F" w:rsidRPr="000C77FA" w:rsidRDefault="00AB772F" w:rsidP="000C77FA">
      <w:pPr>
        <w:spacing w:line="360" w:lineRule="auto"/>
        <w:ind w:right="51"/>
        <w:jc w:val="both"/>
        <w:rPr>
          <w:rFonts w:ascii="Palatino Linotype" w:eastAsia="Palatino Linotype" w:hAnsi="Palatino Linotype" w:cs="Palatino Linotype"/>
        </w:rPr>
      </w:pPr>
    </w:p>
    <w:p w14:paraId="2124517B" w14:textId="51724C8C" w:rsidR="00AB772F" w:rsidRPr="000C77FA" w:rsidRDefault="00AB772F" w:rsidP="000C77FA">
      <w:pPr>
        <w:ind w:left="851" w:right="616"/>
        <w:jc w:val="both"/>
        <w:rPr>
          <w:rFonts w:ascii="Palatino Linotype" w:eastAsia="Palatino Linotype" w:hAnsi="Palatino Linotype" w:cs="Palatino Linotype"/>
          <w:i/>
          <w:iCs/>
          <w:sz w:val="22"/>
          <w:szCs w:val="22"/>
        </w:rPr>
      </w:pPr>
      <w:r w:rsidRPr="000C77FA">
        <w:rPr>
          <w:rFonts w:ascii="Palatino Linotype" w:eastAsia="Palatino Linotype" w:hAnsi="Palatino Linotype" w:cs="Palatino Linotype"/>
          <w:i/>
          <w:iCs/>
          <w:sz w:val="22"/>
          <w:szCs w:val="22"/>
        </w:rPr>
        <w:t>“</w:t>
      </w:r>
      <w:r w:rsidRPr="000C77FA">
        <w:rPr>
          <w:rFonts w:ascii="Palatino Linotype" w:eastAsia="Palatino Linotype" w:hAnsi="Palatino Linotype" w:cs="Palatino Linotype"/>
          <w:b/>
          <w:bCs/>
          <w:i/>
          <w:iCs/>
          <w:sz w:val="22"/>
          <w:szCs w:val="22"/>
        </w:rPr>
        <w:t>Modalidad de entrega. Procedencia de proporcionar la información solicitada en una diversa a la elegida por el solicitante.</w:t>
      </w:r>
      <w:r w:rsidRPr="000C77FA">
        <w:rPr>
          <w:rFonts w:ascii="Palatino Linotype" w:eastAsia="Palatino Linotype" w:hAnsi="Palatino Linotype" w:cs="Palatino Linotype"/>
          <w:i/>
          <w:iCs/>
          <w:sz w:val="22"/>
          <w:szCs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14:paraId="29DEA73F" w14:textId="77777777" w:rsidR="00AB772F" w:rsidRPr="000C77FA" w:rsidRDefault="00AB772F" w:rsidP="000C77FA">
      <w:pPr>
        <w:spacing w:line="360" w:lineRule="auto"/>
        <w:ind w:right="51"/>
        <w:jc w:val="both"/>
        <w:rPr>
          <w:rFonts w:ascii="Palatino Linotype" w:eastAsia="Palatino Linotype" w:hAnsi="Palatino Linotype" w:cs="Palatino Linotype"/>
        </w:rPr>
      </w:pPr>
    </w:p>
    <w:p w14:paraId="7AD7D886" w14:textId="5F250286" w:rsidR="00AB772F" w:rsidRPr="000C77FA" w:rsidRDefault="00AB772F"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Del citado criterio, se desprende que cuando la información no pueda entregarse o enviarse en la modalidad elegida, para que la obligación de acceso a la información se tenga por cumplida, </w:t>
      </w:r>
      <w:r w:rsidRPr="000C77FA">
        <w:rPr>
          <w:rFonts w:ascii="Palatino Linotype" w:eastAsia="Palatino Linotype" w:hAnsi="Palatino Linotype" w:cs="Palatino Linotype"/>
          <w:b/>
          <w:bCs/>
        </w:rPr>
        <w:t>EL SUJETO OBLIGADO</w:t>
      </w:r>
      <w:r w:rsidRPr="000C77FA">
        <w:rPr>
          <w:rFonts w:ascii="Palatino Linotype" w:eastAsia="Palatino Linotype" w:hAnsi="Palatino Linotype" w:cs="Palatino Linotype"/>
        </w:rPr>
        <w:t xml:space="preserve"> deberá ofrecer otra u otras modalidades de entrega. En cualquier caso, se deberá fundar y motivar la necesidad de ofrecer otras modalidades que lo permitan, procurando reducir los costos de entrega. En el presente asunto, desde la respuesta </w:t>
      </w:r>
      <w:r w:rsidRPr="000C77FA">
        <w:rPr>
          <w:rFonts w:ascii="Palatino Linotype" w:eastAsia="Palatino Linotype" w:hAnsi="Palatino Linotype" w:cs="Palatino Linotype"/>
          <w:b/>
          <w:bCs/>
        </w:rPr>
        <w:t>EL SUJETO OBLIGADO</w:t>
      </w:r>
      <w:r w:rsidRPr="000C77FA">
        <w:rPr>
          <w:rFonts w:ascii="Palatino Linotype" w:eastAsia="Palatino Linotype" w:hAnsi="Palatino Linotype" w:cs="Palatino Linotype"/>
        </w:rPr>
        <w:t xml:space="preserve"> argumento de que la información requerida en los recursos de revisión excede las capacidades técnicas, del sistema, debido a la cantidad de documento; insertando en una tabla de manera detallada la cantidad de hojas que constan los documentos que se entregarían en cada solicitud.</w:t>
      </w:r>
    </w:p>
    <w:p w14:paraId="153ED65D" w14:textId="77777777" w:rsidR="00AB772F" w:rsidRPr="000C77FA" w:rsidRDefault="00AB772F" w:rsidP="000C77FA">
      <w:pPr>
        <w:spacing w:line="360" w:lineRule="auto"/>
        <w:ind w:right="51"/>
        <w:jc w:val="both"/>
        <w:rPr>
          <w:rFonts w:ascii="Palatino Linotype" w:eastAsia="Palatino Linotype" w:hAnsi="Palatino Linotype" w:cs="Palatino Linotype"/>
        </w:rPr>
      </w:pPr>
    </w:p>
    <w:p w14:paraId="24DB32BA" w14:textId="524530A0" w:rsidR="00AB772F" w:rsidRPr="000C77FA" w:rsidRDefault="00AB772F"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Ahora bien, de la revisión del Acta de la vigésima quinta sesión extraordinaria del Comité de Transparencia de la </w:t>
      </w:r>
      <w:r w:rsidR="004744AB" w:rsidRPr="000C77FA">
        <w:rPr>
          <w:rFonts w:ascii="Palatino Linotype" w:eastAsia="Palatino Linotype" w:hAnsi="Palatino Linotype" w:cs="Palatino Linotype"/>
        </w:rPr>
        <w:t>Secretaría</w:t>
      </w:r>
      <w:r w:rsidRPr="000C77FA">
        <w:rPr>
          <w:rFonts w:ascii="Palatino Linotype" w:eastAsia="Palatino Linotype" w:hAnsi="Palatino Linotype" w:cs="Palatino Linotype"/>
        </w:rPr>
        <w:t xml:space="preserve"> de Cultura y Turismo del Gobierno del Estado de México, remitida en respuesta por </w:t>
      </w:r>
      <w:r w:rsidRPr="000C77FA">
        <w:rPr>
          <w:rFonts w:ascii="Palatino Linotype" w:eastAsia="Palatino Linotype" w:hAnsi="Palatino Linotype" w:cs="Palatino Linotype"/>
          <w:b/>
          <w:bCs/>
        </w:rPr>
        <w:t xml:space="preserve">EL SUJETO OBLIGADO </w:t>
      </w:r>
      <w:r w:rsidRPr="000C77FA">
        <w:rPr>
          <w:rFonts w:ascii="Palatino Linotype" w:eastAsia="Palatino Linotype" w:hAnsi="Palatino Linotype" w:cs="Palatino Linotype"/>
        </w:rPr>
        <w:t>se observa:</w:t>
      </w:r>
    </w:p>
    <w:p w14:paraId="0835CA9D" w14:textId="77777777" w:rsidR="00AB772F" w:rsidRPr="000C77FA" w:rsidRDefault="00AB772F" w:rsidP="000C77FA">
      <w:pPr>
        <w:spacing w:line="360" w:lineRule="auto"/>
        <w:jc w:val="center"/>
        <w:rPr>
          <w:rFonts w:ascii="Palatino Linotype" w:eastAsia="Palatino Linotype" w:hAnsi="Palatino Linotype" w:cs="Palatino Linotype"/>
        </w:rPr>
      </w:pPr>
      <w:r w:rsidRPr="000C77FA">
        <w:rPr>
          <w:rFonts w:ascii="Palatino Linotype" w:eastAsia="Palatino Linotype" w:hAnsi="Palatino Linotype" w:cs="Palatino Linotype"/>
          <w:noProof/>
        </w:rPr>
        <w:drawing>
          <wp:inline distT="0" distB="0" distL="0" distR="0" wp14:anchorId="128B7A09" wp14:editId="0BD56E09">
            <wp:extent cx="5171846" cy="3435045"/>
            <wp:effectExtent l="0" t="0" r="0" b="0"/>
            <wp:docPr id="1856464796" name="image6.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856464796" name="image6.png" descr="Texto&#10;&#10;Descripción generada automáticamente"/>
                    <pic:cNvPicPr preferRelativeResize="0"/>
                  </pic:nvPicPr>
                  <pic:blipFill rotWithShape="1">
                    <a:blip r:embed="rId10"/>
                    <a:srcRect l="-1" t="2017" r="-1545" b="35125"/>
                    <a:stretch/>
                  </pic:blipFill>
                  <pic:spPr bwMode="auto">
                    <a:xfrm>
                      <a:off x="0" y="0"/>
                      <a:ext cx="5172172" cy="3435261"/>
                    </a:xfrm>
                    <a:prstGeom prst="rect">
                      <a:avLst/>
                    </a:prstGeom>
                    <a:ln>
                      <a:noFill/>
                    </a:ln>
                    <a:extLst>
                      <a:ext uri="{53640926-AAD7-44D8-BBD7-CCE9431645EC}">
                        <a14:shadowObscured xmlns:a14="http://schemas.microsoft.com/office/drawing/2010/main"/>
                      </a:ext>
                    </a:extLst>
                  </pic:spPr>
                </pic:pic>
              </a:graphicData>
            </a:graphic>
          </wp:inline>
        </w:drawing>
      </w:r>
    </w:p>
    <w:p w14:paraId="12AA8FA0" w14:textId="77777777" w:rsidR="00AB772F" w:rsidRPr="000C77FA" w:rsidRDefault="00AB772F"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noProof/>
        </w:rPr>
        <w:drawing>
          <wp:inline distT="0" distB="0" distL="0" distR="0" wp14:anchorId="15EAFCAE" wp14:editId="72EC5588">
            <wp:extent cx="6211913" cy="2429506"/>
            <wp:effectExtent l="0" t="0" r="0" b="0"/>
            <wp:docPr id="18564647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t="64695"/>
                    <a:stretch>
                      <a:fillRect/>
                    </a:stretch>
                  </pic:blipFill>
                  <pic:spPr>
                    <a:xfrm>
                      <a:off x="0" y="0"/>
                      <a:ext cx="6211913" cy="2429506"/>
                    </a:xfrm>
                    <a:prstGeom prst="rect">
                      <a:avLst/>
                    </a:prstGeom>
                    <a:ln/>
                  </pic:spPr>
                </pic:pic>
              </a:graphicData>
            </a:graphic>
          </wp:inline>
        </w:drawing>
      </w:r>
    </w:p>
    <w:p w14:paraId="3454B582" w14:textId="77777777" w:rsidR="00AB772F" w:rsidRPr="000C77FA" w:rsidRDefault="00AB772F"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noProof/>
        </w:rPr>
        <w:lastRenderedPageBreak/>
        <w:drawing>
          <wp:inline distT="0" distB="0" distL="0" distR="0" wp14:anchorId="6F9A36B1" wp14:editId="0A3120E9">
            <wp:extent cx="6009414" cy="3513235"/>
            <wp:effectExtent l="0" t="0" r="0" b="0"/>
            <wp:docPr id="1856464798"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856464798" name="image3.png" descr="Texto&#10;&#10;Descripción generada automáticamente"/>
                    <pic:cNvPicPr preferRelativeResize="0"/>
                  </pic:nvPicPr>
                  <pic:blipFill>
                    <a:blip r:embed="rId11"/>
                    <a:srcRect/>
                    <a:stretch>
                      <a:fillRect/>
                    </a:stretch>
                  </pic:blipFill>
                  <pic:spPr>
                    <a:xfrm>
                      <a:off x="0" y="0"/>
                      <a:ext cx="6009414" cy="3513235"/>
                    </a:xfrm>
                    <a:prstGeom prst="rect">
                      <a:avLst/>
                    </a:prstGeom>
                    <a:ln/>
                  </pic:spPr>
                </pic:pic>
              </a:graphicData>
            </a:graphic>
          </wp:inline>
        </w:drawing>
      </w:r>
    </w:p>
    <w:p w14:paraId="30C40189" w14:textId="77777777" w:rsidR="00AB772F" w:rsidRPr="000C77FA" w:rsidRDefault="00AB772F" w:rsidP="000C77FA">
      <w:pPr>
        <w:spacing w:line="360" w:lineRule="auto"/>
        <w:jc w:val="both"/>
        <w:rPr>
          <w:rFonts w:ascii="Palatino Linotype" w:eastAsia="Palatino Linotype" w:hAnsi="Palatino Linotype" w:cs="Palatino Linotype"/>
        </w:rPr>
      </w:pPr>
    </w:p>
    <w:p w14:paraId="6A7BBF48" w14:textId="77777777" w:rsidR="00AB772F" w:rsidRPr="000C77FA" w:rsidRDefault="00AB772F"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noProof/>
        </w:rPr>
        <w:lastRenderedPageBreak/>
        <w:drawing>
          <wp:inline distT="0" distB="0" distL="0" distR="0" wp14:anchorId="19C840D2" wp14:editId="326B7847">
            <wp:extent cx="5929218" cy="6482103"/>
            <wp:effectExtent l="0" t="0" r="0" b="0"/>
            <wp:docPr id="1856464797" name="image7.pn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856464797" name="image7.png" descr="Imagen que contiene Tabla&#10;&#10;Descripción generada automáticamente"/>
                    <pic:cNvPicPr preferRelativeResize="0"/>
                  </pic:nvPicPr>
                  <pic:blipFill>
                    <a:blip r:embed="rId12"/>
                    <a:srcRect/>
                    <a:stretch>
                      <a:fillRect/>
                    </a:stretch>
                  </pic:blipFill>
                  <pic:spPr>
                    <a:xfrm>
                      <a:off x="0" y="0"/>
                      <a:ext cx="5929218" cy="6482103"/>
                    </a:xfrm>
                    <a:prstGeom prst="rect">
                      <a:avLst/>
                    </a:prstGeom>
                    <a:ln/>
                  </pic:spPr>
                </pic:pic>
              </a:graphicData>
            </a:graphic>
          </wp:inline>
        </w:drawing>
      </w:r>
    </w:p>
    <w:p w14:paraId="2866172E" w14:textId="77777777" w:rsidR="00AB772F" w:rsidRPr="000C77FA" w:rsidRDefault="00AB772F" w:rsidP="000C77FA">
      <w:pPr>
        <w:spacing w:line="360" w:lineRule="auto"/>
        <w:jc w:val="both"/>
        <w:rPr>
          <w:rFonts w:ascii="Palatino Linotype" w:eastAsia="Palatino Linotype" w:hAnsi="Palatino Linotype" w:cs="Palatino Linotype"/>
        </w:rPr>
      </w:pPr>
    </w:p>
    <w:p w14:paraId="6F941A5F" w14:textId="77777777" w:rsidR="00AB772F" w:rsidRPr="000C77FA" w:rsidRDefault="00AB772F"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w:t>
      </w:r>
      <w:r w:rsidRPr="000C77FA">
        <w:rPr>
          <w:rFonts w:ascii="Palatino Linotype" w:eastAsia="Palatino Linotype" w:hAnsi="Palatino Linotype" w:cs="Palatino Linotype"/>
          <w:noProof/>
        </w:rPr>
        <w:drawing>
          <wp:inline distT="0" distB="0" distL="0" distR="0" wp14:anchorId="5FF21A47" wp14:editId="65E6F181">
            <wp:extent cx="5790760" cy="3113145"/>
            <wp:effectExtent l="0" t="0" r="0" b="0"/>
            <wp:docPr id="1856464800" name="image9.png" descr="Texto,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1856464800" name="image9.png" descr="Texto, Carta&#10;&#10;Descripción generada automáticamente"/>
                    <pic:cNvPicPr preferRelativeResize="0"/>
                  </pic:nvPicPr>
                  <pic:blipFill>
                    <a:blip r:embed="rId13"/>
                    <a:srcRect/>
                    <a:stretch>
                      <a:fillRect/>
                    </a:stretch>
                  </pic:blipFill>
                  <pic:spPr>
                    <a:xfrm>
                      <a:off x="0" y="0"/>
                      <a:ext cx="5790760" cy="3113145"/>
                    </a:xfrm>
                    <a:prstGeom prst="rect">
                      <a:avLst/>
                    </a:prstGeom>
                    <a:ln/>
                  </pic:spPr>
                </pic:pic>
              </a:graphicData>
            </a:graphic>
          </wp:inline>
        </w:drawing>
      </w:r>
      <w:r w:rsidRPr="000C77FA">
        <w:rPr>
          <w:rFonts w:ascii="Palatino Linotype" w:eastAsia="Palatino Linotype" w:hAnsi="Palatino Linotype" w:cs="Palatino Linotype"/>
        </w:rPr>
        <w:t>…</w:t>
      </w:r>
    </w:p>
    <w:p w14:paraId="1FC4A679" w14:textId="77777777" w:rsidR="00AB772F" w:rsidRPr="000C77FA" w:rsidRDefault="00AB772F"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noProof/>
        </w:rPr>
        <w:drawing>
          <wp:inline distT="0" distB="0" distL="0" distR="0" wp14:anchorId="67CBC84A" wp14:editId="0FCFA457">
            <wp:extent cx="5612130" cy="1495425"/>
            <wp:effectExtent l="0" t="0" r="0" b="0"/>
            <wp:docPr id="1856464799" name="image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856464799" name="image5.png" descr="Texto&#10;&#10;Descripción generada automáticamente"/>
                    <pic:cNvPicPr preferRelativeResize="0"/>
                  </pic:nvPicPr>
                  <pic:blipFill>
                    <a:blip r:embed="rId14"/>
                    <a:srcRect b="74472"/>
                    <a:stretch>
                      <a:fillRect/>
                    </a:stretch>
                  </pic:blipFill>
                  <pic:spPr>
                    <a:xfrm>
                      <a:off x="0" y="0"/>
                      <a:ext cx="5612130" cy="1495425"/>
                    </a:xfrm>
                    <a:prstGeom prst="rect">
                      <a:avLst/>
                    </a:prstGeom>
                    <a:ln/>
                  </pic:spPr>
                </pic:pic>
              </a:graphicData>
            </a:graphic>
          </wp:inline>
        </w:drawing>
      </w:r>
    </w:p>
    <w:p w14:paraId="56334274" w14:textId="77777777" w:rsidR="00AB772F" w:rsidRPr="000C77FA" w:rsidRDefault="00AB772F"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noProof/>
        </w:rPr>
        <w:drawing>
          <wp:inline distT="0" distB="0" distL="0" distR="0" wp14:anchorId="2BE04ED6" wp14:editId="573D282E">
            <wp:extent cx="5612130" cy="1605915"/>
            <wp:effectExtent l="0" t="0" r="0" b="0"/>
            <wp:docPr id="1856464802" name="image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1856464802" name="image2.png" descr="Texto&#10;&#10;Descripción generada automáticamente"/>
                    <pic:cNvPicPr preferRelativeResize="0"/>
                  </pic:nvPicPr>
                  <pic:blipFill>
                    <a:blip r:embed="rId15"/>
                    <a:srcRect/>
                    <a:stretch>
                      <a:fillRect/>
                    </a:stretch>
                  </pic:blipFill>
                  <pic:spPr>
                    <a:xfrm>
                      <a:off x="0" y="0"/>
                      <a:ext cx="5612130" cy="1605915"/>
                    </a:xfrm>
                    <a:prstGeom prst="rect">
                      <a:avLst/>
                    </a:prstGeom>
                    <a:ln/>
                  </pic:spPr>
                </pic:pic>
              </a:graphicData>
            </a:graphic>
          </wp:inline>
        </w:drawing>
      </w:r>
    </w:p>
    <w:p w14:paraId="07893575" w14:textId="2A30BABF" w:rsidR="00AB772F" w:rsidRPr="000C77FA" w:rsidRDefault="00AB772F"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En resumen, de las imágenes que anteceden podemos concluir: </w:t>
      </w:r>
    </w:p>
    <w:p w14:paraId="35D490C3" w14:textId="7651EEA0" w:rsidR="00AB772F" w:rsidRPr="000C77FA" w:rsidRDefault="00AB772F" w:rsidP="000C77FA">
      <w:pPr>
        <w:pStyle w:val="Prrafodelista"/>
        <w:numPr>
          <w:ilvl w:val="0"/>
          <w:numId w:val="16"/>
        </w:num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Que el </w:t>
      </w:r>
      <w:r w:rsidRPr="000C77FA">
        <w:rPr>
          <w:rFonts w:ascii="Palatino Linotype" w:eastAsia="Palatino Linotype" w:hAnsi="Palatino Linotype" w:cs="Palatino Linotype"/>
          <w:b/>
          <w:bCs/>
        </w:rPr>
        <w:t>SUJETO OBLIGADO</w:t>
      </w:r>
      <w:r w:rsidRPr="000C77FA">
        <w:rPr>
          <w:rFonts w:ascii="Palatino Linotype" w:eastAsia="Palatino Linotype" w:hAnsi="Palatino Linotype" w:cs="Palatino Linotype"/>
        </w:rPr>
        <w:t xml:space="preserve"> realiza cambio de modalidad respecto de las facturas solicitadas</w:t>
      </w:r>
      <w:r w:rsidR="001E313F" w:rsidRPr="000C77FA">
        <w:rPr>
          <w:rFonts w:ascii="Palatino Linotype" w:eastAsia="Palatino Linotype" w:hAnsi="Palatino Linotype" w:cs="Palatino Linotype"/>
        </w:rPr>
        <w:t xml:space="preserve"> a consulta directa</w:t>
      </w:r>
      <w:r w:rsidRPr="000C77FA">
        <w:rPr>
          <w:rFonts w:ascii="Palatino Linotype" w:eastAsia="Palatino Linotype" w:hAnsi="Palatino Linotype" w:cs="Palatino Linotype"/>
        </w:rPr>
        <w:t>.</w:t>
      </w:r>
    </w:p>
    <w:p w14:paraId="36C258B7" w14:textId="77777777" w:rsidR="00AB772F" w:rsidRPr="000C77FA" w:rsidRDefault="00AB772F" w:rsidP="000C77FA">
      <w:pPr>
        <w:pStyle w:val="Prrafodelista"/>
        <w:numPr>
          <w:ilvl w:val="0"/>
          <w:numId w:val="16"/>
        </w:num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Que en cada una de las respuestas de las solicitudes la cantidad de hojas sobrepasa la capacidad del SAIMEX —8,000 ocho mil hojas—, pues la solicitud 179 corresponde a 9,250 fojas; la solicitud 180 a 10,210 fojas; la solicitud 181 a 8,300 fojas y finalmente, la solicitud 182 a 8,900.</w:t>
      </w:r>
    </w:p>
    <w:p w14:paraId="78D3D4EA" w14:textId="72616B1E" w:rsidR="00520394" w:rsidRPr="000C77FA" w:rsidRDefault="00520394" w:rsidP="000C77FA">
      <w:pPr>
        <w:pStyle w:val="Prrafodelista"/>
        <w:numPr>
          <w:ilvl w:val="0"/>
          <w:numId w:val="16"/>
        </w:num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Que la información solicitada corresponde a facturas de </w:t>
      </w:r>
      <w:r w:rsidR="001A5532" w:rsidRPr="000C77FA">
        <w:rPr>
          <w:rFonts w:ascii="Palatino Linotype" w:eastAsia="Palatino Linotype" w:hAnsi="Palatino Linotype" w:cs="Palatino Linotype"/>
        </w:rPr>
        <w:t>diversas unidades administrativas, de una secretaria estatal, por un periodo de veinte meses, por lo que se considera factible la cantidad de hojas referidas.</w:t>
      </w:r>
    </w:p>
    <w:p w14:paraId="36153A97" w14:textId="16E17000" w:rsidR="00072693" w:rsidRPr="000C77FA" w:rsidRDefault="00AB772F" w:rsidP="000C77FA">
      <w:pPr>
        <w:pStyle w:val="Prrafodelista"/>
        <w:numPr>
          <w:ilvl w:val="0"/>
          <w:numId w:val="16"/>
        </w:numPr>
        <w:spacing w:line="360" w:lineRule="auto"/>
        <w:ind w:right="51"/>
        <w:jc w:val="both"/>
        <w:rPr>
          <w:rFonts w:ascii="Palatino Linotype" w:eastAsia="Palatino Linotype" w:hAnsi="Palatino Linotype" w:cs="Palatino Linotype"/>
          <w:b/>
          <w:bCs/>
        </w:rPr>
      </w:pPr>
      <w:r w:rsidRPr="000C77FA">
        <w:rPr>
          <w:rFonts w:ascii="Palatino Linotype" w:eastAsia="Palatino Linotype" w:hAnsi="Palatino Linotype" w:cs="Palatino Linotype"/>
        </w:rPr>
        <w:t>Q</w:t>
      </w:r>
      <w:r w:rsidR="002C1F92" w:rsidRPr="000C77FA">
        <w:rPr>
          <w:rFonts w:ascii="Palatino Linotype" w:eastAsia="Palatino Linotype" w:hAnsi="Palatino Linotype" w:cs="Palatino Linotype"/>
        </w:rPr>
        <w:t xml:space="preserve">ue </w:t>
      </w:r>
      <w:r w:rsidRPr="000C77FA">
        <w:rPr>
          <w:rFonts w:ascii="Palatino Linotype" w:eastAsia="Palatino Linotype" w:hAnsi="Palatino Linotype" w:cs="Palatino Linotype"/>
        </w:rPr>
        <w:t xml:space="preserve">ante ese escenario, </w:t>
      </w:r>
      <w:r w:rsidR="002C1F92" w:rsidRPr="000C77FA">
        <w:rPr>
          <w:rFonts w:ascii="Palatino Linotype" w:eastAsia="Palatino Linotype" w:hAnsi="Palatino Linotype" w:cs="Palatino Linotype"/>
        </w:rPr>
        <w:t xml:space="preserve">la información solicitada excede las capacidades de las unidades administrativas en cuestión, para atender la solicitud </w:t>
      </w:r>
      <w:r w:rsidR="00461435" w:rsidRPr="000C77FA">
        <w:rPr>
          <w:rFonts w:ascii="Palatino Linotype" w:eastAsia="Palatino Linotype" w:hAnsi="Palatino Linotype" w:cs="Palatino Linotype"/>
        </w:rPr>
        <w:t>en</w:t>
      </w:r>
      <w:r w:rsidR="002C1F92" w:rsidRPr="000C77FA">
        <w:rPr>
          <w:rFonts w:ascii="Palatino Linotype" w:eastAsia="Palatino Linotype" w:hAnsi="Palatino Linotype" w:cs="Palatino Linotype"/>
        </w:rPr>
        <w:t xml:space="preserve"> el medio requerido por el particular, advirtiéndose que dentro del Acta, el Comité de Transparencia señaló</w:t>
      </w:r>
      <w:r w:rsidR="002C1F92" w:rsidRPr="000C77FA">
        <w:t xml:space="preserve"> </w:t>
      </w:r>
      <w:r w:rsidR="002C1F92" w:rsidRPr="000C77FA">
        <w:rPr>
          <w:rFonts w:ascii="Palatino Linotype" w:eastAsia="Palatino Linotype" w:hAnsi="Palatino Linotype" w:cs="Palatino Linotype"/>
        </w:rPr>
        <w:t>lugar, día y hora para llevar a cabo la consulta de la documentación solicitada y la</w:t>
      </w:r>
      <w:r w:rsidR="002C1F92" w:rsidRPr="000C77FA">
        <w:t xml:space="preserve"> </w:t>
      </w:r>
      <w:r w:rsidR="002C1F92" w:rsidRPr="000C77FA">
        <w:rPr>
          <w:rFonts w:ascii="Palatino Linotype" w:eastAsia="Palatino Linotype" w:hAnsi="Palatino Linotype" w:cs="Palatino Linotype"/>
        </w:rPr>
        <w:t>ubicación del lugar en que el solicitante podrá llevar a cabo la consulta de la información</w:t>
      </w:r>
      <w:r w:rsidR="002D6317" w:rsidRPr="000C77FA">
        <w:rPr>
          <w:rFonts w:ascii="Palatino Linotype" w:eastAsia="Palatino Linotype" w:hAnsi="Palatino Linotype" w:cs="Palatino Linotype"/>
        </w:rPr>
        <w:t>.</w:t>
      </w:r>
    </w:p>
    <w:p w14:paraId="01CFBACC" w14:textId="77777777" w:rsidR="001E313F" w:rsidRPr="000C77FA" w:rsidRDefault="001E313F" w:rsidP="000C77FA">
      <w:pPr>
        <w:spacing w:line="360" w:lineRule="auto"/>
        <w:ind w:right="51"/>
        <w:jc w:val="both"/>
        <w:rPr>
          <w:rFonts w:ascii="Palatino Linotype" w:eastAsia="Palatino Linotype" w:hAnsi="Palatino Linotype" w:cs="Palatino Linotype"/>
        </w:rPr>
      </w:pPr>
    </w:p>
    <w:p w14:paraId="21619455" w14:textId="77777777" w:rsidR="00072693" w:rsidRPr="000C77FA" w:rsidRDefault="002C1F92"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las cosas, es conveniente invocar los numerales aplicables de los </w:t>
      </w:r>
      <w:r w:rsidRPr="000C77FA">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0C77FA">
        <w:rPr>
          <w:rFonts w:ascii="Palatino Linotype" w:eastAsia="Palatino Linotype" w:hAnsi="Palatino Linotype" w:cs="Palatino Linotype"/>
        </w:rPr>
        <w:t xml:space="preserve"> publicados en el Diario Oficial de la Federación en fecha quince de abril de dos mil dieciséis, mediante Acuerdo del Consejo Nacional del Sistema Nacional de Transparencia, Acceso a la Información </w:t>
      </w:r>
      <w:r w:rsidRPr="000C77FA">
        <w:rPr>
          <w:rFonts w:ascii="Palatino Linotype" w:eastAsia="Palatino Linotype" w:hAnsi="Palatino Linotype" w:cs="Palatino Linotype"/>
        </w:rPr>
        <w:lastRenderedPageBreak/>
        <w:t>Pública y Protección de Datos Personales</w:t>
      </w:r>
      <w:r w:rsidRPr="000C77FA">
        <w:rPr>
          <w:rFonts w:ascii="Palatino Linotype" w:eastAsia="Palatino Linotype" w:hAnsi="Palatino Linotype" w:cs="Palatino Linotype"/>
          <w:vertAlign w:val="superscript"/>
        </w:rPr>
        <w:footnoteReference w:id="17"/>
      </w:r>
      <w:r w:rsidRPr="000C77FA">
        <w:rPr>
          <w:rFonts w:ascii="Palatino Linotype" w:eastAsia="Palatino Linotype" w:hAnsi="Palatino Linotype" w:cs="Palatino Linotype"/>
        </w:rPr>
        <w:t>, respecto a la consulta directa, que refieren:</w:t>
      </w:r>
    </w:p>
    <w:p w14:paraId="37844A9C"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Sexagésimo séptimo. </w:t>
      </w:r>
      <w:r w:rsidRPr="000C77FA">
        <w:rPr>
          <w:rFonts w:ascii="Palatino Linotype" w:eastAsia="Palatino Linotype" w:hAnsi="Palatino Linotype" w:cs="Palatino Linotype"/>
          <w:i/>
          <w:sz w:val="22"/>
          <w:szCs w:val="22"/>
        </w:rPr>
        <w:t>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692F1252" w14:textId="77777777" w:rsidR="00072693" w:rsidRPr="000C77FA" w:rsidRDefault="00072693" w:rsidP="000C77FA">
      <w:pPr>
        <w:tabs>
          <w:tab w:val="left" w:pos="851"/>
        </w:tabs>
        <w:ind w:left="851" w:right="616"/>
        <w:jc w:val="both"/>
        <w:rPr>
          <w:rFonts w:ascii="Palatino Linotype" w:eastAsia="Palatino Linotype" w:hAnsi="Palatino Linotype" w:cs="Palatino Linotype"/>
          <w:i/>
          <w:sz w:val="22"/>
          <w:szCs w:val="22"/>
        </w:rPr>
      </w:pPr>
    </w:p>
    <w:p w14:paraId="4DDEB0D9"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Sexagésimo octavo. </w:t>
      </w:r>
      <w:r w:rsidRPr="000C77FA">
        <w:rPr>
          <w:rFonts w:ascii="Palatino Linotype" w:eastAsia="Palatino Linotype" w:hAnsi="Palatino Linotype" w:cs="Palatino Linotype"/>
          <w:i/>
          <w:sz w:val="22"/>
          <w:szCs w:val="22"/>
        </w:rPr>
        <w:t>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73336599" w14:textId="77777777" w:rsidR="00072693" w:rsidRPr="000C77FA" w:rsidRDefault="00072693" w:rsidP="000C77FA">
      <w:pPr>
        <w:tabs>
          <w:tab w:val="left" w:pos="851"/>
        </w:tabs>
        <w:ind w:left="851" w:right="616"/>
        <w:jc w:val="both"/>
        <w:rPr>
          <w:rFonts w:ascii="Palatino Linotype" w:eastAsia="Palatino Linotype" w:hAnsi="Palatino Linotype" w:cs="Palatino Linotype"/>
          <w:i/>
          <w:sz w:val="22"/>
          <w:szCs w:val="22"/>
        </w:rPr>
      </w:pPr>
    </w:p>
    <w:p w14:paraId="15CD8696" w14:textId="77777777" w:rsidR="00072693" w:rsidRPr="000C77FA" w:rsidRDefault="002C1F92" w:rsidP="000C77FA">
      <w:pPr>
        <w:tabs>
          <w:tab w:val="left" w:pos="851"/>
        </w:tabs>
        <w:ind w:left="851" w:right="616"/>
        <w:jc w:val="both"/>
        <w:rPr>
          <w:rFonts w:ascii="Palatino Linotype" w:eastAsia="Palatino Linotype" w:hAnsi="Palatino Linotype" w:cs="Palatino Linotype"/>
          <w:b/>
          <w:i/>
          <w:sz w:val="22"/>
          <w:szCs w:val="22"/>
          <w:u w:val="single"/>
        </w:rPr>
      </w:pPr>
      <w:r w:rsidRPr="000C77FA">
        <w:rPr>
          <w:rFonts w:ascii="Palatino Linotype" w:eastAsia="Palatino Linotype" w:hAnsi="Palatino Linotype" w:cs="Palatino Linotype"/>
          <w:b/>
          <w:i/>
          <w:sz w:val="22"/>
          <w:szCs w:val="22"/>
        </w:rPr>
        <w:t>Sexagésimo noveno. </w:t>
      </w:r>
      <w:r w:rsidRPr="000C77FA">
        <w:rPr>
          <w:rFonts w:ascii="Palatino Linotype" w:eastAsia="Palatino Linotype" w:hAnsi="Palatino Linotype" w:cs="Palatino Linotype"/>
          <w:i/>
          <w:sz w:val="22"/>
          <w:szCs w:val="22"/>
        </w:rPr>
        <w:t xml:space="preserve">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w:t>
      </w:r>
      <w:r w:rsidRPr="000C77FA">
        <w:rPr>
          <w:rFonts w:ascii="Palatino Linotype" w:eastAsia="Palatino Linotype" w:hAnsi="Palatino Linotype" w:cs="Palatino Linotype"/>
          <w:b/>
          <w:i/>
          <w:sz w:val="22"/>
          <w:szCs w:val="22"/>
          <w:u w:val="single"/>
        </w:rPr>
        <w:t>y, de ser posible, ofrecer las demás modalidades en las que es viable el acceso a la información.</w:t>
      </w:r>
    </w:p>
    <w:p w14:paraId="08B0E078" w14:textId="77777777" w:rsidR="00072693" w:rsidRPr="000C77FA" w:rsidRDefault="00072693" w:rsidP="000C77FA">
      <w:pPr>
        <w:tabs>
          <w:tab w:val="left" w:pos="851"/>
        </w:tabs>
        <w:ind w:left="851" w:right="616"/>
        <w:jc w:val="both"/>
        <w:rPr>
          <w:rFonts w:ascii="Palatino Linotype" w:eastAsia="Palatino Linotype" w:hAnsi="Palatino Linotype" w:cs="Palatino Linotype"/>
          <w:i/>
          <w:sz w:val="22"/>
          <w:szCs w:val="22"/>
        </w:rPr>
      </w:pPr>
    </w:p>
    <w:p w14:paraId="04A00303"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Septuagésimo. </w:t>
      </w:r>
      <w:r w:rsidRPr="000C77FA">
        <w:rPr>
          <w:rFonts w:ascii="Palatino Linotype" w:eastAsia="Palatino Linotype" w:hAnsi="Palatino Linotype" w:cs="Palatino Linotype"/>
          <w:i/>
          <w:sz w:val="22"/>
          <w:szCs w:val="22"/>
        </w:rPr>
        <w:t>Para el desahogo de las actuaciones tendientes a permitir la consulta directa, en los casos en que ésta resulte procedente, los sujetos obligados deberán observar lo siguiente:</w:t>
      </w:r>
    </w:p>
    <w:p w14:paraId="09A02C09"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w:t>
      </w:r>
      <w:r w:rsidRPr="000C77FA">
        <w:rPr>
          <w:rFonts w:ascii="Palatino Linotype" w:eastAsia="Palatino Linotype" w:hAnsi="Palatino Linotype" w:cs="Palatino Linotype"/>
          <w:i/>
          <w:sz w:val="22"/>
          <w:szCs w:val="22"/>
        </w:rPr>
        <w:t>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60C6139C"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lastRenderedPageBreak/>
        <w:t>II.</w:t>
      </w:r>
      <w:r w:rsidRPr="000C77FA">
        <w:rPr>
          <w:rFonts w:ascii="Palatino Linotype" w:eastAsia="Palatino Linotype" w:hAnsi="Palatino Linotype" w:cs="Palatino Linotype"/>
          <w:i/>
          <w:sz w:val="22"/>
          <w:szCs w:val="22"/>
        </w:rPr>
        <w:t> En su caso, la procedencia de los ajustes razonables solicitados y/o la procedencia de acceso en la lengua indígena requerida;</w:t>
      </w:r>
    </w:p>
    <w:p w14:paraId="29EB264F"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III.</w:t>
      </w:r>
      <w:r w:rsidRPr="000C77FA">
        <w:rPr>
          <w:rFonts w:ascii="Palatino Linotype" w:eastAsia="Palatino Linotype" w:hAnsi="Palatino Linotype" w:cs="Palatino Linotype"/>
          <w:i/>
          <w:sz w:val="22"/>
          <w:szCs w:val="22"/>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3D2967FC"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IV.</w:t>
      </w:r>
      <w:r w:rsidRPr="000C77FA">
        <w:rPr>
          <w:rFonts w:ascii="Palatino Linotype" w:eastAsia="Palatino Linotype" w:hAnsi="Palatino Linotype" w:cs="Palatino Linotype"/>
          <w:i/>
          <w:sz w:val="22"/>
          <w:szCs w:val="22"/>
        </w:rPr>
        <w:t xml:space="preserve"> Proporcionar al solicitante las facilidades y asistencia requerida para la consulta de los documentos;</w:t>
      </w:r>
    </w:p>
    <w:p w14:paraId="78870CBB"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V.</w:t>
      </w:r>
      <w:r w:rsidRPr="000C77FA">
        <w:rPr>
          <w:rFonts w:ascii="Palatino Linotype" w:eastAsia="Palatino Linotype" w:hAnsi="Palatino Linotype" w:cs="Palatino Linotype"/>
          <w:i/>
          <w:sz w:val="22"/>
          <w:szCs w:val="22"/>
        </w:rPr>
        <w:t> Abstenerse de requerir al solicitante que acredite interés alguno;</w:t>
      </w:r>
    </w:p>
    <w:p w14:paraId="70004822"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VI.</w:t>
      </w:r>
      <w:r w:rsidRPr="000C77FA">
        <w:rPr>
          <w:rFonts w:ascii="Palatino Linotype" w:eastAsia="Palatino Linotype" w:hAnsi="Palatino Linotype" w:cs="Palatino Linotype"/>
          <w:i/>
          <w:sz w:val="22"/>
          <w:szCs w:val="22"/>
        </w:rPr>
        <w:t> Adoptar las medidas técnicas, físicas, administrativas y demás que resulten necesarias para garantizar la integridad de la información a consultar, de conformidad con las características específicas del documento solicitado, tales como:</w:t>
      </w:r>
    </w:p>
    <w:p w14:paraId="55DC3743"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w:t>
      </w:r>
      <w:r w:rsidRPr="000C77FA">
        <w:rPr>
          <w:rFonts w:ascii="Palatino Linotype" w:eastAsia="Palatino Linotype" w:hAnsi="Palatino Linotype" w:cs="Palatino Linotype"/>
          <w:i/>
          <w:sz w:val="22"/>
          <w:szCs w:val="22"/>
        </w:rPr>
        <w:t xml:space="preserve"> Contar con instalaciones y mobiliario adecuado para asegurar tanto la integridad del documento consultado, como para proporcionar al solicitante las mejores condiciones para poder llevar a cabo la consulta directa;</w:t>
      </w:r>
    </w:p>
    <w:p w14:paraId="7C40E95E"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b)</w:t>
      </w:r>
      <w:r w:rsidRPr="000C77FA">
        <w:rPr>
          <w:rFonts w:ascii="Palatino Linotype" w:eastAsia="Palatino Linotype" w:hAnsi="Palatino Linotype" w:cs="Palatino Linotype"/>
          <w:i/>
          <w:sz w:val="22"/>
          <w:szCs w:val="22"/>
        </w:rPr>
        <w:t> Equipo y personal de vigilancia;</w:t>
      </w:r>
    </w:p>
    <w:p w14:paraId="6145A7CB"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c)</w:t>
      </w:r>
      <w:r w:rsidRPr="000C77FA">
        <w:rPr>
          <w:rFonts w:ascii="Palatino Linotype" w:eastAsia="Palatino Linotype" w:hAnsi="Palatino Linotype" w:cs="Palatino Linotype"/>
          <w:i/>
          <w:sz w:val="22"/>
          <w:szCs w:val="22"/>
        </w:rPr>
        <w:t> Plan de acción contra robo o vandalismo;</w:t>
      </w:r>
    </w:p>
    <w:p w14:paraId="4842FF45"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d)</w:t>
      </w:r>
      <w:r w:rsidRPr="000C77FA">
        <w:rPr>
          <w:rFonts w:ascii="Palatino Linotype" w:eastAsia="Palatino Linotype" w:hAnsi="Palatino Linotype" w:cs="Palatino Linotype"/>
          <w:i/>
          <w:sz w:val="22"/>
          <w:szCs w:val="22"/>
        </w:rPr>
        <w:t> Extintores de fuego de gas inocuo;</w:t>
      </w:r>
    </w:p>
    <w:p w14:paraId="4D47E2D1"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e)</w:t>
      </w:r>
      <w:r w:rsidRPr="000C77FA">
        <w:rPr>
          <w:rFonts w:ascii="Palatino Linotype" w:eastAsia="Palatino Linotype" w:hAnsi="Palatino Linotype" w:cs="Palatino Linotype"/>
          <w:i/>
          <w:sz w:val="22"/>
          <w:szCs w:val="22"/>
        </w:rPr>
        <w:t> Registro e identificación del personal autorizado para el tratamiento de los documentos o expedientes a revisar;</w:t>
      </w:r>
    </w:p>
    <w:p w14:paraId="59D54337"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f)</w:t>
      </w:r>
      <w:r w:rsidRPr="000C77FA">
        <w:rPr>
          <w:rFonts w:ascii="Palatino Linotype" w:eastAsia="Palatino Linotype" w:hAnsi="Palatino Linotype" w:cs="Palatino Linotype"/>
          <w:i/>
          <w:sz w:val="22"/>
          <w:szCs w:val="22"/>
        </w:rPr>
        <w:t> Registro e identificación de los particulares autorizados para llevar a cabo la consulta directa, y</w:t>
      </w:r>
    </w:p>
    <w:p w14:paraId="65808645"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g)</w:t>
      </w:r>
      <w:r w:rsidRPr="000C77FA">
        <w:rPr>
          <w:rFonts w:ascii="Palatino Linotype" w:eastAsia="Palatino Linotype" w:hAnsi="Palatino Linotype" w:cs="Palatino Linotype"/>
          <w:i/>
          <w:sz w:val="22"/>
          <w:szCs w:val="22"/>
        </w:rPr>
        <w:t> Las demás que, a criterio de los sujetos obligados, resulten necesarias.</w:t>
      </w:r>
    </w:p>
    <w:p w14:paraId="0EABF77C"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VII. </w:t>
      </w:r>
      <w:r w:rsidRPr="000C77FA">
        <w:rPr>
          <w:rFonts w:ascii="Palatino Linotype" w:eastAsia="Palatino Linotype" w:hAnsi="Palatino Linotype" w:cs="Palatino Linotype"/>
          <w:i/>
          <w:sz w:val="22"/>
          <w:szCs w:val="22"/>
        </w:rPr>
        <w:t>Hacer del conocimiento del solicitante, previo al acceso a la información, las reglas a que se sujetará la consulta para garantizar la integridad de los documentos, y</w:t>
      </w:r>
    </w:p>
    <w:p w14:paraId="76421188"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VIII.</w:t>
      </w:r>
      <w:r w:rsidRPr="000C77FA">
        <w:rPr>
          <w:rFonts w:ascii="Palatino Linotype" w:eastAsia="Palatino Linotype" w:hAnsi="Palatino Linotype" w:cs="Palatino Linotype"/>
          <w:i/>
          <w:sz w:val="22"/>
          <w:szCs w:val="22"/>
        </w:rPr>
        <w:t xml:space="preserve">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5FA7852A" w14:textId="77777777" w:rsidR="00072693" w:rsidRPr="000C77FA" w:rsidRDefault="00072693" w:rsidP="000C77FA">
      <w:pPr>
        <w:tabs>
          <w:tab w:val="left" w:pos="851"/>
        </w:tabs>
        <w:ind w:left="851" w:right="616"/>
        <w:jc w:val="both"/>
        <w:rPr>
          <w:rFonts w:ascii="Palatino Linotype" w:eastAsia="Palatino Linotype" w:hAnsi="Palatino Linotype" w:cs="Palatino Linotype"/>
          <w:b/>
          <w:i/>
          <w:sz w:val="22"/>
          <w:szCs w:val="22"/>
        </w:rPr>
      </w:pPr>
    </w:p>
    <w:p w14:paraId="38AC98B7"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Septuagésimo primero. </w:t>
      </w:r>
      <w:r w:rsidRPr="000C77FA">
        <w:rPr>
          <w:rFonts w:ascii="Palatino Linotype" w:eastAsia="Palatino Linotype" w:hAnsi="Palatino Linotype" w:cs="Palatino Linotype"/>
          <w:i/>
          <w:sz w:val="22"/>
          <w:szCs w:val="22"/>
        </w:rPr>
        <w:t>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506B7301"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El solicitante deberá observar en todo momento las reglas que el sujeto obligado haya hecho de su conocimiento para efectos de la conservación de los documentos.</w:t>
      </w:r>
    </w:p>
    <w:p w14:paraId="4527D4FD" w14:textId="77777777" w:rsidR="00072693" w:rsidRPr="000C77FA" w:rsidRDefault="00072693" w:rsidP="000C77FA">
      <w:pPr>
        <w:tabs>
          <w:tab w:val="left" w:pos="851"/>
        </w:tabs>
        <w:ind w:left="851" w:right="616"/>
        <w:jc w:val="both"/>
        <w:rPr>
          <w:rFonts w:ascii="Palatino Linotype" w:eastAsia="Palatino Linotype" w:hAnsi="Palatino Linotype" w:cs="Palatino Linotype"/>
          <w:i/>
          <w:sz w:val="22"/>
          <w:szCs w:val="22"/>
        </w:rPr>
      </w:pPr>
    </w:p>
    <w:p w14:paraId="2422CFC5"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Septuagésimo segundo. </w:t>
      </w:r>
      <w:r w:rsidRPr="000C77FA">
        <w:rPr>
          <w:rFonts w:ascii="Palatino Linotype" w:eastAsia="Palatino Linotype" w:hAnsi="Palatino Linotype" w:cs="Palatino Linotype"/>
          <w:i/>
          <w:sz w:val="22"/>
          <w:szCs w:val="22"/>
        </w:rPr>
        <w:t>El solicitante deberá realizar la consulta de los documentos requeridos en el lugar, horarios y con la persona destinada para tal efecto.</w:t>
      </w:r>
    </w:p>
    <w:p w14:paraId="66897495"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424A64ED" w14:textId="77777777" w:rsidR="00072693" w:rsidRPr="000C77FA" w:rsidRDefault="00072693" w:rsidP="000C77FA">
      <w:pPr>
        <w:tabs>
          <w:tab w:val="left" w:pos="851"/>
        </w:tabs>
        <w:ind w:left="851" w:right="616"/>
        <w:jc w:val="both"/>
        <w:rPr>
          <w:rFonts w:ascii="Palatino Linotype" w:eastAsia="Palatino Linotype" w:hAnsi="Palatino Linotype" w:cs="Palatino Linotype"/>
          <w:i/>
          <w:sz w:val="22"/>
          <w:szCs w:val="22"/>
        </w:rPr>
      </w:pPr>
    </w:p>
    <w:p w14:paraId="3B0EA80C"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Septuagésimo tercero. </w:t>
      </w:r>
      <w:r w:rsidRPr="000C77FA">
        <w:rPr>
          <w:rFonts w:ascii="Palatino Linotype" w:eastAsia="Palatino Linotype" w:hAnsi="Palatino Linotype" w:cs="Palatino Linotype"/>
          <w:i/>
          <w:sz w:val="22"/>
          <w:szCs w:val="22"/>
        </w:rPr>
        <w:t>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3C51A6EE" w14:textId="77777777" w:rsidR="00072693" w:rsidRPr="000C77FA" w:rsidRDefault="002C1F92" w:rsidP="000C77FA">
      <w:pPr>
        <w:tabs>
          <w:tab w:val="left" w:pos="851"/>
        </w:tabs>
        <w:ind w:left="851"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La información deberá ser entregada sin costo, cuando implique la entrega de no más de veinte hojas simples.”</w:t>
      </w:r>
    </w:p>
    <w:p w14:paraId="237DD8BF"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2DF0DA86" w14:textId="5B23DD80" w:rsidR="00072693" w:rsidRPr="000C77FA" w:rsidRDefault="002C1F92" w:rsidP="000C77FA">
      <w:pPr>
        <w:spacing w:line="360" w:lineRule="auto"/>
        <w:ind w:right="51"/>
        <w:jc w:val="both"/>
        <w:rPr>
          <w:rFonts w:ascii="Palatino Linotype" w:eastAsia="Palatino Linotype" w:hAnsi="Palatino Linotype" w:cs="Palatino Linotype"/>
          <w:bCs/>
        </w:rPr>
      </w:pPr>
      <w:r w:rsidRPr="000C77FA">
        <w:rPr>
          <w:rFonts w:ascii="Palatino Linotype" w:eastAsia="Palatino Linotype" w:hAnsi="Palatino Linotype" w:cs="Palatino Linotype"/>
        </w:rPr>
        <w:t xml:space="preserve">Por lo anterior, se advierte que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acreditó la imposibilidad, técnica, establecida en el artículo 158 de la Ley de Transparencia y Acceso a la Información Pública del Estado de México y Municipios, para validar el cambio de modalidad a consulta directa, sin embargo, </w:t>
      </w:r>
      <w:r w:rsidRPr="000C77FA">
        <w:rPr>
          <w:rFonts w:ascii="Palatino Linotype" w:eastAsia="Palatino Linotype" w:hAnsi="Palatino Linotype" w:cs="Palatino Linotype"/>
          <w:b/>
        </w:rPr>
        <w:t>faltaron opciones por brindarle al RECURRENTE para acceder a la información peticionada</w:t>
      </w:r>
      <w:r w:rsidR="00F55BD7" w:rsidRPr="000C77FA">
        <w:rPr>
          <w:rFonts w:ascii="Palatino Linotype" w:eastAsia="Palatino Linotype" w:hAnsi="Palatino Linotype" w:cs="Palatino Linotype"/>
          <w:bCs/>
        </w:rPr>
        <w:t>, por lo que los agravios resultan parcialmente fundados.</w:t>
      </w:r>
    </w:p>
    <w:p w14:paraId="0BFC16EE"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6108708A" w14:textId="77777777" w:rsidR="00072693" w:rsidRPr="000C77FA" w:rsidRDefault="002C1F92"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Agregando a todo lo que antecede, es preciso enfatizar que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debe atender lo establecido en el artículo 166 de la Ley de Transparencia Local, precepto legal que la letra señala: </w:t>
      </w:r>
    </w:p>
    <w:p w14:paraId="1BD2544C" w14:textId="77777777" w:rsidR="00072693" w:rsidRPr="000C77FA" w:rsidRDefault="00072693" w:rsidP="000C77FA">
      <w:pPr>
        <w:spacing w:line="360" w:lineRule="auto"/>
        <w:ind w:right="51"/>
        <w:jc w:val="both"/>
        <w:rPr>
          <w:rFonts w:ascii="Palatino Linotype" w:eastAsia="Palatino Linotype" w:hAnsi="Palatino Linotype" w:cs="Palatino Linotype"/>
          <w:sz w:val="14"/>
          <w:szCs w:val="14"/>
        </w:rPr>
      </w:pPr>
    </w:p>
    <w:p w14:paraId="6EF8AC3E" w14:textId="77777777" w:rsidR="00072693" w:rsidRPr="000C77FA" w:rsidRDefault="002C1F92" w:rsidP="000C77FA">
      <w:pPr>
        <w:ind w:left="851" w:right="99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166.</w:t>
      </w:r>
      <w:r w:rsidRPr="000C77FA">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w:t>
      </w:r>
    </w:p>
    <w:p w14:paraId="54F4AF0C" w14:textId="77777777" w:rsidR="00072693" w:rsidRPr="000C77FA" w:rsidRDefault="00072693" w:rsidP="000C77FA">
      <w:pPr>
        <w:ind w:left="851" w:right="992"/>
        <w:jc w:val="both"/>
        <w:rPr>
          <w:rFonts w:ascii="Palatino Linotype" w:eastAsia="Palatino Linotype" w:hAnsi="Palatino Linotype" w:cs="Palatino Linotype"/>
          <w:i/>
          <w:sz w:val="22"/>
          <w:szCs w:val="22"/>
        </w:rPr>
      </w:pPr>
    </w:p>
    <w:p w14:paraId="49EC482F" w14:textId="77777777" w:rsidR="00072693" w:rsidRPr="000C77FA" w:rsidRDefault="002C1F92" w:rsidP="000C77FA">
      <w:pPr>
        <w:ind w:left="851" w:right="992"/>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La Unidad de Transparencia tendrá disponible la información solicitada, durante un plazo mínimo de sesenta días hábiles, contado a partir de que el solicitante hubiere realizado, en su caso, el pago respectivo, el cual deberá efectuarse en un plazo no mayor a treinta días hábiles.</w:t>
      </w:r>
    </w:p>
    <w:p w14:paraId="089A1156" w14:textId="77777777" w:rsidR="00072693" w:rsidRPr="000C77FA" w:rsidRDefault="00072693" w:rsidP="000C77FA">
      <w:pPr>
        <w:ind w:left="851" w:right="992"/>
        <w:jc w:val="both"/>
        <w:rPr>
          <w:rFonts w:ascii="Palatino Linotype" w:eastAsia="Palatino Linotype" w:hAnsi="Palatino Linotype" w:cs="Palatino Linotype"/>
          <w:i/>
          <w:sz w:val="22"/>
          <w:szCs w:val="22"/>
        </w:rPr>
      </w:pPr>
    </w:p>
    <w:p w14:paraId="1997D70D" w14:textId="77777777" w:rsidR="00072693" w:rsidRPr="000C77FA" w:rsidRDefault="002C1F92" w:rsidP="000C77FA">
      <w:pPr>
        <w:ind w:left="851" w:right="99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Transcurridos dichos plazos, si los solicitantes no acuden a recibir la información requerida los sujetos obligados darán por concluida la solicitud y procederán, de ser el caso, a la destrucción del material en el que se reprodujo la información.</w:t>
      </w:r>
    </w:p>
    <w:p w14:paraId="7121DA26" w14:textId="77777777" w:rsidR="00072693" w:rsidRPr="000C77FA" w:rsidRDefault="00072693" w:rsidP="000C77FA">
      <w:pPr>
        <w:ind w:left="851" w:right="992"/>
        <w:jc w:val="both"/>
        <w:rPr>
          <w:rFonts w:ascii="Palatino Linotype" w:eastAsia="Palatino Linotype" w:hAnsi="Palatino Linotype" w:cs="Palatino Linotype"/>
          <w:i/>
          <w:sz w:val="22"/>
          <w:szCs w:val="22"/>
        </w:rPr>
      </w:pPr>
    </w:p>
    <w:p w14:paraId="3ABAC822" w14:textId="77777777" w:rsidR="00072693" w:rsidRPr="000C77FA" w:rsidRDefault="002C1F92" w:rsidP="000C77FA">
      <w:pPr>
        <w:ind w:left="851" w:right="99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w:t>
      </w:r>
    </w:p>
    <w:p w14:paraId="2A9CA296" w14:textId="77777777" w:rsidR="00072693" w:rsidRPr="000C77FA" w:rsidRDefault="00072693" w:rsidP="000C77FA">
      <w:pPr>
        <w:ind w:left="851" w:right="992"/>
        <w:jc w:val="both"/>
        <w:rPr>
          <w:rFonts w:ascii="Palatino Linotype" w:eastAsia="Palatino Linotype" w:hAnsi="Palatino Linotype" w:cs="Palatino Linotype"/>
          <w:i/>
          <w:sz w:val="22"/>
          <w:szCs w:val="22"/>
        </w:rPr>
      </w:pPr>
    </w:p>
    <w:p w14:paraId="56160CFD" w14:textId="77777777" w:rsidR="00072693" w:rsidRPr="000C77FA" w:rsidRDefault="002C1F92" w:rsidP="000C77FA">
      <w:pPr>
        <w:ind w:left="851" w:right="99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Una vez entregada la información, el solicitante acusará recibo por escrito, dándose por terminado el trámite de acceso a la información.” </w:t>
      </w:r>
    </w:p>
    <w:p w14:paraId="26FD1E1A" w14:textId="77777777" w:rsidR="00072693" w:rsidRPr="000C77FA" w:rsidRDefault="002C1F92" w:rsidP="000C77FA">
      <w:pPr>
        <w:ind w:left="851" w:right="992"/>
        <w:jc w:val="right"/>
        <w:rPr>
          <w:rFonts w:ascii="Palatino Linotype" w:eastAsia="Palatino Linotype" w:hAnsi="Palatino Linotype" w:cs="Palatino Linotype"/>
          <w:b/>
          <w:i/>
          <w:sz w:val="16"/>
          <w:szCs w:val="16"/>
        </w:rPr>
      </w:pPr>
      <w:r w:rsidRPr="000C77FA">
        <w:rPr>
          <w:rFonts w:ascii="Palatino Linotype" w:eastAsia="Palatino Linotype" w:hAnsi="Palatino Linotype" w:cs="Palatino Linotype"/>
          <w:b/>
          <w:i/>
          <w:sz w:val="16"/>
          <w:szCs w:val="16"/>
        </w:rPr>
        <w:t>(Énfasis añadido)</w:t>
      </w:r>
    </w:p>
    <w:p w14:paraId="57789D44"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3F56824A" w14:textId="77777777" w:rsidR="00F55BD7" w:rsidRPr="000C77FA" w:rsidRDefault="002C1F92"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Por lo anterior, es necesario precisar que, </w:t>
      </w:r>
      <w:r w:rsidR="00F55BD7" w:rsidRPr="000C77FA">
        <w:rPr>
          <w:rFonts w:ascii="Palatino Linotype" w:eastAsia="Palatino Linotype" w:hAnsi="Palatino Linotype" w:cs="Palatino Linotype"/>
        </w:rPr>
        <w:t>para garantizar el Derecho de acceso a la información, el Sujeto Obligado, de manera fundada y motivada deberá ofrecer otras modalidades, como proponer otros medios electrónicos, tales como habilitar una liga electrónica en caso de que sea posible, correo electrónico si la capacidad del mismo lo permite, disco compacto, dispositivo de almacenamiento, consulta directa, copias simples o certificadas, con posibilidad de</w:t>
      </w:r>
      <w:r w:rsidR="00F55BD7" w:rsidRPr="000C77FA">
        <w:t xml:space="preserve"> </w:t>
      </w:r>
      <w:r w:rsidR="00F55BD7" w:rsidRPr="000C77FA">
        <w:rPr>
          <w:rFonts w:ascii="Palatino Linotype" w:eastAsia="Palatino Linotype" w:hAnsi="Palatino Linotype" w:cs="Palatino Linotype"/>
        </w:rPr>
        <w:t xml:space="preserve">entrega en la Unidad de Transparencia o a domicilio por correo certificado, previo pago de los derechos correspondientes, o darle la posibilidad de obtenerla de manera gratuita si el mismo aporta el CD o la USB en la que se le proporcionarán los archivos electrónicos. </w:t>
      </w:r>
    </w:p>
    <w:p w14:paraId="184F6226" w14:textId="77777777" w:rsidR="00F55BD7" w:rsidRPr="000C77FA" w:rsidRDefault="00F55BD7" w:rsidP="000C77FA">
      <w:pPr>
        <w:spacing w:line="360" w:lineRule="auto"/>
        <w:ind w:right="51"/>
        <w:jc w:val="both"/>
        <w:rPr>
          <w:rFonts w:ascii="Palatino Linotype" w:eastAsia="Palatino Linotype" w:hAnsi="Palatino Linotype" w:cs="Palatino Linotype"/>
        </w:rPr>
      </w:pPr>
    </w:p>
    <w:p w14:paraId="6A0B6366" w14:textId="74D130F0" w:rsidR="00F55BD7" w:rsidRPr="000C77FA" w:rsidRDefault="00F55BD7"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Para el caso que no pueda subir la información en una liga electrónica de acceso en Internet, por no contar con presupuesto, ni con el equipo electrónico adecuado para tal circunstancia, podrá omitir dicha modalidad, para la entrega de la misma. </w:t>
      </w:r>
    </w:p>
    <w:p w14:paraId="2BFC3B06" w14:textId="77777777" w:rsidR="00F55BD7" w:rsidRPr="000C77FA" w:rsidRDefault="00F55BD7" w:rsidP="000C77FA">
      <w:pPr>
        <w:spacing w:line="360" w:lineRule="auto"/>
        <w:ind w:right="51"/>
        <w:jc w:val="both"/>
        <w:rPr>
          <w:rFonts w:ascii="Palatino Linotype" w:eastAsia="Palatino Linotype" w:hAnsi="Palatino Linotype" w:cs="Palatino Linotype"/>
        </w:rPr>
      </w:pPr>
    </w:p>
    <w:p w14:paraId="2263D21C" w14:textId="13718860" w:rsidR="00F55BD7" w:rsidRPr="000C77FA" w:rsidRDefault="00F55BD7"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Ante tal situación, a través del SAIMEX, deberá indicar el mecanismo y/o procedimiento que tendrá que seguir la parte RECURRENTE, para acceder a la documentación, es decir, los pasos para realizar el pago de derechos, en caso de ser procedentes, y la manera de obtener la información como domicilio de la Unidad de Transparencia, días y horarios de atención, así como el nombre del servidor público que le atenderá. Además, deberá señalar que podrá acceder de manera gratuita a la información si proporciona el medio electrónico y recoge la información en la Unidad de Transparencia.</w:t>
      </w:r>
    </w:p>
    <w:p w14:paraId="5390FAE3" w14:textId="77777777" w:rsidR="00F55BD7" w:rsidRPr="000C77FA" w:rsidRDefault="00F55BD7" w:rsidP="000C77FA">
      <w:pPr>
        <w:spacing w:line="360" w:lineRule="auto"/>
        <w:ind w:right="51"/>
        <w:jc w:val="both"/>
        <w:rPr>
          <w:rFonts w:ascii="Palatino Linotype" w:eastAsia="Palatino Linotype" w:hAnsi="Palatino Linotype" w:cs="Palatino Linotype"/>
        </w:rPr>
      </w:pPr>
    </w:p>
    <w:p w14:paraId="42BB816C" w14:textId="77777777" w:rsidR="00F55BD7" w:rsidRPr="000C77FA" w:rsidRDefault="00F55BD7"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Además, </w:t>
      </w:r>
      <w:r w:rsidRPr="000C77FA">
        <w:rPr>
          <w:rFonts w:ascii="Palatino Linotype" w:eastAsia="Palatino Linotype" w:hAnsi="Palatino Linotype" w:cs="Palatino Linotype"/>
          <w:b/>
          <w:bCs/>
        </w:rPr>
        <w:t>EL SUJETO OBLIGADO</w:t>
      </w:r>
      <w:r w:rsidRPr="000C77FA">
        <w:rPr>
          <w:rFonts w:ascii="Palatino Linotype" w:eastAsia="Palatino Linotype" w:hAnsi="Palatino Linotype" w:cs="Palatino Linotype"/>
        </w:rPr>
        <w:t xml:space="preserve"> deberá hacer del conocimiento a la parte Recurrente que la información estará disponible para su consulta, por un plazo mínimo de sesenta días naturales, mismo plazo que deberá computarse posterior a la notificación de la presente resolución en términos del segundo párrafo del artículo 166 de la Ley de Transparencia y Acceso a la Información Pública del Estado de México y Municipios. </w:t>
      </w:r>
    </w:p>
    <w:p w14:paraId="56C3346F" w14:textId="77777777" w:rsidR="00F55BD7" w:rsidRPr="000C77FA" w:rsidRDefault="00F55BD7" w:rsidP="000C77FA">
      <w:pPr>
        <w:spacing w:line="360" w:lineRule="auto"/>
        <w:ind w:right="51"/>
        <w:jc w:val="both"/>
        <w:rPr>
          <w:rFonts w:ascii="Palatino Linotype" w:eastAsia="Palatino Linotype" w:hAnsi="Palatino Linotype" w:cs="Palatino Linotype"/>
        </w:rPr>
      </w:pPr>
    </w:p>
    <w:p w14:paraId="1EFA49A9" w14:textId="2E60E879" w:rsidR="00F55BD7" w:rsidRPr="000C77FA" w:rsidRDefault="00F55BD7"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Si dentro del transcurso del término señalado en el párrafo anterior, la parte </w:t>
      </w:r>
      <w:r w:rsidRPr="000C77FA">
        <w:rPr>
          <w:rFonts w:ascii="Palatino Linotype" w:eastAsia="Palatino Linotype" w:hAnsi="Palatino Linotype" w:cs="Palatino Linotype"/>
          <w:b/>
          <w:bCs/>
        </w:rPr>
        <w:t>RECURRENTE</w:t>
      </w:r>
      <w:r w:rsidRPr="000C77FA">
        <w:rPr>
          <w:rFonts w:ascii="Palatino Linotype" w:eastAsia="Palatino Linotype" w:hAnsi="Palatino Linotype" w:cs="Palatino Linotype"/>
        </w:rPr>
        <w:t xml:space="preserve"> acude por la información, </w:t>
      </w:r>
      <w:r w:rsidRPr="000C77FA">
        <w:rPr>
          <w:rFonts w:ascii="Palatino Linotype" w:eastAsia="Palatino Linotype" w:hAnsi="Palatino Linotype" w:cs="Palatino Linotype"/>
          <w:b/>
          <w:bCs/>
        </w:rPr>
        <w:t>EL SUJETO OBLIGADO</w:t>
      </w:r>
      <w:r w:rsidRPr="000C77FA">
        <w:rPr>
          <w:rFonts w:ascii="Palatino Linotype" w:eastAsia="Palatino Linotype" w:hAnsi="Palatino Linotype" w:cs="Palatino Linotype"/>
        </w:rPr>
        <w:t xml:space="preserve"> levantará un acta de hechos misma que debe ser remitida a este Instituto, por conducto de la </w:t>
      </w:r>
      <w:r w:rsidRPr="000C77FA">
        <w:rPr>
          <w:rFonts w:ascii="Palatino Linotype" w:eastAsia="Palatino Linotype" w:hAnsi="Palatino Linotype" w:cs="Palatino Linotype"/>
        </w:rPr>
        <w:lastRenderedPageBreak/>
        <w:t>Secretaría</w:t>
      </w:r>
      <w:r w:rsidRPr="000C77FA">
        <w:t xml:space="preserve"> </w:t>
      </w:r>
      <w:r w:rsidRPr="000C77FA">
        <w:rPr>
          <w:rFonts w:ascii="Palatino Linotype" w:eastAsia="Palatino Linotype" w:hAnsi="Palatino Linotype" w:cs="Palatino Linotype"/>
        </w:rPr>
        <w:t>Técnica del Pleno, junto con el acuse de recibo de la información; sin embargo, si una vez fenecido el plazo, no acudiera por los documentos ordenados, el Sujeto Obligado, mediante acuerdo dará por concluida la solicitud y podrá, de ser el caso, realizar la destrucción del material en el que se reprodujo, situación que también deberá informar a este Instituto, por el mismo conducto.</w:t>
      </w:r>
    </w:p>
    <w:p w14:paraId="31081C21" w14:textId="77777777" w:rsidR="00F55BD7" w:rsidRPr="000C77FA" w:rsidRDefault="00F55BD7" w:rsidP="000C77FA">
      <w:pPr>
        <w:spacing w:line="360" w:lineRule="auto"/>
        <w:ind w:right="51"/>
        <w:jc w:val="both"/>
        <w:rPr>
          <w:rFonts w:ascii="Palatino Linotype" w:eastAsia="Palatino Linotype" w:hAnsi="Palatino Linotype" w:cs="Palatino Linotype"/>
        </w:rPr>
      </w:pPr>
    </w:p>
    <w:p w14:paraId="12EEF855"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No se omite comentar que para el caso de que el o los documentos de los cuales se ordena su entrega, contengan datos personales susceptibles de ser testados, deberán ser entregados en </w:t>
      </w:r>
      <w:r w:rsidRPr="000C77FA">
        <w:rPr>
          <w:rFonts w:ascii="Palatino Linotype" w:eastAsia="Palatino Linotype" w:hAnsi="Palatino Linotype" w:cs="Palatino Linotype"/>
          <w:b/>
        </w:rPr>
        <w:t>versión pública</w:t>
      </w:r>
      <w:r w:rsidRPr="000C77FA">
        <w:rPr>
          <w:rFonts w:ascii="Palatino Linotype" w:eastAsia="Palatino Linotype" w:hAnsi="Palatino Linotype" w:cs="Palatino Linotype"/>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74B999CF" w14:textId="77777777" w:rsidR="00072693" w:rsidRPr="000C77FA" w:rsidRDefault="00072693" w:rsidP="000C77FA">
      <w:pPr>
        <w:spacing w:line="360" w:lineRule="auto"/>
        <w:jc w:val="both"/>
        <w:rPr>
          <w:rFonts w:ascii="Palatino Linotype" w:eastAsia="Palatino Linotype" w:hAnsi="Palatino Linotype" w:cs="Palatino Linotype"/>
        </w:rPr>
      </w:pPr>
    </w:p>
    <w:p w14:paraId="0F4E9E9A" w14:textId="77777777" w:rsidR="00072693" w:rsidRPr="000C77FA" w:rsidRDefault="002C1F92" w:rsidP="000C77FA">
      <w:pPr>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el caso, previo a poner a disposición la información correspondiente debe considerarse que tiene carácter de confidencial el </w:t>
      </w:r>
      <w:r w:rsidRPr="000C77FA">
        <w:rPr>
          <w:rFonts w:ascii="Palatino Linotype" w:eastAsia="Palatino Linotype" w:hAnsi="Palatino Linotype" w:cs="Palatino Linotype"/>
          <w:b/>
        </w:rPr>
        <w:t>Registro Federal de Contribuyentes (RFC) que no sean de proveedores</w:t>
      </w:r>
      <w:r w:rsidRPr="000C77FA">
        <w:rPr>
          <w:rFonts w:ascii="Palatino Linotype" w:eastAsia="Palatino Linotype" w:hAnsi="Palatino Linotype" w:cs="Palatino Linotype"/>
        </w:rPr>
        <w:t xml:space="preserve">, cuenta bancaria, la Clave Única de Registro de Población (CURP), domicilio particular, teléfono particular, el nombre de las personas físicas que no tengan la calidad de servidor público  o </w:t>
      </w:r>
      <w:r w:rsidRPr="000C77FA">
        <w:rPr>
          <w:rFonts w:ascii="Palatino Linotype" w:eastAsia="Palatino Linotype" w:hAnsi="Palatino Linotype" w:cs="Palatino Linotype"/>
        </w:rPr>
        <w:lastRenderedPageBreak/>
        <w:t>aquellos que no reciban recursos públicos, entre otros considerados como datos personales en términos de la normatividad aplicable.</w:t>
      </w:r>
    </w:p>
    <w:p w14:paraId="56272BEC" w14:textId="77777777" w:rsidR="00072693" w:rsidRPr="000C77FA" w:rsidRDefault="002C1F92" w:rsidP="000C77FA">
      <w:pPr>
        <w:spacing w:before="240" w:after="240" w:line="360" w:lineRule="auto"/>
        <w:ind w:right="-9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Lo anterior es compartido por el ahora </w:t>
      </w:r>
      <w:r w:rsidRPr="000C77FA">
        <w:rPr>
          <w:rFonts w:ascii="Palatino Linotype" w:eastAsia="Palatino Linotype" w:hAnsi="Palatino Linotype" w:cs="Palatino Linotype"/>
          <w:b/>
        </w:rPr>
        <w:t>Instituto Nacional de Transparencia, Acceso a la Información y Protección de Datos Personales</w:t>
      </w:r>
      <w:r w:rsidRPr="000C77FA">
        <w:rPr>
          <w:rFonts w:ascii="Palatino Linotype" w:eastAsia="Palatino Linotype" w:hAnsi="Palatino Linotype" w:cs="Palatino Linotype"/>
        </w:rPr>
        <w:t xml:space="preserve"> (INAI), conforme al criterio </w:t>
      </w:r>
      <w:r w:rsidRPr="000C77FA">
        <w:rPr>
          <w:rFonts w:ascii="Palatino Linotype" w:eastAsia="Palatino Linotype" w:hAnsi="Palatino Linotype" w:cs="Palatino Linotype"/>
          <w:b/>
        </w:rPr>
        <w:t>004/2021,</w:t>
      </w:r>
      <w:r w:rsidRPr="000C77FA">
        <w:rPr>
          <w:rFonts w:ascii="Palatino Linotype" w:eastAsia="Palatino Linotype" w:hAnsi="Palatino Linotype" w:cs="Palatino Linotype"/>
        </w:rPr>
        <w:t xml:space="preserve"> el cual es del tenor literal siguiente:</w:t>
      </w:r>
    </w:p>
    <w:p w14:paraId="37CCDC7E" w14:textId="77777777" w:rsidR="00072693" w:rsidRPr="000C77FA" w:rsidRDefault="002C1F92" w:rsidP="000C77FA">
      <w:pPr>
        <w:spacing w:before="240"/>
        <w:ind w:left="851" w:right="851"/>
        <w:jc w:val="center"/>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rPr>
        <w:t>“</w:t>
      </w:r>
      <w:r w:rsidRPr="000C77FA">
        <w:rPr>
          <w:rFonts w:ascii="Palatino Linotype" w:eastAsia="Palatino Linotype" w:hAnsi="Palatino Linotype" w:cs="Palatino Linotype"/>
          <w:b/>
          <w:i/>
          <w:sz w:val="22"/>
          <w:szCs w:val="22"/>
        </w:rPr>
        <w:t>Registro Federal de Contribuyentes (RFC) de personas físicas proveedores o contratistas.</w:t>
      </w:r>
    </w:p>
    <w:p w14:paraId="760B34B3" w14:textId="4A6E8D14" w:rsidR="00072693" w:rsidRPr="000C77FA" w:rsidRDefault="002C1F92" w:rsidP="000C77FA">
      <w:pPr>
        <w:spacing w:before="240"/>
        <w:ind w:left="851" w:right="85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El RFC de contratistas o proveedores de sujetos obligados debe ser público, </w:t>
      </w:r>
      <w:r w:rsidR="00A80BE8" w:rsidRPr="000C77FA">
        <w:rPr>
          <w:rFonts w:ascii="Palatino Linotype" w:eastAsia="Palatino Linotype" w:hAnsi="Palatino Linotype" w:cs="Palatino Linotype"/>
          <w:i/>
          <w:sz w:val="22"/>
          <w:szCs w:val="22"/>
        </w:rPr>
        <w:t>ya que,</w:t>
      </w:r>
      <w:r w:rsidRPr="000C77FA">
        <w:rPr>
          <w:rFonts w:ascii="Palatino Linotype" w:eastAsia="Palatino Linotype" w:hAnsi="Palatino Linotype" w:cs="Palatino Linotype"/>
          <w:i/>
          <w:sz w:val="22"/>
          <w:szCs w:val="22"/>
        </w:rPr>
        <w:t xml:space="preserve"> al tratarse de personas relacionadas con contrataciones públicas, su difusión favorece la transparencia con la que deben administrarse los recursos públicos, en términos del artículo 134 de la Constitución Política de los Estados Unidos Mexicanos.” [Sic]</w:t>
      </w:r>
    </w:p>
    <w:p w14:paraId="26F1B8CE" w14:textId="77777777" w:rsidR="00072693" w:rsidRPr="000C77FA" w:rsidRDefault="00072693" w:rsidP="000C77FA">
      <w:pPr>
        <w:spacing w:before="120" w:after="120"/>
        <w:ind w:left="567" w:right="850"/>
        <w:jc w:val="both"/>
        <w:rPr>
          <w:rFonts w:ascii="Palatino Linotype" w:eastAsia="Palatino Linotype" w:hAnsi="Palatino Linotype" w:cs="Palatino Linotype"/>
          <w:i/>
        </w:rPr>
      </w:pPr>
    </w:p>
    <w:p w14:paraId="224B8164" w14:textId="77777777" w:rsidR="00072693" w:rsidRPr="000C77FA" w:rsidRDefault="002C1F92" w:rsidP="000C77FA">
      <w:pPr>
        <w:spacing w:before="240" w:after="240"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el RFC se vincula al nombre de su titular, permite identificar la edad de la persona, su fecha de nacimiento, así como su </w:t>
      </w:r>
      <w:proofErr w:type="spellStart"/>
      <w:r w:rsidRPr="000C77FA">
        <w:rPr>
          <w:rFonts w:ascii="Palatino Linotype" w:eastAsia="Palatino Linotype" w:hAnsi="Palatino Linotype" w:cs="Palatino Linotype"/>
        </w:rPr>
        <w:t>homoclave</w:t>
      </w:r>
      <w:proofErr w:type="spellEnd"/>
      <w:r w:rsidRPr="000C77FA">
        <w:rPr>
          <w:rFonts w:ascii="Palatino Linotype" w:eastAsia="Palatino Linotype" w:hAnsi="Palatino Linotype" w:cs="Palatino Linotype"/>
        </w:rPr>
        <w:t>, la cual es única e irrepetible y determina justamente la identificación de dicha persona para efectos fiscales, por lo éste constituye un dato personal que concierne a una persona física identificada e identificable.</w:t>
      </w:r>
    </w:p>
    <w:p w14:paraId="45AFA8E7" w14:textId="77777777" w:rsidR="00072693" w:rsidRPr="000C77FA" w:rsidRDefault="002C1F92" w:rsidP="000C77FA">
      <w:pPr>
        <w:spacing w:before="240" w:after="240"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EEF7C02" w14:textId="77777777" w:rsidR="00072693" w:rsidRPr="000C77FA" w:rsidRDefault="002C1F92" w:rsidP="000C77FA">
      <w:pPr>
        <w:spacing w:before="240" w:after="240" w:line="360" w:lineRule="auto"/>
        <w:ind w:right="-91"/>
        <w:jc w:val="both"/>
        <w:rPr>
          <w:rFonts w:ascii="Palatino Linotype" w:eastAsia="Palatino Linotype" w:hAnsi="Palatino Linotype" w:cs="Palatino Linotype"/>
        </w:rPr>
      </w:pPr>
      <w:r w:rsidRPr="000C77FA">
        <w:rPr>
          <w:rFonts w:ascii="Palatino Linotype" w:eastAsia="Palatino Linotype" w:hAnsi="Palatino Linotype" w:cs="Palatino Linotype"/>
        </w:rPr>
        <w:lastRenderedPageBreak/>
        <w:t xml:space="preserve">Argumento que es compartido por el </w:t>
      </w:r>
      <w:r w:rsidRPr="000C77FA">
        <w:rPr>
          <w:rFonts w:ascii="Palatino Linotype" w:eastAsia="Palatino Linotype" w:hAnsi="Palatino Linotype" w:cs="Palatino Linotype"/>
          <w:b/>
        </w:rPr>
        <w:t xml:space="preserve">Instituto Nacional de Transparencia, Acceso a la Información y Protección de Datos Personales, </w:t>
      </w:r>
      <w:r w:rsidRPr="000C77FA">
        <w:rPr>
          <w:rFonts w:ascii="Palatino Linotype" w:eastAsia="Palatino Linotype" w:hAnsi="Palatino Linotype" w:cs="Palatino Linotype"/>
        </w:rPr>
        <w:t>conforme al</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rPr>
        <w:t xml:space="preserve">criterio número 18/17 el cual refiere: </w:t>
      </w:r>
    </w:p>
    <w:p w14:paraId="44754D9D" w14:textId="77777777" w:rsidR="00072693" w:rsidRPr="000C77FA" w:rsidRDefault="002C1F92" w:rsidP="000C77FA">
      <w:pPr>
        <w:spacing w:before="240"/>
        <w:ind w:left="851" w:right="851"/>
        <w:jc w:val="center"/>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b/>
          <w:i/>
          <w:sz w:val="22"/>
          <w:szCs w:val="22"/>
        </w:rPr>
        <w:t>CLAVE ÚNICA DE REGISTRO DE POBLACIÓN (CURP).</w:t>
      </w:r>
    </w:p>
    <w:p w14:paraId="16C09A79" w14:textId="14309F5A" w:rsidR="00072693" w:rsidRPr="000C77FA" w:rsidRDefault="002C1F92" w:rsidP="000C77FA">
      <w:pPr>
        <w:spacing w:before="240"/>
        <w:ind w:left="851" w:right="851"/>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sz w:val="22"/>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r w:rsidRPr="000C77FA">
        <w:rPr>
          <w:rFonts w:ascii="Palatino Linotype" w:eastAsia="Palatino Linotype" w:hAnsi="Palatino Linotype" w:cs="Palatino Linotype"/>
          <w:b/>
          <w:i/>
          <w:sz w:val="22"/>
          <w:szCs w:val="22"/>
        </w:rPr>
        <w:t>[Sic]</w:t>
      </w:r>
    </w:p>
    <w:p w14:paraId="75F2C029"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7CC2EB8A"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Asimismo, el artículo 2°, fracción III, de la Ley General de Títulos y Operaciones de Crédito establece que los actos y las operaciones que regula esta Ley General, se regirán por los </w:t>
      </w:r>
      <w:r w:rsidRPr="000C77FA">
        <w:rPr>
          <w:rFonts w:ascii="Palatino Linotype" w:eastAsia="Palatino Linotype" w:hAnsi="Palatino Linotype" w:cs="Palatino Linotype"/>
          <w:b/>
        </w:rPr>
        <w:t>usos bancarios y mercantiles</w:t>
      </w:r>
      <w:r w:rsidRPr="000C77FA">
        <w:rPr>
          <w:rFonts w:ascii="Palatino Linotype" w:eastAsia="Palatino Linotype" w:hAnsi="Palatino Linotype" w:cs="Palatino Linotype"/>
        </w:rPr>
        <w:t xml:space="preserve">, es así que, a manera de contextualización la cuenta bancaria y estado de cuenta se definen como: </w:t>
      </w:r>
    </w:p>
    <w:p w14:paraId="5CD2F6B5" w14:textId="77777777" w:rsidR="00072693" w:rsidRPr="000C77FA" w:rsidRDefault="00072693" w:rsidP="000C77FA">
      <w:pPr>
        <w:spacing w:line="360" w:lineRule="auto"/>
        <w:jc w:val="both"/>
        <w:rPr>
          <w:rFonts w:ascii="Palatino Linotype" w:eastAsia="Palatino Linotype" w:hAnsi="Palatino Linotype" w:cs="Palatino Linotype"/>
        </w:rPr>
      </w:pPr>
    </w:p>
    <w:p w14:paraId="244F550C" w14:textId="77777777" w:rsidR="00072693" w:rsidRPr="000C77FA" w:rsidRDefault="002C1F92" w:rsidP="000C77FA">
      <w:pPr>
        <w:numPr>
          <w:ilvl w:val="0"/>
          <w:numId w:val="11"/>
        </w:num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rPr>
        <w:t>Cuenta bancaria:</w:t>
      </w:r>
      <w:r w:rsidRPr="000C77FA">
        <w:rPr>
          <w:rFonts w:ascii="Palatino Linotype" w:eastAsia="Palatino Linotype" w:hAnsi="Palatino Linotype" w:cs="Palatino Linotype"/>
        </w:rPr>
        <w:t xml:space="preserve"> Una cuenta bancaria es un registro que mantiene un banco, en el que guarda dinero y contabiliza todas las entradas y salidas de efectivo, así como los créditos en curso, inversiones y productos relacionados.</w:t>
      </w:r>
    </w:p>
    <w:p w14:paraId="127E784A"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18D97AF0"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En relación a los </w:t>
      </w:r>
      <w:r w:rsidRPr="000C77FA">
        <w:rPr>
          <w:rFonts w:ascii="Palatino Linotype" w:eastAsia="Palatino Linotype" w:hAnsi="Palatino Linotype" w:cs="Palatino Linotype"/>
          <w:b/>
          <w:u w:val="single"/>
        </w:rPr>
        <w:t>números de cuenta bancarias</w:t>
      </w:r>
      <w:r w:rsidRPr="000C77FA">
        <w:rPr>
          <w:rFonts w:ascii="Palatino Linotype" w:eastAsia="Palatino Linotype" w:hAnsi="Palatino Linotype" w:cs="Palatino Linotype"/>
        </w:rPr>
        <w:t xml:space="preserve"> del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en donde se transfieren recursos públicos, </w:t>
      </w:r>
      <w:r w:rsidRPr="000C77FA">
        <w:rPr>
          <w:rFonts w:ascii="Palatino Linotype" w:eastAsia="Palatino Linotype" w:hAnsi="Palatino Linotype" w:cs="Palatino Linotype"/>
          <w:b/>
          <w:u w:val="single"/>
        </w:rPr>
        <w:t>son considerados como información pública</w:t>
      </w:r>
      <w:r w:rsidRPr="000C77FA">
        <w:rPr>
          <w:rFonts w:ascii="Palatino Linotype" w:eastAsia="Palatino Linotype" w:hAnsi="Palatino Linotype" w:cs="Palatino Linotype"/>
        </w:rPr>
        <w:t xml:space="preserve">, pues su difusión favorece la rendición de cuentas al transparentar la forma en que se administrar los recursos públicos; situación que se robustece con el Criterio 11/17, </w:t>
      </w:r>
      <w:r w:rsidRPr="000C77FA">
        <w:rPr>
          <w:rFonts w:ascii="Palatino Linotype" w:eastAsia="Palatino Linotype" w:hAnsi="Palatino Linotype" w:cs="Palatino Linotype"/>
        </w:rPr>
        <w:lastRenderedPageBreak/>
        <w:t>del Instituto Nacional de Transparencia, Acceso a la Información y Protección de Datos Personales, que a la letra precisa:</w:t>
      </w:r>
    </w:p>
    <w:p w14:paraId="6A4E0AAC" w14:textId="77777777" w:rsidR="00072693" w:rsidRPr="000C77FA" w:rsidRDefault="00072693" w:rsidP="000C77FA">
      <w:pPr>
        <w:spacing w:line="360" w:lineRule="auto"/>
        <w:jc w:val="both"/>
        <w:rPr>
          <w:rFonts w:ascii="Palatino Linotype" w:eastAsia="Palatino Linotype" w:hAnsi="Palatino Linotype" w:cs="Palatino Linotype"/>
        </w:rPr>
      </w:pPr>
    </w:p>
    <w:p w14:paraId="4EFC5F3F" w14:textId="77777777" w:rsidR="00072693" w:rsidRPr="000C77FA" w:rsidRDefault="002C1F92" w:rsidP="000C77FA">
      <w:pPr>
        <w:ind w:left="567" w:right="567"/>
        <w:jc w:val="both"/>
        <w:rPr>
          <w:rFonts w:ascii="Palatino Linotype" w:eastAsia="Palatino Linotype" w:hAnsi="Palatino Linotype" w:cs="Palatino Linotype"/>
          <w:i/>
        </w:rPr>
      </w:pPr>
      <w:r w:rsidRPr="000C77FA">
        <w:rPr>
          <w:rFonts w:ascii="Palatino Linotype" w:eastAsia="Palatino Linotype" w:hAnsi="Palatino Linotype" w:cs="Palatino Linotype"/>
          <w:b/>
          <w:i/>
        </w:rPr>
        <w:t>“Cuentas bancarias y/o CLABE interbancaria de sujetos obligados que reciben y/o transfieren recursos públicos, son información pública.</w:t>
      </w:r>
      <w:r w:rsidRPr="000C77FA">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2DEC9E8" w14:textId="77777777" w:rsidR="00072693" w:rsidRPr="000C77FA" w:rsidRDefault="00072693" w:rsidP="000C77FA">
      <w:pPr>
        <w:spacing w:line="360" w:lineRule="auto"/>
        <w:ind w:right="51"/>
        <w:jc w:val="both"/>
        <w:rPr>
          <w:rFonts w:ascii="Palatino Linotype" w:eastAsia="Palatino Linotype" w:hAnsi="Palatino Linotype" w:cs="Palatino Linotype"/>
        </w:rPr>
      </w:pPr>
    </w:p>
    <w:p w14:paraId="77F490D6"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Por otro lado, el Criterio 11/17 establece que el número de cuenta de particulares es información confidencial, del Instituto Nacional de Transparencia, Acceso a la Información y Protección de Datos Personales, que a la letra precisa:</w:t>
      </w:r>
    </w:p>
    <w:p w14:paraId="7C654D7C" w14:textId="77777777" w:rsidR="00072693" w:rsidRPr="000C77FA" w:rsidRDefault="002C1F92" w:rsidP="000C77FA">
      <w:pPr>
        <w:spacing w:before="240" w:after="160"/>
        <w:ind w:left="851" w:right="851"/>
        <w:jc w:val="both"/>
        <w:rPr>
          <w:rFonts w:ascii="Palatino Linotype" w:eastAsia="Palatino Linotype" w:hAnsi="Palatino Linotype" w:cs="Palatino Linotype"/>
          <w:b/>
          <w:i/>
          <w:sz w:val="22"/>
          <w:szCs w:val="22"/>
        </w:rPr>
      </w:pPr>
      <w:bookmarkStart w:id="15" w:name="_heading=h.17dp8vu" w:colFirst="0" w:colLast="0"/>
      <w:bookmarkEnd w:id="15"/>
      <w:r w:rsidRPr="000C77FA">
        <w:rPr>
          <w:rFonts w:ascii="Palatino Linotype" w:eastAsia="Palatino Linotype" w:hAnsi="Palatino Linotype" w:cs="Palatino Linotype"/>
          <w:b/>
          <w:i/>
          <w:sz w:val="22"/>
          <w:szCs w:val="22"/>
        </w:rPr>
        <w:t>CRITERIO: 10/17.- Cuentas bancarias y/o CLABE interbancaria de personas físicas y morales privadas.</w:t>
      </w:r>
    </w:p>
    <w:p w14:paraId="555A960A" w14:textId="77777777" w:rsidR="00072693" w:rsidRPr="000C77FA" w:rsidRDefault="002C1F92" w:rsidP="000C77FA">
      <w:pPr>
        <w:spacing w:before="240" w:after="160"/>
        <w:ind w:left="851" w:right="85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0F3AF18D" w14:textId="77777777" w:rsidR="00072693" w:rsidRPr="000C77FA" w:rsidRDefault="00072693" w:rsidP="000C77FA">
      <w:pPr>
        <w:spacing w:line="360" w:lineRule="auto"/>
        <w:jc w:val="both"/>
        <w:rPr>
          <w:rFonts w:ascii="Palatino Linotype" w:eastAsia="Palatino Linotype" w:hAnsi="Palatino Linotype" w:cs="Palatino Linotype"/>
        </w:rPr>
      </w:pPr>
    </w:p>
    <w:p w14:paraId="6351619F"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 este respecto, los artículos 3, fracciones IX, XX, XXI y XLV; 51 y 52 de la Ley de Transparencia y Acceso a la Información Pública del Estado de México y Municipios establecen:</w:t>
      </w:r>
    </w:p>
    <w:p w14:paraId="441B01D4" w14:textId="77777777" w:rsidR="00072693" w:rsidRPr="000C77FA" w:rsidRDefault="00072693" w:rsidP="000C77FA">
      <w:pPr>
        <w:ind w:right="899"/>
        <w:jc w:val="both"/>
        <w:rPr>
          <w:rFonts w:ascii="Palatino Linotype" w:eastAsia="Palatino Linotype" w:hAnsi="Palatino Linotype" w:cs="Palatino Linotype"/>
          <w:sz w:val="12"/>
          <w:szCs w:val="12"/>
        </w:rPr>
      </w:pPr>
    </w:p>
    <w:p w14:paraId="5B21FF86" w14:textId="77777777" w:rsidR="00072693" w:rsidRPr="000C77FA" w:rsidRDefault="002C1F92" w:rsidP="000C77FA">
      <w:pPr>
        <w:ind w:left="851" w:right="901"/>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 xml:space="preserve">“Artículo 3. </w:t>
      </w:r>
      <w:r w:rsidRPr="000C77FA">
        <w:rPr>
          <w:rFonts w:ascii="Palatino Linotype" w:eastAsia="Palatino Linotype" w:hAnsi="Palatino Linotype" w:cs="Palatino Linotype"/>
          <w:i/>
          <w:sz w:val="22"/>
          <w:szCs w:val="22"/>
        </w:rPr>
        <w:t xml:space="preserve">Para los efectos de la presente Ley se entenderá por: </w:t>
      </w:r>
    </w:p>
    <w:p w14:paraId="4254ABE5" w14:textId="77777777" w:rsidR="00072693" w:rsidRPr="000C77FA" w:rsidRDefault="002C1F92" w:rsidP="000C77FA">
      <w:pPr>
        <w:ind w:left="851" w:right="899"/>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lastRenderedPageBreak/>
        <w:t>IX.</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b/>
          <w:i/>
          <w:sz w:val="22"/>
          <w:szCs w:val="22"/>
        </w:rPr>
        <w:t xml:space="preserve">Datos personales: </w:t>
      </w:r>
      <w:r w:rsidRPr="000C77FA">
        <w:rPr>
          <w:rFonts w:ascii="Palatino Linotype" w:eastAsia="Palatino Linotype" w:hAnsi="Palatino Linotype" w:cs="Palatino Linotype"/>
          <w:i/>
          <w:sz w:val="22"/>
          <w:szCs w:val="22"/>
        </w:rPr>
        <w:t xml:space="preserve">La información concerniente a una persona, identificada o identificable según lo dispuesto por la Ley de Protección de Datos Personales del Estado de México; </w:t>
      </w:r>
    </w:p>
    <w:p w14:paraId="45533F77" w14:textId="77777777" w:rsidR="00072693" w:rsidRPr="000C77FA" w:rsidRDefault="002C1F92" w:rsidP="000C77FA">
      <w:pPr>
        <w:ind w:left="851" w:right="899"/>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XX.</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b/>
          <w:i/>
          <w:sz w:val="22"/>
          <w:szCs w:val="22"/>
        </w:rPr>
        <w:t>Información clasificada:</w:t>
      </w:r>
      <w:r w:rsidRPr="000C77FA">
        <w:rPr>
          <w:rFonts w:ascii="Palatino Linotype" w:eastAsia="Palatino Linotype" w:hAnsi="Palatino Linotype" w:cs="Palatino Linotype"/>
          <w:i/>
          <w:sz w:val="22"/>
          <w:szCs w:val="22"/>
        </w:rPr>
        <w:t xml:space="preserve"> Aquella considerada por la presente Ley como reservada o confidencial; </w:t>
      </w:r>
    </w:p>
    <w:p w14:paraId="25B698D1" w14:textId="77777777" w:rsidR="00072693" w:rsidRPr="000C77FA" w:rsidRDefault="002C1F92" w:rsidP="000C77FA">
      <w:pPr>
        <w:ind w:left="851" w:right="899"/>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XXI.</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b/>
          <w:i/>
          <w:sz w:val="22"/>
          <w:szCs w:val="22"/>
        </w:rPr>
        <w:t>Información confidencial</w:t>
      </w:r>
      <w:r w:rsidRPr="000C77FA">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9114292" w14:textId="77777777" w:rsidR="00072693" w:rsidRPr="000C77FA" w:rsidRDefault="002C1F92" w:rsidP="000C77FA">
      <w:pPr>
        <w:ind w:left="851" w:right="899"/>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XLV. Versión pública:</w:t>
      </w:r>
      <w:r w:rsidRPr="000C77FA">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 </w:t>
      </w:r>
    </w:p>
    <w:p w14:paraId="5633C12A" w14:textId="77777777" w:rsidR="00072693" w:rsidRPr="000C77FA" w:rsidRDefault="002C1F92" w:rsidP="000C77FA">
      <w:pPr>
        <w:ind w:left="851" w:right="899"/>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51.</w:t>
      </w:r>
      <w:r w:rsidRPr="000C77FA">
        <w:rPr>
          <w:rFonts w:ascii="Palatino Linotype" w:eastAsia="Palatino Linotype" w:hAnsi="Palatino Linotype" w:cs="Palatino Linotype"/>
          <w:i/>
          <w:sz w:val="22"/>
          <w:szCs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C77FA">
        <w:rPr>
          <w:rFonts w:ascii="Palatino Linotype" w:eastAsia="Palatino Linotype" w:hAnsi="Palatino Linotype" w:cs="Palatino Linotype"/>
          <w:b/>
          <w:i/>
          <w:sz w:val="22"/>
          <w:szCs w:val="22"/>
        </w:rPr>
        <w:t xml:space="preserve">y tendrá la responsabilidad de verificar en cada caso que la misma no sea confidencial o reservada. </w:t>
      </w:r>
      <w:r w:rsidRPr="000C77FA">
        <w:rPr>
          <w:rFonts w:ascii="Palatino Linotype" w:eastAsia="Palatino Linotype" w:hAnsi="Palatino Linotype" w:cs="Palatino Linotype"/>
          <w:i/>
          <w:sz w:val="22"/>
          <w:szCs w:val="22"/>
        </w:rPr>
        <w:t xml:space="preserve">Dicha Unidad contará con las facultades internas necesarias para gestionar la atención a las solicitudes de información en los términos de la Ley General y la presente Ley. </w:t>
      </w:r>
    </w:p>
    <w:p w14:paraId="1A865834" w14:textId="77777777" w:rsidR="00072693" w:rsidRPr="000C77FA" w:rsidRDefault="002C1F92" w:rsidP="000C77FA">
      <w:pPr>
        <w:ind w:left="851" w:right="899"/>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52.</w:t>
      </w:r>
      <w:r w:rsidRPr="000C77FA">
        <w:rPr>
          <w:rFonts w:ascii="Palatino Linotype" w:eastAsia="Palatino Linotype" w:hAnsi="Palatino Linotype" w:cs="Palatino Linotype"/>
          <w:i/>
          <w:sz w:val="22"/>
          <w:szCs w:val="22"/>
        </w:rPr>
        <w:t xml:space="preserve"> Las solicitudes de acceso a la información y las respuestas que se les dé, incluyendo, en su caso, </w:t>
      </w:r>
      <w:r w:rsidRPr="000C77FA">
        <w:rPr>
          <w:rFonts w:ascii="Palatino Linotype" w:eastAsia="Palatino Linotype" w:hAnsi="Palatino Linotype" w:cs="Palatino Linotype"/>
          <w:i/>
          <w:sz w:val="22"/>
          <w:szCs w:val="22"/>
          <w:u w:val="single"/>
        </w:rPr>
        <w:t>la información entregada, así como las resoluciones a los recursos que en su caso se promuevan serán públicas, y de ser el caso que contenga datos personales que deban ser protegidos se podrá dar su acceso en su versión pública</w:t>
      </w:r>
      <w:r w:rsidRPr="000C77FA">
        <w:rPr>
          <w:rFonts w:ascii="Palatino Linotype" w:eastAsia="Palatino Linotype" w:hAnsi="Palatino Linotype" w:cs="Palatino Linotype"/>
          <w:i/>
          <w:sz w:val="22"/>
          <w:szCs w:val="22"/>
        </w:rPr>
        <w:t>, siempre y cuando la resolución de referencia se someta a un proceso de disociación, es decir, no haga identificable al titular de tales datos personales.”</w:t>
      </w:r>
    </w:p>
    <w:p w14:paraId="2EF2849B" w14:textId="77777777" w:rsidR="00072693" w:rsidRPr="000C77FA" w:rsidRDefault="002C1F92" w:rsidP="000C77FA">
      <w:pPr>
        <w:ind w:right="899" w:firstLine="708"/>
        <w:jc w:val="right"/>
        <w:rPr>
          <w:rFonts w:ascii="Palatino Linotype" w:eastAsia="Palatino Linotype" w:hAnsi="Palatino Linotype" w:cs="Palatino Linotype"/>
          <w:b/>
          <w:i/>
          <w:sz w:val="16"/>
          <w:szCs w:val="16"/>
        </w:rPr>
      </w:pPr>
      <w:r w:rsidRPr="000C77FA">
        <w:rPr>
          <w:rFonts w:ascii="Palatino Linotype" w:eastAsia="Palatino Linotype" w:hAnsi="Palatino Linotype" w:cs="Palatino Linotype"/>
          <w:b/>
          <w:i/>
          <w:sz w:val="16"/>
          <w:szCs w:val="16"/>
        </w:rPr>
        <w:t>(Énfasis añadido)</w:t>
      </w:r>
    </w:p>
    <w:p w14:paraId="28D5ED40" w14:textId="77777777" w:rsidR="00072693" w:rsidRPr="000C77FA" w:rsidRDefault="00072693" w:rsidP="000C77FA">
      <w:pPr>
        <w:ind w:right="899" w:firstLine="708"/>
        <w:jc w:val="both"/>
        <w:rPr>
          <w:rFonts w:ascii="Palatino Linotype" w:eastAsia="Palatino Linotype" w:hAnsi="Palatino Linotype" w:cs="Palatino Linotype"/>
        </w:rPr>
      </w:pPr>
    </w:p>
    <w:p w14:paraId="31FB79E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w:t>
      </w:r>
      <w:r w:rsidRPr="000C77FA">
        <w:rPr>
          <w:rFonts w:ascii="Palatino Linotype" w:eastAsia="Palatino Linotype" w:hAnsi="Palatino Linotype" w:cs="Palatino Linotype"/>
        </w:rPr>
        <w:lastRenderedPageBreak/>
        <w:t xml:space="preserve">Obligados del Estado de México y Municipios, los cuales se transcriben para mayor referencia: </w:t>
      </w:r>
    </w:p>
    <w:p w14:paraId="178081F7" w14:textId="77777777" w:rsidR="00072693" w:rsidRPr="000C77FA" w:rsidRDefault="00072693" w:rsidP="000C77FA">
      <w:pPr>
        <w:jc w:val="both"/>
        <w:rPr>
          <w:rFonts w:ascii="Palatino Linotype" w:eastAsia="Palatino Linotype" w:hAnsi="Palatino Linotype" w:cs="Palatino Linotype"/>
        </w:rPr>
      </w:pPr>
    </w:p>
    <w:p w14:paraId="38069B8D"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22.</w:t>
      </w:r>
      <w:r w:rsidRPr="000C77FA">
        <w:rPr>
          <w:rFonts w:ascii="Palatino Linotype" w:eastAsia="Palatino Linotype" w:hAnsi="Palatino Linotype" w:cs="Palatino Linotype"/>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14:paraId="708A3A40" w14:textId="77777777" w:rsidR="00072693" w:rsidRPr="000C77FA" w:rsidRDefault="00072693" w:rsidP="000C77FA">
      <w:pPr>
        <w:ind w:left="851" w:right="902"/>
        <w:jc w:val="both"/>
        <w:rPr>
          <w:rFonts w:ascii="Palatino Linotype" w:eastAsia="Palatino Linotype" w:hAnsi="Palatino Linotype" w:cs="Palatino Linotype"/>
          <w:i/>
          <w:sz w:val="22"/>
          <w:szCs w:val="22"/>
        </w:rPr>
      </w:pPr>
    </w:p>
    <w:p w14:paraId="01E994C7"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38.</w:t>
      </w:r>
      <w:r w:rsidRPr="000C77FA">
        <w:rPr>
          <w:rFonts w:ascii="Palatino Linotype" w:eastAsia="Palatino Linotype" w:hAnsi="Palatino Linotype" w:cs="Palatino Linotype"/>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C77FA">
        <w:rPr>
          <w:rFonts w:ascii="Palatino Linotype" w:eastAsia="Palatino Linotype" w:hAnsi="Palatino Linotype" w:cs="Palatino Linotype"/>
          <w:b/>
          <w:i/>
          <w:sz w:val="22"/>
          <w:szCs w:val="22"/>
        </w:rPr>
        <w:t>”</w:t>
      </w:r>
      <w:r w:rsidRPr="000C77FA">
        <w:rPr>
          <w:rFonts w:ascii="Palatino Linotype" w:eastAsia="Palatino Linotype" w:hAnsi="Palatino Linotype" w:cs="Palatino Linotype"/>
          <w:i/>
          <w:sz w:val="22"/>
          <w:szCs w:val="22"/>
        </w:rPr>
        <w:t xml:space="preserve"> </w:t>
      </w:r>
    </w:p>
    <w:p w14:paraId="78FD3C94" w14:textId="77777777" w:rsidR="00072693" w:rsidRPr="000C77FA" w:rsidRDefault="00072693" w:rsidP="000C77FA">
      <w:pPr>
        <w:ind w:left="851" w:right="850"/>
        <w:jc w:val="both"/>
        <w:rPr>
          <w:rFonts w:ascii="Palatino Linotype" w:eastAsia="Palatino Linotype" w:hAnsi="Palatino Linotype" w:cs="Palatino Linotype"/>
          <w:i/>
          <w:sz w:val="22"/>
          <w:szCs w:val="22"/>
        </w:rPr>
      </w:pPr>
    </w:p>
    <w:p w14:paraId="2609F301"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66BC33DE" w14:textId="77777777" w:rsidR="00072693" w:rsidRPr="000C77FA" w:rsidRDefault="00072693" w:rsidP="000C77FA">
      <w:pPr>
        <w:spacing w:line="360" w:lineRule="auto"/>
        <w:jc w:val="both"/>
        <w:rPr>
          <w:rFonts w:ascii="Palatino Linotype" w:eastAsia="Palatino Linotype" w:hAnsi="Palatino Linotype" w:cs="Palatino Linotype"/>
        </w:rPr>
      </w:pPr>
    </w:p>
    <w:p w14:paraId="5D1EC8ED"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C77FA">
        <w:rPr>
          <w:rFonts w:ascii="Palatino Linotype" w:eastAsia="Palatino Linotype" w:hAnsi="Palatino Linotype" w:cs="Palatino Linotype"/>
          <w:b/>
        </w:rPr>
        <w:lastRenderedPageBreak/>
        <w:t>EL SUJETO OBLIGADO,</w:t>
      </w:r>
      <w:r w:rsidRPr="000C77FA">
        <w:rPr>
          <w:rFonts w:ascii="Palatino Linotype" w:eastAsia="Palatino Linotype" w:hAnsi="Palatino Linotype" w:cs="Palatino Linotype"/>
        </w:rPr>
        <w:t xml:space="preserve"> por lo que, todo dato personal susceptible de clasificación debe ser protegido.</w:t>
      </w:r>
    </w:p>
    <w:p w14:paraId="010F20EA" w14:textId="77777777" w:rsidR="00072693" w:rsidRPr="000C77FA" w:rsidRDefault="00072693" w:rsidP="000C77FA">
      <w:pPr>
        <w:spacing w:line="360" w:lineRule="auto"/>
        <w:jc w:val="both"/>
        <w:rPr>
          <w:rFonts w:ascii="Palatino Linotype" w:eastAsia="Palatino Linotype" w:hAnsi="Palatino Linotype" w:cs="Palatino Linotype"/>
        </w:rPr>
      </w:pPr>
    </w:p>
    <w:p w14:paraId="3C6E6B4D"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73174EF3" w14:textId="77777777" w:rsidR="00072693" w:rsidRPr="000C77FA" w:rsidRDefault="00072693" w:rsidP="000C77FA">
      <w:pPr>
        <w:spacing w:line="360" w:lineRule="auto"/>
        <w:jc w:val="both"/>
        <w:rPr>
          <w:rFonts w:ascii="Palatino Linotype" w:eastAsia="Palatino Linotype" w:hAnsi="Palatino Linotype" w:cs="Palatino Linotype"/>
        </w:rPr>
      </w:pPr>
    </w:p>
    <w:p w14:paraId="603CADBF"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2E260C4" w14:textId="77777777" w:rsidR="00072693" w:rsidRPr="000C77FA" w:rsidRDefault="00072693" w:rsidP="000C77FA">
      <w:pPr>
        <w:jc w:val="both"/>
        <w:rPr>
          <w:rFonts w:ascii="Palatino Linotype" w:eastAsia="Palatino Linotype" w:hAnsi="Palatino Linotype" w:cs="Palatino Linotype"/>
        </w:rPr>
      </w:pPr>
    </w:p>
    <w:p w14:paraId="11A6F3A8"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 xml:space="preserve">“Artículo 49. </w:t>
      </w:r>
      <w:r w:rsidRPr="000C77FA">
        <w:rPr>
          <w:rFonts w:ascii="Palatino Linotype" w:eastAsia="Palatino Linotype" w:hAnsi="Palatino Linotype" w:cs="Palatino Linotype"/>
          <w:i/>
          <w:sz w:val="22"/>
          <w:szCs w:val="22"/>
        </w:rPr>
        <w:t>Los Comités de Transparencia tendrán las siguientes atribuciones:</w:t>
      </w:r>
    </w:p>
    <w:p w14:paraId="4CDE2D33"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VIII.</w:t>
      </w:r>
      <w:r w:rsidRPr="000C77FA">
        <w:rPr>
          <w:rFonts w:ascii="Palatino Linotype" w:eastAsia="Palatino Linotype" w:hAnsi="Palatino Linotype" w:cs="Palatino Linotype"/>
          <w:i/>
          <w:sz w:val="22"/>
          <w:szCs w:val="22"/>
        </w:rPr>
        <w:t xml:space="preserve"> Aprobar, modificar o revocar la clasificación de la información;</w:t>
      </w:r>
    </w:p>
    <w:p w14:paraId="0278EE13" w14:textId="77777777" w:rsidR="00072693" w:rsidRPr="000C77FA" w:rsidRDefault="00072693" w:rsidP="000C77FA">
      <w:pPr>
        <w:ind w:left="851" w:right="902"/>
        <w:jc w:val="both"/>
        <w:rPr>
          <w:rFonts w:ascii="Palatino Linotype" w:eastAsia="Palatino Linotype" w:hAnsi="Palatino Linotype" w:cs="Palatino Linotype"/>
          <w:i/>
          <w:sz w:val="22"/>
          <w:szCs w:val="22"/>
        </w:rPr>
      </w:pPr>
    </w:p>
    <w:p w14:paraId="7451FBA2"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Artículo 132.</w:t>
      </w:r>
      <w:r w:rsidRPr="000C77FA">
        <w:rPr>
          <w:rFonts w:ascii="Palatino Linotype" w:eastAsia="Palatino Linotype" w:hAnsi="Palatino Linotype" w:cs="Palatino Linotype"/>
          <w:i/>
          <w:sz w:val="22"/>
          <w:szCs w:val="22"/>
        </w:rPr>
        <w:t xml:space="preserve"> La clasificación de la información se llevará a cabo en el momento en que:</w:t>
      </w:r>
    </w:p>
    <w:p w14:paraId="082F608E"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w:t>
      </w:r>
      <w:r w:rsidRPr="000C77FA">
        <w:rPr>
          <w:rFonts w:ascii="Palatino Linotype" w:eastAsia="Palatino Linotype" w:hAnsi="Palatino Linotype" w:cs="Palatino Linotype"/>
          <w:i/>
          <w:sz w:val="22"/>
          <w:szCs w:val="22"/>
        </w:rPr>
        <w:t xml:space="preserve"> Se reciba una solicitud de acceso a la información;</w:t>
      </w:r>
    </w:p>
    <w:p w14:paraId="1C97E4F4"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II.</w:t>
      </w:r>
      <w:r w:rsidRPr="000C77FA">
        <w:rPr>
          <w:rFonts w:ascii="Palatino Linotype" w:eastAsia="Palatino Linotype" w:hAnsi="Palatino Linotype" w:cs="Palatino Linotype"/>
          <w:i/>
          <w:sz w:val="22"/>
          <w:szCs w:val="22"/>
        </w:rPr>
        <w:t xml:space="preserve"> Se determine mediante resolución de autoridad competente; o</w:t>
      </w:r>
    </w:p>
    <w:p w14:paraId="0A37356B" w14:textId="77777777" w:rsidR="00072693" w:rsidRPr="000C77FA" w:rsidRDefault="002C1F92" w:rsidP="000C77FA">
      <w:pPr>
        <w:ind w:left="851" w:right="902"/>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i/>
          <w:sz w:val="22"/>
          <w:szCs w:val="22"/>
        </w:rPr>
        <w:lastRenderedPageBreak/>
        <w:t>III. Se generen versiones públicas para dar cumplimiento a las obligaciones de transparencia previstas en esta Ley.</w:t>
      </w:r>
      <w:r w:rsidRPr="000C77FA">
        <w:rPr>
          <w:rFonts w:ascii="Palatino Linotype" w:eastAsia="Palatino Linotype" w:hAnsi="Palatino Linotype" w:cs="Palatino Linotype"/>
          <w:b/>
          <w:i/>
          <w:sz w:val="22"/>
          <w:szCs w:val="22"/>
        </w:rPr>
        <w:t>”</w:t>
      </w:r>
    </w:p>
    <w:p w14:paraId="0308F602"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“Segundo.-</w:t>
      </w:r>
      <w:r w:rsidRPr="000C77FA">
        <w:rPr>
          <w:rFonts w:ascii="Palatino Linotype" w:eastAsia="Palatino Linotype" w:hAnsi="Palatino Linotype" w:cs="Palatino Linotype"/>
          <w:i/>
          <w:sz w:val="22"/>
          <w:szCs w:val="22"/>
        </w:rPr>
        <w:t xml:space="preserve"> Para efectos de los presentes Lineamientos Generales, se entenderá por:</w:t>
      </w:r>
    </w:p>
    <w:p w14:paraId="09D25DAE"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XVIII.</w:t>
      </w:r>
      <w:r w:rsidRPr="000C77FA">
        <w:rPr>
          <w:rFonts w:ascii="Palatino Linotype" w:eastAsia="Palatino Linotype" w:hAnsi="Palatino Linotype" w:cs="Palatino Linotype"/>
          <w:i/>
          <w:sz w:val="22"/>
          <w:szCs w:val="22"/>
        </w:rPr>
        <w:t xml:space="preserve">  </w:t>
      </w:r>
      <w:r w:rsidRPr="000C77FA">
        <w:rPr>
          <w:rFonts w:ascii="Palatino Linotype" w:eastAsia="Palatino Linotype" w:hAnsi="Palatino Linotype" w:cs="Palatino Linotype"/>
          <w:b/>
          <w:i/>
          <w:sz w:val="22"/>
          <w:szCs w:val="22"/>
        </w:rPr>
        <w:t>Versión pública:</w:t>
      </w:r>
      <w:r w:rsidRPr="000C77FA">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660A378"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Cuarto.</w:t>
      </w:r>
      <w:r w:rsidRPr="000C77FA">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246C1977"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62199D7B"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Quinto.</w:t>
      </w:r>
      <w:r w:rsidRPr="000C77FA">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BBB5AD1"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Sexto.</w:t>
      </w:r>
      <w:r w:rsidRPr="000C77FA">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D97C351"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22CC787"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Séptimo.</w:t>
      </w:r>
      <w:r w:rsidRPr="000C77FA">
        <w:rPr>
          <w:rFonts w:ascii="Palatino Linotype" w:eastAsia="Palatino Linotype" w:hAnsi="Palatino Linotype" w:cs="Palatino Linotype"/>
          <w:i/>
          <w:sz w:val="22"/>
          <w:szCs w:val="22"/>
        </w:rPr>
        <w:t xml:space="preserve"> La clasificación de la información se llevará a cabo en el momento en que:</w:t>
      </w:r>
    </w:p>
    <w:p w14:paraId="7AEF5C5B"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w:t>
      </w:r>
      <w:r w:rsidRPr="000C77FA">
        <w:rPr>
          <w:rFonts w:ascii="Palatino Linotype" w:eastAsia="Palatino Linotype" w:hAnsi="Palatino Linotype" w:cs="Palatino Linotype"/>
          <w:i/>
          <w:sz w:val="22"/>
          <w:szCs w:val="22"/>
        </w:rPr>
        <w:t xml:space="preserve">        Se reciba una solicitud de acceso a la información;</w:t>
      </w:r>
    </w:p>
    <w:p w14:paraId="4BB718DA"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II.</w:t>
      </w:r>
      <w:r w:rsidRPr="000C77FA">
        <w:rPr>
          <w:rFonts w:ascii="Palatino Linotype" w:eastAsia="Palatino Linotype" w:hAnsi="Palatino Linotype" w:cs="Palatino Linotype"/>
          <w:i/>
          <w:sz w:val="22"/>
          <w:szCs w:val="22"/>
        </w:rPr>
        <w:t xml:space="preserve">       Se determine mediante resolución de autoridad competente, o</w:t>
      </w:r>
    </w:p>
    <w:p w14:paraId="4A413E88"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lastRenderedPageBreak/>
        <w:t>III.</w:t>
      </w:r>
      <w:r w:rsidRPr="000C77FA">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408D15B"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15463C1"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Octavo.</w:t>
      </w:r>
      <w:r w:rsidRPr="000C77FA">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D83B8D5"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156956E"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71AF4C76"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6D155136"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65D98438"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Noveno.</w:t>
      </w:r>
      <w:r w:rsidRPr="000C77FA">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B23F12"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b/>
          <w:i/>
          <w:sz w:val="22"/>
          <w:szCs w:val="22"/>
        </w:rPr>
        <w:t>Décimo.</w:t>
      </w:r>
      <w:r w:rsidRPr="000C77FA">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52A7081" w14:textId="77777777" w:rsidR="00072693" w:rsidRPr="000C77FA" w:rsidRDefault="002C1F92" w:rsidP="000C77FA">
      <w:pPr>
        <w:ind w:left="851" w:right="902"/>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82ACBF8" w14:textId="77777777" w:rsidR="00072693" w:rsidRPr="000C77FA" w:rsidRDefault="002C1F92" w:rsidP="000C77FA">
      <w:pPr>
        <w:ind w:left="851" w:right="899"/>
        <w:jc w:val="both"/>
        <w:rPr>
          <w:rFonts w:ascii="Palatino Linotype" w:eastAsia="Palatino Linotype" w:hAnsi="Palatino Linotype" w:cs="Palatino Linotype"/>
          <w:b/>
          <w:i/>
          <w:sz w:val="22"/>
          <w:szCs w:val="22"/>
        </w:rPr>
      </w:pPr>
      <w:r w:rsidRPr="000C77FA">
        <w:rPr>
          <w:rFonts w:ascii="Palatino Linotype" w:eastAsia="Palatino Linotype" w:hAnsi="Palatino Linotype" w:cs="Palatino Linotype"/>
          <w:b/>
          <w:i/>
          <w:sz w:val="22"/>
          <w:szCs w:val="22"/>
        </w:rPr>
        <w:t>Décimo primero.</w:t>
      </w:r>
      <w:r w:rsidRPr="000C77FA">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w:t>
      </w:r>
      <w:r w:rsidRPr="000C77FA">
        <w:rPr>
          <w:rFonts w:ascii="Palatino Linotype" w:eastAsia="Palatino Linotype" w:hAnsi="Palatino Linotype" w:cs="Palatino Linotype"/>
          <w:i/>
          <w:sz w:val="22"/>
          <w:szCs w:val="22"/>
        </w:rPr>
        <w:lastRenderedPageBreak/>
        <w:t>deberán llevar la leyenda correspondiente de conformidad con lo dispuesto en el Capítulo VIII de los presentes lineamientos.</w:t>
      </w:r>
      <w:r w:rsidRPr="000C77FA">
        <w:rPr>
          <w:rFonts w:ascii="Palatino Linotype" w:eastAsia="Palatino Linotype" w:hAnsi="Palatino Linotype" w:cs="Palatino Linotype"/>
          <w:b/>
          <w:i/>
          <w:sz w:val="22"/>
          <w:szCs w:val="22"/>
        </w:rPr>
        <w:t>”</w:t>
      </w:r>
    </w:p>
    <w:p w14:paraId="4CDFD165" w14:textId="77777777" w:rsidR="00072693" w:rsidRPr="000C77FA" w:rsidRDefault="00072693" w:rsidP="000C77FA">
      <w:pPr>
        <w:ind w:left="851" w:right="899"/>
        <w:jc w:val="both"/>
        <w:rPr>
          <w:rFonts w:ascii="Palatino Linotype" w:eastAsia="Palatino Linotype" w:hAnsi="Palatino Linotype" w:cs="Palatino Linotype"/>
          <w:b/>
          <w:i/>
        </w:rPr>
      </w:pPr>
    </w:p>
    <w:p w14:paraId="4170E389"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22D5E26D" w14:textId="77777777" w:rsidR="00072693" w:rsidRPr="000C77FA" w:rsidRDefault="00072693" w:rsidP="000C77FA">
      <w:pPr>
        <w:spacing w:line="360" w:lineRule="auto"/>
        <w:jc w:val="both"/>
        <w:rPr>
          <w:rFonts w:ascii="Palatino Linotype" w:eastAsia="Palatino Linotype" w:hAnsi="Palatino Linotype" w:cs="Palatino Linotype"/>
        </w:rPr>
      </w:pPr>
    </w:p>
    <w:p w14:paraId="025C3968" w14:textId="4BF17049" w:rsidR="00072693" w:rsidRPr="000C77FA" w:rsidRDefault="002C1F92" w:rsidP="000C77FA">
      <w:pPr>
        <w:spacing w:line="360" w:lineRule="auto"/>
        <w:ind w:right="-91"/>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Consecuentemente, se destaca que la versión pública que elabore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debe cumplir con las formalidades exigidas en la Ley, por lo que para tal efecto emitirá el </w:t>
      </w:r>
      <w:r w:rsidRPr="000C77FA">
        <w:rPr>
          <w:rFonts w:ascii="Palatino Linotype" w:eastAsia="Palatino Linotype" w:hAnsi="Palatino Linotype" w:cs="Palatino Linotype"/>
          <w:b/>
        </w:rPr>
        <w:t>Acuerdo del Comité de Transparencia</w:t>
      </w:r>
      <w:r w:rsidRPr="000C77FA">
        <w:rPr>
          <w:rFonts w:ascii="Palatino Linotype" w:eastAsia="Palatino Linotype" w:hAnsi="Palatino Linotype" w:cs="Palatino Linotype"/>
        </w:rPr>
        <w:t xml:space="preserve"> en términos de los artículos 122 y 124 de la Ley de Transparencia y Acceso a la Información Pública del Estado de México y Municipios, con el cual sustentará la clasificación de datos y con ello</w:t>
      </w:r>
      <w:r w:rsidR="00186FDD" w:rsidRPr="000C77FA">
        <w:rPr>
          <w:rFonts w:ascii="Palatino Linotype" w:eastAsia="Palatino Linotype" w:hAnsi="Palatino Linotype" w:cs="Palatino Linotype"/>
        </w:rPr>
        <w:t>,</w:t>
      </w:r>
      <w:r w:rsidRPr="000C77FA">
        <w:rPr>
          <w:rFonts w:ascii="Palatino Linotype" w:eastAsia="Palatino Linotype" w:hAnsi="Palatino Linotype" w:cs="Palatino Linotype"/>
        </w:rPr>
        <w:t xml:space="preserve">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2712FB09" w14:textId="77777777" w:rsidR="00072693" w:rsidRPr="000C77FA" w:rsidRDefault="00072693" w:rsidP="000C77FA">
      <w:pPr>
        <w:spacing w:line="360" w:lineRule="auto"/>
        <w:ind w:right="-91"/>
        <w:jc w:val="both"/>
        <w:rPr>
          <w:rFonts w:ascii="Palatino Linotype" w:eastAsia="Palatino Linotype" w:hAnsi="Palatino Linotype" w:cs="Palatino Linotype"/>
        </w:rPr>
      </w:pPr>
    </w:p>
    <w:p w14:paraId="63ACB871"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Finalmente, en razón de lo anteriormente expuesto, éste Instituto estima que las razones o motivos de inconformidad hechos valer por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devienen</w:t>
      </w:r>
      <w:r w:rsidRPr="000C77FA">
        <w:rPr>
          <w:rFonts w:ascii="Palatino Linotype" w:eastAsia="Palatino Linotype" w:hAnsi="Palatino Linotype" w:cs="Palatino Linotype"/>
          <w:b/>
        </w:rPr>
        <w:t xml:space="preserve"> </w:t>
      </w:r>
      <w:r w:rsidRPr="000C77FA">
        <w:rPr>
          <w:rFonts w:ascii="Palatino Linotype" w:eastAsia="Palatino Linotype" w:hAnsi="Palatino Linotype" w:cs="Palatino Linotype"/>
          <w:b/>
        </w:rPr>
        <w:lastRenderedPageBreak/>
        <w:t>parcialmente fundadas</w:t>
      </w:r>
      <w:r w:rsidRPr="000C77FA">
        <w:rPr>
          <w:rFonts w:ascii="Palatino Linotype" w:eastAsia="Palatino Linotype" w:hAnsi="Palatino Linotype" w:cs="Palatino Linotype"/>
        </w:rPr>
        <w:t xml:space="preserve"> pues como ya se mencionó respecto de algunos planteamientos si se tuvo por colmado lo entregado y respecto de otros no; motivo por el cual, este Órgano Garante determina </w:t>
      </w:r>
      <w:r w:rsidRPr="000C77FA">
        <w:rPr>
          <w:rFonts w:ascii="Palatino Linotype" w:eastAsia="Palatino Linotype" w:hAnsi="Palatino Linotype" w:cs="Palatino Linotype"/>
          <w:b/>
        </w:rPr>
        <w:t xml:space="preserve">MODIFICAR </w:t>
      </w:r>
      <w:r w:rsidRPr="000C77FA">
        <w:rPr>
          <w:rFonts w:ascii="Palatino Linotype" w:eastAsia="Palatino Linotype" w:hAnsi="Palatino Linotype" w:cs="Palatino Linotype"/>
        </w:rPr>
        <w:t xml:space="preserve">las respuestas otorgadas por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en las solicitudes de acceso a la información que dieron trámite al presente Recurso de Revisión acumulado, para que de esta forma se realice la entrega de la información peticionada por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en </w:t>
      </w:r>
      <w:r w:rsidRPr="000C77FA">
        <w:rPr>
          <w:rFonts w:ascii="Palatino Linotype" w:eastAsia="Palatino Linotype" w:hAnsi="Palatino Linotype" w:cs="Palatino Linotype"/>
          <w:b/>
        </w:rPr>
        <w:t>versión pública</w:t>
      </w:r>
      <w:r w:rsidRPr="000C77FA">
        <w:rPr>
          <w:rFonts w:ascii="Palatino Linotype" w:eastAsia="Palatino Linotype" w:hAnsi="Palatino Linotype" w:cs="Palatino Linotype"/>
        </w:rPr>
        <w:t xml:space="preserve">, considerando privilegiar el ofrecer otras modalidades de entrega tales como, </w:t>
      </w:r>
      <w:r w:rsidRPr="000C77FA">
        <w:rPr>
          <w:rFonts w:ascii="Palatino Linotype" w:eastAsia="Palatino Linotype" w:hAnsi="Palatino Linotype" w:cs="Palatino Linotype"/>
          <w:b/>
        </w:rPr>
        <w:t>correo electrónico</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ligas electrónicas,</w:t>
      </w:r>
      <w:r w:rsidRPr="000C77FA">
        <w:rPr>
          <w:rFonts w:ascii="Palatino Linotype" w:eastAsia="Palatino Linotype" w:hAnsi="Palatino Linotype" w:cs="Palatino Linotype"/>
        </w:rPr>
        <w:t xml:space="preserve"> o en su caso, </w:t>
      </w:r>
      <w:r w:rsidRPr="000C77FA">
        <w:rPr>
          <w:rFonts w:ascii="Palatino Linotype" w:eastAsia="Palatino Linotype" w:hAnsi="Palatino Linotype" w:cs="Palatino Linotype"/>
          <w:b/>
        </w:rPr>
        <w:t>USB</w:t>
      </w:r>
      <w:r w:rsidRPr="000C77FA">
        <w:rPr>
          <w:rFonts w:ascii="Palatino Linotype" w:eastAsia="Palatino Linotype" w:hAnsi="Palatino Linotype" w:cs="Palatino Linotype"/>
        </w:rPr>
        <w:t xml:space="preserve"> y/o </w:t>
      </w:r>
      <w:r w:rsidRPr="000C77FA">
        <w:rPr>
          <w:rFonts w:ascii="Palatino Linotype" w:eastAsia="Palatino Linotype" w:hAnsi="Palatino Linotype" w:cs="Palatino Linotype"/>
          <w:b/>
        </w:rPr>
        <w:t>disco compacto</w:t>
      </w:r>
      <w:r w:rsidRPr="000C77FA">
        <w:rPr>
          <w:rFonts w:ascii="Palatino Linotype" w:eastAsia="Palatino Linotype" w:hAnsi="Palatino Linotype" w:cs="Palatino Linotype"/>
        </w:rPr>
        <w:t xml:space="preserve">, aunado a que existe la posibilidad de ofrecer envío mediante correo certificado, sin embargo esto último tendría un costo, de tal manera que </w:t>
      </w:r>
      <w:r w:rsidRPr="000C77FA">
        <w:rPr>
          <w:rFonts w:ascii="Palatino Linotype" w:eastAsia="Palatino Linotype" w:hAnsi="Palatino Linotype" w:cs="Palatino Linotype"/>
          <w:b/>
        </w:rPr>
        <w:t xml:space="preserve">EL SUJETO OBLIGADO </w:t>
      </w:r>
      <w:r w:rsidRPr="000C77FA">
        <w:rPr>
          <w:rFonts w:ascii="Palatino Linotype" w:eastAsia="Palatino Linotype" w:hAnsi="Palatino Linotype" w:cs="Palatino Linotype"/>
        </w:rPr>
        <w:t xml:space="preserve">podrá ofrecer otras modalidades mismas que deberá informarle al </w:t>
      </w:r>
      <w:r w:rsidRPr="000C77FA">
        <w:rPr>
          <w:rFonts w:ascii="Palatino Linotype" w:eastAsia="Palatino Linotype" w:hAnsi="Palatino Linotype" w:cs="Palatino Linotype"/>
          <w:b/>
        </w:rPr>
        <w:t>RECURRENTE</w:t>
      </w:r>
      <w:r w:rsidRPr="000C77FA">
        <w:rPr>
          <w:rFonts w:ascii="Palatino Linotype" w:eastAsia="Palatino Linotype" w:hAnsi="Palatino Linotype" w:cs="Palatino Linotype"/>
        </w:rPr>
        <w:t xml:space="preserve"> para que en caso de que así lo decida, </w:t>
      </w:r>
      <w:r w:rsidRPr="000C77FA">
        <w:rPr>
          <w:rFonts w:ascii="Palatino Linotype" w:eastAsia="Palatino Linotype" w:hAnsi="Palatino Linotype" w:cs="Palatino Linotype"/>
          <w:b/>
          <w:u w:val="single"/>
        </w:rPr>
        <w:t>sea la parte interesada quien proporcione dichos medios electrónicos y la entrega de la información sea gratuita</w:t>
      </w:r>
      <w:r w:rsidRPr="000C77FA">
        <w:rPr>
          <w:rFonts w:ascii="Palatino Linotype" w:eastAsia="Palatino Linotype" w:hAnsi="Palatino Linotype" w:cs="Palatino Linotype"/>
        </w:rPr>
        <w:t>.</w:t>
      </w:r>
    </w:p>
    <w:p w14:paraId="742CA5AF" w14:textId="77777777" w:rsidR="00072693" w:rsidRPr="000C77FA" w:rsidRDefault="00072693" w:rsidP="000C77FA">
      <w:pPr>
        <w:spacing w:line="360" w:lineRule="auto"/>
        <w:jc w:val="both"/>
        <w:rPr>
          <w:rFonts w:ascii="Palatino Linotype" w:eastAsia="Palatino Linotype" w:hAnsi="Palatino Linotype" w:cs="Palatino Linotype"/>
        </w:rPr>
      </w:pPr>
    </w:p>
    <w:p w14:paraId="6FDD1438"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Así, con fundamento en lo previsto en los artículos 5, párrafos trigésimo segundo, trigésimo tercero y trigésimo cuarto,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14:paraId="0F5DAD0C" w14:textId="77777777" w:rsidR="00072693" w:rsidRPr="000C77FA" w:rsidRDefault="002C1F92" w:rsidP="000C77FA">
      <w:pPr>
        <w:spacing w:line="360" w:lineRule="auto"/>
        <w:jc w:val="center"/>
        <w:rPr>
          <w:rFonts w:ascii="Palatino Linotype" w:eastAsia="Palatino Linotype" w:hAnsi="Palatino Linotype" w:cs="Palatino Linotype"/>
          <w:b/>
          <w:sz w:val="28"/>
          <w:szCs w:val="28"/>
        </w:rPr>
      </w:pPr>
      <w:r w:rsidRPr="000C77FA">
        <w:rPr>
          <w:rFonts w:ascii="Palatino Linotype" w:eastAsia="Palatino Linotype" w:hAnsi="Palatino Linotype" w:cs="Palatino Linotype"/>
          <w:b/>
          <w:sz w:val="28"/>
          <w:szCs w:val="28"/>
        </w:rPr>
        <w:t>RESUELVE</w:t>
      </w:r>
    </w:p>
    <w:p w14:paraId="17C44CD9" w14:textId="77777777" w:rsidR="00072693" w:rsidRPr="000C77FA" w:rsidRDefault="00072693" w:rsidP="000C77FA">
      <w:pPr>
        <w:spacing w:line="360" w:lineRule="auto"/>
        <w:ind w:right="49"/>
        <w:jc w:val="both"/>
        <w:rPr>
          <w:rFonts w:ascii="Palatino Linotype" w:eastAsia="Palatino Linotype" w:hAnsi="Palatino Linotype" w:cs="Palatino Linotype"/>
          <w:b/>
        </w:rPr>
      </w:pPr>
    </w:p>
    <w:p w14:paraId="60C4F01B" w14:textId="77777777" w:rsidR="00072693" w:rsidRPr="000C77FA" w:rsidRDefault="002C1F92" w:rsidP="000C77FA">
      <w:pPr>
        <w:widowControl w:val="0"/>
        <w:tabs>
          <w:tab w:val="left" w:pos="1701"/>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sz w:val="28"/>
          <w:szCs w:val="28"/>
        </w:rPr>
        <w:lastRenderedPageBreak/>
        <w:t>PRIMERO</w:t>
      </w:r>
      <w:r w:rsidRPr="000C77FA">
        <w:rPr>
          <w:rFonts w:ascii="Palatino Linotype" w:eastAsia="Palatino Linotype" w:hAnsi="Palatino Linotype" w:cs="Palatino Linotype"/>
          <w:b/>
        </w:rPr>
        <w:t>.</w:t>
      </w:r>
      <w:r w:rsidRPr="000C77FA">
        <w:rPr>
          <w:rFonts w:ascii="Palatino Linotype" w:eastAsia="Palatino Linotype" w:hAnsi="Palatino Linotype" w:cs="Palatino Linotype"/>
        </w:rPr>
        <w:t xml:space="preserve"> Resultan parcialmente fundadas las razones o motivos de inconformidad planteadas por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y analizadas en el considerando </w:t>
      </w:r>
      <w:r w:rsidRPr="000C77FA">
        <w:rPr>
          <w:rFonts w:ascii="Palatino Linotype" w:eastAsia="Palatino Linotype" w:hAnsi="Palatino Linotype" w:cs="Palatino Linotype"/>
          <w:b/>
        </w:rPr>
        <w:t>QUINTO</w:t>
      </w:r>
      <w:r w:rsidRPr="000C77FA">
        <w:rPr>
          <w:rFonts w:ascii="Palatino Linotype" w:eastAsia="Palatino Linotype" w:hAnsi="Palatino Linotype" w:cs="Palatino Linotype"/>
        </w:rPr>
        <w:t xml:space="preserve"> de esta resolución.</w:t>
      </w:r>
    </w:p>
    <w:p w14:paraId="7E3C1C63" w14:textId="77777777" w:rsidR="00072693" w:rsidRPr="000C77FA" w:rsidRDefault="00072693" w:rsidP="000C77FA">
      <w:pPr>
        <w:widowControl w:val="0"/>
        <w:tabs>
          <w:tab w:val="left" w:pos="1701"/>
        </w:tabs>
        <w:spacing w:line="360" w:lineRule="auto"/>
        <w:jc w:val="both"/>
        <w:rPr>
          <w:rFonts w:ascii="Palatino Linotype" w:eastAsia="Palatino Linotype" w:hAnsi="Palatino Linotype" w:cs="Palatino Linotype"/>
        </w:rPr>
      </w:pPr>
    </w:p>
    <w:p w14:paraId="192AB29E" w14:textId="77777777" w:rsidR="00520394" w:rsidRPr="000C77FA" w:rsidRDefault="002C1F92" w:rsidP="000C77FA">
      <w:pPr>
        <w:widowControl w:val="0"/>
        <w:tabs>
          <w:tab w:val="left" w:pos="1701"/>
        </w:tabs>
        <w:spacing w:line="360" w:lineRule="auto"/>
        <w:jc w:val="both"/>
        <w:rPr>
          <w:rFonts w:ascii="Palatino Linotype" w:eastAsia="Palatino Linotype" w:hAnsi="Palatino Linotype" w:cs="Palatino Linotype"/>
        </w:rPr>
      </w:pPr>
      <w:bookmarkStart w:id="16" w:name="_heading=h.3rdcrjn" w:colFirst="0" w:colLast="0"/>
      <w:bookmarkEnd w:id="16"/>
      <w:r w:rsidRPr="000C77FA">
        <w:rPr>
          <w:rFonts w:ascii="Palatino Linotype" w:eastAsia="Palatino Linotype" w:hAnsi="Palatino Linotype" w:cs="Palatino Linotype"/>
          <w:b/>
          <w:sz w:val="28"/>
          <w:szCs w:val="28"/>
        </w:rPr>
        <w:t>SEGUNDO</w:t>
      </w:r>
      <w:r w:rsidRPr="000C77FA">
        <w:rPr>
          <w:rFonts w:ascii="Palatino Linotype" w:eastAsia="Palatino Linotype" w:hAnsi="Palatino Linotype" w:cs="Palatino Linotype"/>
          <w:b/>
        </w:rPr>
        <w:t>.</w:t>
      </w:r>
      <w:r w:rsidRPr="000C77FA">
        <w:rPr>
          <w:rFonts w:ascii="Palatino Linotype" w:eastAsia="Palatino Linotype" w:hAnsi="Palatino Linotype" w:cs="Palatino Linotype"/>
        </w:rPr>
        <w:t xml:space="preserve"> Se </w:t>
      </w:r>
      <w:r w:rsidRPr="000C77FA">
        <w:rPr>
          <w:rFonts w:ascii="Palatino Linotype" w:eastAsia="Palatino Linotype" w:hAnsi="Palatino Linotype" w:cs="Palatino Linotype"/>
          <w:b/>
        </w:rPr>
        <w:t>MODIFICAN</w:t>
      </w:r>
      <w:r w:rsidRPr="000C77FA">
        <w:rPr>
          <w:rFonts w:ascii="Palatino Linotype" w:eastAsia="Palatino Linotype" w:hAnsi="Palatino Linotype" w:cs="Palatino Linotype"/>
        </w:rPr>
        <w:t xml:space="preserve"> las respuestas emitidas por el </w:t>
      </w:r>
      <w:r w:rsidRPr="000C77FA">
        <w:rPr>
          <w:rFonts w:ascii="Palatino Linotype" w:eastAsia="Palatino Linotype" w:hAnsi="Palatino Linotype" w:cs="Palatino Linotype"/>
          <w:b/>
        </w:rPr>
        <w:t>SUJETO OBLIGADO</w:t>
      </w:r>
      <w:r w:rsidRPr="000C77FA">
        <w:rPr>
          <w:rFonts w:ascii="Palatino Linotype" w:eastAsia="Palatino Linotype" w:hAnsi="Palatino Linotype" w:cs="Palatino Linotype"/>
        </w:rPr>
        <w:t xml:space="preserve"> en los Recursos de Revisión </w:t>
      </w:r>
      <w:r w:rsidRPr="000C77FA">
        <w:rPr>
          <w:rFonts w:ascii="Palatino Linotype" w:eastAsia="Palatino Linotype" w:hAnsi="Palatino Linotype" w:cs="Palatino Linotype"/>
          <w:b/>
        </w:rPr>
        <w:t>00207/INFOEM/IP/RR/2023, 00208/INFOEM/IP/RR/2023, 00210/INFOEM/IP/RR/2023 Y 00211/INFOEM/IP/RR/2023</w:t>
      </w:r>
      <w:r w:rsidRPr="000C77FA">
        <w:rPr>
          <w:rFonts w:ascii="Palatino Linotype" w:eastAsia="Palatino Linotype" w:hAnsi="Palatino Linotype" w:cs="Palatino Linotype"/>
        </w:rPr>
        <w:t xml:space="preserve"> y, se </w:t>
      </w:r>
      <w:r w:rsidRPr="000C77FA">
        <w:rPr>
          <w:rFonts w:ascii="Palatino Linotype" w:eastAsia="Palatino Linotype" w:hAnsi="Palatino Linotype" w:cs="Palatino Linotype"/>
          <w:b/>
        </w:rPr>
        <w:t>ordena</w:t>
      </w:r>
      <w:r w:rsidRPr="000C77FA">
        <w:rPr>
          <w:rFonts w:ascii="Palatino Linotype" w:eastAsia="Palatino Linotype" w:hAnsi="Palatino Linotype" w:cs="Palatino Linotype"/>
        </w:rPr>
        <w:t xml:space="preserve"> en términos del Considerando </w:t>
      </w:r>
      <w:r w:rsidR="00EB3F9F" w:rsidRPr="000C77FA">
        <w:rPr>
          <w:rFonts w:ascii="Palatino Linotype" w:eastAsia="Palatino Linotype" w:hAnsi="Palatino Linotype" w:cs="Palatino Linotype"/>
        </w:rPr>
        <w:t>QUIN</w:t>
      </w:r>
      <w:r w:rsidRPr="000C77FA">
        <w:rPr>
          <w:rFonts w:ascii="Palatino Linotype" w:eastAsia="Palatino Linotype" w:hAnsi="Palatino Linotype" w:cs="Palatino Linotype"/>
        </w:rPr>
        <w:t xml:space="preserve">TO </w:t>
      </w:r>
      <w:r w:rsidR="00E01669" w:rsidRPr="000C77FA">
        <w:rPr>
          <w:rFonts w:ascii="Palatino Linotype" w:eastAsia="Palatino Linotype" w:hAnsi="Palatino Linotype" w:cs="Palatino Linotype"/>
        </w:rPr>
        <w:t>de esta Resolución</w:t>
      </w:r>
      <w:r w:rsidR="00520394" w:rsidRPr="000C77FA">
        <w:rPr>
          <w:rFonts w:ascii="Palatino Linotype" w:eastAsia="Palatino Linotype" w:hAnsi="Palatino Linotype" w:cs="Palatino Linotype"/>
        </w:rPr>
        <w:t>:</w:t>
      </w:r>
    </w:p>
    <w:p w14:paraId="631A0756" w14:textId="35AA5DBB" w:rsidR="00072693" w:rsidRPr="000C77FA" w:rsidRDefault="00520394" w:rsidP="000C77FA">
      <w:pPr>
        <w:widowControl w:val="0"/>
        <w:tabs>
          <w:tab w:val="left" w:pos="1701"/>
        </w:tabs>
        <w:ind w:left="567" w:right="616"/>
        <w:jc w:val="both"/>
        <w:rPr>
          <w:rFonts w:ascii="Palatino Linotype" w:eastAsia="Palatino Linotype" w:hAnsi="Palatino Linotype" w:cs="Palatino Linotype"/>
          <w:i/>
          <w:iCs/>
        </w:rPr>
      </w:pPr>
      <w:bookmarkStart w:id="17" w:name="_Hlk161176951"/>
      <w:r w:rsidRPr="000C77FA">
        <w:rPr>
          <w:rFonts w:ascii="Palatino Linotype" w:eastAsia="Palatino Linotype" w:hAnsi="Palatino Linotype" w:cs="Palatino Linotype"/>
          <w:b/>
          <w:bCs/>
          <w:i/>
          <w:iCs/>
        </w:rPr>
        <w:t>I.</w:t>
      </w:r>
      <w:r w:rsidRPr="000C77FA">
        <w:rPr>
          <w:rFonts w:ascii="Palatino Linotype" w:eastAsia="Palatino Linotype" w:hAnsi="Palatino Linotype" w:cs="Palatino Linotype"/>
          <w:i/>
          <w:iCs/>
        </w:rPr>
        <w:t xml:space="preserve"> P</w:t>
      </w:r>
      <w:r w:rsidR="00E01669" w:rsidRPr="000C77FA">
        <w:rPr>
          <w:rFonts w:ascii="Palatino Linotype" w:eastAsia="Palatino Linotype" w:hAnsi="Palatino Linotype" w:cs="Palatino Linotype"/>
          <w:i/>
          <w:iCs/>
        </w:rPr>
        <w:t>revia búsqueda exhaustiva, h</w:t>
      </w:r>
      <w:r w:rsidR="002C1F92" w:rsidRPr="000C77FA">
        <w:rPr>
          <w:rFonts w:ascii="Palatino Linotype" w:eastAsia="Palatino Linotype" w:hAnsi="Palatino Linotype" w:cs="Palatino Linotype"/>
          <w:i/>
          <w:iCs/>
        </w:rPr>
        <w:t xml:space="preserve">aga entrega a </w:t>
      </w:r>
      <w:r w:rsidR="002C1F92" w:rsidRPr="000C77FA">
        <w:rPr>
          <w:rFonts w:ascii="Palatino Linotype" w:eastAsia="Palatino Linotype" w:hAnsi="Palatino Linotype" w:cs="Palatino Linotype"/>
          <w:b/>
          <w:i/>
          <w:iCs/>
        </w:rPr>
        <w:t>EL RECURRENTE</w:t>
      </w:r>
      <w:r w:rsidR="002C1F92" w:rsidRPr="000C77FA">
        <w:rPr>
          <w:rFonts w:ascii="Palatino Linotype" w:eastAsia="Palatino Linotype" w:hAnsi="Palatino Linotype" w:cs="Palatino Linotype"/>
          <w:i/>
          <w:iCs/>
        </w:rPr>
        <w:t>, a través del SAIMEX de ser procedente en versión pública del documento o documentos en donde conste lo siguiente:</w:t>
      </w:r>
    </w:p>
    <w:p w14:paraId="6B3DD659" w14:textId="3E550014" w:rsidR="00D31FC3" w:rsidRPr="000C77FA" w:rsidRDefault="002C1F92" w:rsidP="000C77FA">
      <w:pPr>
        <w:pStyle w:val="Prrafodelista"/>
        <w:widowControl w:val="0"/>
        <w:numPr>
          <w:ilvl w:val="0"/>
          <w:numId w:val="15"/>
        </w:numPr>
        <w:tabs>
          <w:tab w:val="left" w:pos="1701"/>
        </w:tabs>
        <w:ind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Las sanciones por el uso indebido de los recursos destinados al fondo </w:t>
      </w:r>
      <w:proofErr w:type="spellStart"/>
      <w:r w:rsidRPr="000C77FA">
        <w:rPr>
          <w:rFonts w:ascii="Palatino Linotype" w:eastAsia="Palatino Linotype" w:hAnsi="Palatino Linotype" w:cs="Palatino Linotype"/>
          <w:i/>
          <w:sz w:val="22"/>
          <w:szCs w:val="22"/>
        </w:rPr>
        <w:t>revolvente</w:t>
      </w:r>
      <w:proofErr w:type="spellEnd"/>
      <w:r w:rsidR="00C22494" w:rsidRPr="000C77FA">
        <w:rPr>
          <w:rFonts w:ascii="Palatino Linotype" w:eastAsia="Palatino Linotype" w:hAnsi="Palatino Linotype" w:cs="Palatino Linotype"/>
          <w:i/>
          <w:sz w:val="22"/>
          <w:szCs w:val="22"/>
        </w:rPr>
        <w:t xml:space="preserve"> vigentes al dieciocho de noviembre de dos mil veintidós</w:t>
      </w:r>
      <w:r w:rsidRPr="000C77FA">
        <w:rPr>
          <w:rFonts w:ascii="Palatino Linotype" w:eastAsia="Palatino Linotype" w:hAnsi="Palatino Linotype" w:cs="Palatino Linotype"/>
          <w:i/>
          <w:sz w:val="22"/>
          <w:szCs w:val="22"/>
        </w:rPr>
        <w:t>.</w:t>
      </w:r>
    </w:p>
    <w:p w14:paraId="2BAF2D02" w14:textId="6A236746" w:rsidR="00072693" w:rsidRPr="000C77FA" w:rsidRDefault="002C1F92" w:rsidP="000C77FA">
      <w:pPr>
        <w:pStyle w:val="Prrafodelista"/>
        <w:widowControl w:val="0"/>
        <w:numPr>
          <w:ilvl w:val="0"/>
          <w:numId w:val="15"/>
        </w:numPr>
        <w:tabs>
          <w:tab w:val="left" w:pos="1701"/>
        </w:tabs>
        <w:ind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Autorización del monto mensual asignado de fondo </w:t>
      </w:r>
      <w:proofErr w:type="spellStart"/>
      <w:r w:rsidRPr="000C77FA">
        <w:rPr>
          <w:rFonts w:ascii="Palatino Linotype" w:eastAsia="Palatino Linotype" w:hAnsi="Palatino Linotype" w:cs="Palatino Linotype"/>
          <w:i/>
          <w:sz w:val="22"/>
          <w:szCs w:val="22"/>
        </w:rPr>
        <w:t>revolvente</w:t>
      </w:r>
      <w:proofErr w:type="spellEnd"/>
      <w:r w:rsidRPr="000C77FA">
        <w:rPr>
          <w:rFonts w:ascii="Palatino Linotype" w:eastAsia="Palatino Linotype" w:hAnsi="Palatino Linotype" w:cs="Palatino Linotype"/>
          <w:i/>
          <w:sz w:val="22"/>
          <w:szCs w:val="22"/>
        </w:rPr>
        <w:t xml:space="preserve"> para cada unidad administrativa</w:t>
      </w:r>
      <w:r w:rsidR="00C22494" w:rsidRPr="000C77FA">
        <w:rPr>
          <w:rFonts w:ascii="Palatino Linotype" w:eastAsia="Palatino Linotype" w:hAnsi="Palatino Linotype" w:cs="Palatino Linotype"/>
          <w:i/>
          <w:sz w:val="22"/>
          <w:szCs w:val="22"/>
        </w:rPr>
        <w:t xml:space="preserve"> del dieciocho de noviembre de dos mil veintiuno al dieciocho de noviembre de dos mil veintidós</w:t>
      </w:r>
      <w:r w:rsidRPr="000C77FA">
        <w:rPr>
          <w:rFonts w:ascii="Palatino Linotype" w:eastAsia="Palatino Linotype" w:hAnsi="Palatino Linotype" w:cs="Palatino Linotype"/>
          <w:i/>
          <w:sz w:val="22"/>
          <w:szCs w:val="22"/>
        </w:rPr>
        <w:t>.</w:t>
      </w:r>
    </w:p>
    <w:p w14:paraId="7A5E6723" w14:textId="77777777" w:rsidR="00072693" w:rsidRPr="000C77FA" w:rsidRDefault="00072693" w:rsidP="000C77FA">
      <w:pPr>
        <w:ind w:left="567" w:right="992" w:hanging="360"/>
        <w:jc w:val="both"/>
        <w:rPr>
          <w:rFonts w:ascii="Palatino Linotype" w:eastAsia="Palatino Linotype" w:hAnsi="Palatino Linotype" w:cs="Palatino Linotype"/>
          <w:i/>
          <w:sz w:val="22"/>
          <w:szCs w:val="22"/>
        </w:rPr>
      </w:pPr>
    </w:p>
    <w:p w14:paraId="12A79983" w14:textId="4858A794" w:rsidR="00072693" w:rsidRPr="000C77FA" w:rsidRDefault="002C1F92" w:rsidP="000C77FA">
      <w:pPr>
        <w:ind w:left="567"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Para el caso de que </w:t>
      </w:r>
      <w:r w:rsidR="006B6381" w:rsidRPr="000C77FA">
        <w:rPr>
          <w:rFonts w:ascii="Palatino Linotype" w:eastAsia="Palatino Linotype" w:hAnsi="Palatino Linotype" w:cs="Palatino Linotype"/>
          <w:i/>
          <w:sz w:val="22"/>
          <w:szCs w:val="22"/>
        </w:rPr>
        <w:t xml:space="preserve">lo ordenado en el inciso a) </w:t>
      </w:r>
      <w:r w:rsidRPr="000C77FA">
        <w:rPr>
          <w:rFonts w:ascii="Palatino Linotype" w:eastAsia="Palatino Linotype" w:hAnsi="Palatino Linotype" w:cs="Palatino Linotype"/>
          <w:i/>
          <w:sz w:val="22"/>
          <w:szCs w:val="22"/>
        </w:rPr>
        <w:t>no se haya</w:t>
      </w:r>
      <w:r w:rsidR="006B6381" w:rsidRPr="000C77FA">
        <w:rPr>
          <w:rFonts w:ascii="Palatino Linotype" w:eastAsia="Palatino Linotype" w:hAnsi="Palatino Linotype" w:cs="Palatino Linotype"/>
          <w:i/>
          <w:sz w:val="22"/>
          <w:szCs w:val="22"/>
        </w:rPr>
        <w:t xml:space="preserve"> actualizado</w:t>
      </w:r>
      <w:r w:rsidRPr="000C77FA">
        <w:rPr>
          <w:rFonts w:ascii="Palatino Linotype" w:eastAsia="Palatino Linotype" w:hAnsi="Palatino Linotype" w:cs="Palatino Linotype"/>
          <w:i/>
          <w:sz w:val="22"/>
          <w:szCs w:val="22"/>
        </w:rPr>
        <w:t xml:space="preserve">, bastara que así se lo haga saber al </w:t>
      </w:r>
      <w:r w:rsidRPr="000C77FA">
        <w:rPr>
          <w:rFonts w:ascii="Palatino Linotype" w:eastAsia="Palatino Linotype" w:hAnsi="Palatino Linotype" w:cs="Palatino Linotype"/>
          <w:b/>
          <w:i/>
          <w:sz w:val="22"/>
          <w:szCs w:val="22"/>
        </w:rPr>
        <w:t>RECURRENTE</w:t>
      </w:r>
      <w:r w:rsidRPr="000C77FA">
        <w:rPr>
          <w:rFonts w:ascii="Palatino Linotype" w:eastAsia="Palatino Linotype" w:hAnsi="Palatino Linotype" w:cs="Palatino Linotype"/>
          <w:i/>
          <w:sz w:val="22"/>
          <w:szCs w:val="22"/>
        </w:rPr>
        <w:t>, de manera fundada y motivada.</w:t>
      </w:r>
    </w:p>
    <w:bookmarkEnd w:id="17"/>
    <w:p w14:paraId="42B8EA5E" w14:textId="77777777" w:rsidR="00072693" w:rsidRPr="000C77FA" w:rsidRDefault="00072693" w:rsidP="000C77FA">
      <w:pPr>
        <w:pBdr>
          <w:top w:val="nil"/>
          <w:left w:val="nil"/>
          <w:bottom w:val="nil"/>
          <w:right w:val="nil"/>
          <w:between w:val="nil"/>
        </w:pBdr>
        <w:ind w:left="567" w:right="616" w:hanging="360"/>
        <w:jc w:val="both"/>
        <w:rPr>
          <w:rFonts w:ascii="Palatino Linotype" w:eastAsia="Palatino Linotype" w:hAnsi="Palatino Linotype" w:cs="Palatino Linotype"/>
          <w:i/>
          <w:sz w:val="22"/>
          <w:szCs w:val="22"/>
        </w:rPr>
      </w:pPr>
    </w:p>
    <w:p w14:paraId="4B03DF54" w14:textId="1CB3C438" w:rsidR="00072693" w:rsidRPr="000C77FA" w:rsidRDefault="00520394" w:rsidP="000C77FA">
      <w:pPr>
        <w:pBdr>
          <w:top w:val="nil"/>
          <w:left w:val="nil"/>
          <w:bottom w:val="nil"/>
          <w:right w:val="nil"/>
          <w:between w:val="nil"/>
        </w:pBdr>
        <w:ind w:left="567" w:right="616"/>
        <w:jc w:val="both"/>
        <w:rPr>
          <w:rFonts w:ascii="Palatino Linotype" w:eastAsia="Palatino Linotype" w:hAnsi="Palatino Linotype" w:cs="Palatino Linotype"/>
          <w:i/>
        </w:rPr>
      </w:pPr>
      <w:r w:rsidRPr="000C77FA">
        <w:rPr>
          <w:rFonts w:ascii="Palatino Linotype" w:eastAsia="Palatino Linotype" w:hAnsi="Palatino Linotype" w:cs="Palatino Linotype"/>
          <w:b/>
          <w:i/>
        </w:rPr>
        <w:t>II. P</w:t>
      </w:r>
      <w:r w:rsidR="00900360" w:rsidRPr="000C77FA">
        <w:rPr>
          <w:rFonts w:ascii="Palatino Linotype" w:eastAsia="Palatino Linotype" w:hAnsi="Palatino Linotype" w:cs="Palatino Linotype"/>
          <w:b/>
          <w:i/>
        </w:rPr>
        <w:t>onga a disposición</w:t>
      </w:r>
      <w:r w:rsidRPr="000C77FA">
        <w:rPr>
          <w:rFonts w:ascii="Palatino Linotype" w:eastAsia="Palatino Linotype" w:hAnsi="Palatino Linotype" w:cs="Palatino Linotype"/>
          <w:b/>
          <w:i/>
        </w:rPr>
        <w:t xml:space="preserve"> del</w:t>
      </w:r>
      <w:r w:rsidRPr="000C77FA">
        <w:rPr>
          <w:rFonts w:ascii="Palatino Linotype" w:eastAsia="Palatino Linotype" w:hAnsi="Palatino Linotype" w:cs="Palatino Linotype"/>
          <w:bCs/>
          <w:i/>
        </w:rPr>
        <w:t xml:space="preserve"> </w:t>
      </w:r>
      <w:r w:rsidRPr="000C77FA">
        <w:rPr>
          <w:rFonts w:ascii="Palatino Linotype" w:eastAsia="Palatino Linotype" w:hAnsi="Palatino Linotype" w:cs="Palatino Linotype"/>
          <w:b/>
          <w:i/>
        </w:rPr>
        <w:t>RECURRENTE</w:t>
      </w:r>
      <w:r w:rsidR="00900360" w:rsidRPr="000C77FA">
        <w:rPr>
          <w:rFonts w:ascii="Palatino Linotype" w:eastAsia="Palatino Linotype" w:hAnsi="Palatino Linotype" w:cs="Palatino Linotype"/>
          <w:bCs/>
          <w:i/>
        </w:rPr>
        <w:t xml:space="preserve">, en </w:t>
      </w:r>
      <w:r w:rsidR="00900360" w:rsidRPr="000C77FA">
        <w:rPr>
          <w:rFonts w:ascii="Palatino Linotype" w:eastAsia="Palatino Linotype" w:hAnsi="Palatino Linotype" w:cs="Palatino Linotype"/>
          <w:b/>
          <w:i/>
        </w:rPr>
        <w:t>todas las modalidades que permita la documentación</w:t>
      </w:r>
      <w:r w:rsidR="00900360" w:rsidRPr="000C77FA">
        <w:rPr>
          <w:rFonts w:ascii="Palatino Linotype" w:eastAsia="Palatino Linotype" w:hAnsi="Palatino Linotype" w:cs="Palatino Linotype"/>
          <w:bCs/>
          <w:i/>
        </w:rPr>
        <w:t>, tales como,</w:t>
      </w:r>
      <w:r w:rsidRPr="000C77FA">
        <w:rPr>
          <w:bCs/>
        </w:rPr>
        <w:t xml:space="preserve"> </w:t>
      </w:r>
      <w:r w:rsidRPr="000C77FA">
        <w:rPr>
          <w:rFonts w:ascii="Palatino Linotype" w:eastAsia="Palatino Linotype" w:hAnsi="Palatino Linotype" w:cs="Palatino Linotype"/>
          <w:bCs/>
          <w:i/>
        </w:rPr>
        <w:t xml:space="preserve">habilitar una liga electrónica en caso de ser posible, correo electrónico en caso de que la capacidad del mismo lo permita, concederle el acceso en </w:t>
      </w:r>
      <w:r w:rsidR="00900360" w:rsidRPr="000C77FA">
        <w:rPr>
          <w:rFonts w:ascii="Palatino Linotype" w:eastAsia="Palatino Linotype" w:hAnsi="Palatino Linotype" w:cs="Palatino Linotype"/>
          <w:bCs/>
          <w:i/>
        </w:rPr>
        <w:t>disco compacto, dispositivo de almacenamiento, consulta directa, copias simples o certificadas, entre otras, con posibilidad de entrega en la Unidad de Transparencia o a domicilio por correo certificado, previo pago de los derechos correspondientes, en su caso, en versión pública, lo siguiente:</w:t>
      </w:r>
      <w:r w:rsidR="002C1F92" w:rsidRPr="000C77FA">
        <w:rPr>
          <w:rFonts w:ascii="Palatino Linotype" w:eastAsia="Palatino Linotype" w:hAnsi="Palatino Linotype" w:cs="Palatino Linotype"/>
          <w:i/>
        </w:rPr>
        <w:t xml:space="preserve"> </w:t>
      </w:r>
    </w:p>
    <w:p w14:paraId="6E9B88C8" w14:textId="77777777" w:rsidR="00072693" w:rsidRPr="000C77FA" w:rsidRDefault="00072693" w:rsidP="000C77FA">
      <w:pPr>
        <w:ind w:left="567" w:right="616" w:hanging="360"/>
        <w:jc w:val="both"/>
        <w:rPr>
          <w:rFonts w:ascii="Palatino Linotype" w:eastAsia="Palatino Linotype" w:hAnsi="Palatino Linotype" w:cs="Palatino Linotype"/>
          <w:i/>
          <w:sz w:val="22"/>
          <w:szCs w:val="22"/>
        </w:rPr>
      </w:pPr>
    </w:p>
    <w:p w14:paraId="10F6292F" w14:textId="77777777" w:rsidR="00520394" w:rsidRPr="000C77FA" w:rsidRDefault="002C1F92" w:rsidP="000C77FA">
      <w:pPr>
        <w:pStyle w:val="Prrafodelista"/>
        <w:numPr>
          <w:ilvl w:val="0"/>
          <w:numId w:val="17"/>
        </w:numPr>
        <w:pBdr>
          <w:top w:val="nil"/>
          <w:left w:val="nil"/>
          <w:bottom w:val="nil"/>
          <w:right w:val="nil"/>
          <w:between w:val="nil"/>
        </w:pBdr>
        <w:ind w:right="616"/>
        <w:jc w:val="both"/>
        <w:rPr>
          <w:rFonts w:ascii="Palatino Linotype" w:eastAsia="Palatino Linotype" w:hAnsi="Palatino Linotype" w:cs="Palatino Linotype"/>
          <w:i/>
          <w:sz w:val="22"/>
          <w:szCs w:val="22"/>
        </w:rPr>
      </w:pPr>
      <w:bookmarkStart w:id="18" w:name="_Hlk162892414"/>
      <w:r w:rsidRPr="000C77FA">
        <w:rPr>
          <w:rFonts w:ascii="Palatino Linotype" w:eastAsia="Palatino Linotype" w:hAnsi="Palatino Linotype" w:cs="Palatino Linotype"/>
          <w:i/>
          <w:sz w:val="22"/>
          <w:szCs w:val="22"/>
        </w:rPr>
        <w:lastRenderedPageBreak/>
        <w:t xml:space="preserve">Las facturas que acreditan el ejercicio de los recursos del “fondo </w:t>
      </w:r>
      <w:proofErr w:type="spellStart"/>
      <w:r w:rsidRPr="000C77FA">
        <w:rPr>
          <w:rFonts w:ascii="Palatino Linotype" w:eastAsia="Palatino Linotype" w:hAnsi="Palatino Linotype" w:cs="Palatino Linotype"/>
          <w:i/>
          <w:sz w:val="22"/>
          <w:szCs w:val="22"/>
        </w:rPr>
        <w:t>revolvente</w:t>
      </w:r>
      <w:proofErr w:type="spellEnd"/>
      <w:r w:rsidRPr="000C77FA">
        <w:rPr>
          <w:rFonts w:ascii="Palatino Linotype" w:eastAsia="Palatino Linotype" w:hAnsi="Palatino Linotype" w:cs="Palatino Linotype"/>
          <w:i/>
          <w:sz w:val="22"/>
          <w:szCs w:val="22"/>
        </w:rPr>
        <w:t>” de las unidades administrativas:</w:t>
      </w:r>
      <w:r w:rsidRPr="000C77FA">
        <w:rPr>
          <w:sz w:val="22"/>
          <w:szCs w:val="22"/>
        </w:rPr>
        <w:t xml:space="preserve"> </w:t>
      </w:r>
      <w:bookmarkEnd w:id="18"/>
      <w:r w:rsidRPr="000C77FA">
        <w:rPr>
          <w:rFonts w:ascii="Palatino Linotype" w:eastAsia="Palatino Linotype" w:hAnsi="Palatino Linotype" w:cs="Palatino Linotype"/>
          <w:i/>
          <w:sz w:val="22"/>
          <w:szCs w:val="22"/>
        </w:rPr>
        <w:t>Oficina del Secretario de Cultura y Turismo, Dirección General de Patrimonio y Servicios Culturales; UIPPE y Subsecretaría de Turismo; de los periodos enero-junio 2022</w:t>
      </w:r>
      <w:r w:rsidR="000A6EBF" w:rsidRPr="000C77FA">
        <w:rPr>
          <w:rFonts w:ascii="Palatino Linotype" w:eastAsia="Palatino Linotype" w:hAnsi="Palatino Linotype" w:cs="Palatino Linotype"/>
          <w:i/>
          <w:sz w:val="22"/>
          <w:szCs w:val="22"/>
        </w:rPr>
        <w:t>,</w:t>
      </w:r>
      <w:r w:rsidRPr="000C77FA">
        <w:rPr>
          <w:rFonts w:ascii="Palatino Linotype" w:eastAsia="Palatino Linotype" w:hAnsi="Palatino Linotype" w:cs="Palatino Linotype"/>
          <w:i/>
          <w:sz w:val="22"/>
          <w:szCs w:val="22"/>
        </w:rPr>
        <w:t xml:space="preserve"> julio-octubre 2022</w:t>
      </w:r>
      <w:r w:rsidR="00520394" w:rsidRPr="000C77FA">
        <w:rPr>
          <w:rFonts w:ascii="Palatino Linotype" w:eastAsia="Palatino Linotype" w:hAnsi="Palatino Linotype" w:cs="Palatino Linotype"/>
          <w:i/>
          <w:sz w:val="22"/>
          <w:szCs w:val="22"/>
        </w:rPr>
        <w:t>.</w:t>
      </w:r>
    </w:p>
    <w:p w14:paraId="5FDB56BE" w14:textId="4F06E3BE" w:rsidR="00072693" w:rsidRPr="000C77FA" w:rsidRDefault="00520394" w:rsidP="000C77FA">
      <w:pPr>
        <w:pStyle w:val="Prrafodelista"/>
        <w:numPr>
          <w:ilvl w:val="0"/>
          <w:numId w:val="17"/>
        </w:numPr>
        <w:pBdr>
          <w:top w:val="nil"/>
          <w:left w:val="nil"/>
          <w:bottom w:val="nil"/>
          <w:right w:val="nil"/>
          <w:between w:val="nil"/>
        </w:pBdr>
        <w:ind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 xml:space="preserve">Las facturas que acreditan el ejercicio de los recursos del “fondo </w:t>
      </w:r>
      <w:proofErr w:type="spellStart"/>
      <w:r w:rsidRPr="000C77FA">
        <w:rPr>
          <w:rFonts w:ascii="Palatino Linotype" w:eastAsia="Palatino Linotype" w:hAnsi="Palatino Linotype" w:cs="Palatino Linotype"/>
          <w:i/>
          <w:sz w:val="22"/>
          <w:szCs w:val="22"/>
        </w:rPr>
        <w:t>revolvente</w:t>
      </w:r>
      <w:proofErr w:type="spellEnd"/>
      <w:r w:rsidRPr="000C77FA">
        <w:rPr>
          <w:rFonts w:ascii="Palatino Linotype" w:eastAsia="Palatino Linotype" w:hAnsi="Palatino Linotype" w:cs="Palatino Linotype"/>
          <w:i/>
          <w:sz w:val="22"/>
          <w:szCs w:val="22"/>
        </w:rPr>
        <w:t xml:space="preserve">” de las unidades administrativas: </w:t>
      </w:r>
      <w:r w:rsidR="002C1F92" w:rsidRPr="000C77FA">
        <w:rPr>
          <w:rFonts w:ascii="Palatino Linotype" w:eastAsia="Palatino Linotype" w:hAnsi="Palatino Linotype" w:cs="Palatino Linotype"/>
          <w:i/>
          <w:sz w:val="22"/>
          <w:szCs w:val="22"/>
        </w:rPr>
        <w:t>Oficina del Secretario de Cultura y Turismo, Unidad Jurídica, Dirección General de Turismo de Reuniones; UIPPE y Unidad de Comunicación Social; de los periodos enero-junio 2021 y julio-octubre 2021.</w:t>
      </w:r>
    </w:p>
    <w:p w14:paraId="7C9B9B0D" w14:textId="77777777" w:rsidR="00072693" w:rsidRPr="000C77FA" w:rsidRDefault="00072693" w:rsidP="000C77FA">
      <w:pPr>
        <w:pBdr>
          <w:top w:val="nil"/>
          <w:left w:val="nil"/>
          <w:bottom w:val="nil"/>
          <w:right w:val="nil"/>
          <w:between w:val="nil"/>
        </w:pBdr>
        <w:ind w:left="567" w:right="899"/>
        <w:jc w:val="both"/>
        <w:rPr>
          <w:rFonts w:ascii="Palatino Linotype" w:eastAsia="Palatino Linotype" w:hAnsi="Palatino Linotype" w:cs="Palatino Linotype"/>
          <w:i/>
          <w:sz w:val="22"/>
          <w:szCs w:val="22"/>
        </w:rPr>
      </w:pPr>
    </w:p>
    <w:p w14:paraId="78982E5E" w14:textId="77777777" w:rsidR="00900360" w:rsidRPr="000C77FA" w:rsidRDefault="00900360" w:rsidP="000C77FA">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0C77FA">
        <w:rPr>
          <w:rFonts w:ascii="Palatino Linotype" w:eastAsia="Palatino Linotype" w:hAnsi="Palatino Linotype" w:cs="Palatino Linotype"/>
          <w:i/>
          <w:sz w:val="22"/>
          <w:szCs w:val="22"/>
        </w:rPr>
        <w:t>Para tal situación, a través del Sistema de Acceso a la Información Mexiquense (SAIMEX), deberá indicar el procedimiento que tendrá que seguir el Particular, para acceder a la documentación, es decir, los pasos para realizar el pago de derechos, en caso de proceder, y la manera de obtener la información como domicilio de la Unidad de Transparencia, días y horarios de atención, así como el nombre del servidor público que le atenderá. Además, deberá señalarle que podrá acceder de manera gratuita a la información si proporciona el medio electrónico y recoge la información en la Unidad de Transparencia.</w:t>
      </w:r>
      <w:r w:rsidRPr="000C77FA">
        <w:rPr>
          <w:rFonts w:ascii="Palatino Linotype" w:eastAsia="Palatino Linotype" w:hAnsi="Palatino Linotype" w:cs="Palatino Linotype"/>
          <w:i/>
          <w:sz w:val="22"/>
          <w:szCs w:val="22"/>
        </w:rPr>
        <w:br/>
      </w:r>
      <w:r w:rsidRPr="000C77FA">
        <w:rPr>
          <w:rFonts w:ascii="Palatino Linotype" w:eastAsia="Palatino Linotype" w:hAnsi="Palatino Linotype" w:cs="Palatino Linotype"/>
          <w:i/>
          <w:sz w:val="22"/>
          <w:szCs w:val="22"/>
        </w:rPr>
        <w:br/>
        <w:t>Además, deberá proporcionar el Acuerdo de Clasificación donde el Comité de Transparencia, confirme la eliminación de los datos o información, de conformidad con los artículos 49, fracciones II y VIII y 132, fracción II, de la Ley de Transparencia y Acceso a la Información Pública del Estado de México y Municipios.</w:t>
      </w:r>
    </w:p>
    <w:p w14:paraId="762BFEA3" w14:textId="728687A7" w:rsidR="00072693" w:rsidRPr="000C77FA" w:rsidRDefault="00900360" w:rsidP="000C77FA">
      <w:pPr>
        <w:pBdr>
          <w:top w:val="nil"/>
          <w:left w:val="nil"/>
          <w:bottom w:val="nil"/>
          <w:right w:val="nil"/>
          <w:between w:val="nil"/>
        </w:pBdr>
        <w:ind w:left="709" w:right="616"/>
        <w:jc w:val="both"/>
        <w:rPr>
          <w:rFonts w:ascii="Palatino Linotype" w:eastAsia="Palatino Linotype" w:hAnsi="Palatino Linotype" w:cs="Palatino Linotype"/>
        </w:rPr>
      </w:pPr>
      <w:r w:rsidRPr="000C77FA">
        <w:rPr>
          <w:rFonts w:ascii="Palatino Linotype" w:eastAsia="Palatino Linotype" w:hAnsi="Palatino Linotype" w:cs="Palatino Linotype"/>
          <w:i/>
          <w:sz w:val="22"/>
          <w:szCs w:val="22"/>
        </w:rPr>
        <w:br/>
      </w:r>
    </w:p>
    <w:p w14:paraId="10D49DFE" w14:textId="77777777" w:rsidR="00072693" w:rsidRPr="000C77FA" w:rsidRDefault="002C1F92" w:rsidP="000C77FA">
      <w:pPr>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b/>
          <w:sz w:val="28"/>
          <w:szCs w:val="28"/>
        </w:rPr>
        <w:t>TERCERO</w:t>
      </w:r>
      <w:r w:rsidRPr="000C77FA">
        <w:rPr>
          <w:rFonts w:ascii="Palatino Linotype" w:eastAsia="Palatino Linotype" w:hAnsi="Palatino Linotype" w:cs="Palatino Linotype"/>
          <w:b/>
        </w:rPr>
        <w:t xml:space="preserve">. Notifíquese </w:t>
      </w:r>
      <w:r w:rsidRPr="000C77FA">
        <w:rPr>
          <w:rFonts w:ascii="Palatino Linotype" w:eastAsia="Palatino Linotype" w:hAnsi="Palatino Linotype" w:cs="Palatino Linotype"/>
        </w:rPr>
        <w:t xml:space="preserve">la presente resolución al Titular de la Unidad de Transparencia </w:t>
      </w:r>
      <w:r w:rsidRPr="000C77FA">
        <w:rPr>
          <w:rFonts w:ascii="Palatino Linotype" w:eastAsia="Palatino Linotype" w:hAnsi="Palatino Linotype" w:cs="Palatino Linotype"/>
          <w:b/>
        </w:rPr>
        <w:t>DEL SUJETO OBLIGADO</w:t>
      </w:r>
      <w:r w:rsidRPr="000C77FA">
        <w:rPr>
          <w:rFonts w:ascii="Palatino Linotype" w:eastAsia="Palatino Linotype" w:hAnsi="Palatino Linotype" w:cs="Palatino Linotype"/>
        </w:rPr>
        <w:t xml:space="preserve">, para que conforme al artículo 186 último párrafo, 189 segundo párrafo y 194 de la Ley de Transparencia local; dé cumplimiento a lo ordenado dentro del plazo de </w:t>
      </w:r>
      <w:r w:rsidRPr="000C77FA">
        <w:rPr>
          <w:rFonts w:ascii="Palatino Linotype" w:eastAsia="Palatino Linotype" w:hAnsi="Palatino Linotype" w:cs="Palatino Linotype"/>
          <w:b/>
          <w:bCs/>
        </w:rPr>
        <w:t>diez días hábiles</w:t>
      </w:r>
      <w:r w:rsidRPr="000C77FA">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w:t>
      </w:r>
      <w:r w:rsidRPr="000C77FA">
        <w:rPr>
          <w:rFonts w:ascii="Palatino Linotype" w:eastAsia="Palatino Linotype" w:hAnsi="Palatino Linotype" w:cs="Palatino Linotype"/>
        </w:rPr>
        <w:lastRenderedPageBreak/>
        <w:t>con lo previsto en los artículos 198, 200, fracción III; 214, 215 y 216 de la Ley de Transparencia local.</w:t>
      </w:r>
    </w:p>
    <w:p w14:paraId="47BDC69B" w14:textId="77777777" w:rsidR="00E01669" w:rsidRPr="000C77FA" w:rsidRDefault="00E01669" w:rsidP="000C77FA">
      <w:pPr>
        <w:spacing w:line="360" w:lineRule="auto"/>
        <w:jc w:val="both"/>
        <w:rPr>
          <w:rFonts w:ascii="Palatino Linotype" w:eastAsia="Palatino Linotype" w:hAnsi="Palatino Linotype" w:cs="Palatino Linotype"/>
        </w:rPr>
      </w:pPr>
    </w:p>
    <w:p w14:paraId="5678FE07" w14:textId="77777777" w:rsidR="00072693" w:rsidRPr="000C77FA" w:rsidRDefault="002C1F92" w:rsidP="000C77FA">
      <w:pPr>
        <w:tabs>
          <w:tab w:val="left" w:pos="709"/>
        </w:tabs>
        <w:spacing w:line="360" w:lineRule="auto"/>
        <w:ind w:right="51"/>
        <w:jc w:val="both"/>
        <w:rPr>
          <w:rFonts w:ascii="Palatino Linotype" w:eastAsia="Palatino Linotype" w:hAnsi="Palatino Linotype" w:cs="Palatino Linotype"/>
          <w:b/>
        </w:rPr>
      </w:pPr>
      <w:r w:rsidRPr="000C77FA">
        <w:rPr>
          <w:rFonts w:ascii="Palatino Linotype" w:eastAsia="Palatino Linotype" w:hAnsi="Palatino Linotype" w:cs="Palatino Linotype"/>
          <w:b/>
          <w:sz w:val="28"/>
          <w:szCs w:val="28"/>
        </w:rPr>
        <w:t>CUARTO</w:t>
      </w:r>
      <w:r w:rsidRPr="000C77FA">
        <w:rPr>
          <w:rFonts w:ascii="Palatino Linotype" w:eastAsia="Palatino Linotype" w:hAnsi="Palatino Linotype" w:cs="Palatino Linotype"/>
          <w:b/>
        </w:rPr>
        <w:t>.</w:t>
      </w:r>
      <w:r w:rsidRPr="000C77FA">
        <w:rPr>
          <w:rFonts w:ascii="Palatino Linotype" w:eastAsia="Palatino Linotype" w:hAnsi="Palatino Linotype" w:cs="Palatino Linotype"/>
        </w:rPr>
        <w:t xml:space="preserve"> </w:t>
      </w:r>
      <w:r w:rsidRPr="000C77FA">
        <w:rPr>
          <w:rFonts w:ascii="Palatino Linotype" w:eastAsia="Palatino Linotype" w:hAnsi="Palatino Linotype" w:cs="Palatino Linotype"/>
          <w:b/>
        </w:rPr>
        <w:t>Notifíquese</w:t>
      </w:r>
      <w:r w:rsidRPr="000C77FA">
        <w:rPr>
          <w:rFonts w:ascii="Palatino Linotype" w:eastAsia="Palatino Linotype" w:hAnsi="Palatino Linotype" w:cs="Palatino Linotype"/>
        </w:rPr>
        <w:t xml:space="preserve"> a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xml:space="preserve"> la presente resolución vía Sistema de Acceso a la Información Mexiquense </w:t>
      </w:r>
      <w:r w:rsidRPr="000C77FA">
        <w:rPr>
          <w:rFonts w:ascii="Palatino Linotype" w:eastAsia="Palatino Linotype" w:hAnsi="Palatino Linotype" w:cs="Palatino Linotype"/>
          <w:b/>
        </w:rPr>
        <w:t>SAIMEX</w:t>
      </w:r>
      <w:r w:rsidRPr="000C77FA">
        <w:rPr>
          <w:rFonts w:ascii="Palatino Linotype" w:eastAsia="Palatino Linotype" w:hAnsi="Palatino Linotype" w:cs="Palatino Linotype"/>
        </w:rPr>
        <w:t>.</w:t>
      </w:r>
    </w:p>
    <w:p w14:paraId="7AB62496" w14:textId="77777777" w:rsidR="00072693" w:rsidRPr="000C77FA" w:rsidRDefault="00072693" w:rsidP="000C77FA">
      <w:pPr>
        <w:widowControl w:val="0"/>
        <w:spacing w:line="360" w:lineRule="auto"/>
        <w:jc w:val="both"/>
        <w:rPr>
          <w:rFonts w:ascii="Palatino Linotype" w:eastAsia="Palatino Linotype" w:hAnsi="Palatino Linotype" w:cs="Palatino Linotype"/>
        </w:rPr>
      </w:pPr>
    </w:p>
    <w:p w14:paraId="38A68AB9" w14:textId="77777777" w:rsidR="00072693" w:rsidRPr="000C77FA" w:rsidRDefault="002C1F92" w:rsidP="000C77FA">
      <w:pPr>
        <w:tabs>
          <w:tab w:val="left" w:pos="709"/>
        </w:tabs>
        <w:spacing w:line="360" w:lineRule="auto"/>
        <w:ind w:right="51"/>
        <w:jc w:val="both"/>
        <w:rPr>
          <w:rFonts w:ascii="Palatino Linotype" w:eastAsia="Palatino Linotype" w:hAnsi="Palatino Linotype" w:cs="Palatino Linotype"/>
        </w:rPr>
      </w:pPr>
      <w:r w:rsidRPr="000C77FA">
        <w:rPr>
          <w:rFonts w:ascii="Palatino Linotype" w:eastAsia="Palatino Linotype" w:hAnsi="Palatino Linotype" w:cs="Palatino Linotype"/>
          <w:b/>
          <w:sz w:val="28"/>
          <w:szCs w:val="28"/>
        </w:rPr>
        <w:t>QUINTO</w:t>
      </w:r>
      <w:r w:rsidRPr="000C77FA">
        <w:rPr>
          <w:rFonts w:ascii="Palatino Linotype" w:eastAsia="Palatino Linotype" w:hAnsi="Palatino Linotype" w:cs="Palatino Linotype"/>
          <w:b/>
        </w:rPr>
        <w:t>.</w:t>
      </w:r>
      <w:r w:rsidRPr="000C77FA">
        <w:rPr>
          <w:rFonts w:ascii="Palatino Linotype" w:eastAsia="Palatino Linotype" w:hAnsi="Palatino Linotype" w:cs="Palatino Linotype"/>
        </w:rPr>
        <w:t xml:space="preserve"> Hágase del conocimiento a </w:t>
      </w:r>
      <w:r w:rsidRPr="000C77FA">
        <w:rPr>
          <w:rFonts w:ascii="Palatino Linotype" w:eastAsia="Palatino Linotype" w:hAnsi="Palatino Linotype" w:cs="Palatino Linotype"/>
          <w:b/>
        </w:rPr>
        <w:t>EL RECURRENTE</w:t>
      </w:r>
      <w:r w:rsidRPr="000C77FA">
        <w:rPr>
          <w:rFonts w:ascii="Palatino Linotype" w:eastAsia="Palatino Linotype" w:hAnsi="Palatino Linotype" w:cs="Palatino Linotype"/>
        </w:rPr>
        <w:t>, que de conformidad con lo establecido en el artículo 196 de la Ley de Transparencia local, podrá impugnarla vía Juicio de Amparo en los términos de las leyes aplicables.</w:t>
      </w:r>
    </w:p>
    <w:p w14:paraId="6824BB57" w14:textId="77777777" w:rsidR="00072693" w:rsidRPr="000C77FA" w:rsidRDefault="00072693" w:rsidP="000C77FA">
      <w:pPr>
        <w:tabs>
          <w:tab w:val="left" w:pos="709"/>
        </w:tabs>
        <w:spacing w:line="360" w:lineRule="auto"/>
        <w:ind w:right="51"/>
        <w:jc w:val="both"/>
        <w:rPr>
          <w:rFonts w:ascii="Palatino Linotype" w:eastAsia="Palatino Linotype" w:hAnsi="Palatino Linotype" w:cs="Palatino Linotype"/>
        </w:rPr>
      </w:pPr>
    </w:p>
    <w:p w14:paraId="6433D42A" w14:textId="77777777" w:rsidR="00072693" w:rsidRPr="000C77FA" w:rsidRDefault="002C1F92" w:rsidP="000C77FA">
      <w:pPr>
        <w:widowControl w:val="0"/>
        <w:tabs>
          <w:tab w:val="left" w:pos="1701"/>
        </w:tabs>
        <w:spacing w:line="360" w:lineRule="auto"/>
        <w:ind w:right="49"/>
        <w:jc w:val="both"/>
        <w:rPr>
          <w:rFonts w:ascii="Palatino Linotype" w:eastAsia="Palatino Linotype" w:hAnsi="Palatino Linotype" w:cs="Palatino Linotype"/>
        </w:rPr>
      </w:pPr>
      <w:r w:rsidRPr="000C77FA">
        <w:rPr>
          <w:rFonts w:ascii="Palatino Linotype" w:eastAsia="Palatino Linotype" w:hAnsi="Palatino Linotype" w:cs="Palatino Linotype"/>
          <w:b/>
          <w:sz w:val="28"/>
          <w:szCs w:val="28"/>
        </w:rPr>
        <w:t>SEXTO.</w:t>
      </w:r>
      <w:r w:rsidRPr="000C77FA">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w:t>
      </w:r>
      <w:r w:rsidRPr="000C77FA">
        <w:rPr>
          <w:rFonts w:ascii="Palatino Linotype" w:eastAsia="Palatino Linotype" w:hAnsi="Palatino Linotype" w:cs="Palatino Linotype"/>
          <w:b/>
        </w:rPr>
        <w:t>EL SUJETO OBLIGADO</w:t>
      </w:r>
      <w:r w:rsidRPr="000C77FA">
        <w:rPr>
          <w:rFonts w:ascii="Palatino Linotype" w:eastAsia="Palatino Linotype" w:hAnsi="Palatino Linotype" w:cs="Palatino Linotype"/>
        </w:rPr>
        <w:t xml:space="preserve"> de manera fundada y motivada, podrá solicitar una ampliación de plazo para el cumplimiento de la presente resolución.</w:t>
      </w:r>
    </w:p>
    <w:p w14:paraId="335F4E1D" w14:textId="77777777" w:rsidR="00072693" w:rsidRPr="000C77FA" w:rsidRDefault="00072693" w:rsidP="000C77FA">
      <w:pPr>
        <w:widowControl w:val="0"/>
        <w:tabs>
          <w:tab w:val="left" w:pos="1701"/>
        </w:tabs>
        <w:spacing w:line="360" w:lineRule="auto"/>
        <w:ind w:right="49"/>
        <w:jc w:val="both"/>
        <w:rPr>
          <w:rFonts w:ascii="Palatino Linotype" w:eastAsia="Palatino Linotype" w:hAnsi="Palatino Linotype" w:cs="Palatino Linotype"/>
        </w:rPr>
      </w:pPr>
    </w:p>
    <w:p w14:paraId="6A4475DD" w14:textId="3C3D0301" w:rsidR="00072693" w:rsidRPr="000C77FA" w:rsidRDefault="002C1F92" w:rsidP="000C77FA">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rPr>
      </w:pPr>
      <w:r w:rsidRPr="000C77FA">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664F53" w:rsidRPr="000C77FA">
        <w:rPr>
          <w:rFonts w:ascii="Palatino Linotype" w:eastAsia="Palatino Linotype" w:hAnsi="Palatino Linotype" w:cs="Palatino Linotype"/>
        </w:rPr>
        <w:t>DÉCIMA</w:t>
      </w:r>
      <w:r w:rsidRPr="000C77FA">
        <w:rPr>
          <w:rFonts w:ascii="Palatino Linotype" w:eastAsia="Palatino Linotype" w:hAnsi="Palatino Linotype" w:cs="Palatino Linotype"/>
        </w:rPr>
        <w:t xml:space="preserve"> </w:t>
      </w:r>
      <w:r w:rsidR="00D31FC3" w:rsidRPr="000C77FA">
        <w:rPr>
          <w:rFonts w:ascii="Palatino Linotype" w:eastAsia="Palatino Linotype" w:hAnsi="Palatino Linotype" w:cs="Palatino Linotype"/>
        </w:rPr>
        <w:t xml:space="preserve">PRIMERA </w:t>
      </w:r>
      <w:r w:rsidRPr="000C77FA">
        <w:rPr>
          <w:rFonts w:ascii="Palatino Linotype" w:eastAsia="Palatino Linotype" w:hAnsi="Palatino Linotype" w:cs="Palatino Linotype"/>
        </w:rPr>
        <w:t xml:space="preserve">SESIÓN ORDINARIA CELEBRADA EL </w:t>
      </w:r>
      <w:r w:rsidR="00D31FC3" w:rsidRPr="000C77FA">
        <w:rPr>
          <w:rFonts w:ascii="Palatino Linotype" w:eastAsia="Palatino Linotype" w:hAnsi="Palatino Linotype" w:cs="Palatino Linotype"/>
        </w:rPr>
        <w:t>TRES DE ABRIL</w:t>
      </w:r>
      <w:r w:rsidRPr="000C77FA">
        <w:rPr>
          <w:rFonts w:ascii="Palatino Linotype" w:eastAsia="Palatino Linotype" w:hAnsi="Palatino Linotype" w:cs="Palatino Linotype"/>
        </w:rPr>
        <w:t xml:space="preserve"> DE DOS MIL VEINTICUATRO, ANTE EL SECRETARIO </w:t>
      </w:r>
      <w:r w:rsidRPr="000C77FA">
        <w:rPr>
          <w:rFonts w:ascii="Palatino Linotype" w:eastAsia="Palatino Linotype" w:hAnsi="Palatino Linotype" w:cs="Palatino Linotype"/>
        </w:rPr>
        <w:lastRenderedPageBreak/>
        <w:t xml:space="preserve">TÉCNICO DEL PLENO, ALEXIS TAPIA RAMÍREZ. </w:t>
      </w:r>
    </w:p>
    <w:p w14:paraId="18025542" w14:textId="77777777" w:rsidR="00072693" w:rsidRPr="000C77FA" w:rsidRDefault="002C1F92" w:rsidP="000C77FA">
      <w:pPr>
        <w:spacing w:line="360" w:lineRule="auto"/>
        <w:jc w:val="both"/>
        <w:rPr>
          <w:rFonts w:ascii="Palatino Linotype" w:eastAsia="Palatino Linotype" w:hAnsi="Palatino Linotype" w:cs="Palatino Linotype"/>
          <w:b/>
          <w:sz w:val="16"/>
          <w:szCs w:val="16"/>
        </w:rPr>
      </w:pPr>
      <w:r w:rsidRPr="000C77FA">
        <w:rPr>
          <w:rFonts w:ascii="Palatino Linotype" w:eastAsia="Palatino Linotype" w:hAnsi="Palatino Linotype" w:cs="Palatino Linotype"/>
          <w:sz w:val="16"/>
          <w:szCs w:val="16"/>
        </w:rPr>
        <w:t>SCMM/AGZ/DEMF/ESS</w:t>
      </w:r>
      <w:r w:rsidRPr="000C77FA">
        <w:rPr>
          <w:rFonts w:ascii="Palatino Linotype" w:eastAsia="Palatino Linotype" w:hAnsi="Palatino Linotype" w:cs="Palatino Linotype"/>
          <w:b/>
          <w:sz w:val="16"/>
          <w:szCs w:val="16"/>
        </w:rPr>
        <w:t xml:space="preserve"> </w:t>
      </w:r>
    </w:p>
    <w:p w14:paraId="2C8D8365" w14:textId="3FAC59D5" w:rsidR="000C77FA" w:rsidRPr="000C77FA" w:rsidRDefault="000C77FA" w:rsidP="000C77FA">
      <w:pPr>
        <w:rPr>
          <w:sz w:val="40"/>
          <w:szCs w:val="40"/>
        </w:rPr>
      </w:pPr>
      <w:r w:rsidRPr="000C77FA">
        <w:rPr>
          <w:sz w:val="40"/>
          <w:szCs w:val="40"/>
        </w:rPr>
        <w:br w:type="page"/>
      </w:r>
    </w:p>
    <w:p w14:paraId="51FF1E90" w14:textId="77777777" w:rsidR="00072693" w:rsidRPr="000C77FA" w:rsidRDefault="00072693" w:rsidP="000C77FA">
      <w:pPr>
        <w:rPr>
          <w:sz w:val="40"/>
          <w:szCs w:val="40"/>
        </w:rPr>
      </w:pPr>
    </w:p>
    <w:sectPr w:rsidR="00072693" w:rsidRPr="000C77FA">
      <w:headerReference w:type="even" r:id="rId16"/>
      <w:headerReference w:type="default" r:id="rId17"/>
      <w:footerReference w:type="default" r:id="rId18"/>
      <w:headerReference w:type="first" r:id="rId19"/>
      <w:footerReference w:type="first" r:id="rId20"/>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E07E0A" w14:textId="77777777" w:rsidR="001C4B8F" w:rsidRDefault="001C4B8F">
      <w:r>
        <w:separator/>
      </w:r>
    </w:p>
  </w:endnote>
  <w:endnote w:type="continuationSeparator" w:id="0">
    <w:p w14:paraId="523B2F71" w14:textId="77777777" w:rsidR="001C4B8F" w:rsidRDefault="001C4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6579B" w14:textId="77777777" w:rsidR="00802DB3" w:rsidRDefault="00802D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201B2">
      <w:rPr>
        <w:rFonts w:ascii="Palatino Linotype" w:eastAsia="Palatino Linotype" w:hAnsi="Palatino Linotype" w:cs="Palatino Linotype"/>
        <w:noProof/>
        <w:color w:val="000000"/>
        <w:sz w:val="22"/>
        <w:szCs w:val="22"/>
      </w:rPr>
      <w:t>21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201B2">
      <w:rPr>
        <w:rFonts w:ascii="Palatino Linotype" w:eastAsia="Palatino Linotype" w:hAnsi="Palatino Linotype" w:cs="Palatino Linotype"/>
        <w:noProof/>
        <w:color w:val="000000"/>
        <w:sz w:val="22"/>
        <w:szCs w:val="22"/>
      </w:rPr>
      <w:t>88</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A8F2F" w14:textId="77777777" w:rsidR="00802DB3" w:rsidRDefault="00802DB3">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B201B2">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B201B2">
      <w:rPr>
        <w:rFonts w:ascii="Palatino Linotype" w:eastAsia="Palatino Linotype" w:hAnsi="Palatino Linotype" w:cs="Palatino Linotype"/>
        <w:noProof/>
        <w:color w:val="000000"/>
        <w:sz w:val="22"/>
        <w:szCs w:val="22"/>
      </w:rPr>
      <w:t>88</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9B9C66" w14:textId="77777777" w:rsidR="001C4B8F" w:rsidRDefault="001C4B8F">
      <w:r>
        <w:separator/>
      </w:r>
    </w:p>
  </w:footnote>
  <w:footnote w:type="continuationSeparator" w:id="0">
    <w:p w14:paraId="7A02E883" w14:textId="77777777" w:rsidR="001C4B8F" w:rsidRDefault="001C4B8F">
      <w:r>
        <w:continuationSeparator/>
      </w:r>
    </w:p>
  </w:footnote>
  <w:footnote w:id="1">
    <w:p w14:paraId="69C6B2F7"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Es importante señalar que, al encontrarse los expedientes formados con motivo de la presentación de las solicitudes enunciadas de forma electrónica en el SAIMEX, todas las constancias que integran los expedientes aludidos que en este acto se resuelven obran en el sistema de referencia.  </w:t>
      </w:r>
    </w:p>
  </w:footnote>
  <w:footnote w:id="2">
    <w:p w14:paraId="06CCA698" w14:textId="1CB56615"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En adelante, las claves alfanuméricas de las solicitudes se abreviarán bajo los numerales 00179, 00180, 00181 y 00182 respectivamente.</w:t>
      </w:r>
    </w:p>
  </w:footnote>
  <w:footnote w:id="3">
    <w:p w14:paraId="741FC82B"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En adelante, Ley de Transparencia local.</w:t>
      </w:r>
    </w:p>
  </w:footnote>
  <w:footnote w:id="4">
    <w:p w14:paraId="024F073F"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Lineamientos que deberán observar la Secretaría de la Contraloría y los órganos de control interno en las dependencias, Procuraduría General de Justicia y organismos auxiliares de la Administración Pública del Estado de México, en la recepción, procesamiento y trámite de las solicitudes de acceso a la información pública que formule cualquier persona, su resolución, notificación, y la entrega de la información en su caso, con exclusión de las solicitudes de acceso a datos personales y su corrección, así como la clasificación y actualización de la Información pública. </w:t>
      </w:r>
    </w:p>
  </w:footnote>
  <w:footnote w:id="5">
    <w:p w14:paraId="2CD5A579"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Documentales de las cuales se omite su reproducción por ser del conocimiento de las partes, mismas que serán analizadas en el considerando correspondiente.</w:t>
      </w:r>
    </w:p>
  </w:footnote>
  <w:footnote w:id="6">
    <w:p w14:paraId="1B39E588"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w:t>
      </w:r>
      <w:r>
        <w:rPr>
          <w:rFonts w:ascii="Palatino Linotype" w:eastAsia="Palatino Linotype" w:hAnsi="Palatino Linotype" w:cs="Palatino Linotype"/>
          <w:b/>
          <w:color w:val="000000"/>
          <w:sz w:val="17"/>
          <w:szCs w:val="17"/>
        </w:rPr>
        <w:t>Artículo 178.</w:t>
      </w:r>
      <w:r>
        <w:rPr>
          <w:rFonts w:ascii="Palatino Linotype" w:eastAsia="Palatino Linotype" w:hAnsi="Palatino Linotype" w:cs="Palatino Linotype"/>
          <w:color w:val="000000"/>
          <w:sz w:val="17"/>
          <w:szCs w:val="17"/>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7276355"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1A6DF2"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En el caso de que se interponga ante la Unidad de Transparencia, ésta deberá remitir el Recurso de Revisión al Instituto a más tardar al día siguiente de haberlo recibido.”</w:t>
      </w:r>
    </w:p>
  </w:footnote>
  <w:footnote w:id="7">
    <w:p w14:paraId="59F8D459"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Sin contemplar en los cómputos los días sábados y domingos, periodo vacacional y de suspensión de actividades considerados como días inhábiles, en términos del artículo 3, fracción X de la Ley de Transparencia local; en términos de los Calendarios Oficiales en Materia de Transparencia, Acceso a la Información Pública y Protección de Datos Personales del Estado de México y Municipios, así como de labores del Instituto para el año dos mil veintidós y dos mil veintitrés.</w:t>
      </w:r>
    </w:p>
  </w:footnote>
  <w:footnote w:id="8">
    <w:p w14:paraId="39F748B4"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“Artículo 4. El derecho humano de acceso a la información pública es la prerrogativa de las personas para buscar, difundir, investigar, recabar, recibir y solicitar información pública, sin necesidad de acreditar personalidad ni interés jurídico.</w:t>
      </w:r>
    </w:p>
    <w:p w14:paraId="5EACEA38"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AA25577"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rFonts w:ascii="Palatino Linotype" w:eastAsia="Palatino Linotype" w:hAnsi="Palatino Linotype" w:cs="Palatino Linotype"/>
          <w:color w:val="000000"/>
          <w:sz w:val="17"/>
          <w:szCs w:val="17"/>
        </w:rPr>
        <w:t>Los sujetos obligados deben poner en práctica, políticas y programas de acceso a la información que se apeguen a criterios de publicidad, veracidad, oportunidad, precisión y suficiencia en beneficio de los solicitantes.”</w:t>
      </w:r>
    </w:p>
  </w:footnote>
  <w:footnote w:id="9">
    <w:p w14:paraId="30B57805"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Tesis 2a. LXXXVIII/2010, sustentada por la Segunda Sala, publicada en el Semanario Judicial de la Federación y su Gaceta, Novena Época, tomo XXXII, agosto de 2010, página 463. “INFORMACIÓN PÚBLICA. ES AQUELLA QUE SE ENCUENTRA EN POSESIÓN DE CUALQUIER AUTORIDAD, ENTIDAD, ÓRGANO Y ORGANISMO FEDERAL, ESTATAL Y MUNICIPAL, SIEMPRE QUE SE HAYA OBTENIDO POR CAUSA DEL EJERCICIO DE FUNCIONES DE DERECHO PÚBLICO.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footnote>
  <w:footnote w:id="10">
    <w:p w14:paraId="3CCA1DBA"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7"/>
          <w:szCs w:val="17"/>
        </w:rPr>
      </w:pPr>
      <w:r>
        <w:rPr>
          <w:vertAlign w:val="superscript"/>
        </w:rPr>
        <w:footnoteRef/>
      </w:r>
      <w:r>
        <w:rPr>
          <w:rFonts w:ascii="Palatino Linotype" w:eastAsia="Palatino Linotype" w:hAnsi="Palatino Linotype" w:cs="Palatino Linotype"/>
          <w:color w:val="000000"/>
          <w:sz w:val="17"/>
          <w:szCs w:val="17"/>
        </w:rPr>
        <w:t xml:space="preserve">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w:t>
      </w:r>
    </w:p>
  </w:footnote>
  <w:footnote w:id="11">
    <w:p w14:paraId="30E32E1B" w14:textId="77777777" w:rsidR="00802DB3" w:rsidRDefault="00802DB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Visible en: </w:t>
      </w:r>
      <w:hyperlink r:id="rId1">
        <w:r>
          <w:rPr>
            <w:rFonts w:ascii="Calibri" w:eastAsia="Calibri" w:hAnsi="Calibri" w:cs="Calibri"/>
            <w:color w:val="035899"/>
            <w:sz w:val="20"/>
            <w:szCs w:val="20"/>
          </w:rPr>
          <w:t>https://legislacion.edomex.gob.mx/sites/legislacion.edomex.gob.mx/files/files/pdf/gct/2022/octubre/oct101/oct101b.pdf</w:t>
        </w:r>
      </w:hyperlink>
      <w:r>
        <w:rPr>
          <w:rFonts w:ascii="Calibri" w:eastAsia="Calibri" w:hAnsi="Calibri" w:cs="Calibri"/>
          <w:color w:val="000000"/>
          <w:sz w:val="20"/>
          <w:szCs w:val="20"/>
        </w:rPr>
        <w:t xml:space="preserve"> </w:t>
      </w:r>
    </w:p>
  </w:footnote>
  <w:footnote w:id="12">
    <w:p w14:paraId="166C8ADE" w14:textId="77777777" w:rsidR="00802DB3" w:rsidRDefault="00802DB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Consultable en: </w:t>
      </w:r>
      <w:hyperlink r:id="rId2">
        <w:r>
          <w:rPr>
            <w:rFonts w:ascii="Calibri" w:eastAsia="Calibri" w:hAnsi="Calibri" w:cs="Calibri"/>
            <w:color w:val="035899"/>
            <w:sz w:val="20"/>
            <w:szCs w:val="20"/>
          </w:rPr>
          <w:t>https://cultura.edomex.gob.mx/sites/cultura.edomex.gob.mx/files/files/transparencia/ManualGOSCyT.pdf</w:t>
        </w:r>
      </w:hyperlink>
      <w:r>
        <w:rPr>
          <w:rFonts w:ascii="Calibri" w:eastAsia="Calibri" w:hAnsi="Calibri" w:cs="Calibri"/>
          <w:color w:val="000000"/>
          <w:sz w:val="20"/>
          <w:szCs w:val="20"/>
        </w:rPr>
        <w:t xml:space="preserve"> </w:t>
      </w:r>
    </w:p>
  </w:footnote>
  <w:footnote w:id="13">
    <w:p w14:paraId="5D181DF2" w14:textId="77777777" w:rsidR="00802DB3" w:rsidRDefault="00802DB3">
      <w:pPr>
        <w:jc w:val="both"/>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Artículo 150 de la Ley de Transparencia y Acceso a la Información Pública del Estado de México y Municipios</w:t>
      </w:r>
    </w:p>
  </w:footnote>
  <w:footnote w:id="14">
    <w:p w14:paraId="0141A8B5" w14:textId="77777777" w:rsidR="00802DB3" w:rsidRDefault="00802DB3">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 w:id="15">
    <w:p w14:paraId="4EF1C86C" w14:textId="77777777" w:rsidR="00802DB3" w:rsidRDefault="00802DB3">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hyperlink r:id="rId3">
        <w:r>
          <w:rPr>
            <w:rFonts w:ascii="Calibri" w:eastAsia="Calibri" w:hAnsi="Calibri" w:cs="Calibri"/>
            <w:color w:val="035899"/>
            <w:sz w:val="20"/>
            <w:szCs w:val="20"/>
          </w:rPr>
          <w:t>https://normatecainterna.edugem.gob.mx/verdocumento.action?IDOCUMENTO=MANU_033.PDF</w:t>
        </w:r>
      </w:hyperlink>
    </w:p>
    <w:p w14:paraId="2CA2B892" w14:textId="77777777" w:rsidR="00802DB3" w:rsidRDefault="00802DB3">
      <w:pPr>
        <w:pBdr>
          <w:top w:val="nil"/>
          <w:left w:val="nil"/>
          <w:bottom w:val="nil"/>
          <w:right w:val="nil"/>
          <w:between w:val="nil"/>
        </w:pBdr>
        <w:rPr>
          <w:rFonts w:ascii="Calibri" w:eastAsia="Calibri" w:hAnsi="Calibri" w:cs="Calibri"/>
          <w:color w:val="000000"/>
          <w:sz w:val="20"/>
          <w:szCs w:val="20"/>
        </w:rPr>
      </w:pPr>
    </w:p>
  </w:footnote>
  <w:footnote w:id="16">
    <w:p w14:paraId="1973B54C" w14:textId="3CD8C035" w:rsidR="00802DB3" w:rsidRPr="00A77541" w:rsidRDefault="00802DB3" w:rsidP="00A77541">
      <w:pPr>
        <w:pStyle w:val="Textonotapie"/>
        <w:jc w:val="both"/>
        <w:rPr>
          <w:rFonts w:ascii="Palatino Linotype" w:hAnsi="Palatino Linotype"/>
          <w:sz w:val="16"/>
          <w:szCs w:val="16"/>
        </w:rPr>
      </w:pPr>
      <w:r w:rsidRPr="00A77541">
        <w:rPr>
          <w:rStyle w:val="Refdenotaalpie"/>
          <w:rFonts w:ascii="Palatino Linotype" w:hAnsi="Palatino Linotype"/>
          <w:sz w:val="16"/>
          <w:szCs w:val="16"/>
        </w:rPr>
        <w:footnoteRef/>
      </w:r>
      <w:r w:rsidRPr="00A77541">
        <w:rPr>
          <w:rFonts w:ascii="Palatino Linotype" w:hAnsi="Palatino Linotype"/>
          <w:sz w:val="16"/>
          <w:szCs w:val="16"/>
        </w:rPr>
        <w:t xml:space="preserve"> 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17">
    <w:p w14:paraId="798F761A" w14:textId="77777777" w:rsidR="00802DB3" w:rsidRDefault="00802DB3">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Lineamientos expedidos el 15 de abril de 2016, por el Consejo Nacional del Sistema Nacional de Transparencia, Acceso a la Información Pública y Protección de Datos Personales, consultable en </w:t>
      </w:r>
      <w:hyperlink r:id="rId4" w:anchor="gsc.tab=0">
        <w:r>
          <w:rPr>
            <w:rFonts w:ascii="Palatino Linotype" w:eastAsia="Palatino Linotype" w:hAnsi="Palatino Linotype" w:cs="Palatino Linotype"/>
            <w:color w:val="035899"/>
            <w:sz w:val="16"/>
            <w:szCs w:val="16"/>
          </w:rPr>
          <w:t>https://www.dof.gob.mx/nota_detalle.php?codigo=5433280&amp;fecha=15/04/2016#gsc.tab=0</w:t>
        </w:r>
      </w:hyperlink>
      <w:r>
        <w:rPr>
          <w:rFonts w:ascii="Palatino Linotype" w:eastAsia="Palatino Linotype" w:hAnsi="Palatino Linotype" w:cs="Palatino Linotype"/>
          <w:color w:val="000000"/>
          <w:sz w:val="16"/>
          <w:szCs w:val="16"/>
        </w:rPr>
        <w:t xml:space="preserve">; modificados en cuanto a los artículos Sexagésimo segundo, Sexagésimo tercero y Quinto Transitorio el 29 de julio de 2016, visible </w:t>
      </w:r>
      <w:hyperlink r:id="rId5" w:anchor="gsc.tab=0">
        <w:r>
          <w:rPr>
            <w:rFonts w:ascii="Palatino Linotype" w:eastAsia="Palatino Linotype" w:hAnsi="Palatino Linotype" w:cs="Palatino Linotype"/>
            <w:color w:val="035899"/>
            <w:sz w:val="16"/>
            <w:szCs w:val="16"/>
          </w:rPr>
          <w:t>https://www.dof.gob.mx/nota_detalle.php?codigo=5446230&amp;fecha=29/07/2016#gsc.tab=0</w:t>
        </w:r>
      </w:hyperlink>
      <w:r>
        <w:rPr>
          <w:rFonts w:ascii="Palatino Linotype" w:eastAsia="Palatino Linotype" w:hAnsi="Palatino Linotype" w:cs="Palatino Linotype"/>
          <w:color w:val="000000"/>
          <w:sz w:val="16"/>
          <w:szCs w:val="16"/>
        </w:rPr>
        <w:t xml:space="preserve"> y, posteriormente el 18 de noviembre de 2022, se modificaron diversos numerales, entrando en vigor a partir del 17 de enero de 2023, consultable en </w:t>
      </w:r>
      <w:hyperlink r:id="rId6" w:anchor="gsc.tab=0">
        <w:r>
          <w:rPr>
            <w:rFonts w:ascii="Palatino Linotype" w:eastAsia="Palatino Linotype" w:hAnsi="Palatino Linotype" w:cs="Palatino Linotype"/>
            <w:color w:val="035899"/>
            <w:sz w:val="16"/>
            <w:szCs w:val="16"/>
          </w:rPr>
          <w:t>https://www.dof.gob.mx/nota_detalle.php?codigo=5671860&amp;fecha=18/11/2022#gsc.tab=0</w:t>
        </w:r>
      </w:hyperlink>
      <w:r>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29B3A" w14:textId="77777777" w:rsidR="00802DB3" w:rsidRDefault="00802DB3">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03AFBD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728;mso-position-horizontal:center;mso-position-horizontal-relative:margin;mso-position-vertical:center;mso-position-vertical-relative:margin">
          <v:imagedata r:id="rId1" o:title="image8"/>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1799A6" w14:textId="77777777" w:rsidR="00802DB3" w:rsidRDefault="00802DB3">
    <w:pPr>
      <w:widowControl w:val="0"/>
      <w:pBdr>
        <w:top w:val="nil"/>
        <w:left w:val="nil"/>
        <w:bottom w:val="nil"/>
        <w:right w:val="nil"/>
        <w:between w:val="nil"/>
      </w:pBdr>
      <w:spacing w:line="276" w:lineRule="auto"/>
      <w:rPr>
        <w:rFonts w:ascii="Calibri" w:eastAsia="Calibri" w:hAnsi="Calibri" w:cs="Calibri"/>
        <w:color w:val="000000"/>
        <w:sz w:val="20"/>
        <w:szCs w:val="20"/>
      </w:rPr>
    </w:pPr>
  </w:p>
  <w:tbl>
    <w:tblPr>
      <w:tblStyle w:val="aa"/>
      <w:tblW w:w="10490" w:type="dxa"/>
      <w:tblInd w:w="-1276" w:type="dxa"/>
      <w:tblLayout w:type="fixed"/>
      <w:tblLook w:val="0400" w:firstRow="0" w:lastRow="0" w:firstColumn="0" w:lastColumn="0" w:noHBand="0" w:noVBand="1"/>
    </w:tblPr>
    <w:tblGrid>
      <w:gridCol w:w="4253"/>
      <w:gridCol w:w="2552"/>
      <w:gridCol w:w="3685"/>
    </w:tblGrid>
    <w:tr w:rsidR="00802DB3" w14:paraId="1D09A198" w14:textId="77777777">
      <w:tc>
        <w:tcPr>
          <w:tcW w:w="4253" w:type="dxa"/>
          <w:vMerge w:val="restart"/>
          <w:shd w:val="clear" w:color="auto" w:fill="auto"/>
        </w:tcPr>
        <w:p w14:paraId="4A6E5BCE" w14:textId="77777777" w:rsidR="00802DB3" w:rsidRDefault="00802DB3">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07FC28C7" wp14:editId="6FB51CAD">
                <wp:extent cx="1692162" cy="852673"/>
                <wp:effectExtent l="0" t="0" r="0" b="0"/>
                <wp:docPr id="1856464801"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media"/>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06C4DA43"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48F5E972" w14:textId="77777777" w:rsidR="00802DB3" w:rsidRDefault="00802D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00207/INFOEM/IP/RR/2023 y acumulados.</w:t>
          </w:r>
        </w:p>
      </w:tc>
    </w:tr>
    <w:tr w:rsidR="00802DB3" w14:paraId="0C423E73" w14:textId="77777777">
      <w:tc>
        <w:tcPr>
          <w:tcW w:w="4253" w:type="dxa"/>
          <w:vMerge/>
          <w:shd w:val="clear" w:color="auto" w:fill="auto"/>
        </w:tcPr>
        <w:p w14:paraId="1588FC45" w14:textId="77777777" w:rsidR="00802DB3" w:rsidRDefault="00802DB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43429172"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6BD2ACF6" w14:textId="77777777" w:rsidR="00802DB3" w:rsidRDefault="00802DB3">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Secretaría de Cultura y Turismo</w:t>
          </w:r>
        </w:p>
      </w:tc>
    </w:tr>
    <w:tr w:rsidR="00802DB3" w14:paraId="23A4F186" w14:textId="77777777">
      <w:trPr>
        <w:trHeight w:val="228"/>
      </w:trPr>
      <w:tc>
        <w:tcPr>
          <w:tcW w:w="4253" w:type="dxa"/>
          <w:vMerge/>
          <w:shd w:val="clear" w:color="auto" w:fill="auto"/>
        </w:tcPr>
        <w:p w14:paraId="6462769A" w14:textId="77777777" w:rsidR="00802DB3" w:rsidRDefault="00802DB3">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52" w:type="dxa"/>
          <w:shd w:val="clear" w:color="auto" w:fill="auto"/>
        </w:tcPr>
        <w:p w14:paraId="306CCDF5"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59260BF1" w14:textId="77777777" w:rsidR="00802DB3" w:rsidRDefault="00802DB3">
          <w:pPr>
            <w:jc w:val="both"/>
          </w:pPr>
          <w:r>
            <w:rPr>
              <w:rFonts w:ascii="Palatino Linotype" w:eastAsia="Palatino Linotype" w:hAnsi="Palatino Linotype" w:cs="Palatino Linotype"/>
              <w:b/>
              <w:sz w:val="22"/>
              <w:szCs w:val="22"/>
            </w:rPr>
            <w:t>Sharon Cristina Morales Martínez</w:t>
          </w:r>
        </w:p>
      </w:tc>
    </w:tr>
    <w:tr w:rsidR="00802DB3" w14:paraId="48CD035A" w14:textId="77777777">
      <w:tc>
        <w:tcPr>
          <w:tcW w:w="4253" w:type="dxa"/>
          <w:vMerge/>
          <w:shd w:val="clear" w:color="auto" w:fill="auto"/>
        </w:tcPr>
        <w:p w14:paraId="09D25469" w14:textId="77777777" w:rsidR="00802DB3" w:rsidRDefault="00802DB3">
          <w:pPr>
            <w:widowControl w:val="0"/>
            <w:pBdr>
              <w:top w:val="nil"/>
              <w:left w:val="nil"/>
              <w:bottom w:val="nil"/>
              <w:right w:val="nil"/>
              <w:between w:val="nil"/>
            </w:pBdr>
            <w:spacing w:line="276" w:lineRule="auto"/>
          </w:pPr>
        </w:p>
      </w:tc>
      <w:tc>
        <w:tcPr>
          <w:tcW w:w="2552" w:type="dxa"/>
          <w:shd w:val="clear" w:color="auto" w:fill="auto"/>
        </w:tcPr>
        <w:p w14:paraId="64FCF27F" w14:textId="77777777" w:rsidR="00802DB3" w:rsidRDefault="00802DB3">
          <w:pPr>
            <w:rPr>
              <w:rFonts w:ascii="Palatino Linotype" w:eastAsia="Palatino Linotype" w:hAnsi="Palatino Linotype" w:cs="Palatino Linotype"/>
              <w:b/>
              <w:sz w:val="22"/>
              <w:szCs w:val="22"/>
            </w:rPr>
          </w:pPr>
        </w:p>
      </w:tc>
      <w:tc>
        <w:tcPr>
          <w:tcW w:w="3685" w:type="dxa"/>
          <w:shd w:val="clear" w:color="auto" w:fill="auto"/>
        </w:tcPr>
        <w:p w14:paraId="56EFCE5F" w14:textId="77777777" w:rsidR="00802DB3" w:rsidRDefault="00802DB3">
          <w:pPr>
            <w:jc w:val="both"/>
            <w:rPr>
              <w:rFonts w:ascii="Palatino Linotype" w:eastAsia="Palatino Linotype" w:hAnsi="Palatino Linotype" w:cs="Palatino Linotype"/>
              <w:b/>
              <w:sz w:val="22"/>
              <w:szCs w:val="22"/>
            </w:rPr>
          </w:pPr>
        </w:p>
      </w:tc>
    </w:tr>
  </w:tbl>
  <w:p w14:paraId="7C0682A9" w14:textId="77777777" w:rsidR="00802DB3" w:rsidRDefault="00802DB3">
    <w:pPr>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2"/>
        <w:szCs w:val="22"/>
      </w:rPr>
      <w:pict w14:anchorId="121A1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RESOLUCIÓN" style="position:absolute;margin-left:0;margin-top:0;width:540pt;height:10in;z-index:-251659776;mso-position-horizontal:center;mso-position-horizontal-relative:margin;mso-position-vertical:center;mso-position-vertical-relative:margin">
          <v:imagedata r:id="rId2" o:title="image8"/>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3189B" w14:textId="77777777" w:rsidR="00802DB3" w:rsidRDefault="00802DB3">
    <w:pPr>
      <w:widowControl w:val="0"/>
      <w:pBdr>
        <w:top w:val="nil"/>
        <w:left w:val="nil"/>
        <w:bottom w:val="nil"/>
        <w:right w:val="nil"/>
        <w:between w:val="nil"/>
      </w:pBdr>
      <w:spacing w:line="276" w:lineRule="auto"/>
      <w:rPr>
        <w:rFonts w:ascii="Cambria" w:eastAsia="Cambria" w:hAnsi="Cambria" w:cs="Cambria"/>
        <w:color w:val="000000"/>
      </w:rPr>
    </w:pPr>
  </w:p>
  <w:tbl>
    <w:tblPr>
      <w:tblStyle w:val="ab"/>
      <w:tblW w:w="10490" w:type="dxa"/>
      <w:tblInd w:w="-1276" w:type="dxa"/>
      <w:tblLayout w:type="fixed"/>
      <w:tblLook w:val="0400" w:firstRow="0" w:lastRow="0" w:firstColumn="0" w:lastColumn="0" w:noHBand="0" w:noVBand="1"/>
    </w:tblPr>
    <w:tblGrid>
      <w:gridCol w:w="4253"/>
      <w:gridCol w:w="2552"/>
      <w:gridCol w:w="3685"/>
    </w:tblGrid>
    <w:tr w:rsidR="00802DB3" w14:paraId="5C776292" w14:textId="77777777">
      <w:tc>
        <w:tcPr>
          <w:tcW w:w="4253" w:type="dxa"/>
          <w:vMerge w:val="restart"/>
          <w:shd w:val="clear" w:color="auto" w:fill="auto"/>
        </w:tcPr>
        <w:p w14:paraId="6483AC73" w14:textId="77777777" w:rsidR="00802DB3" w:rsidRDefault="00802DB3">
          <w:pPr>
            <w:ind w:left="1276"/>
            <w:rPr>
              <w:rFonts w:ascii="Palatino Linotype" w:eastAsia="Palatino Linotype" w:hAnsi="Palatino Linotype" w:cs="Palatino Linotype"/>
              <w:b/>
              <w:sz w:val="22"/>
              <w:szCs w:val="22"/>
            </w:rPr>
          </w:pPr>
          <w:r>
            <w:rPr>
              <w:rFonts w:ascii="Palatino Linotype" w:eastAsia="Palatino Linotype" w:hAnsi="Palatino Linotype" w:cs="Palatino Linotype"/>
              <w:noProof/>
              <w:sz w:val="28"/>
              <w:szCs w:val="28"/>
            </w:rPr>
            <w:drawing>
              <wp:inline distT="0" distB="0" distL="0" distR="0" wp14:anchorId="0DDE1DDF" wp14:editId="1D2CA0AC">
                <wp:extent cx="1692162" cy="852673"/>
                <wp:effectExtent l="0" t="0" r="0" b="0"/>
                <wp:docPr id="1856464803" name="image1.png" descr="Logotip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con confianza media"/>
                        <pic:cNvPicPr preferRelativeResize="0"/>
                      </pic:nvPicPr>
                      <pic:blipFill>
                        <a:blip r:embed="rId1"/>
                        <a:srcRect/>
                        <a:stretch>
                          <a:fillRect/>
                        </a:stretch>
                      </pic:blipFill>
                      <pic:spPr>
                        <a:xfrm>
                          <a:off x="0" y="0"/>
                          <a:ext cx="1692162" cy="852673"/>
                        </a:xfrm>
                        <a:prstGeom prst="rect">
                          <a:avLst/>
                        </a:prstGeom>
                        <a:ln/>
                      </pic:spPr>
                    </pic:pic>
                  </a:graphicData>
                </a:graphic>
              </wp:inline>
            </w:drawing>
          </w:r>
        </w:p>
      </w:tc>
      <w:tc>
        <w:tcPr>
          <w:tcW w:w="2552" w:type="dxa"/>
          <w:shd w:val="clear" w:color="auto" w:fill="auto"/>
        </w:tcPr>
        <w:p w14:paraId="2A7BB62F"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6708ECF5" w14:textId="77777777" w:rsidR="00802DB3" w:rsidRDefault="00802D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00207/INFOEM/IP/RR/2023 y acumulados.</w:t>
          </w:r>
        </w:p>
      </w:tc>
    </w:tr>
    <w:tr w:rsidR="00802DB3" w14:paraId="66DBCBFE" w14:textId="77777777">
      <w:tc>
        <w:tcPr>
          <w:tcW w:w="4253" w:type="dxa"/>
          <w:vMerge/>
          <w:shd w:val="clear" w:color="auto" w:fill="auto"/>
        </w:tcPr>
        <w:p w14:paraId="6B0D66A2" w14:textId="77777777" w:rsidR="00802DB3" w:rsidRDefault="00802DB3">
          <w:pPr>
            <w:widowControl w:val="0"/>
            <w:pBdr>
              <w:top w:val="nil"/>
              <w:left w:val="nil"/>
              <w:bottom w:val="nil"/>
              <w:right w:val="nil"/>
              <w:between w:val="nil"/>
            </w:pBdr>
            <w:spacing w:line="276" w:lineRule="auto"/>
            <w:rPr>
              <w:rFonts w:ascii="Palatino Linotype" w:eastAsia="Palatino Linotype" w:hAnsi="Palatino Linotype" w:cs="Palatino Linotype"/>
              <w:b/>
              <w:sz w:val="22"/>
              <w:szCs w:val="22"/>
            </w:rPr>
          </w:pPr>
        </w:p>
      </w:tc>
      <w:tc>
        <w:tcPr>
          <w:tcW w:w="2552" w:type="dxa"/>
          <w:shd w:val="clear" w:color="auto" w:fill="auto"/>
        </w:tcPr>
        <w:p w14:paraId="7C274EC2"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5" w:type="dxa"/>
          <w:shd w:val="clear" w:color="auto" w:fill="auto"/>
          <w:vAlign w:val="center"/>
        </w:tcPr>
        <w:p w14:paraId="0B0556B3" w14:textId="1DE179B1" w:rsidR="00802DB3" w:rsidRDefault="00802DB3">
          <w:pPr>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XXXX XXXXXXX XXXXXX</w:t>
          </w:r>
        </w:p>
      </w:tc>
    </w:tr>
    <w:tr w:rsidR="00802DB3" w14:paraId="0543C3EB" w14:textId="77777777">
      <w:trPr>
        <w:trHeight w:val="228"/>
      </w:trPr>
      <w:tc>
        <w:tcPr>
          <w:tcW w:w="4253" w:type="dxa"/>
          <w:vMerge/>
          <w:shd w:val="clear" w:color="auto" w:fill="auto"/>
        </w:tcPr>
        <w:p w14:paraId="192DCD9B" w14:textId="77777777" w:rsidR="00802DB3" w:rsidRDefault="00802DB3">
          <w:pPr>
            <w:widowControl w:val="0"/>
            <w:pBdr>
              <w:top w:val="nil"/>
              <w:left w:val="nil"/>
              <w:bottom w:val="nil"/>
              <w:right w:val="nil"/>
              <w:between w:val="nil"/>
            </w:pBdr>
            <w:spacing w:line="276" w:lineRule="auto"/>
            <w:rPr>
              <w:rFonts w:ascii="Palatino Linotype" w:eastAsia="Palatino Linotype" w:hAnsi="Palatino Linotype" w:cs="Palatino Linotype"/>
              <w:b/>
              <w:i/>
              <w:sz w:val="22"/>
              <w:szCs w:val="22"/>
            </w:rPr>
          </w:pPr>
        </w:p>
      </w:tc>
      <w:tc>
        <w:tcPr>
          <w:tcW w:w="2552" w:type="dxa"/>
          <w:shd w:val="clear" w:color="auto" w:fill="auto"/>
        </w:tcPr>
        <w:p w14:paraId="0D35703B"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561F2E65" w14:textId="77777777" w:rsidR="00802DB3" w:rsidRDefault="00802DB3">
          <w:pPr>
            <w:jc w:val="both"/>
          </w:pPr>
          <w:r>
            <w:rPr>
              <w:rFonts w:ascii="Palatino Linotype" w:eastAsia="Palatino Linotype" w:hAnsi="Palatino Linotype" w:cs="Palatino Linotype"/>
              <w:b/>
              <w:sz w:val="22"/>
              <w:szCs w:val="22"/>
            </w:rPr>
            <w:t>Secretaría de Cultura y Turismo</w:t>
          </w:r>
        </w:p>
      </w:tc>
    </w:tr>
    <w:tr w:rsidR="00802DB3" w14:paraId="0030F557" w14:textId="77777777">
      <w:tc>
        <w:tcPr>
          <w:tcW w:w="4253" w:type="dxa"/>
          <w:vMerge/>
          <w:shd w:val="clear" w:color="auto" w:fill="auto"/>
        </w:tcPr>
        <w:p w14:paraId="13BFBF14" w14:textId="77777777" w:rsidR="00802DB3" w:rsidRDefault="00802DB3">
          <w:pPr>
            <w:widowControl w:val="0"/>
            <w:pBdr>
              <w:top w:val="nil"/>
              <w:left w:val="nil"/>
              <w:bottom w:val="nil"/>
              <w:right w:val="nil"/>
              <w:between w:val="nil"/>
            </w:pBdr>
            <w:spacing w:line="276" w:lineRule="auto"/>
          </w:pPr>
        </w:p>
      </w:tc>
      <w:tc>
        <w:tcPr>
          <w:tcW w:w="2552" w:type="dxa"/>
          <w:shd w:val="clear" w:color="auto" w:fill="auto"/>
        </w:tcPr>
        <w:p w14:paraId="3E12184A" w14:textId="77777777" w:rsidR="00802DB3" w:rsidRDefault="00802D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tcPr>
        <w:p w14:paraId="573AA74C" w14:textId="77777777" w:rsidR="00802DB3" w:rsidRDefault="00802DB3">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Sharon Cristina Morales Martínez</w:t>
          </w:r>
        </w:p>
      </w:tc>
    </w:tr>
  </w:tbl>
  <w:p w14:paraId="7140BF34" w14:textId="77777777" w:rsidR="00802DB3" w:rsidRDefault="00802DB3">
    <w:pPr>
      <w:rPr>
        <w:rFonts w:ascii="Palatino Linotype" w:eastAsia="Palatino Linotype" w:hAnsi="Palatino Linotype" w:cs="Palatino Linotype"/>
        <w:sz w:val="28"/>
        <w:szCs w:val="28"/>
      </w:rPr>
    </w:pPr>
    <w:r>
      <w:rPr>
        <w:rFonts w:ascii="Palatino Linotype" w:eastAsia="Palatino Linotype" w:hAnsi="Palatino Linotype" w:cs="Palatino Linotype"/>
        <w:sz w:val="22"/>
        <w:szCs w:val="22"/>
      </w:rPr>
      <w:pict w14:anchorId="541CA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RESOLUCIÓN" style="position:absolute;margin-left:0;margin-top:0;width:540pt;height:10in;z-index:-251658752;mso-position-horizontal:center;mso-position-horizontal-relative:margin;mso-position-vertical:center;mso-position-vertical-relative:margin">
          <v:imagedata r:id="rId2" o:title="image8"/>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0F3A"/>
    <w:multiLevelType w:val="multilevel"/>
    <w:tmpl w:val="A6B630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F56BDD"/>
    <w:multiLevelType w:val="multilevel"/>
    <w:tmpl w:val="795AF2F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054709"/>
    <w:multiLevelType w:val="multilevel"/>
    <w:tmpl w:val="E92AB2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7B724D"/>
    <w:multiLevelType w:val="multilevel"/>
    <w:tmpl w:val="7910B9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C4E063A"/>
    <w:multiLevelType w:val="multilevel"/>
    <w:tmpl w:val="FA6EDD9E"/>
    <w:lvl w:ilvl="0">
      <w:start w:val="3"/>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5" w15:restartNumberingAfterBreak="0">
    <w:nsid w:val="1F9B3CC3"/>
    <w:multiLevelType w:val="multilevel"/>
    <w:tmpl w:val="8A788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DB7AA1"/>
    <w:multiLevelType w:val="multilevel"/>
    <w:tmpl w:val="9E9EC5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8CD71ED"/>
    <w:multiLevelType w:val="multilevel"/>
    <w:tmpl w:val="D09099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E6A486B"/>
    <w:multiLevelType w:val="hybridMultilevel"/>
    <w:tmpl w:val="E642FEBC"/>
    <w:lvl w:ilvl="0" w:tplc="C3B6BB6E">
      <w:start w:val="1"/>
      <w:numFmt w:val="lowerLetter"/>
      <w:lvlText w:val="%1)"/>
      <w:lvlJc w:val="left"/>
      <w:pPr>
        <w:ind w:left="567" w:hanging="360"/>
      </w:pPr>
      <w:rPr>
        <w:rFonts w:hint="default"/>
      </w:rPr>
    </w:lvl>
    <w:lvl w:ilvl="1" w:tplc="080A0019" w:tentative="1">
      <w:start w:val="1"/>
      <w:numFmt w:val="lowerLetter"/>
      <w:lvlText w:val="%2."/>
      <w:lvlJc w:val="left"/>
      <w:pPr>
        <w:ind w:left="1287" w:hanging="360"/>
      </w:pPr>
    </w:lvl>
    <w:lvl w:ilvl="2" w:tplc="080A001B" w:tentative="1">
      <w:start w:val="1"/>
      <w:numFmt w:val="lowerRoman"/>
      <w:lvlText w:val="%3."/>
      <w:lvlJc w:val="right"/>
      <w:pPr>
        <w:ind w:left="2007" w:hanging="180"/>
      </w:pPr>
    </w:lvl>
    <w:lvl w:ilvl="3" w:tplc="080A000F" w:tentative="1">
      <w:start w:val="1"/>
      <w:numFmt w:val="decimal"/>
      <w:lvlText w:val="%4."/>
      <w:lvlJc w:val="left"/>
      <w:pPr>
        <w:ind w:left="2727" w:hanging="360"/>
      </w:pPr>
    </w:lvl>
    <w:lvl w:ilvl="4" w:tplc="080A0019" w:tentative="1">
      <w:start w:val="1"/>
      <w:numFmt w:val="lowerLetter"/>
      <w:lvlText w:val="%5."/>
      <w:lvlJc w:val="left"/>
      <w:pPr>
        <w:ind w:left="3447" w:hanging="360"/>
      </w:pPr>
    </w:lvl>
    <w:lvl w:ilvl="5" w:tplc="080A001B" w:tentative="1">
      <w:start w:val="1"/>
      <w:numFmt w:val="lowerRoman"/>
      <w:lvlText w:val="%6."/>
      <w:lvlJc w:val="right"/>
      <w:pPr>
        <w:ind w:left="4167" w:hanging="180"/>
      </w:pPr>
    </w:lvl>
    <w:lvl w:ilvl="6" w:tplc="080A000F" w:tentative="1">
      <w:start w:val="1"/>
      <w:numFmt w:val="decimal"/>
      <w:lvlText w:val="%7."/>
      <w:lvlJc w:val="left"/>
      <w:pPr>
        <w:ind w:left="4887" w:hanging="360"/>
      </w:pPr>
    </w:lvl>
    <w:lvl w:ilvl="7" w:tplc="080A0019" w:tentative="1">
      <w:start w:val="1"/>
      <w:numFmt w:val="lowerLetter"/>
      <w:lvlText w:val="%8."/>
      <w:lvlJc w:val="left"/>
      <w:pPr>
        <w:ind w:left="5607" w:hanging="360"/>
      </w:pPr>
    </w:lvl>
    <w:lvl w:ilvl="8" w:tplc="080A001B" w:tentative="1">
      <w:start w:val="1"/>
      <w:numFmt w:val="lowerRoman"/>
      <w:lvlText w:val="%9."/>
      <w:lvlJc w:val="right"/>
      <w:pPr>
        <w:ind w:left="6327" w:hanging="180"/>
      </w:pPr>
    </w:lvl>
  </w:abstractNum>
  <w:abstractNum w:abstractNumId="9" w15:restartNumberingAfterBreak="0">
    <w:nsid w:val="37E21035"/>
    <w:multiLevelType w:val="multilevel"/>
    <w:tmpl w:val="C7EAF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7871FE"/>
    <w:multiLevelType w:val="multilevel"/>
    <w:tmpl w:val="FAE0F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C8459A"/>
    <w:multiLevelType w:val="hybridMultilevel"/>
    <w:tmpl w:val="8DE400DE"/>
    <w:lvl w:ilvl="0" w:tplc="DDDAA8A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452C6ABF"/>
    <w:multiLevelType w:val="hybridMultilevel"/>
    <w:tmpl w:val="27B816D0"/>
    <w:lvl w:ilvl="0" w:tplc="865868AC">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3" w15:restartNumberingAfterBreak="0">
    <w:nsid w:val="531B6B93"/>
    <w:multiLevelType w:val="multilevel"/>
    <w:tmpl w:val="794A7F9C"/>
    <w:lvl w:ilvl="0">
      <w:start w:val="1"/>
      <w:numFmt w:val="lowerLetter"/>
      <w:pStyle w:val="Listaconvietas3"/>
      <w:lvlText w:val="%1)"/>
      <w:lvlJc w:val="left"/>
      <w:pPr>
        <w:ind w:left="360" w:hanging="360"/>
      </w:pPr>
      <w:rPr>
        <w:rFonts w:ascii="Palatino Linotype" w:eastAsia="Palatino Linotype" w:hAnsi="Palatino Linotype" w:cs="Palatino Linotype"/>
      </w:rPr>
    </w:lvl>
    <w:lvl w:ilvl="1">
      <w:start w:val="1"/>
      <w:numFmt w:val="decimal"/>
      <w:lvlText w:val="o"/>
      <w:lvlJc w:val="left"/>
      <w:pPr>
        <w:ind w:left="1080" w:hanging="360"/>
      </w:pPr>
      <w:rPr>
        <w:rFonts w:ascii="Courier New" w:eastAsia="Courier New" w:hAnsi="Courier New" w:cs="Courier New"/>
      </w:rPr>
    </w:lvl>
    <w:lvl w:ilvl="2">
      <w:start w:val="1"/>
      <w:numFmt w:val="decimal"/>
      <w:lvlText w:val=""/>
      <w:lvlJc w:val="left"/>
      <w:pPr>
        <w:ind w:left="1800" w:hanging="360"/>
      </w:pPr>
      <w:rPr>
        <w:rFonts w:ascii="Noto Sans Symbols" w:eastAsia="Noto Sans Symbols" w:hAnsi="Noto Sans Symbols" w:cs="Noto Sans Symbols"/>
      </w:rPr>
    </w:lvl>
    <w:lvl w:ilvl="3">
      <w:start w:val="1"/>
      <w:numFmt w:val="decimal"/>
      <w:lvlText w:val=""/>
      <w:lvlJc w:val="left"/>
      <w:pPr>
        <w:ind w:left="2520" w:hanging="360"/>
      </w:pPr>
      <w:rPr>
        <w:rFonts w:ascii="Noto Sans Symbols" w:eastAsia="Noto Sans Symbols" w:hAnsi="Noto Sans Symbols" w:cs="Noto Sans Symbols"/>
      </w:rPr>
    </w:lvl>
    <w:lvl w:ilvl="4">
      <w:start w:val="1"/>
      <w:numFmt w:val="decimal"/>
      <w:lvlText w:val="o"/>
      <w:lvlJc w:val="left"/>
      <w:pPr>
        <w:ind w:left="3240" w:hanging="360"/>
      </w:pPr>
      <w:rPr>
        <w:rFonts w:ascii="Courier New" w:eastAsia="Courier New" w:hAnsi="Courier New" w:cs="Courier New"/>
      </w:rPr>
    </w:lvl>
    <w:lvl w:ilvl="5">
      <w:start w:val="1"/>
      <w:numFmt w:val="decimal"/>
      <w:lvlText w:val=""/>
      <w:lvlJc w:val="left"/>
      <w:pPr>
        <w:ind w:left="3960" w:hanging="360"/>
      </w:pPr>
      <w:rPr>
        <w:rFonts w:ascii="Noto Sans Symbols" w:eastAsia="Noto Sans Symbols" w:hAnsi="Noto Sans Symbols" w:cs="Noto Sans Symbols"/>
      </w:rPr>
    </w:lvl>
    <w:lvl w:ilvl="6">
      <w:start w:val="1"/>
      <w:numFmt w:val="decimal"/>
      <w:lvlText w:val=""/>
      <w:lvlJc w:val="left"/>
      <w:pPr>
        <w:ind w:left="4680" w:hanging="360"/>
      </w:pPr>
      <w:rPr>
        <w:rFonts w:ascii="Noto Sans Symbols" w:eastAsia="Noto Sans Symbols" w:hAnsi="Noto Sans Symbols" w:cs="Noto Sans Symbols"/>
      </w:rPr>
    </w:lvl>
    <w:lvl w:ilvl="7">
      <w:start w:val="1"/>
      <w:numFmt w:val="decimal"/>
      <w:lvlText w:val="o"/>
      <w:lvlJc w:val="left"/>
      <w:pPr>
        <w:ind w:left="5400" w:hanging="360"/>
      </w:pPr>
      <w:rPr>
        <w:rFonts w:ascii="Courier New" w:eastAsia="Courier New" w:hAnsi="Courier New" w:cs="Courier New"/>
      </w:rPr>
    </w:lvl>
    <w:lvl w:ilvl="8">
      <w:start w:val="1"/>
      <w:numFmt w:val="decimal"/>
      <w:lvlText w:val=""/>
      <w:lvlJc w:val="left"/>
      <w:pPr>
        <w:ind w:left="6120" w:hanging="360"/>
      </w:pPr>
      <w:rPr>
        <w:rFonts w:ascii="Noto Sans Symbols" w:eastAsia="Noto Sans Symbols" w:hAnsi="Noto Sans Symbols" w:cs="Noto Sans Symbols"/>
      </w:rPr>
    </w:lvl>
  </w:abstractNum>
  <w:abstractNum w:abstractNumId="14" w15:restartNumberingAfterBreak="0">
    <w:nsid w:val="55740977"/>
    <w:multiLevelType w:val="hybridMultilevel"/>
    <w:tmpl w:val="F3324C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5A5AEB"/>
    <w:multiLevelType w:val="multilevel"/>
    <w:tmpl w:val="6AE67DFE"/>
    <w:lvl w:ilvl="0">
      <w:start w:val="1"/>
      <w:numFmt w:val="lowerLetter"/>
      <w:lvlText w:val="%1)"/>
      <w:lvlJc w:val="left"/>
      <w:pPr>
        <w:ind w:left="927" w:hanging="360"/>
      </w:pPr>
    </w:lvl>
    <w:lvl w:ilvl="1">
      <w:start w:val="1"/>
      <w:numFmt w:val="lowerLetter"/>
      <w:lvlText w:val="%2)"/>
      <w:lvlJc w:val="left"/>
      <w:pPr>
        <w:ind w:left="1211" w:hanging="360"/>
      </w:pPr>
      <w:rPr>
        <w:b/>
      </w:rPr>
    </w:lvl>
    <w:lvl w:ilvl="2">
      <w:start w:val="1"/>
      <w:numFmt w:val="lowerRoman"/>
      <w:lvlText w:val="%3."/>
      <w:lvlJc w:val="right"/>
      <w:pPr>
        <w:ind w:left="2367" w:hanging="180"/>
      </w:pPr>
    </w:lvl>
    <w:lvl w:ilvl="3">
      <w:start w:val="1"/>
      <w:numFmt w:val="decimal"/>
      <w:lvlText w:val="%4."/>
      <w:lvlJc w:val="left"/>
      <w:pPr>
        <w:ind w:left="3087" w:hanging="360"/>
      </w:pPr>
      <w:rPr>
        <w:b/>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6" w15:restartNumberingAfterBreak="0">
    <w:nsid w:val="62E64BCA"/>
    <w:multiLevelType w:val="multilevel"/>
    <w:tmpl w:val="AC0014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1"/>
  </w:num>
  <w:num w:numId="3">
    <w:abstractNumId w:val="13"/>
  </w:num>
  <w:num w:numId="4">
    <w:abstractNumId w:val="3"/>
  </w:num>
  <w:num w:numId="5">
    <w:abstractNumId w:val="2"/>
  </w:num>
  <w:num w:numId="6">
    <w:abstractNumId w:val="6"/>
  </w:num>
  <w:num w:numId="7">
    <w:abstractNumId w:val="10"/>
  </w:num>
  <w:num w:numId="8">
    <w:abstractNumId w:val="0"/>
  </w:num>
  <w:num w:numId="9">
    <w:abstractNumId w:val="9"/>
  </w:num>
  <w:num w:numId="10">
    <w:abstractNumId w:val="7"/>
  </w:num>
  <w:num w:numId="11">
    <w:abstractNumId w:val="16"/>
  </w:num>
  <w:num w:numId="12">
    <w:abstractNumId w:val="5"/>
  </w:num>
  <w:num w:numId="13">
    <w:abstractNumId w:val="4"/>
  </w:num>
  <w:num w:numId="14">
    <w:abstractNumId w:val="8"/>
  </w:num>
  <w:num w:numId="15">
    <w:abstractNumId w:val="12"/>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693"/>
    <w:rsid w:val="000410AA"/>
    <w:rsid w:val="00072693"/>
    <w:rsid w:val="000A6EBF"/>
    <w:rsid w:val="000C77FA"/>
    <w:rsid w:val="00186FDD"/>
    <w:rsid w:val="001A5532"/>
    <w:rsid w:val="001C4B8F"/>
    <w:rsid w:val="001E313F"/>
    <w:rsid w:val="00204000"/>
    <w:rsid w:val="002C1F92"/>
    <w:rsid w:val="002D6317"/>
    <w:rsid w:val="0032559A"/>
    <w:rsid w:val="003E592F"/>
    <w:rsid w:val="003F3826"/>
    <w:rsid w:val="00461435"/>
    <w:rsid w:val="004744AB"/>
    <w:rsid w:val="00484BA3"/>
    <w:rsid w:val="004A3DAC"/>
    <w:rsid w:val="00520394"/>
    <w:rsid w:val="00527F85"/>
    <w:rsid w:val="005715BF"/>
    <w:rsid w:val="0058224A"/>
    <w:rsid w:val="00590865"/>
    <w:rsid w:val="005B6C4C"/>
    <w:rsid w:val="005E776D"/>
    <w:rsid w:val="00664F53"/>
    <w:rsid w:val="00666B4D"/>
    <w:rsid w:val="0067052C"/>
    <w:rsid w:val="006828EE"/>
    <w:rsid w:val="006B6381"/>
    <w:rsid w:val="006E0777"/>
    <w:rsid w:val="007D078D"/>
    <w:rsid w:val="00802DB3"/>
    <w:rsid w:val="00870CC7"/>
    <w:rsid w:val="0088403D"/>
    <w:rsid w:val="00900360"/>
    <w:rsid w:val="00946BA6"/>
    <w:rsid w:val="009622EB"/>
    <w:rsid w:val="009C0436"/>
    <w:rsid w:val="00A752BA"/>
    <w:rsid w:val="00A77541"/>
    <w:rsid w:val="00A80BE8"/>
    <w:rsid w:val="00A8639B"/>
    <w:rsid w:val="00AB772F"/>
    <w:rsid w:val="00B201B2"/>
    <w:rsid w:val="00BA3A71"/>
    <w:rsid w:val="00C22494"/>
    <w:rsid w:val="00CD0658"/>
    <w:rsid w:val="00CD649D"/>
    <w:rsid w:val="00D31FC3"/>
    <w:rsid w:val="00E01669"/>
    <w:rsid w:val="00EB3F9F"/>
    <w:rsid w:val="00ED7EE2"/>
    <w:rsid w:val="00EE4E26"/>
    <w:rsid w:val="00F55BD7"/>
    <w:rsid w:val="00F63D75"/>
    <w:rsid w:val="00F97FE5"/>
    <w:rsid w:val="00FB7F5D"/>
    <w:rsid w:val="00FE46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BB53E1"/>
  <w15:docId w15:val="{5100D56B-15F6-4575-B436-9C9BE45F6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78D"/>
  </w:style>
  <w:style w:type="paragraph" w:styleId="Ttulo1">
    <w:name w:val="heading 1"/>
    <w:basedOn w:val="Normal"/>
    <w:next w:val="Normal"/>
    <w:link w:val="Ttulo1Car"/>
    <w:uiPriority w:val="9"/>
    <w:qFormat/>
    <w:rsid w:val="00FE36D5"/>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semiHidden/>
    <w:unhideWhenUsed/>
    <w:qFormat/>
    <w:rsid w:val="00FE36D5"/>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FE36D5"/>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FE36D5"/>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FE36D5"/>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FE36D5"/>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link w:val="PuestoCar"/>
    <w:uiPriority w:val="10"/>
    <w:qFormat/>
    <w:rsid w:val="00FE36D5"/>
    <w:pPr>
      <w:keepNext/>
      <w:keepLines/>
      <w:spacing w:before="480" w:after="120"/>
    </w:pPr>
    <w:rPr>
      <w:b/>
      <w:sz w:val="72"/>
      <w:szCs w:val="72"/>
    </w:rPr>
  </w:style>
  <w:style w:type="character" w:customStyle="1" w:styleId="Ttulo1Car">
    <w:name w:val="Título 1 Car"/>
    <w:basedOn w:val="Fuentedeprrafopredeter"/>
    <w:link w:val="Ttulo1"/>
    <w:uiPriority w:val="9"/>
    <w:rsid w:val="00FE36D5"/>
    <w:rPr>
      <w:rFonts w:asciiTheme="majorHAnsi" w:eastAsiaTheme="majorEastAsia" w:hAnsiTheme="majorHAnsi" w:cstheme="majorBidi"/>
      <w:color w:val="2E74B5" w:themeColor="accent1" w:themeShade="BF"/>
      <w:sz w:val="32"/>
      <w:szCs w:val="32"/>
      <w:lang w:val="es-ES" w:eastAsia="es-MX"/>
    </w:rPr>
  </w:style>
  <w:style w:type="character" w:customStyle="1" w:styleId="Ttulo2Car">
    <w:name w:val="Título 2 Car"/>
    <w:basedOn w:val="Fuentedeprrafopredeter"/>
    <w:link w:val="Ttulo2"/>
    <w:uiPriority w:val="9"/>
    <w:semiHidden/>
    <w:rsid w:val="00FE36D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FE36D5"/>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FE36D5"/>
    <w:rPr>
      <w:rFonts w:asciiTheme="majorHAnsi" w:eastAsiaTheme="majorEastAsia" w:hAnsiTheme="majorHAnsi" w:cstheme="majorBidi"/>
      <w:i/>
      <w:iCs/>
      <w:color w:val="2E74B5" w:themeColor="accent1" w:themeShade="BF"/>
      <w:sz w:val="24"/>
      <w:szCs w:val="24"/>
      <w:lang w:val="es-ES" w:eastAsia="es-MX"/>
    </w:rPr>
  </w:style>
  <w:style w:type="character" w:customStyle="1" w:styleId="Ttulo5Car">
    <w:name w:val="Título 5 Car"/>
    <w:basedOn w:val="Fuentedeprrafopredeter"/>
    <w:link w:val="Ttulo5"/>
    <w:uiPriority w:val="9"/>
    <w:semiHidden/>
    <w:rsid w:val="00FE36D5"/>
    <w:rPr>
      <w:rFonts w:asciiTheme="majorHAnsi" w:eastAsiaTheme="majorEastAsia" w:hAnsiTheme="majorHAnsi" w:cstheme="majorBidi"/>
      <w:color w:val="2E74B5" w:themeColor="accent1" w:themeShade="BF"/>
      <w:sz w:val="24"/>
      <w:szCs w:val="24"/>
      <w:lang w:val="es-ES" w:eastAsia="es-MX"/>
    </w:rPr>
  </w:style>
  <w:style w:type="character" w:customStyle="1" w:styleId="Ttulo6Car">
    <w:name w:val="Título 6 Car"/>
    <w:basedOn w:val="Fuentedeprrafopredeter"/>
    <w:link w:val="Ttulo6"/>
    <w:uiPriority w:val="9"/>
    <w:semiHidden/>
    <w:rsid w:val="00FE36D5"/>
    <w:rPr>
      <w:rFonts w:asciiTheme="majorHAnsi" w:eastAsiaTheme="majorEastAsia" w:hAnsiTheme="majorHAnsi" w:cstheme="majorBidi"/>
      <w:color w:val="1F4D78" w:themeColor="accent1" w:themeShade="7F"/>
      <w:sz w:val="24"/>
      <w:szCs w:val="24"/>
      <w:lang w:val="es-ES" w:eastAsia="es-MX"/>
    </w:rPr>
  </w:style>
  <w:style w:type="table" w:customStyle="1" w:styleId="TableNormal0">
    <w:name w:val="Table Normal"/>
    <w:rsid w:val="00FE36D5"/>
    <w:tblPr>
      <w:tblCellMar>
        <w:top w:w="0" w:type="dxa"/>
        <w:left w:w="0" w:type="dxa"/>
        <w:bottom w:w="0" w:type="dxa"/>
        <w:right w:w="0" w:type="dxa"/>
      </w:tblCellMar>
    </w:tblPr>
  </w:style>
  <w:style w:type="character" w:customStyle="1" w:styleId="PuestoCar">
    <w:name w:val="Puesto Car"/>
    <w:basedOn w:val="Fuentedeprrafopredeter"/>
    <w:link w:val="Puesto"/>
    <w:uiPriority w:val="10"/>
    <w:rsid w:val="00FE36D5"/>
    <w:rPr>
      <w:rFonts w:ascii="Times New Roman" w:eastAsia="Times New Roman" w:hAnsi="Times New Roman" w:cs="Times New Roman"/>
      <w:b/>
      <w:sz w:val="72"/>
      <w:szCs w:val="72"/>
      <w:lang w:eastAsia="es-MX"/>
    </w:rPr>
  </w:style>
  <w:style w:type="table" w:customStyle="1" w:styleId="TableNormal56">
    <w:name w:val="Table Normal56"/>
    <w:rsid w:val="00FE36D5"/>
    <w:tblPr>
      <w:tblCellMar>
        <w:top w:w="0" w:type="dxa"/>
        <w:left w:w="0" w:type="dxa"/>
        <w:bottom w:w="0" w:type="dxa"/>
        <w:right w:w="0" w:type="dxa"/>
      </w:tblCellMar>
    </w:tblPr>
  </w:style>
  <w:style w:type="table" w:customStyle="1" w:styleId="TableNormal55">
    <w:name w:val="Table Normal55"/>
    <w:rsid w:val="00FE36D5"/>
    <w:tblPr>
      <w:tblCellMar>
        <w:top w:w="0" w:type="dxa"/>
        <w:left w:w="0" w:type="dxa"/>
        <w:bottom w:w="0" w:type="dxa"/>
        <w:right w:w="0" w:type="dxa"/>
      </w:tblCellMar>
    </w:tblPr>
  </w:style>
  <w:style w:type="table" w:customStyle="1" w:styleId="TableNormal54">
    <w:name w:val="Table Normal54"/>
    <w:rsid w:val="00FE36D5"/>
    <w:tblPr>
      <w:tblCellMar>
        <w:top w:w="0" w:type="dxa"/>
        <w:left w:w="0" w:type="dxa"/>
        <w:bottom w:w="0" w:type="dxa"/>
        <w:right w:w="0" w:type="dxa"/>
      </w:tblCellMar>
    </w:tblPr>
  </w:style>
  <w:style w:type="table" w:customStyle="1" w:styleId="TableNormal53">
    <w:name w:val="Table Normal53"/>
    <w:rsid w:val="00FE36D5"/>
    <w:tblPr>
      <w:tblCellMar>
        <w:top w:w="0" w:type="dxa"/>
        <w:left w:w="0" w:type="dxa"/>
        <w:bottom w:w="0" w:type="dxa"/>
        <w:right w:w="0" w:type="dxa"/>
      </w:tblCellMar>
    </w:tblPr>
  </w:style>
  <w:style w:type="table" w:customStyle="1" w:styleId="TableNormal52">
    <w:name w:val="Table Normal52"/>
    <w:rsid w:val="00FE36D5"/>
    <w:tblPr>
      <w:tblCellMar>
        <w:top w:w="0" w:type="dxa"/>
        <w:left w:w="0" w:type="dxa"/>
        <w:bottom w:w="0" w:type="dxa"/>
        <w:right w:w="0" w:type="dxa"/>
      </w:tblCellMar>
    </w:tblPr>
  </w:style>
  <w:style w:type="table" w:customStyle="1" w:styleId="TableNormal51">
    <w:name w:val="Table Normal51"/>
    <w:rsid w:val="00FE36D5"/>
    <w:tblPr>
      <w:tblCellMar>
        <w:top w:w="0" w:type="dxa"/>
        <w:left w:w="0" w:type="dxa"/>
        <w:bottom w:w="0" w:type="dxa"/>
        <w:right w:w="0" w:type="dxa"/>
      </w:tblCellMar>
    </w:tblPr>
  </w:style>
  <w:style w:type="table" w:customStyle="1" w:styleId="TableNormal50">
    <w:name w:val="Table Normal50"/>
    <w:rsid w:val="00FE36D5"/>
    <w:tblPr>
      <w:tblCellMar>
        <w:top w:w="0" w:type="dxa"/>
        <w:left w:w="0" w:type="dxa"/>
        <w:bottom w:w="0" w:type="dxa"/>
        <w:right w:w="0" w:type="dxa"/>
      </w:tblCellMar>
    </w:tblPr>
  </w:style>
  <w:style w:type="table" w:customStyle="1" w:styleId="TableNormal49">
    <w:name w:val="Table Normal49"/>
    <w:rsid w:val="00FE36D5"/>
    <w:tblPr>
      <w:tblCellMar>
        <w:top w:w="0" w:type="dxa"/>
        <w:left w:w="0" w:type="dxa"/>
        <w:bottom w:w="0" w:type="dxa"/>
        <w:right w:w="0" w:type="dxa"/>
      </w:tblCellMar>
    </w:tblPr>
  </w:style>
  <w:style w:type="table" w:customStyle="1" w:styleId="TableNormal48">
    <w:name w:val="Table Normal48"/>
    <w:rsid w:val="00FE36D5"/>
    <w:tblPr>
      <w:tblCellMar>
        <w:top w:w="0" w:type="dxa"/>
        <w:left w:w="0" w:type="dxa"/>
        <w:bottom w:w="0" w:type="dxa"/>
        <w:right w:w="0" w:type="dxa"/>
      </w:tblCellMar>
    </w:tblPr>
  </w:style>
  <w:style w:type="table" w:customStyle="1" w:styleId="TableNormal47">
    <w:name w:val="Table Normal47"/>
    <w:rsid w:val="00FE36D5"/>
    <w:tblPr>
      <w:tblCellMar>
        <w:top w:w="0" w:type="dxa"/>
        <w:left w:w="0" w:type="dxa"/>
        <w:bottom w:w="0" w:type="dxa"/>
        <w:right w:w="0" w:type="dxa"/>
      </w:tblCellMar>
    </w:tblPr>
  </w:style>
  <w:style w:type="table" w:customStyle="1" w:styleId="TableNormal46">
    <w:name w:val="Table Normal46"/>
    <w:rsid w:val="00FE36D5"/>
    <w:tblPr>
      <w:tblCellMar>
        <w:top w:w="0" w:type="dxa"/>
        <w:left w:w="0" w:type="dxa"/>
        <w:bottom w:w="0" w:type="dxa"/>
        <w:right w:w="0" w:type="dxa"/>
      </w:tblCellMar>
    </w:tblPr>
  </w:style>
  <w:style w:type="table" w:customStyle="1" w:styleId="TableNormal45">
    <w:name w:val="Table Normal45"/>
    <w:rsid w:val="00FE36D5"/>
    <w:tblPr>
      <w:tblCellMar>
        <w:top w:w="0" w:type="dxa"/>
        <w:left w:w="0" w:type="dxa"/>
        <w:bottom w:w="0" w:type="dxa"/>
        <w:right w:w="0" w:type="dxa"/>
      </w:tblCellMar>
    </w:tblPr>
  </w:style>
  <w:style w:type="table" w:customStyle="1" w:styleId="TableNormal44">
    <w:name w:val="Table Normal44"/>
    <w:rsid w:val="00FE36D5"/>
    <w:tblPr>
      <w:tblCellMar>
        <w:top w:w="0" w:type="dxa"/>
        <w:left w:w="0" w:type="dxa"/>
        <w:bottom w:w="0" w:type="dxa"/>
        <w:right w:w="0" w:type="dxa"/>
      </w:tblCellMar>
    </w:tblPr>
  </w:style>
  <w:style w:type="table" w:customStyle="1" w:styleId="TableNormal43">
    <w:name w:val="Table Normal43"/>
    <w:rsid w:val="00FE36D5"/>
    <w:tblPr>
      <w:tblCellMar>
        <w:top w:w="0" w:type="dxa"/>
        <w:left w:w="0" w:type="dxa"/>
        <w:bottom w:w="0" w:type="dxa"/>
        <w:right w:w="0" w:type="dxa"/>
      </w:tblCellMar>
    </w:tblPr>
  </w:style>
  <w:style w:type="table" w:customStyle="1" w:styleId="TableNormal42">
    <w:name w:val="Table Normal42"/>
    <w:rsid w:val="00FE36D5"/>
    <w:tblPr>
      <w:tblCellMar>
        <w:top w:w="0" w:type="dxa"/>
        <w:left w:w="0" w:type="dxa"/>
        <w:bottom w:w="0" w:type="dxa"/>
        <w:right w:w="0" w:type="dxa"/>
      </w:tblCellMar>
    </w:tblPr>
  </w:style>
  <w:style w:type="table" w:customStyle="1" w:styleId="TableNormal41">
    <w:name w:val="Table Normal41"/>
    <w:rsid w:val="00FE36D5"/>
    <w:tblPr>
      <w:tblCellMar>
        <w:top w:w="0" w:type="dxa"/>
        <w:left w:w="0" w:type="dxa"/>
        <w:bottom w:w="0" w:type="dxa"/>
        <w:right w:w="0" w:type="dxa"/>
      </w:tblCellMar>
    </w:tblPr>
  </w:style>
  <w:style w:type="table" w:customStyle="1" w:styleId="TableNormal40">
    <w:name w:val="Table Normal40"/>
    <w:rsid w:val="00FE36D5"/>
    <w:tblPr>
      <w:tblCellMar>
        <w:top w:w="0" w:type="dxa"/>
        <w:left w:w="0" w:type="dxa"/>
        <w:bottom w:w="0" w:type="dxa"/>
        <w:right w:w="0" w:type="dxa"/>
      </w:tblCellMar>
    </w:tblPr>
  </w:style>
  <w:style w:type="table" w:customStyle="1" w:styleId="TableNormal39">
    <w:name w:val="Table Normal39"/>
    <w:rsid w:val="00FE36D5"/>
    <w:tblPr>
      <w:tblCellMar>
        <w:top w:w="0" w:type="dxa"/>
        <w:left w:w="0" w:type="dxa"/>
        <w:bottom w:w="0" w:type="dxa"/>
        <w:right w:w="0" w:type="dxa"/>
      </w:tblCellMar>
    </w:tblPr>
  </w:style>
  <w:style w:type="table" w:customStyle="1" w:styleId="TableNormal38">
    <w:name w:val="Table Normal38"/>
    <w:rsid w:val="00FE36D5"/>
    <w:tblPr>
      <w:tblCellMar>
        <w:top w:w="0" w:type="dxa"/>
        <w:left w:w="0" w:type="dxa"/>
        <w:bottom w:w="0" w:type="dxa"/>
        <w:right w:w="0" w:type="dxa"/>
      </w:tblCellMar>
    </w:tblPr>
  </w:style>
  <w:style w:type="table" w:customStyle="1" w:styleId="TableNormal37">
    <w:name w:val="Table Normal37"/>
    <w:rsid w:val="00FE36D5"/>
    <w:tblPr>
      <w:tblCellMar>
        <w:top w:w="0" w:type="dxa"/>
        <w:left w:w="0" w:type="dxa"/>
        <w:bottom w:w="0" w:type="dxa"/>
        <w:right w:w="0" w:type="dxa"/>
      </w:tblCellMar>
    </w:tblPr>
  </w:style>
  <w:style w:type="table" w:customStyle="1" w:styleId="TableNormal36">
    <w:name w:val="Table Normal36"/>
    <w:rsid w:val="00FE36D5"/>
    <w:tblPr>
      <w:tblCellMar>
        <w:top w:w="0" w:type="dxa"/>
        <w:left w:w="0" w:type="dxa"/>
        <w:bottom w:w="0" w:type="dxa"/>
        <w:right w:w="0" w:type="dxa"/>
      </w:tblCellMar>
    </w:tblPr>
  </w:style>
  <w:style w:type="table" w:customStyle="1" w:styleId="TableNormal35">
    <w:name w:val="Table Normal35"/>
    <w:rsid w:val="00FE36D5"/>
    <w:tblPr>
      <w:tblCellMar>
        <w:top w:w="0" w:type="dxa"/>
        <w:left w:w="0" w:type="dxa"/>
        <w:bottom w:w="0" w:type="dxa"/>
        <w:right w:w="0" w:type="dxa"/>
      </w:tblCellMar>
    </w:tblPr>
  </w:style>
  <w:style w:type="table" w:customStyle="1" w:styleId="TableNormal34">
    <w:name w:val="Table Normal34"/>
    <w:rsid w:val="00FE36D5"/>
    <w:tblPr>
      <w:tblCellMar>
        <w:top w:w="0" w:type="dxa"/>
        <w:left w:w="0" w:type="dxa"/>
        <w:bottom w:w="0" w:type="dxa"/>
        <w:right w:w="0" w:type="dxa"/>
      </w:tblCellMar>
    </w:tblPr>
  </w:style>
  <w:style w:type="table" w:customStyle="1" w:styleId="TableNormal33">
    <w:name w:val="Table Normal33"/>
    <w:rsid w:val="00FE36D5"/>
    <w:tblPr>
      <w:tblCellMar>
        <w:top w:w="0" w:type="dxa"/>
        <w:left w:w="0" w:type="dxa"/>
        <w:bottom w:w="0" w:type="dxa"/>
        <w:right w:w="0" w:type="dxa"/>
      </w:tblCellMar>
    </w:tblPr>
  </w:style>
  <w:style w:type="table" w:customStyle="1" w:styleId="TableNormal32">
    <w:name w:val="Table Normal32"/>
    <w:rsid w:val="00FE36D5"/>
    <w:tblPr>
      <w:tblCellMar>
        <w:top w:w="0" w:type="dxa"/>
        <w:left w:w="0" w:type="dxa"/>
        <w:bottom w:w="0" w:type="dxa"/>
        <w:right w:w="0" w:type="dxa"/>
      </w:tblCellMar>
    </w:tblPr>
  </w:style>
  <w:style w:type="table" w:customStyle="1" w:styleId="TableNormal31">
    <w:name w:val="Table Normal31"/>
    <w:rsid w:val="00FE36D5"/>
    <w:tblPr>
      <w:tblCellMar>
        <w:top w:w="0" w:type="dxa"/>
        <w:left w:w="0" w:type="dxa"/>
        <w:bottom w:w="0" w:type="dxa"/>
        <w:right w:w="0" w:type="dxa"/>
      </w:tblCellMar>
    </w:tblPr>
  </w:style>
  <w:style w:type="table" w:customStyle="1" w:styleId="TableNormal30">
    <w:name w:val="Table Normal30"/>
    <w:rsid w:val="00FE36D5"/>
    <w:tblPr>
      <w:tblCellMar>
        <w:top w:w="0" w:type="dxa"/>
        <w:left w:w="0" w:type="dxa"/>
        <w:bottom w:w="0" w:type="dxa"/>
        <w:right w:w="0" w:type="dxa"/>
      </w:tblCellMar>
    </w:tblPr>
  </w:style>
  <w:style w:type="table" w:customStyle="1" w:styleId="TableNormal29">
    <w:name w:val="Table Normal29"/>
    <w:rsid w:val="00FE36D5"/>
    <w:tblPr>
      <w:tblCellMar>
        <w:top w:w="0" w:type="dxa"/>
        <w:left w:w="0" w:type="dxa"/>
        <w:bottom w:w="0" w:type="dxa"/>
        <w:right w:w="0" w:type="dxa"/>
      </w:tblCellMar>
    </w:tblPr>
  </w:style>
  <w:style w:type="table" w:customStyle="1" w:styleId="TableNormal28">
    <w:name w:val="Table Normal28"/>
    <w:rsid w:val="00FE36D5"/>
    <w:tblPr>
      <w:tblCellMar>
        <w:top w:w="0" w:type="dxa"/>
        <w:left w:w="0" w:type="dxa"/>
        <w:bottom w:w="0" w:type="dxa"/>
        <w:right w:w="0" w:type="dxa"/>
      </w:tblCellMar>
    </w:tblPr>
  </w:style>
  <w:style w:type="table" w:customStyle="1" w:styleId="TableNormal27">
    <w:name w:val="Table Normal27"/>
    <w:rsid w:val="00FE36D5"/>
    <w:tblPr>
      <w:tblCellMar>
        <w:top w:w="0" w:type="dxa"/>
        <w:left w:w="0" w:type="dxa"/>
        <w:bottom w:w="0" w:type="dxa"/>
        <w:right w:w="0" w:type="dxa"/>
      </w:tblCellMar>
    </w:tblPr>
  </w:style>
  <w:style w:type="table" w:customStyle="1" w:styleId="TableNormal26">
    <w:name w:val="Table Normal26"/>
    <w:rsid w:val="00FE36D5"/>
    <w:tblPr>
      <w:tblCellMar>
        <w:top w:w="0" w:type="dxa"/>
        <w:left w:w="0" w:type="dxa"/>
        <w:bottom w:w="0" w:type="dxa"/>
        <w:right w:w="0" w:type="dxa"/>
      </w:tblCellMar>
    </w:tblPr>
  </w:style>
  <w:style w:type="table" w:customStyle="1" w:styleId="TableNormal25">
    <w:name w:val="Table Normal25"/>
    <w:rsid w:val="00FE36D5"/>
    <w:tblPr>
      <w:tblCellMar>
        <w:top w:w="0" w:type="dxa"/>
        <w:left w:w="0" w:type="dxa"/>
        <w:bottom w:w="0" w:type="dxa"/>
        <w:right w:w="0" w:type="dxa"/>
      </w:tblCellMar>
    </w:tblPr>
  </w:style>
  <w:style w:type="table" w:customStyle="1" w:styleId="TableNormal24">
    <w:name w:val="Table Normal24"/>
    <w:rsid w:val="00FE36D5"/>
    <w:tblPr>
      <w:tblCellMar>
        <w:top w:w="0" w:type="dxa"/>
        <w:left w:w="0" w:type="dxa"/>
        <w:bottom w:w="0" w:type="dxa"/>
        <w:right w:w="0" w:type="dxa"/>
      </w:tblCellMar>
    </w:tblPr>
  </w:style>
  <w:style w:type="table" w:customStyle="1" w:styleId="TableNormal23">
    <w:name w:val="Table Normal23"/>
    <w:rsid w:val="00FE36D5"/>
    <w:tblPr>
      <w:tblCellMar>
        <w:top w:w="0" w:type="dxa"/>
        <w:left w:w="0" w:type="dxa"/>
        <w:bottom w:w="0" w:type="dxa"/>
        <w:right w:w="0" w:type="dxa"/>
      </w:tblCellMar>
    </w:tblPr>
  </w:style>
  <w:style w:type="table" w:customStyle="1" w:styleId="TableNormal22">
    <w:name w:val="Table Normal22"/>
    <w:rsid w:val="00FE36D5"/>
    <w:tblPr>
      <w:tblCellMar>
        <w:top w:w="0" w:type="dxa"/>
        <w:left w:w="0" w:type="dxa"/>
        <w:bottom w:w="0" w:type="dxa"/>
        <w:right w:w="0" w:type="dxa"/>
      </w:tblCellMar>
    </w:tblPr>
  </w:style>
  <w:style w:type="table" w:customStyle="1" w:styleId="TableNormal21">
    <w:name w:val="Table Normal21"/>
    <w:rsid w:val="00FE36D5"/>
    <w:tblPr>
      <w:tblCellMar>
        <w:top w:w="0" w:type="dxa"/>
        <w:left w:w="0" w:type="dxa"/>
        <w:bottom w:w="0" w:type="dxa"/>
        <w:right w:w="0" w:type="dxa"/>
      </w:tblCellMar>
    </w:tblPr>
  </w:style>
  <w:style w:type="table" w:customStyle="1" w:styleId="TableNormal20">
    <w:name w:val="Table Normal20"/>
    <w:rsid w:val="00FE36D5"/>
    <w:tblPr>
      <w:tblCellMar>
        <w:top w:w="0" w:type="dxa"/>
        <w:left w:w="0" w:type="dxa"/>
        <w:bottom w:w="0" w:type="dxa"/>
        <w:right w:w="0" w:type="dxa"/>
      </w:tblCellMar>
    </w:tblPr>
  </w:style>
  <w:style w:type="table" w:customStyle="1" w:styleId="TableNormal19">
    <w:name w:val="Table Normal19"/>
    <w:rsid w:val="00FE36D5"/>
    <w:tblPr>
      <w:tblCellMar>
        <w:top w:w="0" w:type="dxa"/>
        <w:left w:w="0" w:type="dxa"/>
        <w:bottom w:w="0" w:type="dxa"/>
        <w:right w:w="0" w:type="dxa"/>
      </w:tblCellMar>
    </w:tblPr>
  </w:style>
  <w:style w:type="table" w:customStyle="1" w:styleId="TableNormal18">
    <w:name w:val="Table Normal18"/>
    <w:rsid w:val="00FE36D5"/>
    <w:tblPr>
      <w:tblCellMar>
        <w:top w:w="0" w:type="dxa"/>
        <w:left w:w="0" w:type="dxa"/>
        <w:bottom w:w="0" w:type="dxa"/>
        <w:right w:w="0" w:type="dxa"/>
      </w:tblCellMar>
    </w:tblPr>
  </w:style>
  <w:style w:type="table" w:customStyle="1" w:styleId="TableNormal17">
    <w:name w:val="Table Normal17"/>
    <w:rsid w:val="00FE36D5"/>
    <w:tblPr>
      <w:tblCellMar>
        <w:top w:w="0" w:type="dxa"/>
        <w:left w:w="0" w:type="dxa"/>
        <w:bottom w:w="0" w:type="dxa"/>
        <w:right w:w="0" w:type="dxa"/>
      </w:tblCellMar>
    </w:tblPr>
  </w:style>
  <w:style w:type="table" w:customStyle="1" w:styleId="TableNormal16">
    <w:name w:val="Table Normal16"/>
    <w:rsid w:val="00FE36D5"/>
    <w:tblPr>
      <w:tblCellMar>
        <w:top w:w="0" w:type="dxa"/>
        <w:left w:w="0" w:type="dxa"/>
        <w:bottom w:w="0" w:type="dxa"/>
        <w:right w:w="0" w:type="dxa"/>
      </w:tblCellMar>
    </w:tblPr>
  </w:style>
  <w:style w:type="table" w:customStyle="1" w:styleId="TableNormal15">
    <w:name w:val="Table Normal15"/>
    <w:rsid w:val="00FE36D5"/>
    <w:tblPr>
      <w:tblCellMar>
        <w:top w:w="0" w:type="dxa"/>
        <w:left w:w="0" w:type="dxa"/>
        <w:bottom w:w="0" w:type="dxa"/>
        <w:right w:w="0" w:type="dxa"/>
      </w:tblCellMar>
    </w:tblPr>
  </w:style>
  <w:style w:type="table" w:customStyle="1" w:styleId="TableNormal14">
    <w:name w:val="Table Normal14"/>
    <w:rsid w:val="00FE36D5"/>
    <w:tblPr>
      <w:tblCellMar>
        <w:top w:w="0" w:type="dxa"/>
        <w:left w:w="0" w:type="dxa"/>
        <w:bottom w:w="0" w:type="dxa"/>
        <w:right w:w="0" w:type="dxa"/>
      </w:tblCellMar>
    </w:tblPr>
  </w:style>
  <w:style w:type="table" w:customStyle="1" w:styleId="TableNormal13">
    <w:name w:val="Table Normal13"/>
    <w:rsid w:val="00FE36D5"/>
    <w:tblPr>
      <w:tblCellMar>
        <w:top w:w="0" w:type="dxa"/>
        <w:left w:w="0" w:type="dxa"/>
        <w:bottom w:w="0" w:type="dxa"/>
        <w:right w:w="0" w:type="dxa"/>
      </w:tblCellMar>
    </w:tblPr>
  </w:style>
  <w:style w:type="table" w:customStyle="1" w:styleId="TableNormal12">
    <w:name w:val="Table Normal12"/>
    <w:rsid w:val="00FE36D5"/>
    <w:tblPr>
      <w:tblCellMar>
        <w:top w:w="0" w:type="dxa"/>
        <w:left w:w="0" w:type="dxa"/>
        <w:bottom w:w="0" w:type="dxa"/>
        <w:right w:w="0" w:type="dxa"/>
      </w:tblCellMar>
    </w:tblPr>
  </w:style>
  <w:style w:type="table" w:customStyle="1" w:styleId="TableNormal11">
    <w:name w:val="Table Normal11"/>
    <w:rsid w:val="00FE36D5"/>
    <w:tblPr>
      <w:tblCellMar>
        <w:top w:w="0" w:type="dxa"/>
        <w:left w:w="0" w:type="dxa"/>
        <w:bottom w:w="0" w:type="dxa"/>
        <w:right w:w="0" w:type="dxa"/>
      </w:tblCellMar>
    </w:tblPr>
  </w:style>
  <w:style w:type="table" w:customStyle="1" w:styleId="TableNormal10">
    <w:name w:val="Table Normal10"/>
    <w:rsid w:val="00FE36D5"/>
    <w:tblPr>
      <w:tblCellMar>
        <w:top w:w="0" w:type="dxa"/>
        <w:left w:w="0" w:type="dxa"/>
        <w:bottom w:w="0" w:type="dxa"/>
        <w:right w:w="0" w:type="dxa"/>
      </w:tblCellMar>
    </w:tblPr>
  </w:style>
  <w:style w:type="table" w:customStyle="1" w:styleId="TableNormal9">
    <w:name w:val="Table Normal9"/>
    <w:rsid w:val="00FE36D5"/>
    <w:tblPr>
      <w:tblCellMar>
        <w:top w:w="0" w:type="dxa"/>
        <w:left w:w="0" w:type="dxa"/>
        <w:bottom w:w="0" w:type="dxa"/>
        <w:right w:w="0" w:type="dxa"/>
      </w:tblCellMar>
    </w:tblPr>
  </w:style>
  <w:style w:type="table" w:customStyle="1" w:styleId="TableNormal8">
    <w:name w:val="Table Normal8"/>
    <w:rsid w:val="00FE36D5"/>
    <w:tblPr>
      <w:tblCellMar>
        <w:top w:w="0" w:type="dxa"/>
        <w:left w:w="0" w:type="dxa"/>
        <w:bottom w:w="0" w:type="dxa"/>
        <w:right w:w="0" w:type="dxa"/>
      </w:tblCellMar>
    </w:tblPr>
  </w:style>
  <w:style w:type="table" w:customStyle="1" w:styleId="TableNormal7">
    <w:name w:val="Table Normal7"/>
    <w:rsid w:val="00FE36D5"/>
    <w:tblPr>
      <w:tblCellMar>
        <w:top w:w="0" w:type="dxa"/>
        <w:left w:w="0" w:type="dxa"/>
        <w:bottom w:w="0" w:type="dxa"/>
        <w:right w:w="0" w:type="dxa"/>
      </w:tblCellMar>
    </w:tblPr>
  </w:style>
  <w:style w:type="table" w:customStyle="1" w:styleId="TableNormal6">
    <w:name w:val="Table Normal6"/>
    <w:rsid w:val="00FE36D5"/>
    <w:tblPr>
      <w:tblCellMar>
        <w:top w:w="0" w:type="dxa"/>
        <w:left w:w="0" w:type="dxa"/>
        <w:bottom w:w="0" w:type="dxa"/>
        <w:right w:w="0" w:type="dxa"/>
      </w:tblCellMar>
    </w:tblPr>
  </w:style>
  <w:style w:type="table" w:customStyle="1" w:styleId="TableNormal5">
    <w:name w:val="Table Normal5"/>
    <w:rsid w:val="00FE36D5"/>
    <w:tblPr>
      <w:tblCellMar>
        <w:top w:w="0" w:type="dxa"/>
        <w:left w:w="0" w:type="dxa"/>
        <w:bottom w:w="0" w:type="dxa"/>
        <w:right w:w="0" w:type="dxa"/>
      </w:tblCellMar>
    </w:tblPr>
  </w:style>
  <w:style w:type="table" w:customStyle="1" w:styleId="TableNormal4">
    <w:name w:val="Table Normal4"/>
    <w:rsid w:val="00FE36D5"/>
    <w:tblPr>
      <w:tblCellMar>
        <w:top w:w="0" w:type="dxa"/>
        <w:left w:w="0" w:type="dxa"/>
        <w:bottom w:w="0" w:type="dxa"/>
        <w:right w:w="0" w:type="dxa"/>
      </w:tblCellMar>
    </w:tblPr>
  </w:style>
  <w:style w:type="table" w:customStyle="1" w:styleId="TableNormal3">
    <w:name w:val="Table Normal3"/>
    <w:rsid w:val="00FE36D5"/>
    <w:tblPr>
      <w:tblCellMar>
        <w:top w:w="0" w:type="dxa"/>
        <w:left w:w="0" w:type="dxa"/>
        <w:bottom w:w="0" w:type="dxa"/>
        <w:right w:w="0" w:type="dxa"/>
      </w:tblCellMar>
    </w:tblPr>
  </w:style>
  <w:style w:type="table" w:customStyle="1" w:styleId="TableNormal2">
    <w:name w:val="Table Normal2"/>
    <w:rsid w:val="00FE36D5"/>
    <w:tblPr>
      <w:tblCellMar>
        <w:top w:w="0" w:type="dxa"/>
        <w:left w:w="0" w:type="dxa"/>
        <w:bottom w:w="0" w:type="dxa"/>
        <w:right w:w="0" w:type="dxa"/>
      </w:tblCellMar>
    </w:tblPr>
  </w:style>
  <w:style w:type="table" w:customStyle="1" w:styleId="TableNormal1">
    <w:name w:val="Table Normal1"/>
    <w:rsid w:val="00FE36D5"/>
    <w:tblPr>
      <w:tblCellMar>
        <w:top w:w="0" w:type="dxa"/>
        <w:left w:w="0" w:type="dxa"/>
        <w:bottom w:w="0" w:type="dxa"/>
        <w:right w:w="0" w:type="dxa"/>
      </w:tblCellMar>
    </w:tblPr>
  </w:style>
  <w:style w:type="paragraph" w:styleId="Encabezado">
    <w:name w:val="header"/>
    <w:basedOn w:val="Normal"/>
    <w:link w:val="EncabezadoCar"/>
    <w:uiPriority w:val="99"/>
    <w:unhideWhenUsed/>
    <w:rsid w:val="00FE36D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FE36D5"/>
    <w:rPr>
      <w:rFonts w:eastAsiaTheme="minorEastAsia"/>
      <w:sz w:val="24"/>
      <w:szCs w:val="24"/>
      <w:lang w:val="es-ES_tradnl" w:eastAsia="es-MX"/>
    </w:rPr>
  </w:style>
  <w:style w:type="paragraph" w:styleId="Piedepgina">
    <w:name w:val="footer"/>
    <w:basedOn w:val="Normal"/>
    <w:link w:val="PiedepginaCar"/>
    <w:uiPriority w:val="99"/>
    <w:unhideWhenUsed/>
    <w:rsid w:val="00FE36D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FE36D5"/>
    <w:rPr>
      <w:rFonts w:eastAsiaTheme="minorEastAsia"/>
      <w:sz w:val="24"/>
      <w:szCs w:val="24"/>
      <w:lang w:val="es-ES_tradnl" w:eastAsia="es-MX"/>
    </w:rPr>
  </w:style>
  <w:style w:type="paragraph" w:styleId="Textodeglobo">
    <w:name w:val="Balloon Text"/>
    <w:basedOn w:val="Normal"/>
    <w:link w:val="TextodegloboCar"/>
    <w:uiPriority w:val="99"/>
    <w:semiHidden/>
    <w:unhideWhenUsed/>
    <w:rsid w:val="00FE36D5"/>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FE36D5"/>
    <w:rPr>
      <w:rFonts w:ascii="Lucida Grande" w:eastAsiaTheme="minorEastAsia" w:hAnsi="Lucida Grande" w:cs="Lucida Grande"/>
      <w:sz w:val="18"/>
      <w:szCs w:val="18"/>
      <w:lang w:val="es-ES_tradnl"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E36D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E36D5"/>
    <w:rPr>
      <w:rFonts w:ascii="Times New Roman" w:eastAsia="Times New Roman" w:hAnsi="Times New Roman" w:cs="Times New Roman"/>
      <w:sz w:val="24"/>
      <w:szCs w:val="24"/>
      <w:lang w:eastAsia="es-MX"/>
    </w:rPr>
  </w:style>
  <w:style w:type="character" w:styleId="Hipervnculo">
    <w:name w:val="Hyperlink"/>
    <w:uiPriority w:val="99"/>
    <w:unhideWhenUsed/>
    <w:rsid w:val="00FE36D5"/>
    <w:rPr>
      <w:strike w:val="0"/>
      <w:dstrike w:val="0"/>
      <w:color w:val="035899"/>
      <w:u w:val="none"/>
      <w:effect w:val="none"/>
    </w:rPr>
  </w:style>
  <w:style w:type="paragraph" w:styleId="NormalWeb">
    <w:name w:val="Normal (Web)"/>
    <w:basedOn w:val="Normal"/>
    <w:uiPriority w:val="99"/>
    <w:rsid w:val="00FE36D5"/>
    <w:pPr>
      <w:spacing w:before="100" w:beforeAutospacing="1" w:after="100" w:afterAutospacing="1"/>
    </w:pPr>
  </w:style>
  <w:style w:type="character" w:styleId="Textoennegrita">
    <w:name w:val="Strong"/>
    <w:uiPriority w:val="22"/>
    <w:qFormat/>
    <w:rsid w:val="00FE36D5"/>
    <w:rPr>
      <w:b/>
      <w:bCs/>
    </w:rPr>
  </w:style>
  <w:style w:type="character" w:styleId="Hipervnculovisitado">
    <w:name w:val="FollowedHyperlink"/>
    <w:basedOn w:val="Fuentedeprrafopredeter"/>
    <w:uiPriority w:val="99"/>
    <w:semiHidden/>
    <w:unhideWhenUsed/>
    <w:rsid w:val="00FE36D5"/>
    <w:rPr>
      <w:color w:val="954F72" w:themeColor="followedHyperlink"/>
      <w:u w:val="single"/>
    </w:rPr>
  </w:style>
  <w:style w:type="paragraph" w:styleId="Textoindependiente2">
    <w:name w:val="Body Text 2"/>
    <w:basedOn w:val="Normal"/>
    <w:link w:val="Textoindependiente2Car"/>
    <w:uiPriority w:val="99"/>
    <w:unhideWhenUsed/>
    <w:rsid w:val="00FE36D5"/>
    <w:pPr>
      <w:spacing w:after="120" w:line="480" w:lineRule="auto"/>
    </w:pPr>
  </w:style>
  <w:style w:type="character" w:customStyle="1" w:styleId="Textoindependiente2Car">
    <w:name w:val="Texto independiente 2 Car"/>
    <w:basedOn w:val="Fuentedeprrafopredeter"/>
    <w:link w:val="Textoindependiente2"/>
    <w:uiPriority w:val="99"/>
    <w:rsid w:val="00FE36D5"/>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FE36D5"/>
    <w:rPr>
      <w:sz w:val="16"/>
      <w:szCs w:val="16"/>
    </w:rPr>
  </w:style>
  <w:style w:type="character" w:customStyle="1" w:styleId="apple-converted-space">
    <w:name w:val="apple-converted-space"/>
    <w:basedOn w:val="Fuentedeprrafopredeter"/>
    <w:rsid w:val="00FE36D5"/>
  </w:style>
  <w:style w:type="paragraph" w:customStyle="1" w:styleId="Default">
    <w:name w:val="Default"/>
    <w:rsid w:val="00FE36D5"/>
    <w:pPr>
      <w:autoSpaceDE w:val="0"/>
      <w:autoSpaceDN w:val="0"/>
      <w:adjustRightInd w:val="0"/>
    </w:pPr>
    <w:rPr>
      <w:rFonts w:ascii="Arial" w:hAnsi="Arial" w:cs="Arial"/>
      <w:color w:val="000000"/>
    </w:rPr>
  </w:style>
  <w:style w:type="paragraph" w:customStyle="1" w:styleId="Listavistosa-nfasis11">
    <w:name w:val="Lista vistosa - Énfasis 11"/>
    <w:basedOn w:val="Normal"/>
    <w:link w:val="Listavistosa-nfasis1Car"/>
    <w:uiPriority w:val="34"/>
    <w:qFormat/>
    <w:rsid w:val="00FE36D5"/>
    <w:pPr>
      <w:ind w:left="708"/>
    </w:pPr>
  </w:style>
  <w:style w:type="character" w:customStyle="1" w:styleId="Listavistosa-nfasis1Car">
    <w:name w:val="Lista vistosa - Énfasis 1 Car"/>
    <w:link w:val="Listavistosa-nfasis11"/>
    <w:uiPriority w:val="34"/>
    <w:locked/>
    <w:rsid w:val="00FE36D5"/>
    <w:rPr>
      <w:rFonts w:ascii="Times New Roman" w:eastAsia="Times New Roman" w:hAnsi="Times New Roman" w:cs="Times New Roman"/>
      <w:sz w:val="24"/>
      <w:szCs w:val="24"/>
      <w:lang w:eastAsia="es-MX"/>
    </w:rPr>
  </w:style>
  <w:style w:type="paragraph" w:customStyle="1" w:styleId="Texto">
    <w:name w:val="Texto"/>
    <w:basedOn w:val="Normal"/>
    <w:link w:val="TextoCar"/>
    <w:qFormat/>
    <w:rsid w:val="00FE36D5"/>
    <w:pPr>
      <w:spacing w:after="101" w:line="216" w:lineRule="exact"/>
      <w:ind w:firstLine="288"/>
      <w:jc w:val="both"/>
    </w:pPr>
    <w:rPr>
      <w:rFonts w:ascii="Arial" w:hAnsi="Arial" w:cs="Arial"/>
      <w:sz w:val="18"/>
      <w:szCs w:val="18"/>
    </w:rPr>
  </w:style>
  <w:style w:type="character" w:customStyle="1" w:styleId="apple-style-span">
    <w:name w:val="apple-style-span"/>
    <w:rsid w:val="00FE36D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E36D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E36D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E36D5"/>
    <w:rPr>
      <w:vertAlign w:val="superscript"/>
    </w:rPr>
  </w:style>
  <w:style w:type="paragraph" w:styleId="Sinespaciado">
    <w:name w:val="No Spacing"/>
    <w:aliases w:val="Francesa"/>
    <w:link w:val="SinespaciadoCar"/>
    <w:uiPriority w:val="1"/>
    <w:qFormat/>
    <w:rsid w:val="00FE36D5"/>
  </w:style>
  <w:style w:type="paragraph" w:styleId="Textosinformato">
    <w:name w:val="Plain Text"/>
    <w:basedOn w:val="Normal"/>
    <w:link w:val="TextosinformatoCar"/>
    <w:rsid w:val="00FE36D5"/>
    <w:rPr>
      <w:rFonts w:ascii="Courier New" w:hAnsi="Courier New"/>
      <w:sz w:val="20"/>
      <w:szCs w:val="20"/>
    </w:rPr>
  </w:style>
  <w:style w:type="character" w:customStyle="1" w:styleId="TextosinformatoCar">
    <w:name w:val="Texto sin formato Car"/>
    <w:basedOn w:val="Fuentedeprrafopredeter"/>
    <w:link w:val="Textosinformato"/>
    <w:rsid w:val="00FE36D5"/>
    <w:rPr>
      <w:rFonts w:ascii="Courier New" w:eastAsia="Times New Roman" w:hAnsi="Courier New" w:cs="Times New Roman"/>
      <w:sz w:val="20"/>
      <w:szCs w:val="20"/>
      <w:lang w:eastAsia="es-MX"/>
    </w:rPr>
  </w:style>
  <w:style w:type="paragraph" w:customStyle="1" w:styleId="Standard">
    <w:name w:val="Standard"/>
    <w:rsid w:val="00FE36D5"/>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FE36D5"/>
    <w:rPr>
      <w:rFonts w:ascii="Arial" w:hAnsi="Arial" w:cs="Arial" w:hint="default"/>
      <w:b/>
      <w:bCs/>
      <w:sz w:val="18"/>
      <w:szCs w:val="18"/>
    </w:rPr>
  </w:style>
  <w:style w:type="paragraph" w:customStyle="1" w:styleId="Pa2">
    <w:name w:val="Pa2"/>
    <w:basedOn w:val="Normal"/>
    <w:next w:val="Normal"/>
    <w:uiPriority w:val="99"/>
    <w:rsid w:val="00FE36D5"/>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FE36D5"/>
  </w:style>
  <w:style w:type="paragraph" w:customStyle="1" w:styleId="q">
    <w:name w:val="q"/>
    <w:basedOn w:val="Normal"/>
    <w:rsid w:val="00FE36D5"/>
    <w:pPr>
      <w:spacing w:before="100" w:beforeAutospacing="1" w:after="100" w:afterAutospacing="1"/>
    </w:pPr>
  </w:style>
  <w:style w:type="character" w:customStyle="1" w:styleId="d">
    <w:name w:val="d"/>
    <w:basedOn w:val="Fuentedeprrafopredeter"/>
    <w:rsid w:val="00FE36D5"/>
  </w:style>
  <w:style w:type="character" w:customStyle="1" w:styleId="b">
    <w:name w:val="b"/>
    <w:basedOn w:val="Fuentedeprrafopredeter"/>
    <w:rsid w:val="00FE36D5"/>
  </w:style>
  <w:style w:type="character" w:customStyle="1" w:styleId="k">
    <w:name w:val="k"/>
    <w:basedOn w:val="Fuentedeprrafopredeter"/>
    <w:rsid w:val="00FE36D5"/>
  </w:style>
  <w:style w:type="character" w:customStyle="1" w:styleId="h">
    <w:name w:val="h"/>
    <w:basedOn w:val="Fuentedeprrafopredeter"/>
    <w:rsid w:val="00FE36D5"/>
  </w:style>
  <w:style w:type="character" w:styleId="CitaHTML">
    <w:name w:val="HTML Cite"/>
    <w:uiPriority w:val="99"/>
    <w:semiHidden/>
    <w:unhideWhenUsed/>
    <w:rsid w:val="00FE36D5"/>
    <w:rPr>
      <w:i/>
      <w:iCs/>
    </w:rPr>
  </w:style>
  <w:style w:type="paragraph" w:customStyle="1" w:styleId="RSCGnotaalpie">
    <w:name w:val="RSCG nota al pie"/>
    <w:basedOn w:val="Normal"/>
    <w:uiPriority w:val="99"/>
    <w:qFormat/>
    <w:rsid w:val="00FE36D5"/>
    <w:pPr>
      <w:spacing w:after="120"/>
      <w:jc w:val="both"/>
    </w:pPr>
    <w:rPr>
      <w:rFonts w:ascii="Palatino" w:hAnsi="Palatino" w:cstheme="minorBidi"/>
      <w:sz w:val="22"/>
      <w:szCs w:val="22"/>
      <w:lang w:eastAsia="en-US"/>
    </w:rPr>
  </w:style>
  <w:style w:type="character" w:customStyle="1" w:styleId="lbl-encabezado-blanco2">
    <w:name w:val="lbl-encabezado-blanco2"/>
    <w:rsid w:val="00FE36D5"/>
    <w:rPr>
      <w:color w:val="FFFFFF"/>
    </w:rPr>
  </w:style>
  <w:style w:type="character" w:customStyle="1" w:styleId="TextoCar">
    <w:name w:val="Texto Car"/>
    <w:link w:val="Texto"/>
    <w:locked/>
    <w:rsid w:val="00FE36D5"/>
    <w:rPr>
      <w:rFonts w:ascii="Arial" w:eastAsia="Times New Roman" w:hAnsi="Arial" w:cs="Arial"/>
      <w:sz w:val="18"/>
      <w:szCs w:val="18"/>
      <w:lang w:eastAsia="es-MX"/>
    </w:rPr>
  </w:style>
  <w:style w:type="paragraph" w:customStyle="1" w:styleId="ANOTACION">
    <w:name w:val="ANOTACION"/>
    <w:basedOn w:val="Normal"/>
    <w:link w:val="ANOTACIONCar"/>
    <w:rsid w:val="00FE36D5"/>
    <w:pPr>
      <w:spacing w:before="101" w:after="101"/>
      <w:jc w:val="center"/>
    </w:pPr>
    <w:rPr>
      <w:b/>
      <w:sz w:val="18"/>
      <w:szCs w:val="18"/>
    </w:rPr>
  </w:style>
  <w:style w:type="character" w:customStyle="1" w:styleId="ANOTACIONCar">
    <w:name w:val="ANOTACION Car"/>
    <w:link w:val="ANOTACION"/>
    <w:locked/>
    <w:rsid w:val="00FE36D5"/>
    <w:rPr>
      <w:rFonts w:ascii="Times New Roman" w:eastAsia="Times New Roman" w:hAnsi="Times New Roman" w:cs="Times New Roman"/>
      <w:b/>
      <w:sz w:val="18"/>
      <w:szCs w:val="18"/>
      <w:lang w:eastAsia="es-MX"/>
    </w:rPr>
  </w:style>
  <w:style w:type="table" w:styleId="Tablaconcuadrcula">
    <w:name w:val="Table Grid"/>
    <w:basedOn w:val="Tablanormal"/>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FE36D5"/>
    <w:rPr>
      <w:i/>
      <w:iCs/>
    </w:rPr>
  </w:style>
  <w:style w:type="character" w:customStyle="1" w:styleId="SinespaciadoCar">
    <w:name w:val="Sin espaciado Car"/>
    <w:aliases w:val="Francesa Car"/>
    <w:link w:val="Sinespaciado"/>
    <w:uiPriority w:val="1"/>
    <w:locked/>
    <w:rsid w:val="00FE36D5"/>
    <w:rPr>
      <w:rFonts w:ascii="Times New Roman" w:eastAsia="Times New Roman" w:hAnsi="Times New Roman" w:cs="Times New Roman"/>
      <w:sz w:val="24"/>
      <w:szCs w:val="24"/>
      <w:lang w:eastAsia="es-MX"/>
    </w:rPr>
  </w:style>
  <w:style w:type="paragraph" w:styleId="Bibliografa">
    <w:name w:val="Bibliography"/>
    <w:basedOn w:val="Normal"/>
    <w:next w:val="Normal"/>
    <w:uiPriority w:val="37"/>
    <w:semiHidden/>
    <w:unhideWhenUsed/>
    <w:rsid w:val="00FE36D5"/>
  </w:style>
  <w:style w:type="paragraph" w:styleId="Textocomentario">
    <w:name w:val="annotation text"/>
    <w:basedOn w:val="Normal"/>
    <w:link w:val="TextocomentarioCar"/>
    <w:uiPriority w:val="99"/>
    <w:unhideWhenUsed/>
    <w:rsid w:val="00FE36D5"/>
    <w:rPr>
      <w:sz w:val="20"/>
      <w:szCs w:val="20"/>
    </w:rPr>
  </w:style>
  <w:style w:type="character" w:customStyle="1" w:styleId="TextocomentarioCar">
    <w:name w:val="Texto comentario Car"/>
    <w:basedOn w:val="Fuentedeprrafopredeter"/>
    <w:link w:val="Textocomentario"/>
    <w:uiPriority w:val="99"/>
    <w:rsid w:val="00FE36D5"/>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FE36D5"/>
    <w:rPr>
      <w:b/>
      <w:bCs/>
    </w:rPr>
  </w:style>
  <w:style w:type="character" w:customStyle="1" w:styleId="AsuntodelcomentarioCar">
    <w:name w:val="Asunto del comentario Car"/>
    <w:basedOn w:val="TextocomentarioCar"/>
    <w:link w:val="Asuntodelcomentario"/>
    <w:uiPriority w:val="99"/>
    <w:semiHidden/>
    <w:rsid w:val="00FE36D5"/>
    <w:rPr>
      <w:rFonts w:ascii="Times New Roman" w:eastAsia="Times New Roman" w:hAnsi="Times New Roman" w:cs="Times New Roman"/>
      <w:b/>
      <w:bCs/>
      <w:sz w:val="20"/>
      <w:szCs w:val="20"/>
      <w:lang w:eastAsia="es-MX"/>
    </w:rPr>
  </w:style>
  <w:style w:type="paragraph" w:customStyle="1" w:styleId="ROMANOS">
    <w:name w:val="ROMANOS"/>
    <w:basedOn w:val="Normal"/>
    <w:link w:val="ROMANOSCar"/>
    <w:rsid w:val="00FE36D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FE36D5"/>
    <w:rPr>
      <w:rFonts w:ascii="Arial" w:eastAsia="Times New Roman" w:hAnsi="Arial" w:cs="Arial"/>
      <w:sz w:val="18"/>
      <w:szCs w:val="18"/>
      <w:lang w:val="es-ES" w:eastAsia="es-MX"/>
    </w:rPr>
  </w:style>
  <w:style w:type="character" w:customStyle="1" w:styleId="m1553324590483875794gmail-m8993139698400752374gmail-apple-converted-space">
    <w:name w:val="m_1553324590483875794gmail-m_8993139698400752374gmail-apple-converted-space"/>
    <w:basedOn w:val="Fuentedeprrafopredeter"/>
    <w:rsid w:val="00FE36D5"/>
  </w:style>
  <w:style w:type="character" w:customStyle="1" w:styleId="Ninguno">
    <w:name w:val="Ninguno"/>
    <w:rsid w:val="00FE36D5"/>
    <w:rPr>
      <w:lang w:val="es-ES_tradnl"/>
    </w:rPr>
  </w:style>
  <w:style w:type="paragraph" w:customStyle="1" w:styleId="Cuerpo">
    <w:name w:val="Cuerpo"/>
    <w:rsid w:val="00FE36D5"/>
    <w:pPr>
      <w:pBdr>
        <w:top w:val="nil"/>
        <w:left w:val="nil"/>
        <w:bottom w:val="nil"/>
        <w:right w:val="nil"/>
        <w:between w:val="nil"/>
        <w:bar w:val="nil"/>
      </w:pBdr>
    </w:pPr>
    <w:rPr>
      <w:rFonts w:ascii="Calibri" w:eastAsia="Calibri" w:hAnsi="Calibri" w:cs="Calibri"/>
      <w:color w:val="000000"/>
      <w:u w:color="000000"/>
      <w:bdr w:val="nil"/>
      <w:lang w:val="de-DE"/>
    </w:rPr>
  </w:style>
  <w:style w:type="numbering" w:customStyle="1" w:styleId="Estiloimportado2">
    <w:name w:val="Estilo importado 2"/>
    <w:rsid w:val="00FE36D5"/>
  </w:style>
  <w:style w:type="numbering" w:customStyle="1" w:styleId="Estiloimportado1">
    <w:name w:val="Estilo importado 1"/>
    <w:rsid w:val="00FE36D5"/>
  </w:style>
  <w:style w:type="character" w:customStyle="1" w:styleId="normaltextrun">
    <w:name w:val="normaltextrun"/>
    <w:basedOn w:val="Fuentedeprrafopredeter"/>
    <w:rsid w:val="00FE36D5"/>
  </w:style>
  <w:style w:type="paragraph" w:customStyle="1" w:styleId="INCISO">
    <w:name w:val="INCISO"/>
    <w:basedOn w:val="Normal"/>
    <w:rsid w:val="00FE36D5"/>
    <w:pPr>
      <w:spacing w:after="101" w:line="216" w:lineRule="exact"/>
      <w:ind w:left="1080" w:hanging="360"/>
      <w:jc w:val="both"/>
    </w:pPr>
    <w:rPr>
      <w:rFonts w:ascii="Arial" w:hAnsi="Arial" w:cs="Arial"/>
      <w:sz w:val="18"/>
      <w:szCs w:val="18"/>
      <w:lang w:val="es-ES"/>
    </w:rPr>
  </w:style>
  <w:style w:type="paragraph" w:customStyle="1" w:styleId="n2">
    <w:name w:val="n2"/>
    <w:basedOn w:val="Normal"/>
    <w:rsid w:val="00FE36D5"/>
    <w:pPr>
      <w:spacing w:before="100" w:beforeAutospacing="1" w:after="100" w:afterAutospacing="1"/>
    </w:pPr>
  </w:style>
  <w:style w:type="paragraph" w:customStyle="1" w:styleId="j">
    <w:name w:val="j"/>
    <w:basedOn w:val="Normal"/>
    <w:rsid w:val="00FE36D5"/>
    <w:pPr>
      <w:spacing w:before="100" w:beforeAutospacing="1" w:after="100" w:afterAutospacing="1"/>
    </w:pPr>
  </w:style>
  <w:style w:type="character" w:customStyle="1" w:styleId="nacep">
    <w:name w:val="n_acep"/>
    <w:basedOn w:val="Fuentedeprrafopredeter"/>
    <w:rsid w:val="00FE36D5"/>
  </w:style>
  <w:style w:type="paragraph" w:customStyle="1" w:styleId="m5212863947045306324gmail-msonormal">
    <w:name w:val="m_5212863947045306324gmail-msonormal"/>
    <w:basedOn w:val="Normal"/>
    <w:rsid w:val="00FE36D5"/>
    <w:pPr>
      <w:spacing w:before="100" w:beforeAutospacing="1" w:after="100" w:afterAutospacing="1"/>
    </w:pPr>
  </w:style>
  <w:style w:type="character" w:customStyle="1" w:styleId="user-highlighted-active">
    <w:name w:val="user-highlighted-active"/>
    <w:basedOn w:val="Fuentedeprrafopredeter"/>
    <w:rsid w:val="00FE36D5"/>
  </w:style>
  <w:style w:type="paragraph" w:styleId="Lista">
    <w:name w:val="List"/>
    <w:basedOn w:val="Normal"/>
    <w:uiPriority w:val="99"/>
    <w:unhideWhenUsed/>
    <w:rsid w:val="00FE36D5"/>
    <w:pPr>
      <w:ind w:left="283" w:hanging="283"/>
      <w:contextualSpacing/>
    </w:pPr>
    <w:rPr>
      <w:lang w:val="es-ES"/>
    </w:rPr>
  </w:style>
  <w:style w:type="paragraph" w:styleId="Lista2">
    <w:name w:val="List 2"/>
    <w:basedOn w:val="Normal"/>
    <w:uiPriority w:val="99"/>
    <w:unhideWhenUsed/>
    <w:rsid w:val="00FE36D5"/>
    <w:pPr>
      <w:ind w:left="566" w:hanging="283"/>
      <w:contextualSpacing/>
    </w:pPr>
    <w:rPr>
      <w:lang w:val="es-ES"/>
    </w:rPr>
  </w:style>
  <w:style w:type="paragraph" w:styleId="Lista3">
    <w:name w:val="List 3"/>
    <w:basedOn w:val="Normal"/>
    <w:uiPriority w:val="99"/>
    <w:unhideWhenUsed/>
    <w:rsid w:val="00FE36D5"/>
    <w:pPr>
      <w:ind w:left="849" w:hanging="283"/>
      <w:contextualSpacing/>
    </w:pPr>
    <w:rPr>
      <w:lang w:val="es-ES"/>
    </w:rPr>
  </w:style>
  <w:style w:type="paragraph" w:styleId="Textoindependiente">
    <w:name w:val="Body Text"/>
    <w:basedOn w:val="Normal"/>
    <w:link w:val="TextoindependienteCar"/>
    <w:uiPriority w:val="99"/>
    <w:unhideWhenUsed/>
    <w:rsid w:val="00FE36D5"/>
    <w:pPr>
      <w:spacing w:after="120"/>
    </w:pPr>
    <w:rPr>
      <w:lang w:val="es-ES"/>
    </w:rPr>
  </w:style>
  <w:style w:type="character" w:customStyle="1" w:styleId="TextoindependienteCar">
    <w:name w:val="Texto independiente Car"/>
    <w:basedOn w:val="Fuentedeprrafopredeter"/>
    <w:link w:val="Textoindependiente"/>
    <w:uiPriority w:val="99"/>
    <w:rsid w:val="00FE36D5"/>
    <w:rPr>
      <w:rFonts w:ascii="Times New Roman" w:eastAsia="Times New Roman" w:hAnsi="Times New Roman" w:cs="Times New Roman"/>
      <w:sz w:val="24"/>
      <w:szCs w:val="24"/>
      <w:lang w:val="es-ES" w:eastAsia="es-MX"/>
    </w:rPr>
  </w:style>
  <w:style w:type="paragraph" w:styleId="Sangradetextonormal">
    <w:name w:val="Body Text Indent"/>
    <w:basedOn w:val="Normal"/>
    <w:link w:val="SangradetextonormalCar"/>
    <w:uiPriority w:val="99"/>
    <w:unhideWhenUsed/>
    <w:rsid w:val="00FE36D5"/>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E36D5"/>
    <w:rPr>
      <w:rFonts w:ascii="Times New Roman" w:eastAsia="Times New Roman" w:hAnsi="Times New Roman" w:cs="Times New Roman"/>
      <w:sz w:val="24"/>
      <w:szCs w:val="24"/>
      <w:lang w:val="es-ES" w:eastAsia="es-MX"/>
    </w:rPr>
  </w:style>
  <w:style w:type="paragraph" w:styleId="Textoindependienteprimerasangra2">
    <w:name w:val="Body Text First Indent 2"/>
    <w:basedOn w:val="Sangradetextonormal"/>
    <w:link w:val="Textoindependienteprimerasangra2Car"/>
    <w:uiPriority w:val="99"/>
    <w:unhideWhenUsed/>
    <w:rsid w:val="00FE36D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E36D5"/>
    <w:rPr>
      <w:rFonts w:ascii="Times New Roman" w:eastAsia="Times New Roman" w:hAnsi="Times New Roman" w:cs="Times New Roman"/>
      <w:sz w:val="24"/>
      <w:szCs w:val="24"/>
      <w:lang w:val="es-ES" w:eastAsia="es-MX"/>
    </w:rPr>
  </w:style>
  <w:style w:type="character" w:customStyle="1" w:styleId="numberfracccentro">
    <w:name w:val="numberfracccentro"/>
    <w:basedOn w:val="Fuentedeprrafopredeter"/>
    <w:rsid w:val="00FE36D5"/>
  </w:style>
  <w:style w:type="character" w:customStyle="1" w:styleId="titulorubrolgt">
    <w:name w:val="titulorubrolgt"/>
    <w:basedOn w:val="Fuentedeprrafopredeter"/>
    <w:rsid w:val="00FE36D5"/>
  </w:style>
  <w:style w:type="paragraph" w:customStyle="1" w:styleId="Text">
    <w:name w:val="Text"/>
    <w:basedOn w:val="Normal"/>
    <w:link w:val="TextChar"/>
    <w:rsid w:val="00FE36D5"/>
    <w:pPr>
      <w:spacing w:after="240"/>
    </w:pPr>
    <w:rPr>
      <w:szCs w:val="20"/>
      <w:lang w:val="en-US" w:eastAsia="en-US"/>
    </w:rPr>
  </w:style>
  <w:style w:type="character" w:customStyle="1" w:styleId="TextChar">
    <w:name w:val="Text Char"/>
    <w:link w:val="Text"/>
    <w:locked/>
    <w:rsid w:val="00FE36D5"/>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FE36D5"/>
    <w:pPr>
      <w:spacing w:line="360" w:lineRule="auto"/>
      <w:ind w:left="709" w:right="709"/>
      <w:jc w:val="both"/>
    </w:pPr>
    <w:rPr>
      <w:rFonts w:ascii="Arial" w:hAnsi="Arial" w:cs="Arial"/>
      <w:b/>
      <w:bCs/>
      <w:i/>
      <w:iCs/>
      <w:sz w:val="30"/>
      <w:szCs w:val="30"/>
    </w:rPr>
  </w:style>
  <w:style w:type="paragraph" w:customStyle="1" w:styleId="FAFunotente1">
    <w:name w:val="FA Fu?notente1"/>
    <w:basedOn w:val="Normal"/>
    <w:next w:val="Textonotapie"/>
    <w:uiPriority w:val="99"/>
    <w:rsid w:val="00FE36D5"/>
    <w:rPr>
      <w:rFonts w:asciiTheme="minorHAnsi" w:eastAsia="Cambria" w:hAnsiTheme="minorHAnsi" w:cstheme="minorBidi"/>
      <w:sz w:val="20"/>
      <w:szCs w:val="20"/>
      <w:lang w:eastAsia="en-US"/>
    </w:rPr>
  </w:style>
  <w:style w:type="paragraph" w:customStyle="1" w:styleId="paragraph">
    <w:name w:val="paragraph"/>
    <w:basedOn w:val="Normal"/>
    <w:uiPriority w:val="99"/>
    <w:rsid w:val="00FE36D5"/>
    <w:pPr>
      <w:spacing w:before="100" w:beforeAutospacing="1" w:after="100" w:afterAutospacing="1" w:line="264" w:lineRule="auto"/>
    </w:pPr>
    <w:rPr>
      <w:rFonts w:asciiTheme="minorHAnsi" w:eastAsiaTheme="minorEastAsia" w:hAnsiTheme="minorHAnsi" w:cstheme="minorBidi"/>
      <w:sz w:val="20"/>
      <w:szCs w:val="20"/>
    </w:rPr>
  </w:style>
  <w:style w:type="table" w:customStyle="1" w:styleId="Tablaconcuadrcula1">
    <w:name w:val="Tabla con cuadrícula1"/>
    <w:basedOn w:val="Tablanormal"/>
    <w:next w:val="Tablaconcuadrcula"/>
    <w:uiPriority w:val="59"/>
    <w:rsid w:val="00FE36D5"/>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FE36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E36D5"/>
    <w:rPr>
      <w:color w:val="605E5C"/>
      <w:shd w:val="clear" w:color="auto" w:fill="E1DFDD"/>
    </w:rPr>
  </w:style>
  <w:style w:type="paragraph" w:customStyle="1" w:styleId="temp">
    <w:name w:val="temp"/>
    <w:basedOn w:val="Normal"/>
    <w:rsid w:val="00FE36D5"/>
    <w:pPr>
      <w:spacing w:before="100" w:beforeAutospacing="1" w:after="100" w:afterAutospacing="1"/>
    </w:pPr>
  </w:style>
  <w:style w:type="character" w:customStyle="1" w:styleId="bold">
    <w:name w:val="bold"/>
    <w:basedOn w:val="Fuentedeprrafopredeter"/>
    <w:rsid w:val="00FE36D5"/>
  </w:style>
  <w:style w:type="paragraph" w:customStyle="1" w:styleId="ng-star-inserted">
    <w:name w:val="ng-star-inserted"/>
    <w:basedOn w:val="Normal"/>
    <w:rsid w:val="00FE36D5"/>
    <w:pPr>
      <w:spacing w:before="100" w:beforeAutospacing="1" w:after="100" w:afterAutospacing="1"/>
    </w:pPr>
  </w:style>
  <w:style w:type="character" w:customStyle="1" w:styleId="Mencinsinresolver2">
    <w:name w:val="Mención sin resolver2"/>
    <w:basedOn w:val="Fuentedeprrafopredeter"/>
    <w:uiPriority w:val="99"/>
    <w:semiHidden/>
    <w:unhideWhenUsed/>
    <w:rsid w:val="00FE36D5"/>
    <w:rPr>
      <w:color w:val="605E5C"/>
      <w:shd w:val="clear" w:color="auto" w:fill="E1DFDD"/>
    </w:rPr>
  </w:style>
  <w:style w:type="character" w:customStyle="1" w:styleId="Mencinsinresolver3">
    <w:name w:val="Mención sin resolver3"/>
    <w:basedOn w:val="Fuentedeprrafopredeter"/>
    <w:uiPriority w:val="99"/>
    <w:semiHidden/>
    <w:unhideWhenUsed/>
    <w:rsid w:val="00FE36D5"/>
    <w:rPr>
      <w:color w:val="605E5C"/>
      <w:shd w:val="clear" w:color="auto" w:fill="E1DFDD"/>
    </w:rPr>
  </w:style>
  <w:style w:type="paragraph" w:styleId="Saludo">
    <w:name w:val="Salutation"/>
    <w:basedOn w:val="Normal"/>
    <w:next w:val="Normal"/>
    <w:link w:val="SaludoCar"/>
    <w:uiPriority w:val="99"/>
    <w:unhideWhenUsed/>
    <w:rsid w:val="00FE36D5"/>
  </w:style>
  <w:style w:type="character" w:customStyle="1" w:styleId="SaludoCar">
    <w:name w:val="Saludo Car"/>
    <w:basedOn w:val="Fuentedeprrafopredeter"/>
    <w:link w:val="Saludo"/>
    <w:uiPriority w:val="99"/>
    <w:rsid w:val="00FE36D5"/>
    <w:rPr>
      <w:rFonts w:ascii="Times New Roman" w:eastAsia="Times New Roman" w:hAnsi="Times New Roman" w:cs="Times New Roman"/>
      <w:sz w:val="24"/>
      <w:szCs w:val="24"/>
      <w:lang w:eastAsia="es-MX"/>
    </w:rPr>
  </w:style>
  <w:style w:type="character" w:customStyle="1" w:styleId="Caracteresdenotaalpie">
    <w:name w:val="Caracteres de nota al pie"/>
    <w:qFormat/>
    <w:rsid w:val="00FE36D5"/>
  </w:style>
  <w:style w:type="character" w:customStyle="1" w:styleId="Mencinsinresolver4">
    <w:name w:val="Mención sin resolver4"/>
    <w:basedOn w:val="Fuentedeprrafopredeter"/>
    <w:uiPriority w:val="99"/>
    <w:semiHidden/>
    <w:unhideWhenUsed/>
    <w:rsid w:val="00FE36D5"/>
    <w:rPr>
      <w:color w:val="605E5C"/>
      <w:shd w:val="clear" w:color="auto" w:fill="E1DFDD"/>
    </w:rPr>
  </w:style>
  <w:style w:type="character" w:customStyle="1" w:styleId="Mencinsinresolver5">
    <w:name w:val="Mención sin resolver5"/>
    <w:basedOn w:val="Fuentedeprrafopredeter"/>
    <w:uiPriority w:val="99"/>
    <w:semiHidden/>
    <w:unhideWhenUsed/>
    <w:rsid w:val="00FE36D5"/>
    <w:rPr>
      <w:color w:val="605E5C"/>
      <w:shd w:val="clear" w:color="auto" w:fill="E1DFDD"/>
    </w:rPr>
  </w:style>
  <w:style w:type="character" w:customStyle="1" w:styleId="Mencinsinresolver6">
    <w:name w:val="Mención sin resolver6"/>
    <w:basedOn w:val="Fuentedeprrafopredeter"/>
    <w:uiPriority w:val="99"/>
    <w:semiHidden/>
    <w:unhideWhenUsed/>
    <w:rsid w:val="00FE36D5"/>
    <w:rPr>
      <w:color w:val="605E5C"/>
      <w:shd w:val="clear" w:color="auto" w:fill="E1DFDD"/>
    </w:rPr>
  </w:style>
  <w:style w:type="table" w:customStyle="1" w:styleId="Tablaconcuadrcula111121">
    <w:name w:val="Tabla con cuadrícula111121"/>
    <w:basedOn w:val="Tablanormal"/>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FE36D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FE36D5"/>
    <w:rPr>
      <w:color w:val="605E5C"/>
      <w:shd w:val="clear" w:color="auto" w:fill="E1DFDD"/>
    </w:rPr>
  </w:style>
  <w:style w:type="character" w:customStyle="1" w:styleId="Mencinsinresolver8">
    <w:name w:val="Mención sin resolver8"/>
    <w:basedOn w:val="Fuentedeprrafopredeter"/>
    <w:uiPriority w:val="99"/>
    <w:semiHidden/>
    <w:unhideWhenUsed/>
    <w:rsid w:val="00FE36D5"/>
    <w:rPr>
      <w:color w:val="605E5C"/>
      <w:shd w:val="clear" w:color="auto" w:fill="E1DFDD"/>
    </w:rPr>
  </w:style>
  <w:style w:type="table" w:customStyle="1" w:styleId="Tablaconcuadrcula1111212">
    <w:name w:val="Tabla con cuadrícula1111212"/>
    <w:basedOn w:val="Tablanormal"/>
    <w:uiPriority w:val="39"/>
    <w:rsid w:val="00FE36D5"/>
    <w:rPr>
      <w:rFonts w:ascii="Cambria" w:eastAsia="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E36D5"/>
  </w:style>
  <w:style w:type="table" w:customStyle="1" w:styleId="Tablaconcuadrcula3">
    <w:name w:val="Tabla con cuadrícula3"/>
    <w:basedOn w:val="Tablanormal"/>
    <w:next w:val="Tablaconcuadrcula"/>
    <w:uiPriority w:val="39"/>
    <w:rsid w:val="00FE36D5"/>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E36D5"/>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E36D5"/>
    <w:rPr>
      <w:rFonts w:ascii="Times New Roman" w:eastAsia="Times New Roman" w:hAnsi="Times New Roman" w:cs="Times New Roman"/>
      <w:sz w:val="16"/>
      <w:szCs w:val="16"/>
      <w:lang w:eastAsia="es-MX"/>
    </w:rPr>
  </w:style>
  <w:style w:type="paragraph" w:customStyle="1" w:styleId="xmsonormal">
    <w:name w:val="x_msonormal"/>
    <w:basedOn w:val="Normal"/>
    <w:rsid w:val="00FE36D5"/>
    <w:pPr>
      <w:spacing w:before="100" w:beforeAutospacing="1" w:after="100" w:afterAutospacing="1"/>
    </w:pPr>
  </w:style>
  <w:style w:type="character" w:customStyle="1" w:styleId="eop">
    <w:name w:val="eop"/>
    <w:basedOn w:val="Fuentedeprrafopredeter"/>
    <w:rsid w:val="00FE36D5"/>
  </w:style>
  <w:style w:type="paragraph" w:styleId="Textonotaalfinal">
    <w:name w:val="endnote text"/>
    <w:basedOn w:val="Normal"/>
    <w:link w:val="TextonotaalfinalCar"/>
    <w:uiPriority w:val="99"/>
    <w:semiHidden/>
    <w:unhideWhenUsed/>
    <w:rsid w:val="00FE36D5"/>
    <w:rPr>
      <w:sz w:val="20"/>
      <w:szCs w:val="20"/>
    </w:rPr>
  </w:style>
  <w:style w:type="character" w:customStyle="1" w:styleId="TextonotaalfinalCar">
    <w:name w:val="Texto nota al final Car"/>
    <w:basedOn w:val="Fuentedeprrafopredeter"/>
    <w:link w:val="Textonotaalfinal"/>
    <w:uiPriority w:val="99"/>
    <w:semiHidden/>
    <w:rsid w:val="00FE36D5"/>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FE36D5"/>
    <w:rPr>
      <w:vertAlign w:val="superscript"/>
    </w:rPr>
  </w:style>
  <w:style w:type="table" w:customStyle="1" w:styleId="Tablaconcuadrcula1111213">
    <w:name w:val="Tabla con cuadrícula1111213"/>
    <w:basedOn w:val="Tablanormal"/>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FE36D5"/>
    <w:rPr>
      <w:color w:val="605E5C"/>
      <w:shd w:val="clear" w:color="auto" w:fill="E1DFDD"/>
    </w:rPr>
  </w:style>
  <w:style w:type="paragraph" w:styleId="Subttulo">
    <w:name w:val="Subtitle"/>
    <w:basedOn w:val="Normal"/>
    <w:next w:val="Normal"/>
    <w:link w:val="SubttuloCar"/>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FE36D5"/>
    <w:rPr>
      <w:rFonts w:ascii="Georgia" w:eastAsia="Georgia" w:hAnsi="Georgia" w:cs="Georgia"/>
      <w:i/>
      <w:color w:val="666666"/>
      <w:sz w:val="48"/>
      <w:szCs w:val="48"/>
      <w:lang w:eastAsia="es-MX"/>
    </w:rPr>
  </w:style>
  <w:style w:type="table" w:customStyle="1" w:styleId="151">
    <w:name w:val="151"/>
    <w:basedOn w:val="TableNormal1"/>
    <w:rsid w:val="00FE36D5"/>
    <w:tblPr>
      <w:tblStyleRowBandSize w:val="1"/>
      <w:tblStyleColBandSize w:val="1"/>
      <w:tblCellMar>
        <w:top w:w="100" w:type="dxa"/>
        <w:left w:w="100" w:type="dxa"/>
        <w:bottom w:w="100" w:type="dxa"/>
        <w:right w:w="100" w:type="dxa"/>
      </w:tblCellMar>
    </w:tblPr>
  </w:style>
  <w:style w:type="table" w:customStyle="1" w:styleId="150">
    <w:name w:val="150"/>
    <w:basedOn w:val="TableNormal1"/>
    <w:rsid w:val="00FE36D5"/>
    <w:tblPr>
      <w:tblStyleRowBandSize w:val="1"/>
      <w:tblStyleColBandSize w:val="1"/>
      <w:tblCellMar>
        <w:left w:w="115" w:type="dxa"/>
        <w:right w:w="115" w:type="dxa"/>
      </w:tblCellMar>
    </w:tblPr>
  </w:style>
  <w:style w:type="table" w:customStyle="1" w:styleId="149">
    <w:name w:val="149"/>
    <w:basedOn w:val="TableNormal1"/>
    <w:rsid w:val="00FE36D5"/>
    <w:tblPr>
      <w:tblStyleRowBandSize w:val="1"/>
      <w:tblStyleColBandSize w:val="1"/>
      <w:tblCellMar>
        <w:left w:w="115" w:type="dxa"/>
        <w:right w:w="115" w:type="dxa"/>
      </w:tblCellMar>
    </w:tblPr>
  </w:style>
  <w:style w:type="table" w:customStyle="1" w:styleId="148">
    <w:name w:val="148"/>
    <w:basedOn w:val="TableNormal1"/>
    <w:rsid w:val="00FE36D5"/>
    <w:tblPr>
      <w:tblStyleRowBandSize w:val="1"/>
      <w:tblStyleColBandSize w:val="1"/>
      <w:tblCellMar>
        <w:left w:w="115" w:type="dxa"/>
        <w:right w:w="115" w:type="dxa"/>
      </w:tblCellMar>
    </w:tblPr>
  </w:style>
  <w:style w:type="table" w:customStyle="1" w:styleId="147">
    <w:name w:val="147"/>
    <w:basedOn w:val="TableNormal1"/>
    <w:rsid w:val="00FE36D5"/>
    <w:tblPr>
      <w:tblStyleRowBandSize w:val="1"/>
      <w:tblStyleColBandSize w:val="1"/>
      <w:tblCellMar>
        <w:left w:w="115" w:type="dxa"/>
        <w:right w:w="115" w:type="dxa"/>
      </w:tblCellMar>
    </w:tblPr>
  </w:style>
  <w:style w:type="table" w:customStyle="1" w:styleId="146">
    <w:name w:val="146"/>
    <w:basedOn w:val="TableNormal1"/>
    <w:rsid w:val="00FE36D5"/>
    <w:tblPr>
      <w:tblStyleRowBandSize w:val="1"/>
      <w:tblStyleColBandSize w:val="1"/>
      <w:tblCellMar>
        <w:left w:w="115" w:type="dxa"/>
        <w:right w:w="115" w:type="dxa"/>
      </w:tblCellMar>
    </w:tblPr>
  </w:style>
  <w:style w:type="table" w:customStyle="1" w:styleId="145">
    <w:name w:val="145"/>
    <w:basedOn w:val="TableNormal1"/>
    <w:rsid w:val="00FE36D5"/>
    <w:rPr>
      <w:rFonts w:ascii="Arial" w:eastAsia="Arial" w:hAnsi="Arial" w:cs="Arial"/>
      <w:sz w:val="22"/>
      <w:szCs w:val="22"/>
    </w:rPr>
    <w:tblPr>
      <w:tblStyleRowBandSize w:val="1"/>
      <w:tblStyleColBandSize w:val="1"/>
      <w:tblCellMar>
        <w:left w:w="115" w:type="dxa"/>
        <w:right w:w="115" w:type="dxa"/>
      </w:tblCellMar>
    </w:tblPr>
  </w:style>
  <w:style w:type="table" w:customStyle="1" w:styleId="144">
    <w:name w:val="144"/>
    <w:basedOn w:val="TableNormal1"/>
    <w:rsid w:val="00FE36D5"/>
    <w:tblPr>
      <w:tblStyleRowBandSize w:val="1"/>
      <w:tblStyleColBandSize w:val="1"/>
      <w:tblCellMar>
        <w:left w:w="115" w:type="dxa"/>
        <w:right w:w="115" w:type="dxa"/>
      </w:tblCellMar>
    </w:tblPr>
  </w:style>
  <w:style w:type="table" w:customStyle="1" w:styleId="143">
    <w:name w:val="143"/>
    <w:basedOn w:val="TableNormal1"/>
    <w:rsid w:val="00FE36D5"/>
    <w:tblPr>
      <w:tblStyleRowBandSize w:val="1"/>
      <w:tblStyleColBandSize w:val="1"/>
      <w:tblCellMar>
        <w:left w:w="115" w:type="dxa"/>
        <w:right w:w="115" w:type="dxa"/>
      </w:tblCellMar>
    </w:tblPr>
  </w:style>
  <w:style w:type="table" w:customStyle="1" w:styleId="142">
    <w:name w:val="142"/>
    <w:basedOn w:val="TableNormal1"/>
    <w:rsid w:val="00FE36D5"/>
    <w:rPr>
      <w:rFonts w:ascii="Arial" w:eastAsia="Arial" w:hAnsi="Arial" w:cs="Arial"/>
      <w:sz w:val="22"/>
      <w:szCs w:val="22"/>
    </w:rPr>
    <w:tblPr>
      <w:tblStyleRowBandSize w:val="1"/>
      <w:tblStyleColBandSize w:val="1"/>
      <w:tblCellMar>
        <w:left w:w="115" w:type="dxa"/>
        <w:right w:w="115" w:type="dxa"/>
      </w:tblCellMar>
    </w:tblPr>
  </w:style>
  <w:style w:type="table" w:customStyle="1" w:styleId="141">
    <w:name w:val="141"/>
    <w:basedOn w:val="TableNormal1"/>
    <w:rsid w:val="00FE36D5"/>
    <w:rPr>
      <w:rFonts w:ascii="Arial" w:eastAsia="Arial" w:hAnsi="Arial" w:cs="Arial"/>
      <w:sz w:val="22"/>
      <w:szCs w:val="22"/>
    </w:rPr>
    <w:tblPr>
      <w:tblStyleRowBandSize w:val="1"/>
      <w:tblStyleColBandSize w:val="1"/>
      <w:tblCellMar>
        <w:left w:w="115" w:type="dxa"/>
        <w:right w:w="115" w:type="dxa"/>
      </w:tblCellMar>
    </w:tblPr>
  </w:style>
  <w:style w:type="table" w:customStyle="1" w:styleId="140">
    <w:name w:val="140"/>
    <w:basedOn w:val="TableNormal4"/>
    <w:rsid w:val="00FE36D5"/>
    <w:rPr>
      <w:rFonts w:ascii="Arial" w:eastAsia="Arial" w:hAnsi="Arial" w:cs="Arial"/>
      <w:sz w:val="22"/>
      <w:szCs w:val="22"/>
    </w:rPr>
    <w:tblPr>
      <w:tblStyleRowBandSize w:val="1"/>
      <w:tblStyleColBandSize w:val="1"/>
      <w:tblCellMar>
        <w:left w:w="115" w:type="dxa"/>
        <w:right w:w="115" w:type="dxa"/>
      </w:tblCellMar>
    </w:tblPr>
  </w:style>
  <w:style w:type="table" w:customStyle="1" w:styleId="139">
    <w:name w:val="139"/>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8">
    <w:name w:val="138"/>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7">
    <w:name w:val="137"/>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6">
    <w:name w:val="136"/>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5">
    <w:name w:val="135"/>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4">
    <w:name w:val="134"/>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3">
    <w:name w:val="133"/>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2">
    <w:name w:val="132"/>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1">
    <w:name w:val="131"/>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0">
    <w:name w:val="130"/>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9">
    <w:name w:val="129"/>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8">
    <w:name w:val="128"/>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7">
    <w:name w:val="127"/>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6">
    <w:name w:val="126"/>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5">
    <w:name w:val="125"/>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4">
    <w:name w:val="124"/>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3">
    <w:name w:val="123"/>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2">
    <w:name w:val="122"/>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1">
    <w:name w:val="121"/>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0">
    <w:name w:val="120"/>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9">
    <w:name w:val="119"/>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8">
    <w:name w:val="118"/>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7">
    <w:name w:val="117"/>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6">
    <w:name w:val="116"/>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5">
    <w:name w:val="115"/>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4">
    <w:name w:val="114"/>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3">
    <w:name w:val="113"/>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2">
    <w:name w:val="112"/>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1">
    <w:name w:val="111"/>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0">
    <w:name w:val="110"/>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9">
    <w:name w:val="109"/>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8">
    <w:name w:val="108"/>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7">
    <w:name w:val="107"/>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6">
    <w:name w:val="106"/>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5">
    <w:name w:val="105"/>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4">
    <w:name w:val="104"/>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3">
    <w:name w:val="103"/>
    <w:basedOn w:val="TableNormal4"/>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2">
    <w:name w:val="102"/>
    <w:basedOn w:val="TableNormal17"/>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1">
    <w:name w:val="101"/>
    <w:basedOn w:val="TableNormal17"/>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0">
    <w:name w:val="100"/>
    <w:basedOn w:val="TableNormal18"/>
    <w:rsid w:val="00FE36D5"/>
    <w:tblPr>
      <w:tblStyleRowBandSize w:val="1"/>
      <w:tblStyleColBandSize w:val="1"/>
      <w:tblCellMar>
        <w:left w:w="115" w:type="dxa"/>
        <w:right w:w="115" w:type="dxa"/>
      </w:tblCellMar>
    </w:tblPr>
  </w:style>
  <w:style w:type="table" w:customStyle="1" w:styleId="99">
    <w:name w:val="99"/>
    <w:basedOn w:val="TableNormal18"/>
    <w:rsid w:val="00FE36D5"/>
    <w:tblPr>
      <w:tblStyleRowBandSize w:val="1"/>
      <w:tblStyleColBandSize w:val="1"/>
      <w:tblCellMar>
        <w:top w:w="100" w:type="dxa"/>
        <w:left w:w="100" w:type="dxa"/>
        <w:bottom w:w="100" w:type="dxa"/>
        <w:right w:w="100" w:type="dxa"/>
      </w:tblCellMar>
    </w:tblPr>
  </w:style>
  <w:style w:type="table" w:customStyle="1" w:styleId="98">
    <w:name w:val="98"/>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7">
    <w:name w:val="97"/>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6">
    <w:name w:val="96"/>
    <w:basedOn w:val="TableNormal18"/>
    <w:rsid w:val="00FE36D5"/>
    <w:tblPr>
      <w:tblStyleRowBandSize w:val="1"/>
      <w:tblStyleColBandSize w:val="1"/>
      <w:tblCellMar>
        <w:top w:w="100" w:type="dxa"/>
        <w:left w:w="100" w:type="dxa"/>
        <w:bottom w:w="100" w:type="dxa"/>
        <w:right w:w="100" w:type="dxa"/>
      </w:tblCellMar>
    </w:tblPr>
  </w:style>
  <w:style w:type="table" w:customStyle="1" w:styleId="95">
    <w:name w:val="95"/>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4">
    <w:name w:val="94"/>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3">
    <w:name w:val="93"/>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2">
    <w:name w:val="92"/>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1">
    <w:name w:val="91"/>
    <w:basedOn w:val="TableNormal18"/>
    <w:rsid w:val="00FE36D5"/>
    <w:rPr>
      <w:rFonts w:ascii="Arial" w:eastAsia="Arial" w:hAnsi="Arial" w:cs="Arial"/>
      <w:sz w:val="22"/>
      <w:szCs w:val="22"/>
    </w:rPr>
    <w:tblPr>
      <w:tblStyleRowBandSize w:val="1"/>
      <w:tblStyleColBandSize w:val="1"/>
      <w:tblCellMar>
        <w:left w:w="115" w:type="dxa"/>
        <w:right w:w="115" w:type="dxa"/>
      </w:tblCellMar>
    </w:tblPr>
  </w:style>
  <w:style w:type="table" w:customStyle="1" w:styleId="90">
    <w:name w:val="90"/>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9">
    <w:name w:val="89"/>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8">
    <w:name w:val="88"/>
    <w:basedOn w:val="TableNormal18"/>
    <w:rsid w:val="00FE36D5"/>
    <w:rPr>
      <w:rFonts w:ascii="Arial" w:eastAsia="Arial" w:hAnsi="Arial" w:cs="Arial"/>
      <w:sz w:val="22"/>
      <w:szCs w:val="22"/>
    </w:rPr>
    <w:tblPr>
      <w:tblStyleRowBandSize w:val="1"/>
      <w:tblStyleColBandSize w:val="1"/>
      <w:tblCellMar>
        <w:left w:w="108" w:type="dxa"/>
        <w:right w:w="108" w:type="dxa"/>
      </w:tblCellMar>
    </w:tblPr>
  </w:style>
  <w:style w:type="table" w:customStyle="1" w:styleId="87">
    <w:name w:val="87"/>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6">
    <w:name w:val="86"/>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5">
    <w:name w:val="85"/>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4">
    <w:name w:val="84"/>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3">
    <w:name w:val="83"/>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2">
    <w:name w:val="82"/>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1">
    <w:name w:val="81"/>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0">
    <w:name w:val="80"/>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9">
    <w:name w:val="79"/>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8">
    <w:name w:val="78"/>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7">
    <w:name w:val="77"/>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6">
    <w:name w:val="76"/>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5">
    <w:name w:val="75"/>
    <w:basedOn w:val="TableNormal1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4">
    <w:name w:val="74"/>
    <w:basedOn w:val="TableNormal27"/>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3">
    <w:name w:val="73"/>
    <w:basedOn w:val="TableNormal27"/>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2">
    <w:name w:val="72"/>
    <w:basedOn w:val="TableNormal27"/>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1">
    <w:name w:val="71"/>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0">
    <w:name w:val="70"/>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9">
    <w:name w:val="69"/>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8">
    <w:name w:val="68"/>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7">
    <w:name w:val="67"/>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6">
    <w:name w:val="66"/>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5">
    <w:name w:val="65"/>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4">
    <w:name w:val="64"/>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3">
    <w:name w:val="63"/>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2">
    <w:name w:val="62"/>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1">
    <w:name w:val="61"/>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0">
    <w:name w:val="60"/>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9">
    <w:name w:val="59"/>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8">
    <w:name w:val="58"/>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7">
    <w:name w:val="57"/>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6">
    <w:name w:val="56"/>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5">
    <w:name w:val="55"/>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4">
    <w:name w:val="54"/>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3">
    <w:name w:val="53"/>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2">
    <w:name w:val="52"/>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1">
    <w:name w:val="51"/>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0">
    <w:name w:val="50"/>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9">
    <w:name w:val="49"/>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8">
    <w:name w:val="48"/>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7">
    <w:name w:val="47"/>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6">
    <w:name w:val="46"/>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5">
    <w:name w:val="45"/>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4">
    <w:name w:val="44"/>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3">
    <w:name w:val="43"/>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2">
    <w:name w:val="42"/>
    <w:basedOn w:val="TableNormal28"/>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1">
    <w:name w:val="41"/>
    <w:basedOn w:val="TableNormal40"/>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0">
    <w:name w:val="40"/>
    <w:basedOn w:val="TableNormal40"/>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9">
    <w:name w:val="39"/>
    <w:basedOn w:val="TableNormal40"/>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8">
    <w:name w:val="38"/>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7">
    <w:name w:val="37"/>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6">
    <w:name w:val="36"/>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5">
    <w:name w:val="35"/>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4">
    <w:name w:val="34"/>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3">
    <w:name w:val="33"/>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2">
    <w:name w:val="32"/>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1">
    <w:name w:val="31"/>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0">
    <w:name w:val="30"/>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9">
    <w:name w:val="29"/>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8">
    <w:name w:val="28"/>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7">
    <w:name w:val="27"/>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6">
    <w:name w:val="26"/>
    <w:basedOn w:val="TableNormal41"/>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5">
    <w:name w:val="25"/>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4">
    <w:name w:val="24"/>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3">
    <w:name w:val="23"/>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2">
    <w:name w:val="22"/>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1">
    <w:name w:val="21"/>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0">
    <w:name w:val="20"/>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9">
    <w:name w:val="19"/>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8">
    <w:name w:val="18"/>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7">
    <w:name w:val="17"/>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6">
    <w:name w:val="16"/>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5">
    <w:name w:val="15"/>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4">
    <w:name w:val="14"/>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3">
    <w:name w:val="13"/>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2">
    <w:name w:val="12"/>
    <w:basedOn w:val="TableNormal4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1">
    <w:name w:val="11"/>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0">
    <w:name w:val="10"/>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9">
    <w:name w:val="9"/>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8">
    <w:name w:val="8"/>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7">
    <w:name w:val="7"/>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6">
    <w:name w:val="6"/>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5">
    <w:name w:val="5"/>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4">
    <w:name w:val="4"/>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3">
    <w:name w:val="3"/>
    <w:basedOn w:val="TableNormal52"/>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2">
    <w:name w:val="2"/>
    <w:basedOn w:val="TableNormal5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table" w:customStyle="1" w:styleId="1">
    <w:name w:val="1"/>
    <w:basedOn w:val="TableNormal56"/>
    <w:rsid w:val="00FE36D5"/>
    <w:rPr>
      <w:rFonts w:ascii="Arial" w:eastAsia="Arial" w:hAnsi="Arial" w:cs="Arial"/>
      <w:sz w:val="22"/>
      <w:szCs w:val="22"/>
    </w:rPr>
    <w:tblPr>
      <w:tblStyleRowBandSize w:val="1"/>
      <w:tblStyleColBandSize w:val="1"/>
      <w:tblCellMar>
        <w:top w:w="100" w:type="dxa"/>
        <w:left w:w="115" w:type="dxa"/>
        <w:bottom w:w="100" w:type="dxa"/>
        <w:right w:w="115" w:type="dxa"/>
      </w:tblCellMar>
    </w:tblPr>
  </w:style>
  <w:style w:type="character" w:customStyle="1" w:styleId="Mencinsinresolver10">
    <w:name w:val="Mención sin resolver10"/>
    <w:basedOn w:val="Fuentedeprrafopredeter"/>
    <w:uiPriority w:val="99"/>
    <w:semiHidden/>
    <w:unhideWhenUsed/>
    <w:rsid w:val="00FE36D5"/>
    <w:rPr>
      <w:color w:val="605E5C"/>
      <w:shd w:val="clear" w:color="auto" w:fill="E1DFDD"/>
    </w:rPr>
  </w:style>
  <w:style w:type="paragraph" w:styleId="Listaconvietas3">
    <w:name w:val="List Bullet 3"/>
    <w:basedOn w:val="Normal"/>
    <w:uiPriority w:val="99"/>
    <w:unhideWhenUsed/>
    <w:rsid w:val="00FE36D5"/>
    <w:pPr>
      <w:numPr>
        <w:numId w:val="3"/>
      </w:numPr>
      <w:contextualSpacing/>
    </w:pPr>
    <w:rPr>
      <w:lang w:val="es-ES" w:eastAsia="es-ES"/>
    </w:rPr>
  </w:style>
  <w:style w:type="paragraph" w:customStyle="1" w:styleId="ADB1">
    <w:name w:val="ADB1"/>
    <w:basedOn w:val="Normal"/>
    <w:next w:val="Textonotapie"/>
    <w:uiPriority w:val="99"/>
    <w:unhideWhenUsed/>
    <w:qFormat/>
    <w:rsid w:val="00FE36D5"/>
    <w:rPr>
      <w:rFonts w:asciiTheme="minorHAnsi" w:eastAsia="Cambria" w:hAnsiTheme="minorHAnsi" w:cstheme="minorBidi"/>
      <w:sz w:val="20"/>
      <w:szCs w:val="20"/>
      <w:lang w:eastAsia="en-US"/>
    </w:rPr>
  </w:style>
  <w:style w:type="character" w:customStyle="1" w:styleId="TextonotapieCar1">
    <w:name w:val="Texto nota pie Car1"/>
    <w:basedOn w:val="Fuentedeprrafopredeter"/>
    <w:uiPriority w:val="99"/>
    <w:semiHidden/>
    <w:rsid w:val="00FE36D5"/>
    <w:rPr>
      <w:sz w:val="20"/>
      <w:szCs w:val="20"/>
    </w:rPr>
  </w:style>
  <w:style w:type="table" w:customStyle="1" w:styleId="Tablaconcuadrcula4">
    <w:name w:val="Tabla con cuadrícula4"/>
    <w:basedOn w:val="Tablanormal"/>
    <w:next w:val="Tablaconcuadrcula"/>
    <w:uiPriority w:val="59"/>
    <w:rsid w:val="00FE36D5"/>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1">
    <w:name w:val="Mención sin resolver11"/>
    <w:basedOn w:val="Fuentedeprrafopredeter"/>
    <w:uiPriority w:val="99"/>
    <w:semiHidden/>
    <w:unhideWhenUsed/>
    <w:rsid w:val="00FE36D5"/>
    <w:rPr>
      <w:color w:val="605E5C"/>
      <w:shd w:val="clear" w:color="auto" w:fill="E1DFDD"/>
    </w:rPr>
  </w:style>
  <w:style w:type="table" w:customStyle="1" w:styleId="Tablaconcuadrcula5">
    <w:name w:val="Tabla con cuadrícula5"/>
    <w:basedOn w:val="Tablanormal"/>
    <w:next w:val="Tablaconcuadrcula"/>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2">
    <w:name w:val="Mención sin resolver12"/>
    <w:basedOn w:val="Fuentedeprrafopredeter"/>
    <w:uiPriority w:val="99"/>
    <w:semiHidden/>
    <w:unhideWhenUsed/>
    <w:rsid w:val="00FE36D5"/>
    <w:rPr>
      <w:color w:val="605E5C"/>
      <w:shd w:val="clear" w:color="auto" w:fill="E1DFDD"/>
    </w:rPr>
  </w:style>
  <w:style w:type="table" w:customStyle="1" w:styleId="Tablaconcuadrcula9">
    <w:name w:val="Tabla con cuadrícula9"/>
    <w:basedOn w:val="Tablanormal"/>
    <w:next w:val="Tablaconcuadrcula"/>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3">
    <w:name w:val="Mención sin resolver13"/>
    <w:basedOn w:val="Fuentedeprrafopredeter"/>
    <w:uiPriority w:val="99"/>
    <w:semiHidden/>
    <w:unhideWhenUsed/>
    <w:rsid w:val="00FE36D5"/>
    <w:rPr>
      <w:color w:val="605E5C"/>
      <w:shd w:val="clear" w:color="auto" w:fill="E1DFDD"/>
    </w:rPr>
  </w:style>
  <w:style w:type="table" w:customStyle="1" w:styleId="Tablaconcuadrcula51">
    <w:name w:val="Tabla con cuadrícula51"/>
    <w:basedOn w:val="Tablanormal"/>
    <w:next w:val="Tablaconcuadrcula"/>
    <w:uiPriority w:val="39"/>
    <w:rsid w:val="00FE36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FE36D5"/>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4">
    <w:name w:val="Mención sin resolver14"/>
    <w:basedOn w:val="Fuentedeprrafopredeter"/>
    <w:uiPriority w:val="99"/>
    <w:semiHidden/>
    <w:unhideWhenUsed/>
    <w:rsid w:val="00FE36D5"/>
    <w:rPr>
      <w:color w:val="605E5C"/>
      <w:shd w:val="clear" w:color="auto" w:fill="E1DFDD"/>
    </w:rPr>
  </w:style>
  <w:style w:type="table" w:customStyle="1" w:styleId="Tablaconcuadrcula10">
    <w:name w:val="Tabla con cuadrícula10"/>
    <w:basedOn w:val="Tablanormal"/>
    <w:next w:val="Tablaconcuadrcula"/>
    <w:uiPriority w:val="39"/>
    <w:rsid w:val="00FE36D5"/>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FE36D5"/>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normatecainterna.edugem.gob.mx/verdocumento.action?IDOCUMENTO=MANU_033.PDF" TargetMode="External"/><Relationship Id="rId2" Type="http://schemas.openxmlformats.org/officeDocument/2006/relationships/hyperlink" Target="https://cultura.edomex.gob.mx/sites/cultura.edomex.gob.mx/files/files/transparencia/ManualGOSCyT.pdf" TargetMode="External"/><Relationship Id="rId1" Type="http://schemas.openxmlformats.org/officeDocument/2006/relationships/hyperlink" Target="https://legislacion.edomex.gob.mx/sites/legislacion.edomex.gob.mx/files/files/pdf/gct/2022/octubre/oct101/oct101b.pdf" TargetMode="External"/><Relationship Id="rId6" Type="http://schemas.openxmlformats.org/officeDocument/2006/relationships/hyperlink" Target="https://www.dof.gob.mx/nota_detalle.php?codigo=5671860&amp;fecha=18/11/2022" TargetMode="External"/><Relationship Id="rId5" Type="http://schemas.openxmlformats.org/officeDocument/2006/relationships/hyperlink" Target="https://www.dof.gob.mx/nota_detalle.php?codigo=5446230&amp;fecha=29/07/2016" TargetMode="External"/><Relationship Id="rId4" Type="http://schemas.openxmlformats.org/officeDocument/2006/relationships/hyperlink" Target="https://www.dof.gob.mx/nota_detalle.php?codigo=5433280&amp;fecha=15/04/201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Rd5V5M8eVK8LHSuzSTF2KDEGuA==">CgMxLjAyCGguZ2pkZ3hzMgloLjMwajB6bGwyCWguMWZvYjl0ZTIOaC5jazRoMWplY2ZkMzIyCWguM3pueXNoNzIJaC4yZXQ5MnAwMghoLnR5amN3dDIJaC4zZHk2dmttMgloLjF0M2g1c2YyCWguNGQzNG9nODIJaC4yczhleW8xMgloLjE3ZHA4dnUyCWguM3JkY3JqbjgAciExWHpuQUI3dHdUZ29rM3c0VVBackw4VUttUFVLXzBOaWc=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35F2B3-2712-46F7-A9B8-C1F47BC26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88</Pages>
  <Words>24899</Words>
  <Characters>136946</Characters>
  <Application>Microsoft Office Word</Application>
  <DocSecurity>0</DocSecurity>
  <Lines>1141</Lines>
  <Paragraphs>323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161522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INFOEM382</dc:creator>
  <cp:lastModifiedBy>INFOEM381</cp:lastModifiedBy>
  <cp:revision>11</cp:revision>
  <cp:lastPrinted>2024-04-08T16:36:00Z</cp:lastPrinted>
  <dcterms:created xsi:type="dcterms:W3CDTF">2024-03-24T12:38:00Z</dcterms:created>
  <dcterms:modified xsi:type="dcterms:W3CDTF">2024-05-03T20:01:00Z</dcterms:modified>
</cp:coreProperties>
</file>