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7891C" w14:textId="77777777" w:rsidR="00D71285" w:rsidRDefault="00AC7421">
      <w:pPr>
        <w:tabs>
          <w:tab w:val="left" w:pos="3465"/>
        </w:tabs>
        <w:spacing w:line="360" w:lineRule="auto"/>
        <w:ind w:right="-64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 fecha diecinueve (19) de septiembre de dos mil veinticuatro.</w:t>
      </w:r>
    </w:p>
    <w:p w14:paraId="0663D31D" w14:textId="77777777" w:rsidR="00D71285" w:rsidRDefault="00D71285">
      <w:pPr>
        <w:tabs>
          <w:tab w:val="left" w:pos="3465"/>
        </w:tabs>
        <w:spacing w:line="360" w:lineRule="auto"/>
        <w:ind w:right="-646"/>
        <w:jc w:val="both"/>
        <w:rPr>
          <w:rFonts w:ascii="Palatino Linotype" w:eastAsia="Palatino Linotype" w:hAnsi="Palatino Linotype" w:cs="Palatino Linotype"/>
          <w:color w:val="000000"/>
        </w:rPr>
      </w:pPr>
    </w:p>
    <w:p w14:paraId="3EA6AE24" w14:textId="0A5869AD" w:rsidR="00D71285" w:rsidRDefault="00AC7421">
      <w:pPr>
        <w:spacing w:line="360" w:lineRule="auto"/>
        <w:ind w:right="-646"/>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VISTO</w:t>
      </w:r>
      <w:r>
        <w:rPr>
          <w:rFonts w:ascii="Palatino Linotype" w:eastAsia="Palatino Linotype" w:hAnsi="Palatino Linotype" w:cs="Palatino Linotype"/>
          <w:color w:val="000000"/>
        </w:rPr>
        <w:t xml:space="preserve"> el expediente electrónico formado con motivo del recurso de revisión </w:t>
      </w:r>
      <w:r>
        <w:rPr>
          <w:rFonts w:ascii="Palatino Linotype" w:eastAsia="Palatino Linotype" w:hAnsi="Palatino Linotype" w:cs="Palatino Linotype"/>
          <w:b/>
          <w:color w:val="000000"/>
        </w:rPr>
        <w:t>03423/INFOEM/IP/RR/2024</w:t>
      </w:r>
      <w:r>
        <w:rPr>
          <w:rFonts w:ascii="Palatino Linotype" w:eastAsia="Palatino Linotype" w:hAnsi="Palatino Linotype" w:cs="Palatino Linotype"/>
          <w:color w:val="000000"/>
        </w:rPr>
        <w:t xml:space="preserve">, interpuesto por </w:t>
      </w:r>
      <w:r w:rsidR="0079386B">
        <w:rPr>
          <w:rFonts w:ascii="Palatino Linotype" w:eastAsia="Palatino Linotype" w:hAnsi="Palatino Linotype" w:cs="Palatino Linotype"/>
          <w:b/>
        </w:rPr>
        <w:t xml:space="preserve">XXX </w:t>
      </w:r>
      <w:proofErr w:type="spellStart"/>
      <w:r w:rsidR="0079386B">
        <w:rPr>
          <w:rFonts w:ascii="Palatino Linotype" w:eastAsia="Palatino Linotype" w:hAnsi="Palatino Linotype" w:cs="Palatino Linotype"/>
          <w:b/>
        </w:rPr>
        <w:t>XXX</w:t>
      </w:r>
      <w:proofErr w:type="spellEnd"/>
      <w:r>
        <w:rPr>
          <w:rFonts w:ascii="Palatino Linotype" w:eastAsia="Palatino Linotype" w:hAnsi="Palatino Linotype" w:cs="Palatino Linotype"/>
          <w:color w:val="000000"/>
        </w:rPr>
        <w:t>, y a quien en lo sucesivo</w:t>
      </w:r>
      <w:r>
        <w:rPr>
          <w:rFonts w:ascii="Palatino Linotype" w:eastAsia="Palatino Linotype" w:hAnsi="Palatino Linotype" w:cs="Palatino Linotype"/>
        </w:rPr>
        <w:t xml:space="preserve"> se denominará como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RECURRENTE</w:t>
      </w:r>
      <w:r>
        <w:rPr>
          <w:rFonts w:ascii="Palatino Linotype" w:eastAsia="Palatino Linotype" w:hAnsi="Palatino Linotype" w:cs="Palatino Linotype"/>
        </w:rPr>
        <w:t>,</w:t>
      </w:r>
      <w:r>
        <w:rPr>
          <w:rFonts w:ascii="Palatino Linotype" w:eastAsia="Palatino Linotype" w:hAnsi="Palatino Linotype" w:cs="Palatino Linotype"/>
          <w:color w:val="000000"/>
        </w:rPr>
        <w:t xml:space="preserve"> en contra de la respuesta del </w:t>
      </w:r>
      <w:r>
        <w:rPr>
          <w:rFonts w:ascii="Palatino Linotype" w:eastAsia="Palatino Linotype" w:hAnsi="Palatino Linotype" w:cs="Palatino Linotype"/>
          <w:b/>
          <w:color w:val="000000"/>
        </w:rPr>
        <w:t>Ayuntamiento de Tlalnepantla de Baz</w:t>
      </w:r>
      <w:r>
        <w:rPr>
          <w:rFonts w:ascii="Palatino Linotype" w:eastAsia="Palatino Linotype" w:hAnsi="Palatino Linotype" w:cs="Palatino Linotype"/>
          <w:color w:val="000000"/>
        </w:rPr>
        <w:t>, en adelante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 procede a dictar la presente resolución, con base en los siguientes:</w:t>
      </w:r>
    </w:p>
    <w:p w14:paraId="1B73742C" w14:textId="77777777" w:rsidR="00D71285" w:rsidRDefault="00D71285">
      <w:pPr>
        <w:spacing w:line="360" w:lineRule="auto"/>
        <w:ind w:right="-646"/>
        <w:jc w:val="both"/>
        <w:rPr>
          <w:rFonts w:ascii="Palatino Linotype" w:eastAsia="Palatino Linotype" w:hAnsi="Palatino Linotype" w:cs="Palatino Linotype"/>
          <w:b/>
          <w:color w:val="000000"/>
        </w:rPr>
      </w:pPr>
    </w:p>
    <w:p w14:paraId="373C6E56" w14:textId="77777777" w:rsidR="00D71285" w:rsidRDefault="00AC7421">
      <w:pPr>
        <w:pStyle w:val="Ttulo1"/>
        <w:spacing w:before="0" w:line="360" w:lineRule="auto"/>
        <w:ind w:right="-646"/>
        <w:jc w:val="center"/>
        <w:rPr>
          <w:b/>
          <w:color w:val="000000"/>
        </w:rPr>
      </w:pPr>
      <w:bookmarkStart w:id="0" w:name="_heading=h.gjdgxs" w:colFirst="0" w:colLast="0"/>
      <w:bookmarkEnd w:id="0"/>
      <w:r>
        <w:rPr>
          <w:b/>
          <w:color w:val="000000"/>
        </w:rPr>
        <w:t>A N T E C E D E N T E S</w:t>
      </w:r>
    </w:p>
    <w:p w14:paraId="2461B57B"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537BFA29"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siete (07) de mayo de dos mil veinticuatro</w:t>
      </w:r>
      <w:r>
        <w:rPr>
          <w:rFonts w:ascii="Palatino Linotype" w:eastAsia="Palatino Linotype" w:hAnsi="Palatino Linotype" w:cs="Palatino Linotype"/>
          <w:color w:val="000000"/>
        </w:rPr>
        <w:t>, el particular presentó</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 través del Sistema  de Acceso a la Información Mexiquense (SAIMEX), la solicitud de información pública registrada con el número </w:t>
      </w:r>
      <w:r>
        <w:rPr>
          <w:rFonts w:ascii="Palatino Linotype" w:eastAsia="Palatino Linotype" w:hAnsi="Palatino Linotype" w:cs="Palatino Linotype"/>
          <w:b/>
          <w:color w:val="000000"/>
        </w:rPr>
        <w:t>00610/TLALNEPA/IP/2024,</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la </w:t>
      </w:r>
      <w:r>
        <w:rPr>
          <w:rFonts w:ascii="Palatino Linotype" w:eastAsia="Palatino Linotype" w:hAnsi="Palatino Linotype" w:cs="Palatino Linotype"/>
          <w:color w:val="000000"/>
        </w:rPr>
        <w:t xml:space="preserve">que </w:t>
      </w:r>
      <w:r>
        <w:rPr>
          <w:rFonts w:ascii="Palatino Linotype" w:eastAsia="Palatino Linotype" w:hAnsi="Palatino Linotype" w:cs="Palatino Linotype"/>
        </w:rPr>
        <w:t>solicitó</w:t>
      </w:r>
      <w:r>
        <w:rPr>
          <w:rFonts w:ascii="Palatino Linotype" w:eastAsia="Palatino Linotype" w:hAnsi="Palatino Linotype" w:cs="Palatino Linotype"/>
          <w:color w:val="000000"/>
        </w:rPr>
        <w:t xml:space="preserve"> lo siguiente:</w:t>
      </w:r>
    </w:p>
    <w:p w14:paraId="5638E5DD" w14:textId="77777777" w:rsidR="00D71285" w:rsidRDefault="00D71285">
      <w:pPr>
        <w:pBdr>
          <w:top w:val="nil"/>
          <w:left w:val="nil"/>
          <w:bottom w:val="nil"/>
          <w:right w:val="nil"/>
          <w:between w:val="nil"/>
        </w:pBdr>
        <w:spacing w:line="276" w:lineRule="auto"/>
        <w:ind w:left="567" w:right="-646"/>
        <w:jc w:val="both"/>
        <w:rPr>
          <w:rFonts w:ascii="Palatino Linotype" w:eastAsia="Palatino Linotype" w:hAnsi="Palatino Linotype" w:cs="Palatino Linotype"/>
          <w:i/>
          <w:color w:val="000000"/>
        </w:rPr>
      </w:pPr>
    </w:p>
    <w:p w14:paraId="5FD7297F" w14:textId="77777777" w:rsidR="00D71285" w:rsidRDefault="00AC7421">
      <w:pPr>
        <w:pBdr>
          <w:top w:val="nil"/>
          <w:left w:val="nil"/>
          <w:bottom w:val="nil"/>
          <w:right w:val="nil"/>
          <w:between w:val="nil"/>
        </w:pBdr>
        <w:spacing w:line="276" w:lineRule="auto"/>
        <w:ind w:left="567" w:right="6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 “REQUIERO EL CFDI DEL SERVIDOR PÚBLICO ALEJANDRO CAHUE HERNÁNDEZ Motivo y razón por el cual gana el sueldo que tiene especialmente ALEJANDRO CAHUÉ HERNÁNDEZ y si está permitido en la ley. Requiero la nómina de todos los servidores públicos sindicalizados de la primera quincena de abril esto lo sabe la gobernadora que el </w:t>
      </w:r>
      <w:proofErr w:type="spellStart"/>
      <w:r>
        <w:rPr>
          <w:rFonts w:ascii="Palatino Linotype" w:eastAsia="Palatino Linotype" w:hAnsi="Palatino Linotype" w:cs="Palatino Linotype"/>
          <w:i/>
          <w:color w:val="000000"/>
        </w:rPr>
        <w:t>suteym</w:t>
      </w:r>
      <w:proofErr w:type="spellEnd"/>
      <w:r>
        <w:rPr>
          <w:rFonts w:ascii="Palatino Linotype" w:eastAsia="Palatino Linotype" w:hAnsi="Palatino Linotype" w:cs="Palatino Linotype"/>
          <w:i/>
          <w:color w:val="000000"/>
        </w:rPr>
        <w:t xml:space="preserve"> de Tlalnepantla por ser hijo del líder sindical Herminio es avión y gana más que incluso directores del gobierno. Por favor envíen la información solicitada gracias” </w:t>
      </w:r>
      <w:r>
        <w:rPr>
          <w:rFonts w:ascii="Palatino Linotype" w:eastAsia="Palatino Linotype" w:hAnsi="Palatino Linotype" w:cs="Palatino Linotype"/>
          <w:color w:val="000000"/>
        </w:rPr>
        <w:t>(Sic).</w:t>
      </w:r>
    </w:p>
    <w:p w14:paraId="5C5FE1A6" w14:textId="77777777" w:rsidR="00D71285" w:rsidRDefault="00D71285">
      <w:pPr>
        <w:spacing w:line="360" w:lineRule="auto"/>
        <w:ind w:right="-646"/>
        <w:jc w:val="both"/>
        <w:rPr>
          <w:rFonts w:ascii="Palatino Linotype" w:eastAsia="Palatino Linotype" w:hAnsi="Palatino Linotype" w:cs="Palatino Linotype"/>
          <w:color w:val="000000"/>
        </w:rPr>
      </w:pPr>
    </w:p>
    <w:p w14:paraId="65608873"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lastRenderedPageBreak/>
        <w:t>Se hace constar que el particular señaló como modalidad de entrega de la información:</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i/>
          <w:color w:val="000000"/>
        </w:rPr>
        <w:t>A través del SAIMEX</w:t>
      </w:r>
      <w:r>
        <w:rPr>
          <w:rFonts w:ascii="Palatino Linotype" w:eastAsia="Palatino Linotype" w:hAnsi="Palatino Linotype" w:cs="Palatino Linotype"/>
          <w:color w:val="000000"/>
        </w:rPr>
        <w:t>.</w:t>
      </w:r>
    </w:p>
    <w:p w14:paraId="435F9A3D"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45ACF6AB"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veinticuatro (24) de mayo de dos mil veinticuatro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a la solicitud de información en los siguientes términos:</w:t>
      </w:r>
    </w:p>
    <w:p w14:paraId="177FD62A" w14:textId="77777777" w:rsidR="00D71285" w:rsidRDefault="00D71285">
      <w:pPr>
        <w:pBdr>
          <w:top w:val="nil"/>
          <w:left w:val="nil"/>
          <w:bottom w:val="nil"/>
          <w:right w:val="nil"/>
          <w:between w:val="nil"/>
        </w:pBdr>
        <w:ind w:left="567" w:right="-646"/>
        <w:jc w:val="right"/>
        <w:rPr>
          <w:rFonts w:ascii="Palatino Linotype" w:eastAsia="Palatino Linotype" w:hAnsi="Palatino Linotype" w:cs="Palatino Linotype"/>
          <w:i/>
          <w:color w:val="000000"/>
        </w:rPr>
      </w:pPr>
    </w:p>
    <w:p w14:paraId="1E47CD25" w14:textId="77777777" w:rsidR="00D71285" w:rsidRDefault="00AC7421">
      <w:pPr>
        <w:pBdr>
          <w:top w:val="nil"/>
          <w:left w:val="nil"/>
          <w:bottom w:val="nil"/>
          <w:right w:val="nil"/>
          <w:between w:val="nil"/>
        </w:pBdr>
        <w:spacing w:line="276" w:lineRule="auto"/>
        <w:ind w:left="567"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xml:space="preserve"> “ENVIO RESPUESTA A LA SOLCIITUD CON NUMERO DE FOLIO SAIMEX 00610/TLALNEPA/IP/2024”</w:t>
      </w:r>
      <w:r>
        <w:rPr>
          <w:rFonts w:ascii="Palatino Linotype" w:eastAsia="Palatino Linotype" w:hAnsi="Palatino Linotype" w:cs="Palatino Linotype"/>
          <w:color w:val="000000"/>
          <w:sz w:val="22"/>
          <w:szCs w:val="22"/>
        </w:rPr>
        <w:t xml:space="preserve"> (Sic.)</w:t>
      </w:r>
    </w:p>
    <w:p w14:paraId="4395CDA5" w14:textId="77777777" w:rsidR="00D71285" w:rsidRDefault="00AC7421">
      <w:pPr>
        <w:pBdr>
          <w:top w:val="nil"/>
          <w:left w:val="nil"/>
          <w:bottom w:val="nil"/>
          <w:right w:val="nil"/>
          <w:between w:val="nil"/>
        </w:pBdr>
        <w:tabs>
          <w:tab w:val="left" w:pos="284"/>
          <w:tab w:val="left" w:pos="426"/>
        </w:tabs>
        <w:spacing w:line="360" w:lineRule="auto"/>
        <w:ind w:right="-64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14:paraId="64FF1E89" w14:textId="77777777" w:rsidR="00D71285" w:rsidRDefault="00AC7421">
      <w:pPr>
        <w:numPr>
          <w:ilvl w:val="0"/>
          <w:numId w:val="10"/>
        </w:numPr>
        <w:pBdr>
          <w:top w:val="nil"/>
          <w:left w:val="nil"/>
          <w:bottom w:val="nil"/>
          <w:right w:val="nil"/>
          <w:between w:val="nil"/>
        </w:pBdr>
        <w:tabs>
          <w:tab w:val="left" w:pos="284"/>
          <w:tab w:val="left" w:pos="426"/>
        </w:tabs>
        <w:spacing w:line="360" w:lineRule="auto"/>
        <w:ind w:right="-646"/>
        <w:jc w:val="both"/>
        <w:rPr>
          <w:color w:val="000000"/>
        </w:rPr>
      </w:pPr>
      <w:r>
        <w:rPr>
          <w:rFonts w:ascii="Palatino Linotype" w:eastAsia="Palatino Linotype" w:hAnsi="Palatino Linotype" w:cs="Palatino Linotype"/>
          <w:color w:val="000000"/>
        </w:rPr>
        <w:t xml:space="preserve">Se hace constar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hizo entrega de una carpeta comprimida titulada </w:t>
      </w:r>
      <w:r>
        <w:rPr>
          <w:rFonts w:ascii="Palatino Linotype" w:eastAsia="Palatino Linotype" w:hAnsi="Palatino Linotype" w:cs="Palatino Linotype"/>
          <w:b/>
          <w:i/>
          <w:color w:val="000000"/>
        </w:rPr>
        <w:t>"RESPUESTA SAIMEX 00610.zip”</w:t>
      </w:r>
      <w:r>
        <w:rPr>
          <w:rFonts w:ascii="Palatino Linotype" w:eastAsia="Palatino Linotype" w:hAnsi="Palatino Linotype" w:cs="Palatino Linotype"/>
          <w:color w:val="000000"/>
        </w:rPr>
        <w:t>, la cual contiene los siguientes documentos:</w:t>
      </w:r>
    </w:p>
    <w:p w14:paraId="2A4367AE" w14:textId="77777777" w:rsidR="00D71285" w:rsidRPr="00E71C21" w:rsidRDefault="00AC7421">
      <w:pPr>
        <w:numPr>
          <w:ilvl w:val="1"/>
          <w:numId w:val="10"/>
        </w:numPr>
        <w:pBdr>
          <w:top w:val="nil"/>
          <w:left w:val="nil"/>
          <w:bottom w:val="nil"/>
          <w:right w:val="nil"/>
          <w:between w:val="nil"/>
        </w:pBdr>
        <w:tabs>
          <w:tab w:val="left" w:pos="284"/>
          <w:tab w:val="left" w:pos="426"/>
        </w:tabs>
        <w:spacing w:line="360" w:lineRule="auto"/>
        <w:ind w:left="1134" w:right="62"/>
        <w:jc w:val="both"/>
        <w:rPr>
          <w:rFonts w:ascii="Palatino Linotype" w:eastAsia="Palatino Linotype" w:hAnsi="Palatino Linotype" w:cs="Palatino Linotype"/>
          <w:color w:val="000000"/>
          <w:sz w:val="22"/>
        </w:rPr>
      </w:pPr>
      <w:r w:rsidRPr="00E71C21">
        <w:rPr>
          <w:rFonts w:ascii="Palatino Linotype" w:eastAsia="Palatino Linotype" w:hAnsi="Palatino Linotype" w:cs="Palatino Linotype"/>
          <w:b/>
          <w:i/>
          <w:color w:val="000000"/>
          <w:sz w:val="22"/>
        </w:rPr>
        <w:t>“RESP ADMIN 2059.pdf”</w:t>
      </w:r>
      <w:r w:rsidRPr="00E71C21">
        <w:rPr>
          <w:rFonts w:ascii="Palatino Linotype" w:eastAsia="Palatino Linotype" w:hAnsi="Palatino Linotype" w:cs="Palatino Linotype"/>
          <w:color w:val="000000"/>
          <w:sz w:val="22"/>
        </w:rPr>
        <w:t>: Documento de seis fojas consistente en los siguientes instrumentos:</w:t>
      </w:r>
    </w:p>
    <w:p w14:paraId="76ED45FD" w14:textId="77777777" w:rsidR="00D71285" w:rsidRPr="00E71C21" w:rsidRDefault="00AC7421">
      <w:pPr>
        <w:numPr>
          <w:ilvl w:val="2"/>
          <w:numId w:val="7"/>
        </w:numPr>
        <w:pBdr>
          <w:top w:val="nil"/>
          <w:left w:val="nil"/>
          <w:bottom w:val="nil"/>
          <w:right w:val="nil"/>
          <w:between w:val="nil"/>
        </w:pBdr>
        <w:tabs>
          <w:tab w:val="left" w:pos="284"/>
          <w:tab w:val="left" w:pos="426"/>
        </w:tabs>
        <w:spacing w:line="360" w:lineRule="auto"/>
        <w:ind w:left="1701" w:right="62"/>
        <w:jc w:val="both"/>
        <w:rPr>
          <w:rFonts w:ascii="Palatino Linotype" w:eastAsia="Palatino Linotype" w:hAnsi="Palatino Linotype" w:cs="Palatino Linotype"/>
          <w:color w:val="000000"/>
          <w:sz w:val="22"/>
        </w:rPr>
      </w:pPr>
      <w:r w:rsidRPr="00E71C21">
        <w:rPr>
          <w:rFonts w:ascii="Palatino Linotype" w:eastAsia="Palatino Linotype" w:hAnsi="Palatino Linotype" w:cs="Palatino Linotype"/>
          <w:color w:val="000000"/>
          <w:sz w:val="22"/>
        </w:rPr>
        <w:t xml:space="preserve">Oficio número DA/2059/2024, de quince (15) de mayo de dos mil veinticuatro, emitido por el Director de Administración, dirigido al Titular de la Unidad de Transparencia y Acceso a la Información Municipal, por el que ofrece la respuesta proveída por el Departamento de Reclutamiento y Nómina respecto a la solicitud </w:t>
      </w:r>
      <w:r w:rsidRPr="00E71C21">
        <w:rPr>
          <w:rFonts w:ascii="Palatino Linotype" w:eastAsia="Palatino Linotype" w:hAnsi="Palatino Linotype" w:cs="Palatino Linotype"/>
          <w:b/>
          <w:color w:val="000000"/>
          <w:sz w:val="22"/>
        </w:rPr>
        <w:t>00610/TLALNEPA/IP/2024</w:t>
      </w:r>
      <w:r w:rsidRPr="00E71C21">
        <w:rPr>
          <w:rFonts w:ascii="Palatino Linotype" w:eastAsia="Palatino Linotype" w:hAnsi="Palatino Linotype" w:cs="Palatino Linotype"/>
          <w:color w:val="000000"/>
          <w:sz w:val="22"/>
        </w:rPr>
        <w:t>.</w:t>
      </w:r>
    </w:p>
    <w:p w14:paraId="07A2FB91" w14:textId="77777777" w:rsidR="00D71285" w:rsidRPr="00E71C21" w:rsidRDefault="00AC7421">
      <w:pPr>
        <w:numPr>
          <w:ilvl w:val="2"/>
          <w:numId w:val="7"/>
        </w:numPr>
        <w:pBdr>
          <w:top w:val="nil"/>
          <w:left w:val="nil"/>
          <w:bottom w:val="nil"/>
          <w:right w:val="nil"/>
          <w:between w:val="nil"/>
        </w:pBdr>
        <w:tabs>
          <w:tab w:val="left" w:pos="284"/>
          <w:tab w:val="left" w:pos="426"/>
        </w:tabs>
        <w:spacing w:line="360" w:lineRule="auto"/>
        <w:ind w:left="1701" w:right="62"/>
        <w:jc w:val="both"/>
        <w:rPr>
          <w:rFonts w:ascii="Palatino Linotype" w:eastAsia="Palatino Linotype" w:hAnsi="Palatino Linotype" w:cs="Palatino Linotype"/>
          <w:color w:val="000000"/>
          <w:sz w:val="22"/>
        </w:rPr>
      </w:pPr>
      <w:r w:rsidRPr="00E71C21">
        <w:rPr>
          <w:rFonts w:ascii="Palatino Linotype" w:eastAsia="Palatino Linotype" w:hAnsi="Palatino Linotype" w:cs="Palatino Linotype"/>
          <w:color w:val="000000"/>
          <w:sz w:val="22"/>
        </w:rPr>
        <w:t>Oficio DA/SCH/DRYN/0150/2024, de quince (15) de mayo de dos mil veinticuatro, emitido por el Jefe de Departamento de Reclutamiento y Nómina, dirigido a la Servidora Pública Habilitada de la Dirección de Administración, por el que se pronuncia sobre la persona referida en la solicitud de información primigenia y el reporte de nómina del personal sindicalizado, respecto de la primera quincena de abril de dos mil veinticuatro.</w:t>
      </w:r>
    </w:p>
    <w:p w14:paraId="12999882" w14:textId="77777777" w:rsidR="00D71285" w:rsidRDefault="00D71285">
      <w:pPr>
        <w:tabs>
          <w:tab w:val="left" w:pos="284"/>
          <w:tab w:val="left" w:pos="426"/>
        </w:tabs>
        <w:spacing w:line="360" w:lineRule="auto"/>
        <w:ind w:right="-646"/>
        <w:jc w:val="both"/>
        <w:rPr>
          <w:rFonts w:ascii="Palatino Linotype" w:eastAsia="Palatino Linotype" w:hAnsi="Palatino Linotype" w:cs="Palatino Linotype"/>
          <w:color w:val="000000"/>
        </w:rPr>
      </w:pPr>
    </w:p>
    <w:p w14:paraId="297C7ADC" w14:textId="77777777" w:rsidR="00D71285" w:rsidRDefault="00AC7421">
      <w:pPr>
        <w:numPr>
          <w:ilvl w:val="0"/>
          <w:numId w:val="10"/>
        </w:numPr>
        <w:pBdr>
          <w:top w:val="nil"/>
          <w:left w:val="nil"/>
          <w:bottom w:val="nil"/>
          <w:right w:val="nil"/>
          <w:between w:val="nil"/>
        </w:pBdr>
        <w:tabs>
          <w:tab w:val="left" w:pos="284"/>
          <w:tab w:val="left" w:pos="426"/>
        </w:tabs>
        <w:spacing w:line="360" w:lineRule="auto"/>
        <w:ind w:right="-646"/>
        <w:jc w:val="both"/>
        <w:rPr>
          <w:color w:val="000000"/>
        </w:rPr>
      </w:pPr>
      <w:r>
        <w:rPr>
          <w:rFonts w:ascii="Palatino Linotype" w:eastAsia="Palatino Linotype" w:hAnsi="Palatino Linotype" w:cs="Palatino Linotype"/>
          <w:color w:val="000000"/>
        </w:rPr>
        <w:lastRenderedPageBreak/>
        <w:t xml:space="preserve">Derivado de la respuesta emitida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tres (03) de junio de dos mil veinticuatro</w:t>
      </w:r>
      <w:r>
        <w:rPr>
          <w:rFonts w:ascii="Palatino Linotype" w:eastAsia="Palatino Linotype" w:hAnsi="Palatino Linotype" w:cs="Palatino Linotype"/>
          <w:color w:val="000000"/>
        </w:rPr>
        <w:t xml:space="preserve">, el particular interpuso el recurso de revisión </w:t>
      </w:r>
      <w:r>
        <w:rPr>
          <w:rFonts w:ascii="Palatino Linotype" w:eastAsia="Palatino Linotype" w:hAnsi="Palatino Linotype" w:cs="Palatino Linotype"/>
          <w:b/>
          <w:color w:val="000000"/>
        </w:rPr>
        <w:t>03423/INFOEM/IP/RR/2024</w:t>
      </w:r>
      <w:r>
        <w:rPr>
          <w:rFonts w:ascii="Palatino Linotype" w:eastAsia="Palatino Linotype" w:hAnsi="Palatino Linotype" w:cs="Palatino Linotype"/>
          <w:color w:val="000000"/>
        </w:rPr>
        <w:t>; impugnación en la que refirió lo siguiente:</w:t>
      </w:r>
    </w:p>
    <w:p w14:paraId="27821647" w14:textId="77777777" w:rsidR="00D71285" w:rsidRDefault="00AC7421">
      <w:pPr>
        <w:numPr>
          <w:ilvl w:val="0"/>
          <w:numId w:val="11"/>
        </w:numPr>
        <w:pBdr>
          <w:top w:val="nil"/>
          <w:left w:val="nil"/>
          <w:bottom w:val="nil"/>
          <w:right w:val="nil"/>
          <w:between w:val="nil"/>
        </w:pBdr>
        <w:tabs>
          <w:tab w:val="left" w:pos="993"/>
        </w:tabs>
        <w:spacing w:line="276" w:lineRule="auto"/>
        <w:ind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Acto impugnado: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La entrega de la información”</w:t>
      </w:r>
      <w:r>
        <w:rPr>
          <w:rFonts w:ascii="Palatino Linotype" w:eastAsia="Palatino Linotype" w:hAnsi="Palatino Linotype" w:cs="Palatino Linotype"/>
          <w:color w:val="000000"/>
          <w:sz w:val="22"/>
          <w:szCs w:val="22"/>
        </w:rPr>
        <w:t xml:space="preserve"> (Sic).</w:t>
      </w:r>
    </w:p>
    <w:p w14:paraId="449D58CA" w14:textId="77777777" w:rsidR="00D71285" w:rsidRDefault="00AC7421">
      <w:pPr>
        <w:numPr>
          <w:ilvl w:val="0"/>
          <w:numId w:val="11"/>
        </w:numPr>
        <w:pBdr>
          <w:top w:val="nil"/>
          <w:left w:val="nil"/>
          <w:bottom w:val="nil"/>
          <w:right w:val="nil"/>
          <w:between w:val="nil"/>
        </w:pBdr>
        <w:tabs>
          <w:tab w:val="left" w:pos="993"/>
        </w:tabs>
        <w:spacing w:line="276" w:lineRule="auto"/>
        <w:ind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Razones o motivos de inconformidad:</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No puedo ver la información el archivo que mandaron no se visualiza”</w:t>
      </w:r>
      <w:r>
        <w:rPr>
          <w:rFonts w:ascii="Palatino Linotype" w:eastAsia="Palatino Linotype" w:hAnsi="Palatino Linotype" w:cs="Palatino Linotype"/>
          <w:color w:val="000000"/>
          <w:sz w:val="22"/>
          <w:szCs w:val="22"/>
        </w:rPr>
        <w:t xml:space="preserve"> (Sic).</w:t>
      </w:r>
    </w:p>
    <w:p w14:paraId="636423A8" w14:textId="77777777" w:rsidR="00D71285" w:rsidRDefault="00D71285">
      <w:pPr>
        <w:tabs>
          <w:tab w:val="left" w:pos="426"/>
        </w:tabs>
        <w:spacing w:line="360" w:lineRule="auto"/>
        <w:ind w:right="-646"/>
        <w:jc w:val="both"/>
        <w:rPr>
          <w:rFonts w:ascii="Palatino Linotype" w:eastAsia="Palatino Linotype" w:hAnsi="Palatino Linotype" w:cs="Palatino Linotype"/>
          <w:color w:val="000000"/>
        </w:rPr>
      </w:pPr>
    </w:p>
    <w:p w14:paraId="13B8E1EA"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Se registró el recurso de revisión bajo el número de expediente </w:t>
      </w:r>
      <w:r>
        <w:rPr>
          <w:rFonts w:ascii="Palatino Linotype" w:eastAsia="Palatino Linotype" w:hAnsi="Palatino Linotype" w:cs="Palatino Linotype"/>
          <w:b/>
          <w:color w:val="000000"/>
        </w:rPr>
        <w:t>03423/INFOEM/IP/RR/2024</w:t>
      </w:r>
      <w:r>
        <w:rPr>
          <w:rFonts w:ascii="Palatino Linotype" w:eastAsia="Palatino Linotype" w:hAnsi="Palatino Linotype" w:cs="Palatino Linotype"/>
          <w:color w:val="000000"/>
        </w:rPr>
        <w:t xml:space="preserve">; asimismo, con fundamento en lo dispuesto por el artículo 185, fracción I, de la Ley de Transparencia y Acceso a la Información Pública del Estado de México y Municipios se </w:t>
      </w:r>
      <w:r>
        <w:rPr>
          <w:rFonts w:ascii="Palatino Linotype" w:eastAsia="Palatino Linotype" w:hAnsi="Palatino Linotype" w:cs="Palatino Linotype"/>
        </w:rPr>
        <w:t>turna</w:t>
      </w:r>
      <w:r>
        <w:rPr>
          <w:rFonts w:ascii="Palatino Linotype" w:eastAsia="Palatino Linotype" w:hAnsi="Palatino Linotype" w:cs="Palatino Linotype"/>
          <w:color w:val="000000"/>
        </w:rPr>
        <w:t xml:space="preserve"> a la </w:t>
      </w:r>
      <w:r>
        <w:rPr>
          <w:rFonts w:ascii="Palatino Linotype" w:eastAsia="Palatino Linotype" w:hAnsi="Palatino Linotype" w:cs="Palatino Linotype"/>
          <w:b/>
          <w:color w:val="000000"/>
        </w:rPr>
        <w:t>Comisionada María del Rosario Mejía Ayala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para</w:t>
      </w:r>
      <w:r>
        <w:rPr>
          <w:rFonts w:ascii="Palatino Linotype" w:eastAsia="Palatino Linotype" w:hAnsi="Palatino Linotype" w:cs="Palatino Linotype"/>
          <w:color w:val="000000"/>
        </w:rPr>
        <w:t xml:space="preserve"> su análisis.</w:t>
      </w:r>
    </w:p>
    <w:p w14:paraId="36BF877B"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6CBD395F"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bookmarkStart w:id="1" w:name="_heading=h.30j0zll" w:colFirst="0" w:colLast="0"/>
      <w:bookmarkEnd w:id="1"/>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w:t>
      </w:r>
      <w:r>
        <w:rPr>
          <w:rFonts w:ascii="Palatino Linotype" w:eastAsia="Palatino Linotype" w:hAnsi="Palatino Linotype" w:cs="Palatino Linotype"/>
          <w:b/>
          <w:color w:val="000000"/>
        </w:rPr>
        <w:t>seis (06) de junio de dos mil veinticuatro</w:t>
      </w:r>
      <w:r>
        <w:rPr>
          <w:rFonts w:ascii="Palatino Linotype" w:eastAsia="Palatino Linotype" w:hAnsi="Palatino Linotype" w:cs="Palatino Linotype"/>
          <w:color w:val="000000"/>
        </w:rPr>
        <w:t xml:space="preserve">, puso a disposición de las partes el expediente electrónico vía SAIMEX, 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derecho </w:t>
      </w:r>
      <w:r>
        <w:rPr>
          <w:rFonts w:ascii="Palatino Linotype" w:eastAsia="Palatino Linotype" w:hAnsi="Palatino Linotype" w:cs="Palatino Linotype"/>
        </w:rPr>
        <w:t>conviniera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 los casos concretos, de esta forma para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presentará</w:t>
      </w:r>
      <w:r>
        <w:rPr>
          <w:rFonts w:ascii="Palatino Linotype" w:eastAsia="Palatino Linotype" w:hAnsi="Palatino Linotype" w:cs="Palatino Linotype"/>
          <w:color w:val="000000"/>
        </w:rPr>
        <w:t xml:space="preserve"> su Informe Justificado respectivo.</w:t>
      </w:r>
    </w:p>
    <w:p w14:paraId="324EDA7D"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1620B352"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doce (12) de junio de dos mil veinticuatro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presentó, en vía de informe justificado, la carpeta comprimida titulada </w:t>
      </w:r>
      <w:r>
        <w:rPr>
          <w:rFonts w:ascii="Palatino Linotype" w:eastAsia="Palatino Linotype" w:hAnsi="Palatino Linotype" w:cs="Palatino Linotype"/>
          <w:b/>
          <w:i/>
          <w:color w:val="000000"/>
        </w:rPr>
        <w:t>“MANIFESTACIONES.zip”</w:t>
      </w:r>
      <w:r>
        <w:rPr>
          <w:rFonts w:ascii="Palatino Linotype" w:eastAsia="Palatino Linotype" w:hAnsi="Palatino Linotype" w:cs="Palatino Linotype"/>
          <w:color w:val="000000"/>
        </w:rPr>
        <w:t>, la cual contiene el siguiente archivo electrónico:</w:t>
      </w:r>
    </w:p>
    <w:p w14:paraId="7F8C1652" w14:textId="77777777" w:rsidR="00D71285" w:rsidRDefault="00AC7421">
      <w:pPr>
        <w:numPr>
          <w:ilvl w:val="1"/>
          <w:numId w:val="10"/>
        </w:numPr>
        <w:pBdr>
          <w:top w:val="nil"/>
          <w:left w:val="nil"/>
          <w:bottom w:val="nil"/>
          <w:right w:val="nil"/>
          <w:between w:val="nil"/>
        </w:pBdr>
        <w:tabs>
          <w:tab w:val="left" w:pos="426"/>
        </w:tabs>
        <w:spacing w:line="360" w:lineRule="auto"/>
        <w:ind w:left="1134" w:right="-7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b/>
          <w:i/>
          <w:color w:val="000000"/>
          <w:sz w:val="22"/>
          <w:szCs w:val="22"/>
        </w:rPr>
        <w:t>“RESP ADMINISTRACION 2415.pdf”</w:t>
      </w:r>
      <w:r>
        <w:rPr>
          <w:rFonts w:ascii="Palatino Linotype" w:eastAsia="Palatino Linotype" w:hAnsi="Palatino Linotype" w:cs="Palatino Linotype"/>
          <w:color w:val="000000"/>
          <w:sz w:val="22"/>
          <w:szCs w:val="22"/>
        </w:rPr>
        <w:t>: Documento de cuatro fojas consistente en los siguientes instrumentos:</w:t>
      </w:r>
    </w:p>
    <w:p w14:paraId="3C413735" w14:textId="77777777" w:rsidR="00D71285" w:rsidRDefault="00AC7421">
      <w:pPr>
        <w:numPr>
          <w:ilvl w:val="2"/>
          <w:numId w:val="8"/>
        </w:numPr>
        <w:pBdr>
          <w:top w:val="nil"/>
          <w:left w:val="nil"/>
          <w:bottom w:val="nil"/>
          <w:right w:val="nil"/>
          <w:between w:val="nil"/>
        </w:pBdr>
        <w:tabs>
          <w:tab w:val="left" w:pos="426"/>
        </w:tabs>
        <w:spacing w:line="360" w:lineRule="auto"/>
        <w:ind w:left="1701" w:right="-7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Oficio número DA/2415/2024, de siete (07) de junio de dos mil veinticuatro, emitido por el Director de Administración, dirigido al Titular de la Unidad de Transparencia y Acceso a la Información Pública Municipal, por el que ratifica su respuesta inicialmente proveída a la solicitud </w:t>
      </w:r>
      <w:r>
        <w:rPr>
          <w:rFonts w:ascii="Palatino Linotype" w:eastAsia="Palatino Linotype" w:hAnsi="Palatino Linotype" w:cs="Palatino Linotype"/>
          <w:b/>
          <w:color w:val="000000"/>
          <w:sz w:val="22"/>
          <w:szCs w:val="22"/>
        </w:rPr>
        <w:t>00610/TLALNEPA/IP/2024</w:t>
      </w:r>
      <w:r>
        <w:rPr>
          <w:rFonts w:ascii="Palatino Linotype" w:eastAsia="Palatino Linotype" w:hAnsi="Palatino Linotype" w:cs="Palatino Linotype"/>
          <w:color w:val="000000"/>
          <w:sz w:val="22"/>
          <w:szCs w:val="22"/>
        </w:rPr>
        <w:t>.</w:t>
      </w:r>
    </w:p>
    <w:p w14:paraId="2CEFC9FE" w14:textId="77777777" w:rsidR="00D71285" w:rsidRDefault="00AC7421">
      <w:pPr>
        <w:numPr>
          <w:ilvl w:val="2"/>
          <w:numId w:val="8"/>
        </w:numPr>
        <w:pBdr>
          <w:top w:val="nil"/>
          <w:left w:val="nil"/>
          <w:bottom w:val="nil"/>
          <w:right w:val="nil"/>
          <w:between w:val="nil"/>
        </w:pBdr>
        <w:tabs>
          <w:tab w:val="left" w:pos="426"/>
        </w:tabs>
        <w:spacing w:line="360" w:lineRule="auto"/>
        <w:ind w:left="1701" w:right="-7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número DA/SCH/762/2024, de seis (06) de junio de dos mil veinticuatro, emitido por la Encargada de Despacho de la Subdirección de Capital Humano y Departamento de Reclutamiento y Nómina, dirigido a la Servidora Pública Habilitada de la Dirección de Administración, por el que ratifica su respuesta inicialmente proveída a la solicitud </w:t>
      </w:r>
      <w:r>
        <w:rPr>
          <w:rFonts w:ascii="Palatino Linotype" w:eastAsia="Palatino Linotype" w:hAnsi="Palatino Linotype" w:cs="Palatino Linotype"/>
          <w:b/>
          <w:color w:val="000000"/>
          <w:sz w:val="22"/>
          <w:szCs w:val="22"/>
        </w:rPr>
        <w:t>00610/TLALNEPA/IP/2024</w:t>
      </w:r>
      <w:r>
        <w:rPr>
          <w:rFonts w:ascii="Palatino Linotype" w:eastAsia="Palatino Linotype" w:hAnsi="Palatino Linotype" w:cs="Palatino Linotype"/>
          <w:color w:val="000000"/>
          <w:sz w:val="22"/>
          <w:szCs w:val="22"/>
        </w:rPr>
        <w:t>.</w:t>
      </w:r>
    </w:p>
    <w:p w14:paraId="0624D1AB"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4D8C5008"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doce (12) de agosto de dos mil veintitrés</w:t>
      </w:r>
      <w:r>
        <w:rPr>
          <w:rFonts w:ascii="Palatino Linotype" w:eastAsia="Palatino Linotype" w:hAnsi="Palatino Linotype" w:cs="Palatino Linotype"/>
          <w:color w:val="000000"/>
        </w:rPr>
        <w:t>, con fundamento en el artículo 181, tercer párrafo, de la Ley de Transparencia y Acceso a la Información Pública del Estado de México y Municipios se notificó que el plazo de treinta (30) días para resolver el recurso de revisión sería ampliado por un periodo de 15 días hábiles adicionales.</w:t>
      </w:r>
    </w:p>
    <w:p w14:paraId="1AE7249E"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30746F7B" w14:textId="77777777" w:rsidR="00D71285" w:rsidRPr="00E71C21"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Este 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766F0DD" w14:textId="77777777" w:rsidR="00E71C21" w:rsidRDefault="00E71C21" w:rsidP="00E71C21">
      <w:pPr>
        <w:pBdr>
          <w:top w:val="nil"/>
          <w:left w:val="nil"/>
          <w:bottom w:val="nil"/>
          <w:right w:val="nil"/>
          <w:between w:val="nil"/>
        </w:pBdr>
        <w:tabs>
          <w:tab w:val="left" w:pos="426"/>
        </w:tabs>
        <w:spacing w:line="360" w:lineRule="auto"/>
        <w:ind w:right="-646"/>
        <w:jc w:val="both"/>
        <w:rPr>
          <w:color w:val="000000"/>
        </w:rPr>
      </w:pPr>
    </w:p>
    <w:p w14:paraId="7DE5905B"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ADFE89E"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2AEBF574"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93426F4"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20C720E1"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2452119"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011368E5"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Por ello, excepcionalmente, si un asunto es resuelto con posterioridad a los plazos señalados por la norma debe analizarse la razonabilidad de dicha dilación atendiendo a los siguientes criterios:</w:t>
      </w:r>
    </w:p>
    <w:p w14:paraId="60ABBE21" w14:textId="77777777" w:rsidR="00D71285" w:rsidRDefault="00AC7421">
      <w:pPr>
        <w:numPr>
          <w:ilvl w:val="1"/>
          <w:numId w:val="5"/>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Complejidad</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color w:val="000000"/>
          <w:sz w:val="22"/>
          <w:szCs w:val="22"/>
        </w:rPr>
        <w:t xml:space="preserve">del </w:t>
      </w:r>
      <w:r>
        <w:rPr>
          <w:rFonts w:ascii="Palatino Linotype" w:eastAsia="Palatino Linotype" w:hAnsi="Palatino Linotype" w:cs="Palatino Linotype"/>
          <w:b/>
          <w:sz w:val="22"/>
          <w:szCs w:val="22"/>
        </w:rPr>
        <w:t>asunto</w:t>
      </w: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w:t>
      </w:r>
    </w:p>
    <w:p w14:paraId="37A9E6E2" w14:textId="77777777" w:rsidR="00D71285" w:rsidRDefault="00AC7421">
      <w:pPr>
        <w:numPr>
          <w:ilvl w:val="1"/>
          <w:numId w:val="5"/>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Actividad Procesal del interesado:</w:t>
      </w:r>
      <w:r>
        <w:rPr>
          <w:rFonts w:ascii="Palatino Linotype" w:eastAsia="Palatino Linotype" w:hAnsi="Palatino Linotype" w:cs="Palatino Linotype"/>
          <w:color w:val="000000"/>
          <w:sz w:val="22"/>
          <w:szCs w:val="22"/>
        </w:rPr>
        <w:t xml:space="preserve"> Acciones u omisiones del interesado.</w:t>
      </w:r>
    </w:p>
    <w:p w14:paraId="0C0B4AD0" w14:textId="77777777" w:rsidR="00D71285" w:rsidRDefault="00AC7421">
      <w:pPr>
        <w:numPr>
          <w:ilvl w:val="1"/>
          <w:numId w:val="5"/>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Conducta de la Autoridad:</w:t>
      </w:r>
      <w:r>
        <w:rPr>
          <w:rFonts w:ascii="Palatino Linotype" w:eastAsia="Palatino Linotype" w:hAnsi="Palatino Linotype" w:cs="Palatino Linotype"/>
          <w:color w:val="000000"/>
          <w:sz w:val="22"/>
          <w:szCs w:val="22"/>
        </w:rPr>
        <w:t xml:space="preserve"> Las Acciones u omisiones realizadas en el procedimiento. Así como si la autoridad actuó con la debida diligencia.</w:t>
      </w:r>
    </w:p>
    <w:p w14:paraId="2841D7D1" w14:textId="77777777" w:rsidR="00D71285" w:rsidRDefault="00AC7421">
      <w:pPr>
        <w:numPr>
          <w:ilvl w:val="1"/>
          <w:numId w:val="5"/>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lastRenderedPageBreak/>
        <w:t xml:space="preserve">La afectación generada en la situación jurídica de la persona involucrada en el proceso: </w:t>
      </w:r>
      <w:r>
        <w:rPr>
          <w:rFonts w:ascii="Palatino Linotype" w:eastAsia="Palatino Linotype" w:hAnsi="Palatino Linotype" w:cs="Palatino Linotype"/>
          <w:color w:val="000000"/>
          <w:sz w:val="22"/>
          <w:szCs w:val="22"/>
        </w:rPr>
        <w:t>Violación a sus derechos humanos.</w:t>
      </w:r>
    </w:p>
    <w:p w14:paraId="010146FE"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290D3E7D"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C230E6F"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67EDB989"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Pr>
          <w:rFonts w:ascii="Palatino Linotype" w:eastAsia="Palatino Linotype" w:hAnsi="Palatino Linotype" w:cs="Palatino Linotype"/>
        </w:rPr>
        <w:t>del rubro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i/>
          <w:color w:val="000000"/>
          <w:vertAlign w:val="superscript"/>
        </w:rPr>
        <w:footnoteReference w:id="1"/>
      </w:r>
      <w:r>
        <w:rPr>
          <w:rFonts w:ascii="Palatino Linotype" w:eastAsia="Palatino Linotype" w:hAnsi="Palatino Linotype" w:cs="Palatino Linotype"/>
          <w:color w:val="000000"/>
        </w:rPr>
        <w:t xml:space="preserve">, visible en la Gaceta del </w:t>
      </w:r>
      <w:r>
        <w:rPr>
          <w:rFonts w:ascii="Palatino Linotype" w:eastAsia="Palatino Linotype" w:hAnsi="Palatino Linotype" w:cs="Palatino Linotype"/>
        </w:rPr>
        <w:t>Semanario</w:t>
      </w:r>
      <w:r>
        <w:rPr>
          <w:rFonts w:ascii="Palatino Linotype" w:eastAsia="Palatino Linotype" w:hAnsi="Palatino Linotype" w:cs="Palatino Linotype"/>
          <w:color w:val="000000"/>
        </w:rPr>
        <w:t xml:space="preserve"> Judicial de la Federación con el registro digital 205635.</w:t>
      </w:r>
    </w:p>
    <w:p w14:paraId="25F3B315"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1129FF34"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33027D0"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397419B3"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544C43E0" w14:textId="77777777" w:rsidR="00D71285" w:rsidRDefault="00AC7421">
      <w:pPr>
        <w:pBdr>
          <w:top w:val="nil"/>
          <w:left w:val="nil"/>
          <w:bottom w:val="nil"/>
          <w:right w:val="nil"/>
          <w:between w:val="nil"/>
        </w:pBdr>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PLAZO RAZONABLE PARA RESOLVER. DIMENSIÓN Y EFECTOS DE ESTE CONCEPTO CUANDO SE ADUCE EXCESIVA CARGA DE TRABAJO.</w:t>
      </w:r>
      <w:r>
        <w:rPr>
          <w:rFonts w:ascii="Palatino Linotype" w:eastAsia="Palatino Linotype" w:hAnsi="Palatino Linotype" w:cs="Palatino Linotype"/>
          <w:i/>
          <w:color w:val="000000"/>
          <w:sz w:val="22"/>
          <w:szCs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w:t>
      </w:r>
      <w:r>
        <w:rPr>
          <w:rFonts w:ascii="Palatino Linotype" w:eastAsia="Palatino Linotype" w:hAnsi="Palatino Linotype" w:cs="Palatino Linotype"/>
          <w:i/>
          <w:color w:val="000000"/>
          <w:sz w:val="22"/>
          <w:szCs w:val="22"/>
        </w:rPr>
        <w:lastRenderedPageBreak/>
        <w:t>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Pr>
          <w:rFonts w:ascii="Palatino Linotype" w:eastAsia="Palatino Linotype" w:hAnsi="Palatino Linotype" w:cs="Palatino Linotype"/>
          <w:i/>
          <w:color w:val="000000"/>
          <w:sz w:val="22"/>
          <w:szCs w:val="22"/>
          <w:vertAlign w:val="superscript"/>
        </w:rPr>
        <w:footnoteReference w:id="2"/>
      </w:r>
    </w:p>
    <w:p w14:paraId="0CD4B82D" w14:textId="77777777" w:rsidR="00D71285" w:rsidRDefault="00D71285">
      <w:pPr>
        <w:pBdr>
          <w:top w:val="nil"/>
          <w:left w:val="nil"/>
          <w:bottom w:val="nil"/>
          <w:right w:val="nil"/>
          <w:between w:val="nil"/>
        </w:pBdr>
        <w:spacing w:line="276" w:lineRule="auto"/>
        <w:ind w:left="567" w:right="62"/>
        <w:jc w:val="both"/>
        <w:rPr>
          <w:rFonts w:ascii="Palatino Linotype" w:eastAsia="Palatino Linotype" w:hAnsi="Palatino Linotype" w:cs="Palatino Linotype"/>
          <w:i/>
          <w:color w:val="000000"/>
          <w:sz w:val="22"/>
          <w:szCs w:val="22"/>
        </w:rPr>
      </w:pPr>
    </w:p>
    <w:p w14:paraId="57AA5AFB" w14:textId="77777777" w:rsidR="00D71285" w:rsidRDefault="00AC7421">
      <w:pPr>
        <w:pBdr>
          <w:top w:val="nil"/>
          <w:left w:val="nil"/>
          <w:bottom w:val="nil"/>
          <w:right w:val="nil"/>
          <w:between w:val="nil"/>
        </w:pBdr>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PLAZO RAZONABLE PARA RESOLVER. CONCEPTO Y ELEMENTOS QUE LO INTEGRAN A LA LUZ DEL DERECHO INTERNACIONAL DE LOS DERECHOS HUMANOS.</w:t>
      </w:r>
      <w:r>
        <w:rPr>
          <w:rFonts w:ascii="Palatino Linotype" w:eastAsia="Palatino Linotype" w:hAnsi="Palatino Linotype" w:cs="Palatino Linotype"/>
          <w:i/>
          <w:color w:val="000000"/>
          <w:sz w:val="22"/>
          <w:szCs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w:t>
      </w:r>
      <w:r>
        <w:rPr>
          <w:rFonts w:ascii="Palatino Linotype" w:eastAsia="Palatino Linotype" w:hAnsi="Palatino Linotype" w:cs="Palatino Linotype"/>
          <w:i/>
          <w:color w:val="000000"/>
          <w:sz w:val="22"/>
          <w:szCs w:val="22"/>
        </w:rPr>
        <w:lastRenderedPageBreak/>
        <w:t>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Pr>
          <w:rFonts w:ascii="Palatino Linotype" w:eastAsia="Palatino Linotype" w:hAnsi="Palatino Linotype" w:cs="Palatino Linotype"/>
          <w:i/>
          <w:color w:val="000000"/>
          <w:sz w:val="22"/>
          <w:szCs w:val="22"/>
          <w:vertAlign w:val="superscript"/>
        </w:rPr>
        <w:footnoteReference w:id="3"/>
      </w:r>
    </w:p>
    <w:p w14:paraId="3D7137B6"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3B730381"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465A4328"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0FCF2076"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diez (10) de septiembre de dos mil veinticuatro</w:t>
      </w:r>
      <w:r>
        <w:rPr>
          <w:rFonts w:ascii="Palatino Linotype" w:eastAsia="Palatino Linotype" w:hAnsi="Palatino Linotype" w:cs="Palatino Linotype"/>
          <w:color w:val="000000"/>
        </w:rPr>
        <w:t xml:space="preserve">, el archivo electrónico presentado en vía de informe justificado, se puso a la vista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concediéndole un plazo de tres días hábiles para que manifestara lo que a su derecho conviniera. Sin embargo, se hace constar que el particular no ejerció su derecho de réplica sobre los nuevos contenidos.</w:t>
      </w:r>
    </w:p>
    <w:p w14:paraId="181D1AEC"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2F9E9139" w14:textId="66B26605" w:rsidR="00D71285" w:rsidRPr="00E71C21"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Finalmente, el </w:t>
      </w:r>
      <w:r>
        <w:rPr>
          <w:rFonts w:ascii="Palatino Linotype" w:eastAsia="Palatino Linotype" w:hAnsi="Palatino Linotype" w:cs="Palatino Linotype"/>
          <w:b/>
          <w:color w:val="000000"/>
        </w:rPr>
        <w:t>diecisiete (17) de septiembre de dos mil veinticuatro</w:t>
      </w:r>
      <w:r>
        <w:rPr>
          <w:rFonts w:ascii="Palatino Linotype" w:eastAsia="Palatino Linotype" w:hAnsi="Palatino Linotype" w:cs="Palatino Linotype"/>
          <w:color w:val="000000"/>
        </w:rPr>
        <w:t>, la Comisionada Ponente decretó el cierre del periodo de instrucción, por lo que ordenó turnar el expediente para su resolución, misma que ahora se pronuncia; y --------------------</w:t>
      </w:r>
      <w:r w:rsidR="00E71C21">
        <w:rPr>
          <w:rFonts w:ascii="Palatino Linotype" w:eastAsia="Palatino Linotype" w:hAnsi="Palatino Linotype" w:cs="Palatino Linotype"/>
          <w:color w:val="000000"/>
        </w:rPr>
        <w:t>----------------------------</w:t>
      </w:r>
    </w:p>
    <w:p w14:paraId="69F252BD" w14:textId="77777777" w:rsidR="00E71C21" w:rsidRDefault="00E71C21" w:rsidP="00E71C21">
      <w:pPr>
        <w:pStyle w:val="Prrafodelista"/>
        <w:rPr>
          <w:color w:val="000000"/>
        </w:rPr>
      </w:pPr>
    </w:p>
    <w:p w14:paraId="6500C77F" w14:textId="77777777" w:rsidR="00E71C21" w:rsidRDefault="00E71C21" w:rsidP="00E71C21">
      <w:pPr>
        <w:pBdr>
          <w:top w:val="nil"/>
          <w:left w:val="nil"/>
          <w:bottom w:val="nil"/>
          <w:right w:val="nil"/>
          <w:between w:val="nil"/>
        </w:pBdr>
        <w:tabs>
          <w:tab w:val="left" w:pos="426"/>
        </w:tabs>
        <w:spacing w:line="360" w:lineRule="auto"/>
        <w:ind w:right="-646"/>
        <w:jc w:val="both"/>
        <w:rPr>
          <w:color w:val="000000"/>
        </w:rPr>
      </w:pPr>
    </w:p>
    <w:p w14:paraId="105D0351" w14:textId="77777777" w:rsidR="00E71C21" w:rsidRDefault="00E71C21" w:rsidP="00E71C21">
      <w:pPr>
        <w:pBdr>
          <w:top w:val="nil"/>
          <w:left w:val="nil"/>
          <w:bottom w:val="nil"/>
          <w:right w:val="nil"/>
          <w:between w:val="nil"/>
        </w:pBdr>
        <w:tabs>
          <w:tab w:val="left" w:pos="426"/>
        </w:tabs>
        <w:spacing w:line="360" w:lineRule="auto"/>
        <w:ind w:right="-646"/>
        <w:jc w:val="both"/>
        <w:rPr>
          <w:color w:val="000000"/>
        </w:rPr>
      </w:pPr>
    </w:p>
    <w:p w14:paraId="7136081A"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rPr>
      </w:pPr>
    </w:p>
    <w:p w14:paraId="40E1C9D4" w14:textId="77777777" w:rsidR="00D71285" w:rsidRDefault="00D71285">
      <w:pPr>
        <w:ind w:right="-646"/>
        <w:rPr>
          <w:rFonts w:ascii="Palatino Linotype" w:eastAsia="Palatino Linotype" w:hAnsi="Palatino Linotype" w:cs="Palatino Linotype"/>
          <w:color w:val="000000"/>
        </w:rPr>
      </w:pPr>
      <w:bookmarkStart w:id="2" w:name="_heading=h.1fob9te" w:colFirst="0" w:colLast="0"/>
      <w:bookmarkEnd w:id="2"/>
    </w:p>
    <w:p w14:paraId="31089193" w14:textId="77777777" w:rsidR="00D71285" w:rsidRDefault="00AC7421">
      <w:pPr>
        <w:pStyle w:val="Ttulo1"/>
        <w:spacing w:before="0"/>
        <w:ind w:right="-646"/>
        <w:jc w:val="center"/>
        <w:rPr>
          <w:b/>
          <w:color w:val="000000"/>
        </w:rPr>
      </w:pPr>
      <w:bookmarkStart w:id="3" w:name="_heading=h.3znysh7" w:colFirst="0" w:colLast="0"/>
      <w:bookmarkEnd w:id="3"/>
      <w:r>
        <w:rPr>
          <w:b/>
          <w:color w:val="000000"/>
        </w:rPr>
        <w:t>C O N S I D E R A N D O</w:t>
      </w:r>
    </w:p>
    <w:p w14:paraId="30C579CA" w14:textId="77777777" w:rsidR="00D71285" w:rsidRDefault="00D71285">
      <w:pPr>
        <w:ind w:right="-646"/>
        <w:rPr>
          <w:color w:val="000000"/>
        </w:rPr>
      </w:pPr>
    </w:p>
    <w:p w14:paraId="22DDF581" w14:textId="77777777" w:rsidR="00D71285" w:rsidRDefault="00AC7421">
      <w:pPr>
        <w:pStyle w:val="Ttulo2"/>
        <w:spacing w:before="0"/>
        <w:ind w:right="-646"/>
        <w:rPr>
          <w:rFonts w:ascii="Palatino Linotype" w:eastAsia="Palatino Linotype" w:hAnsi="Palatino Linotype" w:cs="Palatino Linotype"/>
          <w:b/>
          <w:color w:val="000000"/>
          <w:sz w:val="24"/>
          <w:szCs w:val="24"/>
        </w:rPr>
      </w:pPr>
      <w:bookmarkStart w:id="4" w:name="_heading=h.2et92p0" w:colFirst="0" w:colLast="0"/>
      <w:bookmarkEnd w:id="4"/>
      <w:r>
        <w:rPr>
          <w:rFonts w:ascii="Palatino Linotype" w:eastAsia="Palatino Linotype" w:hAnsi="Palatino Linotype" w:cs="Palatino Linotype"/>
          <w:b/>
          <w:color w:val="000000"/>
          <w:sz w:val="24"/>
          <w:szCs w:val="24"/>
        </w:rPr>
        <w:t>PRIMERO. De la competencia</w:t>
      </w:r>
    </w:p>
    <w:p w14:paraId="38201567"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1E1EB75"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b/>
          <w:color w:val="000000"/>
        </w:rPr>
      </w:pPr>
    </w:p>
    <w:p w14:paraId="1312B595" w14:textId="77777777" w:rsidR="00D71285" w:rsidRDefault="00AC7421">
      <w:pPr>
        <w:pStyle w:val="Ttulo2"/>
        <w:tabs>
          <w:tab w:val="left" w:pos="426"/>
        </w:tabs>
        <w:spacing w:before="0"/>
        <w:ind w:right="-646"/>
        <w:rPr>
          <w:rFonts w:ascii="Palatino Linotype" w:eastAsia="Palatino Linotype" w:hAnsi="Palatino Linotype" w:cs="Palatino Linotype"/>
          <w:b/>
          <w:color w:val="000000"/>
          <w:sz w:val="24"/>
          <w:szCs w:val="24"/>
        </w:rPr>
      </w:pPr>
      <w:bookmarkStart w:id="5" w:name="_heading=h.tyjcwt" w:colFirst="0" w:colLast="0"/>
      <w:bookmarkEnd w:id="5"/>
      <w:r>
        <w:rPr>
          <w:rFonts w:ascii="Palatino Linotype" w:eastAsia="Palatino Linotype" w:hAnsi="Palatino Linotype" w:cs="Palatino Linotype"/>
          <w:b/>
          <w:color w:val="000000"/>
          <w:sz w:val="24"/>
          <w:szCs w:val="24"/>
        </w:rPr>
        <w:t>SEGUNDO. De la oportunidad y procedencia.</w:t>
      </w:r>
    </w:p>
    <w:p w14:paraId="4FCCD2F2" w14:textId="77777777" w:rsidR="00D71285" w:rsidRDefault="00AC7421">
      <w:pPr>
        <w:numPr>
          <w:ilvl w:val="0"/>
          <w:numId w:val="10"/>
        </w:numPr>
        <w:tabs>
          <w:tab w:val="left" w:pos="426"/>
        </w:tabs>
        <w:spacing w:line="360" w:lineRule="auto"/>
        <w:ind w:right="-646"/>
        <w:jc w:val="both"/>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rPr>
        <w:t>medio de impugnación fue presentado a través del SAIMEX</w:t>
      </w:r>
      <w:r>
        <w:rPr>
          <w:rFonts w:ascii="Palatino Linotype" w:eastAsia="Palatino Linotype" w:hAnsi="Palatino Linotype" w:cs="Palatino Linotype"/>
          <w:b/>
        </w:rPr>
        <w:t>,</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respuesta el </w:t>
      </w:r>
      <w:r>
        <w:rPr>
          <w:rFonts w:ascii="Palatino Linotype" w:eastAsia="Palatino Linotype" w:hAnsi="Palatino Linotype" w:cs="Palatino Linotype"/>
          <w:b/>
        </w:rPr>
        <w:t>veinticuatro (24) de mayo de dos mil veinticuatro</w:t>
      </w:r>
      <w:r>
        <w:rPr>
          <w:rFonts w:ascii="Palatino Linotype" w:eastAsia="Palatino Linotype" w:hAnsi="Palatino Linotype" w:cs="Palatino Linotype"/>
        </w:rPr>
        <w:t xml:space="preserve">, el plazo para interponer el recurso de revisión transcurrió del </w:t>
      </w:r>
      <w:r>
        <w:rPr>
          <w:rFonts w:ascii="Palatino Linotype" w:eastAsia="Palatino Linotype" w:hAnsi="Palatino Linotype" w:cs="Palatino Linotype"/>
          <w:b/>
        </w:rPr>
        <w:t>veintisiete (27) de mayo</w:t>
      </w:r>
      <w:r>
        <w:rPr>
          <w:rFonts w:ascii="Palatino Linotype" w:eastAsia="Palatino Linotype" w:hAnsi="Palatino Linotype" w:cs="Palatino Linotype"/>
        </w:rPr>
        <w:t xml:space="preserve"> al </w:t>
      </w:r>
      <w:r>
        <w:rPr>
          <w:rFonts w:ascii="Palatino Linotype" w:eastAsia="Palatino Linotype" w:hAnsi="Palatino Linotype" w:cs="Palatino Linotype"/>
          <w:b/>
        </w:rPr>
        <w:t>catorce (14) de junio de dos mil veinticuatro</w:t>
      </w:r>
      <w:r>
        <w:rPr>
          <w:rFonts w:ascii="Palatino Linotype" w:eastAsia="Palatino Linotype" w:hAnsi="Palatino Linotype" w:cs="Palatino Linotype"/>
        </w:rPr>
        <w:t>; sin contemplar en el cómputo los sábados y domingos, en términos del artículo 3, fracción X, de la Ley de Transparencia y Acceso a la Información Pública del Estado de México y Municipios.</w:t>
      </w:r>
    </w:p>
    <w:p w14:paraId="7FC56221" w14:textId="77777777" w:rsidR="00D71285" w:rsidRDefault="00D71285">
      <w:pPr>
        <w:tabs>
          <w:tab w:val="left" w:pos="426"/>
        </w:tabs>
        <w:spacing w:line="360" w:lineRule="auto"/>
        <w:ind w:right="-646"/>
        <w:jc w:val="both"/>
        <w:rPr>
          <w:rFonts w:ascii="Palatino Linotype" w:eastAsia="Palatino Linotype" w:hAnsi="Palatino Linotype" w:cs="Palatino Linotype"/>
        </w:rPr>
      </w:pPr>
    </w:p>
    <w:p w14:paraId="5252927C" w14:textId="77777777" w:rsidR="00D71285" w:rsidRDefault="00AC7421">
      <w:pPr>
        <w:numPr>
          <w:ilvl w:val="0"/>
          <w:numId w:val="10"/>
        </w:numPr>
        <w:pBdr>
          <w:top w:val="nil"/>
          <w:left w:val="nil"/>
          <w:bottom w:val="nil"/>
          <w:right w:val="nil"/>
          <w:between w:val="nil"/>
        </w:pBdr>
        <w:tabs>
          <w:tab w:val="left" w:pos="284"/>
          <w:tab w:val="left" w:pos="426"/>
        </w:tabs>
        <w:spacing w:line="360" w:lineRule="auto"/>
        <w:ind w:right="-646"/>
        <w:jc w:val="both"/>
        <w:rPr>
          <w:color w:val="000000"/>
        </w:rPr>
      </w:pPr>
      <w:r>
        <w:rPr>
          <w:rFonts w:ascii="Palatino Linotype" w:eastAsia="Palatino Linotype" w:hAnsi="Palatino Linotype" w:cs="Palatino Linotype"/>
          <w:color w:val="000000"/>
        </w:rPr>
        <w:t xml:space="preserve">Luego entonces, si el hoy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presentó el recurso de revisión con número </w:t>
      </w:r>
      <w:r>
        <w:rPr>
          <w:rFonts w:ascii="Palatino Linotype" w:eastAsia="Palatino Linotype" w:hAnsi="Palatino Linotype" w:cs="Palatino Linotype"/>
          <w:b/>
          <w:color w:val="000000"/>
        </w:rPr>
        <w:t>03423/INFOEM/IP/RR/2024</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tres (03) de junio de dos mil veinticuatro</w:t>
      </w:r>
      <w:r>
        <w:rPr>
          <w:rFonts w:ascii="Palatino Linotype" w:eastAsia="Palatino Linotype" w:hAnsi="Palatino Linotype" w:cs="Palatino Linotype"/>
          <w:color w:val="000000"/>
        </w:rPr>
        <w:t>, éste se encuentra dentro de los márgenes temporales previstos en la Ley de la materia.</w:t>
      </w:r>
    </w:p>
    <w:p w14:paraId="26D16B09" w14:textId="77777777" w:rsidR="00D71285" w:rsidRDefault="00AC7421">
      <w:pPr>
        <w:numPr>
          <w:ilvl w:val="0"/>
          <w:numId w:val="10"/>
        </w:numPr>
        <w:pBdr>
          <w:top w:val="nil"/>
          <w:left w:val="nil"/>
          <w:bottom w:val="nil"/>
          <w:right w:val="nil"/>
          <w:between w:val="nil"/>
        </w:pBdr>
        <w:tabs>
          <w:tab w:val="left" w:pos="284"/>
          <w:tab w:val="left" w:pos="426"/>
        </w:tabs>
        <w:spacing w:line="360" w:lineRule="auto"/>
        <w:ind w:right="-646"/>
        <w:jc w:val="both"/>
        <w:rPr>
          <w:color w:val="000000"/>
        </w:rPr>
      </w:pPr>
      <w:r>
        <w:rPr>
          <w:rFonts w:ascii="Palatino Linotype" w:eastAsia="Palatino Linotype" w:hAnsi="Palatino Linotype" w:cs="Palatino Linotype"/>
          <w:color w:val="000000"/>
        </w:rPr>
        <w:t>Por otro lado, de la revisión al expediente electrónico contenido en el SAIMEX</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se desprende que la parte solicitante, en ejercicio de su derecho de acceso a la información pública en los expedientes que se revisan, tanto en la solicitud de información como en el posterior recurso de revisión, </w:t>
      </w:r>
      <w:r>
        <w:rPr>
          <w:rFonts w:ascii="Palatino Linotype" w:eastAsia="Palatino Linotype" w:hAnsi="Palatino Linotype" w:cs="Palatino Linotype"/>
          <w:b/>
          <w:color w:val="000000"/>
        </w:rPr>
        <w:t>no señaló su nombre, ni se tiene certeza de su identidad</w:t>
      </w:r>
      <w:r>
        <w:rPr>
          <w:rFonts w:ascii="Palatino Linotype" w:eastAsia="Palatino Linotype" w:hAnsi="Palatino Linotype" w:cs="Palatino Linotype"/>
          <w:color w:val="000000"/>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4B03FB7B" w14:textId="77777777" w:rsidR="00D71285" w:rsidRDefault="00D71285">
      <w:pPr>
        <w:pBdr>
          <w:top w:val="nil"/>
          <w:left w:val="nil"/>
          <w:bottom w:val="nil"/>
          <w:right w:val="nil"/>
          <w:between w:val="nil"/>
        </w:pBdr>
        <w:tabs>
          <w:tab w:val="left" w:pos="284"/>
          <w:tab w:val="left" w:pos="426"/>
        </w:tabs>
        <w:spacing w:line="360" w:lineRule="auto"/>
        <w:ind w:right="-646"/>
        <w:jc w:val="both"/>
        <w:rPr>
          <w:rFonts w:ascii="Palatino Linotype" w:eastAsia="Palatino Linotype" w:hAnsi="Palatino Linotype" w:cs="Palatino Linotype"/>
          <w:color w:val="000000"/>
        </w:rPr>
      </w:pPr>
    </w:p>
    <w:p w14:paraId="72D374E6" w14:textId="77777777" w:rsidR="00D71285" w:rsidRDefault="00AC7421">
      <w:pPr>
        <w:numPr>
          <w:ilvl w:val="0"/>
          <w:numId w:val="10"/>
        </w:numPr>
        <w:pBdr>
          <w:top w:val="nil"/>
          <w:left w:val="nil"/>
          <w:bottom w:val="nil"/>
          <w:right w:val="nil"/>
          <w:between w:val="nil"/>
        </w:pBdr>
        <w:tabs>
          <w:tab w:val="left" w:pos="284"/>
          <w:tab w:val="left" w:pos="426"/>
        </w:tabs>
        <w:spacing w:line="360" w:lineRule="auto"/>
        <w:ind w:right="-646"/>
        <w:jc w:val="both"/>
        <w:rPr>
          <w:color w:val="000000"/>
        </w:rPr>
      </w:pPr>
      <w:r>
        <w:rPr>
          <w:rFonts w:ascii="Palatino Linotype" w:eastAsia="Palatino Linotype" w:hAnsi="Palatino Linotype" w:cs="Palatino Linotype"/>
          <w:color w:val="000000"/>
        </w:rPr>
        <w:t xml:space="preserve">Esto es así, ya que de conformidad con los artículos 6, apartado A, fracciones III y IV de la </w:t>
      </w:r>
      <w:r>
        <w:rPr>
          <w:rFonts w:ascii="Palatino Linotype" w:eastAsia="Palatino Linotype" w:hAnsi="Palatino Linotype" w:cs="Palatino Linotype"/>
          <w:b/>
          <w:color w:val="000000"/>
        </w:rPr>
        <w:t>Constitución Política de los Estados Unidos Mexicanos</w:t>
      </w:r>
      <w:r>
        <w:rPr>
          <w:rFonts w:ascii="Palatino Linotype" w:eastAsia="Palatino Linotype" w:hAnsi="Palatino Linotype" w:cs="Palatino Linotype"/>
          <w:color w:val="000000"/>
        </w:rPr>
        <w:t xml:space="preserve">; 5, párrafos vigésimo segundo, vigésimo tercero y vigésimo cuarto, fracciones III, IV y V, de la </w:t>
      </w:r>
      <w:r>
        <w:rPr>
          <w:rFonts w:ascii="Palatino Linotype" w:eastAsia="Palatino Linotype" w:hAnsi="Palatino Linotype" w:cs="Palatino Linotype"/>
          <w:b/>
          <w:color w:val="000000"/>
        </w:rPr>
        <w:t>Constitución Política del Estado Libre y Soberano de México</w:t>
      </w:r>
      <w:r>
        <w:rPr>
          <w:rFonts w:ascii="Palatino Linotype" w:eastAsia="Palatino Linotype" w:hAnsi="Palatino Linotype" w:cs="Palatino Linotype"/>
          <w:color w:val="000000"/>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53885E1" w14:textId="77777777" w:rsidR="00D71285" w:rsidRDefault="00D71285">
      <w:pPr>
        <w:pBdr>
          <w:top w:val="nil"/>
          <w:left w:val="nil"/>
          <w:bottom w:val="nil"/>
          <w:right w:val="nil"/>
          <w:between w:val="nil"/>
        </w:pBdr>
        <w:tabs>
          <w:tab w:val="left" w:pos="284"/>
          <w:tab w:val="left" w:pos="426"/>
        </w:tabs>
        <w:spacing w:line="360" w:lineRule="auto"/>
        <w:ind w:right="-646"/>
        <w:jc w:val="both"/>
        <w:rPr>
          <w:rFonts w:ascii="Palatino Linotype" w:eastAsia="Palatino Linotype" w:hAnsi="Palatino Linotype" w:cs="Palatino Linotype"/>
          <w:color w:val="000000"/>
        </w:rPr>
      </w:pPr>
    </w:p>
    <w:p w14:paraId="5474D8FC" w14:textId="77777777" w:rsidR="00D71285" w:rsidRDefault="00AC7421">
      <w:pPr>
        <w:numPr>
          <w:ilvl w:val="0"/>
          <w:numId w:val="10"/>
        </w:numPr>
        <w:pBdr>
          <w:top w:val="nil"/>
          <w:left w:val="nil"/>
          <w:bottom w:val="nil"/>
          <w:right w:val="nil"/>
          <w:between w:val="nil"/>
        </w:pBdr>
        <w:tabs>
          <w:tab w:val="left" w:pos="284"/>
          <w:tab w:val="left" w:pos="426"/>
        </w:tabs>
        <w:spacing w:line="360" w:lineRule="auto"/>
        <w:ind w:right="-646"/>
        <w:jc w:val="both"/>
        <w:rPr>
          <w:color w:val="000000"/>
        </w:rPr>
      </w:pPr>
      <w:r>
        <w:rPr>
          <w:rFonts w:ascii="Palatino Linotype" w:eastAsia="Palatino Linotype" w:hAnsi="Palatino Linotype" w:cs="Palatino Linotype"/>
          <w:color w:val="000000"/>
        </w:rPr>
        <w:t xml:space="preserve">Por lo cual, de una interpretación sistemática, armónica y progresiva del derecho humano de acceso a la información pública se aprecia que toda persona, sin necesidad de </w:t>
      </w:r>
      <w:r>
        <w:rPr>
          <w:rFonts w:ascii="Palatino Linotype" w:eastAsia="Palatino Linotype" w:hAnsi="Palatino Linotype" w:cs="Palatino Linotype"/>
          <w:color w:val="000000"/>
        </w:rPr>
        <w:lastRenderedPageBreak/>
        <w:t>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1B529FE" w14:textId="77777777" w:rsidR="00D71285" w:rsidRDefault="00D71285">
      <w:pPr>
        <w:pBdr>
          <w:top w:val="nil"/>
          <w:left w:val="nil"/>
          <w:bottom w:val="nil"/>
          <w:right w:val="nil"/>
          <w:between w:val="nil"/>
        </w:pBdr>
        <w:tabs>
          <w:tab w:val="left" w:pos="284"/>
          <w:tab w:val="left" w:pos="426"/>
        </w:tabs>
        <w:spacing w:line="360" w:lineRule="auto"/>
        <w:ind w:right="-646"/>
        <w:jc w:val="both"/>
        <w:rPr>
          <w:rFonts w:ascii="Palatino Linotype" w:eastAsia="Palatino Linotype" w:hAnsi="Palatino Linotype" w:cs="Palatino Linotype"/>
          <w:color w:val="000000"/>
        </w:rPr>
      </w:pPr>
    </w:p>
    <w:p w14:paraId="3E18C513" w14:textId="77777777" w:rsidR="00D71285" w:rsidRDefault="00AC7421">
      <w:pPr>
        <w:numPr>
          <w:ilvl w:val="0"/>
          <w:numId w:val="10"/>
        </w:numPr>
        <w:pBdr>
          <w:top w:val="nil"/>
          <w:left w:val="nil"/>
          <w:bottom w:val="nil"/>
          <w:right w:val="nil"/>
          <w:between w:val="nil"/>
        </w:pBdr>
        <w:tabs>
          <w:tab w:val="left" w:pos="284"/>
          <w:tab w:val="left" w:pos="426"/>
        </w:tabs>
        <w:spacing w:line="360" w:lineRule="auto"/>
        <w:ind w:right="-646"/>
        <w:jc w:val="both"/>
        <w:rPr>
          <w:color w:val="000000"/>
        </w:rPr>
      </w:pPr>
      <w:r>
        <w:rPr>
          <w:rFonts w:ascii="Palatino Linotype" w:eastAsia="Palatino Linotype" w:hAnsi="Palatino Linotype" w:cs="Palatino Linotype"/>
          <w:color w:val="000000"/>
        </w:rPr>
        <w:t>Así mismo, como lo establece la Convención Americana en su artículo 13, el derecho de acceso a la información es un derecho humano universal y en consecuencia, toda persona tiene derecho a solicitar acceso a la información.</w:t>
      </w:r>
    </w:p>
    <w:p w14:paraId="574D2E89" w14:textId="77777777" w:rsidR="00D71285" w:rsidRDefault="00D71285">
      <w:pPr>
        <w:pBdr>
          <w:top w:val="nil"/>
          <w:left w:val="nil"/>
          <w:bottom w:val="nil"/>
          <w:right w:val="nil"/>
          <w:between w:val="nil"/>
        </w:pBdr>
        <w:tabs>
          <w:tab w:val="left" w:pos="284"/>
          <w:tab w:val="left" w:pos="426"/>
        </w:tabs>
        <w:spacing w:line="360" w:lineRule="auto"/>
        <w:ind w:right="-646"/>
        <w:jc w:val="both"/>
        <w:rPr>
          <w:rFonts w:ascii="Palatino Linotype" w:eastAsia="Palatino Linotype" w:hAnsi="Palatino Linotype" w:cs="Palatino Linotype"/>
          <w:color w:val="000000"/>
        </w:rPr>
      </w:pPr>
    </w:p>
    <w:p w14:paraId="46FF264B" w14:textId="77777777" w:rsidR="00D71285" w:rsidRDefault="00AC7421">
      <w:pPr>
        <w:numPr>
          <w:ilvl w:val="0"/>
          <w:numId w:val="10"/>
        </w:numPr>
        <w:pBdr>
          <w:top w:val="nil"/>
          <w:left w:val="nil"/>
          <w:bottom w:val="nil"/>
          <w:right w:val="nil"/>
          <w:between w:val="nil"/>
        </w:pBdr>
        <w:tabs>
          <w:tab w:val="left" w:pos="284"/>
          <w:tab w:val="left" w:pos="426"/>
        </w:tabs>
        <w:spacing w:line="360" w:lineRule="auto"/>
        <w:ind w:right="-646"/>
        <w:jc w:val="both"/>
        <w:rPr>
          <w:color w:val="000000"/>
        </w:rPr>
      </w:pPr>
      <w:r>
        <w:rPr>
          <w:rFonts w:ascii="Palatino Linotype" w:eastAsia="Palatino Linotype" w:hAnsi="Palatino Linotype" w:cs="Palatino Linotype"/>
          <w:color w:val="000000"/>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456CF3FF" w14:textId="77777777" w:rsidR="00D71285" w:rsidRDefault="00D71285">
      <w:pPr>
        <w:pBdr>
          <w:top w:val="nil"/>
          <w:left w:val="nil"/>
          <w:bottom w:val="nil"/>
          <w:right w:val="nil"/>
          <w:between w:val="nil"/>
        </w:pBdr>
        <w:tabs>
          <w:tab w:val="left" w:pos="284"/>
          <w:tab w:val="left" w:pos="426"/>
        </w:tabs>
        <w:spacing w:line="360" w:lineRule="auto"/>
        <w:ind w:right="-646"/>
        <w:jc w:val="both"/>
        <w:rPr>
          <w:rFonts w:ascii="Palatino Linotype" w:eastAsia="Palatino Linotype" w:hAnsi="Palatino Linotype" w:cs="Palatino Linotype"/>
          <w:color w:val="000000"/>
        </w:rPr>
      </w:pPr>
    </w:p>
    <w:p w14:paraId="7FD954ED" w14:textId="77777777" w:rsidR="00D71285" w:rsidRDefault="00AC7421">
      <w:pPr>
        <w:numPr>
          <w:ilvl w:val="0"/>
          <w:numId w:val="10"/>
        </w:numPr>
        <w:pBdr>
          <w:top w:val="nil"/>
          <w:left w:val="nil"/>
          <w:bottom w:val="nil"/>
          <w:right w:val="nil"/>
          <w:between w:val="nil"/>
        </w:pBdr>
        <w:tabs>
          <w:tab w:val="left" w:pos="284"/>
          <w:tab w:val="left" w:pos="426"/>
        </w:tabs>
        <w:spacing w:line="360" w:lineRule="auto"/>
        <w:ind w:right="-646"/>
        <w:jc w:val="both"/>
        <w:rPr>
          <w:color w:val="000000"/>
        </w:rPr>
      </w:pPr>
      <w:r>
        <w:rPr>
          <w:rFonts w:ascii="Palatino Linotype" w:eastAsia="Palatino Linotype" w:hAnsi="Palatino Linotype" w:cs="Palatino Linotype"/>
          <w:color w:val="000000"/>
        </w:rPr>
        <w:t xml:space="preserve">Luego entonces, el nombre del </w:t>
      </w:r>
      <w:r>
        <w:rPr>
          <w:rFonts w:ascii="Palatino Linotype" w:eastAsia="Palatino Linotype" w:hAnsi="Palatino Linotype" w:cs="Palatino Linotype"/>
          <w:b/>
          <w:color w:val="000000"/>
        </w:rPr>
        <w:t>SOLICITANTE</w:t>
      </w:r>
      <w:r>
        <w:rPr>
          <w:rFonts w:ascii="Palatino Linotype" w:eastAsia="Palatino Linotype" w:hAnsi="Palatino Linotype" w:cs="Palatino Linotype"/>
          <w:color w:val="000000"/>
        </w:rPr>
        <w:t xml:space="preserve"> y subsecuente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4F9BF963"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2DBB3D62"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w:t>
      </w:r>
      <w:r>
        <w:rPr>
          <w:rFonts w:ascii="Palatino Linotype" w:eastAsia="Palatino Linotype" w:hAnsi="Palatino Linotype" w:cs="Palatino Linotype"/>
          <w:color w:val="000000"/>
        </w:rPr>
        <w:lastRenderedPageBreak/>
        <w:t>Protección de Datos Personales del Estado de México y Municipios, conozca y resuelva el presente recurso.</w:t>
      </w:r>
    </w:p>
    <w:p w14:paraId="032E9A18"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2DDA34C1" w14:textId="77777777" w:rsidR="00D71285" w:rsidRDefault="00AC7421">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b/>
          <w:color w:val="000000"/>
        </w:rPr>
      </w:pPr>
      <w:bookmarkStart w:id="6" w:name="_heading=h.3dy6vkm" w:colFirst="0" w:colLast="0"/>
      <w:bookmarkEnd w:id="6"/>
      <w:r>
        <w:rPr>
          <w:rFonts w:ascii="Palatino Linotype" w:eastAsia="Palatino Linotype" w:hAnsi="Palatino Linotype" w:cs="Palatino Linotype"/>
          <w:b/>
          <w:color w:val="000000"/>
        </w:rPr>
        <w:t xml:space="preserve">TERCERO. Del planteamiento de la </w:t>
      </w:r>
      <w:r>
        <w:rPr>
          <w:rFonts w:ascii="Palatino Linotype" w:eastAsia="Palatino Linotype" w:hAnsi="Palatino Linotype" w:cs="Palatino Linotype"/>
          <w:b/>
          <w:i/>
          <w:color w:val="000000"/>
        </w:rPr>
        <w:t>Litis</w:t>
      </w:r>
      <w:r>
        <w:rPr>
          <w:rFonts w:ascii="Palatino Linotype" w:eastAsia="Palatino Linotype" w:hAnsi="Palatino Linotype" w:cs="Palatino Linotype"/>
          <w:b/>
          <w:color w:val="000000"/>
        </w:rPr>
        <w:t>.</w:t>
      </w:r>
    </w:p>
    <w:p w14:paraId="2726A623"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bookmarkStart w:id="7" w:name="_heading=h.1t3h5sf" w:colFirst="0" w:colLast="0"/>
      <w:bookmarkEnd w:id="7"/>
      <w:r>
        <w:rPr>
          <w:rFonts w:ascii="Palatino Linotype" w:eastAsia="Palatino Linotype" w:hAnsi="Palatino Linotype" w:cs="Palatino Linotype"/>
          <w:color w:val="000000"/>
        </w:rPr>
        <w:t xml:space="preserve">Se requirió el Comprobante Fiscal Digital por Internet (CFDI) de un servidor público específico, así como el motivo y razón que justifique </w:t>
      </w:r>
      <w:r>
        <w:rPr>
          <w:rFonts w:ascii="Palatino Linotype" w:eastAsia="Palatino Linotype" w:hAnsi="Palatino Linotype" w:cs="Palatino Linotype"/>
        </w:rPr>
        <w:t>por qué</w:t>
      </w:r>
      <w:r>
        <w:rPr>
          <w:rFonts w:ascii="Palatino Linotype" w:eastAsia="Palatino Linotype" w:hAnsi="Palatino Linotype" w:cs="Palatino Linotype"/>
          <w:color w:val="000000"/>
        </w:rPr>
        <w:t xml:space="preserve"> gana el sueldo que tiene; por otro lado, también se requirió la nómina de todo el personal sindicalizado, correspondiente a la primera quincena de abril de dos mil veintidós.</w:t>
      </w:r>
    </w:p>
    <w:p w14:paraId="10C044EA"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3B208153"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A través del Departamento de Reclutamiento y Nómina,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informó que la persona referida por el particular no era un servidor público adscrito al ayuntamiento; por otro lado, refirió entregar el reporte de nómina del personal sindicalizado, correspondiente a la primera quincena de abril de dos mil veinticuatro.</w:t>
      </w:r>
    </w:p>
    <w:p w14:paraId="690E2F75"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603F8154"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El particular impugnó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mediante el recurso de revisión al rubro citado, y en el que señaló por agravios, que no podía visualizar la información contenida en el archivo proveído en respuesta.</w:t>
      </w:r>
    </w:p>
    <w:p w14:paraId="7F516DF2"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71F3D579"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En ese sentido, este Órgano Garante advierte que las razones o motivos de inconformidad manifestados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sugieren que la respuesta proporcionada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cumplió con los principios </w:t>
      </w:r>
      <w:r>
        <w:rPr>
          <w:rFonts w:ascii="Palatino Linotype" w:eastAsia="Palatino Linotype" w:hAnsi="Palatino Linotype" w:cs="Palatino Linotype"/>
        </w:rPr>
        <w:t>contenidos</w:t>
      </w:r>
      <w:r>
        <w:rPr>
          <w:rFonts w:ascii="Palatino Linotype" w:eastAsia="Palatino Linotype" w:hAnsi="Palatino Linotype" w:cs="Palatino Linotype"/>
          <w:color w:val="000000"/>
        </w:rPr>
        <w:t xml:space="preserve"> en el artículo 11 de la Ley de Transparencia y Acceso a la Información Pública del Estado de México y Municipios, los cuales señalan que en la generación, publicación y entrega de información se deberá garantizar que ésta sea </w:t>
      </w:r>
      <w:r>
        <w:rPr>
          <w:rFonts w:ascii="Palatino Linotype" w:eastAsia="Palatino Linotype" w:hAnsi="Palatino Linotype" w:cs="Palatino Linotype"/>
          <w:b/>
          <w:color w:val="000000"/>
        </w:rPr>
        <w:t>accesible</w:t>
      </w:r>
      <w:r>
        <w:rPr>
          <w:rFonts w:ascii="Palatino Linotype" w:eastAsia="Palatino Linotype" w:hAnsi="Palatino Linotype" w:cs="Palatino Linotype"/>
          <w:color w:val="000000"/>
        </w:rPr>
        <w:t>.</w:t>
      </w:r>
    </w:p>
    <w:p w14:paraId="325166D6"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77E2FE86"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lastRenderedPageBreak/>
        <w:t xml:space="preserve">Por lo anterior,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a resolver en el presente recurso se circunscribe en determinar si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colma el derecho de acceso a la información ejercido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o, si por el contrario, se actualiza la causal de procedencia del recurso de revisión establecida en el artículo 179, fracción IX, de la Ley de Transparencia y Acceso a la Información Pública del Estado de México y Municipios</w:t>
      </w:r>
      <w:r>
        <w:rPr>
          <w:rFonts w:ascii="Palatino Linotype" w:eastAsia="Palatino Linotype" w:hAnsi="Palatino Linotype" w:cs="Palatino Linotype"/>
          <w:color w:val="000000"/>
          <w:vertAlign w:val="superscript"/>
        </w:rPr>
        <w:footnoteReference w:id="4"/>
      </w:r>
      <w:r>
        <w:rPr>
          <w:rFonts w:ascii="Palatino Linotype" w:eastAsia="Palatino Linotype" w:hAnsi="Palatino Linotype" w:cs="Palatino Linotype"/>
          <w:color w:val="000000"/>
        </w:rPr>
        <w:t>.</w:t>
      </w:r>
    </w:p>
    <w:p w14:paraId="5A4B5244" w14:textId="77777777" w:rsidR="00D71285" w:rsidRDefault="00D71285">
      <w:pPr>
        <w:ind w:right="-646"/>
      </w:pPr>
    </w:p>
    <w:p w14:paraId="169FD0A6" w14:textId="77777777" w:rsidR="00D71285" w:rsidRDefault="00AC7421">
      <w:pPr>
        <w:pStyle w:val="Ttulo2"/>
        <w:tabs>
          <w:tab w:val="left" w:pos="426"/>
        </w:tabs>
        <w:spacing w:before="0"/>
        <w:ind w:right="-646"/>
        <w:rPr>
          <w:rFonts w:ascii="Palatino Linotype" w:eastAsia="Palatino Linotype" w:hAnsi="Palatino Linotype" w:cs="Palatino Linotype"/>
          <w:b/>
          <w:color w:val="000000"/>
          <w:sz w:val="24"/>
          <w:szCs w:val="24"/>
        </w:rPr>
      </w:pPr>
      <w:bookmarkStart w:id="8" w:name="_heading=h.4d34og8" w:colFirst="0" w:colLast="0"/>
      <w:bookmarkEnd w:id="8"/>
      <w:r>
        <w:rPr>
          <w:rFonts w:ascii="Palatino Linotype" w:eastAsia="Palatino Linotype" w:hAnsi="Palatino Linotype" w:cs="Palatino Linotype"/>
          <w:b/>
          <w:color w:val="000000"/>
          <w:sz w:val="24"/>
          <w:szCs w:val="24"/>
        </w:rPr>
        <w:t>CUARTO. Estudio y Resolución del asunto.</w:t>
      </w:r>
    </w:p>
    <w:p w14:paraId="0C1430E5"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bookmarkStart w:id="9" w:name="_heading=h.2s8eyo1" w:colFirst="0" w:colLast="0"/>
      <w:bookmarkEnd w:id="9"/>
    </w:p>
    <w:p w14:paraId="7DA48AB1" w14:textId="77777777" w:rsidR="00D71285" w:rsidRDefault="00AC7421">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I. </w:t>
      </w:r>
      <w:r>
        <w:rPr>
          <w:rFonts w:ascii="Palatino Linotype" w:eastAsia="Palatino Linotype" w:hAnsi="Palatino Linotype" w:cs="Palatino Linotype"/>
          <w:b/>
        </w:rPr>
        <w:t>Los</w:t>
      </w:r>
      <w:r>
        <w:rPr>
          <w:rFonts w:ascii="Palatino Linotype" w:eastAsia="Palatino Linotype" w:hAnsi="Palatino Linotype" w:cs="Palatino Linotype"/>
          <w:b/>
          <w:color w:val="000000"/>
        </w:rPr>
        <w:t xml:space="preserve"> límites del derecho de acceso a la información.</w:t>
      </w:r>
    </w:p>
    <w:p w14:paraId="2C69AFC6"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Previo a iniciar el análisis de la información solicitada, se considera 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6D8901FD" w14:textId="77777777" w:rsidR="00D71285" w:rsidRDefault="00AC7421">
      <w:pPr>
        <w:spacing w:line="276" w:lineRule="auto"/>
        <w:ind w:left="567"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C1E368E" w14:textId="77777777" w:rsidR="00D71285" w:rsidRDefault="00AC7421">
      <w:pPr>
        <w:spacing w:line="276" w:lineRule="auto"/>
        <w:ind w:left="567"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E1FB1EF" w14:textId="77777777" w:rsidR="00D71285" w:rsidRDefault="00AC7421">
      <w:pPr>
        <w:spacing w:line="276" w:lineRule="auto"/>
        <w:ind w:left="567"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sea generada por los Sujetos Obligados;</w:t>
      </w:r>
    </w:p>
    <w:p w14:paraId="50FA218C" w14:textId="77777777" w:rsidR="00D71285" w:rsidRDefault="00AC7421">
      <w:pPr>
        <w:spacing w:line="276" w:lineRule="auto"/>
        <w:ind w:left="567"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26E5DE4A" w14:textId="77777777" w:rsidR="00D71285" w:rsidRDefault="00AC7421">
      <w:pPr>
        <w:spacing w:line="276" w:lineRule="auto"/>
        <w:ind w:left="567" w:right="6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5DD9D70C"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w:t>
      </w:r>
      <w:r>
        <w:rPr>
          <w:rFonts w:ascii="Palatino Linotype" w:eastAsia="Palatino Linotype" w:hAnsi="Palatino Linotype" w:cs="Palatino Linotype"/>
          <w:color w:val="000000"/>
          <w:vertAlign w:val="superscript"/>
        </w:rPr>
        <w:footnoteReference w:id="5"/>
      </w:r>
      <w:r>
        <w:rPr>
          <w:rFonts w:ascii="Palatino Linotype" w:eastAsia="Palatino Linotype" w:hAnsi="Palatino Linotype" w:cs="Palatino Linotype"/>
          <w:color w:val="000000"/>
        </w:rPr>
        <w:t>, para darnos un mejor panorama:</w:t>
      </w:r>
    </w:p>
    <w:p w14:paraId="091BCE2A" w14:textId="77777777" w:rsidR="00D71285" w:rsidRDefault="00AC7421">
      <w:pPr>
        <w:spacing w:line="276" w:lineRule="auto"/>
        <w:ind w:left="567"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 Documento: </w:t>
      </w:r>
      <w:r>
        <w:rPr>
          <w:rFonts w:ascii="Palatino Linotype" w:eastAsia="Palatino Linotype" w:hAnsi="Palatino Linotype" w:cs="Palatino Linotype"/>
          <w:i/>
          <w:sz w:val="22"/>
          <w:szCs w:val="22"/>
        </w:rPr>
        <w:t xml:space="preserve">Los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i/>
          <w:sz w:val="22"/>
          <w:szCs w:val="22"/>
        </w:rPr>
        <w:t>cualquier</w:t>
      </w:r>
      <w:r>
        <w:rPr>
          <w:rFonts w:ascii="Palatino Linotype" w:eastAsia="Palatino Linotype" w:hAnsi="Palatino Linotype" w:cs="Palatino Linotype"/>
          <w:i/>
          <w:sz w:val="22"/>
          <w:szCs w:val="22"/>
        </w:rPr>
        <w:t xml:space="preserve"> otro </w:t>
      </w:r>
      <w:r>
        <w:rPr>
          <w:rFonts w:ascii="Palatino Linotype" w:eastAsia="Palatino Linotype" w:hAnsi="Palatino Linotype" w:cs="Palatino Linotype"/>
          <w:b/>
          <w:i/>
          <w:sz w:val="22"/>
          <w:szCs w:val="22"/>
        </w:rPr>
        <w:t>registro que documente el ejercicio de las facultades, funciones y competencias de los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sujetos obligados</w:t>
      </w:r>
      <w:r>
        <w:rPr>
          <w:rFonts w:ascii="Palatino Linotype" w:eastAsia="Palatino Linotype" w:hAnsi="Palatino Linotype" w:cs="Palatino Linotype"/>
          <w:i/>
          <w:sz w:val="22"/>
          <w:szCs w:val="22"/>
        </w:rPr>
        <w:t>, sus servidores públicos e integrantes, sin importar su fuente o fecha de elaboración. Los documentos podrán estar en cualquier medio, sea escrito, impreso,  sonoro, visual, electrónico, informático u holográfico;”</w:t>
      </w:r>
    </w:p>
    <w:p w14:paraId="0AC0DCD4" w14:textId="77777777" w:rsidR="00D71285" w:rsidRDefault="00AC7421">
      <w:pPr>
        <w:spacing w:line="276" w:lineRule="auto"/>
        <w:ind w:left="567" w:right="6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23E47401"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0E430CAE"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Correlativo a lo anterior, debemos tomar en cuenta los artículos 4 y 12, de la Ley de Transparencia y Acceso a la Información Pública del Estado de México y Municipios, los cuales establecen lo siguiente:</w:t>
      </w:r>
    </w:p>
    <w:p w14:paraId="3D4A192C" w14:textId="77777777" w:rsidR="00D71285" w:rsidRDefault="00AC7421">
      <w:pPr>
        <w:spacing w:line="276" w:lineRule="auto"/>
        <w:ind w:left="567" w:right="20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5EB47C08" w14:textId="77777777" w:rsidR="00D71285" w:rsidRDefault="00AC7421">
      <w:pPr>
        <w:spacing w:line="276" w:lineRule="auto"/>
        <w:ind w:left="567" w:right="20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w:t>
      </w:r>
      <w:r>
        <w:rPr>
          <w:rFonts w:ascii="Palatino Linotype" w:eastAsia="Palatino Linotype" w:hAnsi="Palatino Linotype" w:cs="Palatino Linotype"/>
          <w:i/>
          <w:sz w:val="22"/>
          <w:szCs w:val="22"/>
        </w:rPr>
        <w:lastRenderedPageBreak/>
        <w:t>razones de interés público, en los términos de las causas legítimas y estrictamente necesarias previstas por esta Ley.</w:t>
      </w:r>
    </w:p>
    <w:p w14:paraId="4D0730F2" w14:textId="77777777" w:rsidR="00D71285" w:rsidRDefault="00AC7421">
      <w:pPr>
        <w:spacing w:line="276" w:lineRule="auto"/>
        <w:ind w:left="567" w:right="20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27ED9F4A" w14:textId="77777777" w:rsidR="00D71285" w:rsidRDefault="00D71285">
      <w:pPr>
        <w:spacing w:line="276" w:lineRule="auto"/>
        <w:ind w:right="204"/>
        <w:jc w:val="both"/>
        <w:rPr>
          <w:rFonts w:ascii="Palatino Linotype" w:eastAsia="Palatino Linotype" w:hAnsi="Palatino Linotype" w:cs="Palatino Linotype"/>
          <w:i/>
          <w:color w:val="000000"/>
          <w:sz w:val="22"/>
          <w:szCs w:val="22"/>
        </w:rPr>
      </w:pPr>
    </w:p>
    <w:p w14:paraId="62049885" w14:textId="77777777" w:rsidR="00D71285" w:rsidRDefault="00AC7421">
      <w:pPr>
        <w:spacing w:line="276" w:lineRule="auto"/>
        <w:ind w:left="567" w:right="20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Pr>
          <w:rFonts w:ascii="Palatino Linotype" w:eastAsia="Palatino Linotype" w:hAnsi="Palatino Linotype" w:cs="Palatino Linotype"/>
          <w:i/>
          <w:sz w:val="22"/>
          <w:szCs w:val="22"/>
        </w:rPr>
        <w:t xml:space="preserve">. </w:t>
      </w:r>
    </w:p>
    <w:p w14:paraId="655C20D2" w14:textId="77777777" w:rsidR="00D71285" w:rsidRDefault="00AC7421">
      <w:pPr>
        <w:spacing w:line="276" w:lineRule="auto"/>
        <w:ind w:left="567" w:right="20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A6417D2" w14:textId="77777777" w:rsidR="00D71285" w:rsidRDefault="00AC7421">
      <w:pPr>
        <w:spacing w:line="276" w:lineRule="auto"/>
        <w:ind w:left="567" w:right="20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0CF28C9D"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500914C9"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Es 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076F543D"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54FF6D3E"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Por 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Pr>
          <w:rFonts w:ascii="Palatino Linotype" w:eastAsia="Palatino Linotype" w:hAnsi="Palatino Linotype" w:cs="Palatino Linotype"/>
          <w:color w:val="000000"/>
          <w:vertAlign w:val="superscript"/>
        </w:rPr>
        <w:footnoteReference w:id="6"/>
      </w:r>
      <w:r>
        <w:rPr>
          <w:rFonts w:ascii="Palatino Linotype" w:eastAsia="Palatino Linotype" w:hAnsi="Palatino Linotype" w:cs="Palatino Linotype"/>
          <w:color w:val="000000"/>
        </w:rPr>
        <w:t>.</w:t>
      </w:r>
    </w:p>
    <w:p w14:paraId="660ECF7E"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613B0B29"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En 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color w:val="000000"/>
          <w:vertAlign w:val="superscript"/>
        </w:rPr>
        <w:footnoteReference w:id="7"/>
      </w:r>
      <w:r>
        <w:rPr>
          <w:rFonts w:ascii="Palatino Linotype" w:eastAsia="Palatino Linotype" w:hAnsi="Palatino Linotype" w:cs="Palatino Linotype"/>
          <w:color w:val="000000"/>
        </w:rPr>
        <w:t xml:space="preserve"> y máxima publicidad; sobre éste último se debe poner mayor énfasis, puesto que establece que </w:t>
      </w:r>
      <w:r>
        <w:rPr>
          <w:rFonts w:ascii="Palatino Linotype" w:eastAsia="Palatino Linotype" w:hAnsi="Palatino Linotype" w:cs="Palatino Linotype"/>
          <w:b/>
          <w:color w:val="000000"/>
          <w:u w:val="single"/>
        </w:rPr>
        <w:t>toda la información en posesión de los Sujetos Obligados será</w:t>
      </w:r>
      <w:r>
        <w:rPr>
          <w:rFonts w:ascii="Palatino Linotype" w:eastAsia="Palatino Linotype" w:hAnsi="Palatino Linotype" w:cs="Palatino Linotype"/>
          <w:color w:val="000000"/>
        </w:rPr>
        <w:t xml:space="preserve"> pública, completa, </w:t>
      </w:r>
      <w:r>
        <w:rPr>
          <w:rFonts w:ascii="Palatino Linotype" w:eastAsia="Palatino Linotype" w:hAnsi="Palatino Linotype" w:cs="Palatino Linotype"/>
          <w:b/>
          <w:color w:val="000000"/>
          <w:u w:val="single"/>
        </w:rPr>
        <w:t>oportuna</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u w:val="single"/>
        </w:rPr>
        <w:t>accesible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lo que permite que la ciudadanía tenga un amplio acceso sobre lo que es el actuar de las autoridades</w:t>
      </w:r>
      <w:r>
        <w:rPr>
          <w:rFonts w:ascii="Palatino Linotype" w:eastAsia="Palatino Linotype" w:hAnsi="Palatino Linotype" w:cs="Palatino Linotype"/>
          <w:color w:val="000000"/>
        </w:rPr>
        <w:t>.</w:t>
      </w:r>
    </w:p>
    <w:p w14:paraId="3127FD6F"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6632677C" w14:textId="5AA6A3FD"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Robustece lo anterior la Tesis aislada identificada con la clave I.4º.A.40 A del Cuarto Tribunal colegiado en Materia Administrativa del Prime</w:t>
      </w:r>
      <w:r w:rsidR="00E71C21">
        <w:rPr>
          <w:rFonts w:ascii="Palatino Linotype" w:eastAsia="Palatino Linotype" w:hAnsi="Palatino Linotype" w:cs="Palatino Linotype"/>
          <w:color w:val="000000"/>
        </w:rPr>
        <w:t>r Circuito, publicada en el Sema</w:t>
      </w:r>
      <w:r>
        <w:rPr>
          <w:rFonts w:ascii="Palatino Linotype" w:eastAsia="Palatino Linotype" w:hAnsi="Palatino Linotype" w:cs="Palatino Linotype"/>
          <w:color w:val="000000"/>
        </w:rPr>
        <w:t>nario Judicial de la Federación y su Gaceta en el libro XVIII, Marzo 2013, Página 1899:</w:t>
      </w:r>
    </w:p>
    <w:p w14:paraId="36B8E9EC" w14:textId="77777777" w:rsidR="00D71285" w:rsidRDefault="00AC7421">
      <w:pPr>
        <w:pBdr>
          <w:top w:val="nil"/>
          <w:left w:val="nil"/>
          <w:bottom w:val="nil"/>
          <w:right w:val="nil"/>
          <w:between w:val="nil"/>
        </w:pBdr>
        <w:tabs>
          <w:tab w:val="left" w:pos="142"/>
          <w:tab w:val="left" w:pos="284"/>
          <w:tab w:val="left" w:pos="426"/>
        </w:tabs>
        <w:spacing w:line="276" w:lineRule="auto"/>
        <w:ind w:left="567"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w:t>
      </w:r>
      <w:r>
        <w:rPr>
          <w:rFonts w:ascii="Palatino Linotype" w:eastAsia="Palatino Linotype" w:hAnsi="Palatino Linotype" w:cs="Palatino Linotype"/>
          <w:i/>
          <w:color w:val="000000"/>
          <w:sz w:val="22"/>
          <w:szCs w:val="22"/>
        </w:rPr>
        <w:lastRenderedPageBreak/>
        <w:t>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6EF2CF75"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740DBBB4"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Tal y como se ha señalado, </w:t>
      </w:r>
      <w:r>
        <w:rPr>
          <w:rFonts w:ascii="Palatino Linotype" w:eastAsia="Palatino Linotype" w:hAnsi="Palatino Linotype" w:cs="Palatino Linotype"/>
          <w:b/>
          <w:color w:val="000000"/>
        </w:rPr>
        <w:t>el derecho de acceso a la información se basa en permitir que la ciudadanía conozca de primera mano toda aquella información que se encuentra en posesión de los Sujetos Obligados</w:t>
      </w:r>
      <w:r>
        <w:rPr>
          <w:rFonts w:ascii="Palatino Linotype" w:eastAsia="Palatino Linotype" w:hAnsi="Palatino Linotype" w:cs="Palatino Linotype"/>
          <w:color w:val="000000"/>
        </w:rPr>
        <w:t xml:space="preserve">, ya sea porque la genera, posee o administra; </w:t>
      </w:r>
      <w:r>
        <w:rPr>
          <w:rFonts w:ascii="Palatino Linotype" w:eastAsia="Palatino Linotype" w:hAnsi="Palatino Linotype" w:cs="Palatino Linotype"/>
          <w:b/>
          <w:color w:val="000000"/>
        </w:rPr>
        <w:t>toda vez que</w:t>
      </w:r>
      <w:r>
        <w:rPr>
          <w:rFonts w:ascii="Palatino Linotype" w:eastAsia="Palatino Linotype" w:hAnsi="Palatino Linotype" w:cs="Palatino Linotype"/>
          <w:color w:val="000000"/>
        </w:rPr>
        <w:t xml:space="preserve">, a través de dicha acción, </w:t>
      </w:r>
      <w:r>
        <w:rPr>
          <w:rFonts w:ascii="Palatino Linotype" w:eastAsia="Palatino Linotype" w:hAnsi="Palatino Linotype" w:cs="Palatino Linotype"/>
          <w:b/>
          <w:color w:val="000000"/>
        </w:rPr>
        <w:t>permite que las personas ejerzan un medio de control sobre las acciones que se están ejerciendo y evaluar su desempeño</w:t>
      </w:r>
      <w:r>
        <w:rPr>
          <w:rFonts w:ascii="Palatino Linotype" w:eastAsia="Palatino Linotype" w:hAnsi="Palatino Linotype" w:cs="Palatino Linotype"/>
          <w:color w:val="000000"/>
        </w:rPr>
        <w:t>.</w:t>
      </w:r>
    </w:p>
    <w:p w14:paraId="4DE6E080"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2D3F6EEF" w14:textId="77777777" w:rsidR="00D71285" w:rsidRDefault="00AC7421">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b/>
          <w:color w:val="000000"/>
        </w:rPr>
      </w:pPr>
      <w:bookmarkStart w:id="10" w:name="_heading=h.17dp8vu" w:colFirst="0" w:colLast="0"/>
      <w:bookmarkEnd w:id="10"/>
      <w:r>
        <w:rPr>
          <w:rFonts w:ascii="Palatino Linotype" w:eastAsia="Palatino Linotype" w:hAnsi="Palatino Linotype" w:cs="Palatino Linotype"/>
          <w:b/>
          <w:color w:val="000000"/>
        </w:rPr>
        <w:t>II. De la atención a la solicitud de información.</w:t>
      </w:r>
    </w:p>
    <w:p w14:paraId="758F97E5"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0C31A90"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77DECF37"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Para atender las solicitudes de información, los Sujetos Obligados contarán con un área denominada </w:t>
      </w:r>
      <w:r>
        <w:rPr>
          <w:rFonts w:ascii="Palatino Linotype" w:eastAsia="Palatino Linotype" w:hAnsi="Palatino Linotype" w:cs="Palatino Linotype"/>
          <w:b/>
          <w:color w:val="000000"/>
        </w:rPr>
        <w:t>Unidad de Transparencia</w:t>
      </w:r>
      <w:r>
        <w:rPr>
          <w:rFonts w:ascii="Palatino Linotype" w:eastAsia="Palatino Linotype" w:hAnsi="Palatino Linotype" w:cs="Palatino Linotype"/>
          <w:color w:val="000000"/>
          <w:vertAlign w:val="superscript"/>
        </w:rPr>
        <w:footnoteReference w:id="8"/>
      </w:r>
      <w:r>
        <w:rPr>
          <w:rFonts w:ascii="Palatino Linotype" w:eastAsia="Palatino Linotype" w:hAnsi="Palatino Linotype" w:cs="Palatino Linotype"/>
          <w:color w:val="000000"/>
        </w:rPr>
        <w:t xml:space="preserve">, la cual será presidida por un Titular, quien fungirá como enlace entre éstos y los solicitantes. Dicha Unidad </w:t>
      </w:r>
      <w:r>
        <w:rPr>
          <w:rFonts w:ascii="Palatino Linotype" w:eastAsia="Palatino Linotype" w:hAnsi="Palatino Linotype" w:cs="Palatino Linotype"/>
          <w:b/>
          <w:color w:val="000000"/>
        </w:rPr>
        <w:t xml:space="preserve">será la encargada de </w:t>
      </w:r>
      <w:r>
        <w:rPr>
          <w:rFonts w:ascii="Palatino Linotype" w:eastAsia="Palatino Linotype" w:hAnsi="Palatino Linotype" w:cs="Palatino Linotype"/>
          <w:b/>
          <w:color w:val="000000"/>
        </w:rPr>
        <w:lastRenderedPageBreak/>
        <w:t>tramitar internamente la solicitud de información</w:t>
      </w:r>
      <w:r>
        <w:rPr>
          <w:rFonts w:ascii="Palatino Linotype" w:eastAsia="Palatino Linotype" w:hAnsi="Palatino Linotype" w:cs="Palatino Linotype"/>
          <w:color w:val="000000"/>
        </w:rPr>
        <w:t xml:space="preserve"> y tendrá la alta responsabilidad de verificar, en cada caso, que la misma no sea confidencial o reservada. Asimismo, contará con las facultades internas necesarias para </w:t>
      </w:r>
      <w:r>
        <w:rPr>
          <w:rFonts w:ascii="Palatino Linotype" w:eastAsia="Palatino Linotype" w:hAnsi="Palatino Linotype" w:cs="Palatino Linotype"/>
          <w:b/>
          <w:color w:val="000000"/>
        </w:rPr>
        <w:t xml:space="preserve">gestionar la atención a las solicitudes de información </w:t>
      </w:r>
      <w:r>
        <w:rPr>
          <w:rFonts w:ascii="Palatino Linotype" w:eastAsia="Palatino Linotype" w:hAnsi="Palatino Linotype" w:cs="Palatino Linotype"/>
          <w:color w:val="000000"/>
        </w:rPr>
        <w:t>en los términos de la Ley General y la Ley de Transparencia y Acceso a la Información Pública del Estado de México y Municipios</w:t>
      </w:r>
      <w:r>
        <w:rPr>
          <w:rFonts w:ascii="Palatino Linotype" w:eastAsia="Palatino Linotype" w:hAnsi="Palatino Linotype" w:cs="Palatino Linotype"/>
          <w:color w:val="000000"/>
          <w:vertAlign w:val="superscript"/>
        </w:rPr>
        <w:footnoteReference w:id="9"/>
      </w:r>
      <w:r>
        <w:rPr>
          <w:rFonts w:ascii="Palatino Linotype" w:eastAsia="Palatino Linotype" w:hAnsi="Palatino Linotype" w:cs="Palatino Linotype"/>
          <w:color w:val="000000"/>
        </w:rPr>
        <w:t>.</w:t>
      </w:r>
    </w:p>
    <w:p w14:paraId="39C06711"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253EDB35"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De conformidad con lo dispuesto por el artículo 53 de la Ley de Transparencia y Acceso a la Información Pública del Estado de México y Municipios, las Unidades de Transparencia tendrán, entre sus atribuciones, las siguientes:</w:t>
      </w:r>
    </w:p>
    <w:p w14:paraId="776C4689" w14:textId="77777777" w:rsidR="00D71285" w:rsidRDefault="00AC7421">
      <w:pPr>
        <w:numPr>
          <w:ilvl w:val="1"/>
          <w:numId w:val="1"/>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Recibir, tramitar y dar respuesta a las solicitudes de acceso a la información;</w:t>
      </w:r>
    </w:p>
    <w:p w14:paraId="0FDADE26" w14:textId="77777777" w:rsidR="00D71285" w:rsidRDefault="00AC7421">
      <w:pPr>
        <w:numPr>
          <w:ilvl w:val="1"/>
          <w:numId w:val="1"/>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Realizar, con efectividad, los trámites internos necesarios para la atención de las solicitudes de acceso a la información; </w:t>
      </w:r>
    </w:p>
    <w:p w14:paraId="5A890C54" w14:textId="77777777" w:rsidR="00D71285" w:rsidRDefault="00AC7421">
      <w:pPr>
        <w:numPr>
          <w:ilvl w:val="1"/>
          <w:numId w:val="1"/>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Entregar, en su caso, a los particulares la información solicitada; y </w:t>
      </w:r>
    </w:p>
    <w:p w14:paraId="56AAD904" w14:textId="77777777" w:rsidR="00D71285" w:rsidRDefault="00AC7421">
      <w:pPr>
        <w:numPr>
          <w:ilvl w:val="1"/>
          <w:numId w:val="1"/>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Efectuar las notificaciones a los solicitantes.</w:t>
      </w:r>
    </w:p>
    <w:p w14:paraId="73545ADF"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062F16D9"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Otros sujetos del proceso de atención a las solicitudes de información son los servidores públicos habilitados, quienes serán designados por el titular del Sujeto Obligado a propuesta del responsable de la Unidad de Transparencia</w:t>
      </w:r>
      <w:r>
        <w:rPr>
          <w:rFonts w:ascii="Palatino Linotype" w:eastAsia="Palatino Linotype" w:hAnsi="Palatino Linotype" w:cs="Palatino Linotype"/>
          <w:color w:val="000000"/>
          <w:vertAlign w:val="superscript"/>
        </w:rPr>
        <w:footnoteReference w:id="10"/>
      </w:r>
      <w:r>
        <w:rPr>
          <w:rFonts w:ascii="Palatino Linotype" w:eastAsia="Palatino Linotype" w:hAnsi="Palatino Linotype" w:cs="Palatino Linotype"/>
          <w:color w:val="000000"/>
        </w:rPr>
        <w:t xml:space="preserve"> y tendrán, entre sus atribuciones, las siguientes</w:t>
      </w:r>
      <w:r>
        <w:rPr>
          <w:rFonts w:ascii="Palatino Linotype" w:eastAsia="Palatino Linotype" w:hAnsi="Palatino Linotype" w:cs="Palatino Linotype"/>
          <w:color w:val="000000"/>
          <w:vertAlign w:val="superscript"/>
        </w:rPr>
        <w:footnoteReference w:id="11"/>
      </w:r>
      <w:r>
        <w:rPr>
          <w:rFonts w:ascii="Palatino Linotype" w:eastAsia="Palatino Linotype" w:hAnsi="Palatino Linotype" w:cs="Palatino Linotype"/>
          <w:color w:val="000000"/>
        </w:rPr>
        <w:t>:</w:t>
      </w:r>
    </w:p>
    <w:p w14:paraId="578C43CB" w14:textId="77777777" w:rsidR="00D71285" w:rsidRDefault="00AC7421">
      <w:pPr>
        <w:numPr>
          <w:ilvl w:val="1"/>
          <w:numId w:val="2"/>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Localizar la información que le solicite la Unidad de Transparencia; y</w:t>
      </w:r>
    </w:p>
    <w:p w14:paraId="3B11AF18" w14:textId="77777777" w:rsidR="00D71285" w:rsidRDefault="00AC7421">
      <w:pPr>
        <w:numPr>
          <w:ilvl w:val="1"/>
          <w:numId w:val="2"/>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Proporcionar la información que obre en los archivos y que le sea solicitada por la Unidad de Transparencia.</w:t>
      </w:r>
    </w:p>
    <w:p w14:paraId="3076F839"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5F1D67A4"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lastRenderedPageBreak/>
        <w:t xml:space="preserve">De tal manera que cada una de las áreas administrativas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061DDC9E"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42A54B4D"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Establecido lo anterior, de la lectura a la solicitud de información </w:t>
      </w:r>
      <w:r>
        <w:rPr>
          <w:rFonts w:ascii="Palatino Linotype" w:eastAsia="Palatino Linotype" w:hAnsi="Palatino Linotype" w:cs="Palatino Linotype"/>
          <w:b/>
          <w:color w:val="000000"/>
        </w:rPr>
        <w:t>00610/TLALNEPA/IP/2024</w:t>
      </w:r>
      <w:r>
        <w:rPr>
          <w:rFonts w:ascii="Palatino Linotype" w:eastAsia="Palatino Linotype" w:hAnsi="Palatino Linotype" w:cs="Palatino Linotype"/>
          <w:color w:val="000000"/>
        </w:rPr>
        <w:t xml:space="preserve">,  y como fuera señalado en el </w:t>
      </w:r>
      <w:r>
        <w:rPr>
          <w:rFonts w:ascii="Palatino Linotype" w:eastAsia="Palatino Linotype" w:hAnsi="Palatino Linotype" w:cs="Palatino Linotype"/>
          <w:i/>
          <w:color w:val="000000"/>
        </w:rPr>
        <w:t>Planteamiento de la Litis</w:t>
      </w:r>
      <w:r>
        <w:rPr>
          <w:rFonts w:ascii="Palatino Linotype" w:eastAsia="Palatino Linotype" w:hAnsi="Palatino Linotype" w:cs="Palatino Linotype"/>
          <w:color w:val="000000"/>
        </w:rPr>
        <w:t xml:space="preserve"> de esta resolución, se advierte que el entonces </w:t>
      </w:r>
      <w:r>
        <w:rPr>
          <w:rFonts w:ascii="Palatino Linotype" w:eastAsia="Palatino Linotype" w:hAnsi="Palatino Linotype" w:cs="Palatino Linotype"/>
          <w:b/>
          <w:color w:val="000000"/>
        </w:rPr>
        <w:t>SOLICITANTE</w:t>
      </w:r>
      <w:r>
        <w:rPr>
          <w:rFonts w:ascii="Palatino Linotype" w:eastAsia="Palatino Linotype" w:hAnsi="Palatino Linotype" w:cs="Palatino Linotype"/>
          <w:color w:val="000000"/>
        </w:rPr>
        <w:t xml:space="preserve"> requirió acceder a la siguiente información:</w:t>
      </w:r>
    </w:p>
    <w:p w14:paraId="5A46A1C3"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una persona específica:</w:t>
      </w:r>
    </w:p>
    <w:p w14:paraId="62B8990B" w14:textId="77777777" w:rsidR="00D71285" w:rsidRDefault="00AC7421">
      <w:pPr>
        <w:numPr>
          <w:ilvl w:val="2"/>
          <w:numId w:val="9"/>
        </w:numPr>
        <w:pBdr>
          <w:top w:val="nil"/>
          <w:left w:val="nil"/>
          <w:bottom w:val="nil"/>
          <w:right w:val="nil"/>
          <w:between w:val="nil"/>
        </w:pBdr>
        <w:tabs>
          <w:tab w:val="left" w:pos="426"/>
        </w:tabs>
        <w:spacing w:line="360" w:lineRule="auto"/>
        <w:ind w:left="1701"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Comprobante Fiscal Digital por Internet (CFDI); y</w:t>
      </w:r>
    </w:p>
    <w:p w14:paraId="5ED427B7" w14:textId="77777777" w:rsidR="00D71285" w:rsidRDefault="00AC7421">
      <w:pPr>
        <w:numPr>
          <w:ilvl w:val="2"/>
          <w:numId w:val="9"/>
        </w:numPr>
        <w:pBdr>
          <w:top w:val="nil"/>
          <w:left w:val="nil"/>
          <w:bottom w:val="nil"/>
          <w:right w:val="nil"/>
          <w:between w:val="nil"/>
        </w:pBdr>
        <w:tabs>
          <w:tab w:val="left" w:pos="426"/>
        </w:tabs>
        <w:spacing w:line="360" w:lineRule="auto"/>
        <w:ind w:left="1701"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Señale el motivo y razón que justifique por qué gana el sueldo que tiene y, si está permitido en la ley.</w:t>
      </w:r>
    </w:p>
    <w:p w14:paraId="0C0486D4"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Nómina de los servidores públicos sindicalizados, de la primera quincena de abril de dos mil veinticuatro.</w:t>
      </w:r>
    </w:p>
    <w:p w14:paraId="24B52359"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5419C6E0"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En respuesta a la solicitud de información </w:t>
      </w:r>
      <w:r>
        <w:rPr>
          <w:rFonts w:ascii="Palatino Linotype" w:eastAsia="Palatino Linotype" w:hAnsi="Palatino Linotype" w:cs="Palatino Linotype"/>
          <w:b/>
          <w:color w:val="000000"/>
        </w:rPr>
        <w:t>00610/TLALNEPA/IP/2024</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presentó el oficio número DA/SCH/DRYN/0150/2024, de quince (15) de mayo de dos mil veinticuatro, emitido por la Jefa del Departamento de Reclutamiento y Nómina, dirigido a la Servidora Pública Habilitada de la Dirección de Administración, respecto </w:t>
      </w:r>
      <w:r>
        <w:rPr>
          <w:rFonts w:ascii="Palatino Linotype" w:eastAsia="Palatino Linotype" w:hAnsi="Palatino Linotype" w:cs="Palatino Linotype"/>
        </w:rPr>
        <w:t>del cual</w:t>
      </w:r>
      <w:r>
        <w:rPr>
          <w:rFonts w:ascii="Palatino Linotype" w:eastAsia="Palatino Linotype" w:hAnsi="Palatino Linotype" w:cs="Palatino Linotype"/>
          <w:color w:val="000000"/>
        </w:rPr>
        <w:t xml:space="preserve">, se comparte el siguiente fragmento: </w:t>
      </w:r>
    </w:p>
    <w:p w14:paraId="7BEF6C64"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“Después de una búsqueda exhaustiva y minuciosa, para estar en aptitud de dar contestación oportuna, esta subdirección se pronuncia al respecto:</w:t>
      </w:r>
    </w:p>
    <w:p w14:paraId="2B1E438C" w14:textId="77777777" w:rsidR="00D71285" w:rsidRDefault="00AC7421">
      <w:pPr>
        <w:numPr>
          <w:ilvl w:val="0"/>
          <w:numId w:val="3"/>
        </w:numPr>
        <w:pBdr>
          <w:top w:val="nil"/>
          <w:left w:val="nil"/>
          <w:bottom w:val="nil"/>
          <w:right w:val="nil"/>
          <w:between w:val="nil"/>
        </w:pBdr>
        <w:tabs>
          <w:tab w:val="left" w:pos="426"/>
        </w:tabs>
        <w:spacing w:line="276" w:lineRule="auto"/>
        <w:ind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ALEJANDRO CAHUE HERNANDEZ, no es Servidor Público.</w:t>
      </w:r>
    </w:p>
    <w:p w14:paraId="43121838" w14:textId="77777777" w:rsidR="00D71285" w:rsidRDefault="00AC7421">
      <w:pPr>
        <w:numPr>
          <w:ilvl w:val="0"/>
          <w:numId w:val="3"/>
        </w:numPr>
        <w:pBdr>
          <w:top w:val="nil"/>
          <w:left w:val="nil"/>
          <w:bottom w:val="nil"/>
          <w:right w:val="nil"/>
          <w:between w:val="nil"/>
        </w:pBdr>
        <w:tabs>
          <w:tab w:val="left" w:pos="426"/>
        </w:tabs>
        <w:spacing w:line="276" w:lineRule="auto"/>
        <w:ind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Se adjunta a la presente el reporte de nómina de la primera quincena de Abril de la presente anualidad del personal sindicalizado.</w:t>
      </w: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color w:val="000000"/>
          <w:sz w:val="22"/>
          <w:szCs w:val="22"/>
        </w:rPr>
        <w:t xml:space="preserve"> (Sic.)</w:t>
      </w:r>
    </w:p>
    <w:p w14:paraId="2837E553"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036577D9"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De la transcripción anterior, podemos recuperar los siguientes elementos:</w:t>
      </w:r>
    </w:p>
    <w:p w14:paraId="66B37960" w14:textId="77777777" w:rsidR="00D71285" w:rsidRDefault="00AC7421">
      <w:pPr>
        <w:numPr>
          <w:ilvl w:val="1"/>
          <w:numId w:val="10"/>
        </w:numPr>
        <w:pBdr>
          <w:top w:val="nil"/>
          <w:left w:val="nil"/>
          <w:bottom w:val="nil"/>
          <w:right w:val="nil"/>
          <w:between w:val="nil"/>
        </w:pBdr>
        <w:tabs>
          <w:tab w:val="left" w:pos="426"/>
        </w:tabs>
        <w:spacing w:line="360" w:lineRule="auto"/>
        <w:ind w:left="1134" w:right="-7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Jefa del Departamento de Reclutamiento y Nómina reportó, de forma directa, que la persona referida por el entonces </w:t>
      </w:r>
      <w:r>
        <w:rPr>
          <w:rFonts w:ascii="Palatino Linotype" w:eastAsia="Palatino Linotype" w:hAnsi="Palatino Linotype" w:cs="Palatino Linotype"/>
          <w:b/>
          <w:color w:val="000000"/>
          <w:sz w:val="22"/>
          <w:szCs w:val="22"/>
        </w:rPr>
        <w:t>SOLICITANTE</w:t>
      </w:r>
      <w:r>
        <w:rPr>
          <w:rFonts w:ascii="Palatino Linotype" w:eastAsia="Palatino Linotype" w:hAnsi="Palatino Linotype" w:cs="Palatino Linotype"/>
          <w:color w:val="000000"/>
          <w:sz w:val="22"/>
          <w:szCs w:val="22"/>
        </w:rPr>
        <w:t xml:space="preserve"> no era un servidor público del ayuntamiento.</w:t>
      </w:r>
    </w:p>
    <w:p w14:paraId="0E4444E6" w14:textId="77777777" w:rsidR="00D71285" w:rsidRDefault="00AC7421">
      <w:pPr>
        <w:numPr>
          <w:ilvl w:val="1"/>
          <w:numId w:val="10"/>
        </w:numPr>
        <w:pBdr>
          <w:top w:val="nil"/>
          <w:left w:val="nil"/>
          <w:bottom w:val="nil"/>
          <w:right w:val="nil"/>
          <w:between w:val="nil"/>
        </w:pBdr>
        <w:tabs>
          <w:tab w:val="left" w:pos="426"/>
        </w:tabs>
        <w:spacing w:line="360" w:lineRule="auto"/>
        <w:ind w:left="1134" w:right="-7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otro lado, refirió adjuntar el “Reporte de nómina” de la primera quincena de abril de dos mil veintidós, correspondiente al personal sindicalizado; empero, de las constancias que obran dentro del expediente digital formado en el SAIMEX, se advierte que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no presentó el documento de mérito.</w:t>
      </w:r>
    </w:p>
    <w:p w14:paraId="6C13EA0B"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53069491"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Por su parte, 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promovió el recurso de revisión con número al rubro indicado, en contra de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 en los que señaló por agravios, que </w:t>
      </w:r>
      <w:r>
        <w:rPr>
          <w:rFonts w:ascii="Palatino Linotype" w:eastAsia="Palatino Linotype" w:hAnsi="Palatino Linotype" w:cs="Palatino Linotype"/>
          <w:b/>
          <w:color w:val="000000"/>
        </w:rPr>
        <w:t>no podía consultar la información contenida en el archivo presentado en respuesta</w:t>
      </w:r>
      <w:r>
        <w:rPr>
          <w:rFonts w:ascii="Palatino Linotype" w:eastAsia="Palatino Linotype" w:hAnsi="Palatino Linotype" w:cs="Palatino Linotype"/>
          <w:color w:val="000000"/>
        </w:rPr>
        <w:t>.</w:t>
      </w:r>
    </w:p>
    <w:p w14:paraId="3E7E6028"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113BC470"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Cabe señalar que, como fuera establecido en el </w:t>
      </w:r>
      <w:r>
        <w:rPr>
          <w:rFonts w:ascii="Palatino Linotype" w:eastAsia="Palatino Linotype" w:hAnsi="Palatino Linotype" w:cs="Palatino Linotype"/>
          <w:i/>
          <w:color w:val="000000"/>
        </w:rPr>
        <w:t>Planteamiento de la Litis</w:t>
      </w:r>
      <w:r>
        <w:rPr>
          <w:rFonts w:ascii="Palatino Linotype" w:eastAsia="Palatino Linotype" w:hAnsi="Palatino Linotype" w:cs="Palatino Linotype"/>
          <w:color w:val="000000"/>
        </w:rPr>
        <w:t>, la Ley de Transparencia y Acceso a la Información Pública del Estado de México y Municipios, en su artículo 179, considera a las distintas causales de procedencia del recurso de revisión, siendo de especial interés la contenida en la fracción IX, la cual se transcribe a continuación:</w:t>
      </w:r>
    </w:p>
    <w:p w14:paraId="3CEBB15D"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39000ADC"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1AD7E1A"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IX. </w:t>
      </w:r>
      <w:r>
        <w:rPr>
          <w:rFonts w:ascii="Palatino Linotype" w:eastAsia="Palatino Linotype" w:hAnsi="Palatino Linotype" w:cs="Palatino Linotype"/>
          <w:i/>
          <w:color w:val="000000"/>
          <w:sz w:val="22"/>
          <w:szCs w:val="22"/>
        </w:rPr>
        <w:t>La entrega o puesta a disposición de información en un formato incomprensible y/o no accesible para el solicitante;</w:t>
      </w:r>
    </w:p>
    <w:p w14:paraId="07CB7FAB"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4ED7CE5"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45DD1264" w14:textId="77777777" w:rsidR="00D71285" w:rsidRPr="00E71C21"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lastRenderedPageBreak/>
        <w:t>De lo anterior se colige que la Ley de la materia reconoce que, en caso que el particular tenga imposibilidad de acceder a la información proveída en respuesta, derivado a que el formato –archivo- pudiera resultar incomprensible o, no accesible, se podrá promover recurso de revisión.</w:t>
      </w:r>
    </w:p>
    <w:p w14:paraId="5B54E80E" w14:textId="77777777" w:rsidR="00E71C21" w:rsidRDefault="00E71C21" w:rsidP="00E71C21">
      <w:pPr>
        <w:pBdr>
          <w:top w:val="nil"/>
          <w:left w:val="nil"/>
          <w:bottom w:val="nil"/>
          <w:right w:val="nil"/>
          <w:between w:val="nil"/>
        </w:pBdr>
        <w:tabs>
          <w:tab w:val="left" w:pos="426"/>
        </w:tabs>
        <w:spacing w:line="360" w:lineRule="auto"/>
        <w:ind w:right="-646"/>
        <w:jc w:val="both"/>
        <w:rPr>
          <w:color w:val="000000"/>
        </w:rPr>
      </w:pPr>
    </w:p>
    <w:p w14:paraId="4D175ED1"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En el presente asunto, de las constancias que obran dentro del expediente digital formado en el SAIMEX, y como ha sido reiterado,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un archivo </w:t>
      </w:r>
      <w:r>
        <w:rPr>
          <w:rFonts w:ascii="Palatino Linotype" w:eastAsia="Palatino Linotype" w:hAnsi="Palatino Linotype" w:cs="Palatino Linotype"/>
          <w:i/>
          <w:color w:val="000000"/>
        </w:rPr>
        <w:t>.zip</w:t>
      </w:r>
      <w:r>
        <w:rPr>
          <w:rFonts w:ascii="Palatino Linotype" w:eastAsia="Palatino Linotype" w:hAnsi="Palatino Linotype" w:cs="Palatino Linotype"/>
          <w:color w:val="000000"/>
        </w:rPr>
        <w:t xml:space="preserve">, comúnmente denominado como una </w:t>
      </w:r>
      <w:r>
        <w:rPr>
          <w:rFonts w:ascii="Palatino Linotype" w:eastAsia="Palatino Linotype" w:hAnsi="Palatino Linotype" w:cs="Palatino Linotype"/>
          <w:i/>
          <w:color w:val="000000"/>
        </w:rPr>
        <w:t>carpeta comprimida</w:t>
      </w:r>
      <w:r>
        <w:rPr>
          <w:rFonts w:ascii="Palatino Linotype" w:eastAsia="Palatino Linotype" w:hAnsi="Palatino Linotype" w:cs="Palatino Linotype"/>
          <w:color w:val="000000"/>
        </w:rPr>
        <w:t>, ya su característica principal es la compresión de uno o varios archivos y/o documentos.</w:t>
      </w:r>
    </w:p>
    <w:p w14:paraId="149D65A0"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75505B9A"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Ahora bien, a fin de acceder a este tipo de archivos, es necesario utilizar un descompresor como, de manera enunciativa </w:t>
      </w:r>
      <w:r>
        <w:rPr>
          <w:rFonts w:ascii="Palatino Linotype" w:eastAsia="Palatino Linotype" w:hAnsi="Palatino Linotype" w:cs="Palatino Linotype"/>
        </w:rPr>
        <w:t>más</w:t>
      </w:r>
      <w:r>
        <w:rPr>
          <w:rFonts w:ascii="Palatino Linotype" w:eastAsia="Palatino Linotype" w:hAnsi="Palatino Linotype" w:cs="Palatino Linotype"/>
          <w:color w:val="000000"/>
        </w:rPr>
        <w:t xml:space="preserve"> no limitativa, </w:t>
      </w:r>
      <w:r>
        <w:rPr>
          <w:rFonts w:ascii="Palatino Linotype" w:eastAsia="Palatino Linotype" w:hAnsi="Palatino Linotype" w:cs="Palatino Linotype"/>
          <w:i/>
          <w:color w:val="000000"/>
        </w:rPr>
        <w:t>WinZip</w:t>
      </w:r>
      <w:r>
        <w:rPr>
          <w:rFonts w:ascii="Palatino Linotype" w:eastAsia="Palatino Linotype" w:hAnsi="Palatino Linotype" w:cs="Palatino Linotype"/>
          <w:i/>
          <w:color w:val="000000"/>
          <w:vertAlign w:val="superscript"/>
        </w:rPr>
        <w:footnoteReference w:id="12"/>
      </w:r>
      <w:r>
        <w:rPr>
          <w:rFonts w:ascii="Palatino Linotype" w:eastAsia="Palatino Linotype" w:hAnsi="Palatino Linotype" w:cs="Palatino Linotype"/>
          <w:color w:val="000000"/>
        </w:rPr>
        <w:t xml:space="preserve">. Por ende, aunque el particular cuente con una computadora con acceso a </w:t>
      </w:r>
      <w:r>
        <w:rPr>
          <w:rFonts w:ascii="Palatino Linotype" w:eastAsia="Palatino Linotype" w:hAnsi="Palatino Linotype" w:cs="Palatino Linotype"/>
          <w:i/>
          <w:color w:val="000000"/>
        </w:rPr>
        <w:t>internet</w:t>
      </w:r>
      <w:r>
        <w:rPr>
          <w:rFonts w:ascii="Palatino Linotype" w:eastAsia="Palatino Linotype" w:hAnsi="Palatino Linotype" w:cs="Palatino Linotype"/>
          <w:color w:val="000000"/>
        </w:rPr>
        <w:t>, también requiere de una herramienta extra a fin de acceder a los documentos proveídos en respuesta.</w:t>
      </w:r>
    </w:p>
    <w:p w14:paraId="26D710CB"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23ABFA50"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En consecuencia, por cuanto hace al agravio externado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 través del recurso de revisión al rubro citado, este Organismo Garante lo encuentra </w:t>
      </w:r>
      <w:r>
        <w:rPr>
          <w:rFonts w:ascii="Palatino Linotype" w:eastAsia="Palatino Linotype" w:hAnsi="Palatino Linotype" w:cs="Palatino Linotype"/>
          <w:b/>
          <w:color w:val="000000"/>
        </w:rPr>
        <w:t>fundado</w:t>
      </w:r>
      <w:r>
        <w:rPr>
          <w:rFonts w:ascii="Palatino Linotype" w:eastAsia="Palatino Linotype" w:hAnsi="Palatino Linotype" w:cs="Palatino Linotype"/>
          <w:color w:val="000000"/>
        </w:rPr>
        <w:t xml:space="preserve">. </w:t>
      </w:r>
    </w:p>
    <w:p w14:paraId="17AE9C3E"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20ACAD73"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Derivado de lo anterior, se procederá a analizar la naturaleza y marco legal de la información solicitada, a fin de determinar si, con su respuesta,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colmó el derecho de acceso a la información del particular; o, si por el contrario, procede la entrega de información.</w:t>
      </w:r>
    </w:p>
    <w:p w14:paraId="1B86CDBA"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635752AD" w14:textId="77777777" w:rsidR="00E71C21" w:rsidRDefault="00E71C21">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280B9EC6" w14:textId="77777777" w:rsidR="00E71C21" w:rsidRDefault="00E71C21">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1D8F0DD9" w14:textId="77777777" w:rsidR="00D71285" w:rsidRDefault="00AC7421">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III. Del Ayuntamiento de Tlalnepantla de Baz.</w:t>
      </w:r>
    </w:p>
    <w:p w14:paraId="1412F6EE"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La Constitución Política de los Estados Unidos Mexicanos, en su artículo 115, establece que los estados adoptarán, para su régimen interior, la forma de gobierno republicano, representativo, democrático, laico y popular, teniendo como base de su división territorial y de su organización política y administrativa, el </w:t>
      </w:r>
      <w:r>
        <w:rPr>
          <w:rFonts w:ascii="Palatino Linotype" w:eastAsia="Palatino Linotype" w:hAnsi="Palatino Linotype" w:cs="Palatino Linotype"/>
          <w:b/>
          <w:color w:val="000000"/>
        </w:rPr>
        <w:t>municipio libre</w:t>
      </w:r>
      <w:r>
        <w:rPr>
          <w:rFonts w:ascii="Palatino Linotype" w:eastAsia="Palatino Linotype" w:hAnsi="Palatino Linotype" w:cs="Palatino Linotype"/>
          <w:color w:val="000000"/>
        </w:rPr>
        <w:t>.</w:t>
      </w:r>
    </w:p>
    <w:p w14:paraId="3697CBAC"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786D5CB3"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Al respecto, cada </w:t>
      </w:r>
      <w:r>
        <w:rPr>
          <w:rFonts w:ascii="Palatino Linotype" w:eastAsia="Palatino Linotype" w:hAnsi="Palatino Linotype" w:cs="Palatino Linotype"/>
          <w:b/>
          <w:color w:val="000000"/>
        </w:rPr>
        <w:t>municipio</w:t>
      </w:r>
      <w:r>
        <w:rPr>
          <w:rFonts w:ascii="Palatino Linotype" w:eastAsia="Palatino Linotype" w:hAnsi="Palatino Linotype" w:cs="Palatino Linotype"/>
          <w:color w:val="000000"/>
        </w:rPr>
        <w:t xml:space="preserve"> será gobernado por un </w:t>
      </w:r>
      <w:r>
        <w:rPr>
          <w:rFonts w:ascii="Palatino Linotype" w:eastAsia="Palatino Linotype" w:hAnsi="Palatino Linotype" w:cs="Palatino Linotype"/>
          <w:b/>
          <w:color w:val="000000"/>
        </w:rPr>
        <w:t>ayuntamiento</w:t>
      </w:r>
      <w:r>
        <w:rPr>
          <w:rFonts w:ascii="Palatino Linotype" w:eastAsia="Palatino Linotype" w:hAnsi="Palatino Linotype" w:cs="Palatino Linotype"/>
          <w:color w:val="000000"/>
        </w:rPr>
        <w:t xml:space="preserve"> de elección popular directa, integrado por un Presidente o Presidenta Municipal y el número de regidurías y sindicaturas que la ley determine, de conformidad con el principio de paridad</w:t>
      </w:r>
      <w:r>
        <w:rPr>
          <w:rFonts w:ascii="Palatino Linotype" w:eastAsia="Palatino Linotype" w:hAnsi="Palatino Linotype" w:cs="Palatino Linotype"/>
          <w:color w:val="000000"/>
          <w:vertAlign w:val="superscript"/>
        </w:rPr>
        <w:footnoteReference w:id="13"/>
      </w:r>
      <w:r>
        <w:rPr>
          <w:rFonts w:ascii="Palatino Linotype" w:eastAsia="Palatino Linotype" w:hAnsi="Palatino Linotype" w:cs="Palatino Linotype"/>
          <w:color w:val="000000"/>
        </w:rPr>
        <w:t>.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Pr>
          <w:rFonts w:ascii="Palatino Linotype" w:eastAsia="Palatino Linotype" w:hAnsi="Palatino Linotype" w:cs="Palatino Linotype"/>
          <w:color w:val="000000"/>
          <w:vertAlign w:val="superscript"/>
        </w:rPr>
        <w:footnoteReference w:id="14"/>
      </w:r>
      <w:r>
        <w:rPr>
          <w:rFonts w:ascii="Palatino Linotype" w:eastAsia="Palatino Linotype" w:hAnsi="Palatino Linotype" w:cs="Palatino Linotype"/>
          <w:color w:val="000000"/>
        </w:rPr>
        <w:t>.</w:t>
      </w:r>
    </w:p>
    <w:p w14:paraId="168A295A"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4D6131F1"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En seguimiento al mandato constitucional, la Ley Orgánica Municipal del Estado de México, en su artículo 86, establece que el ayuntamiento, para el ejercicio de sus atribuciones, se auxiliará con las dependencias y entidades de la administración pública municipal, que en cada caso acuerde el cabildo a propuesta de la persona titular de la Presidencia Municipal, las que estarán subordinadas a ésta.</w:t>
      </w:r>
    </w:p>
    <w:p w14:paraId="24C5D8FF"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55227E6F"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Así, para el despacho, estudio y planeación de los diversos asuntos de la administración municipal, el ayuntamiento contará por lo menos con las siguientes dependencias</w:t>
      </w:r>
      <w:r>
        <w:rPr>
          <w:rFonts w:ascii="Palatino Linotype" w:eastAsia="Palatino Linotype" w:hAnsi="Palatino Linotype" w:cs="Palatino Linotype"/>
          <w:color w:val="000000"/>
          <w:vertAlign w:val="superscript"/>
        </w:rPr>
        <w:footnoteReference w:id="15"/>
      </w:r>
      <w:r>
        <w:rPr>
          <w:rFonts w:ascii="Palatino Linotype" w:eastAsia="Palatino Linotype" w:hAnsi="Palatino Linotype" w:cs="Palatino Linotype"/>
          <w:color w:val="000000"/>
        </w:rPr>
        <w:t>:</w:t>
      </w:r>
    </w:p>
    <w:p w14:paraId="27595353"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secretaría del ayuntamiento; </w:t>
      </w:r>
    </w:p>
    <w:p w14:paraId="28DE5951"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tesorería municipal. </w:t>
      </w:r>
    </w:p>
    <w:p w14:paraId="75153ACF"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Dirección de Obras Públicas o equivalente. </w:t>
      </w:r>
    </w:p>
    <w:p w14:paraId="4A7E14DB"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Dirección de Desarrollo Económico o equivalente. </w:t>
      </w:r>
    </w:p>
    <w:p w14:paraId="61F2E08F"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Dirección de Desarrollo Urbano o equivalente;</w:t>
      </w:r>
    </w:p>
    <w:p w14:paraId="3D9DC755"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Dirección de Ecología o equivalente. </w:t>
      </w:r>
    </w:p>
    <w:p w14:paraId="68F4EB9B"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Dirección de Desarrollo Social o equivalente. </w:t>
      </w:r>
    </w:p>
    <w:p w14:paraId="16FF9073"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Coordinación Municipal de Protección Civil o equivalente. </w:t>
      </w:r>
    </w:p>
    <w:p w14:paraId="655537E8"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Dirección de las Mujeres o equivalente. </w:t>
      </w:r>
    </w:p>
    <w:p w14:paraId="114EBEF6"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del Campo o equivalente, preferentemente en los municipios cuyas características geográficas, territoriales, sociales, culturales, políticas y económicas sean predominantemente inherentes al ámbito rural.</w:t>
      </w:r>
    </w:p>
    <w:p w14:paraId="1500AAA0"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559E8BFF"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No es ocioso mencionar que el Bando Municipal 2024 de Tlalnepantla de Baz armoniza las disposiciones legales establecidas en la Ley Estatal; de ahí que el artículo 32 reconozca que la administración pública municipal centralizada se integrará por las siguientes dependencias administrativas:</w:t>
      </w:r>
    </w:p>
    <w:p w14:paraId="3E6DA79A"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33.</w:t>
      </w:r>
      <w:r>
        <w:rPr>
          <w:rFonts w:ascii="Palatino Linotype" w:eastAsia="Palatino Linotype" w:hAnsi="Palatino Linotype" w:cs="Palatino Linotype"/>
          <w:i/>
          <w:color w:val="000000"/>
          <w:sz w:val="22"/>
          <w:szCs w:val="22"/>
        </w:rPr>
        <w:t xml:space="preserve"> La Administración Pública Municipal Centralizada estará integrada por las siguientes dependencias administrativas:</w:t>
      </w:r>
    </w:p>
    <w:p w14:paraId="0FC3A35A"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Presidencia Municipal; </w:t>
      </w:r>
    </w:p>
    <w:p w14:paraId="5F5E7674"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Secretaría del Ayuntamiento; </w:t>
      </w:r>
    </w:p>
    <w:p w14:paraId="45F33A46"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Tesorería Municipal;</w:t>
      </w:r>
    </w:p>
    <w:p w14:paraId="1F0F6C1E"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IV.</w:t>
      </w:r>
      <w:r>
        <w:rPr>
          <w:rFonts w:ascii="Palatino Linotype" w:eastAsia="Palatino Linotype" w:hAnsi="Palatino Linotype" w:cs="Palatino Linotype"/>
          <w:i/>
          <w:color w:val="000000"/>
          <w:sz w:val="22"/>
          <w:szCs w:val="22"/>
        </w:rPr>
        <w:t xml:space="preserve"> Secretaría Técnica; </w:t>
      </w:r>
    </w:p>
    <w:p w14:paraId="2DB388D3"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V.</w:t>
      </w:r>
      <w:r>
        <w:rPr>
          <w:rFonts w:ascii="Palatino Linotype" w:eastAsia="Palatino Linotype" w:hAnsi="Palatino Linotype" w:cs="Palatino Linotype"/>
          <w:i/>
          <w:color w:val="000000"/>
          <w:sz w:val="22"/>
          <w:szCs w:val="22"/>
        </w:rPr>
        <w:t xml:space="preserve"> Contraloría Interna Municipal; </w:t>
      </w:r>
    </w:p>
    <w:p w14:paraId="5B94DCE5"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VI. Dirección de Administración</w:t>
      </w:r>
      <w:r>
        <w:rPr>
          <w:rFonts w:ascii="Palatino Linotype" w:eastAsia="Palatino Linotype" w:hAnsi="Palatino Linotype" w:cs="Palatino Linotype"/>
          <w:i/>
          <w:color w:val="000000"/>
          <w:sz w:val="22"/>
          <w:szCs w:val="22"/>
        </w:rPr>
        <w:t>;</w:t>
      </w:r>
    </w:p>
    <w:p w14:paraId="78EB19A6"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p>
    <w:p w14:paraId="6E43FB0D"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41030467" w14:textId="77777777" w:rsidR="00D71285" w:rsidRDefault="00D71285">
      <w:pPr>
        <w:pBdr>
          <w:top w:val="nil"/>
          <w:left w:val="nil"/>
          <w:bottom w:val="nil"/>
          <w:right w:val="nil"/>
          <w:between w:val="nil"/>
        </w:pBdr>
        <w:tabs>
          <w:tab w:val="left" w:pos="426"/>
        </w:tabs>
        <w:spacing w:line="360" w:lineRule="auto"/>
        <w:ind w:right="62"/>
        <w:jc w:val="both"/>
        <w:rPr>
          <w:rFonts w:ascii="Palatino Linotype" w:eastAsia="Palatino Linotype" w:hAnsi="Palatino Linotype" w:cs="Palatino Linotype"/>
          <w:color w:val="000000"/>
          <w:sz w:val="22"/>
          <w:szCs w:val="22"/>
        </w:rPr>
      </w:pPr>
    </w:p>
    <w:p w14:paraId="2BCCC5CD"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De acuerdo con el Reglamento Interno de la Administración Pública Municipal de Tlalnepantla de Baz, la </w:t>
      </w:r>
      <w:r>
        <w:rPr>
          <w:rFonts w:ascii="Palatino Linotype" w:eastAsia="Palatino Linotype" w:hAnsi="Palatino Linotype" w:cs="Palatino Linotype"/>
          <w:b/>
          <w:color w:val="000000"/>
        </w:rPr>
        <w:t>Dirección de Administración</w:t>
      </w:r>
      <w:r>
        <w:rPr>
          <w:rFonts w:ascii="Palatino Linotype" w:eastAsia="Palatino Linotype" w:hAnsi="Palatino Linotype" w:cs="Palatino Linotype"/>
          <w:color w:val="000000"/>
        </w:rPr>
        <w:t xml:space="preserve"> tendrá, entre sus facultades y obligaciones, el </w:t>
      </w:r>
      <w:r>
        <w:rPr>
          <w:rFonts w:ascii="Palatino Linotype" w:eastAsia="Palatino Linotype" w:hAnsi="Palatino Linotype" w:cs="Palatino Linotype"/>
          <w:b/>
          <w:color w:val="000000"/>
        </w:rPr>
        <w:t>poner a consideración</w:t>
      </w:r>
      <w:r>
        <w:rPr>
          <w:rFonts w:ascii="Palatino Linotype" w:eastAsia="Palatino Linotype" w:hAnsi="Palatino Linotype" w:cs="Palatino Linotype"/>
          <w:color w:val="000000"/>
        </w:rPr>
        <w:t xml:space="preserve"> del o de la titular de la Presidencia Municipal, los </w:t>
      </w:r>
      <w:r>
        <w:rPr>
          <w:rFonts w:ascii="Palatino Linotype" w:eastAsia="Palatino Linotype" w:hAnsi="Palatino Linotype" w:cs="Palatino Linotype"/>
          <w:b/>
          <w:color w:val="000000"/>
        </w:rPr>
        <w:t>nombramientos, sueldos, renuncias, licencias y jubilaciones</w:t>
      </w:r>
      <w:r>
        <w:rPr>
          <w:rFonts w:ascii="Palatino Linotype" w:eastAsia="Palatino Linotype" w:hAnsi="Palatino Linotype" w:cs="Palatino Linotype"/>
          <w:color w:val="000000"/>
        </w:rPr>
        <w:t xml:space="preserve"> de los servidores públicos de la Administración Pública; </w:t>
      </w:r>
      <w:r>
        <w:rPr>
          <w:rFonts w:ascii="Palatino Linotype" w:eastAsia="Palatino Linotype" w:hAnsi="Palatino Linotype" w:cs="Palatino Linotype"/>
          <w:b/>
          <w:color w:val="000000"/>
        </w:rPr>
        <w:t>vigilar y supervisar que el personal</w:t>
      </w:r>
      <w:r>
        <w:rPr>
          <w:rFonts w:ascii="Palatino Linotype" w:eastAsia="Palatino Linotype" w:hAnsi="Palatino Linotype" w:cs="Palatino Linotype"/>
          <w:color w:val="000000"/>
        </w:rPr>
        <w:t xml:space="preserve"> que las dependencias requieran </w:t>
      </w:r>
      <w:r>
        <w:rPr>
          <w:rFonts w:ascii="Palatino Linotype" w:eastAsia="Palatino Linotype" w:hAnsi="Palatino Linotype" w:cs="Palatino Linotype"/>
          <w:b/>
          <w:color w:val="000000"/>
        </w:rPr>
        <w:t>sea debidamente seleccionado y contratado</w:t>
      </w:r>
      <w:r>
        <w:rPr>
          <w:rFonts w:ascii="Palatino Linotype" w:eastAsia="Palatino Linotype" w:hAnsi="Palatino Linotype" w:cs="Palatino Linotype"/>
          <w:color w:val="000000"/>
        </w:rPr>
        <w:t xml:space="preserve">, cuando así lo establezcan las descripciones y especificaciones de los puestos, atendiendo a la normatividad aplicable; y, </w:t>
      </w:r>
      <w:r>
        <w:rPr>
          <w:rFonts w:ascii="Palatino Linotype" w:eastAsia="Palatino Linotype" w:hAnsi="Palatino Linotype" w:cs="Palatino Linotype"/>
          <w:b/>
          <w:color w:val="000000"/>
        </w:rPr>
        <w:t>vigilar y supervisar la integración de los expedientes del personal</w:t>
      </w:r>
      <w:r>
        <w:rPr>
          <w:rFonts w:ascii="Palatino Linotype" w:eastAsia="Palatino Linotype" w:hAnsi="Palatino Linotype" w:cs="Palatino Linotype"/>
          <w:color w:val="000000"/>
        </w:rPr>
        <w:t xml:space="preserve">, así como la </w:t>
      </w:r>
      <w:r>
        <w:rPr>
          <w:rFonts w:ascii="Palatino Linotype" w:eastAsia="Palatino Linotype" w:hAnsi="Palatino Linotype" w:cs="Palatino Linotype"/>
          <w:b/>
          <w:color w:val="000000"/>
        </w:rPr>
        <w:t>expedición de las credenciales de identificación laboral</w:t>
      </w:r>
      <w:r>
        <w:rPr>
          <w:rFonts w:ascii="Palatino Linotype" w:eastAsia="Palatino Linotype" w:hAnsi="Palatino Linotype" w:cs="Palatino Linotype"/>
          <w:b/>
          <w:color w:val="000000"/>
          <w:vertAlign w:val="superscript"/>
        </w:rPr>
        <w:footnoteReference w:id="16"/>
      </w:r>
      <w:r>
        <w:rPr>
          <w:rFonts w:ascii="Palatino Linotype" w:eastAsia="Palatino Linotype" w:hAnsi="Palatino Linotype" w:cs="Palatino Linotype"/>
          <w:color w:val="000000"/>
        </w:rPr>
        <w:t>.</w:t>
      </w:r>
    </w:p>
    <w:p w14:paraId="69CD0FE7"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7AE8073A"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Cabe señalar que la Dirección de Administración, contará con un o una titular que será responsable de la conducción, supervisión y ejecución de las atribuciones propias del área y, para su auxilio, tendrá a su cargo las siguientes unidades administrativas</w:t>
      </w:r>
      <w:r>
        <w:rPr>
          <w:rFonts w:ascii="Palatino Linotype" w:eastAsia="Palatino Linotype" w:hAnsi="Palatino Linotype" w:cs="Palatino Linotype"/>
          <w:color w:val="000000"/>
          <w:vertAlign w:val="superscript"/>
        </w:rPr>
        <w:footnoteReference w:id="17"/>
      </w:r>
      <w:r>
        <w:rPr>
          <w:rFonts w:ascii="Palatino Linotype" w:eastAsia="Palatino Linotype" w:hAnsi="Palatino Linotype" w:cs="Palatino Linotype"/>
          <w:color w:val="000000"/>
        </w:rPr>
        <w:t>:</w:t>
      </w:r>
    </w:p>
    <w:p w14:paraId="326A3501"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Secretaría Particular de la Dirección de Administración; </w:t>
      </w:r>
    </w:p>
    <w:p w14:paraId="2F8047CC"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Coordinación de Enlaces Administrativos; </w:t>
      </w:r>
    </w:p>
    <w:p w14:paraId="674F2E2E"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Subdirección de Capital Humano</w:t>
      </w:r>
      <w:r>
        <w:rPr>
          <w:rFonts w:ascii="Palatino Linotype" w:eastAsia="Palatino Linotype" w:hAnsi="Palatino Linotype" w:cs="Palatino Linotype"/>
          <w:color w:val="000000"/>
          <w:sz w:val="22"/>
          <w:szCs w:val="22"/>
        </w:rPr>
        <w:t xml:space="preserve">; </w:t>
      </w:r>
    </w:p>
    <w:p w14:paraId="63AB8914"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Subdirección de Recursos Materiales; </w:t>
      </w:r>
    </w:p>
    <w:p w14:paraId="46B6B376"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Subdirección de Servicios Generales; y </w:t>
      </w:r>
    </w:p>
    <w:p w14:paraId="6A0F7E9F" w14:textId="77777777" w:rsidR="00D71285" w:rsidRDefault="00AC7421">
      <w:pPr>
        <w:numPr>
          <w:ilvl w:val="1"/>
          <w:numId w:val="10"/>
        </w:numPr>
        <w:pBdr>
          <w:top w:val="nil"/>
          <w:left w:val="nil"/>
          <w:bottom w:val="nil"/>
          <w:right w:val="nil"/>
          <w:between w:val="nil"/>
        </w:pBdr>
        <w:tabs>
          <w:tab w:val="left" w:pos="426"/>
        </w:tabs>
        <w:spacing w:line="360" w:lineRule="auto"/>
        <w:ind w:left="113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Subdirección de Informática.</w:t>
      </w:r>
    </w:p>
    <w:p w14:paraId="6F7981E9"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2379B3EB"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lastRenderedPageBreak/>
        <w:t xml:space="preserve">Siendo de especial interés la </w:t>
      </w:r>
      <w:r>
        <w:rPr>
          <w:rFonts w:ascii="Palatino Linotype" w:eastAsia="Palatino Linotype" w:hAnsi="Palatino Linotype" w:cs="Palatino Linotype"/>
          <w:b/>
          <w:color w:val="000000"/>
        </w:rPr>
        <w:t>Subdirección de Capital Humano</w:t>
      </w:r>
      <w:r>
        <w:rPr>
          <w:rFonts w:ascii="Palatino Linotype" w:eastAsia="Palatino Linotype" w:hAnsi="Palatino Linotype" w:cs="Palatino Linotype"/>
          <w:color w:val="000000"/>
        </w:rPr>
        <w:t xml:space="preserve"> que, a su vez, contará con una Coordinación de Capacitación y Desarrollo de Personal y, un </w:t>
      </w:r>
      <w:r>
        <w:rPr>
          <w:rFonts w:ascii="Palatino Linotype" w:eastAsia="Palatino Linotype" w:hAnsi="Palatino Linotype" w:cs="Palatino Linotype"/>
          <w:b/>
          <w:color w:val="000000"/>
        </w:rPr>
        <w:t>Departamento de Reclutamiento y Nómina</w:t>
      </w:r>
      <w:r>
        <w:rPr>
          <w:rFonts w:ascii="Palatino Linotype" w:eastAsia="Palatino Linotype" w:hAnsi="Palatino Linotype" w:cs="Palatino Linotype"/>
          <w:color w:val="000000"/>
          <w:vertAlign w:val="superscript"/>
        </w:rPr>
        <w:footnoteReference w:id="18"/>
      </w:r>
      <w:r>
        <w:rPr>
          <w:rFonts w:ascii="Palatino Linotype" w:eastAsia="Palatino Linotype" w:hAnsi="Palatino Linotype" w:cs="Palatino Linotype"/>
          <w:color w:val="000000"/>
        </w:rPr>
        <w:t>; éste último, de acuerdo con el artículo 220 del Reglamento Interno de la Administración Pública Municipal de Tlalnepantla de Baz, se encargará de:</w:t>
      </w:r>
    </w:p>
    <w:p w14:paraId="5BBD8435"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220.</w:t>
      </w:r>
      <w:r>
        <w:rPr>
          <w:rFonts w:ascii="Palatino Linotype" w:eastAsia="Palatino Linotype" w:hAnsi="Palatino Linotype" w:cs="Palatino Linotype"/>
          <w:i/>
          <w:color w:val="000000"/>
          <w:sz w:val="22"/>
          <w:szCs w:val="22"/>
        </w:rPr>
        <w:t xml:space="preserve"> Son facultades y obligaciones del Departamento de Reclutamiento y Nómina las siguientes:</w:t>
      </w:r>
    </w:p>
    <w:p w14:paraId="1085BECC"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5F54DE8"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IX.</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Coordinar y supervisar el ingreso de los movimientos de altas, bajas y cambios de los servidores públicos</w:t>
      </w:r>
      <w:r>
        <w:rPr>
          <w:rFonts w:ascii="Palatino Linotype" w:eastAsia="Palatino Linotype" w:hAnsi="Palatino Linotype" w:cs="Palatino Linotype"/>
          <w:i/>
          <w:color w:val="000000"/>
          <w:sz w:val="22"/>
          <w:szCs w:val="22"/>
        </w:rPr>
        <w:t xml:space="preserve"> en el Sistema Integral de Nómina, verificando que no se realicen, por ninguna razón, movimientos no autorizados;</w:t>
      </w:r>
    </w:p>
    <w:p w14:paraId="5EBAA727"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39AB7655"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XXII. Reclutar y seleccionar al personal</w:t>
      </w:r>
      <w:r>
        <w:rPr>
          <w:rFonts w:ascii="Palatino Linotype" w:eastAsia="Palatino Linotype" w:hAnsi="Palatino Linotype" w:cs="Palatino Linotype"/>
          <w:i/>
          <w:color w:val="000000"/>
          <w:sz w:val="22"/>
          <w:szCs w:val="22"/>
        </w:rPr>
        <w:t xml:space="preserve"> que soliciten las dependencias municipales, acorde con los perfiles del Catálogo de Puestos;</w:t>
      </w:r>
    </w:p>
    <w:p w14:paraId="01E77BB1"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880DC7D"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XXIV. Mantener actualizado el inventario de Recursos Humanos</w:t>
      </w:r>
      <w:r>
        <w:rPr>
          <w:rFonts w:ascii="Palatino Linotype" w:eastAsia="Palatino Linotype" w:hAnsi="Palatino Linotype" w:cs="Palatino Linotype"/>
          <w:i/>
          <w:color w:val="000000"/>
          <w:sz w:val="22"/>
          <w:szCs w:val="22"/>
        </w:rPr>
        <w:t xml:space="preserve"> y el de vacantes, a fin de cubrir las necesidades de personal en las dependencias en términos de la normatividad aplicable;</w:t>
      </w:r>
    </w:p>
    <w:p w14:paraId="7297812D"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p>
    <w:p w14:paraId="39437D0E" w14:textId="77777777" w:rsidR="00D71285" w:rsidRDefault="00AC7421">
      <w:pPr>
        <w:pBdr>
          <w:top w:val="nil"/>
          <w:left w:val="nil"/>
          <w:bottom w:val="nil"/>
          <w:right w:val="nil"/>
          <w:between w:val="nil"/>
        </w:pBdr>
        <w:tabs>
          <w:tab w:val="left" w:pos="426"/>
        </w:tabs>
        <w:spacing w:line="276" w:lineRule="auto"/>
        <w:ind w:left="567"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6D215687"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33016E15"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De lo anterior se advierte que parte de las atribuciones del </w:t>
      </w:r>
      <w:r>
        <w:rPr>
          <w:rFonts w:ascii="Palatino Linotype" w:eastAsia="Palatino Linotype" w:hAnsi="Palatino Linotype" w:cs="Palatino Linotype"/>
          <w:b/>
          <w:color w:val="000000"/>
        </w:rPr>
        <w:t>Departamento de Reclutamiento y Nómina</w:t>
      </w:r>
      <w:r>
        <w:rPr>
          <w:rFonts w:ascii="Palatino Linotype" w:eastAsia="Palatino Linotype" w:hAnsi="Palatino Linotype" w:cs="Palatino Linotype"/>
          <w:color w:val="000000"/>
        </w:rPr>
        <w:t xml:space="preserve"> consistirá en contar con un control preciso respecto del personal contratado, dado de alta como servidores públicos del Ayuntamiento de Tlalnepantla de Baz; así como de encargarse del proceso de altas, bajas o licencias correspondientes. </w:t>
      </w:r>
    </w:p>
    <w:p w14:paraId="58E8EAFA"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7A8B605E"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De esta manera, este Organismo Garante concluye que la Unidad de Transparencia turnó adecuadamente la solicitud de información número </w:t>
      </w:r>
      <w:r>
        <w:rPr>
          <w:rFonts w:ascii="Palatino Linotype" w:eastAsia="Palatino Linotype" w:hAnsi="Palatino Linotype" w:cs="Palatino Linotype"/>
          <w:b/>
          <w:color w:val="000000"/>
        </w:rPr>
        <w:t>00610/TLALNEPA/IP/2024</w:t>
      </w:r>
      <w:r>
        <w:rPr>
          <w:rFonts w:ascii="Palatino Linotype" w:eastAsia="Palatino Linotype" w:hAnsi="Palatino Linotype" w:cs="Palatino Linotype"/>
          <w:color w:val="000000"/>
        </w:rPr>
        <w:t xml:space="preserve"> al área administrativa competente para conocer respecto de lo solicitado.</w:t>
      </w:r>
    </w:p>
    <w:p w14:paraId="36ABEAA2"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lastRenderedPageBreak/>
        <w:t xml:space="preserve">Luego entonces, al señalar la Jefa del </w:t>
      </w:r>
      <w:r>
        <w:rPr>
          <w:rFonts w:ascii="Palatino Linotype" w:eastAsia="Palatino Linotype" w:hAnsi="Palatino Linotype" w:cs="Palatino Linotype"/>
          <w:b/>
          <w:color w:val="000000"/>
        </w:rPr>
        <w:t>Departamento de Reclutamiento y Nómina</w:t>
      </w:r>
      <w:r>
        <w:rPr>
          <w:rFonts w:ascii="Palatino Linotype" w:eastAsia="Palatino Linotype" w:hAnsi="Palatino Linotype" w:cs="Palatino Linotype"/>
          <w:color w:val="000000"/>
        </w:rPr>
        <w:t xml:space="preserve"> que la persona señalada por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en su solicitud de información primigenia </w:t>
      </w:r>
      <w:r>
        <w:rPr>
          <w:rFonts w:ascii="Palatino Linotype" w:eastAsia="Palatino Linotype" w:hAnsi="Palatino Linotype" w:cs="Palatino Linotype"/>
          <w:b/>
          <w:color w:val="000000"/>
        </w:rPr>
        <w:t>no era un servidor público</w:t>
      </w:r>
      <w:r>
        <w:rPr>
          <w:rFonts w:ascii="Palatino Linotype" w:eastAsia="Palatino Linotype" w:hAnsi="Palatino Linotype" w:cs="Palatino Linotype"/>
          <w:color w:val="000000"/>
        </w:rPr>
        <w:t xml:space="preserve"> o, lo que es lo mismo, que no se encontraba en la base de datos del personal adscrito al Ayuntamiento de Tlalnepantla de Baz, podemos concluir que nos encontramos entonces ante un </w:t>
      </w:r>
      <w:r>
        <w:rPr>
          <w:rFonts w:ascii="Palatino Linotype" w:eastAsia="Palatino Linotype" w:hAnsi="Palatino Linotype" w:cs="Palatino Linotype"/>
          <w:b/>
          <w:i/>
          <w:color w:val="000000"/>
        </w:rPr>
        <w:t>Hecho Negativo</w:t>
      </w:r>
      <w:r>
        <w:rPr>
          <w:rFonts w:ascii="Palatino Linotype" w:eastAsia="Palatino Linotype" w:hAnsi="Palatino Linotype" w:cs="Palatino Linotype"/>
          <w:color w:val="000000"/>
        </w:rPr>
        <w:t xml:space="preserve">, destacando que el Pleno de este Órgano Garante ha sostenido que, ante la presencia de un </w:t>
      </w:r>
      <w:r>
        <w:rPr>
          <w:rFonts w:ascii="Palatino Linotype" w:eastAsia="Palatino Linotype" w:hAnsi="Palatino Linotype" w:cs="Palatino Linotype"/>
          <w:i/>
          <w:color w:val="000000"/>
        </w:rPr>
        <w:t>Hecho Negativo</w:t>
      </w:r>
      <w:r>
        <w:rPr>
          <w:rFonts w:ascii="Palatino Linotype" w:eastAsia="Palatino Linotype" w:hAnsi="Palatino Linotype" w:cs="Palatino Linotype"/>
          <w:color w:val="000000"/>
        </w:rPr>
        <w:t>,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7C5515E0" w14:textId="77777777" w:rsidR="00D71285" w:rsidRDefault="00AC7421">
      <w:pPr>
        <w:pBdr>
          <w:top w:val="nil"/>
          <w:left w:val="nil"/>
          <w:bottom w:val="nil"/>
          <w:right w:val="nil"/>
          <w:between w:val="nil"/>
        </w:pBdr>
        <w:spacing w:line="276" w:lineRule="auto"/>
        <w:ind w:left="567" w:right="62"/>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000000"/>
          <w:sz w:val="22"/>
          <w:szCs w:val="22"/>
        </w:rPr>
        <w:t>HECHOS NEGATIVOS, NO SON SUSCEPTIBLES DE DEMOSTRACIÓN. “</w:t>
      </w:r>
      <w:r>
        <w:rPr>
          <w:rFonts w:ascii="Palatino Linotype" w:eastAsia="Palatino Linotype" w:hAnsi="Palatino Linotype" w:cs="Palatino Linotype"/>
          <w:i/>
          <w:color w:val="000000"/>
          <w:sz w:val="22"/>
          <w:szCs w:val="22"/>
        </w:rPr>
        <w:t xml:space="preserve">Tratándose de un hecho negativo, el Juez no tiene </w:t>
      </w:r>
      <w:proofErr w:type="spellStart"/>
      <w:r>
        <w:rPr>
          <w:rFonts w:ascii="Palatino Linotype" w:eastAsia="Palatino Linotype" w:hAnsi="Palatino Linotype" w:cs="Palatino Linotype"/>
          <w:i/>
          <w:color w:val="000000"/>
          <w:sz w:val="22"/>
          <w:szCs w:val="22"/>
        </w:rPr>
        <w:t>por que</w:t>
      </w:r>
      <w:proofErr w:type="spellEnd"/>
      <w:r>
        <w:rPr>
          <w:rFonts w:ascii="Palatino Linotype" w:eastAsia="Palatino Linotype" w:hAnsi="Palatino Linotype" w:cs="Palatino Linotype"/>
          <w:i/>
          <w:color w:val="000000"/>
          <w:sz w:val="22"/>
          <w:szCs w:val="22"/>
        </w:rPr>
        <w:t xml:space="preserve"> invocar prueba alguna de la que se desprenda, ya que es bien sabido que esta clase de hechos no son susceptibles de demostración.”</w:t>
      </w:r>
    </w:p>
    <w:p w14:paraId="67352816"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7D4FBB9D"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Razón de lo anterior, es que este Organismo Garante encuentra </w:t>
      </w:r>
      <w:r>
        <w:rPr>
          <w:rFonts w:ascii="Palatino Linotype" w:eastAsia="Palatino Linotype" w:hAnsi="Palatino Linotype" w:cs="Palatino Linotype"/>
          <w:b/>
          <w:color w:val="000000"/>
        </w:rPr>
        <w:t>colmado</w:t>
      </w:r>
      <w:r>
        <w:rPr>
          <w:rFonts w:ascii="Palatino Linotype" w:eastAsia="Palatino Linotype" w:hAnsi="Palatino Linotype" w:cs="Palatino Linotype"/>
          <w:color w:val="000000"/>
        </w:rPr>
        <w:t xml:space="preserve"> el requerimiento relativo al CFDI de la persona referida en la solicitud de información </w:t>
      </w:r>
      <w:r>
        <w:rPr>
          <w:rFonts w:ascii="Palatino Linotype" w:eastAsia="Palatino Linotype" w:hAnsi="Palatino Linotype" w:cs="Palatino Linotype"/>
          <w:b/>
          <w:color w:val="000000"/>
        </w:rPr>
        <w:t>00610/TLALNEPA/IP/2023</w:t>
      </w:r>
      <w:r>
        <w:rPr>
          <w:rFonts w:ascii="Palatino Linotype" w:eastAsia="Palatino Linotype" w:hAnsi="Palatino Linotype" w:cs="Palatino Linotype"/>
          <w:color w:val="000000"/>
        </w:rPr>
        <w:t>, así como el motivo y razones que justifiquen su sueldo y, si éste está contemplado en la ley.</w:t>
      </w:r>
    </w:p>
    <w:p w14:paraId="76DD7E40"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2A416625" w14:textId="77777777" w:rsidR="00D71285" w:rsidRDefault="00AC7421">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IV. De la nómina del personal sindicalizado.</w:t>
      </w:r>
    </w:p>
    <w:p w14:paraId="29F86DE3"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Como un primer acercamiento, es fundamental referir que la información solicitada se relaciona con parte de las obligaciones de transparencia común, las cuales,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encuentra constreñido a publicar y difundir a la ciudadanía. Lo anterior se asevera con base en lo establecido por el artículo 92, fracción VIII, de la Ley de Transparencia y Acceso a la Información Pública del Estado de México y Municipios, mismo que dice:</w:t>
      </w:r>
    </w:p>
    <w:p w14:paraId="3A9C6C24" w14:textId="77777777" w:rsidR="00D71285" w:rsidRDefault="00AC7421">
      <w:pPr>
        <w:pBdr>
          <w:top w:val="nil"/>
          <w:left w:val="nil"/>
          <w:bottom w:val="nil"/>
          <w:right w:val="nil"/>
          <w:between w:val="nil"/>
        </w:pBdr>
        <w:tabs>
          <w:tab w:val="left" w:pos="426"/>
        </w:tabs>
        <w:spacing w:line="276" w:lineRule="auto"/>
        <w:ind w:left="567" w:right="2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sz w:val="22"/>
          <w:szCs w:val="22"/>
        </w:rPr>
        <w:t>Artículo 92.</w:t>
      </w:r>
      <w:r>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w:t>
      </w:r>
      <w:r>
        <w:rPr>
          <w:rFonts w:ascii="Palatino Linotype" w:eastAsia="Palatino Linotype" w:hAnsi="Palatino Linotype" w:cs="Palatino Linotype"/>
          <w:i/>
          <w:color w:val="000000"/>
          <w:sz w:val="22"/>
          <w:szCs w:val="22"/>
        </w:rPr>
        <w:lastRenderedPageBreak/>
        <w:t>electrónicos, de acuerdo con sus facultades, atribuciones, funciones u objeto social, según corresponda, la información, por lo menos, de los temas, documentos y políticas que a continuación se señalan:</w:t>
      </w:r>
    </w:p>
    <w:p w14:paraId="1DED7048" w14:textId="77777777" w:rsidR="00D71285" w:rsidRDefault="00AC7421">
      <w:pPr>
        <w:pBdr>
          <w:top w:val="nil"/>
          <w:left w:val="nil"/>
          <w:bottom w:val="nil"/>
          <w:right w:val="nil"/>
          <w:between w:val="nil"/>
        </w:pBdr>
        <w:tabs>
          <w:tab w:val="left" w:pos="426"/>
        </w:tabs>
        <w:spacing w:line="276" w:lineRule="auto"/>
        <w:ind w:left="567" w:right="2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38F92D68" w14:textId="77777777" w:rsidR="00D71285" w:rsidRDefault="00AC7421">
      <w:pPr>
        <w:pBdr>
          <w:top w:val="nil"/>
          <w:left w:val="nil"/>
          <w:bottom w:val="nil"/>
          <w:right w:val="nil"/>
          <w:between w:val="nil"/>
        </w:pBdr>
        <w:tabs>
          <w:tab w:val="left" w:pos="426"/>
        </w:tabs>
        <w:spacing w:line="276" w:lineRule="auto"/>
        <w:ind w:left="567" w:right="2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VIII.</w:t>
      </w:r>
      <w:r>
        <w:rPr>
          <w:rFonts w:ascii="Palatino Linotype" w:eastAsia="Palatino Linotype" w:hAnsi="Palatino Linotype" w:cs="Palatino Linotype"/>
          <w:i/>
          <w:color w:val="000000"/>
          <w:sz w:val="22"/>
          <w:szCs w:val="22"/>
        </w:rPr>
        <w:t xml:space="preserve"> La remuneración bruta y neta de todos los servidores públicos de base o de confianza, </w:t>
      </w:r>
      <w:r>
        <w:rPr>
          <w:rFonts w:ascii="Palatino Linotype" w:eastAsia="Palatino Linotype" w:hAnsi="Palatino Linotype" w:cs="Palatino Linotype"/>
          <w:b/>
          <w:i/>
          <w:color w:val="000000"/>
          <w:sz w:val="22"/>
          <w:szCs w:val="22"/>
        </w:rPr>
        <w:t xml:space="preserve">de </w:t>
      </w:r>
      <w:r>
        <w:rPr>
          <w:rFonts w:ascii="Palatino Linotype" w:eastAsia="Palatino Linotype" w:hAnsi="Palatino Linotype" w:cs="Palatino Linotype"/>
          <w:b/>
          <w:i/>
          <w:color w:val="000000"/>
          <w:sz w:val="22"/>
          <w:szCs w:val="22"/>
          <w:u w:val="single"/>
        </w:rPr>
        <w:t>todas las percepciones</w:t>
      </w:r>
      <w:r>
        <w:rPr>
          <w:rFonts w:ascii="Palatino Linotype" w:eastAsia="Palatino Linotype" w:hAnsi="Palatino Linotype" w:cs="Palatino Linotype"/>
          <w:b/>
          <w:i/>
          <w:color w:val="000000"/>
          <w:sz w:val="22"/>
          <w:szCs w:val="22"/>
        </w:rPr>
        <w:t>, incluyendo sueldos, prestaciones, gratificaciones, primas, comisiones, dietas, bonos, estímulos, ingresos y sistemas de compensación</w:t>
      </w:r>
      <w:r>
        <w:rPr>
          <w:rFonts w:ascii="Palatino Linotype" w:eastAsia="Palatino Linotype" w:hAnsi="Palatino Linotype" w:cs="Palatino Linotype"/>
          <w:i/>
          <w:color w:val="000000"/>
          <w:sz w:val="22"/>
          <w:szCs w:val="22"/>
        </w:rPr>
        <w:t>, señalando la periodicidad de dicha remuneración;</w:t>
      </w:r>
    </w:p>
    <w:p w14:paraId="4A4FD1E9" w14:textId="77777777" w:rsidR="00D71285" w:rsidRDefault="00AC7421">
      <w:pPr>
        <w:pBdr>
          <w:top w:val="nil"/>
          <w:left w:val="nil"/>
          <w:bottom w:val="nil"/>
          <w:right w:val="nil"/>
          <w:between w:val="nil"/>
        </w:pBdr>
        <w:tabs>
          <w:tab w:val="left" w:pos="426"/>
        </w:tabs>
        <w:spacing w:line="276" w:lineRule="auto"/>
        <w:ind w:left="567" w:right="-64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7334BD65" w14:textId="77777777" w:rsidR="00D71285" w:rsidRDefault="00D71285">
      <w:pPr>
        <w:ind w:right="-646"/>
        <w:rPr>
          <w:rFonts w:ascii="Palatino Linotype" w:eastAsia="Palatino Linotype" w:hAnsi="Palatino Linotype" w:cs="Palatino Linotype"/>
        </w:rPr>
      </w:pPr>
    </w:p>
    <w:p w14:paraId="4952BF28"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De lo anterior </w:t>
      </w:r>
      <w:r>
        <w:rPr>
          <w:rFonts w:ascii="Palatino Linotype" w:eastAsia="Palatino Linotype" w:hAnsi="Palatino Linotype" w:cs="Palatino Linotype"/>
        </w:rPr>
        <w:t>se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colige</w:t>
      </w:r>
      <w:r>
        <w:rPr>
          <w:rFonts w:ascii="Palatino Linotype" w:eastAsia="Palatino Linotype" w:hAnsi="Palatino Linotype" w:cs="Palatino Linotype"/>
          <w:color w:val="000000"/>
        </w:rPr>
        <w:t xml:space="preserve"> que la Ley de la materia reconoce a </w:t>
      </w:r>
      <w:r>
        <w:rPr>
          <w:rFonts w:ascii="Palatino Linotype" w:eastAsia="Palatino Linotype" w:hAnsi="Palatino Linotype" w:cs="Palatino Linotype"/>
          <w:b/>
          <w:color w:val="000000"/>
        </w:rPr>
        <w:t>las remuneraciones que reciben los servidores públicos, por la prestación de sus servicios,</w:t>
      </w:r>
      <w:r>
        <w:rPr>
          <w:rFonts w:ascii="Palatino Linotype" w:eastAsia="Palatino Linotype" w:hAnsi="Palatino Linotype" w:cs="Palatino Linotype"/>
          <w:color w:val="000000"/>
        </w:rPr>
        <w:t xml:space="preserve"> ante una Institución Pública, </w:t>
      </w:r>
      <w:r>
        <w:rPr>
          <w:rFonts w:ascii="Palatino Linotype" w:eastAsia="Palatino Linotype" w:hAnsi="Palatino Linotype" w:cs="Palatino Linotype"/>
          <w:b/>
          <w:color w:val="000000"/>
        </w:rPr>
        <w:t>como información de carácter pública</w:t>
      </w:r>
      <w:r>
        <w:rPr>
          <w:rFonts w:ascii="Palatino Linotype" w:eastAsia="Palatino Linotype" w:hAnsi="Palatino Linotype" w:cs="Palatino Linotype"/>
          <w:color w:val="000000"/>
        </w:rPr>
        <w:t>; aún y cuando pudiera tratarse de datos personales. Lo anterior es así, ya que si bien es cierto que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067C37ED" w14:textId="77777777" w:rsidR="00D71285" w:rsidRDefault="00D71285">
      <w:pPr>
        <w:tabs>
          <w:tab w:val="left" w:pos="426"/>
        </w:tabs>
        <w:spacing w:line="360" w:lineRule="auto"/>
        <w:ind w:right="-646"/>
        <w:jc w:val="both"/>
        <w:rPr>
          <w:rFonts w:ascii="Palatino Linotype" w:eastAsia="Palatino Linotype" w:hAnsi="Palatino Linotype" w:cs="Palatino Linotype"/>
          <w:color w:val="000000"/>
        </w:rPr>
      </w:pPr>
    </w:p>
    <w:p w14:paraId="667A4321" w14:textId="77777777" w:rsidR="00D71285" w:rsidRDefault="00AC7421">
      <w:pPr>
        <w:numPr>
          <w:ilvl w:val="0"/>
          <w:numId w:val="10"/>
        </w:numP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Sirve </w:t>
      </w:r>
      <w:r>
        <w:rPr>
          <w:rFonts w:ascii="Palatino Linotype" w:eastAsia="Palatino Linotype" w:hAnsi="Palatino Linotype" w:cs="Palatino Linotype"/>
          <w:color w:val="000000"/>
          <w:highlight w:val="white"/>
        </w:rPr>
        <w:t>de apoyo a lo anterior por analogía, los criterios 01/2003 y 02/2003 emitidos por el Comité de Acceso a la Información y Protección de Datos Personales de la Suprema Corte de Justicia de la Nación que a continuación se citan:</w:t>
      </w:r>
    </w:p>
    <w:p w14:paraId="7B6E467D" w14:textId="77777777" w:rsidR="00D71285" w:rsidRDefault="00AC7421">
      <w:pPr>
        <w:tabs>
          <w:tab w:val="left" w:pos="851"/>
        </w:tabs>
        <w:spacing w:line="276" w:lineRule="auto"/>
        <w:ind w:left="567" w:right="62"/>
        <w:jc w:val="center"/>
        <w:rPr>
          <w:rFonts w:ascii="Palatino Linotype" w:eastAsia="Palatino Linotype" w:hAnsi="Palatino Linotype" w:cs="Palatino Linotype"/>
          <w:b/>
          <w:i/>
          <w:color w:val="000000"/>
          <w:sz w:val="22"/>
          <w:szCs w:val="22"/>
          <w:highlight w:val="white"/>
        </w:rPr>
      </w:pPr>
      <w:r>
        <w:rPr>
          <w:rFonts w:ascii="Palatino Linotype" w:eastAsia="Palatino Linotype" w:hAnsi="Palatino Linotype" w:cs="Palatino Linotype"/>
          <w:b/>
          <w:i/>
          <w:color w:val="000000"/>
          <w:sz w:val="22"/>
          <w:szCs w:val="22"/>
          <w:highlight w:val="white"/>
        </w:rPr>
        <w:t>Criterio 01/2003.</w:t>
      </w:r>
    </w:p>
    <w:p w14:paraId="50933321" w14:textId="77777777" w:rsidR="00D71285" w:rsidRDefault="00AC7421">
      <w:pPr>
        <w:tabs>
          <w:tab w:val="left" w:pos="851"/>
        </w:tabs>
        <w:spacing w:line="276" w:lineRule="auto"/>
        <w:ind w:left="567" w:right="62"/>
        <w:jc w:val="both"/>
        <w:rPr>
          <w:rFonts w:ascii="Palatino Linotype" w:eastAsia="Palatino Linotype" w:hAnsi="Palatino Linotype" w:cs="Palatino Linotype"/>
          <w:i/>
          <w:color w:val="000000"/>
          <w:sz w:val="22"/>
          <w:szCs w:val="22"/>
          <w:highlight w:val="white"/>
        </w:rPr>
      </w:pPr>
      <w:r>
        <w:rPr>
          <w:rFonts w:ascii="Palatino Linotype" w:eastAsia="Palatino Linotype" w:hAnsi="Palatino Linotype" w:cs="Palatino Linotype"/>
          <w:b/>
          <w:i/>
          <w:color w:val="000000"/>
          <w:sz w:val="22"/>
          <w:szCs w:val="22"/>
          <w:highlight w:val="white"/>
        </w:rPr>
        <w:t>INGRESOS DE LOS SERVIDORES PÚBLICOS. CONSTITUYEN INFORMACIÓN PÚBLICA AÚN CUANDO SU DIFUSIÓN PUEDE AFECTAR LA VIDA O LA SEGURIDAD DE AQUELLOS</w:t>
      </w:r>
      <w:r>
        <w:rPr>
          <w:rFonts w:ascii="Palatino Linotype" w:eastAsia="Palatino Linotype" w:hAnsi="Palatino Linotype" w:cs="Palatino Linotype"/>
          <w:i/>
          <w:color w:val="000000"/>
          <w:sz w:val="22"/>
          <w:szCs w:val="22"/>
          <w:highlight w:val="white"/>
        </w:rPr>
        <w:t xml:space="preserve">. ”Si bien el artículo 13, fracción IV, de la Ley Federal de Transparencia y  Acceso  a la información Pública Gubernamental establece que debe </w:t>
      </w:r>
      <w:r>
        <w:rPr>
          <w:rFonts w:ascii="Palatino Linotype" w:eastAsia="Palatino Linotype" w:hAnsi="Palatino Linotype" w:cs="Palatino Linotype"/>
          <w:i/>
          <w:color w:val="000000"/>
          <w:sz w:val="22"/>
          <w:szCs w:val="22"/>
          <w:highlight w:val="white"/>
        </w:rPr>
        <w:lastRenderedPageBreak/>
        <w:t>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3A1D4D6F" w14:textId="77777777" w:rsidR="00D71285" w:rsidRDefault="00D71285">
      <w:pPr>
        <w:tabs>
          <w:tab w:val="left" w:pos="851"/>
        </w:tabs>
        <w:spacing w:line="276" w:lineRule="auto"/>
        <w:ind w:left="567" w:right="62"/>
        <w:jc w:val="both"/>
        <w:rPr>
          <w:rFonts w:ascii="Palatino Linotype" w:eastAsia="Palatino Linotype" w:hAnsi="Palatino Linotype" w:cs="Palatino Linotype"/>
          <w:i/>
          <w:color w:val="000000"/>
          <w:sz w:val="22"/>
          <w:szCs w:val="22"/>
          <w:highlight w:val="white"/>
        </w:rPr>
      </w:pPr>
    </w:p>
    <w:p w14:paraId="11306A01" w14:textId="77777777" w:rsidR="00D71285" w:rsidRDefault="00AC7421">
      <w:pPr>
        <w:tabs>
          <w:tab w:val="left" w:pos="851"/>
        </w:tabs>
        <w:spacing w:line="276" w:lineRule="auto"/>
        <w:ind w:left="567" w:right="62"/>
        <w:jc w:val="center"/>
        <w:rPr>
          <w:rFonts w:ascii="Palatino Linotype" w:eastAsia="Palatino Linotype" w:hAnsi="Palatino Linotype" w:cs="Palatino Linotype"/>
          <w:b/>
          <w:i/>
          <w:color w:val="000000"/>
          <w:sz w:val="22"/>
          <w:szCs w:val="22"/>
          <w:highlight w:val="white"/>
        </w:rPr>
      </w:pPr>
      <w:r>
        <w:rPr>
          <w:rFonts w:ascii="Palatino Linotype" w:eastAsia="Palatino Linotype" w:hAnsi="Palatino Linotype" w:cs="Palatino Linotype"/>
          <w:b/>
          <w:i/>
          <w:color w:val="000000"/>
          <w:sz w:val="22"/>
          <w:szCs w:val="22"/>
          <w:highlight w:val="white"/>
        </w:rPr>
        <w:t>Criterio 02/2003.</w:t>
      </w:r>
    </w:p>
    <w:p w14:paraId="095F5134" w14:textId="77777777" w:rsidR="00D71285" w:rsidRDefault="00AC7421">
      <w:pPr>
        <w:tabs>
          <w:tab w:val="left" w:pos="851"/>
        </w:tabs>
        <w:spacing w:line="276" w:lineRule="auto"/>
        <w:ind w:left="567" w:right="62"/>
        <w:jc w:val="both"/>
        <w:rPr>
          <w:rFonts w:ascii="Palatino Linotype" w:eastAsia="Palatino Linotype" w:hAnsi="Palatino Linotype" w:cs="Palatino Linotype"/>
          <w:i/>
          <w:color w:val="000000"/>
          <w:sz w:val="22"/>
          <w:szCs w:val="22"/>
          <w:highlight w:val="white"/>
        </w:rPr>
      </w:pPr>
      <w:r>
        <w:rPr>
          <w:rFonts w:ascii="Palatino Linotype" w:eastAsia="Palatino Linotype" w:hAnsi="Palatino Linotype" w:cs="Palatino Linotype"/>
          <w:b/>
          <w:i/>
          <w:color w:val="000000"/>
          <w:sz w:val="22"/>
          <w:szCs w:val="22"/>
          <w:highlight w:val="white"/>
        </w:rPr>
        <w:t>INGRESOS DE LOS SERVIDORES PÚBLICOS, SON INFORMACIÓN PÚBLICA AÚN CUANDO CONSTITUYEN DATOS PERSONALES QUE SE REFIEREN AL PATRIMONIO DE AQUÉLLOS.</w:t>
      </w:r>
      <w:r>
        <w:rPr>
          <w:rFonts w:ascii="Palatino Linotype" w:eastAsia="Palatino Linotype" w:hAnsi="Palatino Linotype" w:cs="Palatino Linotype"/>
          <w:i/>
          <w:color w:val="000000"/>
          <w:sz w:val="22"/>
          <w:szCs w:val="22"/>
          <w:highlight w:val="white"/>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28BAEB25" w14:textId="77777777" w:rsidR="00D71285" w:rsidRDefault="00D71285">
      <w:pPr>
        <w:spacing w:line="360" w:lineRule="auto"/>
        <w:ind w:right="-646"/>
        <w:jc w:val="both"/>
        <w:rPr>
          <w:rFonts w:ascii="Palatino Linotype" w:eastAsia="Palatino Linotype" w:hAnsi="Palatino Linotype" w:cs="Palatino Linotype"/>
          <w:color w:val="000000"/>
        </w:rPr>
      </w:pPr>
    </w:p>
    <w:p w14:paraId="25DBA736"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Además, al ser una erogación que realiza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 al ser a cargo de fondos públicos, las mismas son fiscalizadas por la Legislatura, a través del Órgano Superior de Fiscalización. Bajo dicha tesitura es que resulta que dicha información debe ser </w:t>
      </w:r>
      <w:r>
        <w:rPr>
          <w:rFonts w:ascii="Palatino Linotype" w:eastAsia="Palatino Linotype" w:hAnsi="Palatino Linotype" w:cs="Palatino Linotype"/>
          <w:b/>
          <w:color w:val="000000"/>
        </w:rPr>
        <w:t>pública</w:t>
      </w:r>
      <w:r>
        <w:rPr>
          <w:rFonts w:ascii="Palatino Linotype" w:eastAsia="Palatino Linotype" w:hAnsi="Palatino Linotype" w:cs="Palatino Linotype"/>
          <w:color w:val="000000"/>
        </w:rPr>
        <w:t>.</w:t>
      </w:r>
    </w:p>
    <w:p w14:paraId="76AA8201" w14:textId="77777777" w:rsidR="00D71285" w:rsidRDefault="00D71285">
      <w:pPr>
        <w:pBdr>
          <w:top w:val="nil"/>
          <w:left w:val="nil"/>
          <w:bottom w:val="nil"/>
          <w:right w:val="nil"/>
          <w:between w:val="nil"/>
        </w:pBdr>
        <w:tabs>
          <w:tab w:val="left" w:pos="567"/>
        </w:tabs>
        <w:spacing w:line="360" w:lineRule="auto"/>
        <w:ind w:right="-646"/>
        <w:jc w:val="both"/>
        <w:rPr>
          <w:rFonts w:ascii="Palatino Linotype" w:eastAsia="Palatino Linotype" w:hAnsi="Palatino Linotype" w:cs="Palatino Linotype"/>
          <w:color w:val="000000"/>
        </w:rPr>
      </w:pPr>
    </w:p>
    <w:p w14:paraId="064A53D5"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Cabe destacar que el conjunto de percepciones y deducciones forman la </w:t>
      </w:r>
      <w:r>
        <w:rPr>
          <w:rFonts w:ascii="Palatino Linotype" w:eastAsia="Palatino Linotype" w:hAnsi="Palatino Linotype" w:cs="Palatino Linotype"/>
          <w:b/>
          <w:i/>
          <w:color w:val="000000"/>
        </w:rPr>
        <w:t>nómina</w:t>
      </w:r>
      <w:r>
        <w:rPr>
          <w:rFonts w:ascii="Palatino Linotype" w:eastAsia="Palatino Linotype" w:hAnsi="Palatino Linotype" w:cs="Palatino Linotype"/>
          <w:color w:val="000000"/>
        </w:rPr>
        <w:t xml:space="preserve"> de un trabajador; la cual, si bien es cierto que en nuestra legislación no existe como tal una definición del término, el </w:t>
      </w:r>
      <w:r>
        <w:rPr>
          <w:rFonts w:ascii="Palatino Linotype" w:eastAsia="Palatino Linotype" w:hAnsi="Palatino Linotype" w:cs="Palatino Linotype"/>
          <w:i/>
          <w:color w:val="000000"/>
        </w:rPr>
        <w:t xml:space="preserve">“Glosario de Términos Usuales de Finanzas Públicas” </w:t>
      </w:r>
      <w:r>
        <w:rPr>
          <w:rFonts w:ascii="Palatino Linotype" w:eastAsia="Palatino Linotype" w:hAnsi="Palatino Linotype" w:cs="Palatino Linotype"/>
          <w:color w:val="000000"/>
        </w:rPr>
        <w:t xml:space="preserve">del Centro de </w:t>
      </w:r>
      <w:r>
        <w:rPr>
          <w:rFonts w:ascii="Palatino Linotype" w:eastAsia="Palatino Linotype" w:hAnsi="Palatino Linotype" w:cs="Palatino Linotype"/>
          <w:color w:val="000000"/>
        </w:rPr>
        <w:lastRenderedPageBreak/>
        <w:t xml:space="preserve">Estudios de las Finanzas Públicas de la Cámara de Diputados del H. Congreso de la Unión, el </w:t>
      </w:r>
      <w:r>
        <w:rPr>
          <w:rFonts w:ascii="Palatino Linotype" w:eastAsia="Palatino Linotype" w:hAnsi="Palatino Linotype" w:cs="Palatino Linotype"/>
          <w:i/>
          <w:color w:val="000000"/>
        </w:rPr>
        <w:t>“Glosario de Términos Administrativos”</w:t>
      </w:r>
      <w:r>
        <w:rPr>
          <w:rFonts w:ascii="Palatino Linotype" w:eastAsia="Palatino Linotype" w:hAnsi="Palatino Linotype" w:cs="Palatino Linotype"/>
          <w:color w:val="000000"/>
        </w:rPr>
        <w:t xml:space="preserve">, emitido por el Instituto Nacional de Administración Pública, A.C. y el </w:t>
      </w:r>
      <w:r>
        <w:rPr>
          <w:rFonts w:ascii="Palatino Linotype" w:eastAsia="Palatino Linotype" w:hAnsi="Palatino Linotype" w:cs="Palatino Linotype"/>
          <w:i/>
          <w:color w:val="000000"/>
        </w:rPr>
        <w:t>“Glosario de Términos para el Proceso de Planeación, Programación, Presupuestación y Evaluación en la Administración Pública”,</w:t>
      </w:r>
      <w:r>
        <w:rPr>
          <w:rFonts w:ascii="Palatino Linotype" w:eastAsia="Palatino Linotype" w:hAnsi="Palatino Linotype" w:cs="Palatino Linotype"/>
          <w:color w:val="000000"/>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6C7EC268" w14:textId="77777777" w:rsidR="00D71285" w:rsidRDefault="00AC7421">
      <w:pPr>
        <w:spacing w:line="276" w:lineRule="auto"/>
        <w:ind w:left="851"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“NÓMINA: </w:t>
      </w:r>
      <w:r>
        <w:rPr>
          <w:rFonts w:ascii="Palatino Linotype" w:eastAsia="Palatino Linotype" w:hAnsi="Palatino Linotype" w:cs="Palatino Linotype"/>
          <w:i/>
          <w:sz w:val="22"/>
          <w:szCs w:val="22"/>
        </w:rPr>
        <w:t>Listado general de los trabajadores de una institución, en</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el cual se asientan las percepciones brutas, deducciones 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alcance neto de las mismas; la nómina es utilizada para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efectuar los pagos periódicos (semanales, quincenales 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mensuales) a los trabajadores por concepto de sueldos 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salarios.”</w:t>
      </w:r>
    </w:p>
    <w:p w14:paraId="55F4FA2E"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322E8DDB"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Relativo 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3F04C78D"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35684085"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En el mismo sentido, el Código Financiero del Estado de México y Municipios, en su artículo 3° fracción XXXXII estipula lo siguiente:</w:t>
      </w:r>
    </w:p>
    <w:p w14:paraId="7B7FEF0D" w14:textId="77777777" w:rsidR="00D71285" w:rsidRDefault="00AC7421">
      <w:pPr>
        <w:pBdr>
          <w:top w:val="nil"/>
          <w:left w:val="nil"/>
          <w:bottom w:val="nil"/>
          <w:right w:val="nil"/>
          <w:between w:val="nil"/>
        </w:pBdr>
        <w:spacing w:line="276" w:lineRule="auto"/>
        <w:ind w:left="567"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3.</w:t>
      </w:r>
      <w:r>
        <w:rPr>
          <w:rFonts w:ascii="Palatino Linotype" w:eastAsia="Palatino Linotype" w:hAnsi="Palatino Linotype" w:cs="Palatino Linotype"/>
          <w:i/>
          <w:color w:val="000000"/>
          <w:sz w:val="22"/>
          <w:szCs w:val="22"/>
        </w:rPr>
        <w:t xml:space="preserve"> </w:t>
      </w:r>
    </w:p>
    <w:p w14:paraId="7602C386" w14:textId="77777777" w:rsidR="00D71285" w:rsidRDefault="00AC7421">
      <w:pPr>
        <w:pBdr>
          <w:top w:val="nil"/>
          <w:left w:val="nil"/>
          <w:bottom w:val="nil"/>
          <w:right w:val="nil"/>
          <w:between w:val="nil"/>
        </w:pBdr>
        <w:spacing w:line="276" w:lineRule="auto"/>
        <w:ind w:left="567"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6313EAFB" w14:textId="77777777" w:rsidR="00D71285" w:rsidRDefault="00AC7421">
      <w:pPr>
        <w:pBdr>
          <w:top w:val="nil"/>
          <w:left w:val="nil"/>
          <w:bottom w:val="nil"/>
          <w:right w:val="nil"/>
          <w:between w:val="nil"/>
        </w:pBdr>
        <w:spacing w:line="276" w:lineRule="auto"/>
        <w:ind w:left="567"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XXXII. Remuneración:</w:t>
      </w:r>
      <w:r>
        <w:rPr>
          <w:rFonts w:ascii="Palatino Linotype" w:eastAsia="Palatino Linotype" w:hAnsi="Palatino Linotype" w:cs="Palatino Linotype"/>
          <w:i/>
          <w:color w:val="000000"/>
          <w:sz w:val="22"/>
          <w:szCs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E2A9067" w14:textId="77777777" w:rsidR="00D71285" w:rsidRDefault="00AC7421">
      <w:pPr>
        <w:pBdr>
          <w:top w:val="nil"/>
          <w:left w:val="nil"/>
          <w:bottom w:val="nil"/>
          <w:right w:val="nil"/>
          <w:between w:val="nil"/>
        </w:pBdr>
        <w:spacing w:line="276" w:lineRule="auto"/>
        <w:ind w:left="567"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11F28481"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1FD20E79"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lastRenderedPageBreak/>
        <w:t>Ahora bien, tratándose de servidores públicos de los Municipios, la Ley del Trabajo de los Servidores Públicos del Estado y Municipios, en sus artículos 71 y 220-K fracciones II y IV y su penúltimo párrafo establecen:</w:t>
      </w:r>
    </w:p>
    <w:p w14:paraId="588207FB" w14:textId="77777777" w:rsidR="00D71285" w:rsidRDefault="00AC7421">
      <w:pPr>
        <w:tabs>
          <w:tab w:val="left" w:pos="4962"/>
        </w:tabs>
        <w:spacing w:line="276" w:lineRule="auto"/>
        <w:ind w:left="567"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El sueldo es la retribución que la institución pública debe pagar al servidor público por los servicios prestados</w:t>
      </w:r>
      <w:r>
        <w:rPr>
          <w:rFonts w:ascii="Palatino Linotype" w:eastAsia="Palatino Linotype" w:hAnsi="Palatino Linotype" w:cs="Palatino Linotype"/>
          <w:i/>
          <w:sz w:val="22"/>
          <w:szCs w:val="22"/>
        </w:rPr>
        <w:t>.</w:t>
      </w:r>
    </w:p>
    <w:p w14:paraId="0F7901BA" w14:textId="77777777" w:rsidR="00D71285" w:rsidRDefault="00AC7421">
      <w:pPr>
        <w:tabs>
          <w:tab w:val="left" w:pos="4962"/>
        </w:tabs>
        <w:spacing w:line="276" w:lineRule="auto"/>
        <w:ind w:left="567"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3043F25F" w14:textId="77777777" w:rsidR="00D71285" w:rsidRDefault="00AC7421">
      <w:pPr>
        <w:tabs>
          <w:tab w:val="left" w:pos="4962"/>
        </w:tabs>
        <w:spacing w:line="276" w:lineRule="auto"/>
        <w:ind w:left="567"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w:t>
      </w:r>
    </w:p>
    <w:p w14:paraId="39B5EA06" w14:textId="77777777" w:rsidR="00D71285" w:rsidRDefault="00AC7421">
      <w:pPr>
        <w:tabs>
          <w:tab w:val="left" w:pos="4962"/>
        </w:tabs>
        <w:spacing w:line="276" w:lineRule="auto"/>
        <w:ind w:left="567" w:right="6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Recibos de pagos de salarios o las constancias documentales del pago de salario cuando sea por depósito o mediante información electrónica;</w:t>
      </w:r>
    </w:p>
    <w:p w14:paraId="12DFB4E9" w14:textId="77777777" w:rsidR="00D71285" w:rsidRDefault="00AC7421">
      <w:pPr>
        <w:tabs>
          <w:tab w:val="left" w:pos="4962"/>
        </w:tabs>
        <w:spacing w:line="276" w:lineRule="auto"/>
        <w:ind w:left="567"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Controles de asistencia o la información magnética o electrónica de asistencia de los servidores públicos;</w:t>
      </w:r>
    </w:p>
    <w:p w14:paraId="2B2C021F" w14:textId="77777777" w:rsidR="00D71285" w:rsidRDefault="00AC7421">
      <w:pPr>
        <w:tabs>
          <w:tab w:val="left" w:pos="4962"/>
        </w:tabs>
        <w:spacing w:line="276" w:lineRule="auto"/>
        <w:ind w:left="567"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Recibos o las constancias de depósito o del medio de información magnética o electrónica que sean utilizadas para el pago de salarios, prima vacacional, aguinaldo y demás prestaciones establecidas en la presente ley;</w:t>
      </w:r>
      <w:r>
        <w:rPr>
          <w:rFonts w:ascii="Palatino Linotype" w:eastAsia="Palatino Linotype" w:hAnsi="Palatino Linotype" w:cs="Palatino Linotype"/>
          <w:i/>
          <w:sz w:val="22"/>
          <w:szCs w:val="22"/>
        </w:rPr>
        <w:t xml:space="preserve"> y</w:t>
      </w:r>
    </w:p>
    <w:p w14:paraId="525A30EF" w14:textId="77777777" w:rsidR="00D71285" w:rsidRDefault="00AC7421">
      <w:pPr>
        <w:tabs>
          <w:tab w:val="left" w:pos="4962"/>
        </w:tabs>
        <w:spacing w:line="276" w:lineRule="auto"/>
        <w:ind w:left="567"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Los demás que señalen las leyes.</w:t>
      </w:r>
    </w:p>
    <w:p w14:paraId="69141A36" w14:textId="77777777" w:rsidR="00D71285" w:rsidRDefault="00AC7421">
      <w:pPr>
        <w:tabs>
          <w:tab w:val="left" w:pos="8222"/>
          <w:tab w:val="left" w:pos="8789"/>
        </w:tabs>
        <w:spacing w:line="276" w:lineRule="auto"/>
        <w:ind w:left="567"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w:t>
      </w:r>
      <w:r>
        <w:rPr>
          <w:rFonts w:ascii="Palatino Linotype" w:eastAsia="Palatino Linotype" w:hAnsi="Palatino Linotype" w:cs="Palatino Linotype"/>
          <w:b/>
          <w:i/>
          <w:sz w:val="22"/>
          <w:szCs w:val="22"/>
        </w:rPr>
        <w:t>II, III, IV durante el último año y un año después de que se extinga la relación laboral,</w:t>
      </w:r>
      <w:r>
        <w:rPr>
          <w:rFonts w:ascii="Palatino Linotype" w:eastAsia="Palatino Linotype" w:hAnsi="Palatino Linotype" w:cs="Palatino Linotype"/>
          <w:i/>
          <w:sz w:val="22"/>
          <w:szCs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33E7E35" w14:textId="77777777" w:rsidR="00D71285" w:rsidRDefault="00AC7421">
      <w:pPr>
        <w:tabs>
          <w:tab w:val="left" w:pos="8222"/>
          <w:tab w:val="left" w:pos="8789"/>
        </w:tabs>
        <w:spacing w:line="276" w:lineRule="auto"/>
        <w:ind w:left="567"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14:paraId="4F7C8301" w14:textId="77777777" w:rsidR="00D71285" w:rsidRDefault="00AC7421">
      <w:pPr>
        <w:tabs>
          <w:tab w:val="left" w:pos="8222"/>
          <w:tab w:val="left" w:pos="8789"/>
        </w:tabs>
        <w:spacing w:line="276" w:lineRule="auto"/>
        <w:ind w:left="567" w:right="-646"/>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14:paraId="76BAAFB3"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72F36D45"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De lo anterior, se advierte que </w:t>
      </w:r>
      <w:r>
        <w:rPr>
          <w:rFonts w:ascii="Palatino Linotype" w:eastAsia="Palatino Linotype" w:hAnsi="Palatino Linotype" w:cs="Palatino Linotype"/>
          <w:b/>
          <w:color w:val="000000"/>
        </w:rPr>
        <w:t>toda institución pública o dependencia del Estado de México</w:t>
      </w:r>
      <w:r>
        <w:rPr>
          <w:rFonts w:ascii="Palatino Linotype" w:eastAsia="Palatino Linotype" w:hAnsi="Palatino Linotype" w:cs="Palatino Linotype"/>
          <w:color w:val="000000"/>
        </w:rPr>
        <w:t xml:space="preserve"> debe conservar las constancias documentales del </w:t>
      </w:r>
      <w:r>
        <w:rPr>
          <w:rFonts w:ascii="Palatino Linotype" w:eastAsia="Palatino Linotype" w:hAnsi="Palatino Linotype" w:cs="Palatino Linotype"/>
          <w:b/>
          <w:color w:val="000000"/>
        </w:rPr>
        <w:t>pago de salario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prima vacacional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aguinaldo</w:t>
      </w:r>
      <w:r>
        <w:rPr>
          <w:rFonts w:ascii="Palatino Linotype" w:eastAsia="Palatino Linotype" w:hAnsi="Palatino Linotype" w:cs="Palatino Linotype"/>
          <w:color w:val="000000"/>
        </w:rPr>
        <w:t xml:space="preserve"> y demás </w:t>
      </w:r>
      <w:r>
        <w:rPr>
          <w:rFonts w:ascii="Palatino Linotype" w:eastAsia="Palatino Linotype" w:hAnsi="Palatino Linotype" w:cs="Palatino Linotype"/>
          <w:b/>
          <w:color w:val="000000"/>
        </w:rPr>
        <w:t>prestaciones legales</w:t>
      </w:r>
      <w:r>
        <w:rPr>
          <w:rFonts w:ascii="Palatino Linotype" w:eastAsia="Palatino Linotype" w:hAnsi="Palatino Linotype" w:cs="Palatino Linotype"/>
          <w:color w:val="000000"/>
        </w:rPr>
        <w:t xml:space="preserve"> de acuerdo con la forma en que se </w:t>
      </w:r>
      <w:r>
        <w:rPr>
          <w:rFonts w:ascii="Palatino Linotype" w:eastAsia="Palatino Linotype" w:hAnsi="Palatino Linotype" w:cs="Palatino Linotype"/>
          <w:color w:val="000000"/>
        </w:rPr>
        <w:lastRenderedPageBreak/>
        <w:t>haya realizado; es decir, en efectivo, cheque, depósito, transferencia o cualquier otra modalidad, durante el último año y un año después de que se extinga la relación laboral a través de los sistemas de digitalización o de información magnética o electrónica.</w:t>
      </w:r>
    </w:p>
    <w:p w14:paraId="7FB3EB05"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344C21DE"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En el mismo sentido, la Ley del Trabajo de los Servidores Públicos del Estado y Municipios, al referirse a los comprobantes que las instituciones públicas realizan para documentar el </w:t>
      </w:r>
      <w:r>
        <w:rPr>
          <w:rFonts w:ascii="Palatino Linotype" w:eastAsia="Palatino Linotype" w:hAnsi="Palatino Linotype" w:cs="Palatino Linotype"/>
          <w:b/>
          <w:color w:val="000000"/>
        </w:rPr>
        <w:t>pago de salarios</w:t>
      </w:r>
      <w:r>
        <w:rPr>
          <w:rFonts w:ascii="Palatino Linotype" w:eastAsia="Palatino Linotype" w:hAnsi="Palatino Linotype" w:cs="Palatino Linotype"/>
          <w:color w:val="000000"/>
        </w:rPr>
        <w:t xml:space="preserve">, la </w:t>
      </w:r>
      <w:r>
        <w:rPr>
          <w:rFonts w:ascii="Palatino Linotype" w:eastAsia="Palatino Linotype" w:hAnsi="Palatino Linotype" w:cs="Palatino Linotype"/>
          <w:b/>
          <w:color w:val="000000"/>
        </w:rPr>
        <w:t>prima vacacional</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aguinaldo</w:t>
      </w:r>
      <w:r>
        <w:rPr>
          <w:rFonts w:ascii="Palatino Linotype" w:eastAsia="Palatino Linotype" w:hAnsi="Palatino Linotype" w:cs="Palatino Linotype"/>
          <w:color w:val="000000"/>
        </w:rPr>
        <w:t xml:space="preserve"> o las </w:t>
      </w:r>
      <w:r>
        <w:rPr>
          <w:rFonts w:ascii="Palatino Linotype" w:eastAsia="Palatino Linotype" w:hAnsi="Palatino Linotype" w:cs="Palatino Linotype"/>
          <w:b/>
          <w:color w:val="000000"/>
        </w:rPr>
        <w:t>demás prestaciones</w:t>
      </w:r>
      <w:r>
        <w:rPr>
          <w:rFonts w:ascii="Palatino Linotype" w:eastAsia="Palatino Linotype" w:hAnsi="Palatino Linotype" w:cs="Palatino Linotype"/>
          <w:color w:val="000000"/>
        </w:rPr>
        <w:t xml:space="preserve">, son denominados </w:t>
      </w:r>
      <w:r>
        <w:rPr>
          <w:rFonts w:ascii="Palatino Linotype" w:eastAsia="Palatino Linotype" w:hAnsi="Palatino Linotype" w:cs="Palatino Linotype"/>
          <w:color w:val="000000"/>
          <w:u w:val="single"/>
        </w:rPr>
        <w:t>“recibos o comprobantes de pago”,</w:t>
      </w:r>
      <w:r>
        <w:rPr>
          <w:rFonts w:ascii="Palatino Linotype" w:eastAsia="Palatino Linotype" w:hAnsi="Palatino Linotype" w:cs="Palatino Linotype"/>
          <w:color w:val="000000"/>
        </w:rPr>
        <w:t xml:space="preserve"> los cuales constituyen un instrumento mediante el cual el</w:t>
      </w:r>
      <w:r>
        <w:rPr>
          <w:rFonts w:ascii="Palatino Linotype" w:eastAsia="Palatino Linotype" w:hAnsi="Palatino Linotype" w:cs="Palatino Linotype"/>
          <w:b/>
          <w:color w:val="000000"/>
        </w:rPr>
        <w:t xml:space="preserve"> SUJETO OBLIGADO </w:t>
      </w:r>
      <w:r>
        <w:rPr>
          <w:rFonts w:ascii="Palatino Linotype" w:eastAsia="Palatino Linotype" w:hAnsi="Palatino Linotype" w:cs="Palatino Linotype"/>
          <w:color w:val="000000"/>
        </w:rPr>
        <w:t>acredita las remuneraciones al personal.</w:t>
      </w:r>
    </w:p>
    <w:p w14:paraId="67BC0FA6"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34B13084"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En conclusión, todos los servidores públicos tienen el derecho a recibir remuneraciones irrenunciables por el desempeño de un empleo, cargo o comisión, en función de las responsabilidades asumidas; remuneraciones que según el texto constitucional serán </w:t>
      </w:r>
      <w:r>
        <w:rPr>
          <w:rFonts w:ascii="Palatino Linotype" w:eastAsia="Palatino Linotype" w:hAnsi="Palatino Linotype" w:cs="Palatino Linotype"/>
          <w:b/>
          <w:color w:val="000000"/>
        </w:rPr>
        <w:t>públicas.</w:t>
      </w:r>
    </w:p>
    <w:p w14:paraId="0C9F104C" w14:textId="77777777" w:rsidR="00D71285" w:rsidRDefault="00D71285">
      <w:pPr>
        <w:pBdr>
          <w:top w:val="nil"/>
          <w:left w:val="nil"/>
          <w:bottom w:val="nil"/>
          <w:right w:val="nil"/>
          <w:between w:val="nil"/>
        </w:pBdr>
        <w:ind w:left="720" w:right="-646"/>
        <w:rPr>
          <w:rFonts w:ascii="Palatino Linotype" w:eastAsia="Palatino Linotype" w:hAnsi="Palatino Linotype" w:cs="Palatino Linotype"/>
          <w:color w:val="000000"/>
        </w:rPr>
      </w:pPr>
    </w:p>
    <w:p w14:paraId="4D40ED01"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Esto es –se reitera-, en razón de que las remuneraciones señaladas en párrafos anteriores son pagadas mediante la aplicación de fondos públicos, dichas erogaciones son fiscalizadas por la Legislatura, a través del Órgano Superior de Fiscalización; y, para ello, el artículo 61 de la Constitución Política del Estado Libre y Soberano de México, establece las facultades y obligaciones de la Legislatura de las cuales podemos resaltar las siguientes:</w:t>
      </w:r>
    </w:p>
    <w:p w14:paraId="4ED11E72" w14:textId="77777777" w:rsidR="00D71285" w:rsidRDefault="00AC7421">
      <w:pPr>
        <w:pBdr>
          <w:top w:val="nil"/>
          <w:left w:val="nil"/>
          <w:bottom w:val="nil"/>
          <w:right w:val="nil"/>
          <w:between w:val="nil"/>
        </w:pBdr>
        <w:spacing w:line="276" w:lineRule="auto"/>
        <w:ind w:left="567" w:right="6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“Artículo 61.</w:t>
      </w:r>
    </w:p>
    <w:p w14:paraId="4789E882" w14:textId="77777777" w:rsidR="00D71285" w:rsidRDefault="00AC7421">
      <w:pPr>
        <w:pBdr>
          <w:top w:val="nil"/>
          <w:left w:val="nil"/>
          <w:bottom w:val="nil"/>
          <w:right w:val="nil"/>
          <w:between w:val="nil"/>
        </w:pBdr>
        <w:spacing w:line="276" w:lineRule="auto"/>
        <w:ind w:left="567"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w:t>
      </w:r>
    </w:p>
    <w:p w14:paraId="10A9AF0D" w14:textId="77777777" w:rsidR="00D71285" w:rsidRDefault="00AC7421">
      <w:pPr>
        <w:pBdr>
          <w:top w:val="nil"/>
          <w:left w:val="nil"/>
          <w:bottom w:val="nil"/>
          <w:right w:val="nil"/>
          <w:between w:val="nil"/>
        </w:pBdr>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XXXIII.</w:t>
      </w:r>
      <w:r>
        <w:rPr>
          <w:rFonts w:ascii="Palatino Linotype" w:eastAsia="Palatino Linotype" w:hAnsi="Palatino Linotype" w:cs="Palatino Linotype"/>
          <w:i/>
          <w:color w:val="000000"/>
          <w:sz w:val="22"/>
          <w:szCs w:val="22"/>
        </w:rPr>
        <w:t xml:space="preserve"> Revisar, por conducto del </w:t>
      </w:r>
      <w:r>
        <w:rPr>
          <w:rFonts w:ascii="Palatino Linotype" w:eastAsia="Palatino Linotype" w:hAnsi="Palatino Linotype" w:cs="Palatino Linotype"/>
          <w:b/>
          <w:i/>
          <w:color w:val="000000"/>
          <w:sz w:val="22"/>
          <w:szCs w:val="22"/>
        </w:rPr>
        <w:t>Órgano Superior de Fiscalización del Estado de México</w:t>
      </w:r>
      <w:r>
        <w:rPr>
          <w:rFonts w:ascii="Palatino Linotype" w:eastAsia="Palatino Linotype" w:hAnsi="Palatino Linotype" w:cs="Palatino Linotype"/>
          <w:i/>
          <w:color w:val="000000"/>
          <w:sz w:val="22"/>
          <w:szCs w:val="22"/>
        </w:rPr>
        <w:t xml:space="preserve">, las cuentas y actos relativos a la aplicación de los fondos públicos del Estado y de los Municipios, así como fondos públicos federales en los términos convenidos con dicho ámbito que incluirán la información correspondiente a los Poderes Públicos, organismos autónomos, </w:t>
      </w:r>
      <w:r>
        <w:rPr>
          <w:rFonts w:ascii="Palatino Linotype" w:eastAsia="Palatino Linotype" w:hAnsi="Palatino Linotype" w:cs="Palatino Linotype"/>
          <w:i/>
          <w:color w:val="000000"/>
          <w:sz w:val="22"/>
          <w:szCs w:val="22"/>
        </w:rPr>
        <w:lastRenderedPageBreak/>
        <w:t>organismos auxiliares, fideicomisos públicos o privados y demás entes públicos que manejen recursos del Estado y Municipios;</w:t>
      </w:r>
    </w:p>
    <w:p w14:paraId="58AD47CF" w14:textId="77777777" w:rsidR="00D71285" w:rsidRDefault="00AC7421">
      <w:pPr>
        <w:pBdr>
          <w:top w:val="nil"/>
          <w:left w:val="nil"/>
          <w:bottom w:val="nil"/>
          <w:right w:val="nil"/>
          <w:between w:val="nil"/>
        </w:pBdr>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AA8B1FC" w14:textId="77777777" w:rsidR="00D71285" w:rsidRDefault="00AC7421">
      <w:pPr>
        <w:pBdr>
          <w:top w:val="nil"/>
          <w:left w:val="nil"/>
          <w:bottom w:val="nil"/>
          <w:right w:val="nil"/>
          <w:between w:val="nil"/>
        </w:pBdr>
        <w:spacing w:line="276" w:lineRule="auto"/>
        <w:ind w:left="567"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XXXIV.</w:t>
      </w:r>
      <w:r>
        <w:rPr>
          <w:rFonts w:ascii="Palatino Linotype" w:eastAsia="Palatino Linotype" w:hAnsi="Palatino Linotype" w:cs="Palatino Linotype"/>
          <w:i/>
          <w:color w:val="000000"/>
          <w:sz w:val="22"/>
          <w:szCs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Pr>
          <w:rFonts w:ascii="Palatino Linotype" w:eastAsia="Palatino Linotype" w:hAnsi="Palatino Linotype" w:cs="Palatino Linotype"/>
          <w:b/>
          <w:i/>
          <w:color w:val="000000"/>
          <w:sz w:val="22"/>
          <w:szCs w:val="22"/>
        </w:rPr>
        <w:t>Órgano Superior de Fiscalización</w:t>
      </w:r>
      <w:r>
        <w:rPr>
          <w:rFonts w:ascii="Palatino Linotype" w:eastAsia="Palatino Linotype" w:hAnsi="Palatino Linotype" w:cs="Palatino Linotype"/>
          <w:i/>
          <w:color w:val="000000"/>
          <w:sz w:val="22"/>
          <w:szCs w:val="22"/>
        </w:rPr>
        <w:t>.”</w:t>
      </w:r>
    </w:p>
    <w:p w14:paraId="04C0C59A" w14:textId="77777777" w:rsidR="00D71285" w:rsidRDefault="00AC7421">
      <w:pPr>
        <w:pBdr>
          <w:top w:val="nil"/>
          <w:left w:val="nil"/>
          <w:bottom w:val="nil"/>
          <w:right w:val="nil"/>
          <w:between w:val="nil"/>
        </w:pBdr>
        <w:spacing w:line="276" w:lineRule="auto"/>
        <w:ind w:left="567"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72694922"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4C27934A"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Correlativo 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halla reconocido como un Sujeto de Fiscalización con base en los artículos 2, fracción II, y 4, fracción II:</w:t>
      </w:r>
    </w:p>
    <w:p w14:paraId="254A5421" w14:textId="77777777" w:rsidR="00D71285" w:rsidRDefault="00AC7421">
      <w:pPr>
        <w:spacing w:line="276" w:lineRule="auto"/>
        <w:ind w:left="567" w:right="-646"/>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2.</w:t>
      </w:r>
      <w:r>
        <w:rPr>
          <w:rFonts w:ascii="Palatino Linotype" w:eastAsia="Palatino Linotype" w:hAnsi="Palatino Linotype" w:cs="Palatino Linotype"/>
          <w:i/>
          <w:sz w:val="22"/>
          <w:szCs w:val="22"/>
        </w:rPr>
        <w:t xml:space="preserve"> Para los efectos de la presente Ley, se entenderá por:</w:t>
      </w:r>
    </w:p>
    <w:p w14:paraId="2F8A2C16" w14:textId="77777777" w:rsidR="00D71285" w:rsidRDefault="00AC7421">
      <w:pPr>
        <w:spacing w:line="276" w:lineRule="auto"/>
        <w:ind w:left="567" w:right="-6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2CA2760" w14:textId="77777777" w:rsidR="00D71285" w:rsidRDefault="00AC7421">
      <w:pPr>
        <w:spacing w:line="276" w:lineRule="auto"/>
        <w:ind w:left="567" w:right="-64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Municipios: A los Municipios del Estado;</w:t>
      </w:r>
    </w:p>
    <w:p w14:paraId="0055707C" w14:textId="77777777" w:rsidR="00D71285" w:rsidRDefault="00AC7421">
      <w:pPr>
        <w:spacing w:line="276" w:lineRule="auto"/>
        <w:ind w:left="567" w:right="-6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8C8FA05" w14:textId="77777777" w:rsidR="00D71285" w:rsidRDefault="00D71285">
      <w:pPr>
        <w:spacing w:line="276" w:lineRule="auto"/>
        <w:ind w:left="567" w:right="-646"/>
        <w:jc w:val="both"/>
        <w:rPr>
          <w:rFonts w:ascii="Palatino Linotype" w:eastAsia="Palatino Linotype" w:hAnsi="Palatino Linotype" w:cs="Palatino Linotype"/>
          <w:i/>
          <w:sz w:val="22"/>
          <w:szCs w:val="22"/>
        </w:rPr>
      </w:pPr>
    </w:p>
    <w:p w14:paraId="012C7BC5" w14:textId="77777777" w:rsidR="00D71285" w:rsidRDefault="00AC7421">
      <w:pPr>
        <w:spacing w:line="276" w:lineRule="auto"/>
        <w:ind w:left="567" w:right="-6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Son sujetos de fiscalización:</w:t>
      </w:r>
    </w:p>
    <w:p w14:paraId="2294F049" w14:textId="77777777" w:rsidR="00D71285" w:rsidRDefault="00AC7421">
      <w:pPr>
        <w:spacing w:line="276" w:lineRule="auto"/>
        <w:ind w:left="567" w:right="-6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D2F171" w14:textId="77777777" w:rsidR="00D71285" w:rsidRDefault="00AC7421">
      <w:pPr>
        <w:spacing w:line="276" w:lineRule="auto"/>
        <w:ind w:left="567" w:right="-64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municipios del Estado de México; </w:t>
      </w:r>
    </w:p>
    <w:p w14:paraId="258567FD" w14:textId="77777777" w:rsidR="00D71285" w:rsidRDefault="00AC7421">
      <w:pPr>
        <w:spacing w:line="276" w:lineRule="auto"/>
        <w:ind w:left="567" w:right="-6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0D6E94B" w14:textId="77777777" w:rsidR="00E71C21" w:rsidRDefault="00E71C21">
      <w:pPr>
        <w:spacing w:line="276" w:lineRule="auto"/>
        <w:ind w:left="567" w:right="-646"/>
        <w:jc w:val="both"/>
        <w:rPr>
          <w:rFonts w:ascii="Palatino Linotype" w:eastAsia="Palatino Linotype" w:hAnsi="Palatino Linotype" w:cs="Palatino Linotype"/>
          <w:i/>
          <w:sz w:val="22"/>
          <w:szCs w:val="22"/>
        </w:rPr>
      </w:pPr>
    </w:p>
    <w:p w14:paraId="09F30E4F"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Establecido lo anterior, el Órgano Superior de Fiscalización del Estado de México (OSFEM), emite anualmente una herramienta para elaborar y presentar los informes trimestrales, denominado </w:t>
      </w:r>
      <w:r>
        <w:rPr>
          <w:rFonts w:ascii="Palatino Linotype" w:eastAsia="Palatino Linotype" w:hAnsi="Palatino Linotype" w:cs="Palatino Linotype"/>
          <w:b/>
          <w:color w:val="000000"/>
        </w:rPr>
        <w:t>“Políticas para la Integración del Informe Trimestral de los Sujetos de Fiscalización Municipales”</w:t>
      </w:r>
      <w:r>
        <w:rPr>
          <w:rFonts w:ascii="Palatino Linotype" w:eastAsia="Palatino Linotype" w:hAnsi="Palatino Linotype" w:cs="Palatino Linotype"/>
          <w:color w:val="000000"/>
        </w:rPr>
        <w:t xml:space="preserve">, cuyo objetivo es establecer las especificaciones necesarias para que las entidades fiscales elaboren y </w:t>
      </w:r>
      <w:r>
        <w:rPr>
          <w:rFonts w:ascii="Palatino Linotype" w:eastAsia="Palatino Linotype" w:hAnsi="Palatino Linotype" w:cs="Palatino Linotype"/>
        </w:rPr>
        <w:t>presenten</w:t>
      </w:r>
      <w:r>
        <w:rPr>
          <w:rFonts w:ascii="Palatino Linotype" w:eastAsia="Palatino Linotype" w:hAnsi="Palatino Linotype" w:cs="Palatino Linotype"/>
          <w:color w:val="000000"/>
        </w:rPr>
        <w:t xml:space="preserve"> los referidos informes.</w:t>
      </w:r>
    </w:p>
    <w:p w14:paraId="4C78A56B"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4B6EE6F7"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lastRenderedPageBreak/>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789F7D8D"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19A072AD"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La integración del Informe Trimestral se entregará de manera física al Órgano Superior de Fiscalización del Estado de México, y estará compuesto de la siguiente manera:</w:t>
      </w:r>
    </w:p>
    <w:p w14:paraId="3B5C126B" w14:textId="77777777" w:rsidR="00D71285" w:rsidRDefault="00AC7421">
      <w:pPr>
        <w:numPr>
          <w:ilvl w:val="1"/>
          <w:numId w:val="10"/>
        </w:numPr>
        <w:pBdr>
          <w:top w:val="nil"/>
          <w:left w:val="nil"/>
          <w:bottom w:val="nil"/>
          <w:right w:val="nil"/>
          <w:between w:val="nil"/>
        </w:pBdr>
        <w:tabs>
          <w:tab w:val="left" w:pos="426"/>
        </w:tabs>
        <w:spacing w:line="360" w:lineRule="auto"/>
        <w:ind w:left="1134" w:right="-64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Información impresa; e</w:t>
      </w:r>
    </w:p>
    <w:p w14:paraId="563B55DB" w14:textId="77777777" w:rsidR="00D71285" w:rsidRDefault="00AC7421">
      <w:pPr>
        <w:numPr>
          <w:ilvl w:val="1"/>
          <w:numId w:val="10"/>
        </w:numPr>
        <w:pBdr>
          <w:top w:val="nil"/>
          <w:left w:val="nil"/>
          <w:bottom w:val="nil"/>
          <w:right w:val="nil"/>
          <w:between w:val="nil"/>
        </w:pBdr>
        <w:tabs>
          <w:tab w:val="left" w:pos="426"/>
        </w:tabs>
        <w:spacing w:line="360" w:lineRule="auto"/>
        <w:ind w:left="1134" w:right="-64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Información en medio de almacenamiento electrónico.</w:t>
      </w:r>
    </w:p>
    <w:p w14:paraId="3D599B3C"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31A51D1F"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Por cuanto hace a la información entregable en Medios de almacenamiento Electrónico, se conformará en cuatro módulos que integrarán la siguiente semántica:</w:t>
      </w:r>
    </w:p>
    <w:p w14:paraId="265AFD50" w14:textId="77777777" w:rsidR="00D71285" w:rsidRDefault="00AC7421">
      <w:pPr>
        <w:numPr>
          <w:ilvl w:val="1"/>
          <w:numId w:val="6"/>
        </w:numPr>
        <w:pBdr>
          <w:top w:val="nil"/>
          <w:left w:val="nil"/>
          <w:bottom w:val="nil"/>
          <w:right w:val="nil"/>
          <w:between w:val="nil"/>
        </w:pBdr>
        <w:tabs>
          <w:tab w:val="left" w:pos="426"/>
        </w:tabs>
        <w:spacing w:line="360" w:lineRule="auto"/>
        <w:ind w:left="1134" w:right="-64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Módulo 1:</w:t>
      </w:r>
      <w:r>
        <w:rPr>
          <w:rFonts w:ascii="Palatino Linotype" w:eastAsia="Palatino Linotype" w:hAnsi="Palatino Linotype" w:cs="Palatino Linotype"/>
          <w:color w:val="000000"/>
          <w:sz w:val="22"/>
          <w:szCs w:val="22"/>
        </w:rPr>
        <w:t xml:space="preserve"> Información contable y financiera;</w:t>
      </w:r>
    </w:p>
    <w:p w14:paraId="0BB4B1BE" w14:textId="77777777" w:rsidR="00D71285" w:rsidRDefault="00AC7421">
      <w:pPr>
        <w:numPr>
          <w:ilvl w:val="1"/>
          <w:numId w:val="6"/>
        </w:numPr>
        <w:pBdr>
          <w:top w:val="nil"/>
          <w:left w:val="nil"/>
          <w:bottom w:val="nil"/>
          <w:right w:val="nil"/>
          <w:between w:val="nil"/>
        </w:pBdr>
        <w:tabs>
          <w:tab w:val="left" w:pos="426"/>
        </w:tabs>
        <w:spacing w:line="360" w:lineRule="auto"/>
        <w:ind w:left="1134" w:right="-64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Módulo 2:</w:t>
      </w:r>
      <w:r>
        <w:rPr>
          <w:rFonts w:ascii="Palatino Linotype" w:eastAsia="Palatino Linotype" w:hAnsi="Palatino Linotype" w:cs="Palatino Linotype"/>
          <w:color w:val="000000"/>
          <w:sz w:val="22"/>
          <w:szCs w:val="22"/>
        </w:rPr>
        <w:t xml:space="preserve"> Información presupuestaria;</w:t>
      </w:r>
    </w:p>
    <w:p w14:paraId="2E138B09" w14:textId="77777777" w:rsidR="00D71285" w:rsidRDefault="00AC7421">
      <w:pPr>
        <w:numPr>
          <w:ilvl w:val="1"/>
          <w:numId w:val="6"/>
        </w:numPr>
        <w:pBdr>
          <w:top w:val="nil"/>
          <w:left w:val="nil"/>
          <w:bottom w:val="nil"/>
          <w:right w:val="nil"/>
          <w:between w:val="nil"/>
        </w:pBdr>
        <w:tabs>
          <w:tab w:val="left" w:pos="426"/>
        </w:tabs>
        <w:spacing w:line="360" w:lineRule="auto"/>
        <w:ind w:left="1134" w:right="-64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Módulo 3:</w:t>
      </w:r>
      <w:r>
        <w:rPr>
          <w:rFonts w:ascii="Palatino Linotype" w:eastAsia="Palatino Linotype" w:hAnsi="Palatino Linotype" w:cs="Palatino Linotype"/>
          <w:color w:val="000000"/>
          <w:sz w:val="22"/>
          <w:szCs w:val="22"/>
        </w:rPr>
        <w:t xml:space="preserve"> Información programática; y</w:t>
      </w:r>
    </w:p>
    <w:p w14:paraId="3EC996E9" w14:textId="77777777" w:rsidR="00D71285" w:rsidRDefault="00AC7421">
      <w:pPr>
        <w:numPr>
          <w:ilvl w:val="1"/>
          <w:numId w:val="6"/>
        </w:numPr>
        <w:pBdr>
          <w:top w:val="nil"/>
          <w:left w:val="nil"/>
          <w:bottom w:val="nil"/>
          <w:right w:val="nil"/>
          <w:between w:val="nil"/>
        </w:pBdr>
        <w:tabs>
          <w:tab w:val="left" w:pos="426"/>
        </w:tabs>
        <w:spacing w:line="360" w:lineRule="auto"/>
        <w:ind w:left="1134" w:right="-64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Módulo 4:</w:t>
      </w:r>
      <w:r>
        <w:rPr>
          <w:rFonts w:ascii="Palatino Linotype" w:eastAsia="Palatino Linotype" w:hAnsi="Palatino Linotype" w:cs="Palatino Linotype"/>
          <w:color w:val="000000"/>
          <w:sz w:val="22"/>
          <w:szCs w:val="22"/>
        </w:rPr>
        <w:t xml:space="preserve"> Información administrativa.</w:t>
      </w:r>
    </w:p>
    <w:p w14:paraId="56AF3CCA"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1BBBEA8D"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Siendo de especial interés, para el presente asunto, el contenido del Módulo 4, sobre ‘Información Administrativa’; la cual, de acuerdo con las </w:t>
      </w:r>
      <w:r>
        <w:rPr>
          <w:rFonts w:ascii="Palatino Linotype" w:eastAsia="Palatino Linotype" w:hAnsi="Palatino Linotype" w:cs="Palatino Linotype"/>
          <w:b/>
          <w:color w:val="000000"/>
        </w:rPr>
        <w:t>“Políticas para la Integración del Informe Trimestral de los Sujetos de Fiscalización Municipales”</w:t>
      </w:r>
      <w:r>
        <w:rPr>
          <w:rFonts w:ascii="Palatino Linotype" w:eastAsia="Palatino Linotype" w:hAnsi="Palatino Linotype" w:cs="Palatino Linotype"/>
          <w:color w:val="000000"/>
        </w:rPr>
        <w:t xml:space="preserve">, se compondrá de los siguientes documentos: </w:t>
      </w:r>
    </w:p>
    <w:p w14:paraId="1321DC8C"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1516989D" w14:textId="77777777" w:rsidR="00D71285" w:rsidRDefault="00AC7421">
      <w:pPr>
        <w:pBdr>
          <w:top w:val="nil"/>
          <w:left w:val="nil"/>
          <w:bottom w:val="nil"/>
          <w:right w:val="nil"/>
          <w:between w:val="nil"/>
        </w:pBdr>
        <w:tabs>
          <w:tab w:val="left" w:pos="426"/>
        </w:tabs>
        <w:spacing w:line="360" w:lineRule="auto"/>
        <w:ind w:right="-646"/>
        <w:jc w:val="center"/>
        <w:rPr>
          <w:rFonts w:ascii="Palatino Linotype" w:eastAsia="Palatino Linotype" w:hAnsi="Palatino Linotype" w:cs="Palatino Linotype"/>
          <w:color w:val="000000"/>
        </w:rPr>
      </w:pPr>
      <w:r>
        <w:rPr>
          <w:color w:val="000000"/>
        </w:rPr>
        <w:object w:dxaOrig="6480" w:dyaOrig="5174" w14:anchorId="03579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3pt;height:258.55pt;mso-width-percent:0;mso-height-percent:0;mso-width-percent:0;mso-height-percent:0"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789893327" r:id="rId9"/>
        </w:object>
      </w:r>
    </w:p>
    <w:p w14:paraId="1EE989E4"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005BB4EB"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En lo que corresponde al Submódulo de ‘Nómina y Comprobantes Fiscales’,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integrar, en formato </w:t>
      </w:r>
      <w:r>
        <w:rPr>
          <w:rFonts w:ascii="Palatino Linotype" w:eastAsia="Palatino Linotype" w:hAnsi="Palatino Linotype" w:cs="Palatino Linotype"/>
          <w:i/>
          <w:color w:val="000000"/>
        </w:rPr>
        <w:t>.</w:t>
      </w:r>
      <w:proofErr w:type="spellStart"/>
      <w:r>
        <w:rPr>
          <w:rFonts w:ascii="Palatino Linotype" w:eastAsia="Palatino Linotype" w:hAnsi="Palatino Linotype" w:cs="Palatino Linotype"/>
          <w:i/>
          <w:color w:val="000000"/>
        </w:rPr>
        <w:t>pdf</w:t>
      </w:r>
      <w:proofErr w:type="spellEnd"/>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y de forma </w:t>
      </w:r>
      <w:r>
        <w:rPr>
          <w:rFonts w:ascii="Palatino Linotype" w:eastAsia="Palatino Linotype" w:hAnsi="Palatino Linotype" w:cs="Palatino Linotype"/>
          <w:b/>
          <w:color w:val="000000"/>
        </w:rPr>
        <w:lastRenderedPageBreak/>
        <w:t>quincenal</w:t>
      </w:r>
      <w:r>
        <w:rPr>
          <w:rFonts w:ascii="Palatino Linotype" w:eastAsia="Palatino Linotype" w:hAnsi="Palatino Linotype" w:cs="Palatino Linotype"/>
          <w:color w:val="000000"/>
        </w:rPr>
        <w:t xml:space="preserve">, el documento titulado </w:t>
      </w:r>
      <w:r>
        <w:rPr>
          <w:rFonts w:ascii="Palatino Linotype" w:eastAsia="Palatino Linotype" w:hAnsi="Palatino Linotype" w:cs="Palatino Linotype"/>
          <w:b/>
          <w:color w:val="000000"/>
          <w:u w:val="single"/>
        </w:rPr>
        <w:t>Conciliación de Nómina Mensual</w:t>
      </w:r>
      <w:r>
        <w:rPr>
          <w:rFonts w:ascii="Palatino Linotype" w:eastAsia="Palatino Linotype" w:hAnsi="Palatino Linotype" w:cs="Palatino Linotype"/>
          <w:color w:val="000000"/>
          <w:u w:val="single"/>
        </w:rPr>
        <w:t>;</w:t>
      </w:r>
      <w:r>
        <w:rPr>
          <w:rFonts w:ascii="Palatino Linotype" w:eastAsia="Palatino Linotype" w:hAnsi="Palatino Linotype" w:cs="Palatino Linotype"/>
          <w:color w:val="000000"/>
        </w:rPr>
        <w:t xml:space="preserve"> tal como lo establece el mapa de integración del Submódulo en comento:</w:t>
      </w:r>
    </w:p>
    <w:p w14:paraId="59383A9D"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5D2D8F6C" w14:textId="77777777" w:rsidR="00D71285" w:rsidRDefault="00AC7421">
      <w:pPr>
        <w:pBdr>
          <w:top w:val="nil"/>
          <w:left w:val="nil"/>
          <w:bottom w:val="nil"/>
          <w:right w:val="nil"/>
          <w:between w:val="nil"/>
        </w:pBdr>
        <w:tabs>
          <w:tab w:val="left" w:pos="426"/>
        </w:tabs>
        <w:spacing w:line="360" w:lineRule="auto"/>
        <w:ind w:right="-646"/>
        <w:jc w:val="center"/>
        <w:rPr>
          <w:rFonts w:ascii="Palatino Linotype" w:eastAsia="Palatino Linotype" w:hAnsi="Palatino Linotype" w:cs="Palatino Linotype"/>
          <w:color w:val="000000"/>
        </w:rPr>
      </w:pPr>
      <w:r>
        <w:rPr>
          <w:color w:val="000000"/>
        </w:rPr>
        <w:object w:dxaOrig="7652" w:dyaOrig="2227" w14:anchorId="528FCA12">
          <v:shape id="_x0000_i1026" type="#_x0000_t75" alt="" style="width:382.55pt;height:111.45pt;mso-width-percent:0;mso-height-percent:0;mso-width-percent:0;mso-height-percent:0"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789893328" r:id="rId11"/>
        </w:object>
      </w:r>
    </w:p>
    <w:p w14:paraId="37E40A29"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42669E43"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Al respecto, conviene referir que la </w:t>
      </w:r>
      <w:r>
        <w:rPr>
          <w:rFonts w:ascii="Palatino Linotype" w:eastAsia="Palatino Linotype" w:hAnsi="Palatino Linotype" w:cs="Palatino Linotype"/>
          <w:b/>
          <w:color w:val="000000"/>
        </w:rPr>
        <w:t>Conciliación de Nómina Mensual es un documento en el que se detalla</w:t>
      </w:r>
      <w:r>
        <w:rPr>
          <w:rFonts w:ascii="Palatino Linotype" w:eastAsia="Palatino Linotype" w:hAnsi="Palatino Linotype" w:cs="Palatino Linotype"/>
          <w:color w:val="000000"/>
        </w:rPr>
        <w:t xml:space="preserve">, entre otros, el </w:t>
      </w:r>
      <w:r>
        <w:rPr>
          <w:rFonts w:ascii="Palatino Linotype" w:eastAsia="Palatino Linotype" w:hAnsi="Palatino Linotype" w:cs="Palatino Linotype"/>
          <w:b/>
          <w:color w:val="000000"/>
        </w:rPr>
        <w:t>nombre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puesto funcional,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área de adscripción</w:t>
      </w:r>
      <w:r>
        <w:rPr>
          <w:rFonts w:ascii="Palatino Linotype" w:eastAsia="Palatino Linotype" w:hAnsi="Palatino Linotype" w:cs="Palatino Linotype"/>
          <w:color w:val="000000"/>
        </w:rPr>
        <w:t xml:space="preserve">, así como </w:t>
      </w:r>
      <w:r>
        <w:rPr>
          <w:rFonts w:ascii="Palatino Linotype" w:eastAsia="Palatino Linotype" w:hAnsi="Palatino Linotype" w:cs="Palatino Linotype"/>
          <w:b/>
          <w:color w:val="000000"/>
        </w:rPr>
        <w:t>todas las percepciones y deducciones que recibe cada servidor público que labora en la entidad</w:t>
      </w:r>
      <w:r>
        <w:rPr>
          <w:rFonts w:ascii="Palatino Linotype" w:eastAsia="Palatino Linotype" w:hAnsi="Palatino Linotype" w:cs="Palatino Linotype"/>
          <w:color w:val="000000"/>
        </w:rPr>
        <w:t xml:space="preserve"> y, más importante aún, la </w:t>
      </w:r>
      <w:r>
        <w:rPr>
          <w:rFonts w:ascii="Palatino Linotype" w:eastAsia="Palatino Linotype" w:hAnsi="Palatino Linotype" w:cs="Palatino Linotype"/>
          <w:b/>
          <w:color w:val="000000"/>
          <w:u w:val="single"/>
        </w:rPr>
        <w:t>categoría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que puede señalar si el personal de confianza, </w:t>
      </w:r>
      <w:r>
        <w:rPr>
          <w:rFonts w:ascii="Palatino Linotype" w:eastAsia="Palatino Linotype" w:hAnsi="Palatino Linotype" w:cs="Palatino Linotype"/>
          <w:b/>
          <w:color w:val="000000"/>
          <w:u w:val="single"/>
        </w:rPr>
        <w:t>sindicalizado</w:t>
      </w:r>
      <w:r>
        <w:rPr>
          <w:rFonts w:ascii="Palatino Linotype" w:eastAsia="Palatino Linotype" w:hAnsi="Palatino Linotype" w:cs="Palatino Linotype"/>
          <w:color w:val="000000"/>
        </w:rPr>
        <w:t xml:space="preserve"> o eventual</w:t>
      </w:r>
      <w:r>
        <w:rPr>
          <w:color w:val="000000"/>
          <w:vertAlign w:val="superscript"/>
        </w:rPr>
        <w:footnoteReference w:id="19"/>
      </w:r>
      <w:r>
        <w:rPr>
          <w:rFonts w:ascii="Palatino Linotype" w:eastAsia="Palatino Linotype" w:hAnsi="Palatino Linotype" w:cs="Palatino Linotype"/>
          <w:color w:val="000000"/>
        </w:rPr>
        <w:t>.</w:t>
      </w:r>
    </w:p>
    <w:p w14:paraId="75D2423C"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1E43E618"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Al respecto, las </w:t>
      </w:r>
      <w:r>
        <w:rPr>
          <w:rFonts w:ascii="Palatino Linotype" w:eastAsia="Palatino Linotype" w:hAnsi="Palatino Linotype" w:cs="Palatino Linotype"/>
          <w:b/>
          <w:color w:val="000000"/>
        </w:rPr>
        <w:t>Políticas para la Integración del Informe Trimestral de los Sujetos de Fiscalización Municipales</w:t>
      </w:r>
      <w:r>
        <w:rPr>
          <w:rFonts w:ascii="Palatino Linotype" w:eastAsia="Palatino Linotype" w:hAnsi="Palatino Linotype" w:cs="Palatino Linotype"/>
          <w:color w:val="000000"/>
        </w:rPr>
        <w:t>, que elabora el Órgano Superior de Fiscalización del Estado de México, refieren que el formato en cuestión contemplará un total de 26 elementos, a saber:</w:t>
      </w:r>
    </w:p>
    <w:p w14:paraId="2DDEE895"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5B8D6901" w14:textId="77777777" w:rsidR="00D71285" w:rsidRDefault="00AC7421">
      <w:pPr>
        <w:pBdr>
          <w:top w:val="nil"/>
          <w:left w:val="nil"/>
          <w:bottom w:val="nil"/>
          <w:right w:val="nil"/>
          <w:between w:val="nil"/>
        </w:pBdr>
        <w:tabs>
          <w:tab w:val="left" w:pos="426"/>
        </w:tabs>
        <w:spacing w:line="360" w:lineRule="auto"/>
        <w:ind w:right="-646"/>
        <w:jc w:val="center"/>
        <w:rPr>
          <w:color w:val="000000"/>
        </w:rPr>
      </w:pPr>
      <w:r>
        <w:rPr>
          <w:color w:val="000000"/>
        </w:rPr>
        <w:object w:dxaOrig="7635" w:dyaOrig="4320" w14:anchorId="7147FD70">
          <v:shape id="_x0000_i1027" type="#_x0000_t75" alt="" style="width:381.9pt;height:3in;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789893329" r:id="rId13"/>
        </w:object>
      </w:r>
      <w:r>
        <w:rPr>
          <w:noProof/>
        </w:rPr>
        <mc:AlternateContent>
          <mc:Choice Requires="wps">
            <w:drawing>
              <wp:anchor distT="0" distB="0" distL="114300" distR="114300" simplePos="0" relativeHeight="251658240" behindDoc="0" locked="0" layoutInCell="1" hidden="0" allowOverlap="1" wp14:anchorId="71D296EA" wp14:editId="36F47822">
                <wp:simplePos x="0" y="0"/>
                <wp:positionH relativeFrom="column">
                  <wp:posOffset>3556000</wp:posOffset>
                </wp:positionH>
                <wp:positionV relativeFrom="paragraph">
                  <wp:posOffset>482600</wp:posOffset>
                </wp:positionV>
                <wp:extent cx="499550" cy="1401542"/>
                <wp:effectExtent l="0" t="0" r="0" b="0"/>
                <wp:wrapNone/>
                <wp:docPr id="14" name="Rectángulo 14"/>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round/>
                          <a:headEnd type="none" w="sm" len="sm"/>
                          <a:tailEnd type="none" w="sm" len="sm"/>
                        </a:ln>
                      </wps:spPr>
                      <wps:txbx>
                        <w:txbxContent>
                          <w:p w14:paraId="2C947479" w14:textId="77777777" w:rsidR="00D71285" w:rsidRDefault="00D71285">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71D296EA" id="Rectángulo 14" o:spid="_x0000_s1026" style="position:absolute;left:0;text-align:left;margin-left:280pt;margin-top:38pt;width:39.35pt;height:110.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" filled="f" strokecolor="red" strokeweight="2.25pt">
                <v:stroke startarrowwidth="narrow" startarrowlength="short" endarrowwidth="narrow" endarrowlength="short" joinstyle="round"/>
                <v:textbox inset="2.53958mm,2.53958mm,2.53958mm,2.53958mm">
                  <w:txbxContent>
                    <w:p w14:paraId="2C947479" w14:textId="77777777" w:rsidR="00D71285" w:rsidRDefault="00D71285">
                      <w:pPr>
                        <w:textDirection w:val="btLr"/>
                      </w:pPr>
                    </w:p>
                  </w:txbxContent>
                </v:textbox>
              </v:rect>
            </w:pict>
          </mc:Fallback>
        </mc:AlternateContent>
      </w:r>
    </w:p>
    <w:p w14:paraId="5B023323" w14:textId="77777777" w:rsidR="00D71285" w:rsidRDefault="00AC7421">
      <w:pPr>
        <w:pBdr>
          <w:top w:val="nil"/>
          <w:left w:val="nil"/>
          <w:bottom w:val="nil"/>
          <w:right w:val="nil"/>
          <w:between w:val="nil"/>
        </w:pBdr>
        <w:tabs>
          <w:tab w:val="left" w:pos="426"/>
        </w:tabs>
        <w:spacing w:line="360" w:lineRule="auto"/>
        <w:ind w:right="-646"/>
        <w:jc w:val="center"/>
        <w:rPr>
          <w:color w:val="000000"/>
        </w:rPr>
      </w:pPr>
      <w:r>
        <w:rPr>
          <w:color w:val="000000"/>
        </w:rPr>
        <w:object w:dxaOrig="7669" w:dyaOrig="4521" w14:anchorId="5BB18432">
          <v:shape id="_x0000_i1028" type="#_x0000_t75" alt="" style="width:383.15pt;height:226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789893330" r:id="rId15"/>
        </w:object>
      </w:r>
    </w:p>
    <w:p w14:paraId="7E70B581" w14:textId="77777777" w:rsidR="00D71285" w:rsidRDefault="00AC7421">
      <w:pPr>
        <w:pBdr>
          <w:top w:val="nil"/>
          <w:left w:val="nil"/>
          <w:bottom w:val="nil"/>
          <w:right w:val="nil"/>
          <w:between w:val="nil"/>
        </w:pBdr>
        <w:tabs>
          <w:tab w:val="left" w:pos="426"/>
        </w:tabs>
        <w:spacing w:line="360" w:lineRule="auto"/>
        <w:ind w:right="-646"/>
        <w:jc w:val="center"/>
        <w:rPr>
          <w:rFonts w:ascii="Palatino Linotype" w:eastAsia="Palatino Linotype" w:hAnsi="Palatino Linotype" w:cs="Palatino Linotype"/>
          <w:color w:val="000000"/>
        </w:rPr>
      </w:pPr>
      <w:r>
        <w:rPr>
          <w:color w:val="000000"/>
        </w:rPr>
        <w:object w:dxaOrig="7686" w:dyaOrig="2394" w14:anchorId="442955D2">
          <v:shape id="_x0000_i1029" type="#_x0000_t75" alt="" style="width:384.4pt;height:119.6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789893331" r:id="rId17"/>
        </w:object>
      </w:r>
    </w:p>
    <w:p w14:paraId="44F0165E"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4996DB68"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De las imágenes anteriores, podemos identificar a la </w:t>
      </w:r>
      <w:r>
        <w:rPr>
          <w:rFonts w:ascii="Palatino Linotype" w:eastAsia="Palatino Linotype" w:hAnsi="Palatino Linotype" w:cs="Palatino Linotype"/>
          <w:b/>
          <w:color w:val="000000"/>
        </w:rPr>
        <w:t>Conciliación de Nómina Mensual</w:t>
      </w:r>
      <w:r>
        <w:rPr>
          <w:rFonts w:ascii="Palatino Linotype" w:eastAsia="Palatino Linotype" w:hAnsi="Palatino Linotype" w:cs="Palatino Linotype"/>
          <w:color w:val="000000"/>
        </w:rPr>
        <w:t xml:space="preserve"> como el documento </w:t>
      </w:r>
      <w:r>
        <w:rPr>
          <w:rFonts w:ascii="Palatino Linotype" w:eastAsia="Palatino Linotype" w:hAnsi="Palatino Linotype" w:cs="Palatino Linotype"/>
          <w:b/>
          <w:color w:val="000000"/>
        </w:rPr>
        <w:t>idóneo</w:t>
      </w:r>
      <w:r>
        <w:rPr>
          <w:rFonts w:ascii="Palatino Linotype" w:eastAsia="Palatino Linotype" w:hAnsi="Palatino Linotype" w:cs="Palatino Linotype"/>
          <w:color w:val="000000"/>
        </w:rPr>
        <w:t xml:space="preserve"> que puede satisfacer el requerimiento del particular pues, como se ha analizado en párrafos previos, </w:t>
      </w:r>
      <w:r>
        <w:rPr>
          <w:rFonts w:ascii="Palatino Linotype" w:eastAsia="Palatino Linotype" w:hAnsi="Palatino Linotype" w:cs="Palatino Linotype"/>
          <w:b/>
          <w:color w:val="000000"/>
        </w:rPr>
        <w:t xml:space="preserve">la Conciliación de Nómina de los servidores públicos consiste en el conjunto de percepciones y deducciones que se </w:t>
      </w:r>
      <w:r>
        <w:rPr>
          <w:rFonts w:ascii="Palatino Linotype" w:eastAsia="Palatino Linotype" w:hAnsi="Palatino Linotype" w:cs="Palatino Linotype"/>
          <w:b/>
          <w:color w:val="000000"/>
        </w:rPr>
        <w:lastRenderedPageBreak/>
        <w:t>generan con motivo de la relación laboral</w:t>
      </w:r>
      <w:r>
        <w:rPr>
          <w:rFonts w:ascii="Palatino Linotype" w:eastAsia="Palatino Linotype" w:hAnsi="Palatino Linotype" w:cs="Palatino Linotype"/>
          <w:color w:val="000000"/>
        </w:rPr>
        <w:t xml:space="preserve">, misma que contiene la </w:t>
      </w:r>
      <w:r>
        <w:rPr>
          <w:rFonts w:ascii="Palatino Linotype" w:eastAsia="Palatino Linotype" w:hAnsi="Palatino Linotype" w:cs="Palatino Linotype"/>
          <w:b/>
          <w:color w:val="000000"/>
        </w:rPr>
        <w:t>categoría</w:t>
      </w:r>
      <w:r>
        <w:rPr>
          <w:rFonts w:ascii="Palatino Linotype" w:eastAsia="Palatino Linotype" w:hAnsi="Palatino Linotype" w:cs="Palatino Linotype"/>
          <w:color w:val="000000"/>
        </w:rPr>
        <w:t xml:space="preserve"> de cada uno, el cual señala si éste consiste en personal de confianza, sindicalizado y/o eventual.</w:t>
      </w:r>
    </w:p>
    <w:p w14:paraId="3B6BF4A8" w14:textId="77777777" w:rsidR="00D71285" w:rsidRDefault="00D71285">
      <w:pPr>
        <w:spacing w:line="360" w:lineRule="auto"/>
        <w:ind w:right="-646"/>
        <w:jc w:val="both"/>
        <w:rPr>
          <w:rFonts w:ascii="Palatino Linotype" w:eastAsia="Palatino Linotype" w:hAnsi="Palatino Linotype" w:cs="Palatino Linotype"/>
          <w:color w:val="000000"/>
        </w:rPr>
      </w:pPr>
    </w:p>
    <w:p w14:paraId="37959CA2" w14:textId="77777777" w:rsidR="00D71285" w:rsidRDefault="00AC7421">
      <w:pPr>
        <w:numPr>
          <w:ilvl w:val="0"/>
          <w:numId w:val="10"/>
        </w:numPr>
        <w:spacing w:line="360" w:lineRule="auto"/>
        <w:ind w:right="-646"/>
        <w:jc w:val="both"/>
        <w:rPr>
          <w:color w:val="000000"/>
        </w:rPr>
      </w:pPr>
      <w:r>
        <w:rPr>
          <w:rFonts w:ascii="Palatino Linotype" w:eastAsia="Palatino Linotype" w:hAnsi="Palatino Linotype" w:cs="Palatino Linotype"/>
          <w:color w:val="000000"/>
        </w:rPr>
        <w:t xml:space="preserve">Razón de lo anterior, este Organismo Garante concluye conforme a derecho en </w:t>
      </w:r>
      <w:r>
        <w:rPr>
          <w:rFonts w:ascii="Palatino Linotype" w:eastAsia="Palatino Linotype" w:hAnsi="Palatino Linotype" w:cs="Palatino Linotype"/>
          <w:b/>
          <w:color w:val="000000"/>
        </w:rPr>
        <w:t>modificar</w:t>
      </w:r>
      <w:r>
        <w:rPr>
          <w:rFonts w:ascii="Palatino Linotype" w:eastAsia="Palatino Linotype" w:hAnsi="Palatino Linotype" w:cs="Palatino Linotype"/>
          <w:color w:val="000000"/>
        </w:rPr>
        <w:t xml:space="preserve">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fin de </w:t>
      </w:r>
      <w:r>
        <w:rPr>
          <w:rFonts w:ascii="Palatino Linotype" w:eastAsia="Palatino Linotype" w:hAnsi="Palatino Linotype" w:cs="Palatino Linotype"/>
          <w:b/>
          <w:color w:val="000000"/>
        </w:rPr>
        <w:t>ordenar</w:t>
      </w:r>
      <w:r>
        <w:rPr>
          <w:rFonts w:ascii="Palatino Linotype" w:eastAsia="Palatino Linotype" w:hAnsi="Palatino Linotype" w:cs="Palatino Linotype"/>
          <w:color w:val="000000"/>
        </w:rPr>
        <w:t xml:space="preserve"> la entrega del o los documentos donde conste la nómina del personal sindicalizado, correspondiente a la primera quincena de abril de dos mil veinticuatro, en versión pública.</w:t>
      </w:r>
    </w:p>
    <w:p w14:paraId="01A6D742" w14:textId="77777777" w:rsidR="00D71285" w:rsidRDefault="00D71285">
      <w:pPr>
        <w:spacing w:line="360" w:lineRule="auto"/>
        <w:ind w:right="-646"/>
        <w:jc w:val="both"/>
        <w:rPr>
          <w:rFonts w:ascii="Palatino Linotype" w:eastAsia="Palatino Linotype" w:hAnsi="Palatino Linotype" w:cs="Palatino Linotype"/>
          <w:color w:val="000000"/>
        </w:rPr>
      </w:pPr>
    </w:p>
    <w:p w14:paraId="789CC1BC" w14:textId="77777777" w:rsidR="00D71285" w:rsidRDefault="00AC7421">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QUINTO. De la versión pública.</w:t>
      </w:r>
    </w:p>
    <w:p w14:paraId="30C1436F"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Debe 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0144BB31"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44CDED50"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Pr>
          <w:rFonts w:ascii="Palatino Linotype" w:eastAsia="Palatino Linotype" w:hAnsi="Palatino Linotype" w:cs="Palatino Linotype"/>
          <w:b/>
          <w:color w:val="000000"/>
        </w:rPr>
        <w:t>SUJETOS OBLIGADOS</w:t>
      </w:r>
      <w:r>
        <w:rPr>
          <w:rFonts w:ascii="Palatino Linotype" w:eastAsia="Palatino Linotype" w:hAnsi="Palatino Linotype" w:cs="Palatino Linotype"/>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a0"/>
        <w:tblW w:w="946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385"/>
        <w:gridCol w:w="7080"/>
      </w:tblGrid>
      <w:tr w:rsidR="00D71285" w14:paraId="234AE5CA" w14:textId="77777777" w:rsidTr="00D712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tcPr>
          <w:p w14:paraId="2B15FDD7" w14:textId="77777777" w:rsidR="00D71285" w:rsidRDefault="00AC7421">
            <w:pPr>
              <w:ind w:right="-65"/>
              <w:rPr>
                <w:sz w:val="20"/>
                <w:szCs w:val="20"/>
              </w:rPr>
            </w:pPr>
            <w:r>
              <w:rPr>
                <w:rFonts w:ascii="Palatino Linotype" w:eastAsia="Palatino Linotype" w:hAnsi="Palatino Linotype" w:cs="Palatino Linotype"/>
                <w:b w:val="0"/>
                <w:sz w:val="20"/>
                <w:szCs w:val="20"/>
              </w:rPr>
              <w:t>a) Requisitos previos.</w:t>
            </w:r>
          </w:p>
        </w:tc>
        <w:tc>
          <w:tcPr>
            <w:tcW w:w="7080" w:type="dxa"/>
          </w:tcPr>
          <w:p w14:paraId="05B7F601" w14:textId="77777777" w:rsidR="00D71285" w:rsidRDefault="00AC7421">
            <w:pPr>
              <w:spacing w:line="276" w:lineRule="auto"/>
              <w:ind w:right="42"/>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Los artículos 100 y 122 de la Ley Estatal y de la Ley General, respectivamente, señalan que si los </w:t>
            </w:r>
            <w:r>
              <w:rPr>
                <w:rFonts w:ascii="Palatino Linotype" w:eastAsia="Palatino Linotype" w:hAnsi="Palatino Linotype" w:cs="Palatino Linotype"/>
                <w:b w:val="0"/>
                <w:sz w:val="20"/>
                <w:szCs w:val="20"/>
              </w:rPr>
              <w:t>Sujetos Obligados</w:t>
            </w:r>
            <w:r>
              <w:rPr>
                <w:rFonts w:ascii="Palatino Linotype" w:eastAsia="Palatino Linotype" w:hAnsi="Palatino Linotype" w:cs="Palatino Linotype"/>
                <w:sz w:val="20"/>
                <w:szCs w:val="20"/>
              </w:rPr>
              <w:t xml:space="preserve"> determinan que la información actualiza alguno de los supuestos de clasificación, es deber de </w:t>
            </w:r>
            <w:r>
              <w:rPr>
                <w:rFonts w:ascii="Palatino Linotype" w:eastAsia="Palatino Linotype" w:hAnsi="Palatino Linotype" w:cs="Palatino Linotype"/>
                <w:sz w:val="20"/>
                <w:szCs w:val="20"/>
              </w:rPr>
              <w:lastRenderedPageBreak/>
              <w:t xml:space="preserve">los titulares de las áreas proponer su clasificación y no del Comité de Transparencia. </w:t>
            </w:r>
          </w:p>
          <w:p w14:paraId="7D65301E" w14:textId="77777777" w:rsidR="00D71285" w:rsidRDefault="00AC7421">
            <w:pPr>
              <w:spacing w:line="276" w:lineRule="auto"/>
              <w:ind w:right="42"/>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Al hacerlo tienen que precisar de qué información se trata, señalando el supuesto de clasificación (confidencialidad o reserva).</w:t>
            </w:r>
          </w:p>
          <w:p w14:paraId="2DF3F219" w14:textId="77777777" w:rsidR="00D71285" w:rsidRDefault="00AC7421">
            <w:pPr>
              <w:spacing w:line="276" w:lineRule="auto"/>
              <w:ind w:right="42"/>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Además, se debe señalar el procedimiento, de los tres que establecen los artículos 132 y 106 de la Ley Estatal y General, respectivamente.</w:t>
            </w:r>
          </w:p>
          <w:p w14:paraId="029B8506" w14:textId="77777777" w:rsidR="00D71285" w:rsidRDefault="00AC7421">
            <w:pPr>
              <w:spacing w:line="276" w:lineRule="auto"/>
              <w:ind w:right="42"/>
              <w:jc w:val="both"/>
              <w:cnfStyle w:val="100000000000" w:firstRow="1" w:lastRow="0" w:firstColumn="0" w:lastColumn="0" w:oddVBand="0" w:evenVBand="0" w:oddHBand="0" w:evenHBand="0" w:firstRowFirstColumn="0" w:firstRowLastColumn="0" w:lastRowFirstColumn="0" w:lastRowLastColumn="0"/>
              <w:rPr>
                <w:sz w:val="20"/>
                <w:szCs w:val="20"/>
              </w:rPr>
            </w:pPr>
            <w:r>
              <w:rPr>
                <w:rFonts w:ascii="Palatino Linotype" w:eastAsia="Palatino Linotype" w:hAnsi="Palatino Linotype" w:cs="Palatino Linotype"/>
                <w:sz w:val="20"/>
                <w:szCs w:val="20"/>
              </w:rPr>
              <w:t xml:space="preserve">El último de estos requisitos previos consiste en que no se pueden emitir acuerdos de carácter general ni particular, esto es, </w:t>
            </w:r>
            <w:r>
              <w:rPr>
                <w:rFonts w:ascii="Palatino Linotype" w:eastAsia="Palatino Linotype" w:hAnsi="Palatino Linotype" w:cs="Palatino Linotype"/>
                <w:b w:val="0"/>
                <w:sz w:val="20"/>
                <w:szCs w:val="20"/>
                <w:u w:val="single"/>
              </w:rPr>
              <w:t xml:space="preserve">no se puede hacer un acuerdo para clasificar de manera general todos los documentos de un expediente o área,  </w:t>
            </w:r>
            <w:r>
              <w:rPr>
                <w:rFonts w:ascii="Palatino Linotype" w:eastAsia="Palatino Linotype" w:hAnsi="Palatino Linotype" w:cs="Palatino Linotype"/>
                <w:sz w:val="20"/>
                <w:szCs w:val="20"/>
              </w:rPr>
              <w:t>sin individualizar su análisis y tampoco se puede hacer un acuerdo por cada dato que se vaya a clasificar dentro de un documento con diez datos, por ejemplo, susceptibles de ser clasificados.</w:t>
            </w:r>
          </w:p>
        </w:tc>
      </w:tr>
      <w:tr w:rsidR="00D71285" w14:paraId="46C7C3DE" w14:textId="77777777" w:rsidTr="00D71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tcPr>
          <w:p w14:paraId="0B5E291D" w14:textId="77777777" w:rsidR="00D71285" w:rsidRDefault="00AC7421">
            <w:pPr>
              <w:ind w:right="-65"/>
              <w:rPr>
                <w:sz w:val="20"/>
                <w:szCs w:val="20"/>
              </w:rPr>
            </w:pPr>
            <w:r>
              <w:rPr>
                <w:rFonts w:ascii="Palatino Linotype" w:eastAsia="Palatino Linotype" w:hAnsi="Palatino Linotype" w:cs="Palatino Linotype"/>
                <w:b w:val="0"/>
                <w:sz w:val="20"/>
                <w:szCs w:val="20"/>
              </w:rPr>
              <w:lastRenderedPageBreak/>
              <w:t>b) Supuestos de clasificación.</w:t>
            </w:r>
          </w:p>
        </w:tc>
        <w:tc>
          <w:tcPr>
            <w:tcW w:w="7080" w:type="dxa"/>
          </w:tcPr>
          <w:p w14:paraId="365C06E4" w14:textId="77777777" w:rsidR="00D71285" w:rsidRDefault="00AC7421">
            <w:pPr>
              <w:spacing w:line="276" w:lineRule="auto"/>
              <w:ind w:right="42"/>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Las disposiciones constitucionales y legales en la materia establecen los dos supuestos generales para clasificar la información: por reserva y por confidencialidad.</w:t>
            </w:r>
          </w:p>
          <w:p w14:paraId="03812C01" w14:textId="77777777" w:rsidR="00D71285" w:rsidRDefault="00AC7421">
            <w:pPr>
              <w:spacing w:line="276" w:lineRule="auto"/>
              <w:ind w:right="42"/>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D81C74E" w14:textId="77777777" w:rsidR="00D71285" w:rsidRDefault="00AC7421">
            <w:pPr>
              <w:spacing w:line="276" w:lineRule="auto"/>
              <w:ind w:right="42"/>
              <w:jc w:val="both"/>
              <w:cnfStyle w:val="000000100000" w:firstRow="0" w:lastRow="0" w:firstColumn="0" w:lastColumn="0" w:oddVBand="0" w:evenVBand="0" w:oddHBand="1" w:evenHBand="0" w:firstRowFirstColumn="0" w:firstRowLastColumn="0" w:lastRowFirstColumn="0" w:lastRowLastColumn="0"/>
              <w:rPr>
                <w:sz w:val="20"/>
                <w:szCs w:val="20"/>
              </w:rPr>
            </w:pPr>
            <w:r>
              <w:rPr>
                <w:rFonts w:ascii="Palatino Linotype" w:eastAsia="Palatino Linotype" w:hAnsi="Palatino Linotype" w:cs="Palatino Linotype"/>
                <w:sz w:val="20"/>
                <w:szCs w:val="20"/>
              </w:rPr>
              <w:t xml:space="preserve">El </w:t>
            </w:r>
            <w:r>
              <w:rPr>
                <w:rFonts w:ascii="Palatino Linotype" w:eastAsia="Palatino Linotype" w:hAnsi="Palatino Linotype" w:cs="Palatino Linotype"/>
                <w:b/>
                <w:sz w:val="20"/>
                <w:szCs w:val="20"/>
              </w:rPr>
              <w:t>SUJETO OBLIGADO</w:t>
            </w:r>
            <w:r>
              <w:rPr>
                <w:rFonts w:ascii="Palatino Linotype" w:eastAsia="Palatino Linotype" w:hAnsi="Palatino Linotype" w:cs="Palatino Linotype"/>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71285" w14:paraId="7EC5D00E" w14:textId="77777777" w:rsidTr="00D71285">
        <w:tc>
          <w:tcPr>
            <w:cnfStyle w:val="001000000000" w:firstRow="0" w:lastRow="0" w:firstColumn="1" w:lastColumn="0" w:oddVBand="0" w:evenVBand="0" w:oddHBand="0" w:evenHBand="0" w:firstRowFirstColumn="0" w:firstRowLastColumn="0" w:lastRowFirstColumn="0" w:lastRowLastColumn="0"/>
            <w:tcW w:w="2385" w:type="dxa"/>
          </w:tcPr>
          <w:p w14:paraId="78B1EEE4" w14:textId="77777777" w:rsidR="00D71285" w:rsidRDefault="00AC7421">
            <w:pPr>
              <w:ind w:right="-65"/>
              <w:rPr>
                <w:sz w:val="20"/>
                <w:szCs w:val="20"/>
              </w:rPr>
            </w:pPr>
            <w:r>
              <w:rPr>
                <w:rFonts w:ascii="Palatino Linotype" w:eastAsia="Palatino Linotype" w:hAnsi="Palatino Linotype" w:cs="Palatino Linotype"/>
                <w:b w:val="0"/>
                <w:sz w:val="20"/>
                <w:szCs w:val="20"/>
              </w:rPr>
              <w:t>c) Formalidades para emitir el acuerdo de clasificación.</w:t>
            </w:r>
          </w:p>
        </w:tc>
        <w:tc>
          <w:tcPr>
            <w:tcW w:w="7080" w:type="dxa"/>
          </w:tcPr>
          <w:p w14:paraId="5D269976" w14:textId="77777777" w:rsidR="00D71285" w:rsidRDefault="00AC7421">
            <w:pPr>
              <w:spacing w:line="276" w:lineRule="auto"/>
              <w:ind w:right="42"/>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Comité de Transparencia, según lo dispuesto en los artículos cuenta con las facultades para aprobar, modificar o revocar la clasificación de la información que haya propuesto. </w:t>
            </w:r>
          </w:p>
          <w:p w14:paraId="2CDA2ECB" w14:textId="77777777" w:rsidR="00D71285" w:rsidRDefault="00AC7421">
            <w:pPr>
              <w:spacing w:line="276" w:lineRule="auto"/>
              <w:ind w:right="42"/>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Es necesario que </w:t>
            </w:r>
            <w:r>
              <w:rPr>
                <w:rFonts w:ascii="Palatino Linotype" w:eastAsia="Palatino Linotype" w:hAnsi="Palatino Linotype" w:cs="Palatino Linotype"/>
                <w:b/>
                <w:sz w:val="20"/>
                <w:szCs w:val="20"/>
                <w:u w:val="single"/>
              </w:rPr>
              <w:t>el acto reúna con los requisitos elementales</w:t>
            </w:r>
            <w:r>
              <w:rPr>
                <w:rFonts w:ascii="Palatino Linotype" w:eastAsia="Palatino Linotype" w:hAnsi="Palatino Linotype" w:cs="Palatino Linotype"/>
                <w:sz w:val="20"/>
                <w:szCs w:val="20"/>
              </w:rPr>
              <w:t>, entre ellos, que la autoridad que va a emitir el acto de autoridad sea la legalmente facultada para ello.</w:t>
            </w:r>
          </w:p>
          <w:p w14:paraId="4941DCF0" w14:textId="77777777" w:rsidR="00D71285" w:rsidRDefault="00AC7421">
            <w:pPr>
              <w:spacing w:line="276" w:lineRule="auto"/>
              <w:ind w:right="42"/>
              <w:jc w:val="both"/>
              <w:cnfStyle w:val="000000000000" w:firstRow="0" w:lastRow="0" w:firstColumn="0" w:lastColumn="0" w:oddVBand="0" w:evenVBand="0" w:oddHBand="0" w:evenHBand="0" w:firstRowFirstColumn="0" w:firstRowLastColumn="0" w:lastRowFirstColumn="0" w:lastRowLastColumn="0"/>
              <w:rPr>
                <w:sz w:val="20"/>
                <w:szCs w:val="20"/>
              </w:rPr>
            </w:pPr>
            <w:r>
              <w:rPr>
                <w:rFonts w:ascii="Palatino Linotype" w:eastAsia="Palatino Linotype" w:hAnsi="Palatino Linotype" w:cs="Palatino Linotype"/>
                <w:sz w:val="20"/>
                <w:szCs w:val="20"/>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w:t>
            </w:r>
            <w:r>
              <w:rPr>
                <w:rFonts w:ascii="Palatino Linotype" w:eastAsia="Palatino Linotype" w:hAnsi="Palatino Linotype" w:cs="Palatino Linotype"/>
                <w:sz w:val="20"/>
                <w:szCs w:val="20"/>
              </w:rPr>
              <w:lastRenderedPageBreak/>
              <w:t>adoptadas previamente por los titulares de áreas y que son sujetas a control, en primera instancia, por el Comité de Transparencia.</w:t>
            </w:r>
          </w:p>
        </w:tc>
      </w:tr>
      <w:tr w:rsidR="00D71285" w14:paraId="49C13D36" w14:textId="77777777" w:rsidTr="00D71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tcPr>
          <w:p w14:paraId="05CBA65F" w14:textId="77777777" w:rsidR="00D71285" w:rsidRDefault="00D71285">
            <w:pPr>
              <w:ind w:right="-65"/>
              <w:rPr>
                <w:sz w:val="20"/>
                <w:szCs w:val="20"/>
              </w:rPr>
            </w:pPr>
          </w:p>
          <w:p w14:paraId="70BA3299" w14:textId="77777777" w:rsidR="00D71285" w:rsidRDefault="00AC7421">
            <w:pPr>
              <w:ind w:right="-65"/>
              <w:jc w:val="both"/>
              <w:rPr>
                <w:sz w:val="20"/>
                <w:szCs w:val="20"/>
              </w:rPr>
            </w:pPr>
            <w:r>
              <w:rPr>
                <w:rFonts w:ascii="Palatino Linotype" w:eastAsia="Palatino Linotype" w:hAnsi="Palatino Linotype" w:cs="Palatino Linotype"/>
                <w:b w:val="0"/>
                <w:sz w:val="20"/>
                <w:szCs w:val="20"/>
              </w:rPr>
              <w:t xml:space="preserve">d) Requisitos de fondo del acuerdo de clasificación. </w:t>
            </w:r>
          </w:p>
        </w:tc>
        <w:tc>
          <w:tcPr>
            <w:tcW w:w="7080" w:type="dxa"/>
          </w:tcPr>
          <w:p w14:paraId="3233F83E" w14:textId="77777777" w:rsidR="00D71285" w:rsidRDefault="00AC7421">
            <w:pPr>
              <w:spacing w:line="276" w:lineRule="auto"/>
              <w:ind w:right="42"/>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sz w:val="20"/>
                <w:szCs w:val="20"/>
              </w:rPr>
              <w:t>Sujetos Obligados</w:t>
            </w:r>
            <w:r>
              <w:rPr>
                <w:rFonts w:ascii="Palatino Linotype" w:eastAsia="Palatino Linotype" w:hAnsi="Palatino Linotype" w:cs="Palatino Linotype"/>
                <w:sz w:val="20"/>
                <w:szCs w:val="20"/>
              </w:rPr>
              <w:t xml:space="preserve">, por lo que deberán fundar y motivar debidamente la clasificación. </w:t>
            </w:r>
          </w:p>
          <w:p w14:paraId="0EC7224A" w14:textId="77777777" w:rsidR="00D71285" w:rsidRDefault="00AC7421">
            <w:pPr>
              <w:spacing w:line="276" w:lineRule="auto"/>
              <w:ind w:right="42"/>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De lo anterior, se desprende que para una correcta </w:t>
            </w:r>
            <w:r>
              <w:rPr>
                <w:rFonts w:ascii="Palatino Linotype" w:eastAsia="Palatino Linotype" w:hAnsi="Palatino Linotype" w:cs="Palatino Linotype"/>
                <w:b/>
                <w:sz w:val="20"/>
                <w:szCs w:val="20"/>
              </w:rPr>
              <w:t>clasificación total o parcial</w:t>
            </w:r>
            <w:r>
              <w:rPr>
                <w:rFonts w:ascii="Palatino Linotype" w:eastAsia="Palatino Linotype" w:hAnsi="Palatino Linotype" w:cs="Palatino Linotype"/>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87B3A77" w14:textId="77777777" w:rsidR="00D71285" w:rsidRDefault="00AC7421">
            <w:pPr>
              <w:spacing w:line="276" w:lineRule="auto"/>
              <w:ind w:right="42"/>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A7EA8F0" w14:textId="77777777" w:rsidR="00D71285" w:rsidRDefault="00AC7421">
            <w:pPr>
              <w:spacing w:line="276" w:lineRule="auto"/>
              <w:ind w:right="42"/>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ese mismo sentido, el numeral trigésimo tercero fracción V de los Lineamientos Generales, precisa que para motivar la clasificación se deben acreditar las circunstancias de tiempo, modo y lugar.</w:t>
            </w:r>
          </w:p>
          <w:p w14:paraId="68240ADA" w14:textId="77777777" w:rsidR="00D71285" w:rsidRDefault="00AC7421">
            <w:pPr>
              <w:spacing w:line="276" w:lineRule="auto"/>
              <w:ind w:right="42"/>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Ahora bien, </w:t>
            </w:r>
            <w:r>
              <w:rPr>
                <w:rFonts w:ascii="Palatino Linotype" w:eastAsia="Palatino Linotype" w:hAnsi="Palatino Linotype" w:cs="Palatino Linotype"/>
                <w:b/>
                <w:sz w:val="20"/>
                <w:szCs w:val="20"/>
                <w:u w:val="single"/>
              </w:rPr>
              <w:t>para cada caso además de fundar y motivar</w:t>
            </w:r>
            <w:r>
              <w:rPr>
                <w:rFonts w:ascii="Palatino Linotype" w:eastAsia="Palatino Linotype" w:hAnsi="Palatino Linotype" w:cs="Palatino Linotype"/>
                <w:sz w:val="20"/>
                <w:szCs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71285" w14:paraId="131255FF" w14:textId="77777777" w:rsidTr="00D71285">
        <w:tc>
          <w:tcPr>
            <w:cnfStyle w:val="001000000000" w:firstRow="0" w:lastRow="0" w:firstColumn="1" w:lastColumn="0" w:oddVBand="0" w:evenVBand="0" w:oddHBand="0" w:evenHBand="0" w:firstRowFirstColumn="0" w:firstRowLastColumn="0" w:lastRowFirstColumn="0" w:lastRowLastColumn="0"/>
            <w:tcW w:w="2385" w:type="dxa"/>
          </w:tcPr>
          <w:p w14:paraId="15562FAA" w14:textId="77777777" w:rsidR="00D71285" w:rsidRDefault="00AC7421">
            <w:pPr>
              <w:spacing w:line="360" w:lineRule="auto"/>
              <w:ind w:right="-65"/>
              <w:jc w:val="both"/>
              <w:rPr>
                <w:rFonts w:ascii="Palatino Linotype" w:eastAsia="Palatino Linotype" w:hAnsi="Palatino Linotype" w:cs="Palatino Linotype"/>
                <w:sz w:val="20"/>
                <w:szCs w:val="20"/>
              </w:rPr>
            </w:pPr>
            <w:r>
              <w:rPr>
                <w:rFonts w:ascii="Palatino Linotype" w:eastAsia="Palatino Linotype" w:hAnsi="Palatino Linotype" w:cs="Palatino Linotype"/>
                <w:b w:val="0"/>
                <w:sz w:val="20"/>
                <w:szCs w:val="20"/>
              </w:rPr>
              <w:t xml:space="preserve">e) Condiciones especiales de la clasificación de la información como confidencial. </w:t>
            </w:r>
          </w:p>
          <w:p w14:paraId="266F4794" w14:textId="77777777" w:rsidR="00D71285" w:rsidRDefault="00D71285">
            <w:pPr>
              <w:ind w:right="-65"/>
              <w:rPr>
                <w:sz w:val="20"/>
                <w:szCs w:val="20"/>
              </w:rPr>
            </w:pPr>
          </w:p>
        </w:tc>
        <w:tc>
          <w:tcPr>
            <w:tcW w:w="7080" w:type="dxa"/>
          </w:tcPr>
          <w:p w14:paraId="1619C2CC" w14:textId="77777777" w:rsidR="00D71285" w:rsidRDefault="00AC7421">
            <w:pPr>
              <w:spacing w:line="276" w:lineRule="auto"/>
              <w:ind w:right="42"/>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Los artículos 148 y 120 de la Ley Estatal y de la Ley General, respectivamente, establecen que aun tratándose de datos personales, se podrán proporcionar, incluso sin solicitar el consentimiento de su titular. </w:t>
            </w:r>
          </w:p>
          <w:p w14:paraId="7552D144" w14:textId="77777777" w:rsidR="00D71285" w:rsidRDefault="00AC7421">
            <w:pPr>
              <w:spacing w:line="276" w:lineRule="auto"/>
              <w:ind w:right="42"/>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53310A6" w14:textId="77777777" w:rsidR="00D71285" w:rsidRDefault="00AC7421">
            <w:pPr>
              <w:spacing w:line="276" w:lineRule="auto"/>
              <w:ind w:right="42"/>
              <w:cnfStyle w:val="000000000000" w:firstRow="0" w:lastRow="0" w:firstColumn="0" w:lastColumn="0" w:oddVBand="0" w:evenVBand="0" w:oddHBand="0" w:evenHBand="0" w:firstRowFirstColumn="0" w:firstRowLastColumn="0" w:lastRowFirstColumn="0" w:lastRowLastColumn="0"/>
              <w:rPr>
                <w:sz w:val="20"/>
                <w:szCs w:val="20"/>
              </w:rPr>
            </w:pPr>
            <w:r>
              <w:rPr>
                <w:rFonts w:ascii="Palatino Linotype" w:eastAsia="Palatino Linotype" w:hAnsi="Palatino Linotype" w:cs="Palatino Linotype"/>
                <w:sz w:val="20"/>
                <w:szCs w:val="2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179D920"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rPr>
      </w:pPr>
    </w:p>
    <w:p w14:paraId="7A8B7105"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rPr>
      </w:pPr>
    </w:p>
    <w:p w14:paraId="2FC0DA82" w14:textId="77777777" w:rsidR="00E71C21" w:rsidRDefault="00E71C21">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rPr>
      </w:pPr>
    </w:p>
    <w:p w14:paraId="148B7529" w14:textId="77777777" w:rsidR="00E71C21" w:rsidRDefault="00E71C21">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rPr>
      </w:pPr>
    </w:p>
    <w:p w14:paraId="527BC932" w14:textId="77777777" w:rsidR="00D71285" w:rsidRDefault="00AC7421">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 Del análisis de los datos susceptibles de ser protegidos.</w:t>
      </w:r>
    </w:p>
    <w:p w14:paraId="71E27115"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Bajo lo anterior, es importante analizar los datos personales susceptibles de ser protegidos, que pudieran estar contenidos en los </w:t>
      </w:r>
      <w:r>
        <w:rPr>
          <w:rFonts w:ascii="Palatino Linotype" w:eastAsia="Palatino Linotype" w:hAnsi="Palatino Linotype" w:cs="Palatino Linotype"/>
          <w:b/>
          <w:color w:val="000000"/>
        </w:rPr>
        <w:t xml:space="preserve">recibos de nómina </w:t>
      </w:r>
      <w:r>
        <w:rPr>
          <w:rFonts w:ascii="Palatino Linotype" w:eastAsia="Palatino Linotype" w:hAnsi="Palatino Linotype" w:cs="Palatino Linotype"/>
          <w:color w:val="000000"/>
        </w:rPr>
        <w:t xml:space="preserve">de los servidores públicos referidos en la solicitud de información, tales como </w:t>
      </w:r>
      <w:r>
        <w:rPr>
          <w:rFonts w:ascii="Palatino Linotype" w:eastAsia="Palatino Linotype" w:hAnsi="Palatino Linotype" w:cs="Palatino Linotype"/>
          <w:b/>
          <w:color w:val="000000"/>
        </w:rPr>
        <w:t xml:space="preserve">Registro Federal de Contribuyentes (RFC), </w:t>
      </w:r>
      <w:r>
        <w:rPr>
          <w:rFonts w:ascii="Palatino Linotype" w:eastAsia="Palatino Linotype" w:hAnsi="Palatino Linotype" w:cs="Palatino Linotype"/>
          <w:color w:val="000000"/>
        </w:rPr>
        <w:t xml:space="preserve">la </w:t>
      </w:r>
      <w:r>
        <w:rPr>
          <w:rFonts w:ascii="Palatino Linotype" w:eastAsia="Palatino Linotype" w:hAnsi="Palatino Linotype" w:cs="Palatino Linotype"/>
          <w:b/>
          <w:color w:val="000000"/>
        </w:rPr>
        <w:t>Clave Única de Registro de Población (CURP)</w:t>
      </w:r>
      <w:r>
        <w:rPr>
          <w:rFonts w:ascii="Palatino Linotype" w:eastAsia="Palatino Linotype" w:hAnsi="Palatino Linotype" w:cs="Palatino Linotype"/>
          <w:color w:val="000000"/>
        </w:rPr>
        <w:t xml:space="preserve">, la </w:t>
      </w:r>
      <w:r>
        <w:rPr>
          <w:rFonts w:ascii="Palatino Linotype" w:eastAsia="Palatino Linotype" w:hAnsi="Palatino Linotype" w:cs="Palatino Linotype"/>
          <w:b/>
          <w:color w:val="000000"/>
        </w:rPr>
        <w:t xml:space="preserve">Clave de ISSEMyM </w:t>
      </w:r>
      <w:r>
        <w:rPr>
          <w:rFonts w:ascii="Palatino Linotype" w:eastAsia="Palatino Linotype" w:hAnsi="Palatino Linotype" w:cs="Palatino Linotype"/>
          <w:color w:val="000000"/>
        </w:rPr>
        <w:t xml:space="preserve">u análogos, </w:t>
      </w:r>
      <w:r>
        <w:rPr>
          <w:rFonts w:ascii="Palatino Linotype" w:eastAsia="Palatino Linotype" w:hAnsi="Palatino Linotype" w:cs="Palatino Linotype"/>
          <w:b/>
          <w:color w:val="000000"/>
        </w:rPr>
        <w:t xml:space="preserve">préstamos o descuentos </w:t>
      </w:r>
      <w:r>
        <w:rPr>
          <w:rFonts w:ascii="Palatino Linotype" w:eastAsia="Palatino Linotype" w:hAnsi="Palatino Linotype" w:cs="Palatino Linotype"/>
          <w:color w:val="000000"/>
        </w:rPr>
        <w:t xml:space="preserve">realizados al servidor público y la </w:t>
      </w:r>
      <w:proofErr w:type="spellStart"/>
      <w:r>
        <w:rPr>
          <w:rFonts w:ascii="Palatino Linotype" w:eastAsia="Palatino Linotype" w:hAnsi="Palatino Linotype" w:cs="Palatino Linotype"/>
          <w:b/>
        </w:rPr>
        <w:t>clabe</w:t>
      </w:r>
      <w:proofErr w:type="spellEnd"/>
      <w:r>
        <w:rPr>
          <w:rFonts w:ascii="Palatino Linotype" w:eastAsia="Palatino Linotype" w:hAnsi="Palatino Linotype" w:cs="Palatino Linotype"/>
          <w:b/>
          <w:color w:val="000000"/>
        </w:rPr>
        <w:t xml:space="preserve"> interbancaria de depósito.</w:t>
      </w:r>
    </w:p>
    <w:p w14:paraId="17191E61"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39AF2A82" w14:textId="77777777" w:rsidR="00D71285" w:rsidRDefault="00AC7421">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Del Registro Federal de Contribuyentes.</w:t>
      </w:r>
    </w:p>
    <w:p w14:paraId="0FFE8AB5"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w:t>
      </w:r>
      <w:r>
        <w:rPr>
          <w:rFonts w:ascii="Palatino Linotype" w:eastAsia="Palatino Linotype" w:hAnsi="Palatino Linotype" w:cs="Palatino Linotype"/>
        </w:rPr>
        <w:t>primer</w:t>
      </w:r>
      <w:r>
        <w:rPr>
          <w:rFonts w:ascii="Palatino Linotype" w:eastAsia="Palatino Linotype" w:hAnsi="Palatino Linotype" w:cs="Palatino Linotype"/>
          <w:color w:val="000000"/>
        </w:rPr>
        <w:t xml:space="preserve"> nombre, seguido del año de nacimiento, mes y día, los tres últimos dígitos son la </w:t>
      </w:r>
      <w:proofErr w:type="spellStart"/>
      <w:r>
        <w:rPr>
          <w:rFonts w:ascii="Palatino Linotype" w:eastAsia="Palatino Linotype" w:hAnsi="Palatino Linotype" w:cs="Palatino Linotype"/>
          <w:color w:val="000000"/>
        </w:rPr>
        <w:t>homoclave</w:t>
      </w:r>
      <w:proofErr w:type="spellEnd"/>
      <w:r>
        <w:rPr>
          <w:rFonts w:ascii="Palatino Linotype" w:eastAsia="Palatino Linotype" w:hAnsi="Palatino Linotype" w:cs="Palatino Linotype"/>
          <w:color w:val="000000"/>
        </w:rPr>
        <w:t xml:space="preserve"> que es asignada por el Servicio de Administración Tributaria (SAT).</w:t>
      </w:r>
    </w:p>
    <w:p w14:paraId="331BEE30"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518D7643"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Las personas físicas obligadas a presentar declaraciones o expedir comprobantes fiscales, deberán solicitar su inscripción en el Registro Federal de Contribuyentes. La clave </w:t>
      </w:r>
      <w:r>
        <w:rPr>
          <w:rFonts w:ascii="Palatino Linotype" w:eastAsia="Palatino Linotype" w:hAnsi="Palatino Linotype" w:cs="Palatino Linotype"/>
          <w:color w:val="000000"/>
        </w:rPr>
        <w:lastRenderedPageBreak/>
        <w:t>del RFC es el medio por el cual el Servicio de Administración Tributaria exige y vigila el cumplimiento de las obligaciones fiscales de los contribuyentes, además que identifica como contribuyentes a las personas físicas o morales en nuestro país.</w:t>
      </w:r>
    </w:p>
    <w:p w14:paraId="3AFEC57A"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5AEAAAB1"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77A32C2D"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49E2BF6C"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1AD65C7E"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2CA7017A"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En el mismo sentido, resulta aplicable el Criterio 19/17 emitido por el Instituto Nacional de Transparencia, Acceso a la Información, y Protección de Datos Personales, en el cual se señala lo siguiente:</w:t>
      </w:r>
    </w:p>
    <w:p w14:paraId="1DF06589" w14:textId="77777777" w:rsidR="00D71285" w:rsidRDefault="00AC7421">
      <w:pPr>
        <w:shd w:val="clear" w:color="auto" w:fill="FFFFFF"/>
        <w:spacing w:line="276" w:lineRule="auto"/>
        <w:ind w:left="567"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REGISTRO FEDERAL DE CONTRIBUYENTES (RFC) DE PERSONAS FÍSICAS.</w:t>
      </w:r>
      <w:r>
        <w:rPr>
          <w:rFonts w:ascii="Palatino Linotype" w:eastAsia="Palatino Linotype" w:hAnsi="Palatino Linotype" w:cs="Palatino Linotype"/>
          <w:i/>
          <w:sz w:val="22"/>
          <w:szCs w:val="22"/>
        </w:rPr>
        <w:t xml:space="preserve"> “El RFC es una clave de carácter fiscal, única e irrepetible, que permite identificar al titular, su edad y fecha de nacimiento, por lo que es un dato personal de carácter confidencial.”</w:t>
      </w:r>
    </w:p>
    <w:p w14:paraId="2A7405CC" w14:textId="77777777" w:rsidR="00D71285" w:rsidRDefault="00D71285">
      <w:pPr>
        <w:pBdr>
          <w:top w:val="nil"/>
          <w:left w:val="nil"/>
          <w:bottom w:val="nil"/>
          <w:right w:val="nil"/>
          <w:between w:val="nil"/>
        </w:pBdr>
        <w:tabs>
          <w:tab w:val="left" w:pos="426"/>
        </w:tabs>
        <w:spacing w:line="360" w:lineRule="auto"/>
        <w:ind w:right="62"/>
        <w:jc w:val="both"/>
        <w:rPr>
          <w:rFonts w:ascii="Palatino Linotype" w:eastAsia="Palatino Linotype" w:hAnsi="Palatino Linotype" w:cs="Palatino Linotype"/>
          <w:color w:val="000000"/>
          <w:sz w:val="22"/>
          <w:szCs w:val="22"/>
        </w:rPr>
      </w:pPr>
    </w:p>
    <w:p w14:paraId="400F3275" w14:textId="77777777" w:rsidR="00D71285" w:rsidRDefault="00AC7421">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b) De la Clave Única de Registro de Población.</w:t>
      </w:r>
    </w:p>
    <w:p w14:paraId="220F9A0F"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w:t>
      </w:r>
      <w:r>
        <w:rPr>
          <w:rFonts w:ascii="Palatino Linotype" w:eastAsia="Palatino Linotype" w:hAnsi="Palatino Linotype" w:cs="Palatino Linotype"/>
          <w:color w:val="000000"/>
        </w:rPr>
        <w:lastRenderedPageBreak/>
        <w:t>extranjeros que se encuentren en condiciones de estancia regular en el país o en trámite de ésta, se integra por dieciocho (18) caracteres, los cuales son:</w:t>
      </w:r>
    </w:p>
    <w:p w14:paraId="4B95E5F9" w14:textId="77777777" w:rsidR="00D71285" w:rsidRDefault="00AC7421">
      <w:pPr>
        <w:pBdr>
          <w:top w:val="nil"/>
          <w:left w:val="nil"/>
          <w:bottom w:val="nil"/>
          <w:right w:val="nil"/>
          <w:between w:val="nil"/>
        </w:pBdr>
        <w:tabs>
          <w:tab w:val="left" w:pos="426"/>
        </w:tabs>
        <w:spacing w:line="360" w:lineRule="auto"/>
        <w:ind w:right="-646"/>
        <w:jc w:val="center"/>
        <w:rPr>
          <w:rFonts w:ascii="Palatino Linotype" w:eastAsia="Palatino Linotype" w:hAnsi="Palatino Linotype" w:cs="Palatino Linotype"/>
          <w:color w:val="000000"/>
        </w:rPr>
      </w:pPr>
      <w:r>
        <w:rPr>
          <w:noProof/>
          <w:color w:val="000000"/>
        </w:rPr>
        <w:drawing>
          <wp:inline distT="0" distB="0" distL="0" distR="0" wp14:anchorId="00CE2319" wp14:editId="7F252655">
            <wp:extent cx="2750797" cy="2270891"/>
            <wp:effectExtent l="12700" t="12700" r="12700" b="12700"/>
            <wp:docPr id="16" name="image6.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Aplicación&#10;&#10;Descripción generada automáticamente"/>
                    <pic:cNvPicPr preferRelativeResize="0"/>
                  </pic:nvPicPr>
                  <pic:blipFill>
                    <a:blip r:embed="rId18"/>
                    <a:srcRect l="25748" t="8269" r="41253" b="18082"/>
                    <a:stretch>
                      <a:fillRect/>
                    </a:stretch>
                  </pic:blipFill>
                  <pic:spPr>
                    <a:xfrm>
                      <a:off x="0" y="0"/>
                      <a:ext cx="2750797" cy="2270891"/>
                    </a:xfrm>
                    <a:prstGeom prst="rect">
                      <a:avLst/>
                    </a:prstGeom>
                    <a:ln w="12700">
                      <a:solidFill>
                        <a:srgbClr val="000000"/>
                      </a:solidFill>
                      <a:prstDash val="solid"/>
                    </a:ln>
                  </pic:spPr>
                </pic:pic>
              </a:graphicData>
            </a:graphic>
          </wp:inline>
        </w:drawing>
      </w:r>
    </w:p>
    <w:p w14:paraId="50A467F5"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4E350E6D"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Es 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64773F11"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4DBB565A"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Entre las características de la CURP, se encuentra:</w:t>
      </w:r>
    </w:p>
    <w:p w14:paraId="26EC991B" w14:textId="77777777" w:rsidR="00D71285" w:rsidRDefault="00AC7421">
      <w:pPr>
        <w:tabs>
          <w:tab w:val="left" w:pos="426"/>
          <w:tab w:val="left" w:pos="567"/>
        </w:tabs>
        <w:spacing w:line="276" w:lineRule="auto"/>
        <w:ind w:left="567" w:right="-64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Composición. </w:t>
      </w:r>
      <w:r>
        <w:rPr>
          <w:rFonts w:ascii="Palatino Linotype" w:eastAsia="Palatino Linotype" w:hAnsi="Palatino Linotype" w:cs="Palatino Linotype"/>
          <w:i/>
          <w:sz w:val="22"/>
          <w:szCs w:val="22"/>
        </w:rPr>
        <w:t>Alfanumérica.</w:t>
      </w:r>
    </w:p>
    <w:p w14:paraId="5DBA758D" w14:textId="77777777" w:rsidR="00D71285" w:rsidRDefault="00AC7421">
      <w:pPr>
        <w:tabs>
          <w:tab w:val="left" w:pos="426"/>
          <w:tab w:val="left" w:pos="567"/>
        </w:tabs>
        <w:spacing w:line="276" w:lineRule="auto"/>
        <w:ind w:left="567" w:right="-64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Longitud. </w:t>
      </w:r>
      <w:r>
        <w:rPr>
          <w:rFonts w:ascii="Palatino Linotype" w:eastAsia="Palatino Linotype" w:hAnsi="Palatino Linotype" w:cs="Palatino Linotype"/>
          <w:i/>
          <w:sz w:val="22"/>
          <w:szCs w:val="22"/>
        </w:rPr>
        <w:t xml:space="preserve"> 18 caracteres.</w:t>
      </w:r>
    </w:p>
    <w:p w14:paraId="553C8CC5" w14:textId="77777777" w:rsidR="00D71285" w:rsidRDefault="00AC7421">
      <w:pPr>
        <w:tabs>
          <w:tab w:val="left" w:pos="426"/>
          <w:tab w:val="left" w:pos="567"/>
        </w:tabs>
        <w:spacing w:line="276" w:lineRule="auto"/>
        <w:ind w:left="567" w:right="-64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Naturaleza. </w:t>
      </w:r>
      <w:r>
        <w:rPr>
          <w:rFonts w:ascii="Palatino Linotype" w:eastAsia="Palatino Linotype" w:hAnsi="Palatino Linotype" w:cs="Palatino Linotype"/>
          <w:i/>
          <w:sz w:val="22"/>
          <w:szCs w:val="22"/>
        </w:rPr>
        <w:t>Biunívoca.</w:t>
      </w:r>
    </w:p>
    <w:p w14:paraId="0EF146A6" w14:textId="77777777" w:rsidR="00D71285" w:rsidRDefault="00AC7421">
      <w:pPr>
        <w:tabs>
          <w:tab w:val="left" w:pos="426"/>
          <w:tab w:val="left" w:pos="567"/>
        </w:tabs>
        <w:spacing w:line="276" w:lineRule="auto"/>
        <w:ind w:left="567" w:right="-64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Universalidad. </w:t>
      </w:r>
      <w:r>
        <w:rPr>
          <w:rFonts w:ascii="Palatino Linotype" w:eastAsia="Palatino Linotype" w:hAnsi="Palatino Linotype" w:cs="Palatino Linotype"/>
          <w:i/>
          <w:sz w:val="22"/>
          <w:szCs w:val="22"/>
        </w:rPr>
        <w:t>Se asigna a todas las personas que conforman la población.</w:t>
      </w:r>
    </w:p>
    <w:p w14:paraId="5930030E" w14:textId="77777777" w:rsidR="00D71285" w:rsidRDefault="00AC7421">
      <w:pPr>
        <w:pBdr>
          <w:top w:val="nil"/>
          <w:left w:val="nil"/>
          <w:bottom w:val="nil"/>
          <w:right w:val="nil"/>
          <w:between w:val="nil"/>
        </w:pBdr>
        <w:tabs>
          <w:tab w:val="left" w:pos="142"/>
          <w:tab w:val="left" w:pos="284"/>
          <w:tab w:val="left" w:pos="426"/>
        </w:tabs>
        <w:spacing w:line="276" w:lineRule="auto"/>
        <w:ind w:left="567" w:right="-64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Verificabilidad. </w:t>
      </w:r>
      <w:r>
        <w:rPr>
          <w:rFonts w:ascii="Palatino Linotype" w:eastAsia="Palatino Linotype" w:hAnsi="Palatino Linotype" w:cs="Palatino Linotype"/>
          <w:b/>
          <w:i/>
          <w:color w:val="000000"/>
          <w:sz w:val="22"/>
          <w:szCs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21F20522"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5CBBA30C"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lastRenderedPageBreak/>
        <w:t>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256AD7F5"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0EEB8841"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Es entonces que, de lo anterior, se desprende que la Clave Única de Registro de Población es un dato personal confidencial, ya que por sí </w:t>
      </w:r>
      <w:r>
        <w:rPr>
          <w:rFonts w:ascii="Palatino Linotype" w:eastAsia="Palatino Linotype" w:hAnsi="Palatino Linotype" w:cs="Palatino Linotype"/>
        </w:rPr>
        <w:t>revela</w:t>
      </w:r>
      <w:r>
        <w:rPr>
          <w:rFonts w:ascii="Palatino Linotype" w:eastAsia="Palatino Linotype" w:hAnsi="Palatino Linotype" w:cs="Palatino Linotype"/>
          <w:color w:val="000000"/>
        </w:rPr>
        <w:t xml:space="preserve"> información personal de su titular, y su exposición únicamente vulneraría la esfera privada del mismo, aunado a que no guarda relación con el desempeño profesional o laboral de un individuo ni con el ejercicio de recursos públicos.</w:t>
      </w:r>
    </w:p>
    <w:p w14:paraId="7CD6EC91"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5C3E7767"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Ante ello, resulta aplicable el Criterio 18/17 emitido por el Instituto Nacional de Transparencia, Acceso a la Información y Protección de Datos Personales, que a la literalidad señala:</w:t>
      </w:r>
    </w:p>
    <w:p w14:paraId="637786A7" w14:textId="77777777" w:rsidR="00D71285" w:rsidRDefault="00AC7421">
      <w:pPr>
        <w:shd w:val="clear" w:color="auto" w:fill="FFFFFF"/>
        <w:spacing w:line="276" w:lineRule="auto"/>
        <w:ind w:left="567"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CLAVE ÚNICA DE REGISTRO DE POBLACIÓN (CURP). “</w:t>
      </w:r>
      <w:r>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B75A582"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6B5B5B31" w14:textId="77777777" w:rsidR="00D71285" w:rsidRDefault="00AC7421">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De la clave de identificación del Instituto de Seguridad Social del Estado de México y Municipios.</w:t>
      </w:r>
    </w:p>
    <w:p w14:paraId="2AC66774"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El Instituto de Seguridad Social del Estado de México y Municipios (ISSEMYM), es un organismo público </w:t>
      </w:r>
      <w:r>
        <w:rPr>
          <w:rFonts w:ascii="Palatino Linotype" w:eastAsia="Palatino Linotype" w:hAnsi="Palatino Linotype" w:cs="Palatino Linotype"/>
        </w:rPr>
        <w:t>descentralizado</w:t>
      </w:r>
      <w:r>
        <w:rPr>
          <w:rFonts w:ascii="Palatino Linotype" w:eastAsia="Palatino Linotype" w:hAnsi="Palatino Linotype" w:cs="Palatino Linotype"/>
          <w:color w:val="000000"/>
        </w:rPr>
        <w:t>, con personalidad jurídica y órganos de gobierno propios, el cual otorgará las prestaciones y servicios que establece la Ley de Seguridad Social para los Servidores Públicos del Estado de México y Municipios.</w:t>
      </w:r>
    </w:p>
    <w:p w14:paraId="187BA256"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5A0F84DF"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206951BB"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037129EF"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Entre los elementos que integra la credencial expedida se encuentra la Clave ISSEMyM, la cual permite identificar al servidor público que actualmente labora o laboró en alguna institución pública y que tenga vigente su derecho a recibir las prestaciones.</w:t>
      </w:r>
    </w:p>
    <w:p w14:paraId="276275BD"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074BAB2E"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7CF2BD2D"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rPr>
      </w:pPr>
    </w:p>
    <w:p w14:paraId="37004E30" w14:textId="77777777" w:rsidR="00D71285" w:rsidRDefault="00AC7421">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 Préstamos o descuentos de carácter personal.</w:t>
      </w:r>
    </w:p>
    <w:p w14:paraId="21C4555D"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lastRenderedPageBreak/>
        <w:t>Para entender los límites y alcances de esta restricción, es oportuno traer a colación lo establecido por el artículo 84 de la Ley del Trabajo de los Servidores Públicos del Estado y Municipios, el cual señala que:</w:t>
      </w:r>
    </w:p>
    <w:p w14:paraId="040BA708" w14:textId="77777777" w:rsidR="00D71285" w:rsidRDefault="00AC7421">
      <w:pPr>
        <w:tabs>
          <w:tab w:val="left" w:pos="426"/>
        </w:tabs>
        <w:spacing w:line="276" w:lineRule="auto"/>
        <w:ind w:left="567"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84.</w:t>
      </w:r>
      <w:r>
        <w:rPr>
          <w:rFonts w:ascii="Palatino Linotype" w:eastAsia="Palatino Linotype" w:hAnsi="Palatino Linotype" w:cs="Palatino Linotype"/>
          <w:i/>
          <w:sz w:val="22"/>
          <w:szCs w:val="22"/>
        </w:rPr>
        <w:t xml:space="preserve"> Sólo podrán hacerse retenciones, descuentos o deducciones al sueldo de los servidores públicos por concepto de: </w:t>
      </w:r>
    </w:p>
    <w:p w14:paraId="4E139401" w14:textId="77777777" w:rsidR="00D71285" w:rsidRDefault="00AC7421">
      <w:pPr>
        <w:tabs>
          <w:tab w:val="left" w:pos="426"/>
        </w:tabs>
        <w:spacing w:line="276" w:lineRule="auto"/>
        <w:ind w:left="567"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Gravámenes fiscales relacionados con el sueldo; </w:t>
      </w:r>
    </w:p>
    <w:p w14:paraId="6021C9BF" w14:textId="77777777" w:rsidR="00D71285" w:rsidRDefault="00AC7421">
      <w:pPr>
        <w:spacing w:line="276" w:lineRule="auto"/>
        <w:ind w:left="567"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 </w:t>
      </w:r>
    </w:p>
    <w:p w14:paraId="0B4586FF" w14:textId="77777777" w:rsidR="00D71285" w:rsidRDefault="00AC7421">
      <w:pPr>
        <w:spacing w:line="276" w:lineRule="auto"/>
        <w:ind w:left="567"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Cuotas sindicales; </w:t>
      </w:r>
    </w:p>
    <w:p w14:paraId="0558999D" w14:textId="77777777" w:rsidR="00D71285" w:rsidRDefault="00AC7421">
      <w:pPr>
        <w:spacing w:line="276" w:lineRule="auto"/>
        <w:ind w:left="567"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 </w:t>
      </w:r>
    </w:p>
    <w:p w14:paraId="3309DF9F" w14:textId="77777777" w:rsidR="00D71285" w:rsidRDefault="00AC7421">
      <w:pPr>
        <w:spacing w:line="276" w:lineRule="auto"/>
        <w:ind w:left="567"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 </w:t>
      </w:r>
    </w:p>
    <w:p w14:paraId="1CD4AA76" w14:textId="77777777" w:rsidR="00D71285" w:rsidRDefault="00AC7421">
      <w:pPr>
        <w:spacing w:line="276" w:lineRule="auto"/>
        <w:ind w:left="567"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 </w:t>
      </w:r>
    </w:p>
    <w:p w14:paraId="259C2039" w14:textId="77777777" w:rsidR="00D71285" w:rsidRDefault="00AC7421">
      <w:pPr>
        <w:spacing w:line="276" w:lineRule="auto"/>
        <w:ind w:left="567"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xml:space="preserve"> Faltas de puntualidad o de asistencia injustificadas; </w:t>
      </w:r>
    </w:p>
    <w:p w14:paraId="718CFCC0" w14:textId="77777777" w:rsidR="00D71285" w:rsidRDefault="00AC7421">
      <w:pPr>
        <w:spacing w:line="276" w:lineRule="auto"/>
        <w:ind w:left="567"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Pensiones alimenticias ordenadas por la autoridad judicial; o </w:t>
      </w:r>
    </w:p>
    <w:p w14:paraId="48C94DFB" w14:textId="77777777" w:rsidR="00D71285" w:rsidRDefault="00AC7421">
      <w:pPr>
        <w:spacing w:line="276" w:lineRule="auto"/>
        <w:ind w:left="567"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w:t>
      </w:r>
      <w:r>
        <w:rPr>
          <w:rFonts w:ascii="Palatino Linotype" w:eastAsia="Palatino Linotype" w:hAnsi="Palatino Linotype" w:cs="Palatino Linotype"/>
          <w:i/>
          <w:sz w:val="22"/>
          <w:szCs w:val="22"/>
        </w:rPr>
        <w:t xml:space="preserve"> Cualquier otro convenido con instituciones de servicios y aceptado por el servidor público. </w:t>
      </w:r>
    </w:p>
    <w:p w14:paraId="6DC17650" w14:textId="77777777" w:rsidR="00D71285" w:rsidRDefault="00D71285">
      <w:pPr>
        <w:spacing w:line="276" w:lineRule="auto"/>
        <w:ind w:left="567" w:right="-79"/>
        <w:jc w:val="both"/>
        <w:rPr>
          <w:rFonts w:ascii="Palatino Linotype" w:eastAsia="Palatino Linotype" w:hAnsi="Palatino Linotype" w:cs="Palatino Linotype"/>
          <w:sz w:val="22"/>
          <w:szCs w:val="22"/>
        </w:rPr>
      </w:pPr>
    </w:p>
    <w:p w14:paraId="31E4DCFD" w14:textId="77777777" w:rsidR="00D71285" w:rsidRDefault="00AC7421">
      <w:pPr>
        <w:spacing w:line="276" w:lineRule="auto"/>
        <w:ind w:left="567"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3FEAE8D"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28A03132" w14:textId="77777777" w:rsidR="002F392D" w:rsidRPr="00E71C21" w:rsidRDefault="00AC7421" w:rsidP="002F392D">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451A67C2" w14:textId="77777777" w:rsidR="00E71C21" w:rsidRDefault="00E71C21" w:rsidP="00E71C21">
      <w:pPr>
        <w:pBdr>
          <w:top w:val="nil"/>
          <w:left w:val="nil"/>
          <w:bottom w:val="nil"/>
          <w:right w:val="nil"/>
          <w:between w:val="nil"/>
        </w:pBdr>
        <w:tabs>
          <w:tab w:val="left" w:pos="426"/>
        </w:tabs>
        <w:spacing w:line="360" w:lineRule="auto"/>
        <w:ind w:right="-646"/>
        <w:jc w:val="both"/>
        <w:rPr>
          <w:color w:val="000000"/>
        </w:rPr>
      </w:pPr>
    </w:p>
    <w:p w14:paraId="6EAE678C" w14:textId="43A3633D" w:rsidR="002F392D" w:rsidRPr="00516576" w:rsidRDefault="002F392D" w:rsidP="002F392D">
      <w:pPr>
        <w:spacing w:line="360" w:lineRule="auto"/>
        <w:jc w:val="both"/>
        <w:rPr>
          <w:rFonts w:ascii="Palatino Linotype" w:hAnsi="Palatino Linotype" w:cs="Tahoma"/>
        </w:rPr>
      </w:pPr>
      <w:r w:rsidRPr="00516576">
        <w:rPr>
          <w:rFonts w:ascii="Palatino Linotype" w:hAnsi="Palatino Linotype" w:cs="Tahoma"/>
          <w:b/>
        </w:rPr>
        <w:t>e) Número de empleado.</w:t>
      </w:r>
    </w:p>
    <w:p w14:paraId="677F4215" w14:textId="77777777" w:rsidR="002F392D" w:rsidRPr="00516576" w:rsidRDefault="002F392D" w:rsidP="002F392D">
      <w:pPr>
        <w:numPr>
          <w:ilvl w:val="0"/>
          <w:numId w:val="10"/>
        </w:numPr>
        <w:pBdr>
          <w:top w:val="nil"/>
          <w:left w:val="nil"/>
          <w:bottom w:val="nil"/>
          <w:right w:val="nil"/>
          <w:between w:val="nil"/>
        </w:pBdr>
        <w:tabs>
          <w:tab w:val="left" w:pos="426"/>
        </w:tabs>
        <w:spacing w:line="360" w:lineRule="auto"/>
        <w:ind w:right="-646"/>
        <w:jc w:val="both"/>
        <w:rPr>
          <w:color w:val="000000"/>
        </w:rPr>
      </w:pPr>
      <w:r w:rsidRPr="00516576">
        <w:rPr>
          <w:rFonts w:ascii="Palatino Linotype" w:hAnsi="Palatino Linotype" w:cs="Tahoma"/>
        </w:rPr>
        <w:t xml:space="preserve"> En relación con el número de empleado de servidores públicos o su equivalente, con independencia del </w:t>
      </w:r>
      <w:r w:rsidRPr="00516576">
        <w:rPr>
          <w:rFonts w:ascii="Palatino Linotype" w:eastAsia="Palatino Linotype" w:hAnsi="Palatino Linotype" w:cs="Palatino Linotype"/>
        </w:rPr>
        <w:t>nombre</w:t>
      </w:r>
      <w:r w:rsidRPr="00516576">
        <w:rPr>
          <w:rFonts w:ascii="Palatino Linotype" w:hAnsi="Palatino Linotype" w:cs="Tahoma"/>
        </w:rPr>
        <w:t xml:space="preserve"> que reciba, constituye un instrumento de control interno que permite a las dependencias y entidades identificar a sus trabajadores y a estos les facilita la realización de gestiones en su carácter de empleado.</w:t>
      </w:r>
    </w:p>
    <w:p w14:paraId="4700F49F" w14:textId="77777777" w:rsidR="002F392D" w:rsidRPr="00516576" w:rsidRDefault="002F392D" w:rsidP="002F392D">
      <w:pPr>
        <w:pBdr>
          <w:top w:val="nil"/>
          <w:left w:val="nil"/>
          <w:bottom w:val="nil"/>
          <w:right w:val="nil"/>
          <w:between w:val="nil"/>
        </w:pBdr>
        <w:tabs>
          <w:tab w:val="left" w:pos="426"/>
        </w:tabs>
        <w:spacing w:line="360" w:lineRule="auto"/>
        <w:ind w:right="-646"/>
        <w:jc w:val="both"/>
        <w:rPr>
          <w:color w:val="000000"/>
        </w:rPr>
      </w:pPr>
    </w:p>
    <w:p w14:paraId="12C638D7" w14:textId="77777777" w:rsidR="002F392D" w:rsidRPr="00516576" w:rsidRDefault="002F392D" w:rsidP="002F392D">
      <w:pPr>
        <w:numPr>
          <w:ilvl w:val="0"/>
          <w:numId w:val="10"/>
        </w:numPr>
        <w:pBdr>
          <w:top w:val="nil"/>
          <w:left w:val="nil"/>
          <w:bottom w:val="nil"/>
          <w:right w:val="nil"/>
          <w:between w:val="nil"/>
        </w:pBdr>
        <w:tabs>
          <w:tab w:val="left" w:pos="426"/>
        </w:tabs>
        <w:spacing w:line="360" w:lineRule="auto"/>
        <w:ind w:right="-646"/>
        <w:jc w:val="both"/>
        <w:rPr>
          <w:color w:val="000000"/>
        </w:rPr>
      </w:pPr>
      <w:r w:rsidRPr="00516576">
        <w:rPr>
          <w:rFonts w:ascii="Palatino Linotype" w:hAnsi="Palatino Linotype" w:cs="Tahoma"/>
        </w:rPr>
        <w:t>En ese sentido, c</w:t>
      </w:r>
      <w:r w:rsidRPr="00516576">
        <w:rPr>
          <w:rFonts w:ascii="Palatino Linotype" w:hAnsi="Palatino Linotype" w:cs="Tahoma"/>
          <w:b/>
        </w:rPr>
        <w:t>uando el número de empleado se integre de datos personales de los trabajadores</w:t>
      </w:r>
      <w:r w:rsidRPr="00516576">
        <w:rPr>
          <w:rFonts w:ascii="Palatino Linotype" w:hAnsi="Palatino Linotype" w:cs="Tahoma"/>
        </w:rPr>
        <w:t>,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597F4BF9" w14:textId="77777777" w:rsidR="002F392D" w:rsidRPr="00516576" w:rsidRDefault="002F392D" w:rsidP="002F392D">
      <w:pPr>
        <w:pStyle w:val="Prrafodelista"/>
        <w:rPr>
          <w:rFonts w:ascii="Palatino Linotype" w:eastAsia="Calibri" w:hAnsi="Palatino Linotype" w:cs="Tahoma"/>
          <w:bCs/>
          <w:iCs/>
          <w:lang w:eastAsia="en-US"/>
        </w:rPr>
      </w:pPr>
    </w:p>
    <w:p w14:paraId="532A3644" w14:textId="77777777" w:rsidR="002F392D" w:rsidRPr="00516576" w:rsidRDefault="002F392D" w:rsidP="002F392D">
      <w:pPr>
        <w:numPr>
          <w:ilvl w:val="0"/>
          <w:numId w:val="10"/>
        </w:numPr>
        <w:pBdr>
          <w:top w:val="nil"/>
          <w:left w:val="nil"/>
          <w:bottom w:val="nil"/>
          <w:right w:val="nil"/>
          <w:between w:val="nil"/>
        </w:pBdr>
        <w:tabs>
          <w:tab w:val="left" w:pos="426"/>
        </w:tabs>
        <w:spacing w:line="360" w:lineRule="auto"/>
        <w:ind w:right="-646"/>
        <w:jc w:val="both"/>
        <w:rPr>
          <w:color w:val="000000"/>
        </w:rPr>
      </w:pPr>
      <w:r w:rsidRPr="00516576">
        <w:rPr>
          <w:rFonts w:ascii="Palatino Linotype" w:eastAsia="Calibri" w:hAnsi="Palatino Linotype" w:cs="Tahoma"/>
          <w:bCs/>
          <w:iCs/>
          <w:lang w:eastAsia="en-US"/>
        </w:rPr>
        <w:t xml:space="preserve"> Lo anterior, toma sustento en el </w:t>
      </w:r>
      <w:r w:rsidRPr="00516576">
        <w:rPr>
          <w:rFonts w:ascii="Palatino Linotype" w:eastAsia="Calibri" w:hAnsi="Palatino Linotype" w:cs="Tahoma"/>
          <w:bCs/>
          <w:lang w:val="es-ES" w:eastAsia="en-US"/>
        </w:rPr>
        <w:t xml:space="preserve">Criterio de Interpretación, de la Segunda Época, con número de registro </w:t>
      </w:r>
      <w:r w:rsidRPr="00516576">
        <w:rPr>
          <w:rFonts w:ascii="Palatino Linotype" w:eastAsia="Calibri" w:hAnsi="Palatino Linotype" w:cs="Tahoma"/>
          <w:bCs/>
          <w:lang w:eastAsia="en-US"/>
        </w:rPr>
        <w:t>SO/</w:t>
      </w:r>
      <w:r w:rsidRPr="00516576">
        <w:rPr>
          <w:rFonts w:ascii="Palatino Linotype" w:hAnsi="Palatino Linotype" w:cs="Tahoma"/>
        </w:rPr>
        <w:t>006</w:t>
      </w:r>
      <w:r w:rsidRPr="00516576">
        <w:rPr>
          <w:rFonts w:ascii="Palatino Linotype" w:eastAsia="Calibri" w:hAnsi="Palatino Linotype" w:cs="Tahoma"/>
          <w:bCs/>
          <w:lang w:eastAsia="en-US"/>
        </w:rPr>
        <w:t>/2019</w:t>
      </w:r>
      <w:r w:rsidRPr="00516576">
        <w:rPr>
          <w:rFonts w:ascii="Palatino Linotype" w:eastAsia="Calibri" w:hAnsi="Palatino Linotype" w:cs="Tahoma"/>
          <w:bCs/>
          <w:iCs/>
          <w:lang w:eastAsia="en-US"/>
        </w:rPr>
        <w:t>, emitido por el Instituto Nacional de Transparencia, Acceso a la Información y Protección de Datos Personales, que establece lo siguiente:</w:t>
      </w:r>
    </w:p>
    <w:p w14:paraId="1570B55C" w14:textId="77777777" w:rsidR="002F392D" w:rsidRPr="00516576" w:rsidRDefault="002F392D" w:rsidP="002F392D">
      <w:pPr>
        <w:pStyle w:val="Prrafodelista"/>
        <w:rPr>
          <w:rFonts w:ascii="Palatino Linotype" w:hAnsi="Palatino Linotype" w:cs="Tahoma"/>
        </w:rPr>
      </w:pPr>
    </w:p>
    <w:p w14:paraId="416DB15A" w14:textId="77777777" w:rsidR="002F392D" w:rsidRPr="00516576" w:rsidRDefault="002F392D" w:rsidP="002F392D">
      <w:pPr>
        <w:spacing w:line="360" w:lineRule="auto"/>
        <w:ind w:left="567" w:right="567"/>
        <w:jc w:val="both"/>
        <w:rPr>
          <w:rFonts w:ascii="Palatino Linotype" w:eastAsia="Calibri" w:hAnsi="Palatino Linotype" w:cs="Tahoma"/>
          <w:bCs/>
          <w:i/>
          <w:iCs/>
          <w:sz w:val="22"/>
          <w:lang w:eastAsia="en-US"/>
        </w:rPr>
      </w:pPr>
      <w:r w:rsidRPr="00516576">
        <w:rPr>
          <w:rFonts w:ascii="Palatino Linotype" w:eastAsia="Calibri" w:hAnsi="Palatino Linotype" w:cs="Tahoma"/>
          <w:b/>
          <w:bCs/>
          <w:i/>
          <w:iCs/>
          <w:sz w:val="22"/>
          <w:lang w:eastAsia="en-US"/>
        </w:rPr>
        <w:t xml:space="preserve">“Número de empleado. </w:t>
      </w:r>
      <w:r w:rsidRPr="00516576">
        <w:rPr>
          <w:rFonts w:ascii="Palatino Linotype" w:eastAsia="Calibri" w:hAnsi="Palatino Linotype" w:cs="Tahoma"/>
          <w:bCs/>
          <w:i/>
          <w:iCs/>
          <w:sz w:val="22"/>
          <w:lang w:eastAsia="en-US"/>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6797B0FC" w14:textId="77777777" w:rsidR="002F392D" w:rsidRPr="00516576" w:rsidRDefault="002F392D" w:rsidP="002F392D">
      <w:pPr>
        <w:pStyle w:val="Prrafodelista"/>
        <w:rPr>
          <w:rFonts w:ascii="Palatino Linotype" w:hAnsi="Palatino Linotype" w:cs="Tahoma"/>
        </w:rPr>
      </w:pPr>
    </w:p>
    <w:p w14:paraId="589BFEA2" w14:textId="1FEA380E" w:rsidR="002F392D" w:rsidRPr="00516576" w:rsidRDefault="002F392D" w:rsidP="002F392D">
      <w:pPr>
        <w:numPr>
          <w:ilvl w:val="0"/>
          <w:numId w:val="10"/>
        </w:numPr>
        <w:pBdr>
          <w:top w:val="nil"/>
          <w:left w:val="nil"/>
          <w:bottom w:val="nil"/>
          <w:right w:val="nil"/>
          <w:between w:val="nil"/>
        </w:pBdr>
        <w:tabs>
          <w:tab w:val="left" w:pos="426"/>
        </w:tabs>
        <w:spacing w:line="360" w:lineRule="auto"/>
        <w:ind w:right="-646"/>
        <w:jc w:val="both"/>
        <w:rPr>
          <w:color w:val="000000"/>
        </w:rPr>
      </w:pPr>
      <w:r w:rsidRPr="00516576">
        <w:rPr>
          <w:rFonts w:ascii="Palatino Linotype" w:hAnsi="Palatino Linotype" w:cs="Tahoma"/>
        </w:rPr>
        <w:t xml:space="preserve">Conforme a lo anterior, se advierte que solamente procederá la clasificación del número de empleado, cuando se integre con datos personales de los servidores públicos o funcione como </w:t>
      </w:r>
      <w:r w:rsidRPr="00516576">
        <w:rPr>
          <w:rFonts w:ascii="Palatino Linotype" w:eastAsia="Calibri" w:hAnsi="Palatino Linotype" w:cs="Tahoma"/>
          <w:bCs/>
          <w:iCs/>
          <w:lang w:eastAsia="en-US"/>
        </w:rPr>
        <w:t>clave</w:t>
      </w:r>
      <w:r w:rsidRPr="00516576">
        <w:rPr>
          <w:rFonts w:ascii="Palatino Linotype" w:hAnsi="Palatino Linotype" w:cs="Tahoma"/>
        </w:rPr>
        <w:t xml:space="preserve"> de acceso que no requiera una contraseña para ingresar a sistemas o bases de datos. </w:t>
      </w:r>
      <w:r w:rsidRPr="00516576">
        <w:rPr>
          <w:rFonts w:ascii="Palatino Linotype" w:hAnsi="Palatino Linotype" w:cs="Tahoma"/>
          <w:bCs/>
        </w:rPr>
        <w:t xml:space="preserve">De tales circunstancias y toda vez que el Sujeto Obligado no precisó como </w:t>
      </w:r>
      <w:r w:rsidRPr="00516576">
        <w:rPr>
          <w:rFonts w:ascii="Palatino Linotype" w:hAnsi="Palatino Linotype" w:cs="Tahoma"/>
          <w:bCs/>
        </w:rPr>
        <w:lastRenderedPageBreak/>
        <w:t>se conformaba el 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2C66AC60" w14:textId="77777777" w:rsidR="00D71285" w:rsidRDefault="00D71285">
      <w:pPr>
        <w:ind w:right="-646"/>
        <w:rPr>
          <w:rFonts w:ascii="Palatino Linotype" w:eastAsia="Palatino Linotype" w:hAnsi="Palatino Linotype" w:cs="Palatino Linotype"/>
          <w:color w:val="000000"/>
        </w:rPr>
      </w:pPr>
    </w:p>
    <w:p w14:paraId="79EFA71A" w14:textId="77777777" w:rsidR="00D71285" w:rsidRDefault="00AC7421">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SEXTO. Decisión.</w:t>
      </w:r>
    </w:p>
    <w:p w14:paraId="79EA948A"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A lo largo del presente estudio se estableció que la Unidad de Transparencia </w:t>
      </w:r>
      <w:r>
        <w:rPr>
          <w:rFonts w:ascii="Palatino Linotype" w:eastAsia="Palatino Linotype" w:hAnsi="Palatino Linotype" w:cs="Palatino Linotype"/>
        </w:rPr>
        <w:t>turnar</w:t>
      </w:r>
      <w:r>
        <w:rPr>
          <w:rFonts w:ascii="Palatino Linotype" w:eastAsia="Palatino Linotype" w:hAnsi="Palatino Linotype" w:cs="Palatino Linotype"/>
          <w:color w:val="000000"/>
        </w:rPr>
        <w:t xml:space="preserve"> la solicitud de información </w:t>
      </w:r>
      <w:r>
        <w:rPr>
          <w:rFonts w:ascii="Palatino Linotype" w:eastAsia="Palatino Linotype" w:hAnsi="Palatino Linotype" w:cs="Palatino Linotype"/>
          <w:b/>
          <w:color w:val="000000"/>
        </w:rPr>
        <w:t>00610/TLALNEPA/IP/2023</w:t>
      </w:r>
      <w:r>
        <w:rPr>
          <w:rFonts w:ascii="Palatino Linotype" w:eastAsia="Palatino Linotype" w:hAnsi="Palatino Linotype" w:cs="Palatino Linotype"/>
          <w:color w:val="000000"/>
        </w:rPr>
        <w:t xml:space="preserve"> al área administrativa competente para conocer de lo solicitado; razón por la cual se determinó que el primer requerimiento del particular, relativo a una persona específica, consistía en un </w:t>
      </w:r>
      <w:r>
        <w:rPr>
          <w:rFonts w:ascii="Palatino Linotype" w:eastAsia="Palatino Linotype" w:hAnsi="Palatino Linotype" w:cs="Palatino Linotype"/>
          <w:i/>
          <w:color w:val="000000"/>
        </w:rPr>
        <w:t>Hecho Negativo</w:t>
      </w:r>
      <w:r>
        <w:rPr>
          <w:rFonts w:ascii="Palatino Linotype" w:eastAsia="Palatino Linotype" w:hAnsi="Palatino Linotype" w:cs="Palatino Linotype"/>
          <w:color w:val="000000"/>
        </w:rPr>
        <w:t xml:space="preserve">, ya que el </w:t>
      </w:r>
      <w:r>
        <w:rPr>
          <w:rFonts w:ascii="Palatino Linotype" w:eastAsia="Palatino Linotype" w:hAnsi="Palatino Linotype" w:cs="Palatino Linotype"/>
          <w:b/>
          <w:color w:val="000000"/>
        </w:rPr>
        <w:t>Departamento de Reclutamiento y Nómina</w:t>
      </w:r>
      <w:r>
        <w:rPr>
          <w:rFonts w:ascii="Palatino Linotype" w:eastAsia="Palatino Linotype" w:hAnsi="Palatino Linotype" w:cs="Palatino Linotype"/>
          <w:color w:val="000000"/>
        </w:rPr>
        <w:t xml:space="preserve"> informó que aquélla no estaba registrada como un servidor público del ayuntamiento.</w:t>
      </w:r>
    </w:p>
    <w:p w14:paraId="37517B54"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4BF50F78"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Posteriormente, se demostró la competencia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poseer, generar y administrar documentos donde conste la nómina del personal sindicalizado; por ende, se ordenó su entrega en versión pública.</w:t>
      </w:r>
    </w:p>
    <w:p w14:paraId="135F5327"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4B05A981"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t xml:space="preserve">Por lo tanto, en consecuencia y en mérito de lo expuesto en líneas anteriores, resultan fundadas las razones o motivos de inconformidad hechos valer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dentro del recurso de revisión </w:t>
      </w:r>
      <w:r>
        <w:rPr>
          <w:rFonts w:ascii="Palatino Linotype" w:eastAsia="Palatino Linotype" w:hAnsi="Palatino Linotype" w:cs="Palatino Linotype"/>
          <w:b/>
          <w:color w:val="000000"/>
        </w:rPr>
        <w:t>03423/INFOEM/IP/RR/2024</w:t>
      </w:r>
      <w:r>
        <w:rPr>
          <w:rFonts w:ascii="Palatino Linotype" w:eastAsia="Palatino Linotype" w:hAnsi="Palatino Linotype" w:cs="Palatino Linotype"/>
          <w:color w:val="000000"/>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color w:val="000000"/>
        </w:rPr>
        <w:t>MODIFICA</w:t>
      </w:r>
      <w:r>
        <w:rPr>
          <w:rFonts w:ascii="Palatino Linotype" w:eastAsia="Palatino Linotype" w:hAnsi="Palatino Linotype" w:cs="Palatino Linotype"/>
          <w:color w:val="000000"/>
        </w:rPr>
        <w:t xml:space="preserve"> la respuesta a la solicitud de información número </w:t>
      </w:r>
      <w:r>
        <w:rPr>
          <w:rFonts w:ascii="Palatino Linotype" w:eastAsia="Palatino Linotype" w:hAnsi="Palatino Linotype" w:cs="Palatino Linotype"/>
          <w:b/>
          <w:color w:val="000000"/>
        </w:rPr>
        <w:t>00610/TLALNEPA/IP/2024</w:t>
      </w:r>
      <w:r>
        <w:rPr>
          <w:rFonts w:ascii="Palatino Linotype" w:eastAsia="Palatino Linotype" w:hAnsi="Palatino Linotype" w:cs="Palatino Linotype"/>
          <w:color w:val="000000"/>
        </w:rPr>
        <w:t>.</w:t>
      </w:r>
    </w:p>
    <w:p w14:paraId="33448564" w14:textId="77777777" w:rsidR="00D71285" w:rsidRDefault="00D71285">
      <w:pPr>
        <w:pBdr>
          <w:top w:val="nil"/>
          <w:left w:val="nil"/>
          <w:bottom w:val="nil"/>
          <w:right w:val="nil"/>
          <w:between w:val="nil"/>
        </w:pBdr>
        <w:tabs>
          <w:tab w:val="left" w:pos="426"/>
        </w:tabs>
        <w:spacing w:line="360" w:lineRule="auto"/>
        <w:ind w:right="-646"/>
        <w:jc w:val="both"/>
        <w:rPr>
          <w:rFonts w:ascii="Palatino Linotype" w:eastAsia="Palatino Linotype" w:hAnsi="Palatino Linotype" w:cs="Palatino Linotype"/>
          <w:color w:val="000000"/>
        </w:rPr>
      </w:pPr>
    </w:p>
    <w:p w14:paraId="66BE2AC3" w14:textId="77777777" w:rsidR="00D71285" w:rsidRDefault="00AC7421">
      <w:pPr>
        <w:numPr>
          <w:ilvl w:val="0"/>
          <w:numId w:val="10"/>
        </w:numPr>
        <w:pBdr>
          <w:top w:val="nil"/>
          <w:left w:val="nil"/>
          <w:bottom w:val="nil"/>
          <w:right w:val="nil"/>
          <w:between w:val="nil"/>
        </w:pBdr>
        <w:tabs>
          <w:tab w:val="left" w:pos="426"/>
        </w:tabs>
        <w:spacing w:line="360" w:lineRule="auto"/>
        <w:ind w:right="-646"/>
        <w:jc w:val="both"/>
        <w:rPr>
          <w:color w:val="000000"/>
        </w:rPr>
      </w:pPr>
      <w:r>
        <w:rPr>
          <w:rFonts w:ascii="Palatino Linotype" w:eastAsia="Palatino Linotype" w:hAnsi="Palatino Linotype" w:cs="Palatino Linotype"/>
          <w:color w:val="000000"/>
        </w:rPr>
        <w:lastRenderedPageBreak/>
        <w:t xml:space="preserve">Por lo anteriormente expuesto y fundado, 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 </w:t>
      </w:r>
      <w:r>
        <w:rPr>
          <w:rFonts w:ascii="Palatino Linotype" w:eastAsia="Palatino Linotype" w:hAnsi="Palatino Linotype" w:cs="Palatino Linotype"/>
        </w:rPr>
        <w:t>—----------------------------------------------------------------------------------------------------</w:t>
      </w:r>
    </w:p>
    <w:p w14:paraId="287B6816" w14:textId="77777777" w:rsidR="00D71285" w:rsidRDefault="00D71285">
      <w:pPr>
        <w:ind w:right="-646"/>
        <w:rPr>
          <w:rFonts w:ascii="Palatino Linotype" w:eastAsia="Palatino Linotype" w:hAnsi="Palatino Linotype" w:cs="Palatino Linotype"/>
          <w:color w:val="000000"/>
        </w:rPr>
      </w:pPr>
    </w:p>
    <w:p w14:paraId="2154E764" w14:textId="77777777" w:rsidR="00D71285" w:rsidRDefault="00AC7421">
      <w:pPr>
        <w:pStyle w:val="Ttulo1"/>
        <w:spacing w:before="0" w:line="360" w:lineRule="auto"/>
        <w:ind w:right="-646"/>
        <w:jc w:val="center"/>
        <w:rPr>
          <w:b/>
          <w:color w:val="000000"/>
        </w:rPr>
      </w:pPr>
      <w:bookmarkStart w:id="11" w:name="_heading=h.3rdcrjn" w:colFirst="0" w:colLast="0"/>
      <w:bookmarkEnd w:id="11"/>
      <w:r>
        <w:rPr>
          <w:b/>
          <w:color w:val="000000"/>
        </w:rPr>
        <w:t>R E S O L U T I V O S</w:t>
      </w:r>
    </w:p>
    <w:p w14:paraId="513DA12C" w14:textId="77777777" w:rsidR="00D71285" w:rsidRDefault="00D71285">
      <w:pPr>
        <w:spacing w:line="360" w:lineRule="auto"/>
        <w:ind w:right="-646"/>
        <w:jc w:val="both"/>
        <w:rPr>
          <w:rFonts w:ascii="Palatino Linotype" w:eastAsia="Palatino Linotype" w:hAnsi="Palatino Linotype" w:cs="Palatino Linotype"/>
          <w:b/>
        </w:rPr>
      </w:pPr>
    </w:p>
    <w:p w14:paraId="445CF784" w14:textId="77777777" w:rsidR="00D71285" w:rsidRDefault="00AC7421">
      <w:pPr>
        <w:spacing w:line="360" w:lineRule="auto"/>
        <w:ind w:right="-646"/>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 fundadas las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razones o motivos de inconformidad hechos valer en el recurso de revisión </w:t>
      </w:r>
      <w:r>
        <w:rPr>
          <w:rFonts w:ascii="Palatino Linotype" w:eastAsia="Palatino Linotype" w:hAnsi="Palatino Linotype" w:cs="Palatino Linotype"/>
          <w:b/>
        </w:rPr>
        <w:t xml:space="preserve">03423/INFOEM/IP/RR/2024 </w:t>
      </w:r>
      <w:r>
        <w:rPr>
          <w:rFonts w:ascii="Palatino Linotype" w:eastAsia="Palatino Linotype" w:hAnsi="Palatino Linotype" w:cs="Palatino Linotype"/>
        </w:rPr>
        <w:t>en términos de los</w:t>
      </w:r>
      <w:r>
        <w:rPr>
          <w:rFonts w:ascii="Palatino Linotype" w:eastAsia="Palatino Linotype" w:hAnsi="Palatino Linotype" w:cs="Palatino Linotype"/>
          <w:b/>
        </w:rPr>
        <w:t xml:space="preserve"> 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CUARTO</w:t>
      </w:r>
      <w:r>
        <w:rPr>
          <w:rFonts w:ascii="Palatino Linotype" w:eastAsia="Palatino Linotype" w:hAnsi="Palatino Linotype" w:cs="Palatino Linotype"/>
        </w:rPr>
        <w:t xml:space="preserve"> y </w:t>
      </w:r>
      <w:r>
        <w:rPr>
          <w:rFonts w:ascii="Palatino Linotype" w:eastAsia="Palatino Linotype" w:hAnsi="Palatino Linotype" w:cs="Palatino Linotype"/>
          <w:b/>
        </w:rPr>
        <w:t>QUINTO</w:t>
      </w:r>
      <w:r>
        <w:rPr>
          <w:rFonts w:ascii="Palatino Linotype" w:eastAsia="Palatino Linotype" w:hAnsi="Palatino Linotype" w:cs="Palatino Linotype"/>
        </w:rPr>
        <w:t xml:space="preserve"> de la presente resolución.</w:t>
      </w:r>
    </w:p>
    <w:p w14:paraId="3D905753" w14:textId="77777777" w:rsidR="00D71285" w:rsidRDefault="00D71285">
      <w:pPr>
        <w:spacing w:line="360" w:lineRule="auto"/>
        <w:ind w:right="-646"/>
        <w:jc w:val="both"/>
        <w:rPr>
          <w:rFonts w:ascii="Palatino Linotype" w:eastAsia="Palatino Linotype" w:hAnsi="Palatino Linotype" w:cs="Palatino Linotype"/>
          <w:b/>
        </w:rPr>
      </w:pPr>
    </w:p>
    <w:p w14:paraId="6572D2DB" w14:textId="77777777" w:rsidR="00D71285" w:rsidRDefault="00AC7421">
      <w:pPr>
        <w:spacing w:line="360" w:lineRule="auto"/>
        <w:ind w:right="-646"/>
        <w:jc w:val="both"/>
        <w:rPr>
          <w:rFonts w:ascii="Palatino Linotype" w:eastAsia="Palatino Linotype" w:hAnsi="Palatino Linotype" w:cs="Palatino Linotype"/>
          <w:color w:val="000000"/>
        </w:rPr>
      </w:pPr>
      <w:bookmarkStart w:id="12" w:name="_heading=h.26in1rg" w:colFirst="0" w:colLast="0"/>
      <w:bookmarkEnd w:id="12"/>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Ayuntamiento de Tlalnepantla de Baz</w:t>
      </w:r>
      <w:r>
        <w:rPr>
          <w:rFonts w:ascii="Palatino Linotype" w:eastAsia="Palatino Linotype" w:hAnsi="Palatino Linotype" w:cs="Palatino Linotype"/>
        </w:rPr>
        <w:t xml:space="preserve"> a la solicitud </w:t>
      </w:r>
      <w:r>
        <w:rPr>
          <w:rFonts w:ascii="Palatino Linotype" w:eastAsia="Palatino Linotype" w:hAnsi="Palatino Linotype" w:cs="Palatino Linotype"/>
          <w:b/>
        </w:rPr>
        <w:t xml:space="preserve">00610/TLALNEPA/IP/2024 </w:t>
      </w:r>
      <w:r>
        <w:rPr>
          <w:rFonts w:ascii="Palatino Linotype" w:eastAsia="Palatino Linotype" w:hAnsi="Palatino Linotype" w:cs="Palatino Linotype"/>
        </w:rPr>
        <w:t xml:space="preserve">y 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entregar, vía Sistema de Acceso a la Información Pública Mexiquense (SAIMEX)</w:t>
      </w:r>
      <w:r>
        <w:rPr>
          <w:rFonts w:ascii="Palatino Linotype" w:eastAsia="Palatino Linotype" w:hAnsi="Palatino Linotype" w:cs="Palatino Linotype"/>
          <w:color w:val="000000"/>
        </w:rPr>
        <w:t xml:space="preserve">, en versión pública, el documento donde conste la siguiente información: </w:t>
      </w:r>
    </w:p>
    <w:p w14:paraId="4A384A10" w14:textId="77777777" w:rsidR="002F392D" w:rsidRDefault="002F392D">
      <w:pPr>
        <w:spacing w:line="360" w:lineRule="auto"/>
        <w:ind w:right="-646"/>
        <w:jc w:val="both"/>
        <w:rPr>
          <w:rFonts w:ascii="Palatino Linotype" w:eastAsia="Palatino Linotype" w:hAnsi="Palatino Linotype" w:cs="Palatino Linotype"/>
          <w:color w:val="000000"/>
        </w:rPr>
      </w:pPr>
    </w:p>
    <w:p w14:paraId="0110153F" w14:textId="77777777" w:rsidR="00D71285" w:rsidRDefault="00AC7421">
      <w:pPr>
        <w:numPr>
          <w:ilvl w:val="0"/>
          <w:numId w:val="4"/>
        </w:numPr>
        <w:pBdr>
          <w:top w:val="nil"/>
          <w:left w:val="nil"/>
          <w:bottom w:val="nil"/>
          <w:right w:val="nil"/>
          <w:between w:val="nil"/>
        </w:pBdr>
        <w:tabs>
          <w:tab w:val="left" w:pos="426"/>
        </w:tabs>
        <w:spacing w:line="360" w:lineRule="auto"/>
        <w:ind w:left="1134" w:right="-646" w:hanging="283"/>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Nómina del personal sindicalizado, correspondiente a la primera quincena de abril de dos mil veinticuatro.</w:t>
      </w:r>
    </w:p>
    <w:p w14:paraId="610BC4C3" w14:textId="77777777" w:rsidR="00D71285" w:rsidRDefault="00D71285">
      <w:pPr>
        <w:pBdr>
          <w:top w:val="nil"/>
          <w:left w:val="nil"/>
          <w:bottom w:val="nil"/>
          <w:right w:val="nil"/>
          <w:between w:val="nil"/>
        </w:pBdr>
        <w:tabs>
          <w:tab w:val="left" w:pos="426"/>
        </w:tabs>
        <w:spacing w:line="360" w:lineRule="auto"/>
        <w:ind w:left="1701" w:right="-646"/>
        <w:jc w:val="both"/>
        <w:rPr>
          <w:rFonts w:ascii="Palatino Linotype" w:eastAsia="Palatino Linotype" w:hAnsi="Palatino Linotype" w:cs="Palatino Linotype"/>
          <w:b/>
          <w:color w:val="000000"/>
        </w:rPr>
      </w:pPr>
    </w:p>
    <w:p w14:paraId="1B88537F" w14:textId="77777777" w:rsidR="00D71285" w:rsidRDefault="00AC7421">
      <w:pPr>
        <w:tabs>
          <w:tab w:val="left" w:pos="993"/>
        </w:tabs>
        <w:spacing w:line="360" w:lineRule="auto"/>
        <w:ind w:right="-646"/>
        <w:jc w:val="both"/>
        <w:rPr>
          <w:rFonts w:ascii="Palatino Linotype" w:eastAsia="Palatino Linotype" w:hAnsi="Palatino Linotype" w:cs="Palatino Linotype"/>
        </w:rPr>
      </w:pPr>
      <w:bookmarkStart w:id="13" w:name="_heading=h.lnxbz9" w:colFirst="0" w:colLast="0"/>
      <w:bookmarkEnd w:id="13"/>
      <w:r>
        <w:rPr>
          <w:rFonts w:ascii="Palatino Linotype" w:eastAsia="Palatino Linotype" w:hAnsi="Palatino Linotype" w:cs="Palatino Linotype"/>
          <w:color w:val="000000"/>
        </w:rPr>
        <w:t xml:space="preserve">Para </w:t>
      </w:r>
      <w:r>
        <w:rPr>
          <w:rFonts w:ascii="Palatino Linotype" w:eastAsia="Palatino Linotype" w:hAnsi="Palatino Linotype" w:cs="Palatino Linotype"/>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14:paraId="57F7E83B" w14:textId="77777777" w:rsidR="00D71285" w:rsidRDefault="00D71285">
      <w:pPr>
        <w:tabs>
          <w:tab w:val="left" w:pos="993"/>
        </w:tabs>
        <w:spacing w:line="360" w:lineRule="auto"/>
        <w:ind w:right="-646"/>
        <w:jc w:val="both"/>
        <w:rPr>
          <w:rFonts w:ascii="Palatino Linotype" w:eastAsia="Palatino Linotype" w:hAnsi="Palatino Linotype" w:cs="Palatino Linotype"/>
        </w:rPr>
      </w:pPr>
    </w:p>
    <w:p w14:paraId="5C950902" w14:textId="77777777" w:rsidR="00D71285" w:rsidRDefault="00AC7421">
      <w:pPr>
        <w:spacing w:line="360" w:lineRule="auto"/>
        <w:ind w:right="-646"/>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TERCERO.</w:t>
      </w:r>
      <w:r>
        <w:rPr>
          <w:rFonts w:ascii="Palatino Linotype" w:eastAsia="Palatino Linotype" w:hAnsi="Palatino Linotype" w:cs="Palatino Linotype"/>
          <w:color w:val="000000"/>
        </w:rPr>
        <w:t xml:space="preserve"> Notifíquese al </w:t>
      </w:r>
      <w:r>
        <w:rPr>
          <w:rFonts w:ascii="Palatino Linotype" w:eastAsia="Palatino Linotype" w:hAnsi="Palatino Linotype" w:cs="Palatino Linotype"/>
          <w:color w:val="222222"/>
        </w:rPr>
        <w:t xml:space="preserve">Titular de la Unidad de Transparencia del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vía SAIMEX, la presente resolución, para que conforme al artículo 186 </w:t>
      </w:r>
      <w:r>
        <w:rPr>
          <w:rFonts w:ascii="Palatino Linotype" w:eastAsia="Palatino Linotype" w:hAnsi="Palatino Linotype" w:cs="Palatino Linotype"/>
          <w:color w:val="222222"/>
        </w:rPr>
        <w:lastRenderedPageBreak/>
        <w:t xml:space="preserve">último párrafo, 189 segundo párrafo y 194 de la Ley de Transparencia y Acceso a la Información Pública del Estado de México y Municipios </w:t>
      </w:r>
      <w:r>
        <w:rPr>
          <w:rFonts w:ascii="Palatino Linotype" w:eastAsia="Palatino Linotype" w:hAnsi="Palatino Linotype" w:cs="Palatino Linotype"/>
          <w:b/>
          <w:color w:val="222222"/>
        </w:rPr>
        <w:t>dé cumplimiento a lo ordenado dentro del plazo de diez días hábiles,</w:t>
      </w:r>
      <w:r>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Pr>
          <w:rFonts w:ascii="Palatino Linotype" w:eastAsia="Palatino Linotype" w:hAnsi="Palatino Linotype" w:cs="Palatino Linotype"/>
          <w:color w:val="000000"/>
        </w:rPr>
        <w:t>.</w:t>
      </w:r>
    </w:p>
    <w:p w14:paraId="5C8768F1" w14:textId="77777777" w:rsidR="00D71285" w:rsidRDefault="00D71285">
      <w:pPr>
        <w:spacing w:line="360" w:lineRule="auto"/>
        <w:ind w:right="-646"/>
        <w:jc w:val="both"/>
        <w:rPr>
          <w:rFonts w:ascii="Palatino Linotype" w:eastAsia="Palatino Linotype" w:hAnsi="Palatino Linotype" w:cs="Palatino Linotype"/>
          <w:color w:val="000000"/>
        </w:rPr>
      </w:pPr>
    </w:p>
    <w:p w14:paraId="51D1CFE0" w14:textId="77777777" w:rsidR="00D71285" w:rsidRDefault="00AC7421">
      <w:pPr>
        <w:spacing w:line="360" w:lineRule="auto"/>
        <w:ind w:right="-646"/>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CUARTO.</w:t>
      </w:r>
      <w:r>
        <w:rPr>
          <w:rFonts w:ascii="Palatino Linotype" w:eastAsia="Palatino Linotype" w:hAnsi="Palatino Linotype" w:cs="Palatino Linotype"/>
          <w:color w:val="000000"/>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14:paraId="7920948C" w14:textId="77777777" w:rsidR="00D71285" w:rsidRDefault="00D71285">
      <w:pPr>
        <w:spacing w:line="360" w:lineRule="auto"/>
        <w:ind w:right="-646"/>
        <w:jc w:val="both"/>
        <w:rPr>
          <w:rFonts w:ascii="Palatino Linotype" w:eastAsia="Palatino Linotype" w:hAnsi="Palatino Linotype" w:cs="Palatino Linotype"/>
          <w:color w:val="000000"/>
        </w:rPr>
      </w:pPr>
    </w:p>
    <w:p w14:paraId="71EFA655" w14:textId="77777777" w:rsidR="00D71285" w:rsidRDefault="00AC7421">
      <w:pPr>
        <w:spacing w:line="360" w:lineRule="auto"/>
        <w:ind w:right="-646"/>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QUINTO. </w:t>
      </w:r>
      <w:r>
        <w:rPr>
          <w:rFonts w:ascii="Palatino Linotype" w:eastAsia="Palatino Linotype" w:hAnsi="Palatino Linotype" w:cs="Palatino Linotype"/>
          <w:color w:val="000000"/>
        </w:rPr>
        <w:t xml:space="preserve">Notifíquese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la presente resolución vía Sistema de Acceso a la Información Mexiquense (SAIMEX).</w:t>
      </w:r>
    </w:p>
    <w:p w14:paraId="11CD053D" w14:textId="77777777" w:rsidR="00D71285" w:rsidRDefault="00D71285">
      <w:pPr>
        <w:spacing w:line="360" w:lineRule="auto"/>
        <w:ind w:right="-646"/>
        <w:jc w:val="both"/>
        <w:rPr>
          <w:rFonts w:ascii="Palatino Linotype" w:eastAsia="Palatino Linotype" w:hAnsi="Palatino Linotype" w:cs="Palatino Linotype"/>
          <w:b/>
        </w:rPr>
      </w:pPr>
    </w:p>
    <w:p w14:paraId="014EC078" w14:textId="77777777" w:rsidR="00D71285" w:rsidRDefault="00AC7421">
      <w:pPr>
        <w:spacing w:line="360" w:lineRule="auto"/>
        <w:ind w:right="-646"/>
        <w:jc w:val="both"/>
        <w:rPr>
          <w:rFonts w:ascii="Palatino Linotype" w:eastAsia="Palatino Linotype" w:hAnsi="Palatino Linotype" w:cs="Palatino Linotype"/>
          <w:color w:val="000000"/>
        </w:rPr>
      </w:pPr>
      <w:r>
        <w:rPr>
          <w:rFonts w:ascii="Palatino Linotype" w:eastAsia="Palatino Linotype" w:hAnsi="Palatino Linotype" w:cs="Palatino Linotype"/>
          <w:b/>
        </w:rPr>
        <w:t>SEXTO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 hace del conocimiento del</w:t>
      </w:r>
      <w:r>
        <w:rPr>
          <w:rFonts w:ascii="Palatino Linotype" w:eastAsia="Palatino Linotype" w:hAnsi="Palatino Linotype" w:cs="Palatino Linotype"/>
          <w:b/>
          <w:color w:val="000000"/>
        </w:rPr>
        <w:t xml:space="preserve"> RECURRENTE </w:t>
      </w:r>
      <w:r>
        <w:rPr>
          <w:rFonts w:ascii="Palatino Linotype" w:eastAsia="Palatino Linotype" w:hAnsi="Palatino Linotype" w:cs="Palatino Linotype"/>
          <w:color w:val="000000"/>
        </w:rPr>
        <w:t xml:space="preserve">que, de conformidad con lo establecido en el artículo 196 de la Ley de Transparencia y Acceso a la Información Pública del Estado de México y Municipios, en caso de que considere que la resolución le cause algún perjuicio podrá </w:t>
      </w:r>
      <w:r>
        <w:rPr>
          <w:rFonts w:ascii="Palatino Linotype" w:eastAsia="Palatino Linotype" w:hAnsi="Palatino Linotype" w:cs="Palatino Linotype"/>
        </w:rPr>
        <w:t>impugnar vía</w:t>
      </w:r>
      <w:r>
        <w:rPr>
          <w:rFonts w:ascii="Palatino Linotype" w:eastAsia="Palatino Linotype" w:hAnsi="Palatino Linotype" w:cs="Palatino Linotype"/>
          <w:color w:val="000000"/>
        </w:rPr>
        <w:t xml:space="preserve"> juicio de amparo en los términos de las leyes aplicables.</w:t>
      </w:r>
    </w:p>
    <w:p w14:paraId="453A5DC3" w14:textId="77777777" w:rsidR="00D71285" w:rsidRDefault="00D71285">
      <w:pPr>
        <w:spacing w:line="360" w:lineRule="auto"/>
        <w:ind w:right="-646"/>
        <w:jc w:val="both"/>
        <w:rPr>
          <w:rFonts w:ascii="Palatino Linotype" w:eastAsia="Palatino Linotype" w:hAnsi="Palatino Linotype" w:cs="Palatino Linotype"/>
          <w:color w:val="000000"/>
        </w:rPr>
      </w:pPr>
    </w:p>
    <w:p w14:paraId="22DDC8D8" w14:textId="77777777" w:rsidR="00516576" w:rsidRDefault="00516576">
      <w:pPr>
        <w:spacing w:line="360" w:lineRule="auto"/>
        <w:ind w:right="-646"/>
        <w:jc w:val="both"/>
        <w:rPr>
          <w:rFonts w:ascii="Palatino Linotype" w:eastAsia="Palatino Linotype" w:hAnsi="Palatino Linotype" w:cs="Palatino Linotype"/>
          <w:color w:val="000000"/>
        </w:rPr>
      </w:pPr>
    </w:p>
    <w:p w14:paraId="316EB992" w14:textId="77777777" w:rsidR="00516576" w:rsidRDefault="00516576">
      <w:pPr>
        <w:spacing w:line="360" w:lineRule="auto"/>
        <w:ind w:right="-646"/>
        <w:jc w:val="both"/>
        <w:rPr>
          <w:rFonts w:ascii="Palatino Linotype" w:eastAsia="Palatino Linotype" w:hAnsi="Palatino Linotype" w:cs="Palatino Linotype"/>
          <w:color w:val="000000"/>
        </w:rPr>
      </w:pPr>
    </w:p>
    <w:p w14:paraId="7FD1EB3B" w14:textId="77777777" w:rsidR="00516576" w:rsidRDefault="00516576">
      <w:pPr>
        <w:spacing w:line="360" w:lineRule="auto"/>
        <w:ind w:right="-646"/>
        <w:jc w:val="both"/>
        <w:rPr>
          <w:rFonts w:ascii="Palatino Linotype" w:eastAsia="Palatino Linotype" w:hAnsi="Palatino Linotype" w:cs="Palatino Linotype"/>
          <w:color w:val="000000"/>
        </w:rPr>
      </w:pPr>
    </w:p>
    <w:p w14:paraId="22DF5FF8" w14:textId="77777777" w:rsidR="00E253A6" w:rsidRPr="003C7186" w:rsidRDefault="00E253A6" w:rsidP="00E253A6">
      <w:pPr>
        <w:spacing w:line="360" w:lineRule="auto"/>
        <w:ind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w:t>
      </w:r>
      <w:r w:rsidRPr="003C7186">
        <w:rPr>
          <w:rFonts w:ascii="Palatino Linotype" w:hAnsi="Palatino Linotype"/>
        </w:rPr>
        <w:t xml:space="preserve">Y GUADALUPE RAMÍREZ PEÑA </w:t>
      </w:r>
      <w:r>
        <w:rPr>
          <w:rFonts w:ascii="Palatino Linotype" w:hAnsi="Palatino Linotype"/>
        </w:rPr>
        <w:t xml:space="preserve">(AUSENCIA JUSTIFICADA)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TERCERA </w:t>
      </w:r>
      <w:r w:rsidRPr="003C7186">
        <w:rPr>
          <w:rFonts w:ascii="Palatino Linotype" w:hAnsi="Palatino Linotype"/>
        </w:rPr>
        <w:t xml:space="preserve">SESIÓN ORDINARIA CELEBRADA EL </w:t>
      </w:r>
      <w:r>
        <w:rPr>
          <w:rFonts w:ascii="Palatino Linotype" w:hAnsi="Palatino Linotype"/>
        </w:rPr>
        <w:t>DIECINUEVE</w:t>
      </w:r>
      <w:r w:rsidRPr="003C7186">
        <w:rPr>
          <w:rFonts w:ascii="Palatino Linotype" w:hAnsi="Palatino Linotype"/>
        </w:rPr>
        <w:t xml:space="preserve"> </w:t>
      </w:r>
      <w:r>
        <w:rPr>
          <w:rFonts w:ascii="Palatino Linotype" w:hAnsi="Palatino Linotype"/>
        </w:rPr>
        <w:t>(19) DE SEPTIEMBRE</w:t>
      </w:r>
      <w:r w:rsidRPr="003C7186">
        <w:rPr>
          <w:rFonts w:ascii="Palatino Linotype" w:hAnsi="Palatino Linotype"/>
        </w:rPr>
        <w:t xml:space="preserve"> DE DOS MIL VEINTICUATRO, ANTE EL SECRETARIO TÉCNICO DEL PLENO ALEXIS TAPIA RAMÍREZ. </w:t>
      </w:r>
    </w:p>
    <w:p w14:paraId="2FEF0D4C" w14:textId="77777777" w:rsidR="00D71285" w:rsidRDefault="00D71285">
      <w:pPr>
        <w:spacing w:line="360" w:lineRule="auto"/>
        <w:ind w:right="-646"/>
        <w:jc w:val="both"/>
        <w:rPr>
          <w:rFonts w:ascii="Palatino Linotype" w:eastAsia="Palatino Linotype" w:hAnsi="Palatino Linotype" w:cs="Palatino Linotype"/>
        </w:rPr>
      </w:pPr>
    </w:p>
    <w:p w14:paraId="00DDFA33" w14:textId="77777777" w:rsidR="00D71285" w:rsidRDefault="00D71285">
      <w:pPr>
        <w:spacing w:line="360" w:lineRule="auto"/>
        <w:ind w:right="-646"/>
        <w:jc w:val="both"/>
        <w:rPr>
          <w:rFonts w:ascii="Palatino Linotype" w:eastAsia="Palatino Linotype" w:hAnsi="Palatino Linotype" w:cs="Palatino Linotype"/>
        </w:rPr>
      </w:pPr>
    </w:p>
    <w:p w14:paraId="5ED424FB" w14:textId="77777777" w:rsidR="00D71285" w:rsidRDefault="00D71285">
      <w:pPr>
        <w:spacing w:line="360" w:lineRule="auto"/>
        <w:ind w:right="-646"/>
        <w:jc w:val="both"/>
        <w:rPr>
          <w:rFonts w:ascii="Palatino Linotype" w:eastAsia="Palatino Linotype" w:hAnsi="Palatino Linotype" w:cs="Palatino Linotype"/>
        </w:rPr>
      </w:pPr>
    </w:p>
    <w:p w14:paraId="0B9BA2B4" w14:textId="77777777" w:rsidR="00D71285" w:rsidRDefault="00D71285">
      <w:pPr>
        <w:spacing w:line="360" w:lineRule="auto"/>
        <w:ind w:right="-646"/>
        <w:jc w:val="both"/>
        <w:rPr>
          <w:rFonts w:ascii="Palatino Linotype" w:eastAsia="Palatino Linotype" w:hAnsi="Palatino Linotype" w:cs="Palatino Linotype"/>
        </w:rPr>
      </w:pPr>
    </w:p>
    <w:p w14:paraId="6CBD9972" w14:textId="77777777" w:rsidR="00D71285" w:rsidRDefault="00D71285">
      <w:pPr>
        <w:spacing w:line="360" w:lineRule="auto"/>
        <w:ind w:right="-646"/>
        <w:jc w:val="both"/>
        <w:rPr>
          <w:rFonts w:ascii="Palatino Linotype" w:eastAsia="Palatino Linotype" w:hAnsi="Palatino Linotype" w:cs="Palatino Linotype"/>
        </w:rPr>
      </w:pPr>
    </w:p>
    <w:p w14:paraId="40B4A43F" w14:textId="77777777" w:rsidR="00D71285" w:rsidRDefault="00D71285">
      <w:pPr>
        <w:spacing w:line="360" w:lineRule="auto"/>
        <w:ind w:right="-646"/>
        <w:jc w:val="both"/>
        <w:rPr>
          <w:rFonts w:ascii="Palatino Linotype" w:eastAsia="Palatino Linotype" w:hAnsi="Palatino Linotype" w:cs="Palatino Linotype"/>
        </w:rPr>
      </w:pPr>
    </w:p>
    <w:p w14:paraId="6D0DEC36" w14:textId="77777777" w:rsidR="00D71285" w:rsidRDefault="00D71285">
      <w:pPr>
        <w:spacing w:line="360" w:lineRule="auto"/>
        <w:ind w:right="-646"/>
        <w:jc w:val="both"/>
        <w:rPr>
          <w:rFonts w:ascii="Palatino Linotype" w:eastAsia="Palatino Linotype" w:hAnsi="Palatino Linotype" w:cs="Palatino Linotype"/>
        </w:rPr>
      </w:pPr>
    </w:p>
    <w:p w14:paraId="4A2BBFF7" w14:textId="77777777" w:rsidR="00D71285" w:rsidRDefault="00D71285">
      <w:pPr>
        <w:spacing w:line="360" w:lineRule="auto"/>
        <w:ind w:right="-646"/>
        <w:jc w:val="both"/>
        <w:rPr>
          <w:rFonts w:ascii="Palatino Linotype" w:eastAsia="Palatino Linotype" w:hAnsi="Palatino Linotype" w:cs="Palatino Linotype"/>
        </w:rPr>
      </w:pPr>
    </w:p>
    <w:p w14:paraId="0B703363" w14:textId="77777777" w:rsidR="00D71285" w:rsidRDefault="00D71285">
      <w:pPr>
        <w:spacing w:line="360" w:lineRule="auto"/>
        <w:ind w:right="-646"/>
        <w:jc w:val="both"/>
        <w:rPr>
          <w:rFonts w:ascii="Palatino Linotype" w:eastAsia="Palatino Linotype" w:hAnsi="Palatino Linotype" w:cs="Palatino Linotype"/>
        </w:rPr>
      </w:pPr>
    </w:p>
    <w:p w14:paraId="6A700978" w14:textId="77777777" w:rsidR="00D71285" w:rsidRDefault="00D71285">
      <w:pPr>
        <w:spacing w:line="360" w:lineRule="auto"/>
        <w:ind w:right="-646"/>
        <w:jc w:val="both"/>
        <w:rPr>
          <w:rFonts w:ascii="Palatino Linotype" w:eastAsia="Palatino Linotype" w:hAnsi="Palatino Linotype" w:cs="Palatino Linotype"/>
        </w:rPr>
      </w:pPr>
    </w:p>
    <w:p w14:paraId="67283CBF" w14:textId="77777777" w:rsidR="00D71285" w:rsidRDefault="00D71285">
      <w:pPr>
        <w:spacing w:line="360" w:lineRule="auto"/>
        <w:ind w:right="-646"/>
        <w:jc w:val="both"/>
        <w:rPr>
          <w:rFonts w:ascii="Palatino Linotype" w:eastAsia="Palatino Linotype" w:hAnsi="Palatino Linotype" w:cs="Palatino Linotype"/>
        </w:rPr>
      </w:pPr>
    </w:p>
    <w:p w14:paraId="0DAF6AC5" w14:textId="77777777" w:rsidR="00D71285" w:rsidRDefault="00D71285">
      <w:pPr>
        <w:spacing w:line="360" w:lineRule="auto"/>
        <w:ind w:right="-646"/>
        <w:jc w:val="both"/>
        <w:rPr>
          <w:rFonts w:ascii="Palatino Linotype" w:eastAsia="Palatino Linotype" w:hAnsi="Palatino Linotype" w:cs="Palatino Linotype"/>
        </w:rPr>
      </w:pPr>
    </w:p>
    <w:p w14:paraId="1D9FB2F4" w14:textId="77777777" w:rsidR="00D71285" w:rsidRDefault="00D71285">
      <w:pPr>
        <w:spacing w:line="360" w:lineRule="auto"/>
        <w:ind w:right="-646"/>
        <w:jc w:val="both"/>
        <w:rPr>
          <w:rFonts w:ascii="Palatino Linotype" w:eastAsia="Palatino Linotype" w:hAnsi="Palatino Linotype" w:cs="Palatino Linotype"/>
        </w:rPr>
      </w:pPr>
    </w:p>
    <w:p w14:paraId="12A0F4A3" w14:textId="77777777" w:rsidR="00D71285" w:rsidRDefault="00D71285">
      <w:pPr>
        <w:spacing w:line="360" w:lineRule="auto"/>
        <w:ind w:right="-646"/>
        <w:jc w:val="both"/>
        <w:rPr>
          <w:rFonts w:ascii="Palatino Linotype" w:eastAsia="Palatino Linotype" w:hAnsi="Palatino Linotype" w:cs="Palatino Linotype"/>
        </w:rPr>
      </w:pPr>
    </w:p>
    <w:p w14:paraId="43D5DB52" w14:textId="77777777" w:rsidR="00D71285" w:rsidRDefault="00D71285">
      <w:pPr>
        <w:spacing w:line="360" w:lineRule="auto"/>
        <w:ind w:right="-646"/>
        <w:jc w:val="both"/>
        <w:rPr>
          <w:rFonts w:ascii="Palatino Linotype" w:eastAsia="Palatino Linotype" w:hAnsi="Palatino Linotype" w:cs="Palatino Linotype"/>
        </w:rPr>
      </w:pPr>
    </w:p>
    <w:p w14:paraId="7E4BA4EA" w14:textId="77777777" w:rsidR="00D71285" w:rsidRDefault="00D71285">
      <w:pPr>
        <w:spacing w:line="360" w:lineRule="auto"/>
        <w:ind w:right="-646"/>
        <w:jc w:val="both"/>
        <w:rPr>
          <w:rFonts w:ascii="Palatino Linotype" w:eastAsia="Palatino Linotype" w:hAnsi="Palatino Linotype" w:cs="Palatino Linotype"/>
        </w:rPr>
      </w:pPr>
    </w:p>
    <w:p w14:paraId="370293D4" w14:textId="77777777" w:rsidR="00D71285" w:rsidRDefault="00D71285">
      <w:pPr>
        <w:spacing w:line="360" w:lineRule="auto"/>
        <w:ind w:right="-646"/>
        <w:jc w:val="both"/>
        <w:rPr>
          <w:rFonts w:ascii="Palatino Linotype" w:eastAsia="Palatino Linotype" w:hAnsi="Palatino Linotype" w:cs="Palatino Linotype"/>
        </w:rPr>
      </w:pPr>
    </w:p>
    <w:p w14:paraId="78EDF85D" w14:textId="77777777" w:rsidR="00D71285" w:rsidRDefault="00D71285">
      <w:pPr>
        <w:spacing w:line="360" w:lineRule="auto"/>
        <w:ind w:right="-646"/>
        <w:jc w:val="both"/>
        <w:rPr>
          <w:rFonts w:ascii="Palatino Linotype" w:eastAsia="Palatino Linotype" w:hAnsi="Palatino Linotype" w:cs="Palatino Linotype"/>
        </w:rPr>
      </w:pPr>
    </w:p>
    <w:p w14:paraId="6D44CC1E" w14:textId="49304679" w:rsidR="00D71285" w:rsidRDefault="00D71285">
      <w:pPr>
        <w:ind w:right="-646"/>
        <w:rPr>
          <w:rFonts w:ascii="Palatino Linotype" w:eastAsia="Palatino Linotype" w:hAnsi="Palatino Linotype" w:cs="Palatino Linotype"/>
          <w:color w:val="000000"/>
        </w:rPr>
      </w:pPr>
    </w:p>
    <w:sectPr w:rsidR="00D71285">
      <w:headerReference w:type="default" r:id="rId19"/>
      <w:footerReference w:type="default" r:id="rId20"/>
      <w:headerReference w:type="first" r:id="rId21"/>
      <w:footerReference w:type="first" r:id="rId22"/>
      <w:pgSz w:w="12240" w:h="15840"/>
      <w:pgMar w:top="2021"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EE64D" w14:textId="77777777" w:rsidR="00D71F7B" w:rsidRDefault="00D71F7B">
      <w:r>
        <w:separator/>
      </w:r>
    </w:p>
  </w:endnote>
  <w:endnote w:type="continuationSeparator" w:id="0">
    <w:p w14:paraId="1D4B82FF" w14:textId="77777777" w:rsidR="00D71F7B" w:rsidRDefault="00D71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432D5" w14:textId="77777777" w:rsidR="00D71285" w:rsidRDefault="00AC742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516576">
      <w:rPr>
        <w:rFonts w:ascii="Palatino Linotype" w:eastAsia="Palatino Linotype" w:hAnsi="Palatino Linotype" w:cs="Palatino Linotype"/>
        <w:b/>
        <w:noProof/>
        <w:color w:val="000000"/>
        <w:sz w:val="22"/>
        <w:szCs w:val="22"/>
      </w:rPr>
      <w:t>52</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516576">
      <w:rPr>
        <w:rFonts w:ascii="Palatino Linotype" w:eastAsia="Palatino Linotype" w:hAnsi="Palatino Linotype" w:cs="Palatino Linotype"/>
        <w:b/>
        <w:noProof/>
        <w:color w:val="000000"/>
        <w:sz w:val="22"/>
        <w:szCs w:val="22"/>
      </w:rPr>
      <w:t>52</w:t>
    </w:r>
    <w:r>
      <w:rPr>
        <w:rFonts w:ascii="Palatino Linotype" w:eastAsia="Palatino Linotype" w:hAnsi="Palatino Linotype" w:cs="Palatino Linotype"/>
        <w:b/>
        <w:color w:val="000000"/>
        <w:sz w:val="22"/>
        <w:szCs w:val="22"/>
      </w:rPr>
      <w:fldChar w:fldCharType="end"/>
    </w:r>
  </w:p>
  <w:p w14:paraId="6C2F06E5" w14:textId="77777777" w:rsidR="00D71285" w:rsidRDefault="00D71285">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FA9B" w14:textId="77777777" w:rsidR="00D71285" w:rsidRDefault="00AC742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16576">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16576">
      <w:rPr>
        <w:rFonts w:ascii="Palatino Linotype" w:eastAsia="Palatino Linotype" w:hAnsi="Palatino Linotype" w:cs="Palatino Linotype"/>
        <w:noProof/>
        <w:color w:val="000000"/>
        <w:sz w:val="22"/>
        <w:szCs w:val="22"/>
      </w:rPr>
      <w:t>51</w:t>
    </w:r>
    <w:r>
      <w:rPr>
        <w:rFonts w:ascii="Palatino Linotype" w:eastAsia="Palatino Linotype" w:hAnsi="Palatino Linotype" w:cs="Palatino Linotype"/>
        <w:color w:val="000000"/>
        <w:sz w:val="22"/>
        <w:szCs w:val="22"/>
      </w:rPr>
      <w:fldChar w:fldCharType="end"/>
    </w:r>
  </w:p>
  <w:p w14:paraId="2D72C961" w14:textId="77777777" w:rsidR="00D71285" w:rsidRDefault="00D71285">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6CE31" w14:textId="77777777" w:rsidR="00D71F7B" w:rsidRDefault="00D71F7B">
      <w:r>
        <w:separator/>
      </w:r>
    </w:p>
  </w:footnote>
  <w:footnote w:type="continuationSeparator" w:id="0">
    <w:p w14:paraId="049458FA" w14:textId="77777777" w:rsidR="00D71F7B" w:rsidRDefault="00D71F7B">
      <w:r>
        <w:continuationSeparator/>
      </w:r>
    </w:p>
  </w:footnote>
  <w:footnote w:id="1">
    <w:p w14:paraId="044A62ED" w14:textId="77777777" w:rsidR="00D71285" w:rsidRDefault="00AC7421">
      <w:pPr>
        <w:jc w:val="both"/>
        <w:rPr>
          <w:sz w:val="20"/>
          <w:szCs w:val="20"/>
        </w:rPr>
      </w:pPr>
      <w:r>
        <w:rPr>
          <w:vertAlign w:val="superscript"/>
        </w:rPr>
        <w:footnoteRef/>
      </w:r>
      <w:r>
        <w:t xml:space="preserve"> “</w:t>
      </w:r>
      <w:r>
        <w:rPr>
          <w:i/>
          <w:sz w:val="20"/>
          <w:szCs w:val="20"/>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sz w:val="20"/>
          <w:szCs w:val="20"/>
        </w:rPr>
        <w:t>”</w:t>
      </w:r>
    </w:p>
  </w:footnote>
  <w:footnote w:id="2">
    <w:p w14:paraId="34C1D578" w14:textId="58EF846F" w:rsidR="00D71285" w:rsidRDefault="00AC742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Consultable en el Sem</w:t>
      </w:r>
      <w:r w:rsidR="00E71C21">
        <w:rPr>
          <w:color w:val="000000"/>
          <w:sz w:val="20"/>
          <w:szCs w:val="20"/>
        </w:rPr>
        <w:t>a</w:t>
      </w:r>
      <w:r>
        <w:rPr>
          <w:color w:val="000000"/>
          <w:sz w:val="20"/>
          <w:szCs w:val="20"/>
        </w:rPr>
        <w:t>nario Judicial de la Federación y su gaceta, con el registro digital 2002351.</w:t>
      </w:r>
    </w:p>
  </w:footnote>
  <w:footnote w:id="3">
    <w:p w14:paraId="0B273F5A" w14:textId="7B3ABB57" w:rsidR="00D71285" w:rsidRDefault="00AC742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Consultable en el Sem</w:t>
      </w:r>
      <w:r w:rsidR="00E71C21">
        <w:rPr>
          <w:color w:val="000000"/>
          <w:sz w:val="20"/>
          <w:szCs w:val="20"/>
        </w:rPr>
        <w:t>a</w:t>
      </w:r>
      <w:r>
        <w:rPr>
          <w:color w:val="000000"/>
          <w:sz w:val="20"/>
          <w:szCs w:val="20"/>
        </w:rPr>
        <w:t>nario Judicial de la Federación y su gaceta, con el registro digital 2002350.</w:t>
      </w:r>
    </w:p>
  </w:footnote>
  <w:footnote w:id="4">
    <w:p w14:paraId="7BB6229A" w14:textId="77777777" w:rsidR="00D71285" w:rsidRDefault="00AC7421">
      <w:pPr>
        <w:pBdr>
          <w:top w:val="nil"/>
          <w:left w:val="nil"/>
          <w:bottom w:val="nil"/>
          <w:right w:val="nil"/>
          <w:between w:val="nil"/>
        </w:pBdr>
        <w:jc w:val="both"/>
        <w:rPr>
          <w:i/>
          <w:color w:val="000000"/>
          <w:sz w:val="20"/>
          <w:szCs w:val="20"/>
        </w:rPr>
      </w:pPr>
      <w:r>
        <w:rPr>
          <w:vertAlign w:val="superscript"/>
        </w:rPr>
        <w:footnoteRef/>
      </w:r>
      <w:r>
        <w:rPr>
          <w:color w:val="000000"/>
          <w:sz w:val="20"/>
          <w:szCs w:val="20"/>
        </w:rPr>
        <w:t xml:space="preserve"> </w:t>
      </w:r>
      <w:r>
        <w:rPr>
          <w:i/>
          <w:color w:val="000000"/>
          <w:sz w:val="20"/>
          <w:szCs w:val="20"/>
        </w:rPr>
        <w:t>“</w:t>
      </w:r>
      <w:r>
        <w:rPr>
          <w:b/>
          <w:i/>
          <w:color w:val="000000"/>
          <w:sz w:val="20"/>
          <w:szCs w:val="20"/>
        </w:rPr>
        <w:t xml:space="preserve">Artículo 179. </w:t>
      </w:r>
      <w:r>
        <w:rPr>
          <w:i/>
          <w:color w:val="000000"/>
          <w:sz w:val="20"/>
          <w:szCs w:val="20"/>
        </w:rPr>
        <w:t>El recurso de revisión es un medio de protección que la Ley otorga a los particulares, para hacer valer su derecho de acceso a la información pública, y procederá en contra de las siguientes causas:</w:t>
      </w:r>
    </w:p>
    <w:p w14:paraId="155A7605" w14:textId="77777777" w:rsidR="00D71285" w:rsidRDefault="00AC7421">
      <w:pPr>
        <w:pBdr>
          <w:top w:val="nil"/>
          <w:left w:val="nil"/>
          <w:bottom w:val="nil"/>
          <w:right w:val="nil"/>
          <w:between w:val="nil"/>
        </w:pBdr>
        <w:jc w:val="both"/>
        <w:rPr>
          <w:i/>
          <w:color w:val="000000"/>
          <w:sz w:val="20"/>
          <w:szCs w:val="20"/>
        </w:rPr>
      </w:pPr>
      <w:r>
        <w:rPr>
          <w:i/>
          <w:color w:val="000000"/>
          <w:sz w:val="20"/>
          <w:szCs w:val="20"/>
        </w:rPr>
        <w:t>(...)</w:t>
      </w:r>
    </w:p>
    <w:p w14:paraId="4A6E4BE6" w14:textId="77777777" w:rsidR="00D71285" w:rsidRDefault="00AC7421">
      <w:pPr>
        <w:pBdr>
          <w:top w:val="nil"/>
          <w:left w:val="nil"/>
          <w:bottom w:val="nil"/>
          <w:right w:val="nil"/>
          <w:between w:val="nil"/>
        </w:pBdr>
        <w:jc w:val="both"/>
        <w:rPr>
          <w:i/>
          <w:color w:val="000000"/>
          <w:sz w:val="20"/>
          <w:szCs w:val="20"/>
        </w:rPr>
      </w:pPr>
      <w:r>
        <w:rPr>
          <w:b/>
          <w:i/>
          <w:color w:val="000000"/>
          <w:sz w:val="20"/>
          <w:szCs w:val="20"/>
        </w:rPr>
        <w:t>IX.</w:t>
      </w:r>
      <w:r>
        <w:rPr>
          <w:i/>
          <w:color w:val="000000"/>
          <w:sz w:val="20"/>
          <w:szCs w:val="20"/>
        </w:rPr>
        <w:t xml:space="preserve"> La entrega o puesta a disposición de información en un formato incomprensible y/o no accesible para el solicitante; </w:t>
      </w:r>
    </w:p>
    <w:p w14:paraId="0462853C" w14:textId="77777777" w:rsidR="00D71285" w:rsidRDefault="00AC7421">
      <w:pPr>
        <w:pBdr>
          <w:top w:val="nil"/>
          <w:left w:val="nil"/>
          <w:bottom w:val="nil"/>
          <w:right w:val="nil"/>
          <w:between w:val="nil"/>
        </w:pBdr>
        <w:jc w:val="both"/>
        <w:rPr>
          <w:color w:val="000000"/>
          <w:sz w:val="20"/>
          <w:szCs w:val="20"/>
        </w:rPr>
      </w:pPr>
      <w:r>
        <w:rPr>
          <w:i/>
          <w:color w:val="000000"/>
          <w:sz w:val="20"/>
          <w:szCs w:val="20"/>
        </w:rPr>
        <w:t>(...)”</w:t>
      </w:r>
    </w:p>
  </w:footnote>
  <w:footnote w:id="5">
    <w:p w14:paraId="529DF7A2" w14:textId="77777777" w:rsidR="00D71285" w:rsidRDefault="00AC742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6">
    <w:p w14:paraId="1131DB78" w14:textId="77777777" w:rsidR="00D71285" w:rsidRDefault="00AC742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7">
    <w:p w14:paraId="40BD475C" w14:textId="77777777" w:rsidR="00D71285" w:rsidRDefault="00AC7421">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38677A2D" w14:textId="77777777" w:rsidR="00D71285" w:rsidRDefault="00AC7421">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“Artículo </w:t>
      </w:r>
      <w:proofErr w:type="gramStart"/>
      <w:r>
        <w:rPr>
          <w:rFonts w:ascii="Palatino Linotype" w:eastAsia="Palatino Linotype" w:hAnsi="Palatino Linotype" w:cs="Palatino Linotype"/>
          <w:color w:val="000000"/>
          <w:sz w:val="18"/>
          <w:szCs w:val="18"/>
        </w:rPr>
        <w:t>9.(</w:t>
      </w:r>
      <w:proofErr w:type="gramEnd"/>
      <w:r>
        <w:rPr>
          <w:rFonts w:ascii="Palatino Linotype" w:eastAsia="Palatino Linotype" w:hAnsi="Palatino Linotype" w:cs="Palatino Linotype"/>
          <w:color w:val="000000"/>
          <w:sz w:val="18"/>
          <w:szCs w:val="18"/>
        </w:rPr>
        <w:t>…)</w:t>
      </w:r>
    </w:p>
    <w:p w14:paraId="74C6DD72" w14:textId="77777777" w:rsidR="00D71285" w:rsidRDefault="00AC7421">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0C2A5B19" w14:textId="77777777" w:rsidR="00D71285" w:rsidRDefault="00AC7421">
      <w:pPr>
        <w:pBdr>
          <w:top w:val="nil"/>
          <w:left w:val="nil"/>
          <w:bottom w:val="nil"/>
          <w:right w:val="nil"/>
          <w:between w:val="nil"/>
        </w:pBdr>
        <w:rPr>
          <w:color w:val="000000"/>
          <w:sz w:val="20"/>
          <w:szCs w:val="20"/>
        </w:rPr>
      </w:pPr>
      <w:r>
        <w:rPr>
          <w:color w:val="000000"/>
          <w:sz w:val="20"/>
          <w:szCs w:val="20"/>
        </w:rPr>
        <w:t>(…)”</w:t>
      </w:r>
    </w:p>
  </w:footnote>
  <w:footnote w:id="8">
    <w:p w14:paraId="4FF58B26" w14:textId="77777777" w:rsidR="00D71285" w:rsidRDefault="00AC742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50, Ley de Transparencia y Acceso a la Información Pública del Estado de México y Municipios.</w:t>
      </w:r>
    </w:p>
  </w:footnote>
  <w:footnote w:id="9">
    <w:p w14:paraId="19E80C12" w14:textId="77777777" w:rsidR="00D71285" w:rsidRDefault="00AC742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51, Ídem.</w:t>
      </w:r>
    </w:p>
  </w:footnote>
  <w:footnote w:id="10">
    <w:p w14:paraId="7623CB27" w14:textId="77777777" w:rsidR="00D71285" w:rsidRDefault="00AC742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58, Ley de Transparencia y Acceso a la Información Pública del Estado de México y Municipios.</w:t>
      </w:r>
    </w:p>
  </w:footnote>
  <w:footnote w:id="11">
    <w:p w14:paraId="56359559" w14:textId="77777777" w:rsidR="00D71285" w:rsidRDefault="00AC742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59, Ídem.</w:t>
      </w:r>
    </w:p>
  </w:footnote>
  <w:footnote w:id="12">
    <w:p w14:paraId="60AF4CAC" w14:textId="77777777" w:rsidR="00D71285" w:rsidRDefault="00AC7421">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De acuerdo con su portal oficial, </w:t>
      </w:r>
      <w:r>
        <w:rPr>
          <w:i/>
          <w:color w:val="000000"/>
          <w:sz w:val="20"/>
          <w:szCs w:val="20"/>
        </w:rPr>
        <w:t>WinZip</w:t>
      </w:r>
      <w:r>
        <w:rPr>
          <w:color w:val="000000"/>
          <w:sz w:val="20"/>
          <w:szCs w:val="20"/>
        </w:rPr>
        <w:t xml:space="preserve"> es un programa de compresión de archivos específicamente diseñado para el sistema operativo Microsoft Windows, aunque también está disponible para macOS. Disponible en: https://www.winzip.com/es/</w:t>
      </w:r>
    </w:p>
  </w:footnote>
  <w:footnote w:id="13">
    <w:p w14:paraId="401D5E6B" w14:textId="77777777" w:rsidR="00D71285" w:rsidRDefault="00AC742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115, fracción I, Constitución Política de los Estados Unidos Mexicanos.</w:t>
      </w:r>
    </w:p>
  </w:footnote>
  <w:footnote w:id="14">
    <w:p w14:paraId="41BBF2FB" w14:textId="77777777" w:rsidR="00D71285" w:rsidRDefault="00AC742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115, fracción II, Ídem.</w:t>
      </w:r>
    </w:p>
  </w:footnote>
  <w:footnote w:id="15">
    <w:p w14:paraId="6265654B" w14:textId="77777777" w:rsidR="00D71285" w:rsidRDefault="00AC742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87, Ley Orgánica Municipal del Estado de México.</w:t>
      </w:r>
    </w:p>
  </w:footnote>
  <w:footnote w:id="16">
    <w:p w14:paraId="66EBCD7A" w14:textId="77777777" w:rsidR="00D71285" w:rsidRDefault="00AC742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210, Reglamento Interno de la Administración Pública Municipal de Tlalnepantla de Baz.</w:t>
      </w:r>
    </w:p>
  </w:footnote>
  <w:footnote w:id="17">
    <w:p w14:paraId="7F36BC59" w14:textId="77777777" w:rsidR="00D71285" w:rsidRDefault="00AC742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211, Reglamento Interno de la Administración Pública Municipal de Tlalnepantla de Baz.</w:t>
      </w:r>
    </w:p>
  </w:footnote>
  <w:footnote w:id="18">
    <w:p w14:paraId="71E4AC46" w14:textId="77777777" w:rsidR="00D71285" w:rsidRDefault="00AC742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215, Ídem.</w:t>
      </w:r>
    </w:p>
  </w:footnote>
  <w:footnote w:id="19">
    <w:p w14:paraId="6CB1E2B4" w14:textId="77777777" w:rsidR="00D71285" w:rsidRDefault="00AC742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1"/>
      <w:tblW w:w="8265" w:type="dxa"/>
      <w:tblInd w:w="2127" w:type="dxa"/>
      <w:tblBorders>
        <w:top w:val="nil"/>
        <w:left w:val="nil"/>
        <w:bottom w:val="nil"/>
        <w:right w:val="nil"/>
        <w:insideH w:val="nil"/>
        <w:insideV w:val="nil"/>
      </w:tblBorders>
      <w:tblLayout w:type="fixed"/>
      <w:tblLook w:val="0400" w:firstRow="0" w:lastRow="0" w:firstColumn="0" w:lastColumn="0" w:noHBand="0" w:noVBand="1"/>
    </w:tblPr>
    <w:tblGrid>
      <w:gridCol w:w="3825"/>
      <w:gridCol w:w="4440"/>
    </w:tblGrid>
    <w:tr w:rsidR="00D71285" w14:paraId="7F9314FB" w14:textId="77777777" w:rsidTr="00E71C21">
      <w:trPr>
        <w:trHeight w:val="138"/>
      </w:trPr>
      <w:tc>
        <w:tcPr>
          <w:tcW w:w="3825" w:type="dxa"/>
          <w:vAlign w:val="center"/>
        </w:tcPr>
        <w:p w14:paraId="4BA7A6CE" w14:textId="77777777" w:rsidR="00D71285" w:rsidRDefault="00AC7421">
          <w:pPr>
            <w:ind w:right="3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440" w:type="dxa"/>
          <w:vAlign w:val="center"/>
        </w:tcPr>
        <w:p w14:paraId="79B7144F" w14:textId="77777777" w:rsidR="00D71285" w:rsidRDefault="00AC7421">
          <w:pPr>
            <w:pBdr>
              <w:top w:val="nil"/>
              <w:left w:val="nil"/>
              <w:bottom w:val="nil"/>
              <w:right w:val="nil"/>
              <w:between w:val="nil"/>
            </w:pBdr>
            <w:tabs>
              <w:tab w:val="center" w:pos="4252"/>
              <w:tab w:val="right" w:pos="8504"/>
            </w:tabs>
            <w:ind w:right="-1340"/>
            <w:rPr>
              <w:rFonts w:ascii="Palatino Linotype" w:eastAsia="Palatino Linotype" w:hAnsi="Palatino Linotype" w:cs="Palatino Linotype"/>
            </w:rPr>
          </w:pPr>
          <w:r>
            <w:rPr>
              <w:rFonts w:ascii="Palatino Linotype" w:eastAsia="Palatino Linotype" w:hAnsi="Palatino Linotype" w:cs="Palatino Linotype"/>
            </w:rPr>
            <w:t>03423/INFOEM/IP/RR/2024</w:t>
          </w:r>
        </w:p>
      </w:tc>
    </w:tr>
    <w:tr w:rsidR="00D71285" w14:paraId="3CEC59F7" w14:textId="77777777" w:rsidTr="00E71C21">
      <w:trPr>
        <w:trHeight w:val="233"/>
      </w:trPr>
      <w:tc>
        <w:tcPr>
          <w:tcW w:w="3825" w:type="dxa"/>
          <w:vAlign w:val="center"/>
        </w:tcPr>
        <w:p w14:paraId="4898CBCE" w14:textId="77777777" w:rsidR="00D71285" w:rsidRDefault="00AC7421">
          <w:pPr>
            <w:ind w:right="3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440" w:type="dxa"/>
          <w:vAlign w:val="center"/>
        </w:tcPr>
        <w:p w14:paraId="28CF89F6" w14:textId="77777777" w:rsidR="00D71285" w:rsidRDefault="00AC7421">
          <w:pPr>
            <w:pBdr>
              <w:top w:val="nil"/>
              <w:left w:val="nil"/>
              <w:bottom w:val="nil"/>
              <w:right w:val="nil"/>
              <w:between w:val="nil"/>
            </w:pBdr>
            <w:tabs>
              <w:tab w:val="center" w:pos="4252"/>
              <w:tab w:val="right" w:pos="8504"/>
            </w:tabs>
            <w:ind w:right="-1340"/>
            <w:rPr>
              <w:rFonts w:ascii="Palatino Linotype" w:eastAsia="Palatino Linotype" w:hAnsi="Palatino Linotype" w:cs="Palatino Linotype"/>
            </w:rPr>
          </w:pPr>
          <w:r>
            <w:rPr>
              <w:rFonts w:ascii="Palatino Linotype" w:eastAsia="Palatino Linotype" w:hAnsi="Palatino Linotype" w:cs="Palatino Linotype"/>
            </w:rPr>
            <w:t>Ayuntamiento de Tlalnepantla de Baz</w:t>
          </w:r>
        </w:p>
      </w:tc>
    </w:tr>
    <w:tr w:rsidR="00D71285" w14:paraId="4048E3F9" w14:textId="77777777" w:rsidTr="00E71C21">
      <w:trPr>
        <w:trHeight w:val="321"/>
      </w:trPr>
      <w:tc>
        <w:tcPr>
          <w:tcW w:w="3825" w:type="dxa"/>
          <w:vAlign w:val="center"/>
        </w:tcPr>
        <w:p w14:paraId="52442A07" w14:textId="77777777" w:rsidR="00D71285" w:rsidRDefault="00AC7421">
          <w:pPr>
            <w:ind w:right="3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440" w:type="dxa"/>
          <w:vAlign w:val="center"/>
        </w:tcPr>
        <w:p w14:paraId="1C0D2B75" w14:textId="77777777" w:rsidR="00D71285" w:rsidRDefault="00AC7421">
          <w:pPr>
            <w:pBdr>
              <w:top w:val="nil"/>
              <w:left w:val="nil"/>
              <w:bottom w:val="nil"/>
              <w:right w:val="nil"/>
              <w:between w:val="nil"/>
            </w:pBdr>
            <w:tabs>
              <w:tab w:val="center" w:pos="4252"/>
              <w:tab w:val="right" w:pos="8504"/>
            </w:tabs>
            <w:ind w:right="-1340"/>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tc>
    </w:tr>
  </w:tbl>
  <w:p w14:paraId="475E9156" w14:textId="77777777" w:rsidR="00D71285" w:rsidRDefault="00AC7421">
    <w:pPr>
      <w:pBdr>
        <w:top w:val="nil"/>
        <w:left w:val="nil"/>
        <w:bottom w:val="nil"/>
        <w:right w:val="nil"/>
        <w:between w:val="nil"/>
      </w:pBdr>
      <w:tabs>
        <w:tab w:val="center" w:pos="4252"/>
        <w:tab w:val="right" w:pos="8504"/>
      </w:tabs>
      <w:rPr>
        <w:color w:val="000000"/>
      </w:rPr>
    </w:pPr>
    <w:r>
      <w:rPr>
        <w:noProof/>
        <w:color w:val="000000"/>
      </w:rPr>
      <w:drawing>
        <wp:anchor distT="0" distB="0" distL="0" distR="0" simplePos="0" relativeHeight="251657216" behindDoc="1" locked="0" layoutInCell="1" hidden="0" allowOverlap="1" wp14:anchorId="428418EA" wp14:editId="56766754">
          <wp:simplePos x="0" y="0"/>
          <wp:positionH relativeFrom="margin">
            <wp:align>center</wp:align>
          </wp:positionH>
          <wp:positionV relativeFrom="page">
            <wp:posOffset>-160199</wp:posOffset>
          </wp:positionV>
          <wp:extent cx="7694930" cy="10020300"/>
          <wp:effectExtent l="0" t="0" r="1270" b="0"/>
          <wp:wrapNone/>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94930" cy="100203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2"/>
      <w:tblW w:w="8445" w:type="dxa"/>
      <w:tblInd w:w="2127" w:type="dxa"/>
      <w:tblBorders>
        <w:top w:val="nil"/>
        <w:left w:val="nil"/>
        <w:bottom w:val="nil"/>
        <w:right w:val="nil"/>
        <w:insideH w:val="nil"/>
        <w:insideV w:val="nil"/>
      </w:tblBorders>
      <w:tblLayout w:type="fixed"/>
      <w:tblLook w:val="0400" w:firstRow="0" w:lastRow="0" w:firstColumn="0" w:lastColumn="0" w:noHBand="0" w:noVBand="1"/>
    </w:tblPr>
    <w:tblGrid>
      <w:gridCol w:w="3825"/>
      <w:gridCol w:w="4620"/>
    </w:tblGrid>
    <w:tr w:rsidR="00D71285" w14:paraId="315FC2C4" w14:textId="77777777" w:rsidTr="00E71C21">
      <w:trPr>
        <w:trHeight w:val="138"/>
      </w:trPr>
      <w:tc>
        <w:tcPr>
          <w:tcW w:w="3825" w:type="dxa"/>
          <w:vAlign w:val="center"/>
        </w:tcPr>
        <w:p w14:paraId="7B5C6782" w14:textId="77777777" w:rsidR="00D71285" w:rsidRDefault="00AC7421">
          <w:pPr>
            <w:jc w:val="right"/>
            <w:rPr>
              <w:rFonts w:ascii="Palatino Linotype" w:eastAsia="Palatino Linotype" w:hAnsi="Palatino Linotype" w:cs="Palatino Linotype"/>
              <w:b/>
            </w:rPr>
          </w:pPr>
          <w:r>
            <w:tab/>
          </w:r>
          <w:r>
            <w:rPr>
              <w:rFonts w:ascii="Palatino Linotype" w:eastAsia="Palatino Linotype" w:hAnsi="Palatino Linotype" w:cs="Palatino Linotype"/>
              <w:b/>
            </w:rPr>
            <w:t>RECURSO DE REVISIÓN:</w:t>
          </w:r>
        </w:p>
      </w:tc>
      <w:tc>
        <w:tcPr>
          <w:tcW w:w="4620" w:type="dxa"/>
          <w:vAlign w:val="center"/>
        </w:tcPr>
        <w:p w14:paraId="22FBCFCD" w14:textId="77777777" w:rsidR="00D71285" w:rsidRDefault="00AC7421">
          <w:pPr>
            <w:pBdr>
              <w:top w:val="nil"/>
              <w:left w:val="nil"/>
              <w:bottom w:val="nil"/>
              <w:right w:val="nil"/>
              <w:between w:val="nil"/>
            </w:pBdr>
            <w:tabs>
              <w:tab w:val="center" w:pos="4252"/>
              <w:tab w:val="right" w:pos="8504"/>
            </w:tabs>
            <w:ind w:right="-1482"/>
            <w:rPr>
              <w:rFonts w:ascii="Palatino Linotype" w:eastAsia="Palatino Linotype" w:hAnsi="Palatino Linotype" w:cs="Palatino Linotype"/>
            </w:rPr>
          </w:pPr>
          <w:r>
            <w:rPr>
              <w:rFonts w:ascii="Palatino Linotype" w:eastAsia="Palatino Linotype" w:hAnsi="Palatino Linotype" w:cs="Palatino Linotype"/>
            </w:rPr>
            <w:t>03423/INFOEM/IP/RR/2024</w:t>
          </w:r>
        </w:p>
      </w:tc>
    </w:tr>
    <w:tr w:rsidR="00D71285" w14:paraId="0FFFEF46" w14:textId="77777777" w:rsidTr="00E71C21">
      <w:trPr>
        <w:trHeight w:val="233"/>
      </w:trPr>
      <w:tc>
        <w:tcPr>
          <w:tcW w:w="3825" w:type="dxa"/>
          <w:vAlign w:val="center"/>
        </w:tcPr>
        <w:p w14:paraId="41BFA422" w14:textId="77777777" w:rsidR="00D71285" w:rsidRDefault="00AC7421">
          <w:pPr>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20" w:type="dxa"/>
        </w:tcPr>
        <w:p w14:paraId="70087867" w14:textId="5ABC9CEE" w:rsidR="00D71285" w:rsidRDefault="0079386B">
          <w:pPr>
            <w:pBdr>
              <w:top w:val="nil"/>
              <w:left w:val="nil"/>
              <w:bottom w:val="nil"/>
              <w:right w:val="nil"/>
              <w:between w:val="nil"/>
            </w:pBdr>
            <w:tabs>
              <w:tab w:val="center" w:pos="4252"/>
              <w:tab w:val="right" w:pos="8504"/>
            </w:tabs>
            <w:ind w:right="-1482"/>
            <w:rPr>
              <w:rFonts w:ascii="Palatino Linotype" w:eastAsia="Palatino Linotype" w:hAnsi="Palatino Linotype" w:cs="Palatino Linotype"/>
            </w:rPr>
          </w:pPr>
          <w:r>
            <w:rPr>
              <w:rFonts w:ascii="Palatino Linotype" w:eastAsia="Palatino Linotype" w:hAnsi="Palatino Linotype" w:cs="Palatino Linotype"/>
            </w:rPr>
            <w:t xml:space="preserve">XXX </w:t>
          </w:r>
          <w:proofErr w:type="spellStart"/>
          <w:r>
            <w:rPr>
              <w:rFonts w:ascii="Palatino Linotype" w:eastAsia="Palatino Linotype" w:hAnsi="Palatino Linotype" w:cs="Palatino Linotype"/>
            </w:rPr>
            <w:t>XXX</w:t>
          </w:r>
          <w:proofErr w:type="spellEnd"/>
        </w:p>
      </w:tc>
    </w:tr>
    <w:tr w:rsidR="00D71285" w14:paraId="14D99B97" w14:textId="77777777" w:rsidTr="00E71C21">
      <w:trPr>
        <w:trHeight w:val="321"/>
      </w:trPr>
      <w:tc>
        <w:tcPr>
          <w:tcW w:w="3825" w:type="dxa"/>
          <w:vAlign w:val="center"/>
        </w:tcPr>
        <w:p w14:paraId="688AFA9D" w14:textId="77777777" w:rsidR="00D71285" w:rsidRDefault="00AC7421">
          <w:pPr>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20" w:type="dxa"/>
          <w:vAlign w:val="center"/>
        </w:tcPr>
        <w:p w14:paraId="36BD3CFE" w14:textId="77777777" w:rsidR="00D71285" w:rsidRDefault="00AC7421">
          <w:pPr>
            <w:pBdr>
              <w:top w:val="nil"/>
              <w:left w:val="nil"/>
              <w:bottom w:val="nil"/>
              <w:right w:val="nil"/>
              <w:between w:val="nil"/>
            </w:pBdr>
            <w:tabs>
              <w:tab w:val="center" w:pos="4252"/>
              <w:tab w:val="right" w:pos="8504"/>
            </w:tabs>
            <w:ind w:right="-1482"/>
            <w:rPr>
              <w:rFonts w:ascii="Palatino Linotype" w:eastAsia="Palatino Linotype" w:hAnsi="Palatino Linotype" w:cs="Palatino Linotype"/>
            </w:rPr>
          </w:pPr>
          <w:r>
            <w:rPr>
              <w:rFonts w:ascii="Palatino Linotype" w:eastAsia="Palatino Linotype" w:hAnsi="Palatino Linotype" w:cs="Palatino Linotype"/>
            </w:rPr>
            <w:t>Ayuntamiento de Tlalnepantla de Baz</w:t>
          </w:r>
        </w:p>
      </w:tc>
    </w:tr>
    <w:tr w:rsidR="00D71285" w14:paraId="3B148A76" w14:textId="77777777" w:rsidTr="00E71C21">
      <w:trPr>
        <w:trHeight w:val="321"/>
      </w:trPr>
      <w:tc>
        <w:tcPr>
          <w:tcW w:w="3825" w:type="dxa"/>
          <w:vAlign w:val="center"/>
        </w:tcPr>
        <w:p w14:paraId="7B32B5FC" w14:textId="77777777" w:rsidR="00D71285" w:rsidRDefault="00AC7421">
          <w:pPr>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20" w:type="dxa"/>
          <w:vAlign w:val="center"/>
        </w:tcPr>
        <w:p w14:paraId="637C8559" w14:textId="77777777" w:rsidR="00D71285" w:rsidRDefault="00AC7421">
          <w:pPr>
            <w:pBdr>
              <w:top w:val="nil"/>
              <w:left w:val="nil"/>
              <w:bottom w:val="nil"/>
              <w:right w:val="nil"/>
              <w:between w:val="nil"/>
            </w:pBdr>
            <w:tabs>
              <w:tab w:val="center" w:pos="4252"/>
              <w:tab w:val="right" w:pos="8504"/>
            </w:tabs>
            <w:ind w:left="33" w:right="-1482"/>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tc>
    </w:tr>
  </w:tbl>
  <w:p w14:paraId="1E10B69F" w14:textId="77777777" w:rsidR="00D71285" w:rsidRDefault="00D71F7B">
    <w:pPr>
      <w:pBdr>
        <w:top w:val="nil"/>
        <w:left w:val="nil"/>
        <w:bottom w:val="nil"/>
        <w:right w:val="nil"/>
        <w:between w:val="nil"/>
      </w:pBdr>
      <w:tabs>
        <w:tab w:val="center" w:pos="4252"/>
        <w:tab w:val="right" w:pos="8504"/>
        <w:tab w:val="left" w:pos="3103"/>
      </w:tabs>
      <w:rPr>
        <w:color w:val="000000"/>
      </w:rPr>
    </w:pPr>
    <w:r>
      <w:rPr>
        <w:color w:val="000000"/>
      </w:rPr>
      <w:pict w14:anchorId="3F10D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100.1pt;margin-top:-124.35pt;width:663.5pt;height:12in;z-index:-251658240;mso-position-horizontal:absolute;mso-position-horizontal-relative:margin;mso-position-vertical:absolute;mso-position-vertical-relative:margin">
          <v:imagedata r:id="rId1" o:title="image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70C43"/>
    <w:multiLevelType w:val="hybridMultilevel"/>
    <w:tmpl w:val="D5E2B7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94E3575"/>
    <w:multiLevelType w:val="multilevel"/>
    <w:tmpl w:val="1646EF6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lowerLetter"/>
      <w:lvlText w:val="%3)"/>
      <w:lvlJc w:val="left"/>
      <w:pPr>
        <w:ind w:left="2340" w:hanging="360"/>
      </w:pPr>
      <w:rPr>
        <w:b/>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2B27AA"/>
    <w:multiLevelType w:val="multilevel"/>
    <w:tmpl w:val="B44EA61E"/>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E83EA3"/>
    <w:multiLevelType w:val="multilevel"/>
    <w:tmpl w:val="75387BEC"/>
    <w:lvl w:ilvl="0">
      <w:start w:val="1"/>
      <w:numFmt w:val="upperRoman"/>
      <w:lvlText w:val="%1."/>
      <w:lvlJc w:val="righ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B41F6E"/>
    <w:multiLevelType w:val="multilevel"/>
    <w:tmpl w:val="103AE45A"/>
    <w:lvl w:ilvl="0">
      <w:start w:val="1"/>
      <w:numFmt w:val="decimal"/>
      <w:pStyle w:val="Listaconvietas2"/>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B452FA"/>
    <w:multiLevelType w:val="multilevel"/>
    <w:tmpl w:val="105C0D3A"/>
    <w:lvl w:ilvl="0">
      <w:start w:val="1"/>
      <w:numFmt w:val="decimal"/>
      <w:lvlText w:val="%1."/>
      <w:lvlJc w:val="left"/>
      <w:pPr>
        <w:ind w:left="993"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6" w15:restartNumberingAfterBreak="0">
    <w:nsid w:val="36D53A5F"/>
    <w:multiLevelType w:val="multilevel"/>
    <w:tmpl w:val="09EE3600"/>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lowerLetter"/>
      <w:lvlText w:val="%3)"/>
      <w:lvlJc w:val="left"/>
      <w:pPr>
        <w:ind w:left="2340" w:hanging="360"/>
      </w:pPr>
      <w:rPr>
        <w:b/>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C832AAA"/>
    <w:multiLevelType w:val="multilevel"/>
    <w:tmpl w:val="05F4A79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CAD4905"/>
    <w:multiLevelType w:val="multilevel"/>
    <w:tmpl w:val="0F8265E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6114035D"/>
    <w:multiLevelType w:val="multilevel"/>
    <w:tmpl w:val="65D8B0A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6518058B"/>
    <w:multiLevelType w:val="multilevel"/>
    <w:tmpl w:val="9F82D09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lowerLetter"/>
      <w:lvlText w:val="%3)"/>
      <w:lvlJc w:val="left"/>
      <w:pPr>
        <w:ind w:left="2340" w:hanging="360"/>
      </w:pPr>
      <w:rPr>
        <w:b/>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42C11E6"/>
    <w:multiLevelType w:val="multilevel"/>
    <w:tmpl w:val="8F2C02C0"/>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8745A39"/>
    <w:multiLevelType w:val="multilevel"/>
    <w:tmpl w:val="10609A74"/>
    <w:lvl w:ilvl="0">
      <w:start w:val="1"/>
      <w:numFmt w:val="lowerLetter"/>
      <w:lvlText w:val="%1)"/>
      <w:lvlJc w:val="lef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7580699">
    <w:abstractNumId w:val="2"/>
  </w:num>
  <w:num w:numId="2" w16cid:durableId="999772664">
    <w:abstractNumId w:val="4"/>
  </w:num>
  <w:num w:numId="3" w16cid:durableId="1936015925">
    <w:abstractNumId w:val="8"/>
  </w:num>
  <w:num w:numId="4" w16cid:durableId="26487325">
    <w:abstractNumId w:val="3"/>
  </w:num>
  <w:num w:numId="5" w16cid:durableId="1712071306">
    <w:abstractNumId w:val="12"/>
  </w:num>
  <w:num w:numId="6" w16cid:durableId="439840006">
    <w:abstractNumId w:val="11"/>
  </w:num>
  <w:num w:numId="7" w16cid:durableId="336034908">
    <w:abstractNumId w:val="10"/>
  </w:num>
  <w:num w:numId="8" w16cid:durableId="1230844498">
    <w:abstractNumId w:val="1"/>
  </w:num>
  <w:num w:numId="9" w16cid:durableId="351998554">
    <w:abstractNumId w:val="6"/>
  </w:num>
  <w:num w:numId="10" w16cid:durableId="1782872645">
    <w:abstractNumId w:val="7"/>
  </w:num>
  <w:num w:numId="11" w16cid:durableId="1280063865">
    <w:abstractNumId w:val="9"/>
  </w:num>
  <w:num w:numId="12" w16cid:durableId="2085829908">
    <w:abstractNumId w:val="0"/>
  </w:num>
  <w:num w:numId="13" w16cid:durableId="10908572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824640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285"/>
    <w:rsid w:val="000A5718"/>
    <w:rsid w:val="002A10B9"/>
    <w:rsid w:val="002F392D"/>
    <w:rsid w:val="00516576"/>
    <w:rsid w:val="006339FE"/>
    <w:rsid w:val="0079386B"/>
    <w:rsid w:val="0087762F"/>
    <w:rsid w:val="00AC7421"/>
    <w:rsid w:val="00AD5B6B"/>
    <w:rsid w:val="00D71285"/>
    <w:rsid w:val="00D71F7B"/>
    <w:rsid w:val="00E253A6"/>
    <w:rsid w:val="00E71C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7C447"/>
  <w15:docId w15:val="{5C59B8B9-AD1B-4AEF-B873-5352EA088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D12927"/>
    <w:pPr>
      <w:contextualSpacing/>
    </w:pPr>
    <w:rPr>
      <w:rFonts w:asciiTheme="majorHAnsi" w:eastAsiaTheme="majorEastAsia" w:hAnsiTheme="majorHAnsi" w:cstheme="majorBidi"/>
      <w:spacing w:val="-10"/>
      <w:kern w:val="28"/>
      <w:sz w:val="56"/>
      <w:szCs w:val="56"/>
    </w:r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character" w:customStyle="1" w:styleId="TtuloCar">
    <w:name w:val="Título Car"/>
    <w:basedOn w:val="Fuentedeprrafopredeter"/>
    <w:link w:val="Ttul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rPr>
      <w:color w:val="000000"/>
      <w:sz w:val="22"/>
      <w:szCs w:val="22"/>
    </w:rPr>
    <w:tblPr>
      <w:tblStyleRowBandSize w:val="1"/>
      <w:tblStyleColBandSize w:val="1"/>
      <w:tblCellMar>
        <w:left w:w="108" w:type="dxa"/>
        <w:right w:w="108" w:type="dxa"/>
      </w:tblCellMar>
    </w:tblPr>
  </w:style>
  <w:style w:type="table" w:customStyle="1" w:styleId="a2">
    <w:basedOn w:val="TableNormal"/>
    <w:rPr>
      <w:color w:val="000000"/>
      <w:sz w:val="22"/>
      <w:szCs w:val="22"/>
    </w:rPr>
    <w:tblPr>
      <w:tblStyleRowBandSize w:val="1"/>
      <w:tblStyleColBandSize w:val="1"/>
      <w:tblCellMar>
        <w:left w:w="108" w:type="dxa"/>
        <w:right w:w="108" w:type="dxa"/>
      </w:tblCellMar>
    </w:tblPr>
  </w:style>
  <w:style w:type="character" w:styleId="Referenciasutil">
    <w:name w:val="Subtle Reference"/>
    <w:basedOn w:val="Fuentedeprrafopredeter"/>
    <w:uiPriority w:val="31"/>
    <w:qFormat/>
    <w:rsid w:val="00E71C2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304030">
      <w:bodyDiv w:val="1"/>
      <w:marLeft w:val="0"/>
      <w:marRight w:val="0"/>
      <w:marTop w:val="0"/>
      <w:marBottom w:val="0"/>
      <w:divBdr>
        <w:top w:val="none" w:sz="0" w:space="0" w:color="auto"/>
        <w:left w:val="none" w:sz="0" w:space="0" w:color="auto"/>
        <w:bottom w:val="none" w:sz="0" w:space="0" w:color="auto"/>
        <w:right w:val="none" w:sz="0" w:space="0" w:color="auto"/>
      </w:divBdr>
    </w:div>
    <w:div w:id="1702322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ICDsUBOG+a1Mxqm9OxVycOIvFg==">CgMxLjAyCGguZ2pkZ3hzMgloLjMwajB6bGwyCWguMWZvYjl0ZTIJaC4zem55c2g3MgloLjJldDkycDAyCGgudHlqY3d0MgloLjNkeTZ2a20yCWguMXQzaDVzZjIJaC40ZDM0b2c4MgloLjJzOGV5bzEyCWguMTdkcDh2dTIJaC4zcmRjcmpuMgloLjI2aW4xcmcyCGgubG54Yno5OAByITFtbEMwZ1JsakdXSGc2Ulc3MS05WkFJbUtQNnM2QWxUYg==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50</Pages>
  <Words>12862</Words>
  <Characters>70747</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inf03m612@outlook.com</cp:lastModifiedBy>
  <cp:revision>6</cp:revision>
  <dcterms:created xsi:type="dcterms:W3CDTF">2024-09-18T19:42:00Z</dcterms:created>
  <dcterms:modified xsi:type="dcterms:W3CDTF">2024-10-08T17:49:00Z</dcterms:modified>
</cp:coreProperties>
</file>