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213F6B0"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Resolución del Pleno del Instituto de Transparencia, Acceso a la Información Pública y Protección de Datos Personales del Estado de México y Municipios, con domicilio en Metepec, Estado de México, a veintisiete de noviembre de dos mil veinticuatro. </w:t>
      </w:r>
    </w:p>
    <w:p w14:paraId="02EBB96C" w14:textId="275D5D69"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VISTO</w:t>
      </w:r>
      <w:r w:rsidRPr="009045F1">
        <w:rPr>
          <w:rFonts w:ascii="Palatino Linotype" w:eastAsia="Palatino Linotype" w:hAnsi="Palatino Linotype" w:cs="Palatino Linotype"/>
        </w:rPr>
        <w:t xml:space="preserve"> el expediente formado con motivo del recurso de revisión </w:t>
      </w:r>
      <w:r w:rsidRPr="009045F1">
        <w:rPr>
          <w:rFonts w:ascii="Palatino Linotype" w:eastAsia="Palatino Linotype" w:hAnsi="Palatino Linotype" w:cs="Palatino Linotype"/>
          <w:b/>
        </w:rPr>
        <w:t>06754/INFOEM/IP/RR/2024</w:t>
      </w:r>
      <w:r w:rsidRPr="009045F1">
        <w:rPr>
          <w:rFonts w:ascii="Palatino Linotype" w:eastAsia="Palatino Linotype" w:hAnsi="Palatino Linotype" w:cs="Palatino Linotype"/>
        </w:rPr>
        <w:t>, interpuesto por</w:t>
      </w:r>
      <w:r w:rsidRPr="009045F1">
        <w:rPr>
          <w:rFonts w:ascii="Palatino Linotype" w:eastAsia="Palatino Linotype" w:hAnsi="Palatino Linotype" w:cs="Palatino Linotype"/>
          <w:b/>
        </w:rPr>
        <w:t xml:space="preserve"> </w:t>
      </w:r>
      <w:r w:rsidR="00684E41">
        <w:rPr>
          <w:rFonts w:ascii="Palatino Linotype" w:eastAsia="Palatino Linotype" w:hAnsi="Palatino Linotype" w:cs="Palatino Linotype"/>
          <w:b/>
          <w:sz w:val="22"/>
          <w:szCs w:val="22"/>
        </w:rPr>
        <w:t>XXXXXXX XXXXXXXX</w:t>
      </w:r>
      <w:r w:rsidRPr="009045F1">
        <w:rPr>
          <w:rFonts w:ascii="Palatino Linotype" w:eastAsia="Palatino Linotype" w:hAnsi="Palatino Linotype" w:cs="Palatino Linotype"/>
          <w:b/>
        </w:rPr>
        <w:t>,</w:t>
      </w:r>
      <w:r w:rsidRPr="009045F1">
        <w:rPr>
          <w:rFonts w:ascii="Palatino Linotype" w:eastAsia="Palatino Linotype" w:hAnsi="Palatino Linotype" w:cs="Palatino Linotype"/>
        </w:rPr>
        <w:t xml:space="preserve"> en lo sucesivo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en contra de la respuesta a su solicitud de información con número de folio</w:t>
      </w:r>
      <w:r w:rsidRPr="009045F1">
        <w:rPr>
          <w:rFonts w:ascii="Palatino Linotype" w:eastAsia="Palatino Linotype" w:hAnsi="Palatino Linotype" w:cs="Palatino Linotype"/>
          <w:b/>
        </w:rPr>
        <w:t xml:space="preserve"> 00112/OASNAUCAL/IP/2024, </w:t>
      </w:r>
      <w:r w:rsidRPr="009045F1">
        <w:rPr>
          <w:rFonts w:ascii="Palatino Linotype" w:eastAsia="Palatino Linotype" w:hAnsi="Palatino Linotype" w:cs="Palatino Linotype"/>
        </w:rPr>
        <w:t xml:space="preserve">por parte del </w:t>
      </w:r>
      <w:r w:rsidRPr="009045F1">
        <w:rPr>
          <w:rFonts w:ascii="Palatino Linotype" w:eastAsia="Palatino Linotype" w:hAnsi="Palatino Linotype" w:cs="Palatino Linotype"/>
          <w:b/>
        </w:rPr>
        <w:t xml:space="preserve">Organismo Público Descentralizado para la Prestación de Los Servicios de Agua Potable Alcantarillado y Saneamiento del Municipio de Naucalpan de Juárez, </w:t>
      </w:r>
      <w:r w:rsidRPr="009045F1">
        <w:rPr>
          <w:rFonts w:ascii="Palatino Linotype" w:eastAsia="Palatino Linotype" w:hAnsi="Palatino Linotype" w:cs="Palatino Linotype"/>
        </w:rPr>
        <w:t xml:space="preserve">en lo sucesivo el </w:t>
      </w:r>
      <w:r w:rsidRPr="009045F1">
        <w:rPr>
          <w:rFonts w:ascii="Palatino Linotype" w:eastAsia="Palatino Linotype" w:hAnsi="Palatino Linotype" w:cs="Palatino Linotype"/>
          <w:b/>
        </w:rPr>
        <w:t xml:space="preserve">SUJETO OBLIGADO, </w:t>
      </w:r>
      <w:r w:rsidRPr="009045F1">
        <w:rPr>
          <w:rFonts w:ascii="Palatino Linotype" w:eastAsia="Palatino Linotype" w:hAnsi="Palatino Linotype" w:cs="Palatino Linotype"/>
        </w:rPr>
        <w:t xml:space="preserve">se procede a dictar la presente resolución con base en los siguientes: </w:t>
      </w:r>
    </w:p>
    <w:p w14:paraId="283524E6" w14:textId="77777777" w:rsidR="00E16F98" w:rsidRPr="009045F1" w:rsidRDefault="000E36D0">
      <w:pPr>
        <w:spacing w:before="240" w:after="240" w:line="360" w:lineRule="auto"/>
        <w:jc w:val="center"/>
        <w:rPr>
          <w:rFonts w:ascii="Palatino Linotype" w:eastAsia="Palatino Linotype" w:hAnsi="Palatino Linotype" w:cs="Palatino Linotype"/>
          <w:b/>
        </w:rPr>
      </w:pPr>
      <w:r w:rsidRPr="009045F1">
        <w:rPr>
          <w:rFonts w:ascii="Palatino Linotype" w:eastAsia="Palatino Linotype" w:hAnsi="Palatino Linotype" w:cs="Palatino Linotype"/>
          <w:b/>
        </w:rPr>
        <w:t>I. A N T E C E D E N T E S</w:t>
      </w:r>
    </w:p>
    <w:p w14:paraId="19D55C08"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1. Solicitud de acceso a la información.</w:t>
      </w:r>
      <w:r w:rsidRPr="009045F1">
        <w:rPr>
          <w:rFonts w:ascii="Palatino Linotype" w:eastAsia="Palatino Linotype" w:hAnsi="Palatino Linotype" w:cs="Palatino Linotype"/>
        </w:rPr>
        <w:t xml:space="preserve"> Con fecha </w:t>
      </w:r>
      <w:r w:rsidRPr="009045F1">
        <w:rPr>
          <w:rFonts w:ascii="Palatino Linotype" w:eastAsia="Palatino Linotype" w:hAnsi="Palatino Linotype" w:cs="Palatino Linotype"/>
          <w:b/>
        </w:rPr>
        <w:t>catorce de octubre de dos mil veinticuatro,</w:t>
      </w:r>
      <w:r w:rsidRPr="009045F1">
        <w:rPr>
          <w:rFonts w:ascii="Palatino Linotype" w:eastAsia="Palatino Linotype" w:hAnsi="Palatino Linotype" w:cs="Palatino Linotype"/>
        </w:rPr>
        <w:t xml:space="preserve"> la parte </w:t>
      </w:r>
      <w:r w:rsidRPr="009045F1">
        <w:rPr>
          <w:rFonts w:ascii="Palatino Linotype" w:eastAsia="Palatino Linotype" w:hAnsi="Palatino Linotype" w:cs="Palatino Linotype"/>
          <w:b/>
        </w:rPr>
        <w:t xml:space="preserve">RECURRENTE </w:t>
      </w:r>
      <w:r w:rsidRPr="009045F1">
        <w:rPr>
          <w:rFonts w:ascii="Palatino Linotype" w:eastAsia="Palatino Linotype" w:hAnsi="Palatino Linotype" w:cs="Palatino Linotype"/>
        </w:rPr>
        <w:t xml:space="preserve">presentó, a través del Sistema de Acceso a la Información Mexiquense, en lo subsecuente el </w:t>
      </w:r>
      <w:r w:rsidRPr="009045F1">
        <w:rPr>
          <w:rFonts w:ascii="Palatino Linotype" w:eastAsia="Palatino Linotype" w:hAnsi="Palatino Linotype" w:cs="Palatino Linotype"/>
          <w:b/>
        </w:rPr>
        <w:t>SAIMEX,</w:t>
      </w:r>
      <w:r w:rsidRPr="009045F1">
        <w:rPr>
          <w:rFonts w:ascii="Palatino Linotype" w:eastAsia="Palatino Linotype" w:hAnsi="Palatino Linotype" w:cs="Palatino Linotype"/>
        </w:rPr>
        <w:t xml:space="preserve"> ante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la solicitud de acceso a la información pública, a la que se le asignó el número</w:t>
      </w:r>
      <w:r w:rsidRPr="009045F1">
        <w:rPr>
          <w:rFonts w:ascii="Palatino Linotype" w:eastAsia="Palatino Linotype" w:hAnsi="Palatino Linotype" w:cs="Palatino Linotype"/>
          <w:b/>
        </w:rPr>
        <w:t xml:space="preserve"> 00112/OASNAUCAL/IP/2024, </w:t>
      </w:r>
      <w:r w:rsidRPr="009045F1">
        <w:rPr>
          <w:rFonts w:ascii="Palatino Linotype" w:eastAsia="Palatino Linotype" w:hAnsi="Palatino Linotype" w:cs="Palatino Linotype"/>
        </w:rPr>
        <w:t xml:space="preserve">mediante la cual requirió la información siguiente: </w:t>
      </w:r>
    </w:p>
    <w:p w14:paraId="29386C89" w14:textId="77777777" w:rsidR="00E16F98" w:rsidRPr="009045F1" w:rsidRDefault="000E36D0">
      <w:pPr>
        <w:spacing w:before="240"/>
        <w:ind w:left="851" w:right="902"/>
        <w:jc w:val="both"/>
        <w:rPr>
          <w:rFonts w:ascii="Palatino Linotype" w:eastAsia="Palatino Linotype" w:hAnsi="Palatino Linotype" w:cs="Palatino Linotype"/>
          <w:i/>
          <w:sz w:val="22"/>
          <w:szCs w:val="22"/>
        </w:rPr>
      </w:pPr>
      <w:bookmarkStart w:id="0" w:name="_heading=h.gjdgxs" w:colFirst="0" w:colLast="0"/>
      <w:bookmarkEnd w:id="0"/>
      <w:r w:rsidRPr="009045F1">
        <w:rPr>
          <w:rFonts w:ascii="Palatino Linotype" w:eastAsia="Palatino Linotype" w:hAnsi="Palatino Linotype" w:cs="Palatino Linotype"/>
          <w:i/>
          <w:sz w:val="22"/>
          <w:szCs w:val="22"/>
        </w:rPr>
        <w:lastRenderedPageBreak/>
        <w:t>“SOLICITO COPIA DEL PROCEDIMIENTO ADMINISTRATIVO DE CONTRATACION Y/O LICITACION O EL CORRESPONDIENTE RESPECTO DEL SERVICIO DE DESINFECCION Y SANITIZACION CORRESPONDIENTE A LOS EJERCICIOS FISCALES 2019, 2020 Y 2021. ASI COMO LA CANTIDAD DE DINERO QUE SE GASTO EN ESE SERVICIO.” (Sic)</w:t>
      </w:r>
    </w:p>
    <w:p w14:paraId="74A87E23" w14:textId="77777777" w:rsidR="00E16F98" w:rsidRPr="009045F1" w:rsidRDefault="00E16F98">
      <w:pPr>
        <w:spacing w:before="240"/>
        <w:ind w:left="851" w:right="902"/>
        <w:jc w:val="both"/>
        <w:rPr>
          <w:rFonts w:ascii="Palatino Linotype" w:eastAsia="Palatino Linotype" w:hAnsi="Palatino Linotype" w:cs="Palatino Linotype"/>
          <w:i/>
          <w:sz w:val="22"/>
          <w:szCs w:val="22"/>
        </w:rPr>
      </w:pPr>
    </w:p>
    <w:p w14:paraId="7EFBF1A8"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Modalidad de Entrega:</w:t>
      </w:r>
      <w:r w:rsidRPr="009045F1">
        <w:rPr>
          <w:rFonts w:ascii="Palatino Linotype" w:eastAsia="Palatino Linotype" w:hAnsi="Palatino Linotype" w:cs="Palatino Linotype"/>
        </w:rPr>
        <w:t xml:space="preserve"> A través de SAIMEX.</w:t>
      </w:r>
    </w:p>
    <w:p w14:paraId="2272BE6F" w14:textId="77777777" w:rsidR="00E16F98" w:rsidRPr="009045F1" w:rsidRDefault="00E16F98">
      <w:pPr>
        <w:spacing w:line="360" w:lineRule="auto"/>
        <w:jc w:val="both"/>
        <w:rPr>
          <w:rFonts w:ascii="Palatino Linotype" w:eastAsia="Palatino Linotype" w:hAnsi="Palatino Linotype" w:cs="Palatino Linotype"/>
        </w:rPr>
      </w:pPr>
    </w:p>
    <w:p w14:paraId="27005A4E"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2. Respuesta. </w:t>
      </w:r>
      <w:r w:rsidRPr="009045F1">
        <w:rPr>
          <w:rFonts w:ascii="Palatino Linotype" w:eastAsia="Palatino Linotype" w:hAnsi="Palatino Linotype" w:cs="Palatino Linotype"/>
        </w:rPr>
        <w:t xml:space="preserve">Con fecha </w:t>
      </w:r>
      <w:r w:rsidRPr="009045F1">
        <w:rPr>
          <w:rFonts w:ascii="Palatino Linotype" w:eastAsia="Palatino Linotype" w:hAnsi="Palatino Linotype" w:cs="Palatino Linotype"/>
          <w:b/>
        </w:rPr>
        <w:t>veintiocho de octubre de dos mil veinticuatro</w:t>
      </w:r>
      <w:r w:rsidRPr="009045F1">
        <w:rPr>
          <w:rFonts w:ascii="Palatino Linotype" w:eastAsia="Palatino Linotype" w:hAnsi="Palatino Linotype" w:cs="Palatino Linotype"/>
        </w:rPr>
        <w:t xml:space="preserve">, el </w:t>
      </w:r>
      <w:r w:rsidRPr="009045F1">
        <w:rPr>
          <w:rFonts w:ascii="Palatino Linotype" w:eastAsia="Palatino Linotype" w:hAnsi="Palatino Linotype" w:cs="Palatino Linotype"/>
          <w:b/>
        </w:rPr>
        <w:t xml:space="preserve">SUJETO OBLIGADO </w:t>
      </w:r>
      <w:r w:rsidRPr="009045F1">
        <w:rPr>
          <w:rFonts w:ascii="Palatino Linotype" w:eastAsia="Palatino Linotype" w:hAnsi="Palatino Linotype" w:cs="Palatino Linotype"/>
        </w:rPr>
        <w:t xml:space="preserve">envió su respuesta a la solicitud de acceso a la información a través de SAIMEX, sustancialmente en los términos siguientes:   </w:t>
      </w:r>
    </w:p>
    <w:p w14:paraId="53951BBB" w14:textId="77777777" w:rsidR="00E16F98" w:rsidRPr="009045F1" w:rsidRDefault="00E16F98">
      <w:pPr>
        <w:spacing w:line="360" w:lineRule="auto"/>
        <w:jc w:val="both"/>
        <w:rPr>
          <w:rFonts w:ascii="Palatino Linotype" w:eastAsia="Palatino Linotype" w:hAnsi="Palatino Linotype" w:cs="Palatino Linotype"/>
          <w:b/>
        </w:rPr>
      </w:pPr>
    </w:p>
    <w:p w14:paraId="1A55B405" w14:textId="77777777" w:rsidR="00E16F98" w:rsidRPr="009045F1" w:rsidRDefault="000E36D0">
      <w:pPr>
        <w:spacing w:after="24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“…SE ANEXA OFICIO SGTO/O/135/2024 DE RESPUESTA ADEMAS DE ARCHIVO SOLICITADO POR EL IMPETRANTE. SE REITERA NUESTRA DISPOSICION INSTITUCIONAL...” (Sic)</w:t>
      </w:r>
    </w:p>
    <w:p w14:paraId="64E7EA8C" w14:textId="77777777" w:rsidR="00E16F98" w:rsidRPr="009045F1" w:rsidRDefault="000E36D0">
      <w:pPr>
        <w:spacing w:before="240" w:after="240" w:line="360" w:lineRule="auto"/>
        <w:ind w:right="49"/>
        <w:jc w:val="both"/>
        <w:rPr>
          <w:rFonts w:ascii="Palatino Linotype" w:eastAsia="Palatino Linotype" w:hAnsi="Palatino Linotype" w:cs="Palatino Linotype"/>
          <w:b/>
        </w:rPr>
      </w:pPr>
      <w:r w:rsidRPr="009045F1">
        <w:rPr>
          <w:rFonts w:ascii="Palatino Linotype" w:eastAsia="Palatino Linotype" w:hAnsi="Palatino Linotype" w:cs="Palatino Linotype"/>
          <w:b/>
        </w:rPr>
        <w:t>El SUJETO OBLIGADO, adjuntó a su respuesta los siguientes archivos electrónicos:</w:t>
      </w:r>
    </w:p>
    <w:p w14:paraId="301DE8AF"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w:t>
      </w:r>
      <w:hyperlink r:id="rId8">
        <w:r w:rsidRPr="009045F1">
          <w:rPr>
            <w:rFonts w:ascii="Palatino Linotype" w:eastAsia="Palatino Linotype" w:hAnsi="Palatino Linotype" w:cs="Palatino Linotype"/>
          </w:rPr>
          <w:t>CONVENIO ISSEMYM 2022.pdf</w:t>
        </w:r>
      </w:hyperlink>
      <w:r w:rsidRPr="009045F1">
        <w:rPr>
          <w:rFonts w:ascii="Palatino Linotype" w:eastAsia="Palatino Linotype" w:hAnsi="Palatino Linotype" w:cs="Palatino Linotype"/>
        </w:rPr>
        <w:t xml:space="preserve">”, el cual contiene el convenio de autorización de pago de parcialidades por concepto de aportaciones y cuotas de seguridad social, retenciones institucionales y de terceros, así como los aprovechamientos y los accesorios  que deriven de las misma, celebrado entre el Instituto de Seguridad Social del Estado de México y Municipios y el  Organismo Público Descentralizado </w:t>
      </w:r>
      <w:r w:rsidRPr="009045F1">
        <w:rPr>
          <w:rFonts w:ascii="Palatino Linotype" w:eastAsia="Palatino Linotype" w:hAnsi="Palatino Linotype" w:cs="Palatino Linotype"/>
        </w:rPr>
        <w:lastRenderedPageBreak/>
        <w:t xml:space="preserve">para la Prestación de Los Servicios de Agua Potable Alcantarillado y Saneamiento del Municipio de Naucalpan de Juárez, constante de nueve fojas. </w:t>
      </w:r>
    </w:p>
    <w:p w14:paraId="067443AA"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w:t>
      </w:r>
      <w:hyperlink r:id="rId9">
        <w:r w:rsidRPr="009045F1">
          <w:rPr>
            <w:rFonts w:ascii="Palatino Linotype" w:eastAsia="Palatino Linotype" w:hAnsi="Palatino Linotype" w:cs="Palatino Linotype"/>
          </w:rPr>
          <w:t>SGTO1352024 RESP A SOL 121.pdf</w:t>
        </w:r>
      </w:hyperlink>
      <w:r w:rsidRPr="009045F1">
        <w:rPr>
          <w:rFonts w:ascii="Palatino Linotype" w:eastAsia="Palatino Linotype" w:hAnsi="Palatino Linotype" w:cs="Palatino Linotype"/>
        </w:rPr>
        <w:t xml:space="preserve">”, el cual contiene la respuesta de la Subgerente de Transparencia al imperante, en donde le informó que anexaba en formato PDF copia simple del convenio ISSEMYM celebrado con el SUJETO OBLIGADO, referente a la solicitud de información número </w:t>
      </w:r>
      <w:r w:rsidRPr="009045F1">
        <w:rPr>
          <w:rFonts w:ascii="Palatino Linotype" w:eastAsia="Palatino Linotype" w:hAnsi="Palatino Linotype" w:cs="Palatino Linotype"/>
          <w:b/>
        </w:rPr>
        <w:t>00121/OASNAUCAL/IP/2024.</w:t>
      </w:r>
    </w:p>
    <w:p w14:paraId="35548C2D"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3. Interposición del recurso de revisión. </w:t>
      </w:r>
      <w:r w:rsidRPr="009045F1">
        <w:rPr>
          <w:rFonts w:ascii="Palatino Linotype" w:eastAsia="Palatino Linotype" w:hAnsi="Palatino Linotype" w:cs="Palatino Linotype"/>
        </w:rPr>
        <w:t xml:space="preserve">Inconforme con los términos de la respuesta emitida por parte del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el </w:t>
      </w:r>
      <w:r w:rsidRPr="009045F1">
        <w:rPr>
          <w:rFonts w:ascii="Palatino Linotype" w:eastAsia="Palatino Linotype" w:hAnsi="Palatino Linotype" w:cs="Palatino Linotype"/>
          <w:b/>
        </w:rPr>
        <w:t>veintinueve de octubre del dos mil veinticuatro,</w:t>
      </w:r>
      <w:r w:rsidRPr="009045F1">
        <w:rPr>
          <w:rFonts w:ascii="Palatino Linotype" w:eastAsia="Palatino Linotype" w:hAnsi="Palatino Linotype" w:cs="Palatino Linotype"/>
        </w:rPr>
        <w:t xml:space="preserve"> la parte recurrente interpuso el recurso de revisión a través de </w:t>
      </w:r>
      <w:r w:rsidRPr="009045F1">
        <w:rPr>
          <w:rFonts w:ascii="Palatino Linotype" w:eastAsia="Palatino Linotype" w:hAnsi="Palatino Linotype" w:cs="Palatino Linotype"/>
          <w:b/>
        </w:rPr>
        <w:t xml:space="preserve">SAIMEX, </w:t>
      </w:r>
      <w:r w:rsidRPr="009045F1">
        <w:rPr>
          <w:rFonts w:ascii="Palatino Linotype" w:eastAsia="Palatino Linotype" w:hAnsi="Palatino Linotype" w:cs="Palatino Linotype"/>
        </w:rPr>
        <w:t>en donde se manifestó de la siguiente manera:</w:t>
      </w:r>
    </w:p>
    <w:p w14:paraId="079275C4" w14:textId="77777777" w:rsidR="00E16F98" w:rsidRPr="009045F1" w:rsidRDefault="000E36D0">
      <w:pPr>
        <w:tabs>
          <w:tab w:val="left" w:pos="2745"/>
        </w:tabs>
        <w:spacing w:before="240" w:after="240" w:line="360" w:lineRule="auto"/>
        <w:jc w:val="both"/>
        <w:rPr>
          <w:rFonts w:ascii="Palatino Linotype" w:eastAsia="Palatino Linotype" w:hAnsi="Palatino Linotype" w:cs="Palatino Linotype"/>
          <w:b/>
        </w:rPr>
      </w:pPr>
      <w:r w:rsidRPr="009045F1">
        <w:rPr>
          <w:rFonts w:ascii="Palatino Linotype" w:eastAsia="Palatino Linotype" w:hAnsi="Palatino Linotype" w:cs="Palatino Linotype"/>
          <w:b/>
        </w:rPr>
        <w:t xml:space="preserve">Acto impugnado: </w:t>
      </w:r>
      <w:r w:rsidRPr="009045F1">
        <w:rPr>
          <w:rFonts w:ascii="Palatino Linotype" w:eastAsia="Palatino Linotype" w:hAnsi="Palatino Linotype" w:cs="Palatino Linotype"/>
          <w:b/>
        </w:rPr>
        <w:tab/>
      </w:r>
    </w:p>
    <w:p w14:paraId="18BC8465"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“LA NO ENTREGA DE LA INFORMACION” (Sic)</w:t>
      </w:r>
    </w:p>
    <w:p w14:paraId="132FE645" w14:textId="77777777" w:rsidR="00E16F98" w:rsidRPr="009045F1" w:rsidRDefault="00E16F98">
      <w:pPr>
        <w:ind w:left="851" w:right="902"/>
        <w:jc w:val="both"/>
        <w:rPr>
          <w:rFonts w:ascii="Palatino Linotype" w:eastAsia="Palatino Linotype" w:hAnsi="Palatino Linotype" w:cs="Palatino Linotype"/>
          <w:i/>
          <w:sz w:val="22"/>
          <w:szCs w:val="22"/>
        </w:rPr>
      </w:pPr>
    </w:p>
    <w:p w14:paraId="2FA194CC" w14:textId="77777777" w:rsidR="00E16F98" w:rsidRPr="009045F1" w:rsidRDefault="000E36D0">
      <w:pPr>
        <w:spacing w:line="360" w:lineRule="auto"/>
        <w:jc w:val="both"/>
        <w:rPr>
          <w:rFonts w:ascii="Palatino Linotype" w:eastAsia="Palatino Linotype" w:hAnsi="Palatino Linotype" w:cs="Palatino Linotype"/>
        </w:rPr>
      </w:pPr>
      <w:bookmarkStart w:id="1" w:name="_heading=h.30j0zll" w:colFirst="0" w:colLast="0"/>
      <w:bookmarkEnd w:id="1"/>
      <w:r w:rsidRPr="009045F1">
        <w:rPr>
          <w:rFonts w:ascii="Palatino Linotype" w:eastAsia="Palatino Linotype" w:hAnsi="Palatino Linotype" w:cs="Palatino Linotype"/>
          <w:b/>
        </w:rPr>
        <w:t>Y Razones o motivos de inconformidad</w:t>
      </w:r>
      <w:r w:rsidRPr="009045F1">
        <w:rPr>
          <w:rFonts w:ascii="Palatino Linotype" w:eastAsia="Palatino Linotype" w:hAnsi="Palatino Linotype" w:cs="Palatino Linotype"/>
        </w:rPr>
        <w:t>:</w:t>
      </w:r>
    </w:p>
    <w:p w14:paraId="64D624A2" w14:textId="77777777" w:rsidR="00E16F98" w:rsidRPr="009045F1" w:rsidRDefault="00E16F98">
      <w:pPr>
        <w:spacing w:line="360" w:lineRule="auto"/>
        <w:jc w:val="both"/>
        <w:rPr>
          <w:rFonts w:ascii="Palatino Linotype" w:eastAsia="Palatino Linotype" w:hAnsi="Palatino Linotype" w:cs="Palatino Linotype"/>
        </w:rPr>
      </w:pPr>
    </w:p>
    <w:p w14:paraId="0648427B" w14:textId="77777777" w:rsidR="00E16F98" w:rsidRPr="009045F1" w:rsidRDefault="000E36D0">
      <w:pPr>
        <w:spacing w:line="360" w:lineRule="auto"/>
        <w:ind w:left="567" w:right="474"/>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“LA NIFORMACION QUE ENTREGAN NO ES LA SOLICITADA, YA QUE DAN RESPUESTA A UNA SOLICITUD DIVERSA. ENTREGANDO UN CONVENIO Y NO LA INFORMACION REQUERIDA.” (Sic)</w:t>
      </w:r>
    </w:p>
    <w:p w14:paraId="1D2B242E" w14:textId="77777777" w:rsidR="00E16F98" w:rsidRPr="009045F1" w:rsidRDefault="00E16F98">
      <w:pPr>
        <w:spacing w:line="360" w:lineRule="auto"/>
        <w:ind w:right="51"/>
        <w:jc w:val="both"/>
        <w:rPr>
          <w:rFonts w:ascii="Palatino Linotype" w:eastAsia="Palatino Linotype" w:hAnsi="Palatino Linotype" w:cs="Palatino Linotype"/>
          <w:b/>
        </w:rPr>
      </w:pPr>
    </w:p>
    <w:p w14:paraId="1B17B4BB" w14:textId="77777777" w:rsidR="00E16F98" w:rsidRPr="009045F1" w:rsidRDefault="000E36D0">
      <w:pPr>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b/>
        </w:rPr>
        <w:lastRenderedPageBreak/>
        <w:t xml:space="preserve">4. Turno. </w:t>
      </w:r>
      <w:r w:rsidRPr="009045F1">
        <w:rPr>
          <w:rFonts w:ascii="Palatino Linotype" w:eastAsia="Palatino Linotype" w:hAnsi="Palatino Linotype" w:cs="Palatino Linotype"/>
        </w:rPr>
        <w:t xml:space="preserve">De conformidad con el artículo 185 fracción I de la Ley de Transparencia y Acceso a la Información Pública del Estado de México y Municipios vigente, el presente recurso de revisión se turnó por el sistema electrónico del Instituto de Transparencia, Acceso a la Información Pública y Protección de Datos Personales del Estado de México y Municipios, a la Comisionada </w:t>
      </w:r>
      <w:r w:rsidRPr="009045F1">
        <w:rPr>
          <w:rFonts w:ascii="Palatino Linotype" w:eastAsia="Palatino Linotype" w:hAnsi="Palatino Linotype" w:cs="Palatino Linotype"/>
          <w:b/>
        </w:rPr>
        <w:t xml:space="preserve">Guadalupe Ramírez Peña, </w:t>
      </w:r>
      <w:r w:rsidRPr="009045F1">
        <w:rPr>
          <w:rFonts w:ascii="Palatino Linotype" w:eastAsia="Palatino Linotype" w:hAnsi="Palatino Linotype" w:cs="Palatino Linotype"/>
        </w:rPr>
        <w:t xml:space="preserve">a efecto de que analizará sobre su admisión o su </w:t>
      </w:r>
      <w:proofErr w:type="spellStart"/>
      <w:r w:rsidRPr="009045F1">
        <w:rPr>
          <w:rFonts w:ascii="Palatino Linotype" w:eastAsia="Palatino Linotype" w:hAnsi="Palatino Linotype" w:cs="Palatino Linotype"/>
        </w:rPr>
        <w:t>desechamiento</w:t>
      </w:r>
      <w:proofErr w:type="spellEnd"/>
      <w:r w:rsidRPr="009045F1">
        <w:rPr>
          <w:rFonts w:ascii="Palatino Linotype" w:eastAsia="Palatino Linotype" w:hAnsi="Palatino Linotype" w:cs="Palatino Linotype"/>
        </w:rPr>
        <w:t>.</w:t>
      </w:r>
    </w:p>
    <w:p w14:paraId="777D305D" w14:textId="77777777" w:rsidR="00E16F98" w:rsidRPr="009045F1" w:rsidRDefault="00E16F98">
      <w:pPr>
        <w:spacing w:line="360" w:lineRule="auto"/>
        <w:ind w:right="51"/>
        <w:jc w:val="both"/>
        <w:rPr>
          <w:rFonts w:ascii="Palatino Linotype" w:eastAsia="Palatino Linotype" w:hAnsi="Palatino Linotype" w:cs="Palatino Linotype"/>
        </w:rPr>
      </w:pPr>
    </w:p>
    <w:p w14:paraId="18B5561A" w14:textId="77777777" w:rsidR="00E16F98" w:rsidRPr="009045F1" w:rsidRDefault="000E36D0">
      <w:pPr>
        <w:spacing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5. Admisión del Recurso de revisión.</w:t>
      </w:r>
      <w:r w:rsidRPr="009045F1">
        <w:rPr>
          <w:rFonts w:ascii="Palatino Linotype" w:eastAsia="Palatino Linotype" w:hAnsi="Palatino Linotype" w:cs="Palatino Linotype"/>
        </w:rPr>
        <w:t xml:space="preserve"> Con fecha</w:t>
      </w:r>
      <w:r w:rsidRPr="009045F1">
        <w:rPr>
          <w:rFonts w:ascii="Palatino Linotype" w:eastAsia="Palatino Linotype" w:hAnsi="Palatino Linotype" w:cs="Palatino Linotype"/>
          <w:b/>
        </w:rPr>
        <w:t xml:space="preserve"> cuatro de noviembre de dos mil veinticuatro, </w:t>
      </w:r>
      <w:r w:rsidRPr="009045F1">
        <w:rPr>
          <w:rFonts w:ascii="Palatino Linotype" w:eastAsia="Palatino Linotype" w:hAnsi="Palatino Linotype" w:cs="Palatino Linotype"/>
        </w:rPr>
        <w:t xml:space="preserve">este Instituto de Transparencia, Acceso a la Información Pública y Protección de Datos Personales del Estado de México y Municipios, admitió a trámite el recurso de revisión que ahora se resuelve, dando un plazo máximo de siete días hábiles para que las partes manifestaran lo que a su derecho resultara conveniente, ofrecieran pruebas, formularan alegatos y el </w:t>
      </w:r>
      <w:r w:rsidRPr="009045F1">
        <w:rPr>
          <w:rFonts w:ascii="Palatino Linotype" w:eastAsia="Palatino Linotype" w:hAnsi="Palatino Linotype" w:cs="Palatino Linotype"/>
          <w:b/>
        </w:rPr>
        <w:t xml:space="preserve">SUJETO OBLIGADO </w:t>
      </w:r>
      <w:r w:rsidRPr="009045F1">
        <w:rPr>
          <w:rFonts w:ascii="Palatino Linotype" w:eastAsia="Palatino Linotype" w:hAnsi="Palatino Linotype" w:cs="Palatino Linotype"/>
        </w:rPr>
        <w:t>presentará su informe justificado.</w:t>
      </w:r>
    </w:p>
    <w:p w14:paraId="7FB4CFB9"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6. Manifestaciones</w:t>
      </w:r>
      <w:r w:rsidRPr="009045F1">
        <w:rPr>
          <w:rFonts w:ascii="Palatino Linotype" w:eastAsia="Palatino Linotype" w:hAnsi="Palatino Linotype" w:cs="Palatino Linotype"/>
        </w:rPr>
        <w:t xml:space="preserve">. De las constancias que obran en el expediente electrónico del SAIMEX se desprende que </w:t>
      </w:r>
      <w:r w:rsidRPr="009045F1">
        <w:rPr>
          <w:rFonts w:ascii="Palatino Linotype" w:eastAsia="Palatino Linotype" w:hAnsi="Palatino Linotype" w:cs="Palatino Linotype"/>
          <w:b/>
        </w:rPr>
        <w:t>EL SUJETO OBLIGADO</w:t>
      </w:r>
      <w:r w:rsidRPr="009045F1">
        <w:rPr>
          <w:rFonts w:ascii="Palatino Linotype" w:eastAsia="Palatino Linotype" w:hAnsi="Palatino Linotype" w:cs="Palatino Linotype"/>
        </w:rPr>
        <w:t xml:space="preserve"> no rindió su Informe Justificado, del mismo modo </w:t>
      </w:r>
      <w:r w:rsidRPr="009045F1">
        <w:rPr>
          <w:rFonts w:ascii="Palatino Linotype" w:eastAsia="Palatino Linotype" w:hAnsi="Palatino Linotype" w:cs="Palatino Linotype"/>
          <w:b/>
        </w:rPr>
        <w:t>LA PARTE RECURRENTE</w:t>
      </w:r>
      <w:r w:rsidRPr="009045F1">
        <w:rPr>
          <w:rFonts w:ascii="Palatino Linotype" w:eastAsia="Palatino Linotype" w:hAnsi="Palatino Linotype" w:cs="Palatino Linotype"/>
        </w:rPr>
        <w:t xml:space="preserve"> omitió realizar manifestaciones, como se observa a continuación:</w:t>
      </w:r>
    </w:p>
    <w:p w14:paraId="5691F9D2"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noProof/>
          <w:lang w:val="es-MX"/>
        </w:rPr>
        <w:lastRenderedPageBreak/>
        <w:drawing>
          <wp:inline distT="0" distB="0" distL="0" distR="0" wp14:anchorId="7B01F906" wp14:editId="15BB48CD">
            <wp:extent cx="5612130" cy="1448435"/>
            <wp:effectExtent l="0" t="0" r="0" b="0"/>
            <wp:docPr id="278"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10"/>
                    <a:srcRect/>
                    <a:stretch>
                      <a:fillRect/>
                    </a:stretch>
                  </pic:blipFill>
                  <pic:spPr>
                    <a:xfrm>
                      <a:off x="0" y="0"/>
                      <a:ext cx="5612130" cy="1448435"/>
                    </a:xfrm>
                    <a:prstGeom prst="rect">
                      <a:avLst/>
                    </a:prstGeom>
                    <a:ln/>
                  </pic:spPr>
                </pic:pic>
              </a:graphicData>
            </a:graphic>
          </wp:inline>
        </w:drawing>
      </w:r>
    </w:p>
    <w:p w14:paraId="3929D2D1" w14:textId="77777777" w:rsidR="00E16F98" w:rsidRPr="009045F1" w:rsidRDefault="000E36D0">
      <w:pPr>
        <w:widowControl w:val="0"/>
        <w:pBdr>
          <w:top w:val="nil"/>
          <w:left w:val="nil"/>
          <w:bottom w:val="nil"/>
          <w:right w:val="nil"/>
          <w:between w:val="nil"/>
        </w:pBdr>
        <w:tabs>
          <w:tab w:val="left" w:pos="709"/>
        </w:tabs>
        <w:spacing w:before="12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7. Cierre de instrucción. </w:t>
      </w:r>
      <w:r w:rsidRPr="009045F1">
        <w:rPr>
          <w:rFonts w:ascii="Palatino Linotype" w:eastAsia="Palatino Linotype" w:hAnsi="Palatino Linotype" w:cs="Palatino Linotype"/>
        </w:rPr>
        <w:t xml:space="preserve">Una vez transcurrido el periodo otorgado a las partes para realizar sus manifestaciones y no habiendo documentos que integrar al expediente, con fecha </w:t>
      </w:r>
      <w:r w:rsidRPr="009045F1">
        <w:rPr>
          <w:rFonts w:ascii="Palatino Linotype" w:eastAsia="Palatino Linotype" w:hAnsi="Palatino Linotype" w:cs="Palatino Linotype"/>
          <w:b/>
        </w:rPr>
        <w:t>veintiuno de noviembre de dos mil veinticuatro</w:t>
      </w:r>
      <w:r w:rsidRPr="009045F1">
        <w:rPr>
          <w:rFonts w:ascii="Palatino Linotype" w:eastAsia="Palatino Linotype" w:hAnsi="Palatino Linotype" w:cs="Palatino Linotype"/>
        </w:rPr>
        <w:t>, la Comisionada Ponente determinó el cierre de instrucción en términos de la fracción VI del artículo 185 de la Ley de Transparencia y Acceso a la Información Pública del Estado de México y Municipios.</w:t>
      </w:r>
    </w:p>
    <w:p w14:paraId="14897A7D"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razón de que fue debidamente sustanciado el expediente electrónico y no existe diligencia pendiente de desahogo, se emite la Resolución que conforme a Derecho proceda, de acuerdo con los siguientes: </w:t>
      </w:r>
    </w:p>
    <w:p w14:paraId="792CC9B9" w14:textId="77777777" w:rsidR="00E16F98" w:rsidRPr="009045F1" w:rsidRDefault="000E36D0">
      <w:pPr>
        <w:widowControl w:val="0"/>
        <w:spacing w:line="360" w:lineRule="auto"/>
        <w:jc w:val="center"/>
        <w:rPr>
          <w:rFonts w:ascii="Palatino Linotype" w:eastAsia="Palatino Linotype" w:hAnsi="Palatino Linotype" w:cs="Palatino Linotype"/>
          <w:b/>
        </w:rPr>
      </w:pPr>
      <w:r w:rsidRPr="009045F1">
        <w:rPr>
          <w:rFonts w:ascii="Palatino Linotype" w:eastAsia="Palatino Linotype" w:hAnsi="Palatino Linotype" w:cs="Palatino Linotype"/>
          <w:b/>
        </w:rPr>
        <w:t>II. C O N S I D E R A N D O S</w:t>
      </w:r>
    </w:p>
    <w:p w14:paraId="4643C6E0" w14:textId="77777777" w:rsidR="00E16F98" w:rsidRPr="009045F1" w:rsidRDefault="00E16F98">
      <w:pPr>
        <w:widowControl w:val="0"/>
        <w:spacing w:line="360" w:lineRule="auto"/>
        <w:jc w:val="center"/>
        <w:rPr>
          <w:rFonts w:ascii="Palatino Linotype" w:eastAsia="Palatino Linotype" w:hAnsi="Palatino Linotype" w:cs="Palatino Linotype"/>
          <w:b/>
        </w:rPr>
      </w:pPr>
    </w:p>
    <w:p w14:paraId="31316534"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Primero. Competencia.</w:t>
      </w:r>
      <w:r w:rsidRPr="009045F1">
        <w:rPr>
          <w:rFonts w:ascii="Palatino Linotype" w:eastAsia="Palatino Linotype" w:hAnsi="Palatino Linotype" w:cs="Palatino Linotype"/>
        </w:rPr>
        <w:t xml:space="preserve"> El Instituto de Transparencia, Acceso a la Información Pública y Protección de Datos Personales del Estado de México y Municipios, es competente para conocer y resolver el presente recurso de revisión interpuesto por </w:t>
      </w:r>
      <w:r w:rsidRPr="009045F1">
        <w:rPr>
          <w:rFonts w:ascii="Palatino Linotype" w:eastAsia="Palatino Linotype" w:hAnsi="Palatino Linotype" w:cs="Palatino Linotype"/>
        </w:rPr>
        <w:lastRenderedPageBreak/>
        <w:t>la parte recurrente, conforme a lo dispuesto en los artículos 6, apartado A de la Constitución Política de los Estados Unidos Mexicanos; 5 párrafos trigésimo segundo, trigésimo tercero y trigésimo cuarto fracciones IV y V de la Constitución Política del Estado Libre y Soberano de México; 2, fracción II; 29, 36 fracciones I y II; 176, 178, 181, 185, fracción I, 186 y 188 de la Ley Transparencia y Acceso a la Información Pública del Estado de México y Municipios; 9, fracciones I y XXIII y 11 del Reglamento Interior del Instituto de Transparencia, Acceso a la Información Pública y Protección de Datos Personales del Estado de México y Municipios.</w:t>
      </w:r>
    </w:p>
    <w:p w14:paraId="4F044FF6" w14:textId="77777777" w:rsidR="00E16F98" w:rsidRPr="009045F1" w:rsidRDefault="000E36D0">
      <w:pPr>
        <w:spacing w:before="240" w:after="240" w:line="360" w:lineRule="auto"/>
        <w:jc w:val="both"/>
        <w:rPr>
          <w:rFonts w:ascii="Palatino Linotype" w:eastAsia="Palatino Linotype" w:hAnsi="Palatino Linotype" w:cs="Palatino Linotype"/>
        </w:rPr>
      </w:pPr>
      <w:bookmarkStart w:id="2" w:name="_heading=h.tyjcwt" w:colFirst="0" w:colLast="0"/>
      <w:bookmarkEnd w:id="2"/>
      <w:r w:rsidRPr="009045F1">
        <w:rPr>
          <w:rFonts w:ascii="Palatino Linotype" w:eastAsia="Palatino Linotype" w:hAnsi="Palatino Linotype" w:cs="Palatino Linotype"/>
          <w:b/>
        </w:rPr>
        <w:t xml:space="preserve">Segundo. Oportunidad y Procedibilidad del Recurso de Revisión. </w:t>
      </w:r>
      <w:r w:rsidRPr="009045F1">
        <w:rPr>
          <w:rFonts w:ascii="Palatino Linotype" w:eastAsia="Palatino Linotype" w:hAnsi="Palatino Linotype" w:cs="Palatino Linotype"/>
        </w:rPr>
        <w:t xml:space="preserve">De conformidad con los requisitos de Oportunidad y Procedibilidad que deben reunir el recurso de revisión interpuesto, previstos en los artículos 178 y 180 de la Ley de Transparencia y Acceso a la Información Pública del Estado de México y Municipios; en la especie se advierte que el presente medio de impugnación fue interpuesto dentro del plazo de quince días previsto en el primer artículo de referencia; toda vez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emitió su respuesta a la solicitud planteada por el solicitante el </w:t>
      </w:r>
      <w:r w:rsidRPr="009045F1">
        <w:rPr>
          <w:rFonts w:ascii="Palatino Linotype" w:eastAsia="Palatino Linotype" w:hAnsi="Palatino Linotype" w:cs="Palatino Linotype"/>
          <w:b/>
        </w:rPr>
        <w:t>veintiocho de octubre del año dos mil veinticuatro</w:t>
      </w:r>
      <w:r w:rsidRPr="009045F1">
        <w:rPr>
          <w:rFonts w:ascii="Palatino Linotype" w:eastAsia="Palatino Linotype" w:hAnsi="Palatino Linotype" w:cs="Palatino Linotype"/>
        </w:rPr>
        <w:t xml:space="preserve"> y mientras que el recurso de revisión interpuesto por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se tuvo por presentado el día </w:t>
      </w:r>
      <w:r w:rsidRPr="009045F1">
        <w:rPr>
          <w:rFonts w:ascii="Palatino Linotype" w:eastAsia="Palatino Linotype" w:hAnsi="Palatino Linotype" w:cs="Palatino Linotype"/>
          <w:b/>
        </w:rPr>
        <w:t xml:space="preserve">veintinueve de octubre del año dos mil veinticuatro, </w:t>
      </w:r>
      <w:r w:rsidRPr="009045F1">
        <w:rPr>
          <w:rFonts w:ascii="Palatino Linotype" w:eastAsia="Palatino Linotype" w:hAnsi="Palatino Linotype" w:cs="Palatino Linotype"/>
        </w:rPr>
        <w:t>esto es, al primer día hábil en que tuvo conocimiento de la respuesta impugnada.</w:t>
      </w:r>
    </w:p>
    <w:p w14:paraId="737C6290" w14:textId="77777777" w:rsidR="00E16F98" w:rsidRPr="009045F1" w:rsidRDefault="000E36D0">
      <w:pPr>
        <w:spacing w:before="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Al mismo tiempo, por cuanto hace a la procedibilidad del recurso de revisión, es de suma importancia señalar que la parte recurrente no señaló su nombre completo, no obstante, el, no proporcionar nombre completo no es motivo para archivar la solicitud de acceso a la información pública como concluida, conforme a lo previsto en el artículo 155, penúltimo párrafo de la Ley de Transparencia y Acceso a la Información Pública del Estado de México y Municipios que establece lo siguiente:</w:t>
      </w:r>
    </w:p>
    <w:p w14:paraId="05DE121F" w14:textId="77777777" w:rsidR="00E16F98" w:rsidRPr="009045F1" w:rsidRDefault="00E16F98">
      <w:pPr>
        <w:ind w:left="567" w:right="474"/>
        <w:jc w:val="both"/>
        <w:rPr>
          <w:rFonts w:ascii="Palatino Linotype" w:eastAsia="Palatino Linotype" w:hAnsi="Palatino Linotype" w:cs="Palatino Linotype"/>
          <w:i/>
        </w:rPr>
      </w:pPr>
    </w:p>
    <w:p w14:paraId="3369E0A4" w14:textId="77777777" w:rsidR="00E16F98" w:rsidRPr="009045F1" w:rsidRDefault="000E36D0">
      <w:pPr>
        <w:ind w:left="567" w:right="474"/>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Las solicitudes anónimas, con nombre incompleto o seudónimo serán procedentes para su trámite por parte del sujeto obligado ante quien se presente</w:t>
      </w:r>
      <w:r w:rsidRPr="009045F1">
        <w:rPr>
          <w:rFonts w:ascii="Palatino Linotype" w:eastAsia="Palatino Linotype" w:hAnsi="Palatino Linotype" w:cs="Palatino Linotype"/>
          <w:i/>
          <w:sz w:val="22"/>
          <w:szCs w:val="22"/>
        </w:rPr>
        <w:t>. No podrá requerirse información adicional con motivo del nombre proporcionado por el solicitante."(Sic)</w:t>
      </w:r>
    </w:p>
    <w:p w14:paraId="7FDBC1F3"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Al mismo tiempo, tras la revisión del formato de interposición del recurso, se concluye en la acreditación plena de todos y cada uno de los elementos formales exigidos por el artículo 180 de la Ley de Transparencia y Acceso a la Información Pública del Estado de México y Municipios, toda vez que fue ingresado a través del SAIMEX.</w:t>
      </w:r>
    </w:p>
    <w:p w14:paraId="2CAC8755"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Asimismo, resulta procedente la interposición del recurso de revisión al rubro anotado, toda vez que se actualiza las hipótesis previstas en el artículo 179, fracción VI de la ley de la materia, que a la letra dice:</w:t>
      </w:r>
    </w:p>
    <w:p w14:paraId="71D08BB0" w14:textId="77777777" w:rsidR="00E16F98" w:rsidRPr="009045F1" w:rsidRDefault="000E36D0">
      <w:pPr>
        <w:ind w:left="1276" w:right="175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 xml:space="preserve">Artículo 179. </w:t>
      </w:r>
      <w:r w:rsidRPr="009045F1">
        <w:rPr>
          <w:rFonts w:ascii="Palatino Linotype" w:eastAsia="Palatino Linotype" w:hAnsi="Palatino Linotype" w:cs="Palatino Linotype"/>
          <w:i/>
          <w:sz w:val="22"/>
          <w:szCs w:val="22"/>
        </w:rPr>
        <w:t xml:space="preserve">El recurso de revisión es un medio de protección que la Ley otorga a los particulares, para hacer valer su derecho de </w:t>
      </w:r>
      <w:r w:rsidRPr="009045F1">
        <w:rPr>
          <w:rFonts w:ascii="Palatino Linotype" w:eastAsia="Palatino Linotype" w:hAnsi="Palatino Linotype" w:cs="Palatino Linotype"/>
          <w:i/>
          <w:sz w:val="22"/>
          <w:szCs w:val="22"/>
        </w:rPr>
        <w:lastRenderedPageBreak/>
        <w:t>acceso a la información pública, y procederá en contra de las siguientes causas:</w:t>
      </w:r>
    </w:p>
    <w:p w14:paraId="688BC789" w14:textId="77777777" w:rsidR="00E16F98" w:rsidRPr="009045F1" w:rsidRDefault="000E36D0">
      <w:pPr>
        <w:ind w:left="1276" w:right="175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5572C27D" w14:textId="77777777" w:rsidR="00E16F98" w:rsidRPr="009045F1" w:rsidRDefault="000E36D0">
      <w:pPr>
        <w:ind w:left="1276" w:right="175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VI. La entrega de información que no corresponda con lo solicitado…” </w:t>
      </w:r>
    </w:p>
    <w:p w14:paraId="2E9C0895"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Tercero. Materia de Revisión</w:t>
      </w:r>
      <w:r w:rsidRPr="009045F1">
        <w:rPr>
          <w:rFonts w:ascii="Palatino Linotype" w:eastAsia="Palatino Linotype" w:hAnsi="Palatino Linotype" w:cs="Palatino Linotype"/>
        </w:rPr>
        <w:t xml:space="preserve">: De las constancias que integran el expediente electrónico se advierte que el tema sobre el que este Instituto se pronunciará será: </w:t>
      </w:r>
      <w:r w:rsidRPr="009045F1">
        <w:rPr>
          <w:rFonts w:ascii="Palatino Linotype" w:eastAsia="Palatino Linotype" w:hAnsi="Palatino Linotype" w:cs="Palatino Linotype"/>
          <w:b/>
        </w:rPr>
        <w:t xml:space="preserve">verificar si la respuesta otorgada por el SUJETO OBLIGADO es adecuada y suficiente para satisfacer el derecho de acceso a la información pública </w:t>
      </w:r>
      <w:r w:rsidRPr="009045F1">
        <w:rPr>
          <w:rFonts w:ascii="Palatino Linotype" w:eastAsia="Palatino Linotype" w:hAnsi="Palatino Linotype" w:cs="Palatino Linotype"/>
        </w:rPr>
        <w:t xml:space="preserve">de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o en su defecto, en caso de ser procedente, ordenar la entrega de información.</w:t>
      </w:r>
    </w:p>
    <w:p w14:paraId="3302076F"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Cuarto. Estudio de fondo del asunto. </w:t>
      </w:r>
      <w:r w:rsidRPr="009045F1">
        <w:rPr>
          <w:rFonts w:ascii="Palatino Linotype" w:eastAsia="Palatino Linotype" w:hAnsi="Palatino Linotype" w:cs="Palatino Linotype"/>
        </w:rPr>
        <w:t xml:space="preserve">es conveniente analizar si la respuesta del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cumple con los requisitos y procedimientos del derecho de acceso a la información pública, en atención a que en la Ley de Transparencia y Acceso a la Información Pública del Estado de México y Municipios en su artículo 4, dice que toda la información generada, obtenida, adquirida, transformada, administrada o en posesión de los sujetos obligados es pública y accesible de  manera permanente a cualquier persona, privilegiando el principio de máxima publicidad, como así lo establece dicha determinación, que a continuación se trascribe para un mejor entendimiento:</w:t>
      </w:r>
    </w:p>
    <w:p w14:paraId="6FE3F5DA" w14:textId="77777777" w:rsidR="00E16F98" w:rsidRPr="009045F1" w:rsidRDefault="000E36D0">
      <w:pPr>
        <w:spacing w:before="240"/>
        <w:ind w:left="709" w:right="76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lastRenderedPageBreak/>
        <w:t>“</w:t>
      </w:r>
      <w:r w:rsidRPr="009045F1">
        <w:rPr>
          <w:rFonts w:ascii="Palatino Linotype" w:eastAsia="Palatino Linotype" w:hAnsi="Palatino Linotype" w:cs="Palatino Linotype"/>
          <w:b/>
          <w:i/>
          <w:sz w:val="22"/>
          <w:szCs w:val="22"/>
        </w:rPr>
        <w:t>Artículo 4.</w:t>
      </w:r>
      <w:r w:rsidRPr="009045F1">
        <w:rPr>
          <w:rFonts w:ascii="Palatino Linotype" w:eastAsia="Palatino Linotype" w:hAnsi="Palatino Linotype" w:cs="Palatino Linotype"/>
          <w:i/>
          <w:sz w:val="22"/>
          <w:szCs w:val="22"/>
        </w:rPr>
        <w:t xml:space="preserve"> El derecho humano de acceso a la información pública es la prerrogativa de las personas para buscar, difundir, investigar, recabar, recibir y solicitar información pública, sin necesidad de acreditar personalidad ni interés jurídico. </w:t>
      </w:r>
    </w:p>
    <w:p w14:paraId="175BA5CF" w14:textId="77777777" w:rsidR="00E16F98" w:rsidRPr="009045F1" w:rsidRDefault="000E36D0">
      <w:pPr>
        <w:ind w:left="709" w:right="76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Toda la información generada, obtenida, adquirida, transformada, administrada o en posesión de los sujetos obligados es pública y accesible de manera permanente a cualquier persona</w:t>
      </w:r>
      <w:r w:rsidRPr="009045F1">
        <w:rPr>
          <w:rFonts w:ascii="Palatino Linotype" w:eastAsia="Palatino Linotype" w:hAnsi="Palatino Linotype" w:cs="Palatino Linotype"/>
          <w:i/>
          <w:sz w:val="22"/>
          <w:szCs w:val="22"/>
        </w:rPr>
        <w:t>, en los términos y condiciones que se establezcan en los tratados internacionales de los que el Estado mexicano sea parte, en la Ley General, la presente Ley y demás disposiciones de la materia, privilegiando el principio de máxima publicidad de la información. Solo podrá ser clasificada excepcionalmente Ley de Transparencia y Acceso a la Información Pública del Estado de México y Municipios 29 como reservada temporalmente por razones de interés público, en los términos de las causas legítimas y estrictamente necesarias previstas por esta Ley.</w:t>
      </w:r>
    </w:p>
    <w:p w14:paraId="31F4A22F" w14:textId="77777777" w:rsidR="00E16F98" w:rsidRPr="009045F1" w:rsidRDefault="000E36D0">
      <w:pPr>
        <w:ind w:left="709" w:right="76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Los sujetos obligados deben poner en práctica, políticas y programas de acceso a la información que se apeguen a criterios de publicidad, veracidad, oportunidad, precisión y suficiencia en beneficio de los solicitantes</w:t>
      </w:r>
      <w:r w:rsidRPr="009045F1">
        <w:rPr>
          <w:rFonts w:ascii="Palatino Linotype" w:eastAsia="Palatino Linotype" w:hAnsi="Palatino Linotype" w:cs="Palatino Linotype"/>
          <w:i/>
          <w:sz w:val="22"/>
          <w:szCs w:val="22"/>
        </w:rPr>
        <w:t>.”(Sic)</w:t>
      </w:r>
    </w:p>
    <w:p w14:paraId="10FEB075"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De lo anterior, se desprende que los Sujetos Obligados tiene la obligación o deber de atender las solicitudes de acceso a la información pública que se les hagan de su conocimiento y proporcionar la información pública que obren en su poder conforme el estado que se encuentra y no hacer un procesamiento de la misma, ni presentarla conforme al interés del solicitante; como así lo establece el artículo 12 de la Ley de Transparencia y Acceso a la Información Pública del Estado de México y Municipios, el cual a la letra dice:</w:t>
      </w:r>
    </w:p>
    <w:p w14:paraId="15C421A4" w14:textId="77777777" w:rsidR="00E16F98" w:rsidRPr="009045F1" w:rsidRDefault="000E36D0">
      <w:pPr>
        <w:ind w:left="567" w:right="758"/>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Artículo12.-</w:t>
      </w:r>
      <w:r w:rsidRPr="009045F1">
        <w:rPr>
          <w:rFonts w:ascii="Palatino Linotype" w:eastAsia="Palatino Linotype" w:hAnsi="Palatino Linotype" w:cs="Palatino Linotype"/>
          <w:i/>
          <w:sz w:val="22"/>
          <w:szCs w:val="22"/>
        </w:rPr>
        <w:t xml:space="preserve"> Quienes generen, recopilen, administren, manejen, procesen, archiven o conserven información pública serán responsables de la misma en los términos de las disposiciones jurídicas aplicables. </w:t>
      </w:r>
    </w:p>
    <w:p w14:paraId="204B5FB4" w14:textId="77777777" w:rsidR="00E16F98" w:rsidRPr="009045F1" w:rsidRDefault="000E36D0">
      <w:pPr>
        <w:ind w:left="567" w:right="758"/>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Los sujetos obligados sólo proporcionarán la información pública que se les requiera y que obre en sus archivos y en el estado en que ésta se encuentre</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rPr>
        <w:t xml:space="preserve">La </w:t>
      </w:r>
      <w:r w:rsidRPr="009045F1">
        <w:rPr>
          <w:rFonts w:ascii="Palatino Linotype" w:eastAsia="Palatino Linotype" w:hAnsi="Palatino Linotype" w:cs="Palatino Linotype"/>
          <w:b/>
          <w:i/>
          <w:sz w:val="22"/>
          <w:szCs w:val="22"/>
        </w:rPr>
        <w:lastRenderedPageBreak/>
        <w:t xml:space="preserve">obligación de proporcionar información no comprende el procesamiento de la misma, ni el presentarla conforme al interés del solicitante; no estarán obligados a generarla, resumirla, efectuar cálculos o practicar investigaciones.” </w:t>
      </w:r>
    </w:p>
    <w:p w14:paraId="06A34F0A" w14:textId="77777777" w:rsidR="00E16F98" w:rsidRPr="009045F1" w:rsidRDefault="00E16F98">
      <w:pPr>
        <w:spacing w:line="360" w:lineRule="auto"/>
        <w:ind w:right="-93"/>
        <w:jc w:val="both"/>
        <w:rPr>
          <w:rFonts w:ascii="Palatino Linotype" w:eastAsia="Palatino Linotype" w:hAnsi="Palatino Linotype" w:cs="Palatino Linotype"/>
        </w:rPr>
      </w:pPr>
    </w:p>
    <w:p w14:paraId="421BF385" w14:textId="77777777" w:rsidR="00E16F98" w:rsidRPr="009045F1" w:rsidRDefault="000E36D0">
      <w:pPr>
        <w:spacing w:line="360" w:lineRule="auto"/>
        <w:ind w:right="-93"/>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Es decir, todo Sujeto Obligado que genere, recopile, administre, procese, archive, posea o conserve información es responsables de la misma, teniendo a su vez la obligación de proporcionarla cuando se le requiera, sin necesidad de resumirla, efectuar procedimientos para obtenerla, calcular y practicar investigaciones; es decir, los Sujetos Obligados sólo se concretarán a proporcionar la información solicitada que tengan en su poder en el estado que se encuentran, sin necesidad de concretarse al interés o términos específicos del solicitante. </w:t>
      </w:r>
    </w:p>
    <w:p w14:paraId="455A1AB2" w14:textId="77777777" w:rsidR="00E16F98" w:rsidRPr="009045F1" w:rsidRDefault="00E16F98">
      <w:pPr>
        <w:spacing w:line="360" w:lineRule="auto"/>
        <w:jc w:val="both"/>
        <w:rPr>
          <w:rFonts w:ascii="Palatino Linotype" w:eastAsia="Palatino Linotype" w:hAnsi="Palatino Linotype" w:cs="Palatino Linotype"/>
        </w:rPr>
      </w:pPr>
    </w:p>
    <w:p w14:paraId="2CBEEF4A"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Sirve de apoyo a lo anterior, el criterio 03-17, expuesto por el Instituto Nacional de Transparencia, Acceso a la Información y Protección de Datos Personales, que dice:</w:t>
      </w:r>
    </w:p>
    <w:p w14:paraId="33EEAE71" w14:textId="77777777" w:rsidR="00E16F98" w:rsidRPr="009045F1" w:rsidRDefault="000E36D0">
      <w:pPr>
        <w:spacing w:line="360" w:lineRule="auto"/>
        <w:jc w:val="both"/>
        <w:rPr>
          <w:rFonts w:ascii="Palatino Linotype" w:eastAsia="Palatino Linotype" w:hAnsi="Palatino Linotype" w:cs="Palatino Linotype"/>
          <w:b/>
        </w:rPr>
      </w:pPr>
      <w:r w:rsidRPr="009045F1">
        <w:rPr>
          <w:rFonts w:ascii="Palatino Linotype" w:eastAsia="Palatino Linotype" w:hAnsi="Palatino Linotype" w:cs="Palatino Linotype"/>
          <w:b/>
        </w:rPr>
        <w:t xml:space="preserve"> </w:t>
      </w:r>
    </w:p>
    <w:p w14:paraId="66A7069B" w14:textId="77777777" w:rsidR="00E16F98" w:rsidRPr="009045F1" w:rsidRDefault="000E36D0">
      <w:pPr>
        <w:ind w:left="851" w:right="90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No existe obligación de elaborar documentos ad hoc para atender las solicitudes de acceso a la información.</w:t>
      </w:r>
      <w:r w:rsidRPr="009045F1">
        <w:rPr>
          <w:rFonts w:ascii="Palatino Linotype" w:eastAsia="Palatino Linotype" w:hAnsi="Palatino Linotype" w:cs="Palatino Linotype"/>
          <w:i/>
          <w:sz w:val="22"/>
          <w:szCs w:val="22"/>
        </w:rPr>
        <w:t xml:space="preserve"> Los artículos 129 de la Ley General de Transparencia y Acceso a la Información Pública y 130, párrafo cuarto, de la Ley Federal de Transparencia y Acceso a la Información Pública, señalan que los sujetos obligados deberán otorgar acceso a los documentos que se encuentren en sus archivos o que estén obligados a documentar, de acuerdo con sus facultades, competencias o funciones, conforme a las características físicas de la información o del lugar donde se encuentre. Por lo anterior, los sujetos obligados deben garantizar el derecho de acceso a la información del particular, proporcionando la información con la que cuentan en el formato en que la misma obre en sus </w:t>
      </w:r>
      <w:r w:rsidRPr="009045F1">
        <w:rPr>
          <w:rFonts w:ascii="Palatino Linotype" w:eastAsia="Palatino Linotype" w:hAnsi="Palatino Linotype" w:cs="Palatino Linotype"/>
          <w:i/>
          <w:sz w:val="22"/>
          <w:szCs w:val="22"/>
        </w:rPr>
        <w:lastRenderedPageBreak/>
        <w:t>archivos; sin necesidad de elaborar documentos ad hoc para atender las solicitudes de información.</w:t>
      </w:r>
    </w:p>
    <w:p w14:paraId="30B5552E" w14:textId="77777777" w:rsidR="00E16F98" w:rsidRPr="009045F1" w:rsidRDefault="000E36D0">
      <w:pPr>
        <w:ind w:left="851" w:right="90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Resoluciones: </w:t>
      </w:r>
    </w:p>
    <w:p w14:paraId="37919CA1" w14:textId="77777777" w:rsidR="00E16F98" w:rsidRPr="009045F1" w:rsidRDefault="000E36D0">
      <w:pPr>
        <w:ind w:left="851" w:right="901"/>
        <w:jc w:val="both"/>
        <w:rPr>
          <w:rFonts w:ascii="Palatino Linotype" w:eastAsia="Palatino Linotype" w:hAnsi="Palatino Linotype" w:cs="Palatino Linotype"/>
          <w:i/>
          <w:sz w:val="22"/>
          <w:szCs w:val="22"/>
        </w:rPr>
      </w:pPr>
      <w:r w:rsidRPr="009045F1">
        <w:rPr>
          <w:rFonts w:ascii="Noto Sans Symbols" w:eastAsia="Noto Sans Symbols" w:hAnsi="Noto Sans Symbols" w:cs="Noto Sans Symbols"/>
          <w:i/>
          <w:sz w:val="22"/>
          <w:szCs w:val="22"/>
        </w:rPr>
        <w:t>∙</w:t>
      </w:r>
      <w:r w:rsidRPr="009045F1">
        <w:rPr>
          <w:rFonts w:ascii="Palatino Linotype" w:eastAsia="Palatino Linotype" w:hAnsi="Palatino Linotype" w:cs="Palatino Linotype"/>
          <w:i/>
          <w:sz w:val="22"/>
          <w:szCs w:val="22"/>
        </w:rPr>
        <w:t xml:space="preserve"> RRA 0050/16. Instituto Nacional para la Evaluación de la Educación. 13 julio de 2016. Por unanimidad. Comisionado Ponente: Francisco Javier Acuña Llamas.</w:t>
      </w:r>
    </w:p>
    <w:p w14:paraId="68329AF0" w14:textId="77777777" w:rsidR="00E16F98" w:rsidRPr="009045F1" w:rsidRDefault="000E36D0">
      <w:pPr>
        <w:ind w:left="851" w:right="901"/>
        <w:jc w:val="both"/>
        <w:rPr>
          <w:rFonts w:ascii="Palatino Linotype" w:eastAsia="Palatino Linotype" w:hAnsi="Palatino Linotype" w:cs="Palatino Linotype"/>
          <w:i/>
          <w:sz w:val="22"/>
          <w:szCs w:val="22"/>
        </w:rPr>
      </w:pPr>
      <w:r w:rsidRPr="009045F1">
        <w:rPr>
          <w:rFonts w:ascii="Noto Sans Symbols" w:eastAsia="Noto Sans Symbols" w:hAnsi="Noto Sans Symbols" w:cs="Noto Sans Symbols"/>
          <w:i/>
          <w:sz w:val="22"/>
          <w:szCs w:val="22"/>
        </w:rPr>
        <w:t>∙</w:t>
      </w:r>
      <w:r w:rsidRPr="009045F1">
        <w:rPr>
          <w:rFonts w:ascii="Palatino Linotype" w:eastAsia="Palatino Linotype" w:hAnsi="Palatino Linotype" w:cs="Palatino Linotype"/>
          <w:i/>
          <w:sz w:val="22"/>
          <w:szCs w:val="22"/>
        </w:rPr>
        <w:t xml:space="preserve"> RRA 0310/16. Instituto Nacional de Transparencia, Acceso a la Información y Protección de Datos Personales. 10 de agosto de 2016. Por unanimidad. Comisionada Ponente. Areli Cano Guadiana. </w:t>
      </w:r>
    </w:p>
    <w:p w14:paraId="786EC9D8" w14:textId="77777777" w:rsidR="00E16F98" w:rsidRPr="009045F1" w:rsidRDefault="000E36D0">
      <w:pPr>
        <w:ind w:left="851" w:right="901"/>
        <w:jc w:val="both"/>
        <w:rPr>
          <w:rFonts w:ascii="Palatino Linotype" w:eastAsia="Palatino Linotype" w:hAnsi="Palatino Linotype" w:cs="Palatino Linotype"/>
          <w:i/>
          <w:sz w:val="22"/>
          <w:szCs w:val="22"/>
        </w:rPr>
      </w:pPr>
      <w:r w:rsidRPr="009045F1">
        <w:rPr>
          <w:rFonts w:ascii="Noto Sans Symbols" w:eastAsia="Noto Sans Symbols" w:hAnsi="Noto Sans Symbols" w:cs="Noto Sans Symbols"/>
          <w:i/>
          <w:sz w:val="22"/>
          <w:szCs w:val="22"/>
        </w:rPr>
        <w:t>∙</w:t>
      </w:r>
      <w:r w:rsidRPr="009045F1">
        <w:rPr>
          <w:rFonts w:ascii="Palatino Linotype" w:eastAsia="Palatino Linotype" w:hAnsi="Palatino Linotype" w:cs="Palatino Linotype"/>
          <w:i/>
          <w:sz w:val="22"/>
          <w:szCs w:val="22"/>
        </w:rPr>
        <w:t xml:space="preserve"> RRA 1889/16. Secretaría de Hacienda y Crédito Público. 05 de octubre de 2016. Por unanimidad. Comisionada Ponente. Ximena Puente de la Mora.”(Sic)</w:t>
      </w:r>
    </w:p>
    <w:p w14:paraId="4D424972" w14:textId="77777777" w:rsidR="00E16F98" w:rsidRPr="009045F1" w:rsidRDefault="00E16F98">
      <w:pPr>
        <w:spacing w:line="360" w:lineRule="auto"/>
        <w:jc w:val="both"/>
        <w:rPr>
          <w:rFonts w:ascii="Palatino Linotype" w:eastAsia="Palatino Linotype" w:hAnsi="Palatino Linotype" w:cs="Palatino Linotype"/>
        </w:rPr>
      </w:pPr>
    </w:p>
    <w:p w14:paraId="03087C80" w14:textId="77777777" w:rsidR="00E16F98" w:rsidRPr="009045F1" w:rsidRDefault="000E36D0">
      <w:pPr>
        <w:spacing w:line="360" w:lineRule="auto"/>
        <w:jc w:val="both"/>
        <w:rPr>
          <w:rFonts w:ascii="Palatino Linotype" w:eastAsia="Palatino Linotype" w:hAnsi="Palatino Linotype" w:cs="Palatino Linotype"/>
          <w:strike/>
        </w:rPr>
      </w:pPr>
      <w:r w:rsidRPr="009045F1">
        <w:rPr>
          <w:rFonts w:ascii="Palatino Linotype" w:eastAsia="Palatino Linotype" w:hAnsi="Palatino Linotype" w:cs="Palatino Linotype"/>
        </w:rPr>
        <w:t xml:space="preserve">En esa tesitura, el artículo 24 en su último párrafo de la Ley de la Materia, dispone que los Sujetos Obligados sólo proporcionarán la información pública que generen, administren o posean en el ejercicio de sus atribuciones; por consiguiente, la información pública se encuentra a disposición de cualquier persona, lo que implica que es deber de los Sujetos Obligados, garantizar el Derecho de Acceso a la Información Pública, circunstancia que aconteció en el presente asunto que se analiza.  </w:t>
      </w:r>
    </w:p>
    <w:p w14:paraId="779CE50E" w14:textId="77777777" w:rsidR="00E16F98" w:rsidRPr="009045F1" w:rsidRDefault="00E16F98">
      <w:pPr>
        <w:spacing w:line="360" w:lineRule="auto"/>
        <w:jc w:val="both"/>
        <w:rPr>
          <w:rFonts w:ascii="Palatino Linotype" w:eastAsia="Palatino Linotype" w:hAnsi="Palatino Linotype" w:cs="Palatino Linotype"/>
        </w:rPr>
      </w:pPr>
    </w:p>
    <w:p w14:paraId="590C50E2" w14:textId="77777777" w:rsidR="00E16F98" w:rsidRPr="009045F1" w:rsidRDefault="000E36D0">
      <w:pPr>
        <w:spacing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Siempre y cuando no se trate de información reservada o clasificada, que difundirla pondría en riesgo la seguridad jurídica y física del titular de la información, debiendo tener audacia los Sujetos Obligados para cuidar esta información a través del acuerdo clasificatorio del comité de transparencia y la versión pública que emita el servidor público habilitado de cada Sujeto Obligado; como así se establece en la </w:t>
      </w:r>
      <w:r w:rsidRPr="009045F1">
        <w:rPr>
          <w:rFonts w:ascii="Palatino Linotype" w:eastAsia="Palatino Linotype" w:hAnsi="Palatino Linotype" w:cs="Palatino Linotype"/>
        </w:rPr>
        <w:lastRenderedPageBreak/>
        <w:t>Ley de Transparencia y Acceso a la Información Pública del Estado de México y Municipios.</w:t>
      </w:r>
    </w:p>
    <w:p w14:paraId="4887D62D" w14:textId="77777777" w:rsidR="00E16F98" w:rsidRPr="009045F1" w:rsidRDefault="00E16F98">
      <w:pPr>
        <w:spacing w:line="360" w:lineRule="auto"/>
        <w:ind w:right="49"/>
        <w:jc w:val="both"/>
        <w:rPr>
          <w:rFonts w:ascii="Palatino Linotype" w:eastAsia="Palatino Linotype" w:hAnsi="Palatino Linotype" w:cs="Palatino Linotype"/>
        </w:rPr>
      </w:pPr>
    </w:p>
    <w:p w14:paraId="1E3061A7"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conclusión, el derecho de acceso a la información pública, consiste en que la información solicitada conste en un documento en cualquiera de sus formas, a saber: expedientes, reportes, estudios, actas, resoluciones, oficios, correspondencia, acuerdos, directivas, directrices, circulares, contratos, convenios, instructivos, notas, memorandos, estadísticas o bien, cualquier otro registro que documente el ejercicio de las facultades, funciones y competencias de los Sujetos Obligados; los que, podrán estar en cualquier medio, sea escrito, impreso, sonoro, visual, electrónico, informático u holográfico de conformidad con el artículo 3, fracción XI de la Ley de la materia, el cual señala lo siguiente: </w:t>
      </w:r>
    </w:p>
    <w:p w14:paraId="411F0D53" w14:textId="77777777" w:rsidR="00E16F98" w:rsidRPr="009045F1" w:rsidRDefault="00E16F98">
      <w:pPr>
        <w:ind w:left="851" w:right="899"/>
        <w:jc w:val="both"/>
        <w:rPr>
          <w:rFonts w:ascii="Palatino Linotype" w:eastAsia="Palatino Linotype" w:hAnsi="Palatino Linotype" w:cs="Palatino Linotype"/>
          <w:i/>
          <w:sz w:val="22"/>
          <w:szCs w:val="22"/>
        </w:rPr>
      </w:pPr>
    </w:p>
    <w:p w14:paraId="5F4EF1D5"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 xml:space="preserve">Artículo 3. </w:t>
      </w:r>
      <w:r w:rsidRPr="009045F1">
        <w:rPr>
          <w:rFonts w:ascii="Palatino Linotype" w:eastAsia="Palatino Linotype" w:hAnsi="Palatino Linotype" w:cs="Palatino Linotype"/>
          <w:i/>
          <w:sz w:val="22"/>
          <w:szCs w:val="22"/>
        </w:rPr>
        <w:t>Para los efectos de la presente Ley se entenderá por:</w:t>
      </w:r>
    </w:p>
    <w:p w14:paraId="72A0598F"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0C98B358"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XI. Documento:</w:t>
      </w:r>
      <w:r w:rsidRPr="009045F1">
        <w:rPr>
          <w:rFonts w:ascii="Palatino Linotype" w:eastAsia="Palatino Linotype" w:hAnsi="Palatino Linotype" w:cs="Palatino Linotype"/>
          <w:i/>
          <w:sz w:val="22"/>
          <w:szCs w:val="22"/>
        </w:rPr>
        <w:t xml:space="preserve"> Los expedientes, reportes, estudios, actas</w:t>
      </w:r>
      <w:r w:rsidRPr="009045F1">
        <w:rPr>
          <w:rFonts w:ascii="Palatino Linotype" w:eastAsia="Palatino Linotype" w:hAnsi="Palatino Linotype" w:cs="Palatino Linotype"/>
          <w:b/>
          <w:i/>
          <w:sz w:val="22"/>
          <w:szCs w:val="22"/>
        </w:rPr>
        <w:t>,</w:t>
      </w:r>
      <w:r w:rsidRPr="009045F1">
        <w:rPr>
          <w:rFonts w:ascii="Palatino Linotype" w:eastAsia="Palatino Linotype" w:hAnsi="Palatino Linotype" w:cs="Palatino Linotype"/>
          <w:i/>
          <w:sz w:val="22"/>
          <w:szCs w:val="22"/>
        </w:rPr>
        <w:t xml:space="preserve"> resoluciones, oficios, correspondencia, acuerdos, directivas, directrices, circulares, contratos, convenios, instructivos, notas, memorandos, estadísticas o bien, cualquier otro registro que documente el ejercicio de las facultades, funciones y competencias de los sujetos obligados, sus servidores públicos e integrantes, sin importar su fuente o fecha de elaboración. Los documentos podrán estar en cualquier medio, sea escrito, impreso, sonoro, visual, electrónico, informático u holográfico…” (Sic)</w:t>
      </w:r>
    </w:p>
    <w:p w14:paraId="5924FC20" w14:textId="77777777" w:rsidR="00E16F98" w:rsidRPr="009045F1" w:rsidRDefault="00E16F98">
      <w:pPr>
        <w:ind w:left="851" w:right="899"/>
        <w:jc w:val="both"/>
        <w:rPr>
          <w:rFonts w:ascii="Palatino Linotype" w:eastAsia="Palatino Linotype" w:hAnsi="Palatino Linotype" w:cs="Palatino Linotype"/>
          <w:sz w:val="22"/>
          <w:szCs w:val="22"/>
        </w:rPr>
      </w:pPr>
    </w:p>
    <w:p w14:paraId="7AE94A90"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Siendo aplicable, el Criterio de interpretación en el orden administrativo número 0002-11, emitido por Acuerdo del Pleno del Instituto de Transparencia y Acceso a la </w:t>
      </w:r>
      <w:r w:rsidRPr="009045F1">
        <w:rPr>
          <w:rFonts w:ascii="Palatino Linotype" w:eastAsia="Palatino Linotype" w:hAnsi="Palatino Linotype" w:cs="Palatino Linotype"/>
        </w:rPr>
        <w:lastRenderedPageBreak/>
        <w:t>Información Pública del Estado de México y Municipios; publicado en el Periódico Oficial del Gobierno del Estado Libre y Soberano de México “Gaceta del Gobierno”, el diecinueve de octubre de dos mil once, cuyo rubro y texto refieren lo siguiente:</w:t>
      </w:r>
    </w:p>
    <w:p w14:paraId="62DE6894" w14:textId="77777777" w:rsidR="00E16F98" w:rsidRPr="009045F1" w:rsidRDefault="00E16F98">
      <w:pPr>
        <w:ind w:left="851" w:right="899"/>
        <w:jc w:val="both"/>
        <w:rPr>
          <w:rFonts w:ascii="Palatino Linotype" w:eastAsia="Palatino Linotype" w:hAnsi="Palatino Linotype" w:cs="Palatino Linotype"/>
        </w:rPr>
      </w:pPr>
    </w:p>
    <w:p w14:paraId="095ECFC2" w14:textId="77777777" w:rsidR="00E16F98" w:rsidRPr="009045F1" w:rsidRDefault="000E36D0">
      <w:pPr>
        <w:ind w:left="851" w:right="899"/>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sz w:val="22"/>
          <w:szCs w:val="22"/>
        </w:rPr>
        <w:t>“</w:t>
      </w:r>
      <w:r w:rsidRPr="009045F1">
        <w:rPr>
          <w:rFonts w:ascii="Palatino Linotype" w:eastAsia="Palatino Linotype" w:hAnsi="Palatino Linotype" w:cs="Palatino Linotype"/>
          <w:b/>
          <w:i/>
          <w:sz w:val="22"/>
          <w:szCs w:val="22"/>
        </w:rPr>
        <w:t>CRITERIO 0002-11</w:t>
      </w:r>
    </w:p>
    <w:p w14:paraId="1554FEBA"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INFORMACIÓN PÚBLICA, CONCEPTO DE, EN MATERIA DE TRANSPARENCIA. INTERPRETACIÓN SISTEMÁTICA DE LOS ARTÍCULOS 2°, FRACCIÓN V, XV, Y XVI, 3°, 4°, 11 Y 41.</w:t>
      </w:r>
      <w:r w:rsidRPr="009045F1">
        <w:rPr>
          <w:rFonts w:ascii="Palatino Linotype" w:eastAsia="Palatino Linotype" w:hAnsi="Palatino Linotype" w:cs="Palatino Linotype"/>
          <w:i/>
          <w:sz w:val="22"/>
          <w:szCs w:val="22"/>
        </w:rPr>
        <w:t xml:space="preserve"> De conformidad con los artículos antes referidos, el derecho de acceso a la información pública, se define en cuanto a su alcance y resultado material, el acceso a los archivos, registros y documentos públicos, administrados, generados o en posesión de los órganos u organismos públicos, en virtud del ejercicio de sus funciones de derecho público, sin importar su fuente, soporte o fecha de elaboración.</w:t>
      </w:r>
    </w:p>
    <w:p w14:paraId="78BCD05A"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consecuencia el acceso a la información se refiere a que se cumplan cualquiera de los siguientes tres supuestos:</w:t>
      </w:r>
    </w:p>
    <w:p w14:paraId="7E920208" w14:textId="77777777" w:rsidR="00E16F98" w:rsidRPr="009045F1" w:rsidRDefault="000E36D0">
      <w:pPr>
        <w:ind w:left="851" w:right="89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1) Que se trate de información registrada en cualquier soporte documental, que en ejercicio de las atribuciones conferidas, sea generada por los Sujetos Obligados;</w:t>
      </w:r>
    </w:p>
    <w:p w14:paraId="4264D821" w14:textId="77777777" w:rsidR="00E16F98" w:rsidRPr="009045F1" w:rsidRDefault="000E36D0">
      <w:pPr>
        <w:ind w:left="851" w:right="899"/>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2) Que se trate de información registrada en cualquier soporte documental, que en ejercicio de las atribuciones conferidas, sea administrada por los Sujetos Obligados, y</w:t>
      </w:r>
    </w:p>
    <w:p w14:paraId="31C44122" w14:textId="77777777" w:rsidR="00E16F98" w:rsidRPr="009045F1" w:rsidRDefault="000E36D0">
      <w:pPr>
        <w:ind w:left="851" w:right="899"/>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3) Que se trate de información registrada en cualquier soporte documental, que en ejercicio de las atribuciones conferidas, se encuentre en posesión de los Sujetos Obligados.”</w:t>
      </w:r>
    </w:p>
    <w:p w14:paraId="51037258"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Ahora bien, del análisis de la solicitud de información pública que motivó el recurso de revisión que ahora se resuelve, se advierte que el particular requirió al Organismo Público Descentralizado para la Prestación de Los Servicios de Agua Potable Alcantarillado y Saneamiento del Municipio de Naucalpan de Juárez, lo siguiente:</w:t>
      </w:r>
    </w:p>
    <w:p w14:paraId="0C466E44" w14:textId="77777777" w:rsidR="00E16F98" w:rsidRPr="009045F1" w:rsidRDefault="000E36D0">
      <w:pPr>
        <w:numPr>
          <w:ilvl w:val="0"/>
          <w:numId w:val="2"/>
        </w:numPr>
        <w:pBdr>
          <w:top w:val="nil"/>
          <w:left w:val="nil"/>
          <w:bottom w:val="nil"/>
          <w:right w:val="nil"/>
          <w:between w:val="nil"/>
        </w:pBd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COPIA DEL PROCEDIMIENTO ADMINISTRATIVO DE CONTRATACION Y/O LICITACION O EL CORRESPONDIENTE RESPECTO DEL SERVICIO DE DESINFECCION Y SANITIZACION CORRESPONDIENTE A LOS EJERCICIOS FISCALES 2019, 2020 Y 2021. ASI COMO LA CANTIDAD DE DINERO QUE SE GASTÓ EN ESE SERVICIO.</w:t>
      </w:r>
    </w:p>
    <w:p w14:paraId="0500E772" w14:textId="77777777" w:rsidR="00E16F98" w:rsidRPr="009045F1" w:rsidRDefault="000E36D0">
      <w:pPr>
        <w:spacing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respuesta, el </w:t>
      </w:r>
      <w:r w:rsidRPr="009045F1">
        <w:rPr>
          <w:rFonts w:ascii="Palatino Linotype" w:eastAsia="Palatino Linotype" w:hAnsi="Palatino Linotype" w:cs="Palatino Linotype"/>
          <w:b/>
        </w:rPr>
        <w:t xml:space="preserve">SUJETO OBLIGADO </w:t>
      </w:r>
      <w:r w:rsidRPr="009045F1">
        <w:rPr>
          <w:rFonts w:ascii="Palatino Linotype" w:eastAsia="Palatino Linotype" w:hAnsi="Palatino Linotype" w:cs="Palatino Linotype"/>
        </w:rPr>
        <w:t xml:space="preserve">a través de su Subgerente de Transparencia hizo entrega en formato PDF copia simple del convenio ISSEMYM celebrado con el SUJETO OBLIGADO, referente a la solicitud de información número </w:t>
      </w:r>
      <w:r w:rsidRPr="009045F1">
        <w:rPr>
          <w:rFonts w:ascii="Palatino Linotype" w:eastAsia="Palatino Linotype" w:hAnsi="Palatino Linotype" w:cs="Palatino Linotype"/>
          <w:b/>
        </w:rPr>
        <w:t>00121/OASNAUCAL/IP/2024.</w:t>
      </w:r>
    </w:p>
    <w:p w14:paraId="0EBBB17F"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No conforme con la respuesta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interpuso el recurso de revisión que se analiza en el presente asunto, por medio del cual se inconformó en lo medular porque la información entregada no corresponde con lo solicitado, además que dan respuesta a una solicitud diversa entregando un convenio.</w:t>
      </w:r>
    </w:p>
    <w:p w14:paraId="519507A3"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Ante la interposición del recurso de revisión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fue omiso en rendir su informe justificado.</w:t>
      </w:r>
    </w:p>
    <w:p w14:paraId="5D52E263" w14:textId="77777777" w:rsidR="00E16F98" w:rsidRPr="009045F1" w:rsidRDefault="00E16F98">
      <w:pPr>
        <w:spacing w:line="360" w:lineRule="auto"/>
        <w:jc w:val="both"/>
        <w:rPr>
          <w:rFonts w:ascii="Palatino Linotype" w:eastAsia="Palatino Linotype" w:hAnsi="Palatino Linotype" w:cs="Palatino Linotype"/>
        </w:rPr>
      </w:pPr>
    </w:p>
    <w:p w14:paraId="4FC3D890"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Con base en lo precedente, se determina que la información proporcionada por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en su respuesta, no cumple con lo establecido por los artículos 4, 12, 24 último párrafo y 162 de la Ley de Transparencia y Acceso a la </w:t>
      </w:r>
      <w:r w:rsidRPr="009045F1">
        <w:rPr>
          <w:rFonts w:ascii="Palatino Linotype" w:eastAsia="Palatino Linotype" w:hAnsi="Palatino Linotype" w:cs="Palatino Linotype"/>
        </w:rPr>
        <w:lastRenderedPageBreak/>
        <w:t xml:space="preserve">Información Pública del Estado de México y Municipios; por ello, los motivos de inconformidad acontecen fundados para revocar la respuesta del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en razón de las consideraciones de derecho que a continuación se exponen: </w:t>
      </w:r>
    </w:p>
    <w:p w14:paraId="2757FC08"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Sobre la naturaleza de la información requerida, relacionada con el procedimiento administrativo de contratación y/o licitación o el correspondiente, respecto del servicio de desinfección y sanitización, se encuentran regulados en la Ley de Contratación Pública del Estado de México y Municipios, la cual tiene por objeto regular los actos relativos a la </w:t>
      </w:r>
      <w:r w:rsidRPr="009045F1">
        <w:rPr>
          <w:rFonts w:ascii="Palatino Linotype" w:eastAsia="Palatino Linotype" w:hAnsi="Palatino Linotype" w:cs="Palatino Linotype"/>
          <w:b/>
          <w:u w:val="single"/>
        </w:rPr>
        <w:t>planeación, programación, presupuestación</w:t>
      </w:r>
      <w:r w:rsidRPr="009045F1">
        <w:rPr>
          <w:rFonts w:ascii="Palatino Linotype" w:eastAsia="Palatino Linotype" w:hAnsi="Palatino Linotype" w:cs="Palatino Linotype"/>
        </w:rPr>
        <w:t xml:space="preserve">, ejecución y control de la </w:t>
      </w:r>
      <w:r w:rsidRPr="009045F1">
        <w:rPr>
          <w:rFonts w:ascii="Palatino Linotype" w:eastAsia="Palatino Linotype" w:hAnsi="Palatino Linotype" w:cs="Palatino Linotype"/>
          <w:b/>
          <w:u w:val="single"/>
        </w:rPr>
        <w:t>adquisición</w:t>
      </w:r>
      <w:r w:rsidRPr="009045F1">
        <w:rPr>
          <w:rFonts w:ascii="Palatino Linotype" w:eastAsia="Palatino Linotype" w:hAnsi="Palatino Linotype" w:cs="Palatino Linotype"/>
        </w:rPr>
        <w:t xml:space="preserve">, enajenación y arrendamiento de bienes, y la </w:t>
      </w:r>
      <w:r w:rsidRPr="009045F1">
        <w:rPr>
          <w:rFonts w:ascii="Palatino Linotype" w:eastAsia="Palatino Linotype" w:hAnsi="Palatino Linotype" w:cs="Palatino Linotype"/>
          <w:b/>
          <w:u w:val="single"/>
        </w:rPr>
        <w:t>contratación de servicios de cualquier naturaleza, que realicen los Organismos Auxiliares Municipales</w:t>
      </w:r>
      <w:r w:rsidRPr="009045F1">
        <w:rPr>
          <w:rFonts w:ascii="Palatino Linotype" w:eastAsia="Palatino Linotype" w:hAnsi="Palatino Linotype" w:cs="Palatino Linotype"/>
        </w:rPr>
        <w:t xml:space="preserve">; entre ellos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los cuales se adjudicarán a través de licitación pública, invitación restringida o adjudicación directa, tal y como lo establecen los artículos 4, 26 y 27 de dicha Ley, los cuales son del tenor siguiente:</w:t>
      </w:r>
    </w:p>
    <w:p w14:paraId="756C9213" w14:textId="77777777" w:rsidR="00E16F98" w:rsidRPr="009045F1" w:rsidRDefault="000E36D0">
      <w:pPr>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4.-</w:t>
      </w:r>
      <w:r w:rsidRPr="009045F1">
        <w:rPr>
          <w:rFonts w:ascii="Palatino Linotype" w:eastAsia="Palatino Linotype" w:hAnsi="Palatino Linotype" w:cs="Palatino Linotype"/>
          <w:i/>
          <w:sz w:val="22"/>
          <w:szCs w:val="22"/>
        </w:rPr>
        <w:t xml:space="preserve"> Para los efectos de esta Ley, </w:t>
      </w:r>
      <w:r w:rsidRPr="009045F1">
        <w:rPr>
          <w:rFonts w:ascii="Palatino Linotype" w:eastAsia="Palatino Linotype" w:hAnsi="Palatino Linotype" w:cs="Palatino Linotype"/>
          <w:b/>
          <w:i/>
          <w:sz w:val="22"/>
          <w:szCs w:val="22"/>
        </w:rPr>
        <w:t>en las adquisiciones, enajenaciones, arrendamientos y servicios, quedan comprendidos</w:t>
      </w:r>
      <w:r w:rsidRPr="009045F1">
        <w:rPr>
          <w:rFonts w:ascii="Palatino Linotype" w:eastAsia="Palatino Linotype" w:hAnsi="Palatino Linotype" w:cs="Palatino Linotype"/>
          <w:i/>
          <w:sz w:val="22"/>
          <w:szCs w:val="22"/>
        </w:rPr>
        <w:t>:</w:t>
      </w:r>
    </w:p>
    <w:p w14:paraId="612CD491"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w:t>
      </w:r>
      <w:r w:rsidRPr="009045F1">
        <w:rPr>
          <w:rFonts w:ascii="Palatino Linotype" w:eastAsia="Palatino Linotype" w:hAnsi="Palatino Linotype" w:cs="Palatino Linotype"/>
          <w:i/>
          <w:sz w:val="22"/>
          <w:szCs w:val="22"/>
        </w:rPr>
        <w:t xml:space="preserve"> La adquisición de bienes muebles.</w:t>
      </w:r>
    </w:p>
    <w:p w14:paraId="0FE3ADA6"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II</w:t>
      </w:r>
      <w:r w:rsidRPr="009045F1">
        <w:rPr>
          <w:rFonts w:ascii="Palatino Linotype" w:eastAsia="Palatino Linotype" w:hAnsi="Palatino Linotype" w:cs="Palatino Linotype"/>
          <w:i/>
          <w:sz w:val="22"/>
          <w:szCs w:val="22"/>
        </w:rPr>
        <w:t>. La adquisición de bienes inmuebles, a través de compraventa.</w:t>
      </w:r>
    </w:p>
    <w:p w14:paraId="2C896D28"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III.</w:t>
      </w:r>
      <w:r w:rsidRPr="009045F1">
        <w:rPr>
          <w:rFonts w:ascii="Palatino Linotype" w:eastAsia="Palatino Linotype" w:hAnsi="Palatino Linotype" w:cs="Palatino Linotype"/>
          <w:i/>
          <w:sz w:val="22"/>
          <w:szCs w:val="22"/>
        </w:rPr>
        <w:t xml:space="preserve"> La enajenación de bienes muebles e inmuebles.</w:t>
      </w:r>
    </w:p>
    <w:p w14:paraId="2F2D65AF"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IV.</w:t>
      </w:r>
      <w:r w:rsidRPr="009045F1">
        <w:rPr>
          <w:rFonts w:ascii="Palatino Linotype" w:eastAsia="Palatino Linotype" w:hAnsi="Palatino Linotype" w:cs="Palatino Linotype"/>
          <w:i/>
          <w:sz w:val="22"/>
          <w:szCs w:val="22"/>
        </w:rPr>
        <w:t xml:space="preserve"> El arrendamiento de bienes muebles e inmuebles. </w:t>
      </w:r>
    </w:p>
    <w:p w14:paraId="7BA2AF5B"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lastRenderedPageBreak/>
        <w:t>V</w:t>
      </w:r>
      <w:r w:rsidRPr="009045F1">
        <w:rPr>
          <w:rFonts w:ascii="Palatino Linotype" w:eastAsia="Palatino Linotype" w:hAnsi="Palatino Linotype" w:cs="Palatino Linotype"/>
          <w:i/>
          <w:sz w:val="22"/>
          <w:szCs w:val="22"/>
        </w:rPr>
        <w:t>. La contratación de los servicios, relacionados con bienes muebles que se encuentran incorporados o adheridos a bienes inmuebles, cuya instalación o mantenimiento no implique modificación al bien inmueble.</w:t>
      </w:r>
    </w:p>
    <w:p w14:paraId="2B2E2C86"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VI.</w:t>
      </w:r>
      <w:r w:rsidRPr="009045F1">
        <w:rPr>
          <w:rFonts w:ascii="Palatino Linotype" w:eastAsia="Palatino Linotype" w:hAnsi="Palatino Linotype" w:cs="Palatino Linotype"/>
          <w:i/>
          <w:sz w:val="22"/>
          <w:szCs w:val="22"/>
        </w:rPr>
        <w:t xml:space="preserve"> La contratación de los servicios de reconstrucción y mantenimiento de bienes muebles. </w:t>
      </w:r>
    </w:p>
    <w:p w14:paraId="256ECAE7"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VII.</w:t>
      </w:r>
      <w:r w:rsidRPr="009045F1">
        <w:rPr>
          <w:rFonts w:ascii="Palatino Linotype" w:eastAsia="Palatino Linotype" w:hAnsi="Palatino Linotype" w:cs="Palatino Linotype"/>
          <w:i/>
          <w:sz w:val="22"/>
          <w:szCs w:val="22"/>
        </w:rPr>
        <w:t xml:space="preserve"> La contratación de los servicios de maquila, seguros y transportación, así como de los de limpieza y vigilancia de bienes inmuebles. </w:t>
      </w:r>
    </w:p>
    <w:p w14:paraId="266AB891"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VIII.</w:t>
      </w:r>
      <w:r w:rsidRPr="009045F1">
        <w:rPr>
          <w:rFonts w:ascii="Palatino Linotype" w:eastAsia="Palatino Linotype" w:hAnsi="Palatino Linotype" w:cs="Palatino Linotype"/>
          <w:i/>
          <w:sz w:val="22"/>
          <w:szCs w:val="22"/>
        </w:rPr>
        <w:t xml:space="preserve"> La prestación de servicios profesionales, la contratación de consultorías, asesorías y estudios e investigaciones, excepto la contratación de servicios personales de personas físicas bajo el régimen de honorarios. </w:t>
      </w:r>
    </w:p>
    <w:p w14:paraId="67375270" w14:textId="77777777" w:rsidR="00E16F98" w:rsidRPr="009045F1" w:rsidRDefault="000E36D0">
      <w:pPr>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general, otros actos que impliquen la contratación de servicios de cualquier naturaleza</w:t>
      </w:r>
    </w:p>
    <w:p w14:paraId="506282A1" w14:textId="77777777" w:rsidR="00E16F98" w:rsidRPr="009045F1" w:rsidRDefault="000E36D0">
      <w:pPr>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26.-</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rPr>
        <w:t>Las adquisiciones, arrendamientos y servicios se adjudicarán a través de licitaciones públicas</w:t>
      </w:r>
      <w:r w:rsidRPr="009045F1">
        <w:rPr>
          <w:rFonts w:ascii="Palatino Linotype" w:eastAsia="Palatino Linotype" w:hAnsi="Palatino Linotype" w:cs="Palatino Linotype"/>
          <w:i/>
          <w:sz w:val="22"/>
          <w:szCs w:val="22"/>
        </w:rPr>
        <w:t xml:space="preserve">, mediante convocatoria pública. </w:t>
      </w:r>
    </w:p>
    <w:p w14:paraId="6E3A4290" w14:textId="77777777" w:rsidR="00E16F98" w:rsidRPr="009045F1" w:rsidRDefault="000E36D0">
      <w:pPr>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27.</w:t>
      </w:r>
      <w:r w:rsidRPr="009045F1">
        <w:rPr>
          <w:rFonts w:ascii="Palatino Linotype" w:eastAsia="Palatino Linotype" w:hAnsi="Palatino Linotype" w:cs="Palatino Linotype"/>
          <w:i/>
          <w:sz w:val="22"/>
          <w:szCs w:val="22"/>
        </w:rPr>
        <w:t xml:space="preserve">- La Secretaría, las entidades, los tribunales administrativos y los ayuntamientos podrán </w:t>
      </w:r>
      <w:r w:rsidRPr="009045F1">
        <w:rPr>
          <w:rFonts w:ascii="Palatino Linotype" w:eastAsia="Palatino Linotype" w:hAnsi="Palatino Linotype" w:cs="Palatino Linotype"/>
          <w:b/>
          <w:i/>
          <w:sz w:val="22"/>
          <w:szCs w:val="22"/>
        </w:rPr>
        <w:t>adjudicar adquisiciones, arrendamientos y servicios, mediante las excepciones al procedimiento de licitación</w:t>
      </w:r>
      <w:r w:rsidRPr="009045F1">
        <w:rPr>
          <w:rFonts w:ascii="Palatino Linotype" w:eastAsia="Palatino Linotype" w:hAnsi="Palatino Linotype" w:cs="Palatino Linotype"/>
          <w:i/>
          <w:sz w:val="22"/>
          <w:szCs w:val="22"/>
        </w:rPr>
        <w:t xml:space="preserve"> que a continuación se señalan:</w:t>
      </w:r>
    </w:p>
    <w:p w14:paraId="4C18739D"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w:t>
      </w:r>
      <w:r w:rsidRPr="009045F1">
        <w:rPr>
          <w:rFonts w:ascii="Palatino Linotype" w:eastAsia="Palatino Linotype" w:hAnsi="Palatino Linotype" w:cs="Palatino Linotype"/>
          <w:i/>
          <w:sz w:val="22"/>
          <w:szCs w:val="22"/>
        </w:rPr>
        <w:t>. Invitación restringida.</w:t>
      </w:r>
    </w:p>
    <w:p w14:paraId="61183E0D" w14:textId="77777777" w:rsidR="00E16F98" w:rsidRPr="009045F1" w:rsidRDefault="000E36D0">
      <w:pPr>
        <w:spacing w:before="120" w:after="120"/>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II.</w:t>
      </w:r>
      <w:r w:rsidRPr="009045F1">
        <w:rPr>
          <w:rFonts w:ascii="Palatino Linotype" w:eastAsia="Palatino Linotype" w:hAnsi="Palatino Linotype" w:cs="Palatino Linotype"/>
          <w:i/>
          <w:sz w:val="22"/>
          <w:szCs w:val="22"/>
        </w:rPr>
        <w:t xml:space="preserve"> Adjudicación directa.”</w:t>
      </w:r>
    </w:p>
    <w:p w14:paraId="7A1167C3" w14:textId="77777777" w:rsidR="00E16F98" w:rsidRPr="009045F1" w:rsidRDefault="000E36D0">
      <w:pPr>
        <w:spacing w:before="240"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Con base en los preceptos citados se advierte que, por regla general, las adquisiciones, enajenaciones, arrendamientos y servicios, que celebren los entes públicos, deben adjudicarse por regla general mediante licitación pública, sin embargo, también se contemplan como excepciones a dicho proceso, la invitación restringida y la adjudicación directa, procedimientos que son materia de la solicitud presentada por el particular.</w:t>
      </w:r>
    </w:p>
    <w:p w14:paraId="08C6AB64"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 xml:space="preserve">De lo anterior se advierte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como organismo descentralizado del Ayuntamiento de Naucalpan de Juárez, en términos de lo señalado por el artículo 42 inciso “B” del Bando Municipal del Ayuntamiento de Naucalpan de Juárez, que indica:</w:t>
      </w:r>
    </w:p>
    <w:p w14:paraId="48A9BF12" w14:textId="77777777" w:rsidR="00E16F98" w:rsidRPr="009045F1" w:rsidRDefault="000E36D0">
      <w:pPr>
        <w:tabs>
          <w:tab w:val="left" w:pos="426"/>
        </w:tabs>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“Artículo 42. La Administración Pública Centralizada y Descentralizada se constituye por las Dependencias, Órganos Desconcentrados y Entidades que señala la Ley Orgánica, aquellas que determine el Reglamento Orgánico y por las que, sean creadas por el Ayuntamiento, mismas que, estarán jerárquicamente subordinadas al Presidente Municipal</w:t>
      </w:r>
    </w:p>
    <w:p w14:paraId="3313E1AB" w14:textId="77777777" w:rsidR="00E16F98" w:rsidRPr="009045F1" w:rsidRDefault="000E36D0">
      <w:pPr>
        <w:tabs>
          <w:tab w:val="left" w:pos="426"/>
        </w:tabs>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1CC52594" w14:textId="77777777" w:rsidR="00E16F98" w:rsidRPr="009045F1" w:rsidRDefault="000E36D0">
      <w:pPr>
        <w:tabs>
          <w:tab w:val="left" w:pos="426"/>
        </w:tabs>
        <w:spacing w:before="120" w:after="120"/>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B. Administración Pública Descentralizada</w:t>
      </w:r>
      <w:r w:rsidRPr="009045F1">
        <w:rPr>
          <w:rFonts w:ascii="Palatino Linotype" w:eastAsia="Palatino Linotype" w:hAnsi="Palatino Linotype" w:cs="Palatino Linotype"/>
          <w:i/>
          <w:sz w:val="22"/>
          <w:szCs w:val="22"/>
        </w:rPr>
        <w:t xml:space="preserve"> </w:t>
      </w:r>
    </w:p>
    <w:p w14:paraId="523F6B0B" w14:textId="77777777" w:rsidR="00E16F98" w:rsidRPr="009045F1" w:rsidRDefault="000E36D0">
      <w:pPr>
        <w:tabs>
          <w:tab w:val="left" w:pos="426"/>
        </w:tabs>
        <w:spacing w:before="120" w:after="120"/>
        <w:ind w:left="851" w:right="902"/>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I. Organismo Público Descentralizado para la prestación de los Servicios de Agua Potable, Alcantarillado y Saneamiento del Municipio de Naucalpan. (OAPAS)…”</w:t>
      </w:r>
    </w:p>
    <w:p w14:paraId="65FA5B63"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Conoce de toda la información generada con motivo de las </w:t>
      </w:r>
      <w:r w:rsidRPr="009045F1">
        <w:rPr>
          <w:rFonts w:ascii="Palatino Linotype" w:eastAsia="Palatino Linotype" w:hAnsi="Palatino Linotype" w:cs="Palatino Linotype"/>
          <w:b/>
        </w:rPr>
        <w:t>licitaciones públicas, invitaciones restringidas o adjudicaciones directas</w:t>
      </w:r>
      <w:r w:rsidRPr="009045F1">
        <w:rPr>
          <w:rFonts w:ascii="Palatino Linotype" w:eastAsia="Palatino Linotype" w:hAnsi="Palatino Linotype" w:cs="Palatino Linotype"/>
        </w:rPr>
        <w:t xml:space="preserve"> en las que sea parte.</w:t>
      </w:r>
    </w:p>
    <w:p w14:paraId="5090CF5D"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Por lo que en efecto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cuenta con las atribuciones para generar, poseer o administrar la documentación solicitada por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consistente en el procedimiento administrativo de contratación y/o licitación o el correspondiente respecto del servicio de desinfección y </w:t>
      </w:r>
      <w:proofErr w:type="spellStart"/>
      <w:r w:rsidRPr="009045F1">
        <w:rPr>
          <w:rFonts w:ascii="Palatino Linotype" w:eastAsia="Palatino Linotype" w:hAnsi="Palatino Linotype" w:cs="Palatino Linotype"/>
        </w:rPr>
        <w:t>sanitizacion</w:t>
      </w:r>
      <w:proofErr w:type="spellEnd"/>
      <w:r w:rsidRPr="009045F1">
        <w:rPr>
          <w:rFonts w:ascii="Palatino Linotype" w:eastAsia="Palatino Linotype" w:hAnsi="Palatino Linotype" w:cs="Palatino Linotype"/>
        </w:rPr>
        <w:t>; así como la cantidad de dinero que se gastó en ese servicio.</w:t>
      </w:r>
    </w:p>
    <w:p w14:paraId="5E6FF9ED"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 xml:space="preserve">Además, que la información se encuentra vinculada a una obligación de transparencia, en términos del artículo 92, fracción XXIX, en donde establece que los Sujetos Obligados se encuentran constreñidos a poner a disposición del público de manera permanente y actualizada de forma sencilla, precisa y entendible, en los respectivos medios electrónicos, de acuerdo con sus facultades, atribuciones, funciones u objeto social, según corresponda, entre otra información, aquella que se relacione con los procesos y resultados sobre procedimientos de adjudicación directa, invitación restringida y licitación de cualquier naturaleza, como se lee enseguida: </w:t>
      </w:r>
    </w:p>
    <w:p w14:paraId="08D3DC75"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Artículo 92</w:t>
      </w:r>
      <w:r w:rsidRPr="009045F1">
        <w:rPr>
          <w:rFonts w:ascii="Palatino Linotype" w:eastAsia="Palatino Linotype" w:hAnsi="Palatino Linotype" w:cs="Palatino Linotype"/>
          <w:i/>
          <w:sz w:val="22"/>
          <w:szCs w:val="22"/>
        </w:rPr>
        <w:t>. Los sujetos obligados deberán poner a disposición del público de manera permanente y actualizada de forma sencilla, precisa y entendible, en los respectivos medios electrónicos, de acuerdo con sus facultades, atribuciones, funciones u objeto social, según corresponda, la información, por lo menos, de los temas, documentos y políticas que a continuación se señalan:</w:t>
      </w:r>
    </w:p>
    <w:p w14:paraId="42BD226F" w14:textId="77777777" w:rsidR="00E16F98" w:rsidRPr="009045F1" w:rsidRDefault="000E36D0">
      <w:pPr>
        <w:tabs>
          <w:tab w:val="left" w:pos="426"/>
        </w:tabs>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6CDEE36C" w14:textId="77777777" w:rsidR="00E16F98" w:rsidRPr="009045F1" w:rsidRDefault="000E36D0">
      <w:pPr>
        <w:tabs>
          <w:tab w:val="left" w:pos="426"/>
        </w:tabs>
        <w:ind w:left="1134"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XXIX.</w:t>
      </w:r>
      <w:r w:rsidRPr="009045F1">
        <w:rPr>
          <w:rFonts w:ascii="Palatino Linotype" w:eastAsia="Palatino Linotype" w:hAnsi="Palatino Linotype" w:cs="Palatino Linotype"/>
          <w:i/>
          <w:sz w:val="22"/>
          <w:szCs w:val="22"/>
        </w:rPr>
        <w:t xml:space="preserve"> La </w:t>
      </w:r>
      <w:r w:rsidRPr="009045F1">
        <w:rPr>
          <w:rFonts w:ascii="Palatino Linotype" w:eastAsia="Palatino Linotype" w:hAnsi="Palatino Linotype" w:cs="Palatino Linotype"/>
          <w:b/>
          <w:i/>
          <w:sz w:val="22"/>
          <w:szCs w:val="22"/>
        </w:rPr>
        <w:t xml:space="preserve">información sobre los procesos y resultados </w:t>
      </w:r>
      <w:r w:rsidRPr="009045F1">
        <w:rPr>
          <w:rFonts w:ascii="Palatino Linotype" w:eastAsia="Palatino Linotype" w:hAnsi="Palatino Linotype" w:cs="Palatino Linotype"/>
          <w:b/>
          <w:i/>
          <w:sz w:val="22"/>
          <w:szCs w:val="22"/>
          <w:u w:val="single"/>
        </w:rPr>
        <w:t>sobre procedimientos de</w:t>
      </w:r>
      <w:r w:rsidRPr="009045F1">
        <w:rPr>
          <w:rFonts w:ascii="Palatino Linotype" w:eastAsia="Palatino Linotype" w:hAnsi="Palatino Linotype" w:cs="Palatino Linotype"/>
          <w:i/>
          <w:sz w:val="22"/>
          <w:szCs w:val="22"/>
        </w:rPr>
        <w:t xml:space="preserve"> adjudicación directa, invitación restringida</w:t>
      </w:r>
      <w:r w:rsidRPr="009045F1">
        <w:rPr>
          <w:rFonts w:ascii="Palatino Linotype" w:eastAsia="Palatino Linotype" w:hAnsi="Palatino Linotype" w:cs="Palatino Linotype"/>
          <w:b/>
          <w:i/>
          <w:sz w:val="22"/>
          <w:szCs w:val="22"/>
          <w:u w:val="single"/>
        </w:rPr>
        <w:t xml:space="preserve"> y licitación de cualquier naturaleza</w:t>
      </w:r>
      <w:r w:rsidRPr="009045F1">
        <w:rPr>
          <w:rFonts w:ascii="Palatino Linotype" w:eastAsia="Palatino Linotype" w:hAnsi="Palatino Linotype" w:cs="Palatino Linotype"/>
          <w:i/>
          <w:sz w:val="22"/>
          <w:szCs w:val="22"/>
          <w:u w:val="single"/>
        </w:rPr>
        <w:t xml:space="preserve">, </w:t>
      </w:r>
      <w:r w:rsidRPr="009045F1">
        <w:rPr>
          <w:rFonts w:ascii="Palatino Linotype" w:eastAsia="Palatino Linotype" w:hAnsi="Palatino Linotype" w:cs="Palatino Linotype"/>
          <w:b/>
          <w:i/>
          <w:sz w:val="22"/>
          <w:szCs w:val="22"/>
        </w:rPr>
        <w:t>incluyendo la versión pública</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u w:val="single"/>
        </w:rPr>
        <w:t xml:space="preserve">del expediente respectivo </w:t>
      </w:r>
      <w:r w:rsidRPr="009045F1">
        <w:rPr>
          <w:rFonts w:ascii="Palatino Linotype" w:eastAsia="Palatino Linotype" w:hAnsi="Palatino Linotype" w:cs="Palatino Linotype"/>
          <w:i/>
          <w:sz w:val="22"/>
          <w:szCs w:val="22"/>
        </w:rPr>
        <w:t>y de los contratos celebrados, que deberán contener, por los menos, lo siguiente:</w:t>
      </w:r>
    </w:p>
    <w:p w14:paraId="3DC7A40A" w14:textId="77777777" w:rsidR="00E16F98" w:rsidRPr="009045F1" w:rsidRDefault="000E36D0">
      <w:pPr>
        <w:tabs>
          <w:tab w:val="left" w:pos="426"/>
        </w:tabs>
        <w:ind w:left="1418" w:right="902"/>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a) De licitaciones públicas o procedimientos de invitación restringida:</w:t>
      </w:r>
    </w:p>
    <w:p w14:paraId="2EECEC93" w14:textId="77777777" w:rsidR="00E16F98" w:rsidRPr="009045F1" w:rsidRDefault="000E36D0">
      <w:pPr>
        <w:tabs>
          <w:tab w:val="left" w:pos="426"/>
        </w:tabs>
        <w:ind w:left="1418" w:right="902"/>
        <w:jc w:val="both"/>
        <w:rPr>
          <w:rFonts w:ascii="Palatino Linotype" w:eastAsia="Palatino Linotype" w:hAnsi="Palatino Linotype" w:cs="Palatino Linotype"/>
          <w:b/>
          <w:i/>
          <w:sz w:val="22"/>
          <w:szCs w:val="22"/>
        </w:rPr>
      </w:pPr>
      <w:r w:rsidRPr="009045F1">
        <w:rPr>
          <w:b/>
        </w:rPr>
        <w:t>1</w:t>
      </w:r>
      <w:r w:rsidRPr="009045F1">
        <w:rPr>
          <w:rFonts w:ascii="Palatino Linotype" w:eastAsia="Palatino Linotype" w:hAnsi="Palatino Linotype" w:cs="Palatino Linotype"/>
          <w:b/>
          <w:i/>
          <w:sz w:val="22"/>
          <w:szCs w:val="22"/>
        </w:rPr>
        <w:t xml:space="preserve">) La convocatoria o invitación emitida, así como los fundamentos legales aplicados para llevarla a cabo; </w:t>
      </w:r>
    </w:p>
    <w:p w14:paraId="523C8E2E"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2) Los nombres de los participantes o invitados; </w:t>
      </w:r>
    </w:p>
    <w:p w14:paraId="78275F30"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3) El nombre del ganador y las razones que lo justifican; </w:t>
      </w:r>
    </w:p>
    <w:p w14:paraId="197BA488"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4) El área solicitante y la responsable de su ejecución; </w:t>
      </w:r>
    </w:p>
    <w:p w14:paraId="3763C50E" w14:textId="77777777" w:rsidR="00E16F98" w:rsidRPr="009045F1" w:rsidRDefault="000E36D0">
      <w:pPr>
        <w:tabs>
          <w:tab w:val="left" w:pos="426"/>
        </w:tabs>
        <w:ind w:left="1418" w:right="902"/>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lastRenderedPageBreak/>
        <w:t xml:space="preserve">5) Las convocatorias e invitaciones emitidas; </w:t>
      </w:r>
    </w:p>
    <w:p w14:paraId="098B8727"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6) Los dictámenes y fallo de adjudicación;</w:t>
      </w:r>
    </w:p>
    <w:p w14:paraId="48CC8735"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 7) El contrato y, en su caso, sus anexos; </w:t>
      </w:r>
    </w:p>
    <w:p w14:paraId="696BE441"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6B206FF2"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56738B0D"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29AA608B"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084680C7"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12) Los informes de avance físico y financiero sobre las obras o servicios contratados; </w:t>
      </w:r>
    </w:p>
    <w:p w14:paraId="13C70253"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13) El convenio de terminación; y </w:t>
      </w:r>
    </w:p>
    <w:p w14:paraId="54B0EE30"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14) El finiquito.</w:t>
      </w:r>
    </w:p>
    <w:p w14:paraId="22AE7E95"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b) De las adjudicaciones directas:</w:t>
      </w:r>
      <w:r w:rsidRPr="009045F1">
        <w:rPr>
          <w:rFonts w:ascii="Palatino Linotype" w:eastAsia="Palatino Linotype" w:hAnsi="Palatino Linotype" w:cs="Palatino Linotype"/>
          <w:i/>
          <w:sz w:val="22"/>
          <w:szCs w:val="22"/>
        </w:rPr>
        <w:t xml:space="preserve"> </w:t>
      </w:r>
    </w:p>
    <w:p w14:paraId="1B3AD720"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 La propuesta enviada por el participante; </w:t>
      </w:r>
    </w:p>
    <w:p w14:paraId="3B5B948F"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2) Los motivos y fundamentos legales aplicados para llevarla a cabo; </w:t>
      </w:r>
    </w:p>
    <w:p w14:paraId="435EF2B0"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3) La autorización del ejercicio de la opción; </w:t>
      </w:r>
    </w:p>
    <w:p w14:paraId="2C912161"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4) En su caso, las cotizaciones consideradas, especificando los nombres de los proveedores y sus montos; </w:t>
      </w:r>
    </w:p>
    <w:p w14:paraId="56BA5F1A"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5) El nombre de la persona física o jurídica colectiva adjudicada; </w:t>
      </w:r>
    </w:p>
    <w:p w14:paraId="46DF529E"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6) La unidad administrativa solicitante y la responsable de su ejecución; </w:t>
      </w:r>
    </w:p>
    <w:p w14:paraId="00716001"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7) El número, fecha, el monto del contrato y el plazo de entrega o de ejecución de los servicios u obra; </w:t>
      </w:r>
    </w:p>
    <w:p w14:paraId="187CA95C"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0179DB3C"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9) Los informes de avance sobre las obras o servicios contratados; </w:t>
      </w:r>
    </w:p>
    <w:p w14:paraId="3ADC3D3D"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10) El convenio de terminación; y </w:t>
      </w:r>
    </w:p>
    <w:p w14:paraId="2E262458" w14:textId="77777777" w:rsidR="00E16F98" w:rsidRPr="009045F1" w:rsidRDefault="000E36D0">
      <w:pPr>
        <w:tabs>
          <w:tab w:val="left" w:pos="426"/>
        </w:tabs>
        <w:ind w:left="1418"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11) El finiquito.” </w:t>
      </w:r>
    </w:p>
    <w:p w14:paraId="084CFCC5" w14:textId="77777777" w:rsidR="00E16F98" w:rsidRPr="009045F1" w:rsidRDefault="00E16F98">
      <w:pPr>
        <w:spacing w:line="360" w:lineRule="auto"/>
        <w:jc w:val="both"/>
        <w:rPr>
          <w:rFonts w:ascii="Palatino Linotype" w:eastAsia="Palatino Linotype" w:hAnsi="Palatino Linotype" w:cs="Palatino Linotype"/>
        </w:rPr>
      </w:pPr>
    </w:p>
    <w:p w14:paraId="0C89B8E8"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Lo que se robustece con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que establece lo siguiente:</w:t>
      </w:r>
    </w:p>
    <w:p w14:paraId="1A875D9F" w14:textId="77777777" w:rsidR="00E16F98" w:rsidRPr="009045F1" w:rsidRDefault="00E16F98">
      <w:pPr>
        <w:spacing w:line="360" w:lineRule="auto"/>
        <w:jc w:val="both"/>
        <w:rPr>
          <w:rFonts w:ascii="Palatino Linotype" w:eastAsia="Palatino Linotype" w:hAnsi="Palatino Linotype" w:cs="Palatino Linotype"/>
        </w:rPr>
      </w:pPr>
    </w:p>
    <w:p w14:paraId="561F5F39" w14:textId="77777777" w:rsidR="00E16F98" w:rsidRPr="009045F1" w:rsidRDefault="000E36D0">
      <w:pPr>
        <w:spacing w:line="276" w:lineRule="auto"/>
        <w:ind w:left="851" w:right="900"/>
        <w:jc w:val="center"/>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OBLIGACIONES DE TRANSPARENCIA COMUNES</w:t>
      </w:r>
    </w:p>
    <w:p w14:paraId="0C94EBF8" w14:textId="77777777" w:rsidR="00E16F98" w:rsidRPr="009045F1" w:rsidRDefault="000E36D0">
      <w:pPr>
        <w:spacing w:line="276" w:lineRule="auto"/>
        <w:ind w:left="851" w:right="900"/>
        <w:jc w:val="center"/>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TODOS LOS SUJETOS OBLIGADOS</w:t>
      </w:r>
    </w:p>
    <w:p w14:paraId="482D4FE7"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Criterios para las obligaciones de transparencia comunes</w:t>
      </w:r>
    </w:p>
    <w:p w14:paraId="0D5F1D59"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El catálogo de la información que todos los sujetos obligados deben poner a disposición de las personas en sus portales de Internet y en la Plataforma Nacional está detallado en el Título Quinto, Capítulo II de la Ley General, en el artículo 70, fracciones I a la XLVIII.</w:t>
      </w:r>
    </w:p>
    <w:p w14:paraId="14F59D4D"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este apartado se detallan los criterios sustantivos y adjetivos que por cada rubro de información determinan los datos, características y forma de organización de la información que publicarán y actualizarán en sus portales de Internet y en la Plataforma Nacional, los sujetos obligados determinados en el artículo 23 de la Ley General.</w:t>
      </w:r>
    </w:p>
    <w:p w14:paraId="2DA04EC4"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El artículo 70 dice a la letra:</w:t>
      </w:r>
    </w:p>
    <w:p w14:paraId="79FA8D17"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Artículo 70. En la Ley Federal y de las Entidades Federativas se contemplará que los sujetos obligados pongan a disposición del público y mantengan actualizada, en los respectivos medios electrónicos, de acuerdo con sus facultades, atribuciones, funciones u objeto social, según corresponda, la información, por lo menos, de los temas, documentos y políticas que a continuación se señalan:</w:t>
      </w:r>
    </w:p>
    <w:p w14:paraId="1C03AE08"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54383A5A"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Periodo de actualización: trimestral</w:t>
      </w:r>
    </w:p>
    <w:p w14:paraId="0C23798C"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lastRenderedPageBreak/>
        <w:t>Conservar en el sitio de Internet: información del ejercicio en curso y la correspondiente a dos ejercicios anteriores</w:t>
      </w:r>
    </w:p>
    <w:p w14:paraId="47FAA416" w14:textId="77777777" w:rsidR="00E16F98" w:rsidRPr="009045F1" w:rsidRDefault="000E36D0">
      <w:pPr>
        <w:spacing w:line="276" w:lineRule="auto"/>
        <w:ind w:left="851"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Aplica a: todos los sujetos obligados</w:t>
      </w:r>
    </w:p>
    <w:p w14:paraId="7575AA9E"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XXVIII. La información sobre los resultados sobre procedimientos de adjudicación directa, invitación restringida y licitación de cualquier naturaleza, incluyendo la Versión Pública del Expediente respectivo y de los contratos celebrados, que deberá contener por lo menos lo siguiente: </w:t>
      </w:r>
    </w:p>
    <w:p w14:paraId="3E1F6C4E"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a) De licitaciones públicas o procedimientos de invitación restringida: </w:t>
      </w:r>
    </w:p>
    <w:p w14:paraId="568ABE62"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1. La convocatoria o invitación emitida, así como los fundamentos legales aplicados para llevarla a cabo</w:t>
      </w:r>
      <w:r w:rsidRPr="009045F1">
        <w:rPr>
          <w:rFonts w:ascii="Palatino Linotype" w:eastAsia="Palatino Linotype" w:hAnsi="Palatino Linotype" w:cs="Palatino Linotype"/>
          <w:i/>
          <w:sz w:val="22"/>
          <w:szCs w:val="22"/>
        </w:rPr>
        <w:t xml:space="preserve">; </w:t>
      </w:r>
    </w:p>
    <w:p w14:paraId="23B68B79" w14:textId="77777777" w:rsidR="00E16F98" w:rsidRPr="009045F1" w:rsidRDefault="000E36D0">
      <w:pPr>
        <w:ind w:left="851" w:right="902"/>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i/>
          <w:sz w:val="22"/>
          <w:szCs w:val="22"/>
        </w:rPr>
        <w:t>2. Los nombres de los participantes o invitados</w:t>
      </w:r>
      <w:r w:rsidRPr="009045F1">
        <w:rPr>
          <w:rFonts w:ascii="Palatino Linotype" w:eastAsia="Palatino Linotype" w:hAnsi="Palatino Linotype" w:cs="Palatino Linotype"/>
          <w:b/>
          <w:i/>
          <w:sz w:val="22"/>
          <w:szCs w:val="22"/>
        </w:rPr>
        <w:t xml:space="preserve">; </w:t>
      </w:r>
    </w:p>
    <w:p w14:paraId="2D115A94"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3</w:t>
      </w:r>
      <w:r w:rsidRPr="009045F1">
        <w:rPr>
          <w:rFonts w:ascii="Palatino Linotype" w:eastAsia="Palatino Linotype" w:hAnsi="Palatino Linotype" w:cs="Palatino Linotype"/>
          <w:i/>
          <w:sz w:val="22"/>
          <w:szCs w:val="22"/>
        </w:rPr>
        <w:t xml:space="preserve">. El nombre del ganador y las razones que lo justifican; </w:t>
      </w:r>
    </w:p>
    <w:p w14:paraId="0DCCAD65"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4. El área solicitante y la responsable de su ejecución; </w:t>
      </w:r>
    </w:p>
    <w:p w14:paraId="0024B611" w14:textId="77777777" w:rsidR="00E16F98" w:rsidRPr="009045F1" w:rsidRDefault="000E36D0">
      <w:pPr>
        <w:ind w:left="851" w:right="902"/>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 xml:space="preserve">5. Las convocatorias e invitaciones emitidas; </w:t>
      </w:r>
    </w:p>
    <w:p w14:paraId="1B694A66"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6. Los dictámenes y fallo de adjudicación; </w:t>
      </w:r>
    </w:p>
    <w:p w14:paraId="3157E294"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7. El contrato y, en su caso, sus anexos; </w:t>
      </w:r>
    </w:p>
    <w:p w14:paraId="139C207C"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8. Los mecanismos de vigilancia y supervisión, incluyendo, en su caso, los estudios de impacto urbano y ambiental, según corresponda; </w:t>
      </w:r>
    </w:p>
    <w:p w14:paraId="6796EAEB"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9. La partida presupuestal de conformidad con el clasificador por objeto del gasto, en el caso de ser aplicable; </w:t>
      </w:r>
    </w:p>
    <w:p w14:paraId="23BF2A37"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10. Origen de los recursos especificando si son federales, estatales o municipales, así como el tipo de fondo de participación o aportación respectiva; </w:t>
      </w:r>
    </w:p>
    <w:p w14:paraId="77C34895"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11. Los convenios modificatorios que, en su caso, sean firmados, precisando el objeto y la fecha de celebración; </w:t>
      </w:r>
    </w:p>
    <w:p w14:paraId="19C47CB5"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12. Los informes de avance físico y financiero sobre las obras o servicios contratados; </w:t>
      </w:r>
    </w:p>
    <w:p w14:paraId="21F0F9E8"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13. El convenio de terminación; y </w:t>
      </w:r>
    </w:p>
    <w:p w14:paraId="34AFFE11" w14:textId="77777777" w:rsidR="00E16F98" w:rsidRPr="009045F1" w:rsidRDefault="000E36D0">
      <w:pPr>
        <w:ind w:left="851"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14. El finiquito” </w:t>
      </w:r>
    </w:p>
    <w:p w14:paraId="5EB2A246" w14:textId="77777777" w:rsidR="00E16F98" w:rsidRPr="009045F1" w:rsidRDefault="000E36D0">
      <w:pPr>
        <w:spacing w:before="240" w:after="240"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No se omite comentar, que en los contratos, facturas, registros contables, pólizas, finiquitos, entre otros, incluyendo sus anexos correspondientes, que conforman los documentos que integran los expedientes de licitaciones públicas, invitaciones </w:t>
      </w:r>
      <w:r w:rsidRPr="009045F1">
        <w:rPr>
          <w:rFonts w:ascii="Palatino Linotype" w:eastAsia="Palatino Linotype" w:hAnsi="Palatino Linotype" w:cs="Palatino Linotype"/>
        </w:rPr>
        <w:lastRenderedPageBreak/>
        <w:t>restringidas o adjudicaciones directas, dan cuenta de la cantidad de dinero que se gastó en ese servicio.</w:t>
      </w:r>
    </w:p>
    <w:p w14:paraId="060837F1" w14:textId="77777777" w:rsidR="00E16F98" w:rsidRPr="009045F1" w:rsidRDefault="000E36D0">
      <w:pPr>
        <w:spacing w:before="240" w:after="240"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Precisado lo anterior de la respuesta se advierte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hizo entrega de información que no corresponde con lo solicitado. </w:t>
      </w:r>
    </w:p>
    <w:p w14:paraId="0456CA3B" w14:textId="77777777" w:rsidR="00E16F98" w:rsidRPr="009045F1" w:rsidRDefault="000E36D0">
      <w:pPr>
        <w:spacing w:before="240" w:after="240"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Aunado a ello, se acredita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no siguió el procedimiento establecido por el artículo 162 de la Ley de Transparencia y Acceso a la Información Pública del Estado de México y Municipios, ya que, no se puede perder de vista que para otorgar respuesta a la solicitud inicial,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debió turnar la solicitud a las áreas en las que podría obrar la información de conformidad con la fracción XXXIX del artículo tercero de la legislación local vigente en materia de transparencia, el Servidor Público Habilitado es el competente para apoyar, gestionar y entregar la información: </w:t>
      </w:r>
    </w:p>
    <w:p w14:paraId="1098FD52" w14:textId="77777777" w:rsidR="00E16F98" w:rsidRPr="009045F1" w:rsidRDefault="000E36D0">
      <w:pPr>
        <w:spacing w:before="240" w:after="240"/>
        <w:ind w:left="709" w:right="902"/>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“XXXIX. Servidor público habilitado: Persona encargada dentro de las diversas unidades administrativas o áreas del sujeto obligado, de apoyar, gestionar y entregar la información o datos personales que se ubiquen en la misma, a sus respectivas unidades de transparencia; respecto de las solicitudes presentadas y aportar en primera instancia el fundamento y motivación de la clasificación de la información…”   </w:t>
      </w:r>
    </w:p>
    <w:p w14:paraId="583AFBFE" w14:textId="77777777" w:rsidR="00E16F98" w:rsidRPr="009045F1" w:rsidRDefault="00E16F98">
      <w:pPr>
        <w:shd w:val="clear" w:color="auto" w:fill="FFFFFF"/>
        <w:spacing w:before="240" w:line="360" w:lineRule="auto"/>
        <w:jc w:val="both"/>
        <w:rPr>
          <w:rFonts w:ascii="Palatino Linotype" w:eastAsia="Palatino Linotype" w:hAnsi="Palatino Linotype" w:cs="Palatino Linotype"/>
        </w:rPr>
      </w:pPr>
    </w:p>
    <w:p w14:paraId="69E22ADE" w14:textId="77777777" w:rsidR="00E16F98" w:rsidRPr="009045F1" w:rsidRDefault="000E36D0">
      <w:pPr>
        <w:shd w:val="clear" w:color="auto" w:fill="FFFFFF"/>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este orden de ideas, se advierte que efectivamente la Unidad de Transparencia no cumplió con lo expresado en el artículo 162 de la Ley de Transparencia y Acceso </w:t>
      </w:r>
      <w:r w:rsidRPr="009045F1">
        <w:rPr>
          <w:rFonts w:ascii="Palatino Linotype" w:eastAsia="Palatino Linotype" w:hAnsi="Palatino Linotype" w:cs="Palatino Linotype"/>
        </w:rPr>
        <w:lastRenderedPageBreak/>
        <w:t>a la Información Pública del Estado de México y Municipios, el cual menciona lo siguiente:</w:t>
      </w:r>
    </w:p>
    <w:p w14:paraId="2493808F" w14:textId="77777777" w:rsidR="00E16F98" w:rsidRPr="009045F1" w:rsidRDefault="00E16F98">
      <w:pPr>
        <w:shd w:val="clear" w:color="auto" w:fill="FFFFFF"/>
        <w:spacing w:line="360" w:lineRule="auto"/>
        <w:jc w:val="both"/>
      </w:pPr>
    </w:p>
    <w:p w14:paraId="49B7B5BB" w14:textId="77777777" w:rsidR="00E16F98" w:rsidRPr="009045F1" w:rsidRDefault="000E36D0">
      <w:pPr>
        <w:shd w:val="clear" w:color="auto" w:fill="FFFFFF"/>
        <w:spacing w:after="240"/>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162.</w:t>
      </w:r>
      <w:r w:rsidRPr="009045F1">
        <w:rPr>
          <w:rFonts w:ascii="Palatino Linotype" w:eastAsia="Palatino Linotype" w:hAnsi="Palatino Linotype" w:cs="Palatino Linotype"/>
          <w:i/>
          <w:sz w:val="22"/>
          <w:szCs w:val="22"/>
        </w:rPr>
        <w:t> Las unidades de transparencia deberán garantizar que las solicitudes se turnen a todas las Áreas competentes que cuenten con la información o deban tenerla de acuerdo a sus facultades, competencias y funciones, con el objeto de que realicen una búsqueda exhaustiva y razonable de la información solicitada.”</w:t>
      </w:r>
    </w:p>
    <w:p w14:paraId="27C3A139" w14:textId="77777777" w:rsidR="00E16F98" w:rsidRPr="009045F1" w:rsidRDefault="00E16F98">
      <w:pPr>
        <w:shd w:val="clear" w:color="auto" w:fill="FFFFFF"/>
        <w:spacing w:after="240"/>
        <w:ind w:left="993" w:right="1041"/>
        <w:jc w:val="both"/>
      </w:pPr>
    </w:p>
    <w:p w14:paraId="170CDCD4" w14:textId="77777777" w:rsidR="00E16F98" w:rsidRPr="009045F1" w:rsidRDefault="000E36D0">
      <w:pPr>
        <w:shd w:val="clear" w:color="auto" w:fill="FFFFFF"/>
        <w:spacing w:line="360" w:lineRule="auto"/>
        <w:jc w:val="both"/>
      </w:pPr>
      <w:r w:rsidRPr="009045F1">
        <w:rPr>
          <w:rFonts w:ascii="Palatino Linotype" w:eastAsia="Palatino Linotype" w:hAnsi="Palatino Linotype" w:cs="Palatino Linotype"/>
        </w:rPr>
        <w:t>Dicho procedimiento de búsqueda, se constituye como la garantía primaria del derecho humano de acceso a la información pública, el cual se rige por los principios de simplicidad, rapidez, gratuidad del procedimiento, auxilio y orientación a los particulares con el fin de otorgar la protección más amplia de éste derecho</w:t>
      </w:r>
      <w:r w:rsidRPr="009045F1">
        <w:rPr>
          <w:rFonts w:ascii="Palatino Linotype" w:eastAsia="Palatino Linotype" w:hAnsi="Palatino Linotype" w:cs="Palatino Linotype"/>
          <w:vertAlign w:val="superscript"/>
        </w:rPr>
        <w:footnoteReference w:id="1"/>
      </w:r>
      <w:r w:rsidRPr="009045F1">
        <w:rPr>
          <w:rFonts w:ascii="Palatino Linotype" w:eastAsia="Palatino Linotype" w:hAnsi="Palatino Linotype" w:cs="Palatino Linotype"/>
        </w:rPr>
        <w:t xml:space="preserve">, para ello la misma norma establece que los sujetos obligados deberán otorgar el acceso a los documentos que obren en sus archivos o que estén obligados a documentar de acuerdo a sus facultades, competencias o funciones; por ende, al recibir una solicitud de acceso a la información pública, y como fue referido, las solicitudes se tendrán que turnar al área competente para brindar contestación, por lo que la misma Ley indica que serán los Sujetos Obligados quienes establecerán la forma y términos en </w:t>
      </w:r>
      <w:r w:rsidRPr="009045F1">
        <w:rPr>
          <w:rFonts w:ascii="Palatino Linotype" w:eastAsia="Palatino Linotype" w:hAnsi="Palatino Linotype" w:cs="Palatino Linotype"/>
        </w:rPr>
        <w:lastRenderedPageBreak/>
        <w:t>que darán trámite interno a las solicitudes que no podrán exceder de los periodos establecidos para brindar respuesta, tal cual se desprende de los siguientes artículos:</w:t>
      </w:r>
    </w:p>
    <w:p w14:paraId="638071AD" w14:textId="77777777" w:rsidR="00E16F98" w:rsidRPr="009045F1" w:rsidRDefault="00E16F98">
      <w:pPr>
        <w:shd w:val="clear" w:color="auto" w:fill="FFFFFF"/>
        <w:ind w:left="993" w:right="1041"/>
        <w:jc w:val="both"/>
        <w:rPr>
          <w:rFonts w:ascii="Palatino Linotype" w:eastAsia="Palatino Linotype" w:hAnsi="Palatino Linotype" w:cs="Palatino Linotype"/>
          <w:b/>
          <w:i/>
          <w:sz w:val="22"/>
          <w:szCs w:val="22"/>
        </w:rPr>
      </w:pPr>
    </w:p>
    <w:p w14:paraId="5195F0AF"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b/>
          <w:i/>
          <w:sz w:val="22"/>
          <w:szCs w:val="22"/>
        </w:rPr>
        <w:t>“Artículo 160. </w:t>
      </w:r>
      <w:r w:rsidRPr="009045F1">
        <w:rPr>
          <w:rFonts w:ascii="Palatino Linotype" w:eastAsia="Palatino Linotype" w:hAnsi="Palatino Linotype" w:cs="Palatino Linotype"/>
          <w:i/>
          <w:sz w:val="22"/>
          <w:szCs w:val="22"/>
        </w:rPr>
        <w:t>Los sujetos obligados deberán otorgar acceso a los documentos que se encuentren en sus archivos o que estén obligados a documentar de acuerdo con sus facultades, competencias o funciones en el formato que el solicitante manifieste, de entre aquellos formatos existentes, conforme a las características físicas de la información o del lugar donde se encuentre así lo permita.</w:t>
      </w:r>
    </w:p>
    <w:p w14:paraId="003F4690"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i/>
          <w:sz w:val="22"/>
          <w:szCs w:val="22"/>
        </w:rPr>
        <w:t>En caso que la información solicitada consista en bases de datos se deberá privilegiar la entrega de la misma en formatos abiertos.</w:t>
      </w:r>
    </w:p>
    <w:p w14:paraId="1682C5C0"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b/>
          <w:i/>
          <w:sz w:val="22"/>
          <w:szCs w:val="22"/>
        </w:rPr>
        <w:t>Artículo 163.</w:t>
      </w:r>
      <w:r w:rsidRPr="009045F1">
        <w:rPr>
          <w:rFonts w:ascii="Palatino Linotype" w:eastAsia="Palatino Linotype" w:hAnsi="Palatino Linotype" w:cs="Palatino Linotype"/>
          <w:i/>
          <w:sz w:val="22"/>
          <w:szCs w:val="22"/>
        </w:rPr>
        <w:t> La Unidad de Transparencia deberá notificar la respuesta a la solicitud al interesado en el menor tiempo posible, que no podrá exceder de quince días hábiles, contados a partir del día siguiente a la presentación de aquélla.</w:t>
      </w:r>
    </w:p>
    <w:p w14:paraId="31E91C83"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i/>
          <w:sz w:val="22"/>
          <w:szCs w:val="22"/>
        </w:rPr>
        <w:t>Excepcionalmente, el plazo referido en el párrafo anterior podrá ampliarse hasta por siete días hábiles más, siempre y cuando existan razones fundadas y motivadas, las cuales deberán ser aprobadas por el Comité de Transparencia, mediante la emisión de una resolución que deberá notificarse al solicitante, antes de su vencimiento. No podrán invocarse como causales de ampliación del plazo motivos que supongan negligencia o descuido del sujeto obligado en el desahogo de la solicitud.</w:t>
      </w:r>
    </w:p>
    <w:p w14:paraId="56F7938E"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b/>
          <w:i/>
          <w:sz w:val="22"/>
          <w:szCs w:val="22"/>
        </w:rPr>
        <w:t>Artículo 165.</w:t>
      </w:r>
      <w:r w:rsidRPr="009045F1">
        <w:rPr>
          <w:rFonts w:ascii="Palatino Linotype" w:eastAsia="Palatino Linotype" w:hAnsi="Palatino Linotype" w:cs="Palatino Linotype"/>
          <w:i/>
          <w:sz w:val="22"/>
          <w:szCs w:val="22"/>
        </w:rPr>
        <w:t> Los sujetos obligados establecerán la forma y términos en que darán trámite interno a las solicitudes en materia de acceso a la información.</w:t>
      </w:r>
    </w:p>
    <w:p w14:paraId="72E482F4" w14:textId="77777777" w:rsidR="00E16F98" w:rsidRPr="009045F1" w:rsidRDefault="000E36D0">
      <w:pPr>
        <w:shd w:val="clear" w:color="auto" w:fill="FFFFFF"/>
        <w:ind w:left="993" w:right="1041"/>
        <w:jc w:val="both"/>
      </w:pPr>
      <w:r w:rsidRPr="009045F1">
        <w:rPr>
          <w:rFonts w:ascii="Palatino Linotype" w:eastAsia="Palatino Linotype" w:hAnsi="Palatino Linotype" w:cs="Palatino Linotype"/>
          <w:i/>
          <w:sz w:val="22"/>
          <w:szCs w:val="22"/>
        </w:rPr>
        <w:t>La información que se entregue en versión pública, cuya modalidad de reproducción o envío tenga un costo, procederá una vez que se acredite el pago respectivo. No puede entenderse como reproducción la elaboración de la misma.</w:t>
      </w:r>
    </w:p>
    <w:p w14:paraId="4380B8B6" w14:textId="77777777" w:rsidR="00E16F98" w:rsidRPr="009045F1" w:rsidRDefault="000E36D0">
      <w:pPr>
        <w:shd w:val="clear" w:color="auto" w:fill="FFFFFF"/>
        <w:spacing w:after="240"/>
        <w:ind w:left="993" w:right="1041"/>
        <w:jc w:val="both"/>
      </w:pPr>
      <w:r w:rsidRPr="009045F1">
        <w:rPr>
          <w:rFonts w:ascii="Palatino Linotype" w:eastAsia="Palatino Linotype" w:hAnsi="Palatino Linotype" w:cs="Palatino Linotype"/>
          <w:i/>
          <w:sz w:val="22"/>
          <w:szCs w:val="22"/>
        </w:rPr>
        <w:t>Ante la falta de respuesta a una solicitud en el plazo previsto y en caso de que proceda el acceso, los costos de reproducción y envío correrán a cargo del sujeto obligado.”</w:t>
      </w:r>
    </w:p>
    <w:p w14:paraId="3C3AF183" w14:textId="77777777" w:rsidR="00E16F98" w:rsidRPr="009045F1" w:rsidRDefault="000E36D0">
      <w:pPr>
        <w:shd w:val="clear" w:color="auto" w:fill="FFFFFF"/>
        <w:spacing w:before="240" w:after="240" w:line="360" w:lineRule="auto"/>
        <w:jc w:val="both"/>
      </w:pPr>
      <w:r w:rsidRPr="009045F1">
        <w:rPr>
          <w:rFonts w:ascii="Palatino Linotype" w:eastAsia="Palatino Linotype" w:hAnsi="Palatino Linotype" w:cs="Palatino Linotype"/>
        </w:rPr>
        <w:lastRenderedPageBreak/>
        <w:t>Finalmente, la Ley de Transparencia vigente determina que el procedimiento de acceso a la información pública se tendrá por cumplida cuando el solicitante tenga a su disposición la información requerida, o en su caso, cuando realice la consulta de la misma en el que ésta se localice</w:t>
      </w:r>
      <w:r w:rsidRPr="009045F1">
        <w:rPr>
          <w:rFonts w:ascii="Palatino Linotype" w:eastAsia="Palatino Linotype" w:hAnsi="Palatino Linotype" w:cs="Palatino Linotype"/>
          <w:vertAlign w:val="superscript"/>
        </w:rPr>
        <w:footnoteReference w:id="2"/>
      </w:r>
      <w:r w:rsidRPr="009045F1">
        <w:rPr>
          <w:rFonts w:ascii="Palatino Linotype" w:eastAsia="Palatino Linotype" w:hAnsi="Palatino Linotype" w:cs="Palatino Linotype"/>
        </w:rPr>
        <w:t xml:space="preserve">, situación que no se advierte en el presente caso, toda vez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a través de su Unidad de Transparencia no ha brindado el acceso a la información solicitada por el particular, por ende para tener por satisfecho el derecho humano en mérito, será necesario que la Unidad de Transparencia en estricto apego al procedimiento descrito realice una búsqueda exhaustiva y razonable de la información, turnando a las áreas competentes la solicitud con el objetivo de brindar contestación al requerimiento.</w:t>
      </w:r>
    </w:p>
    <w:p w14:paraId="3C500ECC" w14:textId="77777777" w:rsidR="00E16F98" w:rsidRPr="009045F1" w:rsidRDefault="000E36D0">
      <w:pPr>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mérito de lo anterior, se colige que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debió realizar una búsqueda exhaustiva y razonable de la información peticionada en todas las áreas competentes para que se pronunciaran respecto de la solicitud del particular, siendo de manera enunciativa más no limitativa en donde pudiera obrar la información, en la Dirección de Administración y Finanzas, que en términos de lo señalado por el artículo 66 del Reglamento Orgánico del Organismo Público Descentralizado para la Prestación de los Servicios de Agua Potable, Alcantarillado y Saneamiento del Municipio de Naucalpan, tiene las siguientes atribuciones:</w:t>
      </w:r>
    </w:p>
    <w:p w14:paraId="66548AA3" w14:textId="77777777" w:rsidR="00E16F98" w:rsidRPr="009045F1" w:rsidRDefault="00E16F98">
      <w:pPr>
        <w:spacing w:line="360" w:lineRule="auto"/>
        <w:ind w:right="51"/>
        <w:jc w:val="both"/>
        <w:rPr>
          <w:rFonts w:ascii="Palatino Linotype" w:eastAsia="Palatino Linotype" w:hAnsi="Palatino Linotype" w:cs="Palatino Linotype"/>
        </w:rPr>
      </w:pPr>
    </w:p>
    <w:p w14:paraId="545789F2" w14:textId="77777777" w:rsidR="00E16F98" w:rsidRPr="009045F1" w:rsidRDefault="000E36D0">
      <w:pPr>
        <w:shd w:val="clear" w:color="auto" w:fill="FFFFFF"/>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lastRenderedPageBreak/>
        <w:t>“Artículo 66.- La Dirección de Administración y Finanzas, estará a cargo de un titular, a quien se le denominará Director de Administración y Finanzas, quien responderá directamente del desempeño de sus funciones ante el Director General y quien tendrá las siguientes atribuciones y facultades relativas a su cargo:</w:t>
      </w:r>
    </w:p>
    <w:p w14:paraId="3D53F6FC" w14:textId="77777777" w:rsidR="00E16F98" w:rsidRPr="009045F1" w:rsidRDefault="000E36D0">
      <w:pPr>
        <w:shd w:val="clear" w:color="auto" w:fill="FFFFFF"/>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p>
    <w:p w14:paraId="5936F4DE" w14:textId="77777777" w:rsidR="00E16F98" w:rsidRPr="009045F1" w:rsidRDefault="000E36D0">
      <w:pPr>
        <w:shd w:val="clear" w:color="auto" w:fill="FFFFFF"/>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VI. </w:t>
      </w:r>
      <w:r w:rsidRPr="009045F1">
        <w:rPr>
          <w:rFonts w:ascii="Palatino Linotype" w:eastAsia="Palatino Linotype" w:hAnsi="Palatino Linotype" w:cs="Palatino Linotype"/>
          <w:b/>
          <w:i/>
          <w:sz w:val="22"/>
          <w:szCs w:val="22"/>
          <w:u w:val="single"/>
        </w:rPr>
        <w:t>Vigilar y constatar que la Gerencia de Administración, auxiliada por la Subgerencia de Recursos Materiales, llevé a cabo los procedimientos de adquisición de los bienes y servicios y contratación</w:t>
      </w:r>
      <w:r w:rsidRPr="009045F1">
        <w:rPr>
          <w:rFonts w:ascii="Palatino Linotype" w:eastAsia="Palatino Linotype" w:hAnsi="Palatino Linotype" w:cs="Palatino Linotype"/>
          <w:i/>
          <w:sz w:val="22"/>
          <w:szCs w:val="22"/>
        </w:rPr>
        <w:t xml:space="preserve"> de la obra pública, que las áreas administrativas requieran para la continuidad de sus actividades, de conformidad a la normatividad aplicable y el marco jurídico aplicable…”</w:t>
      </w:r>
    </w:p>
    <w:p w14:paraId="2C5CC1E4" w14:textId="77777777" w:rsidR="00E16F98" w:rsidRPr="009045F1" w:rsidRDefault="00E16F98">
      <w:pPr>
        <w:shd w:val="clear" w:color="auto" w:fill="FFFFFF"/>
        <w:ind w:left="993" w:right="1041"/>
        <w:jc w:val="both"/>
        <w:rPr>
          <w:rFonts w:ascii="Palatino Linotype" w:eastAsia="Palatino Linotype" w:hAnsi="Palatino Linotype" w:cs="Palatino Linotype"/>
          <w:i/>
          <w:sz w:val="22"/>
          <w:szCs w:val="22"/>
        </w:rPr>
      </w:pPr>
    </w:p>
    <w:p w14:paraId="7D87081D"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Establecido lo anterior, este Organismo Garante se dio a la tarea de localizar si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llevó a cabo un procedimiento de adjudicación directa, invitación restringida o licitación, sobre desinfección y sanitización,</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rPr>
        <w:t>localizándose en su página oficial de la información pública de oficio mexiquense (IPOMEX), en el ejercicio fiscal 2021, los siguientes procedimientos adjudicación directa:</w:t>
      </w:r>
      <w:r w:rsidRPr="009045F1">
        <w:rPr>
          <w:noProof/>
          <w:lang w:val="es-MX"/>
        </w:rPr>
        <mc:AlternateContent>
          <mc:Choice Requires="wpg">
            <w:drawing>
              <wp:anchor distT="0" distB="0" distL="114300" distR="114300" simplePos="0" relativeHeight="251658240" behindDoc="0" locked="0" layoutInCell="1" hidden="0" allowOverlap="1" wp14:anchorId="4CE4B06C" wp14:editId="7C50F1CD">
                <wp:simplePos x="0" y="0"/>
                <wp:positionH relativeFrom="column">
                  <wp:posOffset>152400</wp:posOffset>
                </wp:positionH>
                <wp:positionV relativeFrom="paragraph">
                  <wp:posOffset>1765300</wp:posOffset>
                </wp:positionV>
                <wp:extent cx="5476630" cy="2266182"/>
                <wp:effectExtent l="0" t="0" r="0" b="0"/>
                <wp:wrapNone/>
                <wp:docPr id="276" name="Conector recto de flecha 276"/>
                <wp:cNvGraphicFramePr/>
                <a:graphic xmlns:a="http://schemas.openxmlformats.org/drawingml/2006/main">
                  <a:graphicData uri="http://schemas.microsoft.com/office/word/2010/wordprocessingShape">
                    <wps:wsp>
                      <wps:cNvCnPr/>
                      <wps:spPr>
                        <a:xfrm>
                          <a:off x="2620385" y="2659609"/>
                          <a:ext cx="5451230" cy="2240782"/>
                        </a:xfrm>
                        <a:prstGeom prst="straightConnector1">
                          <a:avLst/>
                        </a:prstGeom>
                        <a:noFill/>
                        <a:ln w="25400" cap="flat" cmpd="sng">
                          <a:solidFill>
                            <a:schemeClr val="dk1"/>
                          </a:solidFill>
                          <a:prstDash val="solid"/>
                          <a:round/>
                          <a:headEnd type="none" w="sm" len="sm"/>
                          <a:tailEnd type="none" w="sm" len="sm"/>
                        </a:ln>
                      </wps:spPr>
                      <wps:bodyPr/>
                    </wps:wsp>
                  </a:graphicData>
                </a:graphic>
              </wp:anchor>
            </w:drawing>
          </mc:Choice>
          <mc:Fallback xmlns:cr="http://schemas.microsoft.com/office/comments/2020/reactions" xmlns="http://schemas.microsoft.com/office/tasks/2019/documenttasks" xmlns:dgm="http://schemas.openxmlformats.org/drawingml/2006/diagram" xmlns:lc="http://schemas.openxmlformats.org/drawingml/2006/lockedCanvas" xmlns:c="http://schemas.openxmlformats.org/drawingml/2006/chart" xmlns:pic="http://schemas.openxmlformats.org/drawingml/2006/picture" xmlns:a="http://schemas.openxmlformats.org/drawingml/2006/main" xmlns:sl="http://schemas.openxmlformats.org/schemaLibrary/2006/main">
            <w:drawing>
              <wp:anchor allowOverlap="1" behindDoc="0" distB="0" distT="0" distL="114300" distR="114300" hidden="0" layoutInCell="1" locked="0" relativeHeight="0" simplePos="0">
                <wp:simplePos x="0" y="0"/>
                <wp:positionH relativeFrom="column">
                  <wp:posOffset>152400</wp:posOffset>
                </wp:positionH>
                <wp:positionV relativeFrom="paragraph">
                  <wp:posOffset>1765300</wp:posOffset>
                </wp:positionV>
                <wp:extent cx="5476630" cy="2266182"/>
                <wp:effectExtent b="0" l="0" r="0" t="0"/>
                <wp:wrapNone/>
                <wp:docPr id="276" name="image6.png"/>
                <a:graphic>
                  <a:graphicData uri="http://schemas.openxmlformats.org/drawingml/2006/picture">
                    <pic:pic>
                      <pic:nvPicPr>
                        <pic:cNvPr id="0" name="image6.png"/>
                        <pic:cNvPicPr preferRelativeResize="0"/>
                      </pic:nvPicPr>
                      <pic:blipFill>
                        <a:blip r:embed="rId11"/>
                        <a:srcRect/>
                        <a:stretch>
                          <a:fillRect/>
                        </a:stretch>
                      </pic:blipFill>
                      <pic:spPr>
                        <a:xfrm>
                          <a:off x="0" y="0"/>
                          <a:ext cx="5476630" cy="2266182"/>
                        </a:xfrm>
                        <a:prstGeom prst="rect"/>
                        <a:ln/>
                      </pic:spPr>
                    </pic:pic>
                  </a:graphicData>
                </a:graphic>
              </wp:anchor>
            </w:drawing>
          </mc:Fallback>
        </mc:AlternateContent>
      </w:r>
    </w:p>
    <w:p w14:paraId="404F3AE5"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noProof/>
          <w:lang w:val="es-MX"/>
        </w:rPr>
        <w:lastRenderedPageBreak/>
        <w:drawing>
          <wp:inline distT="0" distB="0" distL="0" distR="0" wp14:anchorId="48594C1E" wp14:editId="24CA0479">
            <wp:extent cx="5612130" cy="5571490"/>
            <wp:effectExtent l="0" t="0" r="0" b="0"/>
            <wp:docPr id="281"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2"/>
                    <a:srcRect/>
                    <a:stretch>
                      <a:fillRect/>
                    </a:stretch>
                  </pic:blipFill>
                  <pic:spPr>
                    <a:xfrm>
                      <a:off x="0" y="0"/>
                      <a:ext cx="5612130" cy="5571490"/>
                    </a:xfrm>
                    <a:prstGeom prst="rect">
                      <a:avLst/>
                    </a:prstGeom>
                    <a:ln/>
                  </pic:spPr>
                </pic:pic>
              </a:graphicData>
            </a:graphic>
          </wp:inline>
        </w:drawing>
      </w:r>
    </w:p>
    <w:p w14:paraId="3A932E7F"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bookmarkStart w:id="3" w:name="_heading=h.3znysh7" w:colFirst="0" w:colLast="0"/>
      <w:bookmarkEnd w:id="3"/>
      <w:r w:rsidRPr="009045F1">
        <w:rPr>
          <w:rFonts w:ascii="Palatino Linotype" w:eastAsia="Palatino Linotype" w:hAnsi="Palatino Linotype" w:cs="Palatino Linotype"/>
          <w:noProof/>
          <w:lang w:val="es-MX"/>
        </w:rPr>
        <w:lastRenderedPageBreak/>
        <w:drawing>
          <wp:inline distT="0" distB="0" distL="0" distR="0" wp14:anchorId="751A6D2C" wp14:editId="11DB1B50">
            <wp:extent cx="5612130" cy="5431790"/>
            <wp:effectExtent l="0" t="0" r="0" b="0"/>
            <wp:docPr id="280"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13"/>
                    <a:srcRect/>
                    <a:stretch>
                      <a:fillRect/>
                    </a:stretch>
                  </pic:blipFill>
                  <pic:spPr>
                    <a:xfrm>
                      <a:off x="0" y="0"/>
                      <a:ext cx="5612130" cy="5431790"/>
                    </a:xfrm>
                    <a:prstGeom prst="rect">
                      <a:avLst/>
                    </a:prstGeom>
                    <a:ln/>
                  </pic:spPr>
                </pic:pic>
              </a:graphicData>
            </a:graphic>
          </wp:inline>
        </w:drawing>
      </w:r>
      <w:r w:rsidRPr="009045F1">
        <w:rPr>
          <w:rFonts w:ascii="Palatino Linotype" w:eastAsia="Palatino Linotype" w:hAnsi="Palatino Linotype" w:cs="Palatino Linotype"/>
        </w:rPr>
        <w:t xml:space="preserve"> </w:t>
      </w:r>
    </w:p>
    <w:p w14:paraId="3B6B86AB"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Procedimientos de adjudicación directa que se relacionan con lo solicitado por la parte </w:t>
      </w:r>
      <w:r w:rsidRPr="009045F1">
        <w:rPr>
          <w:rFonts w:ascii="Palatino Linotype" w:eastAsia="Palatino Linotype" w:hAnsi="Palatino Linotype" w:cs="Palatino Linotype"/>
          <w:b/>
        </w:rPr>
        <w:t>RECURRENTE</w:t>
      </w:r>
    </w:p>
    <w:p w14:paraId="271A215E"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 xml:space="preserve">Sin que se localizara información de los años 2019 y 2020; sin embargo, conforme a lo señalado en los párrafos anteriores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no turnó la solicitud al área competente para que se pronunciara respecto de lo requerido, por ello, en aras de garantizar el derecho de acceso a la información pública de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es necesario que se requiera la información a la Dirección de Administración y Finanzas del Organismo Público Descentralizado para la Prestación de los Servicios de Agua Potable, Alcantarillado y Saneamiento del Municipio de Naucalpan, con la finalidad de que entregue la información que obre en sus archivos, que se relacione con lo solicitado. </w:t>
      </w:r>
    </w:p>
    <w:p w14:paraId="307EE56C" w14:textId="77777777" w:rsidR="00E16F98" w:rsidRPr="009045F1" w:rsidRDefault="000E36D0">
      <w:pPr>
        <w:pBdr>
          <w:top w:val="nil"/>
          <w:left w:val="nil"/>
          <w:bottom w:val="nil"/>
          <w:right w:val="nil"/>
          <w:between w:val="nil"/>
        </w:pBdr>
        <w:spacing w:before="240" w:after="16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consecuencia se determina que la respuesta del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careció de los principios de congruencia y exhaustividad, como refuerzo de lo anterior, resulta crucial el Criterio 02/17, emitido por el Pleno del Instituto Nacional de Transparencia y Acceso a la Información y Protección de Datos Personales, de título y texto siguientes:</w:t>
      </w:r>
    </w:p>
    <w:p w14:paraId="0F3424A6" w14:textId="77777777" w:rsidR="00E16F98" w:rsidRPr="009045F1" w:rsidRDefault="000E36D0">
      <w:pPr>
        <w:spacing w:before="80" w:after="240"/>
        <w:ind w:left="567"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 xml:space="preserve">“Congruencia y exhaustividad. Sus alcances para garantizar el derecho de acceso a la información. </w:t>
      </w:r>
      <w:r w:rsidRPr="009045F1">
        <w:rPr>
          <w:rFonts w:ascii="Palatino Linotype" w:eastAsia="Palatino Linotype" w:hAnsi="Palatino Linotype" w:cs="Palatino Linotype"/>
          <w:i/>
          <w:sz w:val="22"/>
          <w:szCs w:val="22"/>
        </w:rPr>
        <w:t xml:space="preserve">De conformidad con el artículo 3 de la Ley Federal de Procedimiento Administrativo, de aplicación supletoria a la Ley Federal de Transparencia y Acceso a la Información Pública, en términos de su artículo 7; todo acto administrativo debe cumplir con los principios de congruencia y exhaustividad. Para el efectivo ejercicio del derecho de acceso a la información, </w:t>
      </w:r>
      <w:r w:rsidRPr="009045F1">
        <w:rPr>
          <w:rFonts w:ascii="Palatino Linotype" w:eastAsia="Palatino Linotype" w:hAnsi="Palatino Linotype" w:cs="Palatino Linotype"/>
          <w:b/>
          <w:i/>
          <w:sz w:val="22"/>
          <w:szCs w:val="22"/>
        </w:rPr>
        <w:t>la congruencia implica que exista concordancia entre el requerimiento formulado por el particular y la respuesta proporcionada por el sujeto obligado</w:t>
      </w:r>
      <w:r w:rsidRPr="009045F1">
        <w:rPr>
          <w:rFonts w:ascii="Palatino Linotype" w:eastAsia="Palatino Linotype" w:hAnsi="Palatino Linotype" w:cs="Palatino Linotype"/>
          <w:i/>
          <w:sz w:val="22"/>
          <w:szCs w:val="22"/>
        </w:rPr>
        <w:t xml:space="preserve">; mientras que </w:t>
      </w:r>
      <w:r w:rsidRPr="009045F1">
        <w:rPr>
          <w:rFonts w:ascii="Palatino Linotype" w:eastAsia="Palatino Linotype" w:hAnsi="Palatino Linotype" w:cs="Palatino Linotype"/>
          <w:b/>
          <w:i/>
          <w:sz w:val="22"/>
          <w:szCs w:val="22"/>
        </w:rPr>
        <w:t>la exhaustividad significa que dicha respuesta se refiera expresamente a cada uno de los puntos solicitados</w:t>
      </w:r>
      <w:r w:rsidRPr="009045F1">
        <w:rPr>
          <w:rFonts w:ascii="Palatino Linotype" w:eastAsia="Palatino Linotype" w:hAnsi="Palatino Linotype" w:cs="Palatino Linotype"/>
          <w:i/>
          <w:sz w:val="22"/>
          <w:szCs w:val="22"/>
        </w:rPr>
        <w:t xml:space="preserve">. Por lo anterior, los sujetos obligados </w:t>
      </w:r>
      <w:r w:rsidRPr="009045F1">
        <w:rPr>
          <w:rFonts w:ascii="Palatino Linotype" w:eastAsia="Palatino Linotype" w:hAnsi="Palatino Linotype" w:cs="Palatino Linotype"/>
          <w:i/>
          <w:sz w:val="22"/>
          <w:szCs w:val="22"/>
        </w:rPr>
        <w:lastRenderedPageBreak/>
        <w:t>cumplirán con los principios de congruencia y exhaustividad, cuando las respuestas que emitan guarden una relación lógica con lo solicitado y atiendan de manera puntual y expresa, cada uno de los contenidos de información.” (Sic)</w:t>
      </w:r>
    </w:p>
    <w:p w14:paraId="5E6EA18F" w14:textId="77777777" w:rsidR="00E16F98" w:rsidRPr="009045F1" w:rsidRDefault="000E36D0">
      <w:pPr>
        <w:spacing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Razones por las cuales lo procedente es ordenar los documentos que integran el expediente de contratación de servicios de desinfección y </w:t>
      </w:r>
      <w:proofErr w:type="spellStart"/>
      <w:r w:rsidRPr="009045F1">
        <w:rPr>
          <w:rFonts w:ascii="Palatino Linotype" w:eastAsia="Palatino Linotype" w:hAnsi="Palatino Linotype" w:cs="Palatino Linotype"/>
        </w:rPr>
        <w:t>sanitizacion</w:t>
      </w:r>
      <w:proofErr w:type="spellEnd"/>
      <w:r w:rsidRPr="009045F1">
        <w:rPr>
          <w:rFonts w:ascii="Palatino Linotype" w:eastAsia="Palatino Linotype" w:hAnsi="Palatino Linotype" w:cs="Palatino Linotype"/>
        </w:rPr>
        <w:t xml:space="preserve"> realizados en los ejercicios fiscales 2019, 2020 y 2021, en versión publica conforme a lo señalado en el considerando quinto del presente fallo.</w:t>
      </w:r>
    </w:p>
    <w:p w14:paraId="5538E010"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En caso de que la información que se ordena no se haya generado en los años 2019 y 2020, bastará con que así se haga del conocimiento de la persona solicitante para tener por colmado su derecho de acceso a la información, atendiendo las formalidades que establece el artículo 19, párrafo segundo de la Ley de Transparencia y Acceso a la Información Pública del Estado de México y Municipios, que es del tenor literal siguiente:</w:t>
      </w:r>
    </w:p>
    <w:p w14:paraId="01F89BFC" w14:textId="77777777" w:rsidR="00E16F98" w:rsidRPr="009045F1" w:rsidRDefault="00E16F98">
      <w:pPr>
        <w:spacing w:line="276" w:lineRule="auto"/>
        <w:ind w:right="900"/>
        <w:jc w:val="both"/>
        <w:rPr>
          <w:rFonts w:ascii="Palatino Linotype" w:eastAsia="Palatino Linotype" w:hAnsi="Palatino Linotype" w:cs="Palatino Linotype"/>
        </w:rPr>
      </w:pPr>
    </w:p>
    <w:p w14:paraId="3984C1AD" w14:textId="77777777" w:rsidR="00E16F98" w:rsidRPr="009045F1" w:rsidRDefault="000E36D0">
      <w:pPr>
        <w:spacing w:line="276" w:lineRule="auto"/>
        <w:ind w:left="567"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“Artículo 19…</w:t>
      </w:r>
    </w:p>
    <w:p w14:paraId="3506ED5B" w14:textId="77777777" w:rsidR="00E16F98" w:rsidRPr="009045F1" w:rsidRDefault="000E36D0">
      <w:pPr>
        <w:spacing w:line="276" w:lineRule="auto"/>
        <w:ind w:left="567" w:right="900"/>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los casos en que ciertas facultades, competencias o funciones no se hayan ejercido, se debe motivar la respuesta en función de las causas que motiven tal circunstancia.”</w:t>
      </w:r>
    </w:p>
    <w:p w14:paraId="65CC8EED"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Siendo improcedente, en tal supuesto, la entrega de documento alguno, o en su caso, el Acuerdo de Inexistencia, toda vez que el pronunciamiento del Sujeto Obligado declararía en automática la inexistencia de la información solicitada de modo que no existe obligación de justificar o allegar pruebas, y por ende no tiene aplicación lo </w:t>
      </w:r>
      <w:r w:rsidRPr="009045F1">
        <w:rPr>
          <w:rFonts w:ascii="Palatino Linotype" w:eastAsia="Palatino Linotype" w:hAnsi="Palatino Linotype" w:cs="Palatino Linotype"/>
        </w:rPr>
        <w:lastRenderedPageBreak/>
        <w:t>estatuido en el artículo 49, fracción XIII de la Ley de Transparencia y Acceso a la Información Pública del Estado de México y Municipios.</w:t>
      </w:r>
    </w:p>
    <w:p w14:paraId="73941640"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Quinto. Versión Pública. </w:t>
      </w:r>
      <w:r w:rsidRPr="009045F1">
        <w:rPr>
          <w:rFonts w:ascii="Palatino Linotype" w:eastAsia="Palatino Linotype" w:hAnsi="Palatino Linotype" w:cs="Palatino Linotype"/>
        </w:rPr>
        <w:t xml:space="preserve">Para la entrega de la información, en razón de que el derecho de acceso a la información pública no es absoluto, sino que encuentra como excepciones que la información sobre la cual se peticiona el acceso, sea o contenga datos que deban ser clasificados en los términos que la misma Ley de la Materia señala, el Sujeto Obligado tendrá que hacer la elaboración de una versión pública de los documentos que vaya entregar para dar cumplimiento a esta resolución, a fin de satisfacer el derecho de acceso a la información pública de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sin menoscabar el derecho a la protección de los datos personales de terceros.</w:t>
      </w:r>
    </w:p>
    <w:p w14:paraId="132694A2"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Lo anterior, de conformidad a lo que señalan los artículos 3, fracciones IX, XX, XXXII, XLV; 6, 137 y 143 fracción I, de la Ley de Transparencia y Acceso a la Información Pública del Estado de México y Municipios vigente, que se leen como sigue:</w:t>
      </w:r>
    </w:p>
    <w:p w14:paraId="4A20B63C" w14:textId="77777777" w:rsidR="00E16F98" w:rsidRPr="009045F1" w:rsidRDefault="000E36D0">
      <w:pPr>
        <w:ind w:left="993" w:right="1041"/>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 xml:space="preserve"> “Artículo 3. Para los efectos de la presente Ley se entenderá por:</w:t>
      </w:r>
    </w:p>
    <w:p w14:paraId="63FBFC27"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IX. Datos personales:</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rPr>
        <w:t>La información concerniente a una persona, identificada o identificable</w:t>
      </w:r>
      <w:r w:rsidRPr="009045F1">
        <w:rPr>
          <w:rFonts w:ascii="Palatino Linotype" w:eastAsia="Palatino Linotype" w:hAnsi="Palatino Linotype" w:cs="Palatino Linotype"/>
          <w:i/>
          <w:sz w:val="22"/>
          <w:szCs w:val="22"/>
        </w:rPr>
        <w:t xml:space="preserve"> según lo dispuesto por la Ley de Protección de Datos Personales del Estado de México;</w:t>
      </w:r>
    </w:p>
    <w:p w14:paraId="550554A2"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XX. Información clasificada:</w:t>
      </w:r>
      <w:r w:rsidRPr="009045F1">
        <w:rPr>
          <w:rFonts w:ascii="Palatino Linotype" w:eastAsia="Palatino Linotype" w:hAnsi="Palatino Linotype" w:cs="Palatino Linotype"/>
          <w:i/>
          <w:sz w:val="22"/>
          <w:szCs w:val="22"/>
        </w:rPr>
        <w:t xml:space="preserve"> Aquella considerada por la presente Ley como reservada o confidencial;</w:t>
      </w:r>
    </w:p>
    <w:p w14:paraId="488CBD57"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XXXII. Protección de Datos Personales:</w:t>
      </w:r>
      <w:r w:rsidRPr="009045F1">
        <w:rPr>
          <w:rFonts w:ascii="Palatino Linotype" w:eastAsia="Palatino Linotype" w:hAnsi="Palatino Linotype" w:cs="Palatino Linotype"/>
          <w:i/>
          <w:sz w:val="22"/>
          <w:szCs w:val="22"/>
        </w:rPr>
        <w:t xml:space="preserve"> Derecho humano que tutela la privacidad de datos personales en poder de los sujetos obligados y sujetos particulares;</w:t>
      </w:r>
    </w:p>
    <w:p w14:paraId="5A48A16C"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lastRenderedPageBreak/>
        <w:t>XLV. Versión pública</w:t>
      </w:r>
      <w:r w:rsidRPr="009045F1">
        <w:rPr>
          <w:rFonts w:ascii="Palatino Linotype" w:eastAsia="Palatino Linotype" w:hAnsi="Palatino Linotype" w:cs="Palatino Linotype"/>
          <w:i/>
          <w:sz w:val="22"/>
          <w:szCs w:val="22"/>
        </w:rPr>
        <w:t>: Documento en el que se elimine, suprime o borra la información clasificada como reservada o confidencial para permitir su acceso.”</w:t>
      </w:r>
    </w:p>
    <w:p w14:paraId="2F659EE0" w14:textId="77777777" w:rsidR="00E16F98" w:rsidRPr="009045F1" w:rsidRDefault="00E16F98">
      <w:pPr>
        <w:ind w:left="993" w:right="1041"/>
        <w:jc w:val="both"/>
        <w:rPr>
          <w:rFonts w:ascii="Palatino Linotype" w:eastAsia="Palatino Linotype" w:hAnsi="Palatino Linotype" w:cs="Palatino Linotype"/>
          <w:i/>
          <w:sz w:val="22"/>
          <w:szCs w:val="22"/>
        </w:rPr>
      </w:pPr>
    </w:p>
    <w:p w14:paraId="688CCDC4"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6.</w:t>
      </w:r>
      <w:r w:rsidRPr="009045F1">
        <w:rPr>
          <w:rFonts w:ascii="Palatino Linotype" w:eastAsia="Palatino Linotype" w:hAnsi="Palatino Linotype" w:cs="Palatino Linotype"/>
          <w:i/>
          <w:sz w:val="22"/>
          <w:szCs w:val="22"/>
        </w:rPr>
        <w:t xml:space="preserve"> Los datos personales son irrenunciables, intransferibles e indelegables, por lo que los sujetos obligados no deberán proporcionar o hacer pública la información que contenga, con excepción de aquellos casos en que deban hacerlo en observancia de las disposiciones aplicables. En el caso de los derechos de acceso, rectificación, cancelación u oposición; los principios, procedimientos, medidas de seguridad en el tratamiento y demás disposiciones en materia de datos personales, se deberá estar a lo dispuesto en las leyes de la materia.”</w:t>
      </w:r>
    </w:p>
    <w:p w14:paraId="7CBEC299" w14:textId="77777777" w:rsidR="00E16F98" w:rsidRPr="009045F1" w:rsidRDefault="00E16F98">
      <w:pPr>
        <w:ind w:left="993" w:right="1041"/>
        <w:jc w:val="both"/>
        <w:rPr>
          <w:rFonts w:ascii="Palatino Linotype" w:eastAsia="Palatino Linotype" w:hAnsi="Palatino Linotype" w:cs="Palatino Linotype"/>
          <w:i/>
          <w:sz w:val="22"/>
          <w:szCs w:val="22"/>
        </w:rPr>
      </w:pPr>
    </w:p>
    <w:p w14:paraId="3D3C6516" w14:textId="77777777" w:rsidR="00E16F98" w:rsidRPr="009045F1" w:rsidRDefault="000E36D0">
      <w:pPr>
        <w:ind w:left="993" w:right="1041"/>
        <w:jc w:val="both"/>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“Artículo 137.</w:t>
      </w:r>
      <w:r w:rsidRPr="009045F1">
        <w:rPr>
          <w:rFonts w:ascii="Palatino Linotype" w:eastAsia="Palatino Linotype" w:hAnsi="Palatino Linotype" w:cs="Palatino Linotype"/>
          <w:i/>
          <w:sz w:val="22"/>
          <w:szCs w:val="22"/>
        </w:rPr>
        <w:t xml:space="preserve"> Cuando un mismo medio, impreso o electrónico, contenga información pública y reservada o confidencial, la Unidad de Transparencia para efectos de atender una solicitud de información, deberán elaborar una versión pública en la que se testen las partes o secciones clasificadas, indicando su contenido de manera genérica y fundando y motivando su clasificación.”</w:t>
      </w:r>
    </w:p>
    <w:p w14:paraId="50FEE06C" w14:textId="77777777" w:rsidR="00E16F98" w:rsidRPr="009045F1" w:rsidRDefault="00E16F98">
      <w:pPr>
        <w:ind w:left="993" w:right="1041"/>
        <w:jc w:val="both"/>
        <w:rPr>
          <w:rFonts w:ascii="Palatino Linotype" w:eastAsia="Palatino Linotype" w:hAnsi="Palatino Linotype" w:cs="Palatino Linotype"/>
          <w:b/>
          <w:i/>
          <w:sz w:val="22"/>
          <w:szCs w:val="22"/>
        </w:rPr>
      </w:pPr>
    </w:p>
    <w:p w14:paraId="5CF46A7F"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143</w:t>
      </w:r>
      <w:r w:rsidRPr="009045F1">
        <w:rPr>
          <w:rFonts w:ascii="Palatino Linotype" w:eastAsia="Palatino Linotype" w:hAnsi="Palatino Linotype" w:cs="Palatino Linotype"/>
          <w:i/>
          <w:sz w:val="22"/>
          <w:szCs w:val="22"/>
        </w:rPr>
        <w:t>. Para los efectos de esta Ley se considera información confidencial, la clasificada como tal, de manera permanente, por su naturaleza, cuando:</w:t>
      </w:r>
    </w:p>
    <w:p w14:paraId="27A66D1E"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w:t>
      </w:r>
      <w:r w:rsidRPr="009045F1">
        <w:rPr>
          <w:rFonts w:ascii="Palatino Linotype" w:eastAsia="Palatino Linotype" w:hAnsi="Palatino Linotype" w:cs="Palatino Linotype"/>
          <w:i/>
          <w:sz w:val="22"/>
          <w:szCs w:val="22"/>
        </w:rPr>
        <w:t xml:space="preserve"> Se refiera a la información privada y los datos personales concernientes a una persona física o jurídica colectiva identificada o identificable;</w:t>
      </w:r>
    </w:p>
    <w:p w14:paraId="36B4EFB7"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 Los secretos bancario, fiduciario, industrial, comercial, fiscal, bursátil y postal, cuya titularidad corresponda a particulares, sujetos de derecho internacional o a sujetos obligados cuando no involucren el ejercicio de recursos públicos; y</w:t>
      </w:r>
    </w:p>
    <w:p w14:paraId="565D14D3" w14:textId="77777777" w:rsidR="00E16F98" w:rsidRPr="009045F1" w:rsidRDefault="000E36D0">
      <w:pPr>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III. La que presenten los particulares a los sujetos obligados, de conformidad con lo dispuesto por las leyes o los tratados internacionales.” (Sic)</w:t>
      </w:r>
    </w:p>
    <w:p w14:paraId="4BF4B838" w14:textId="77777777" w:rsidR="00E16F98" w:rsidRPr="009045F1" w:rsidRDefault="00E16F98">
      <w:pPr>
        <w:ind w:left="993" w:right="1041"/>
        <w:jc w:val="both"/>
        <w:rPr>
          <w:rFonts w:ascii="Palatino Linotype" w:eastAsia="Palatino Linotype" w:hAnsi="Palatino Linotype" w:cs="Palatino Linotype"/>
          <w:i/>
          <w:sz w:val="22"/>
          <w:szCs w:val="22"/>
        </w:rPr>
      </w:pPr>
    </w:p>
    <w:p w14:paraId="064C26D2" w14:textId="77777777" w:rsidR="00E16F98" w:rsidRPr="009045F1" w:rsidRDefault="000E36D0">
      <w:pPr>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De los preceptos anteriores se desprende que cuando un documento que vaya a ser entregado vía acceso a la información pública, contenga tanto información de </w:t>
      </w:r>
      <w:r w:rsidRPr="009045F1">
        <w:rPr>
          <w:rFonts w:ascii="Palatino Linotype" w:eastAsia="Palatino Linotype" w:hAnsi="Palatino Linotype" w:cs="Palatino Linotype"/>
        </w:rPr>
        <w:lastRenderedPageBreak/>
        <w:t xml:space="preserve">interés público como información que debe ser clasificada, se hará la entrega del mismo, testando las secciones o datos que deban ser clasificados; por ende el Sujeto Obligado deberá proceder a testar los datos personales que se encuentren contenidos en los documentos a entregar por parte del Sujeto Obligado para satisfacer el derecho de acceso a la información pública de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esto es, los datos concernientes a una persona identificada o identificable, o aquellos datos que tengan el carácter de sensibles, es decir los que afectan la esfera más íntima de su titular o cuya utilización indebida pueda dar origen a discriminación o conlleven un riesgo grave para aquel de acuerdo a lo que señala la fracción XII del artículo 4 de la Ley de Protección de Datos Personales en Posesión de Sujetos Obligados del Estado de México.</w:t>
      </w:r>
    </w:p>
    <w:p w14:paraId="3279FE09" w14:textId="77777777" w:rsidR="00E16F98" w:rsidRPr="009045F1" w:rsidRDefault="00E16F98">
      <w:pPr>
        <w:spacing w:line="360" w:lineRule="auto"/>
        <w:ind w:right="51"/>
        <w:jc w:val="both"/>
        <w:rPr>
          <w:rFonts w:ascii="Palatino Linotype" w:eastAsia="Palatino Linotype" w:hAnsi="Palatino Linotype" w:cs="Palatino Linotype"/>
        </w:rPr>
      </w:pPr>
    </w:p>
    <w:p w14:paraId="0D137E82" w14:textId="77777777" w:rsidR="00E16F98" w:rsidRPr="009045F1" w:rsidRDefault="000E36D0">
      <w:pPr>
        <w:spacing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Datos que deberá clasificar como confidenciales por tratarse precisamente de información privada, puesto que los datos personales son irrenunciables, intransferibles e indelegables y los Sujetos Obligados no deberán hacer entrega de los mismos a personas ajenas a su titular.</w:t>
      </w:r>
    </w:p>
    <w:p w14:paraId="3FE8EF88" w14:textId="77777777" w:rsidR="00E16F98" w:rsidRPr="009045F1" w:rsidRDefault="00E16F98">
      <w:pPr>
        <w:spacing w:line="360" w:lineRule="auto"/>
        <w:ind w:right="50"/>
        <w:jc w:val="both"/>
        <w:rPr>
          <w:rFonts w:ascii="Palatino Linotype" w:eastAsia="Palatino Linotype" w:hAnsi="Palatino Linotype" w:cs="Palatino Linotype"/>
        </w:rPr>
      </w:pPr>
    </w:p>
    <w:p w14:paraId="663A17FC" w14:textId="77777777" w:rsidR="00E16F98" w:rsidRPr="009045F1" w:rsidRDefault="000E36D0">
      <w:pPr>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ese contexto, la clasificación de la información no opera con la simple supresión de datos que se haga en los documentos de que se trate o con la simple decisión que tome el Servidor Público Habilitado o el Responsable de la Unidad de Transparencia del Sujeto Obligado, sino que ello deberá realizarse en términos de </w:t>
      </w:r>
      <w:r w:rsidRPr="009045F1">
        <w:rPr>
          <w:rFonts w:ascii="Palatino Linotype" w:eastAsia="Palatino Linotype" w:hAnsi="Palatino Linotype" w:cs="Palatino Linotype"/>
        </w:rPr>
        <w:lastRenderedPageBreak/>
        <w:t>lo que disponen los artículos 49 fracción VIII, 53, fracción X y 59, fracción V, de la Ley en consulta, cuyo sentido literal es el siguiente:</w:t>
      </w:r>
    </w:p>
    <w:p w14:paraId="5DB707BF" w14:textId="77777777" w:rsidR="00E16F98" w:rsidRPr="009045F1" w:rsidRDefault="00E16F98">
      <w:pPr>
        <w:spacing w:line="360" w:lineRule="auto"/>
        <w:ind w:right="51"/>
        <w:jc w:val="both"/>
        <w:rPr>
          <w:rFonts w:ascii="Palatino Linotype" w:eastAsia="Palatino Linotype" w:hAnsi="Palatino Linotype" w:cs="Palatino Linotype"/>
        </w:rPr>
      </w:pPr>
    </w:p>
    <w:p w14:paraId="51B10520"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49.</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rPr>
        <w:t>Los Comités de Transparencia</w:t>
      </w:r>
      <w:r w:rsidRPr="009045F1">
        <w:rPr>
          <w:rFonts w:ascii="Palatino Linotype" w:eastAsia="Palatino Linotype" w:hAnsi="Palatino Linotype" w:cs="Palatino Linotype"/>
          <w:i/>
          <w:sz w:val="22"/>
          <w:szCs w:val="22"/>
        </w:rPr>
        <w:t xml:space="preserve"> tendrán las siguientes atribuciones:</w:t>
      </w:r>
    </w:p>
    <w:p w14:paraId="0F1E7532"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VIII. Aprobar, modificar o revocar la clasificación de la información</w:t>
      </w:r>
      <w:r w:rsidRPr="009045F1">
        <w:rPr>
          <w:rFonts w:ascii="Palatino Linotype" w:eastAsia="Palatino Linotype" w:hAnsi="Palatino Linotype" w:cs="Palatino Linotype"/>
          <w:i/>
          <w:sz w:val="22"/>
          <w:szCs w:val="22"/>
        </w:rPr>
        <w:t>…”</w:t>
      </w:r>
    </w:p>
    <w:p w14:paraId="1E82A71A"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Artículo 53.</w:t>
      </w:r>
      <w:r w:rsidRPr="009045F1">
        <w:rPr>
          <w:rFonts w:ascii="Palatino Linotype" w:eastAsia="Palatino Linotype" w:hAnsi="Palatino Linotype" w:cs="Palatino Linotype"/>
          <w:i/>
          <w:sz w:val="22"/>
          <w:szCs w:val="22"/>
        </w:rPr>
        <w:t xml:space="preserve"> Las </w:t>
      </w:r>
      <w:r w:rsidRPr="009045F1">
        <w:rPr>
          <w:rFonts w:ascii="Palatino Linotype" w:eastAsia="Palatino Linotype" w:hAnsi="Palatino Linotype" w:cs="Palatino Linotype"/>
          <w:b/>
          <w:i/>
          <w:sz w:val="22"/>
          <w:szCs w:val="22"/>
        </w:rPr>
        <w:t>Unidades de Transparencia</w:t>
      </w:r>
      <w:r w:rsidRPr="009045F1">
        <w:rPr>
          <w:rFonts w:ascii="Palatino Linotype" w:eastAsia="Palatino Linotype" w:hAnsi="Palatino Linotype" w:cs="Palatino Linotype"/>
          <w:i/>
          <w:sz w:val="22"/>
          <w:szCs w:val="22"/>
        </w:rPr>
        <w:t xml:space="preserve"> tendrán las siguientes </w:t>
      </w:r>
      <w:r w:rsidRPr="009045F1">
        <w:rPr>
          <w:rFonts w:ascii="Palatino Linotype" w:eastAsia="Palatino Linotype" w:hAnsi="Palatino Linotype" w:cs="Palatino Linotype"/>
          <w:b/>
          <w:i/>
          <w:sz w:val="22"/>
          <w:szCs w:val="22"/>
        </w:rPr>
        <w:t>funciones</w:t>
      </w:r>
      <w:r w:rsidRPr="009045F1">
        <w:rPr>
          <w:rFonts w:ascii="Palatino Linotype" w:eastAsia="Palatino Linotype" w:hAnsi="Palatino Linotype" w:cs="Palatino Linotype"/>
          <w:i/>
          <w:sz w:val="22"/>
          <w:szCs w:val="22"/>
        </w:rPr>
        <w:t>:</w:t>
      </w:r>
    </w:p>
    <w:p w14:paraId="1551632B"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X. Presentar ante el Comité, el proyecto de clasificación de información</w:t>
      </w:r>
      <w:r w:rsidRPr="009045F1">
        <w:rPr>
          <w:rFonts w:ascii="Palatino Linotype" w:eastAsia="Palatino Linotype" w:hAnsi="Palatino Linotype" w:cs="Palatino Linotype"/>
          <w:i/>
          <w:sz w:val="22"/>
          <w:szCs w:val="22"/>
        </w:rPr>
        <w:t xml:space="preserve">…” </w:t>
      </w:r>
    </w:p>
    <w:p w14:paraId="6E56307A"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“Artículo 59.</w:t>
      </w:r>
      <w:r w:rsidRPr="009045F1">
        <w:rPr>
          <w:rFonts w:ascii="Palatino Linotype" w:eastAsia="Palatino Linotype" w:hAnsi="Palatino Linotype" w:cs="Palatino Linotype"/>
          <w:i/>
          <w:sz w:val="22"/>
          <w:szCs w:val="22"/>
        </w:rPr>
        <w:t xml:space="preserve"> Los </w:t>
      </w:r>
      <w:r w:rsidRPr="009045F1">
        <w:rPr>
          <w:rFonts w:ascii="Palatino Linotype" w:eastAsia="Palatino Linotype" w:hAnsi="Palatino Linotype" w:cs="Palatino Linotype"/>
          <w:b/>
          <w:i/>
          <w:sz w:val="22"/>
          <w:szCs w:val="22"/>
        </w:rPr>
        <w:t>servidores públicos habilitados</w:t>
      </w:r>
      <w:r w:rsidRPr="009045F1">
        <w:rPr>
          <w:rFonts w:ascii="Palatino Linotype" w:eastAsia="Palatino Linotype" w:hAnsi="Palatino Linotype" w:cs="Palatino Linotype"/>
          <w:i/>
          <w:sz w:val="22"/>
          <w:szCs w:val="22"/>
        </w:rPr>
        <w:t xml:space="preserve"> tendrán las </w:t>
      </w:r>
      <w:r w:rsidRPr="009045F1">
        <w:rPr>
          <w:rFonts w:ascii="Palatino Linotype" w:eastAsia="Palatino Linotype" w:hAnsi="Palatino Linotype" w:cs="Palatino Linotype"/>
          <w:b/>
          <w:i/>
          <w:sz w:val="22"/>
          <w:szCs w:val="22"/>
        </w:rPr>
        <w:t>funciones</w:t>
      </w:r>
      <w:r w:rsidRPr="009045F1">
        <w:rPr>
          <w:rFonts w:ascii="Palatino Linotype" w:eastAsia="Palatino Linotype" w:hAnsi="Palatino Linotype" w:cs="Palatino Linotype"/>
          <w:i/>
          <w:sz w:val="22"/>
          <w:szCs w:val="22"/>
        </w:rPr>
        <w:t xml:space="preserve"> siguientes:</w:t>
      </w:r>
    </w:p>
    <w:p w14:paraId="7B8E9993" w14:textId="77777777" w:rsidR="00E16F98" w:rsidRPr="009045F1" w:rsidRDefault="000E36D0">
      <w:pPr>
        <w:ind w:left="992" w:right="1043"/>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V. Integrar y presentar al responsable de la Unidad de Transparencia la propuesta de clasificación de información</w:t>
      </w:r>
      <w:r w:rsidRPr="009045F1">
        <w:rPr>
          <w:rFonts w:ascii="Palatino Linotype" w:eastAsia="Palatino Linotype" w:hAnsi="Palatino Linotype" w:cs="Palatino Linotype"/>
          <w:i/>
          <w:sz w:val="22"/>
          <w:szCs w:val="22"/>
        </w:rPr>
        <w:t>, la cual tendrá los fundamentos y argumentos en que se basa dicha propuesta…”(Sic)</w:t>
      </w:r>
    </w:p>
    <w:p w14:paraId="28A693EA" w14:textId="77777777" w:rsidR="00E16F98" w:rsidRPr="009045F1" w:rsidRDefault="00E16F98">
      <w:pPr>
        <w:ind w:left="992" w:right="1043"/>
        <w:jc w:val="both"/>
        <w:rPr>
          <w:rFonts w:ascii="Palatino Linotype" w:eastAsia="Palatino Linotype" w:hAnsi="Palatino Linotype" w:cs="Palatino Linotype"/>
          <w:i/>
          <w:sz w:val="22"/>
          <w:szCs w:val="22"/>
        </w:rPr>
      </w:pPr>
    </w:p>
    <w:p w14:paraId="1985470F"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Denotándose de dichos elementos normativos que el determinar la clasificación de la información es un trabajo en conjunto tanto de los Servidores Públicos Habilitados, de las Unidades de Transparencia y del Comité de Transparencia del Sujeto Obligado, teniendo el deber los primeros de ellos de presentar ante la Unidad de Transparencia la propuesta de la clasificación de la información, para que luego </w:t>
      </w:r>
      <w:proofErr w:type="spellStart"/>
      <w:r w:rsidRPr="009045F1">
        <w:rPr>
          <w:rFonts w:ascii="Palatino Linotype" w:eastAsia="Palatino Linotype" w:hAnsi="Palatino Linotype" w:cs="Palatino Linotype"/>
        </w:rPr>
        <w:t>esta</w:t>
      </w:r>
      <w:proofErr w:type="spellEnd"/>
      <w:r w:rsidRPr="009045F1">
        <w:rPr>
          <w:rFonts w:ascii="Palatino Linotype" w:eastAsia="Palatino Linotype" w:hAnsi="Palatino Linotype" w:cs="Palatino Linotype"/>
        </w:rPr>
        <w:t xml:space="preserve"> presente ante al Comité de Transparencia de así resultar procedente el proyecto de clasificación de la información y finalmente sea éste último quien apruebe, modifique o revoque la clasificación de la información solicitada.</w:t>
      </w:r>
    </w:p>
    <w:p w14:paraId="2903D621" w14:textId="77777777" w:rsidR="00E16F98" w:rsidRPr="009045F1" w:rsidRDefault="00E16F98">
      <w:pPr>
        <w:spacing w:line="360" w:lineRule="auto"/>
        <w:jc w:val="both"/>
        <w:rPr>
          <w:rFonts w:ascii="Palatino Linotype" w:eastAsia="Palatino Linotype" w:hAnsi="Palatino Linotype" w:cs="Palatino Linotype"/>
        </w:rPr>
      </w:pPr>
    </w:p>
    <w:p w14:paraId="133A7500"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Para lo cual, a su vez en el caso de información de carácter confidencial, se debe atender a lo que señala el artículo 149 de la Ley de Transparencia Local vigente, que se lee como sigue:</w:t>
      </w:r>
    </w:p>
    <w:p w14:paraId="44A73FA4" w14:textId="77777777" w:rsidR="00E16F98" w:rsidRPr="009045F1" w:rsidRDefault="00E16F98">
      <w:pPr>
        <w:spacing w:line="360" w:lineRule="auto"/>
        <w:jc w:val="both"/>
        <w:rPr>
          <w:rFonts w:ascii="Palatino Linotype" w:eastAsia="Palatino Linotype" w:hAnsi="Palatino Linotype" w:cs="Palatino Linotype"/>
        </w:rPr>
      </w:pPr>
    </w:p>
    <w:p w14:paraId="5F414AB9" w14:textId="77777777" w:rsidR="00E16F98" w:rsidRPr="009045F1" w:rsidRDefault="000E36D0">
      <w:pPr>
        <w:spacing w:after="240"/>
        <w:ind w:left="993" w:right="104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Artículo 149.</w:t>
      </w:r>
      <w:r w:rsidRPr="009045F1">
        <w:rPr>
          <w:rFonts w:ascii="Palatino Linotype" w:eastAsia="Palatino Linotype" w:hAnsi="Palatino Linotype" w:cs="Palatino Linotype"/>
          <w:i/>
          <w:sz w:val="22"/>
          <w:szCs w:val="22"/>
        </w:rPr>
        <w:t xml:space="preserve"> El </w:t>
      </w:r>
      <w:r w:rsidRPr="009045F1">
        <w:rPr>
          <w:rFonts w:ascii="Palatino Linotype" w:eastAsia="Palatino Linotype" w:hAnsi="Palatino Linotype" w:cs="Palatino Linotype"/>
          <w:b/>
          <w:i/>
          <w:sz w:val="22"/>
          <w:szCs w:val="22"/>
        </w:rPr>
        <w:t>acuerdo que clasifique la información como confidencial</w:t>
      </w:r>
      <w:r w:rsidRPr="009045F1">
        <w:rPr>
          <w:rFonts w:ascii="Palatino Linotype" w:eastAsia="Palatino Linotype" w:hAnsi="Palatino Linotype" w:cs="Palatino Linotype"/>
          <w:i/>
          <w:sz w:val="22"/>
          <w:szCs w:val="22"/>
        </w:rPr>
        <w:t xml:space="preserve"> deberá contener un razonamiento lógico en el que demuestre que la información se encuentra en alguna o algunas de las hipótesis previstas en la presente Ley.”</w:t>
      </w:r>
    </w:p>
    <w:p w14:paraId="66DC745F" w14:textId="77777777" w:rsidR="00E16F98" w:rsidRPr="009045F1" w:rsidRDefault="00E16F98">
      <w:pPr>
        <w:spacing w:before="240" w:line="360" w:lineRule="auto"/>
        <w:ind w:right="51"/>
        <w:jc w:val="both"/>
        <w:rPr>
          <w:rFonts w:ascii="Palatino Linotype" w:eastAsia="Palatino Linotype" w:hAnsi="Palatino Linotype" w:cs="Palatino Linotype"/>
          <w:i/>
          <w:sz w:val="22"/>
          <w:szCs w:val="22"/>
        </w:rPr>
      </w:pPr>
    </w:p>
    <w:p w14:paraId="32694032" w14:textId="77777777" w:rsidR="00E16F98" w:rsidRPr="009045F1" w:rsidRDefault="000E36D0">
      <w:pPr>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Es decir,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a través de su Comité de Transparencia, deberá elaborar acuerdo que contenga un razonamiento lógico con el que se demuestre que la información que se testa de las versiones públicas que se sirva elaborar, encuadra en alguna de las hipótesis que contempla la Ley de la Materia en su artículo 143; ya que de lo contrario, se crearía la incertidumbre jurídica en relación a si lo entregado es formalmente una versión pública, o un documento ilegible, incompleto o tachado; en otras palabras si no se exponen de manera puntual las razones de la versión pública de la documentación entregada se estaría violentando el derecho de acceso a la información de la parte solicitante.</w:t>
      </w:r>
    </w:p>
    <w:p w14:paraId="0AD09649"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Sobre el RFC, dada la naturaleza de la información que se ordena, es importante resaltar que, si bien este Instituto ha sostenido que el RFC y domicilio de las personas físicas debe ser testado por los Sujetos Obligados, en las versiones públicas </w:t>
      </w:r>
      <w:r w:rsidRPr="009045F1">
        <w:rPr>
          <w:rFonts w:ascii="Palatino Linotype" w:eastAsia="Palatino Linotype" w:hAnsi="Palatino Linotype" w:cs="Palatino Linotype"/>
        </w:rPr>
        <w:lastRenderedPageBreak/>
        <w:t>de los documentos que elaboren para atender las solicitudes de información pública, lo cierto es que, tratándose de proveedores, prestadores de servicios o contratistas, dichos datos no deben ser suprimidos.</w:t>
      </w:r>
    </w:p>
    <w:p w14:paraId="7F221302"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En razón de que el domicilio fiscal, de acuerdo a lo señalado en el artículo 2.21 del Código Civil del Estado de México, el domicilio de las personas morales, es aquel donde se halle su administración, o bien, las sucursales que operen en lugares distintos de donde radica la casa matriz. Además, respecto al domicilio fiscal, resulta necesario traer el artículo 10 del Código Fiscal de la Federación, que establece que tratándose de personas morales, el domicilio fiscal corresponderá al local donde se encuentra la administración principal del negocio. Ahora bien, en el caso de que el domicilio corresponda al lugar donde realiza sus actividades empresariales, como es el caso de las personas morales, se considera necesario traer a colación, los formatos de los Lineamientos técnicos generales para la publicación, homologación y estandarización de la información de las obligaciones establecidas en el título quinto y en la fracción IV del artículo 31 de la Ley General de Transparencia y Acceso a la Información Pública, que deben de difundir los sujetos obligados en los portales de Internet y en la Plataforma Nacional de Transparencia, tal como se muestran a continuación: </w:t>
      </w:r>
    </w:p>
    <w:p w14:paraId="59401F2C"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noProof/>
          <w:lang w:val="es-MX"/>
        </w:rPr>
        <w:lastRenderedPageBreak/>
        <w:drawing>
          <wp:inline distT="0" distB="0" distL="0" distR="0" wp14:anchorId="1DB375F3" wp14:editId="08C0B35D">
            <wp:extent cx="5664200" cy="1257300"/>
            <wp:effectExtent l="0" t="0" r="0" b="0"/>
            <wp:docPr id="282" name="image5.png"/>
            <wp:cNvGraphicFramePr/>
            <a:graphic xmlns:a="http://schemas.openxmlformats.org/drawingml/2006/main">
              <a:graphicData uri="http://schemas.openxmlformats.org/drawingml/2006/picture">
                <pic:pic xmlns:pic="http://schemas.openxmlformats.org/drawingml/2006/picture">
                  <pic:nvPicPr>
                    <pic:cNvPr id="0" name="image5.png"/>
                    <pic:cNvPicPr preferRelativeResize="0"/>
                  </pic:nvPicPr>
                  <pic:blipFill>
                    <a:blip r:embed="rId14"/>
                    <a:srcRect l="43210" t="71135" r="28792" b="14952"/>
                    <a:stretch>
                      <a:fillRect/>
                    </a:stretch>
                  </pic:blipFill>
                  <pic:spPr>
                    <a:xfrm>
                      <a:off x="0" y="0"/>
                      <a:ext cx="5664200" cy="1257300"/>
                    </a:xfrm>
                    <a:prstGeom prst="rect">
                      <a:avLst/>
                    </a:prstGeom>
                    <a:ln/>
                  </pic:spPr>
                </pic:pic>
              </a:graphicData>
            </a:graphic>
          </wp:inline>
        </w:drawing>
      </w:r>
    </w:p>
    <w:p w14:paraId="0BF8C71C"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Como se logra observar, es obligación de transparencia proporcionar el domicilio fiscal de los proveedores, por lo que, se considera que dicho dato, al corresponder a un local o al lugar donde realiza la persona moral sus actividades empresariales, es que guarda la naturaleza de público. De tal suerte que, tratándose de proveedores (jurídico-colectivas), el domicilio fiscal, no actualiza la causal de clasificación, establecida en el artículo 143, fracción I de la Ley de Transparencia y Acceso a la Información Pública del Estado de México y Municipios.</w:t>
      </w:r>
    </w:p>
    <w:p w14:paraId="61FB34C4"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t>Ello se debe a que, del ejercicio de ponderación entre el derecho a la protección de datos personales con el derecho de acceso a la información pública, es de mayor trascendencia el que cualquier persona pueda conocer en qué se gastan los recursos públicos, puesto que se trata de erogaciones que realiza un órgano del Estado con base en los recursos que encuentran su origen en mayor medida en las contribuciones aportados por los gobernados, por lo que debe transparentarse su ejercicio.</w:t>
      </w:r>
    </w:p>
    <w:p w14:paraId="7D243ADC" w14:textId="77777777" w:rsidR="00E16F98" w:rsidRPr="009045F1" w:rsidRDefault="000E36D0">
      <w:pPr>
        <w:spacing w:before="240" w:after="240" w:line="360" w:lineRule="auto"/>
        <w:ind w:right="50"/>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Además, las personas físicas que realicen las actividades contratadas por las instituciones, renuncian implícitamente a una parte de su derecho a la intimidad al obtener beneficios y lucros de los recursos públicos por dicha contratación, por lo que no puede considerarse como información clasificada lo relativo a su nombre, registro federal de contribuyentes y domicilio fiscal, atento a que dicha información es la que puede generar certeza en los gobernados en que se está ejerciendo debidamente el presupuesto.</w:t>
      </w:r>
    </w:p>
    <w:p w14:paraId="71F30D32"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Al respecto, se destaca que la versión pública que elabore 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debe cumplir con las formalidades exigidas en la Ley; es decir, resulta necesario que el Comité de Transparencia del Sujeto Obligado emita el Acuerdo de Clasificación correspondiente debidamente fundado y motivado, que sustente la versión pública, el cual deberá cumplir cabalmente con las formalidades previstas en el artículo 137 de la Ley de Transparencia y Acceso a la Información Pública del Estado de México y Municipios, ya expuesto; así como con los numerales aplicables de los </w:t>
      </w:r>
      <w:r w:rsidRPr="009045F1">
        <w:rPr>
          <w:rFonts w:ascii="Palatino Linotype" w:eastAsia="Palatino Linotype" w:hAnsi="Palatino Linotype" w:cs="Palatino Linotype"/>
          <w:b/>
        </w:rPr>
        <w:t>LINEAMIENTOS GENERALES EN MATERIA DE CLASIFICACIÓN Y DESCLASIFICACIÓN DE LA INFORMACIÓN, ASÍ COMO PARA LA ELABORACIÓN DE VERSIONES PÚBLICAS</w:t>
      </w:r>
      <w:r w:rsidRPr="009045F1">
        <w:rPr>
          <w:rFonts w:ascii="Palatino Linotype" w:eastAsia="Palatino Linotype" w:hAnsi="Palatino Linotype" w:cs="Palatino Linotype"/>
        </w:rPr>
        <w:t>, publicados en el Diario Oficial de la Federación en fecha dieciocho de noviembre del año dos mil veintidós, mediante Acuerdo del Consejo Nacional del Sistema Nacional de Transparencia, Acceso a la Información Pública y Protección de Datos Personales, que literalmente expresan:</w:t>
      </w:r>
    </w:p>
    <w:p w14:paraId="144E19FF" w14:textId="77777777" w:rsidR="00E16F98" w:rsidRPr="009045F1" w:rsidRDefault="00E16F98">
      <w:pPr>
        <w:ind w:left="709" w:right="709"/>
        <w:jc w:val="both"/>
        <w:rPr>
          <w:rFonts w:ascii="Palatino Linotype" w:eastAsia="Palatino Linotype" w:hAnsi="Palatino Linotype" w:cs="Palatino Linotype"/>
          <w:b/>
          <w:i/>
          <w:sz w:val="22"/>
          <w:szCs w:val="22"/>
        </w:rPr>
      </w:pPr>
    </w:p>
    <w:p w14:paraId="13481598"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“Lineamientos Generales en materia de Clasificación y Desclasificación de la Información, así como para la elaboración de Versiones Públicas</w:t>
      </w:r>
    </w:p>
    <w:p w14:paraId="4F712669"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w:t>
      </w:r>
      <w:r w:rsidRPr="009045F1">
        <w:rPr>
          <w:rFonts w:ascii="Palatino Linotype" w:eastAsia="Palatino Linotype" w:hAnsi="Palatino Linotype" w:cs="Palatino Linotype"/>
          <w:b/>
          <w:i/>
          <w:sz w:val="22"/>
          <w:szCs w:val="22"/>
        </w:rPr>
        <w:t>Segundo.-</w:t>
      </w:r>
      <w:r w:rsidRPr="009045F1">
        <w:rPr>
          <w:rFonts w:ascii="Palatino Linotype" w:eastAsia="Palatino Linotype" w:hAnsi="Palatino Linotype" w:cs="Palatino Linotype"/>
          <w:i/>
          <w:sz w:val="22"/>
          <w:szCs w:val="22"/>
        </w:rPr>
        <w:t xml:space="preserve"> Para efectos de los presentes Lineamientos Generales, se entenderá por:</w:t>
      </w:r>
    </w:p>
    <w:p w14:paraId="42DB5AD8"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XVIII.</w:t>
      </w:r>
      <w:r w:rsidRPr="009045F1">
        <w:rPr>
          <w:rFonts w:ascii="Palatino Linotype" w:eastAsia="Palatino Linotype" w:hAnsi="Palatino Linotype" w:cs="Palatino Linotype"/>
          <w:i/>
          <w:sz w:val="22"/>
          <w:szCs w:val="22"/>
        </w:rPr>
        <w:t xml:space="preserve"> </w:t>
      </w:r>
      <w:r w:rsidRPr="009045F1">
        <w:rPr>
          <w:rFonts w:ascii="Palatino Linotype" w:eastAsia="Palatino Linotype" w:hAnsi="Palatino Linotype" w:cs="Palatino Linotype"/>
          <w:b/>
          <w:i/>
          <w:sz w:val="22"/>
          <w:szCs w:val="22"/>
        </w:rPr>
        <w:t>Versión pública:</w:t>
      </w:r>
      <w:r w:rsidRPr="009045F1">
        <w:rPr>
          <w:rFonts w:ascii="Palatino Linotype" w:eastAsia="Palatino Linotype" w:hAnsi="Palatino Linotype" w:cs="Palatino Linotype"/>
          <w:i/>
          <w:sz w:val="22"/>
          <w:szCs w:val="22"/>
        </w:rPr>
        <w:t xml:space="preserve"> El documento a partir del que se otorga acceso a la información, en el que se testan partes o secciones clasificadas, indicando el contenido de éstas de manera genérica, </w:t>
      </w:r>
      <w:r w:rsidRPr="009045F1">
        <w:rPr>
          <w:rFonts w:ascii="Palatino Linotype" w:eastAsia="Palatino Linotype" w:hAnsi="Palatino Linotype" w:cs="Palatino Linotype"/>
          <w:b/>
          <w:i/>
          <w:sz w:val="22"/>
          <w:szCs w:val="22"/>
          <w:u w:val="single"/>
        </w:rPr>
        <w:t>fundando y motivando la</w:t>
      </w:r>
      <w:r w:rsidRPr="009045F1">
        <w:rPr>
          <w:rFonts w:ascii="Palatino Linotype" w:eastAsia="Palatino Linotype" w:hAnsi="Palatino Linotype" w:cs="Palatino Linotype"/>
          <w:i/>
          <w:sz w:val="22"/>
          <w:szCs w:val="22"/>
        </w:rPr>
        <w:t xml:space="preserve"> reserva o </w:t>
      </w:r>
      <w:r w:rsidRPr="009045F1">
        <w:rPr>
          <w:rFonts w:ascii="Palatino Linotype" w:eastAsia="Palatino Linotype" w:hAnsi="Palatino Linotype" w:cs="Palatino Linotype"/>
          <w:b/>
          <w:i/>
          <w:sz w:val="22"/>
          <w:szCs w:val="22"/>
          <w:u w:val="single"/>
        </w:rPr>
        <w:t>confidencialidad</w:t>
      </w:r>
      <w:r w:rsidRPr="009045F1">
        <w:rPr>
          <w:rFonts w:ascii="Palatino Linotype" w:eastAsia="Palatino Linotype" w:hAnsi="Palatino Linotype" w:cs="Palatino Linotype"/>
          <w:i/>
          <w:sz w:val="22"/>
          <w:szCs w:val="22"/>
        </w:rPr>
        <w:t>, a través de la resolución que para tal efecto emita el Comité de Transparencia.</w:t>
      </w:r>
    </w:p>
    <w:p w14:paraId="7438DBFE"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Cuarto.</w:t>
      </w:r>
      <w:r w:rsidRPr="009045F1">
        <w:rPr>
          <w:rFonts w:ascii="Palatino Linotype" w:eastAsia="Palatino Linotype" w:hAnsi="Palatino Linotype" w:cs="Palatino Linotype"/>
          <w:i/>
          <w:sz w:val="22"/>
          <w:szCs w:val="22"/>
        </w:rPr>
        <w:t xml:space="preserve"> Para clasificar la información como reservada o confidencial, de manera total o parcial, el titular del área del sujeto obligado deberá atender lo dispuesto por el Título Sexto de la Ley General, en relación con las disposiciones contenidas en los presentes lineamientos, así como en aquellas disposiciones legales aplicables a la materia en el ámbito de sus respectivas competencias, en tanto estas últimas no contravengan lo dispuesto en la Ley General.</w:t>
      </w:r>
    </w:p>
    <w:p w14:paraId="445CA313"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Los sujetos obligados deberán aplicar, de manera estricta, las excepciones al derecho de acceso a la información y sólo podrán invocarlas cuando acrediten su procedencia.</w:t>
      </w:r>
    </w:p>
    <w:p w14:paraId="30E8D6DC"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Quinto.</w:t>
      </w:r>
      <w:r w:rsidRPr="009045F1">
        <w:rPr>
          <w:rFonts w:ascii="Palatino Linotype" w:eastAsia="Palatino Linotype" w:hAnsi="Palatino Linotype" w:cs="Palatino Linotype"/>
          <w:i/>
          <w:sz w:val="22"/>
          <w:szCs w:val="22"/>
        </w:rPr>
        <w:t xml:space="preserve"> La carga de la prueba para justificar toda negativa de acceso a la información, por actualizarse cualquiera de los supuestos de clasificación previstos en la Ley General, la Ley Federal y leyes estatales, corresponderá a los sujetos obligados, por lo que deberán fundar y motivar debidamente la clasificación de la información ante una solicitud de acceso o al momento en que generen versiones públicas para dar cumplimiento a las obligaciones de transparencia, observando lo dispuesto en la Ley General y las demás disposiciones aplicables en la materia.</w:t>
      </w:r>
    </w:p>
    <w:p w14:paraId="6F879048"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w:t>
      </w:r>
    </w:p>
    <w:p w14:paraId="3EB71C9B"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Séptimo.</w:t>
      </w:r>
      <w:r w:rsidRPr="009045F1">
        <w:rPr>
          <w:rFonts w:ascii="Palatino Linotype" w:eastAsia="Palatino Linotype" w:hAnsi="Palatino Linotype" w:cs="Palatino Linotype"/>
          <w:i/>
          <w:sz w:val="22"/>
          <w:szCs w:val="22"/>
        </w:rPr>
        <w:t xml:space="preserve"> La clasificación de la información se llevará a cabo en el momento en que:</w:t>
      </w:r>
    </w:p>
    <w:p w14:paraId="11D1494B"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I.</w:t>
      </w:r>
      <w:r w:rsidRPr="009045F1">
        <w:rPr>
          <w:rFonts w:ascii="Palatino Linotype" w:eastAsia="Palatino Linotype" w:hAnsi="Palatino Linotype" w:cs="Palatino Linotype"/>
          <w:i/>
          <w:sz w:val="22"/>
          <w:szCs w:val="22"/>
        </w:rPr>
        <w:t xml:space="preserve"> Se reciba una solicitud de acceso a la información;</w:t>
      </w:r>
    </w:p>
    <w:p w14:paraId="24F573B3" w14:textId="77777777" w:rsidR="00E16F98" w:rsidRPr="009045F1" w:rsidRDefault="000E36D0">
      <w:pPr>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II.</w:t>
      </w:r>
      <w:r w:rsidRPr="009045F1">
        <w:rPr>
          <w:rFonts w:ascii="Palatino Linotype" w:eastAsia="Palatino Linotype" w:hAnsi="Palatino Linotype" w:cs="Palatino Linotype"/>
          <w:i/>
          <w:sz w:val="22"/>
          <w:szCs w:val="22"/>
        </w:rPr>
        <w:t xml:space="preserve"> Se  determine mediante resolución del Comité de Transparencia, el órgano garante </w:t>
      </w:r>
    </w:p>
    <w:p w14:paraId="77646F5E"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competente, o en cumplimiento a una sentencia del Poder Judicial; o</w:t>
      </w:r>
    </w:p>
    <w:p w14:paraId="63116514"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III.</w:t>
      </w:r>
      <w:r w:rsidRPr="009045F1">
        <w:rPr>
          <w:rFonts w:ascii="Palatino Linotype" w:eastAsia="Palatino Linotype" w:hAnsi="Palatino Linotype" w:cs="Palatino Linotype"/>
          <w:i/>
          <w:sz w:val="22"/>
          <w:szCs w:val="22"/>
        </w:rPr>
        <w:t xml:space="preserve"> Se generen versiones públicas para dar cumplimiento a las obligaciones de transparencia previstas en la Ley General, la Ley Federal y las correspondientes de las entidades federativas.</w:t>
      </w:r>
    </w:p>
    <w:p w14:paraId="2D5F9AE4"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lastRenderedPageBreak/>
        <w:t>Los titulares de las áreas deberán revisar la clasificación al momento de la recepción de una solicitud de acceso a la información, para verificar si encuadra en una causal de reserva o de confidencialidad.</w:t>
      </w:r>
    </w:p>
    <w:p w14:paraId="47C5E283"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Octavo.</w:t>
      </w:r>
      <w:r w:rsidRPr="009045F1">
        <w:rPr>
          <w:rFonts w:ascii="Palatino Linotype" w:eastAsia="Palatino Linotype" w:hAnsi="Palatino Linotype" w:cs="Palatino Linotype"/>
          <w:i/>
          <w:sz w:val="22"/>
          <w:szCs w:val="22"/>
        </w:rPr>
        <w:t xml:space="preserve"> Para fundar la clasificación de la información se debe señalar el artículo, fracción, inciso, párrafo o numeral de la ley o tratado internacional suscrito por el Estado mexicano que expresamente le otorga el carácter de reservada o confidencial.</w:t>
      </w:r>
    </w:p>
    <w:p w14:paraId="0D8F9296"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Para motivar la clasificación se deberán señalar las razones o circunstancias especiales que lo llevaron a concluir que el caso particular se ajusta al supuesto previsto por la norma legal invocada como fundamento.</w:t>
      </w:r>
    </w:p>
    <w:p w14:paraId="57F7338C" w14:textId="77777777" w:rsidR="00E16F98" w:rsidRPr="009045F1" w:rsidRDefault="000E36D0">
      <w:pPr>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En caso de referirse a información reservada, la motivación de la clasificación deberá comprender el análisis de la prueba de daño a que hace referencia el artículo 104 de la Ley General, en relación con el artículo trigésimo tercero de los presentes lineamientos, así como las circunstancias que justifican el establecimiento de determinado plazo de reserva. </w:t>
      </w:r>
    </w:p>
    <w:p w14:paraId="41815E65"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Noveno.</w:t>
      </w:r>
      <w:r w:rsidRPr="009045F1">
        <w:rPr>
          <w:rFonts w:ascii="Palatino Linotype" w:eastAsia="Palatino Linotype" w:hAnsi="Palatino Linotype" w:cs="Palatino Linotype"/>
          <w:i/>
          <w:sz w:val="22"/>
          <w:szCs w:val="22"/>
        </w:rPr>
        <w:t xml:space="preserve"> En los casos en que se solicite un documento o expediente que contenga partes o secciones clasificadas, los titulares de las áreas deberán elaborar una versión pública fundando y motivando la clasificación de las partes o secciones que se testen, siguiendo los procedimientos establecidos en el Capítulo IX de los presentes lineamientos.</w:t>
      </w:r>
    </w:p>
    <w:p w14:paraId="1B0F2F0C" w14:textId="77777777" w:rsidR="00E16F98" w:rsidRPr="009045F1" w:rsidRDefault="000E36D0">
      <w:pPr>
        <w:ind w:left="709" w:right="709"/>
        <w:jc w:val="both"/>
      </w:pPr>
      <w:r w:rsidRPr="009045F1">
        <w:rPr>
          <w:rFonts w:ascii="Palatino Linotype" w:eastAsia="Palatino Linotype" w:hAnsi="Palatino Linotype" w:cs="Palatino Linotype"/>
          <w:b/>
          <w:i/>
          <w:sz w:val="22"/>
          <w:szCs w:val="22"/>
        </w:rPr>
        <w:t>Décimo.</w:t>
      </w:r>
      <w:r w:rsidRPr="009045F1">
        <w:rPr>
          <w:rFonts w:ascii="Palatino Linotype" w:eastAsia="Palatino Linotype" w:hAnsi="Palatino Linotype" w:cs="Palatino Linotype"/>
          <w:i/>
          <w:sz w:val="22"/>
          <w:szCs w:val="22"/>
        </w:rPr>
        <w:t xml:space="preserve"> Los titulares de las áreas, deberán tener conocimiento y llevar un registro del personal que, por la naturaleza de sus atribuciones, tenga acceso a los documentos clasificados. Asimismo, deberán asegurarse de que dicho personal cuente con los conocimientos técnicos y legales que le permitan manejar adecuadamente la información clasificada, en los términos de la Ley General de Archivos, Lineamientos para la Organización y Conservación de Archivos y demás normatividad aplicable.</w:t>
      </w:r>
    </w:p>
    <w:p w14:paraId="308C977B"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En ausencia de los titulares de las áreas, la información será clasificada o desclasificada por la persona que lo supla, en términos de la normativa que rija la actuación del sujeto obligado.</w:t>
      </w:r>
    </w:p>
    <w:p w14:paraId="1C9C2566" w14:textId="77777777" w:rsidR="00E16F98" w:rsidRPr="009045F1" w:rsidRDefault="000E36D0">
      <w:pPr>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Décimo primero.</w:t>
      </w:r>
      <w:r w:rsidRPr="009045F1">
        <w:rPr>
          <w:rFonts w:ascii="Palatino Linotype" w:eastAsia="Palatino Linotype" w:hAnsi="Palatino Linotype" w:cs="Palatino Linotype"/>
          <w:i/>
          <w:sz w:val="22"/>
          <w:szCs w:val="22"/>
        </w:rPr>
        <w:t xml:space="preserve"> En el intercambio de información entre sujetos obligados para el ejercicio de sus atribuciones, los documentos que se encuentren clasificados deberán llevar la leyenda correspondiente de conformidad con lo dispuesto en el Capítulo VIII de los presentes lineamientos.</w:t>
      </w:r>
    </w:p>
    <w:p w14:paraId="2D537A1F" w14:textId="77777777" w:rsidR="00E16F98" w:rsidRPr="009045F1" w:rsidRDefault="00E16F98">
      <w:pPr>
        <w:ind w:right="709"/>
        <w:jc w:val="both"/>
      </w:pPr>
    </w:p>
    <w:p w14:paraId="7680B659" w14:textId="77777777" w:rsidR="00E16F98" w:rsidRPr="009045F1" w:rsidRDefault="000E36D0">
      <w:pPr>
        <w:ind w:left="709" w:right="709"/>
        <w:jc w:val="both"/>
      </w:pPr>
      <w:r w:rsidRPr="009045F1">
        <w:rPr>
          <w:rFonts w:ascii="Palatino Linotype" w:eastAsia="Palatino Linotype" w:hAnsi="Palatino Linotype" w:cs="Palatino Linotype"/>
          <w:i/>
          <w:sz w:val="22"/>
          <w:szCs w:val="22"/>
        </w:rPr>
        <w:t>[…]</w:t>
      </w:r>
    </w:p>
    <w:p w14:paraId="42E07249" w14:textId="77777777" w:rsidR="00E16F98" w:rsidRPr="009045F1" w:rsidRDefault="000E36D0">
      <w:pPr>
        <w:ind w:left="709" w:right="709"/>
        <w:jc w:val="center"/>
      </w:pPr>
      <w:r w:rsidRPr="009045F1">
        <w:rPr>
          <w:rFonts w:ascii="Palatino Linotype" w:eastAsia="Palatino Linotype" w:hAnsi="Palatino Linotype" w:cs="Palatino Linotype"/>
          <w:b/>
          <w:i/>
          <w:sz w:val="22"/>
          <w:szCs w:val="22"/>
        </w:rPr>
        <w:lastRenderedPageBreak/>
        <w:t>CAPÍTULO VIII</w:t>
      </w:r>
    </w:p>
    <w:p w14:paraId="378D4166" w14:textId="77777777" w:rsidR="00E16F98" w:rsidRPr="009045F1" w:rsidRDefault="000E36D0">
      <w:pPr>
        <w:spacing w:after="160"/>
        <w:ind w:left="709" w:right="709"/>
        <w:jc w:val="center"/>
        <w:rPr>
          <w:rFonts w:ascii="Palatino Linotype" w:eastAsia="Palatino Linotype" w:hAnsi="Palatino Linotype" w:cs="Palatino Linotype"/>
          <w:b/>
          <w:i/>
          <w:sz w:val="22"/>
          <w:szCs w:val="22"/>
        </w:rPr>
      </w:pPr>
      <w:r w:rsidRPr="009045F1">
        <w:rPr>
          <w:rFonts w:ascii="Palatino Linotype" w:eastAsia="Palatino Linotype" w:hAnsi="Palatino Linotype" w:cs="Palatino Linotype"/>
          <w:b/>
          <w:i/>
          <w:sz w:val="22"/>
          <w:szCs w:val="22"/>
        </w:rPr>
        <w:t>DE LOS ELEMENTOS PARA LA CLASIFICACIÓN</w:t>
      </w:r>
    </w:p>
    <w:p w14:paraId="4112A897"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Quincuagésimo</w:t>
      </w:r>
      <w:r w:rsidRPr="009045F1">
        <w:rPr>
          <w:rFonts w:ascii="Palatino Linotype" w:eastAsia="Palatino Linotype" w:hAnsi="Palatino Linotype" w:cs="Palatino Linotype"/>
          <w:i/>
          <w:sz w:val="22"/>
          <w:szCs w:val="22"/>
        </w:rPr>
        <w:t>. Los titulares de las áreas de los sujetos obligados podrán establecer sus propios modelos o formatos para la elaboración de versiones públicas de documentos o expedientes, siempre y cuando cumplan lo establecido en los presentes Lineamientos, así como en las correspondientes Leyes Generales.</w:t>
      </w:r>
    </w:p>
    <w:p w14:paraId="03DA8E16"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Quincuagésimo primero</w:t>
      </w:r>
      <w:r w:rsidRPr="009045F1">
        <w:rPr>
          <w:rFonts w:ascii="Palatino Linotype" w:eastAsia="Palatino Linotype" w:hAnsi="Palatino Linotype" w:cs="Palatino Linotype"/>
          <w:i/>
          <w:sz w:val="22"/>
          <w:szCs w:val="22"/>
        </w:rPr>
        <w:t>. Toda acta del Comité de Transparencia deberá contener:</w:t>
      </w:r>
    </w:p>
    <w:p w14:paraId="7289A4AD"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I. El número de sesión y fecha; </w:t>
      </w:r>
    </w:p>
    <w:p w14:paraId="257F7404"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 El nombre del área que solicitó la clasificación de información;</w:t>
      </w:r>
    </w:p>
    <w:p w14:paraId="259277F9"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III. La fundamentación legal y motivación correspondiente;</w:t>
      </w:r>
    </w:p>
    <w:p w14:paraId="7F115FF9"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IV. La resolución o resoluciones aprobadas; y</w:t>
      </w:r>
    </w:p>
    <w:p w14:paraId="589BCF76"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V. La rúbrica o firma digital de cada integrante del Comité de Transparencia. </w:t>
      </w:r>
    </w:p>
    <w:p w14:paraId="6C72D362"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Las resoluciones del Comité en las que se haya determinado confirmar o modificar la clasificación de información pública como reservada, deberán incluir, cuando menos:</w:t>
      </w:r>
    </w:p>
    <w:p w14:paraId="0C243790"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 Los motivos y razonamientos que sustenten la confirmación o modificación de la prueba de daño;</w:t>
      </w:r>
    </w:p>
    <w:p w14:paraId="64744496"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 Descripción de las partes o secciones reservadas, en caso de clasificación parcial;</w:t>
      </w:r>
    </w:p>
    <w:p w14:paraId="5B780DF3"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III. El periodo por el que mantendrá su clasificación y fecha de expiración; y</w:t>
      </w:r>
    </w:p>
    <w:p w14:paraId="27BC0CDA"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IV. El nombre del titular y área encargada de realizar la versión pública del documento, en su caso.</w:t>
      </w:r>
    </w:p>
    <w:p w14:paraId="7445DE69"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 xml:space="preserve">En los casos en que se clasifique la información como reservada siempre se entregará o anexará la prueba de daño con la respuesta al solicitante. </w:t>
      </w:r>
    </w:p>
    <w:p w14:paraId="37724C78"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los casos de resoluciones del Comité de Transparencia en las que se confirme la clasificación de información confidencial solo se deberán de identificar los tipos de datos protegidos, de conformidad con el lineamiento trigésimo octavo.</w:t>
      </w:r>
    </w:p>
    <w:p w14:paraId="36EC67D8"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lastRenderedPageBreak/>
        <w:t>Quincuagésimo segundo</w:t>
      </w:r>
      <w:r w:rsidRPr="009045F1">
        <w:rPr>
          <w:rFonts w:ascii="Palatino Linotype" w:eastAsia="Palatino Linotype" w:hAnsi="Palatino Linotype" w:cs="Palatino Linotype"/>
          <w:i/>
          <w:sz w:val="22"/>
          <w:szCs w:val="22"/>
        </w:rPr>
        <w:t>. Para la clasificación y elaboración de versiones públicas de documentos que contengan información clasificada como reservada o confidencial, las áreas de los sujetos obligados deberán tomar las medidas pertinentes tendientes a asegurar que el espacio utilizado para testar la información no podrá ser empleado para la sobreposición de contenido distinto al autorizado por el Comité.</w:t>
      </w:r>
    </w:p>
    <w:p w14:paraId="2658918D"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el caso específico de la clasificación y elaboración de versiones públicas de documentos que contengan información confidencial, las áreas de los sujetos obligados deberán:</w:t>
      </w:r>
    </w:p>
    <w:p w14:paraId="2ED49E06"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 Fijar la fecha en que se elaboró la versión pública y la fecha en la cual el Comité de Transparencia confirmó dicha versión;</w:t>
      </w:r>
    </w:p>
    <w:p w14:paraId="2DBF10D1"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 Señalar dentro del documento el tipo de información confidencial que fue testada en cada caso específico, de conformidad con el lineamiento trigésimo octavo; y</w:t>
      </w:r>
    </w:p>
    <w:p w14:paraId="15F4E417"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III. Señalar las personas o instancias autorizadas a acceder a la información clasificada.</w:t>
      </w:r>
    </w:p>
    <w:p w14:paraId="6EDF08BD"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los documentos de difusión electrónica, señalar en la primera hoja y en el nombre del archivo, que la versión pública corresponde a un documento que contiene información confidencial.</w:t>
      </w:r>
    </w:p>
    <w:p w14:paraId="7D5F3850"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b/>
          <w:i/>
          <w:sz w:val="22"/>
          <w:szCs w:val="22"/>
        </w:rPr>
        <w:t>…</w:t>
      </w:r>
    </w:p>
    <w:p w14:paraId="4900466E" w14:textId="77777777" w:rsidR="00E16F98" w:rsidRPr="009045F1" w:rsidRDefault="000E36D0">
      <w:pPr>
        <w:spacing w:after="160"/>
        <w:ind w:left="709" w:right="709"/>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Quincuagésimo cuarto. Cuando el Comité de Transparencia confirme la clasificación de documentos reservados y/o confidenciales, sea total o parcialmente; se deberá anexar al expediente la resolución que determinó la clasificación o, en su defecto, identificar en la carátula del expediente del cual formen parte, la fecha y sesión del Comité de Transparencia en la que se confirmó dicha clasificación.</w:t>
      </w:r>
    </w:p>
    <w:p w14:paraId="2A9ABD0F" w14:textId="77777777" w:rsidR="00E16F98" w:rsidRPr="009045F1" w:rsidRDefault="000E36D0">
      <w:pPr>
        <w:spacing w:after="160"/>
        <w:ind w:left="709" w:right="709"/>
        <w:jc w:val="both"/>
      </w:pPr>
      <w:r w:rsidRPr="009045F1">
        <w:rPr>
          <w:rFonts w:ascii="Palatino Linotype" w:eastAsia="Palatino Linotype" w:hAnsi="Palatino Linotype" w:cs="Palatino Linotype"/>
          <w:i/>
          <w:sz w:val="22"/>
          <w:szCs w:val="22"/>
        </w:rPr>
        <w:t xml:space="preserve">Quincuagésimo quinto. Cada área del sujeto obligado podrá designar formalmente a una o más personas como responsables del </w:t>
      </w:r>
      <w:proofErr w:type="spellStart"/>
      <w:r w:rsidRPr="009045F1">
        <w:rPr>
          <w:rFonts w:ascii="Palatino Linotype" w:eastAsia="Palatino Linotype" w:hAnsi="Palatino Linotype" w:cs="Palatino Linotype"/>
          <w:i/>
          <w:sz w:val="22"/>
          <w:szCs w:val="22"/>
        </w:rPr>
        <w:t>testado</w:t>
      </w:r>
      <w:proofErr w:type="spellEnd"/>
      <w:r w:rsidRPr="009045F1">
        <w:rPr>
          <w:rFonts w:ascii="Palatino Linotype" w:eastAsia="Palatino Linotype" w:hAnsi="Palatino Linotype" w:cs="Palatino Linotype"/>
          <w:i/>
          <w:sz w:val="22"/>
          <w:szCs w:val="22"/>
        </w:rPr>
        <w:t>, que sean encargadas de la adecuada elaboración o supervisión de las versiones públicas de los documentos o expedientes, verificando que cumplan con los requisitos señalados en las Leyes Generales, los presentes Lineamientos y demás normativa aplicable antes de su confirmación por el Comité de Transparencia</w:t>
      </w:r>
      <w:r w:rsidRPr="009045F1">
        <w:t>.</w:t>
      </w:r>
    </w:p>
    <w:p w14:paraId="0D53ACCA"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Efectivamente, cuando se clasifica información como confidencial es importante someterlo al Comité de Transparencia, quien debe confirmar, modificar o revocar la clasificación.</w:t>
      </w:r>
    </w:p>
    <w:p w14:paraId="5E1867AB" w14:textId="77777777" w:rsidR="00E16F98" w:rsidRPr="009045F1" w:rsidRDefault="00E16F98">
      <w:pPr>
        <w:spacing w:line="360" w:lineRule="auto"/>
        <w:jc w:val="both"/>
        <w:rPr>
          <w:rFonts w:ascii="Palatino Linotype" w:eastAsia="Palatino Linotype" w:hAnsi="Palatino Linotype" w:cs="Palatino Linotype"/>
        </w:rPr>
      </w:pPr>
    </w:p>
    <w:p w14:paraId="694E045A" w14:textId="77777777" w:rsidR="00E16F98" w:rsidRPr="009045F1" w:rsidRDefault="000E36D0">
      <w:pPr>
        <w:shd w:val="clear" w:color="auto" w:fill="FFFFFF"/>
        <w:spacing w:line="360" w:lineRule="auto"/>
        <w:ind w:right="51"/>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Por lo tanto, la entrega de documentos en su versión pública debe acompañarse necesariamente del Acuerdo del Comité de Transparencia que la sustente, en el que se expongan los fundamentos y razonamientos que llevaron al Sujeto Obligado a testar, suprimir o eliminar datos de dicho soporte documental, ya que no hacerlo implica que lo entregado no es legal ni formalmente una versión pública, sino más bien una documentación ilegible, incompleta o tachada; pues no señalar las razones por las que no se aprecian determinados datos -ya sea porque se testan o suprimen- deja al solicitante en estado de incertidumbre, al no conocer o comprender porque no aparecen en la documentación respectiva, es decir, si no se exponen de manera puntual las razones de ello se estaría violentando desde un inicio el derecho de acceso a la información del solicitante, por lo que el acuerdo respectivo, deberá hacerse del conocimiento de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w:t>
      </w:r>
    </w:p>
    <w:p w14:paraId="7109ECD9" w14:textId="77777777" w:rsidR="00E16F98" w:rsidRPr="009045F1" w:rsidRDefault="00E16F98">
      <w:pPr>
        <w:shd w:val="clear" w:color="auto" w:fill="FFFFFF"/>
        <w:spacing w:line="360" w:lineRule="auto"/>
        <w:ind w:right="51"/>
        <w:jc w:val="both"/>
        <w:rPr>
          <w:rFonts w:ascii="Palatino Linotype" w:eastAsia="Palatino Linotype" w:hAnsi="Palatino Linotype" w:cs="Palatino Linotype"/>
        </w:rPr>
      </w:pPr>
    </w:p>
    <w:p w14:paraId="24D04036"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 xml:space="preserve">De este modo, como ha sido señalado en la presente resolución, en armonía entre los principios constitucionales de máxima publicidad y de protección de datos personales, la Ley de Transparencia y Acceso a la Información Pública del Estado de </w:t>
      </w:r>
      <w:r w:rsidRPr="009045F1">
        <w:rPr>
          <w:rFonts w:ascii="Palatino Linotype" w:eastAsia="Palatino Linotype" w:hAnsi="Palatino Linotype" w:cs="Palatino Linotype"/>
        </w:rPr>
        <w:lastRenderedPageBreak/>
        <w:t>México y Municipios permite la elaboración de versiones públicas en las que se suprima aquella información relacionada con la vida privada.</w:t>
      </w:r>
    </w:p>
    <w:p w14:paraId="643C295D" w14:textId="77777777" w:rsidR="00E16F98" w:rsidRPr="009045F1" w:rsidRDefault="00E16F98">
      <w:pPr>
        <w:spacing w:line="360" w:lineRule="auto"/>
        <w:jc w:val="both"/>
        <w:rPr>
          <w:rFonts w:ascii="Palatino Linotype" w:eastAsia="Palatino Linotype" w:hAnsi="Palatino Linotype" w:cs="Palatino Linotype"/>
        </w:rPr>
      </w:pPr>
    </w:p>
    <w:p w14:paraId="730BB524" w14:textId="77777777" w:rsidR="00E16F98" w:rsidRPr="009045F1" w:rsidRDefault="000E36D0">
      <w:pPr>
        <w:pBdr>
          <w:top w:val="nil"/>
          <w:left w:val="nil"/>
          <w:bottom w:val="nil"/>
          <w:right w:val="nil"/>
          <w:between w:val="nil"/>
        </w:pBdr>
        <w:shd w:val="clear" w:color="auto" w:fill="FFFFFF"/>
        <w:spacing w:after="20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t>Así, con fundamento en lo prescrito en los artículos 5 párrafos trigésimo segundo, trigésimo tercero y trigésimo cuarto de la Constitución Política del Estado Libre y Soberano de México; 2, fracción II; 29, 36 fracciones I y II; 176, 178, 181, 185 y 186 fracción II de la Ley de Transparencia y Acceso a la Información Pública del Estado de México y Municipios, este Pleno:</w:t>
      </w:r>
    </w:p>
    <w:p w14:paraId="2331168C" w14:textId="77777777" w:rsidR="00E16F98" w:rsidRPr="009045F1" w:rsidRDefault="000E36D0">
      <w:pPr>
        <w:widowControl w:val="0"/>
        <w:spacing w:line="360" w:lineRule="auto"/>
        <w:jc w:val="center"/>
        <w:rPr>
          <w:rFonts w:ascii="Palatino Linotype" w:eastAsia="Palatino Linotype" w:hAnsi="Palatino Linotype" w:cs="Palatino Linotype"/>
          <w:b/>
        </w:rPr>
      </w:pPr>
      <w:r w:rsidRPr="009045F1">
        <w:rPr>
          <w:rFonts w:ascii="Palatino Linotype" w:eastAsia="Palatino Linotype" w:hAnsi="Palatino Linotype" w:cs="Palatino Linotype"/>
          <w:b/>
        </w:rPr>
        <w:t>III. R E S U E L V E:</w:t>
      </w:r>
    </w:p>
    <w:p w14:paraId="2D3AC510" w14:textId="77777777" w:rsidR="00E16F98" w:rsidRPr="009045F1" w:rsidRDefault="00E16F98">
      <w:pPr>
        <w:spacing w:line="360" w:lineRule="auto"/>
        <w:jc w:val="both"/>
        <w:rPr>
          <w:rFonts w:ascii="Palatino Linotype" w:eastAsia="Palatino Linotype" w:hAnsi="Palatino Linotype" w:cs="Palatino Linotype"/>
          <w:b/>
          <w:u w:val="single"/>
        </w:rPr>
      </w:pPr>
    </w:p>
    <w:p w14:paraId="42A6C63D"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PRIMERO. </w:t>
      </w:r>
      <w:r w:rsidRPr="009045F1">
        <w:rPr>
          <w:rFonts w:ascii="Palatino Linotype" w:eastAsia="Palatino Linotype" w:hAnsi="Palatino Linotype" w:cs="Palatino Linotype"/>
        </w:rPr>
        <w:t>Se</w:t>
      </w:r>
      <w:r w:rsidRPr="009045F1">
        <w:t xml:space="preserve"> </w:t>
      </w:r>
      <w:r w:rsidRPr="009045F1">
        <w:rPr>
          <w:rFonts w:ascii="Palatino Linotype" w:eastAsia="Palatino Linotype" w:hAnsi="Palatino Linotype" w:cs="Palatino Linotype"/>
          <w:b/>
        </w:rPr>
        <w:t xml:space="preserve">REVOCA </w:t>
      </w:r>
      <w:r w:rsidRPr="009045F1">
        <w:rPr>
          <w:rFonts w:ascii="Palatino Linotype" w:eastAsia="Palatino Linotype" w:hAnsi="Palatino Linotype" w:cs="Palatino Linotype"/>
        </w:rPr>
        <w:t xml:space="preserve">la respuesta entregada por </w:t>
      </w:r>
      <w:r w:rsidRPr="009045F1">
        <w:rPr>
          <w:rFonts w:ascii="Palatino Linotype" w:eastAsia="Palatino Linotype" w:hAnsi="Palatino Linotype" w:cs="Palatino Linotype"/>
          <w:b/>
        </w:rPr>
        <w:t xml:space="preserve">EL SUJETO OBLIGADO </w:t>
      </w:r>
      <w:r w:rsidRPr="009045F1">
        <w:rPr>
          <w:rFonts w:ascii="Palatino Linotype" w:eastAsia="Palatino Linotype" w:hAnsi="Palatino Linotype" w:cs="Palatino Linotype"/>
        </w:rPr>
        <w:t xml:space="preserve">a la solicitud de información </w:t>
      </w:r>
      <w:r w:rsidRPr="009045F1">
        <w:rPr>
          <w:rFonts w:ascii="Palatino Linotype" w:eastAsia="Palatino Linotype" w:hAnsi="Palatino Linotype" w:cs="Palatino Linotype"/>
          <w:b/>
        </w:rPr>
        <w:t xml:space="preserve">00112/OASNAUCAL/IP/2024, </w:t>
      </w:r>
      <w:r w:rsidRPr="009045F1">
        <w:rPr>
          <w:rFonts w:ascii="Palatino Linotype" w:eastAsia="Palatino Linotype" w:hAnsi="Palatino Linotype" w:cs="Palatino Linotype"/>
        </w:rPr>
        <w:t xml:space="preserve">por resultar fundadas las razones o motivos de inconformidad hechos valer por </w:t>
      </w:r>
      <w:r w:rsidRPr="009045F1">
        <w:rPr>
          <w:rFonts w:ascii="Palatino Linotype" w:eastAsia="Palatino Linotype" w:hAnsi="Palatino Linotype" w:cs="Palatino Linotype"/>
          <w:b/>
        </w:rPr>
        <w:t xml:space="preserve">la parte RECURRENTE, </w:t>
      </w:r>
      <w:r w:rsidRPr="009045F1">
        <w:rPr>
          <w:rFonts w:ascii="Palatino Linotype" w:eastAsia="Palatino Linotype" w:hAnsi="Palatino Linotype" w:cs="Palatino Linotype"/>
        </w:rPr>
        <w:t xml:space="preserve">en el recurso de revisión </w:t>
      </w:r>
      <w:r w:rsidRPr="009045F1">
        <w:rPr>
          <w:rFonts w:ascii="Palatino Linotype" w:eastAsia="Palatino Linotype" w:hAnsi="Palatino Linotype" w:cs="Palatino Linotype"/>
          <w:b/>
        </w:rPr>
        <w:t>06754/INFOEM/IP/RR/2024,</w:t>
      </w:r>
      <w:r w:rsidRPr="009045F1">
        <w:rPr>
          <w:rFonts w:ascii="Palatino Linotype" w:eastAsia="Palatino Linotype" w:hAnsi="Palatino Linotype" w:cs="Palatino Linotype"/>
        </w:rPr>
        <w:t xml:space="preserve"> en términos del considerando </w:t>
      </w:r>
      <w:r w:rsidRPr="009045F1">
        <w:rPr>
          <w:rFonts w:ascii="Palatino Linotype" w:eastAsia="Palatino Linotype" w:hAnsi="Palatino Linotype" w:cs="Palatino Linotype"/>
          <w:b/>
        </w:rPr>
        <w:t>Cuarto</w:t>
      </w:r>
      <w:r w:rsidRPr="009045F1">
        <w:rPr>
          <w:rFonts w:ascii="Palatino Linotype" w:eastAsia="Palatino Linotype" w:hAnsi="Palatino Linotype" w:cs="Palatino Linotype"/>
        </w:rPr>
        <w:t xml:space="preserve"> de la presente Resolución.</w:t>
      </w:r>
    </w:p>
    <w:p w14:paraId="130FDA52" w14:textId="77777777" w:rsidR="00E16F98" w:rsidRPr="009045F1" w:rsidRDefault="00E16F98">
      <w:pPr>
        <w:spacing w:line="360" w:lineRule="auto"/>
        <w:jc w:val="both"/>
        <w:rPr>
          <w:rFonts w:ascii="Palatino Linotype" w:eastAsia="Palatino Linotype" w:hAnsi="Palatino Linotype" w:cs="Palatino Linotype"/>
        </w:rPr>
      </w:pPr>
    </w:p>
    <w:p w14:paraId="62372C31" w14:textId="77777777" w:rsidR="00E16F98" w:rsidRPr="009045F1" w:rsidRDefault="000E36D0">
      <w:pPr>
        <w:spacing w:before="240" w:after="240"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SEGUNDO. </w:t>
      </w:r>
      <w:r w:rsidRPr="009045F1">
        <w:rPr>
          <w:rFonts w:ascii="Palatino Linotype" w:eastAsia="Palatino Linotype" w:hAnsi="Palatino Linotype" w:cs="Palatino Linotype"/>
        </w:rPr>
        <w:t>Se</w:t>
      </w:r>
      <w:r w:rsidRPr="009045F1">
        <w:rPr>
          <w:rFonts w:ascii="Palatino Linotype" w:eastAsia="Palatino Linotype" w:hAnsi="Palatino Linotype" w:cs="Palatino Linotype"/>
          <w:b/>
        </w:rPr>
        <w:t xml:space="preserve"> ORDENA </w:t>
      </w:r>
      <w:r w:rsidRPr="009045F1">
        <w:rPr>
          <w:rFonts w:ascii="Palatino Linotype" w:eastAsia="Palatino Linotype" w:hAnsi="Palatino Linotype" w:cs="Palatino Linotype"/>
        </w:rPr>
        <w:t xml:space="preserve">al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xml:space="preserve"> a que,</w:t>
      </w:r>
      <w:r w:rsidRPr="009045F1">
        <w:rPr>
          <w:rFonts w:ascii="Palatino Linotype" w:eastAsia="Palatino Linotype" w:hAnsi="Palatino Linotype" w:cs="Palatino Linotype"/>
          <w:b/>
        </w:rPr>
        <w:t xml:space="preserve"> </w:t>
      </w:r>
      <w:r w:rsidRPr="009045F1">
        <w:rPr>
          <w:rFonts w:ascii="Palatino Linotype" w:eastAsia="Palatino Linotype" w:hAnsi="Palatino Linotype" w:cs="Palatino Linotype"/>
        </w:rPr>
        <w:t>en términos del Considerando Cuarto y Quinto, haga entrega vía Sistema de Acceso a la Información Mexiquense (SAIMEX), previa búsqueda exhaustiva y razonable, en versión pública de ser procedente de lo siguiente:</w:t>
      </w:r>
    </w:p>
    <w:p w14:paraId="79A73AAD" w14:textId="77777777" w:rsidR="00E16F98" w:rsidRPr="009045F1" w:rsidRDefault="000E36D0">
      <w:pPr>
        <w:numPr>
          <w:ilvl w:val="0"/>
          <w:numId w:val="1"/>
        </w:numPr>
        <w:pBdr>
          <w:top w:val="nil"/>
          <w:left w:val="nil"/>
          <w:bottom w:val="nil"/>
          <w:right w:val="nil"/>
          <w:between w:val="nil"/>
        </w:pBdr>
        <w:spacing w:after="240"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rPr>
        <w:lastRenderedPageBreak/>
        <w:t xml:space="preserve">Los documentos que integran el expediente de contratación de servicios de desinfección y sanitización realizados en los ejercicios fiscales 2019, 2020 y 2021. </w:t>
      </w:r>
    </w:p>
    <w:p w14:paraId="1F82E7C0" w14:textId="77777777" w:rsidR="00E16F98" w:rsidRPr="009045F1" w:rsidRDefault="000E36D0">
      <w:pPr>
        <w:pBdr>
          <w:top w:val="nil"/>
          <w:left w:val="nil"/>
          <w:bottom w:val="nil"/>
          <w:right w:val="nil"/>
          <w:between w:val="nil"/>
        </w:pBdr>
        <w:ind w:left="720" w:right="5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De ser procedente, debiendo emitir el Acuerdo del Comité de Transparencia de conformidad a la Ley de Transparencia y Acceso a la Información Pública del Estado de México y Municipios, en el que funde y motive las razones sobre los datos que se supriman o eliminen de los soportes documentales objeto de las versiones públicas que se formulen y se pongan a disposición del recurrente, mismo que igualmente hará de su conocimiento.</w:t>
      </w:r>
    </w:p>
    <w:p w14:paraId="7C016F9D" w14:textId="77777777" w:rsidR="00E16F98" w:rsidRPr="009045F1" w:rsidRDefault="00E16F98">
      <w:pPr>
        <w:pBdr>
          <w:top w:val="nil"/>
          <w:left w:val="nil"/>
          <w:bottom w:val="nil"/>
          <w:right w:val="nil"/>
          <w:between w:val="nil"/>
        </w:pBdr>
        <w:ind w:left="720" w:right="51"/>
        <w:jc w:val="both"/>
        <w:rPr>
          <w:rFonts w:ascii="Palatino Linotype" w:eastAsia="Palatino Linotype" w:hAnsi="Palatino Linotype" w:cs="Palatino Linotype"/>
          <w:i/>
          <w:sz w:val="22"/>
          <w:szCs w:val="22"/>
        </w:rPr>
      </w:pPr>
    </w:p>
    <w:p w14:paraId="5E23C315" w14:textId="77777777" w:rsidR="00E16F98" w:rsidRPr="009045F1" w:rsidRDefault="000E36D0">
      <w:pPr>
        <w:pBdr>
          <w:top w:val="nil"/>
          <w:left w:val="nil"/>
          <w:bottom w:val="nil"/>
          <w:right w:val="nil"/>
          <w:between w:val="nil"/>
        </w:pBdr>
        <w:ind w:left="720" w:right="51"/>
        <w:jc w:val="both"/>
        <w:rPr>
          <w:rFonts w:ascii="Palatino Linotype" w:eastAsia="Palatino Linotype" w:hAnsi="Palatino Linotype" w:cs="Palatino Linotype"/>
          <w:i/>
          <w:sz w:val="22"/>
          <w:szCs w:val="22"/>
        </w:rPr>
      </w:pPr>
      <w:r w:rsidRPr="009045F1">
        <w:rPr>
          <w:rFonts w:ascii="Palatino Linotype" w:eastAsia="Palatino Linotype" w:hAnsi="Palatino Linotype" w:cs="Palatino Linotype"/>
          <w:i/>
          <w:sz w:val="22"/>
          <w:szCs w:val="22"/>
        </w:rPr>
        <w:t>En caso de que la información que se ordena no se haya generado en los años 2019 y 2020, bastará con que así lo haga del conocimiento de la parte RECURRENTE, en términos del artículo 19, párrafo segundo de la Ley de Transparencia y Acceso a la Información Pública del Estado de México y Municipios, para tener por colmado el requerimiento de información.</w:t>
      </w:r>
    </w:p>
    <w:p w14:paraId="1CFFEFF2" w14:textId="77777777" w:rsidR="00E16F98" w:rsidRPr="009045F1" w:rsidRDefault="00E16F98">
      <w:pPr>
        <w:pBdr>
          <w:top w:val="nil"/>
          <w:left w:val="nil"/>
          <w:bottom w:val="nil"/>
          <w:right w:val="nil"/>
          <w:between w:val="nil"/>
        </w:pBdr>
        <w:ind w:right="51"/>
        <w:jc w:val="both"/>
        <w:rPr>
          <w:rFonts w:ascii="Palatino Linotype" w:eastAsia="Palatino Linotype" w:hAnsi="Palatino Linotype" w:cs="Palatino Linotype"/>
          <w:i/>
          <w:sz w:val="22"/>
          <w:szCs w:val="22"/>
        </w:rPr>
      </w:pPr>
    </w:p>
    <w:p w14:paraId="21A4DF4C" w14:textId="77777777" w:rsidR="00E16F98" w:rsidRPr="009045F1" w:rsidRDefault="000E36D0">
      <w:pPr>
        <w:spacing w:line="360" w:lineRule="auto"/>
        <w:ind w:right="-93"/>
        <w:jc w:val="both"/>
        <w:rPr>
          <w:rFonts w:ascii="Palatino Linotype" w:eastAsia="Palatino Linotype" w:hAnsi="Palatino Linotype" w:cs="Palatino Linotype"/>
        </w:rPr>
      </w:pPr>
      <w:r w:rsidRPr="009045F1">
        <w:rPr>
          <w:rFonts w:ascii="Palatino Linotype" w:eastAsia="Palatino Linotype" w:hAnsi="Palatino Linotype" w:cs="Palatino Linotype"/>
          <w:b/>
        </w:rPr>
        <w:t xml:space="preserve">TERCERO. Notifíquese, </w:t>
      </w:r>
      <w:r w:rsidRPr="009045F1">
        <w:rPr>
          <w:rFonts w:ascii="Palatino Linotype" w:eastAsia="Palatino Linotype" w:hAnsi="Palatino Linotype" w:cs="Palatino Linotype"/>
        </w:rPr>
        <w:t xml:space="preserve">vía </w:t>
      </w:r>
      <w:r w:rsidRPr="009045F1">
        <w:rPr>
          <w:rFonts w:ascii="Palatino Linotype" w:eastAsia="Palatino Linotype" w:hAnsi="Palatino Linotype" w:cs="Palatino Linotype"/>
          <w:b/>
        </w:rPr>
        <w:t xml:space="preserve">SAIMEX, </w:t>
      </w:r>
      <w:r w:rsidRPr="009045F1">
        <w:rPr>
          <w:rFonts w:ascii="Palatino Linotype" w:eastAsia="Palatino Linotype" w:hAnsi="Palatino Linotype" w:cs="Palatino Linotype"/>
        </w:rPr>
        <w:t>la presente resolución al T</w:t>
      </w:r>
      <w:r w:rsidRPr="009045F1">
        <w:rPr>
          <w:rFonts w:ascii="Palatino Linotype" w:eastAsia="Palatino Linotype" w:hAnsi="Palatino Linotype" w:cs="Palatino Linotype"/>
          <w:b/>
        </w:rPr>
        <w:t xml:space="preserve">itular de la Unidad de Transparencia </w:t>
      </w:r>
      <w:r w:rsidRPr="009045F1">
        <w:rPr>
          <w:rFonts w:ascii="Palatino Linotype" w:eastAsia="Palatino Linotype" w:hAnsi="Palatino Linotype" w:cs="Palatino Linotype"/>
        </w:rPr>
        <w:t xml:space="preserve">del </w:t>
      </w:r>
      <w:r w:rsidRPr="009045F1">
        <w:rPr>
          <w:rFonts w:ascii="Palatino Linotype" w:eastAsia="Palatino Linotype" w:hAnsi="Palatino Linotype" w:cs="Palatino Linotype"/>
          <w:b/>
        </w:rPr>
        <w:t>SUJETO OBLIGADO</w:t>
      </w:r>
      <w:r w:rsidRPr="009045F1">
        <w:rPr>
          <w:rFonts w:ascii="Palatino Linotype" w:eastAsia="Palatino Linotype" w:hAnsi="Palatino Linotype" w:cs="Palatino Linotype"/>
        </w:rPr>
        <w:t>, para que conforme al artículo 186 último párrafo, 189 segundo párrafo y 194 de la Ley de Transparencia y Acceso a la Información Pública del Estado de México y Municipios; dé cumplimiento a lo ordenado dentro del plazo de diez días hábiles, e informe a este Instituto en un plazo de tres días hábiles siguientes sobre el cumplimiento dado a la presente y, se le apercibe que en caso de negarse a cumplir la presente resolución o hacerlo de manera parcial, se le impondrá una medida de apremio de conformidad con lo previsto en los artículos 198, 200, fracción III; 214, 215 y 216 de la Ley  de Transparencia y Acceso a la Información Pública del Estado de México y Municipios.</w:t>
      </w:r>
    </w:p>
    <w:p w14:paraId="4D172BEB" w14:textId="77777777" w:rsidR="00E16F98" w:rsidRPr="009045F1" w:rsidRDefault="000E36D0">
      <w:pPr>
        <w:spacing w:line="360" w:lineRule="auto"/>
        <w:jc w:val="both"/>
        <w:rPr>
          <w:rFonts w:ascii="Palatino Linotype" w:eastAsia="Palatino Linotype" w:hAnsi="Palatino Linotype" w:cs="Palatino Linotype"/>
        </w:rPr>
      </w:pPr>
      <w:r w:rsidRPr="009045F1">
        <w:rPr>
          <w:rFonts w:ascii="Palatino Linotype" w:eastAsia="Palatino Linotype" w:hAnsi="Palatino Linotype" w:cs="Palatino Linotype"/>
          <w:b/>
        </w:rPr>
        <w:lastRenderedPageBreak/>
        <w:t xml:space="preserve">CUARTO. </w:t>
      </w:r>
      <w:r w:rsidRPr="009045F1">
        <w:rPr>
          <w:rFonts w:ascii="Palatino Linotype" w:eastAsia="Palatino Linotype" w:hAnsi="Palatino Linotype" w:cs="Palatino Linotype"/>
        </w:rPr>
        <w:t xml:space="preserve">De conformidad con el artículo 198 de la Ley de Transparencia y Acceso a la Información Pública del Estado de México y Municipios, de considerarlo procedente, </w:t>
      </w:r>
      <w:r w:rsidRPr="009045F1">
        <w:rPr>
          <w:rFonts w:ascii="Palatino Linotype" w:eastAsia="Palatino Linotype" w:hAnsi="Palatino Linotype" w:cs="Palatino Linotype"/>
          <w:b/>
        </w:rPr>
        <w:t>EL SUJETO OBLIGADO</w:t>
      </w:r>
      <w:r w:rsidRPr="009045F1">
        <w:rPr>
          <w:rFonts w:ascii="Palatino Linotype" w:eastAsia="Palatino Linotype" w:hAnsi="Palatino Linotype" w:cs="Palatino Linotype"/>
        </w:rPr>
        <w:t xml:space="preserve"> de manera fundada y motivada, podrá solicitar una ampliación de plazo para el cumplimiento de la presente resolución.</w:t>
      </w:r>
    </w:p>
    <w:p w14:paraId="0CFCB0E3" w14:textId="77777777" w:rsidR="00E16F98" w:rsidRPr="009045F1" w:rsidRDefault="00E16F98">
      <w:pPr>
        <w:spacing w:line="360" w:lineRule="auto"/>
        <w:jc w:val="both"/>
        <w:rPr>
          <w:rFonts w:ascii="Palatino Linotype" w:eastAsia="Palatino Linotype" w:hAnsi="Palatino Linotype" w:cs="Palatino Linotype"/>
        </w:rPr>
      </w:pPr>
    </w:p>
    <w:p w14:paraId="551AB820" w14:textId="77777777" w:rsidR="00E16F98" w:rsidRPr="009045F1" w:rsidRDefault="000E36D0">
      <w:pPr>
        <w:spacing w:line="360" w:lineRule="auto"/>
        <w:ind w:right="49"/>
        <w:jc w:val="both"/>
        <w:rPr>
          <w:rFonts w:ascii="Palatino Linotype" w:eastAsia="Palatino Linotype" w:hAnsi="Palatino Linotype" w:cs="Palatino Linotype"/>
        </w:rPr>
      </w:pPr>
      <w:r w:rsidRPr="009045F1">
        <w:rPr>
          <w:rFonts w:ascii="Palatino Linotype" w:eastAsia="Palatino Linotype" w:hAnsi="Palatino Linotype" w:cs="Palatino Linotype"/>
          <w:b/>
        </w:rPr>
        <w:t>QUINTO. Notifíquese vía SAIMEX</w:t>
      </w:r>
      <w:r w:rsidRPr="009045F1">
        <w:rPr>
          <w:rFonts w:ascii="Palatino Linotype" w:eastAsia="Palatino Linotype" w:hAnsi="Palatino Linotype" w:cs="Palatino Linotype"/>
        </w:rPr>
        <w:t xml:space="preserve">, a la parte </w:t>
      </w:r>
      <w:r w:rsidRPr="009045F1">
        <w:rPr>
          <w:rFonts w:ascii="Palatino Linotype" w:eastAsia="Palatino Linotype" w:hAnsi="Palatino Linotype" w:cs="Palatino Linotype"/>
          <w:b/>
        </w:rPr>
        <w:t>RECURRENTE</w:t>
      </w:r>
      <w:r w:rsidRPr="009045F1">
        <w:rPr>
          <w:rFonts w:ascii="Palatino Linotype" w:eastAsia="Palatino Linotype" w:hAnsi="Palatino Linotype" w:cs="Palatino Linotype"/>
        </w:rPr>
        <w:t xml:space="preserve"> la presente resolución, así como, que de conformidad con lo establecido en el artículo 196 de la Ley de Transparencia y Acceso a la Información Pública del Estado de México y Municipios, podrá impugnar la presente resolución vía Juicio de Amparo en los términos de las leyes aplicables. </w:t>
      </w:r>
    </w:p>
    <w:p w14:paraId="7D167E49" w14:textId="77777777" w:rsidR="00E16F98" w:rsidRPr="009045F1" w:rsidRDefault="00E16F98">
      <w:pPr>
        <w:spacing w:line="360" w:lineRule="auto"/>
        <w:jc w:val="both"/>
        <w:rPr>
          <w:rFonts w:ascii="Palatino Linotype" w:eastAsia="Palatino Linotype" w:hAnsi="Palatino Linotype" w:cs="Palatino Linotype"/>
        </w:rPr>
      </w:pPr>
    </w:p>
    <w:p w14:paraId="62F7AE7A" w14:textId="77777777" w:rsidR="00E16F98" w:rsidRPr="009045F1" w:rsidRDefault="000E36D0">
      <w:pPr>
        <w:spacing w:before="240" w:after="240" w:line="360" w:lineRule="auto"/>
        <w:jc w:val="both"/>
        <w:rPr>
          <w:rFonts w:ascii="Palatino Linotype" w:eastAsia="Palatino Linotype" w:hAnsi="Palatino Linotype" w:cs="Palatino Linotype"/>
        </w:rPr>
        <w:sectPr w:rsidR="00E16F98" w:rsidRPr="009045F1">
          <w:headerReference w:type="default" r:id="rId15"/>
          <w:footerReference w:type="default" r:id="rId16"/>
          <w:headerReference w:type="first" r:id="rId17"/>
          <w:footerReference w:type="first" r:id="rId18"/>
          <w:pgSz w:w="12240" w:h="15840"/>
          <w:pgMar w:top="1985" w:right="1701" w:bottom="1701" w:left="1701" w:header="709" w:footer="709" w:gutter="0"/>
          <w:pgNumType w:start="1"/>
          <w:cols w:space="720"/>
          <w:titlePg/>
        </w:sectPr>
      </w:pPr>
      <w:bookmarkStart w:id="4" w:name="_heading=h.1fob9te" w:colFirst="0" w:colLast="0"/>
      <w:bookmarkEnd w:id="4"/>
      <w:r w:rsidRPr="009045F1">
        <w:rPr>
          <w:rFonts w:ascii="Palatino Linotype" w:eastAsia="Palatino Linotype" w:hAnsi="Palatino Linotype" w:cs="Palatino Linotype"/>
        </w:rPr>
        <w:t xml:space="preserve">ASÍ LO RESUELVE, POR UNANIMIDAD DE VOTOS, EL PLENO DEL INSTITUTO DE TRANSPARENCIA, ACCESO A LA INFORMACIÓN PÚBLICA Y PROTECCIÓN DE DATOS PERSONALES DEL ESTADO DE MÉXICO Y MUNICIPIOS, CONFORMADO POR LOS COMISIONADOS JOSÉ MARTÍNEZ VILCHIS, MARÍA DEL ROSARIO MEJÍA AYALA, SHARON CRISTINA MORALES MARTÍNEZ, LUIS GUSTAVO PARRA NORIEGA Y GUADALUPE RAMÍREZ PEÑA; EN LA CUADRAGÉSIMA PRIMERA SESIÓN ORDINARIA CELEBRADA EL VEINTISIETE DE NOVIEMBRE DE DOS MIL VEINTICUATRO, ANTE EL SECRETARIO TÉCNICO DEL PLENO ALEXIS TAPIA RAMÍREZ.  </w:t>
      </w:r>
    </w:p>
    <w:p w14:paraId="52ED772E" w14:textId="77777777" w:rsidR="00E16F98" w:rsidRPr="009045F1" w:rsidRDefault="00E16F98">
      <w:pPr>
        <w:spacing w:before="240" w:after="240" w:line="360" w:lineRule="auto"/>
        <w:jc w:val="both"/>
        <w:rPr>
          <w:rFonts w:ascii="Palatino Linotype" w:eastAsia="Palatino Linotype" w:hAnsi="Palatino Linotype" w:cs="Palatino Linotype"/>
        </w:rPr>
      </w:pPr>
    </w:p>
    <w:sectPr w:rsidR="00E16F98" w:rsidRPr="009045F1">
      <w:headerReference w:type="first" r:id="rId19"/>
      <w:pgSz w:w="12240" w:h="15840"/>
      <w:pgMar w:top="1985" w:right="1701" w:bottom="1701" w:left="1701" w:header="709" w:footer="709"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A4C891B" w14:textId="77777777" w:rsidR="008E1C77" w:rsidRDefault="008E1C77">
      <w:r>
        <w:separator/>
      </w:r>
    </w:p>
  </w:endnote>
  <w:endnote w:type="continuationSeparator" w:id="0">
    <w:p w14:paraId="4A9E57DF" w14:textId="77777777" w:rsidR="008E1C77" w:rsidRDefault="008E1C7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Georgia">
    <w:panose1 w:val="02040502050405020303"/>
    <w:charset w:val="00"/>
    <w:family w:val="roman"/>
    <w:pitch w:val="variable"/>
    <w:sig w:usb0="000002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51E1288" w14:textId="77777777" w:rsidR="00E16F98" w:rsidRDefault="000E36D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PAGE</w:instrText>
    </w:r>
    <w:r>
      <w:rPr>
        <w:rFonts w:ascii="Palatino Linotype" w:eastAsia="Palatino Linotype" w:hAnsi="Palatino Linotype" w:cs="Palatino Linotype"/>
        <w:b/>
        <w:color w:val="000000"/>
        <w:sz w:val="20"/>
        <w:szCs w:val="20"/>
      </w:rPr>
      <w:fldChar w:fldCharType="separate"/>
    </w:r>
    <w:r w:rsidR="00904F53">
      <w:rPr>
        <w:rFonts w:ascii="Palatino Linotype" w:eastAsia="Palatino Linotype" w:hAnsi="Palatino Linotype" w:cs="Palatino Linotype"/>
        <w:b/>
        <w:noProof/>
        <w:color w:val="000000"/>
        <w:sz w:val="20"/>
        <w:szCs w:val="20"/>
      </w:rPr>
      <w:t>46</w:t>
    </w:r>
    <w:r>
      <w:rPr>
        <w:rFonts w:ascii="Palatino Linotype" w:eastAsia="Palatino Linotype" w:hAnsi="Palatino Linotype" w:cs="Palatino Linotype"/>
        <w:b/>
        <w:color w:val="000000"/>
        <w:sz w:val="20"/>
        <w:szCs w:val="20"/>
      </w:rPr>
      <w:fldChar w:fldCharType="end"/>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4F5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3DB9AF97" w14:textId="77777777" w:rsidR="00E16F98" w:rsidRDefault="00E16F98">
    <w:pPr>
      <w:pBdr>
        <w:top w:val="nil"/>
        <w:left w:val="nil"/>
        <w:bottom w:val="nil"/>
        <w:right w:val="nil"/>
        <w:between w:val="nil"/>
      </w:pBdr>
      <w:tabs>
        <w:tab w:val="center" w:pos="4252"/>
        <w:tab w:val="right" w:pos="8504"/>
      </w:tabs>
      <w:ind w:firstLine="708"/>
      <w:rPr>
        <w:rFonts w:ascii="Cambria" w:eastAsia="Cambria" w:hAnsi="Cambria" w:cs="Cambria"/>
        <w:color w:val="000000"/>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5E90137" w14:textId="77777777" w:rsidR="00E16F98" w:rsidRDefault="000E36D0">
    <w:pPr>
      <w:pBdr>
        <w:top w:val="nil"/>
        <w:left w:val="nil"/>
        <w:bottom w:val="nil"/>
        <w:right w:val="nil"/>
        <w:between w:val="nil"/>
      </w:pBdr>
      <w:tabs>
        <w:tab w:val="center" w:pos="4252"/>
        <w:tab w:val="right" w:pos="8504"/>
      </w:tabs>
      <w:jc w:val="right"/>
      <w:rPr>
        <w:rFonts w:ascii="Palatino Linotype" w:eastAsia="Palatino Linotype" w:hAnsi="Palatino Linotype" w:cs="Palatino Linotype"/>
        <w:color w:val="000000"/>
        <w:sz w:val="20"/>
        <w:szCs w:val="20"/>
      </w:rPr>
    </w:pPr>
    <w:r>
      <w:rPr>
        <w:rFonts w:ascii="Palatino Linotype" w:eastAsia="Palatino Linotype" w:hAnsi="Palatino Linotype" w:cs="Palatino Linotype"/>
        <w:b/>
        <w:color w:val="000000"/>
        <w:sz w:val="20"/>
        <w:szCs w:val="20"/>
      </w:rPr>
      <w:t xml:space="preserve">Página </w:t>
    </w:r>
    <w:r w:rsidR="009045F1">
      <w:rPr>
        <w:rFonts w:ascii="Palatino Linotype" w:eastAsia="Palatino Linotype" w:hAnsi="Palatino Linotype" w:cs="Palatino Linotype"/>
        <w:b/>
        <w:sz w:val="20"/>
        <w:szCs w:val="20"/>
      </w:rPr>
      <w:t>47</w:t>
    </w:r>
    <w:r>
      <w:rPr>
        <w:rFonts w:ascii="Palatino Linotype" w:eastAsia="Palatino Linotype" w:hAnsi="Palatino Linotype" w:cs="Palatino Linotype"/>
        <w:color w:val="000000"/>
        <w:sz w:val="20"/>
        <w:szCs w:val="20"/>
      </w:rPr>
      <w:t xml:space="preserve"> de </w:t>
    </w:r>
    <w:r>
      <w:rPr>
        <w:rFonts w:ascii="Palatino Linotype" w:eastAsia="Palatino Linotype" w:hAnsi="Palatino Linotype" w:cs="Palatino Linotype"/>
        <w:b/>
        <w:color w:val="000000"/>
        <w:sz w:val="20"/>
        <w:szCs w:val="20"/>
      </w:rPr>
      <w:fldChar w:fldCharType="begin"/>
    </w:r>
    <w:r>
      <w:rPr>
        <w:rFonts w:ascii="Palatino Linotype" w:eastAsia="Palatino Linotype" w:hAnsi="Palatino Linotype" w:cs="Palatino Linotype"/>
        <w:b/>
        <w:color w:val="000000"/>
        <w:sz w:val="20"/>
        <w:szCs w:val="20"/>
      </w:rPr>
      <w:instrText>NUMPAGES</w:instrText>
    </w:r>
    <w:r>
      <w:rPr>
        <w:rFonts w:ascii="Palatino Linotype" w:eastAsia="Palatino Linotype" w:hAnsi="Palatino Linotype" w:cs="Palatino Linotype"/>
        <w:b/>
        <w:color w:val="000000"/>
        <w:sz w:val="20"/>
        <w:szCs w:val="20"/>
      </w:rPr>
      <w:fldChar w:fldCharType="separate"/>
    </w:r>
    <w:r w:rsidR="00904F53">
      <w:rPr>
        <w:rFonts w:ascii="Palatino Linotype" w:eastAsia="Palatino Linotype" w:hAnsi="Palatino Linotype" w:cs="Palatino Linotype"/>
        <w:b/>
        <w:noProof/>
        <w:color w:val="000000"/>
        <w:sz w:val="20"/>
        <w:szCs w:val="20"/>
      </w:rPr>
      <w:t>47</w:t>
    </w:r>
    <w:r>
      <w:rPr>
        <w:rFonts w:ascii="Palatino Linotype" w:eastAsia="Palatino Linotype" w:hAnsi="Palatino Linotype" w:cs="Palatino Linotype"/>
        <w:b/>
        <w:color w:val="000000"/>
        <w:sz w:val="20"/>
        <w:szCs w:val="20"/>
      </w:rPr>
      <w:fldChar w:fldCharType="end"/>
    </w:r>
  </w:p>
  <w:p w14:paraId="36E07618" w14:textId="77777777" w:rsidR="00E16F98" w:rsidRDefault="00E16F98">
    <w:pPr>
      <w:pBdr>
        <w:top w:val="nil"/>
        <w:left w:val="nil"/>
        <w:bottom w:val="nil"/>
        <w:right w:val="nil"/>
        <w:between w:val="nil"/>
      </w:pBdr>
      <w:tabs>
        <w:tab w:val="center" w:pos="4252"/>
        <w:tab w:val="right" w:pos="8504"/>
      </w:tabs>
      <w:rPr>
        <w:rFonts w:ascii="Cambria" w:eastAsia="Cambria" w:hAnsi="Cambria" w:cs="Cambria"/>
        <w:color w:val="000000"/>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ADA038" w14:textId="77777777" w:rsidR="008E1C77" w:rsidRDefault="008E1C77">
      <w:r>
        <w:separator/>
      </w:r>
    </w:p>
  </w:footnote>
  <w:footnote w:type="continuationSeparator" w:id="0">
    <w:p w14:paraId="6E044521" w14:textId="77777777" w:rsidR="008E1C77" w:rsidRDefault="008E1C77">
      <w:r>
        <w:continuationSeparator/>
      </w:r>
    </w:p>
  </w:footnote>
  <w:footnote w:id="1">
    <w:p w14:paraId="02AF7427" w14:textId="77777777" w:rsidR="00E16F98" w:rsidRDefault="000E36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150 de la Ley de Transparencia y Acceso a la Información Pública del Estado de México y Municipios</w:t>
      </w:r>
    </w:p>
  </w:footnote>
  <w:footnote w:id="2">
    <w:p w14:paraId="2007B1F8" w14:textId="77777777" w:rsidR="00E16F98" w:rsidRDefault="000E36D0">
      <w:pPr>
        <w:pBdr>
          <w:top w:val="nil"/>
          <w:left w:val="nil"/>
          <w:bottom w:val="nil"/>
          <w:right w:val="nil"/>
          <w:between w:val="nil"/>
        </w:pBdr>
        <w:rPr>
          <w:rFonts w:ascii="Calibri" w:eastAsia="Calibri" w:hAnsi="Calibri" w:cs="Calibri"/>
          <w:color w:val="000000"/>
          <w:sz w:val="20"/>
          <w:szCs w:val="20"/>
        </w:rPr>
      </w:pPr>
      <w:r>
        <w:rPr>
          <w:vertAlign w:val="superscript"/>
        </w:rPr>
        <w:footnoteRef/>
      </w:r>
      <w:r>
        <w:rPr>
          <w:rFonts w:ascii="Calibri" w:eastAsia="Calibri" w:hAnsi="Calibri" w:cs="Calibri"/>
          <w:color w:val="000000"/>
          <w:sz w:val="20"/>
          <w:szCs w:val="20"/>
        </w:rPr>
        <w:t xml:space="preserve"> Artículo 165, ibídem</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0D7C664" w14:textId="77777777" w:rsidR="00E16F98" w:rsidRDefault="000E36D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noProof/>
        <w:lang w:val="es-MX"/>
      </w:rPr>
      <w:drawing>
        <wp:anchor distT="0" distB="0" distL="0" distR="0" simplePos="0" relativeHeight="251658240" behindDoc="1" locked="0" layoutInCell="1" hidden="0" allowOverlap="1" wp14:anchorId="1C23D362" wp14:editId="25710C54">
          <wp:simplePos x="0" y="0"/>
          <wp:positionH relativeFrom="column">
            <wp:posOffset>-1080129</wp:posOffset>
          </wp:positionH>
          <wp:positionV relativeFrom="paragraph">
            <wp:posOffset>-488309</wp:posOffset>
          </wp:positionV>
          <wp:extent cx="7809865" cy="10165715"/>
          <wp:effectExtent l="0" t="0" r="0" b="0"/>
          <wp:wrapNone/>
          <wp:docPr id="279"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tbl>
    <w:tblPr>
      <w:tblStyle w:val="a8"/>
      <w:tblW w:w="5953" w:type="dxa"/>
      <w:tblInd w:w="3261" w:type="dxa"/>
      <w:tblLayout w:type="fixed"/>
      <w:tblLook w:val="0400" w:firstRow="0" w:lastRow="0" w:firstColumn="0" w:lastColumn="0" w:noHBand="0" w:noVBand="1"/>
    </w:tblPr>
    <w:tblGrid>
      <w:gridCol w:w="2489"/>
      <w:gridCol w:w="3464"/>
    </w:tblGrid>
    <w:tr w:rsidR="00E16F98" w14:paraId="7F4E815D" w14:textId="77777777">
      <w:tc>
        <w:tcPr>
          <w:tcW w:w="2489" w:type="dxa"/>
          <w:shd w:val="clear" w:color="auto" w:fill="auto"/>
        </w:tcPr>
        <w:p w14:paraId="30E2BD80"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464" w:type="dxa"/>
          <w:shd w:val="clear" w:color="auto" w:fill="auto"/>
          <w:vAlign w:val="center"/>
        </w:tcPr>
        <w:p w14:paraId="058CA2CF" w14:textId="77777777" w:rsidR="00E16F98" w:rsidRDefault="000E36D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06754/INFOEM/IP/RR/2024</w:t>
          </w:r>
        </w:p>
      </w:tc>
    </w:tr>
    <w:tr w:rsidR="00E16F98" w14:paraId="3C0AC203" w14:textId="77777777">
      <w:trPr>
        <w:trHeight w:val="228"/>
      </w:trPr>
      <w:tc>
        <w:tcPr>
          <w:tcW w:w="2489" w:type="dxa"/>
          <w:shd w:val="clear" w:color="auto" w:fill="auto"/>
          <w:vAlign w:val="center"/>
        </w:tcPr>
        <w:p w14:paraId="01C5C666"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464" w:type="dxa"/>
          <w:shd w:val="clear" w:color="auto" w:fill="auto"/>
          <w:vAlign w:val="center"/>
        </w:tcPr>
        <w:p w14:paraId="1B58E30A" w14:textId="77777777" w:rsidR="00E16F98" w:rsidRDefault="000E36D0">
          <w:pPr>
            <w:ind w:right="310"/>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Naucalpan de Juárez.</w:t>
          </w:r>
        </w:p>
      </w:tc>
    </w:tr>
    <w:tr w:rsidR="00E16F98" w14:paraId="36E55B44" w14:textId="77777777">
      <w:tc>
        <w:tcPr>
          <w:tcW w:w="2489" w:type="dxa"/>
          <w:shd w:val="clear" w:color="auto" w:fill="auto"/>
          <w:vAlign w:val="center"/>
        </w:tcPr>
        <w:p w14:paraId="03C1D399" w14:textId="77777777" w:rsidR="00E16F98" w:rsidRDefault="000E36D0">
          <w:pPr>
            <w:ind w:right="-108"/>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464" w:type="dxa"/>
          <w:shd w:val="clear" w:color="auto" w:fill="auto"/>
          <w:vAlign w:val="center"/>
        </w:tcPr>
        <w:p w14:paraId="3DDF3447" w14:textId="77777777" w:rsidR="00E16F98" w:rsidRDefault="000E36D0">
          <w:pPr>
            <w:ind w:right="17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17EB0085" w14:textId="77777777" w:rsidR="00E16F98" w:rsidRDefault="000E36D0">
    <w:pPr>
      <w:pBdr>
        <w:top w:val="nil"/>
        <w:left w:val="nil"/>
        <w:bottom w:val="nil"/>
        <w:right w:val="nil"/>
        <w:between w:val="nil"/>
      </w:pBdr>
      <w:tabs>
        <w:tab w:val="center" w:pos="4252"/>
        <w:tab w:val="right" w:pos="8504"/>
        <w:tab w:val="left" w:pos="2326"/>
      </w:tabs>
      <w:rPr>
        <w:rFonts w:ascii="Cambria" w:eastAsia="Cambria" w:hAnsi="Cambria" w:cs="Cambria"/>
        <w:color w:val="000000"/>
      </w:rPr>
    </w:pPr>
    <w:r>
      <w:rPr>
        <w:rFonts w:ascii="Cambria" w:eastAsia="Cambria" w:hAnsi="Cambria" w:cs="Cambria"/>
        <w:color w:val="000000"/>
      </w:rP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D363F0" w14:textId="77777777" w:rsidR="00E16F98" w:rsidRDefault="00E16F9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tbl>
    <w:tblPr>
      <w:tblStyle w:val="a9"/>
      <w:tblW w:w="5670" w:type="dxa"/>
      <w:tblInd w:w="3261" w:type="dxa"/>
      <w:tblLayout w:type="fixed"/>
      <w:tblLook w:val="0400" w:firstRow="0" w:lastRow="0" w:firstColumn="0" w:lastColumn="0" w:noHBand="0" w:noVBand="1"/>
    </w:tblPr>
    <w:tblGrid>
      <w:gridCol w:w="2551"/>
      <w:gridCol w:w="3119"/>
    </w:tblGrid>
    <w:tr w:rsidR="00E16F98" w14:paraId="43924C84" w14:textId="77777777">
      <w:tc>
        <w:tcPr>
          <w:tcW w:w="2551" w:type="dxa"/>
          <w:shd w:val="clear" w:color="auto" w:fill="auto"/>
          <w:vAlign w:val="center"/>
        </w:tcPr>
        <w:p w14:paraId="7AADC33A"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Recurso de Revisión:</w:t>
          </w:r>
        </w:p>
      </w:tc>
      <w:tc>
        <w:tcPr>
          <w:tcW w:w="3119" w:type="dxa"/>
          <w:shd w:val="clear" w:color="auto" w:fill="auto"/>
          <w:vAlign w:val="center"/>
        </w:tcPr>
        <w:p w14:paraId="77278E7D" w14:textId="77777777" w:rsidR="00E16F98" w:rsidRDefault="000E36D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06754/INFOEM/IP/RR/2024</w:t>
          </w:r>
        </w:p>
      </w:tc>
    </w:tr>
    <w:tr w:rsidR="00E16F98" w14:paraId="263397C5" w14:textId="77777777">
      <w:trPr>
        <w:trHeight w:val="130"/>
      </w:trPr>
      <w:tc>
        <w:tcPr>
          <w:tcW w:w="2551" w:type="dxa"/>
          <w:shd w:val="clear" w:color="auto" w:fill="auto"/>
          <w:vAlign w:val="center"/>
        </w:tcPr>
        <w:p w14:paraId="5E8E4E93"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Recurrente:</w:t>
          </w:r>
        </w:p>
      </w:tc>
      <w:tc>
        <w:tcPr>
          <w:tcW w:w="3119" w:type="dxa"/>
          <w:shd w:val="clear" w:color="auto" w:fill="auto"/>
          <w:vAlign w:val="center"/>
        </w:tcPr>
        <w:p w14:paraId="14694974" w14:textId="176AC821" w:rsidR="00E16F98" w:rsidRDefault="00684E41">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XXXXXXX XXXXXXXX</w:t>
          </w:r>
        </w:p>
      </w:tc>
    </w:tr>
    <w:tr w:rsidR="00E16F98" w14:paraId="40E0C8FB" w14:textId="77777777">
      <w:trPr>
        <w:trHeight w:val="228"/>
      </w:trPr>
      <w:tc>
        <w:tcPr>
          <w:tcW w:w="2551" w:type="dxa"/>
          <w:shd w:val="clear" w:color="auto" w:fill="auto"/>
          <w:vAlign w:val="center"/>
        </w:tcPr>
        <w:p w14:paraId="245235FD"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Sujeto obligado:</w:t>
          </w:r>
        </w:p>
      </w:tc>
      <w:tc>
        <w:tcPr>
          <w:tcW w:w="3119" w:type="dxa"/>
          <w:shd w:val="clear" w:color="auto" w:fill="auto"/>
          <w:vAlign w:val="center"/>
        </w:tcPr>
        <w:p w14:paraId="00EDE116" w14:textId="77777777" w:rsidR="00E16F98" w:rsidRDefault="000E36D0">
          <w:pPr>
            <w:tabs>
              <w:tab w:val="left" w:pos="3153"/>
            </w:tabs>
            <w:ind w:left="-45"/>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Organismo Público Descentralizado para la Prestación de Los Servicios de Agua Potable Alcantarillado y Saneamiento del Municipio de Naucalpan de Juárez</w:t>
          </w:r>
        </w:p>
      </w:tc>
    </w:tr>
    <w:tr w:rsidR="00E16F98" w14:paraId="4D36C805" w14:textId="77777777">
      <w:tc>
        <w:tcPr>
          <w:tcW w:w="2551" w:type="dxa"/>
          <w:shd w:val="clear" w:color="auto" w:fill="auto"/>
          <w:vAlign w:val="center"/>
        </w:tcPr>
        <w:p w14:paraId="0A8B23AC" w14:textId="77777777" w:rsidR="00E16F98" w:rsidRDefault="000E36D0">
          <w:pPr>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Comisionada ponente:</w:t>
          </w:r>
        </w:p>
      </w:tc>
      <w:tc>
        <w:tcPr>
          <w:tcW w:w="3119" w:type="dxa"/>
          <w:shd w:val="clear" w:color="auto" w:fill="auto"/>
          <w:vAlign w:val="center"/>
        </w:tcPr>
        <w:p w14:paraId="16E43E4D" w14:textId="77777777" w:rsidR="00E16F98" w:rsidRDefault="000E36D0">
          <w:pPr>
            <w:ind w:left="-45" w:right="-533"/>
            <w:jc w:val="both"/>
            <w:rPr>
              <w:rFonts w:ascii="Palatino Linotype" w:eastAsia="Palatino Linotype" w:hAnsi="Palatino Linotype" w:cs="Palatino Linotype"/>
              <w:b/>
              <w:sz w:val="22"/>
              <w:szCs w:val="22"/>
            </w:rPr>
          </w:pPr>
          <w:r>
            <w:rPr>
              <w:rFonts w:ascii="Palatino Linotype" w:eastAsia="Palatino Linotype" w:hAnsi="Palatino Linotype" w:cs="Palatino Linotype"/>
              <w:b/>
              <w:sz w:val="22"/>
              <w:szCs w:val="22"/>
            </w:rPr>
            <w:t>Guadalupe Ramírez Peña</w:t>
          </w:r>
        </w:p>
      </w:tc>
    </w:tr>
  </w:tbl>
  <w:p w14:paraId="49A43C8F" w14:textId="77777777" w:rsidR="00E16F98" w:rsidRDefault="000E36D0">
    <w:pPr>
      <w:pBdr>
        <w:top w:val="nil"/>
        <w:left w:val="nil"/>
        <w:bottom w:val="nil"/>
        <w:right w:val="nil"/>
        <w:between w:val="nil"/>
      </w:pBdr>
      <w:tabs>
        <w:tab w:val="center" w:pos="4252"/>
        <w:tab w:val="right" w:pos="8504"/>
      </w:tabs>
      <w:rPr>
        <w:rFonts w:ascii="Cambria" w:eastAsia="Cambria" w:hAnsi="Cambria" w:cs="Cambria"/>
        <w:color w:val="000000"/>
      </w:rPr>
    </w:pPr>
    <w:r>
      <w:rPr>
        <w:noProof/>
        <w:lang w:val="es-MX"/>
      </w:rPr>
      <w:drawing>
        <wp:anchor distT="0" distB="0" distL="0" distR="0" simplePos="0" relativeHeight="251659264" behindDoc="1" locked="0" layoutInCell="1" hidden="0" allowOverlap="1" wp14:anchorId="7CF2AF0E" wp14:editId="0532A34D">
          <wp:simplePos x="0" y="0"/>
          <wp:positionH relativeFrom="column">
            <wp:posOffset>-1089654</wp:posOffset>
          </wp:positionH>
          <wp:positionV relativeFrom="paragraph">
            <wp:posOffset>-1169664</wp:posOffset>
          </wp:positionV>
          <wp:extent cx="7809865" cy="10165715"/>
          <wp:effectExtent l="0" t="0" r="0" b="0"/>
          <wp:wrapNone/>
          <wp:docPr id="277" name="image1.png"/>
          <wp:cNvGraphicFramePr/>
          <a:graphic xmlns:a="http://schemas.openxmlformats.org/drawingml/2006/main">
            <a:graphicData uri="http://schemas.openxmlformats.org/drawingml/2006/picture">
              <pic:pic xmlns:pic="http://schemas.openxmlformats.org/drawingml/2006/picture">
                <pic:nvPicPr>
                  <pic:cNvPr id="0" name="image1.png"/>
                  <pic:cNvPicPr preferRelativeResize="0"/>
                </pic:nvPicPr>
                <pic:blipFill>
                  <a:blip r:embed="rId1"/>
                  <a:srcRect/>
                  <a:stretch>
                    <a:fillRect/>
                  </a:stretch>
                </pic:blipFill>
                <pic:spPr>
                  <a:xfrm>
                    <a:off x="0" y="0"/>
                    <a:ext cx="7809865" cy="10165715"/>
                  </a:xfrm>
                  <a:prstGeom prst="rect">
                    <a:avLst/>
                  </a:prstGeom>
                  <a:ln/>
                </pic:spPr>
              </pic:pic>
            </a:graphicData>
          </a:graphic>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AA57E6" w14:textId="77777777" w:rsidR="00E16F98" w:rsidRDefault="00E16F98">
    <w:pPr>
      <w:widowControl w:val="0"/>
      <w:pBdr>
        <w:top w:val="nil"/>
        <w:left w:val="nil"/>
        <w:bottom w:val="nil"/>
        <w:right w:val="nil"/>
        <w:between w:val="nil"/>
      </w:pBdr>
      <w:spacing w:line="276" w:lineRule="auto"/>
      <w:rPr>
        <w:rFonts w:ascii="Palatino Linotype" w:eastAsia="Palatino Linotype" w:hAnsi="Palatino Linotype" w:cs="Palatino Linotype"/>
        <w:color w:val="000000"/>
        <w:sz w:val="16"/>
        <w:szCs w:val="16"/>
      </w:rPr>
    </w:pPr>
  </w:p>
  <w:p w14:paraId="1CFAE727" w14:textId="77777777" w:rsidR="00E16F98" w:rsidRDefault="00E16F98">
    <w:pPr>
      <w:pBdr>
        <w:top w:val="nil"/>
        <w:left w:val="nil"/>
        <w:bottom w:val="nil"/>
        <w:right w:val="nil"/>
        <w:between w:val="nil"/>
      </w:pBdr>
      <w:tabs>
        <w:tab w:val="center" w:pos="4252"/>
        <w:tab w:val="right" w:pos="8504"/>
      </w:tabs>
      <w:rPr>
        <w:rFonts w:ascii="Cambria" w:eastAsia="Cambria" w:hAnsi="Cambria" w:cs="Cambria"/>
        <w:color w:val="000000"/>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A4B1B45"/>
    <w:multiLevelType w:val="multilevel"/>
    <w:tmpl w:val="B3EC0F0E"/>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abstractNum w:abstractNumId="1" w15:restartNumberingAfterBreak="0">
    <w:nsid w:val="7F8442E8"/>
    <w:multiLevelType w:val="multilevel"/>
    <w:tmpl w:val="E8129D7A"/>
    <w:lvl w:ilvl="0">
      <w:start w:val="1"/>
      <w:numFmt w:val="bullet"/>
      <w:lvlText w:val="●"/>
      <w:lvlJc w:val="left"/>
      <w:pPr>
        <w:ind w:left="720" w:hanging="360"/>
      </w:pPr>
      <w:rPr>
        <w:rFonts w:ascii="Noto Sans Symbols" w:eastAsia="Noto Sans Symbols" w:hAnsi="Noto Sans Symbols" w:cs="Noto Sans Symbols"/>
      </w:rPr>
    </w:lvl>
    <w:lvl w:ilvl="1">
      <w:start w:val="1"/>
      <w:numFmt w:val="bullet"/>
      <w:lvlText w:val="o"/>
      <w:lvlJc w:val="left"/>
      <w:pPr>
        <w:ind w:left="1440" w:hanging="360"/>
      </w:pPr>
      <w:rPr>
        <w:rFonts w:ascii="Courier New" w:eastAsia="Courier New" w:hAnsi="Courier New" w:cs="Courier New"/>
      </w:rPr>
    </w:lvl>
    <w:lvl w:ilvl="2">
      <w:start w:val="1"/>
      <w:numFmt w:val="bullet"/>
      <w:lvlText w:val="▪"/>
      <w:lvlJc w:val="left"/>
      <w:pPr>
        <w:ind w:left="2160" w:hanging="360"/>
      </w:pPr>
      <w:rPr>
        <w:rFonts w:ascii="Noto Sans Symbols" w:eastAsia="Noto Sans Symbols" w:hAnsi="Noto Sans Symbols" w:cs="Noto Sans Symbols"/>
      </w:rPr>
    </w:lvl>
    <w:lvl w:ilvl="3">
      <w:start w:val="1"/>
      <w:numFmt w:val="bullet"/>
      <w:lvlText w:val="●"/>
      <w:lvlJc w:val="left"/>
      <w:pPr>
        <w:ind w:left="2880" w:hanging="360"/>
      </w:pPr>
      <w:rPr>
        <w:rFonts w:ascii="Noto Sans Symbols" w:eastAsia="Noto Sans Symbols" w:hAnsi="Noto Sans Symbols" w:cs="Noto Sans Symbols"/>
      </w:rPr>
    </w:lvl>
    <w:lvl w:ilvl="4">
      <w:start w:val="1"/>
      <w:numFmt w:val="bullet"/>
      <w:lvlText w:val="o"/>
      <w:lvlJc w:val="left"/>
      <w:pPr>
        <w:ind w:left="3600" w:hanging="360"/>
      </w:pPr>
      <w:rPr>
        <w:rFonts w:ascii="Courier New" w:eastAsia="Courier New" w:hAnsi="Courier New" w:cs="Courier New"/>
      </w:rPr>
    </w:lvl>
    <w:lvl w:ilvl="5">
      <w:start w:val="1"/>
      <w:numFmt w:val="bullet"/>
      <w:lvlText w:val="▪"/>
      <w:lvlJc w:val="left"/>
      <w:pPr>
        <w:ind w:left="4320" w:hanging="360"/>
      </w:pPr>
      <w:rPr>
        <w:rFonts w:ascii="Noto Sans Symbols" w:eastAsia="Noto Sans Symbols" w:hAnsi="Noto Sans Symbols" w:cs="Noto Sans Symbols"/>
      </w:rPr>
    </w:lvl>
    <w:lvl w:ilvl="6">
      <w:start w:val="1"/>
      <w:numFmt w:val="bullet"/>
      <w:lvlText w:val="●"/>
      <w:lvlJc w:val="left"/>
      <w:pPr>
        <w:ind w:left="5040" w:hanging="360"/>
      </w:pPr>
      <w:rPr>
        <w:rFonts w:ascii="Noto Sans Symbols" w:eastAsia="Noto Sans Symbols" w:hAnsi="Noto Sans Symbols" w:cs="Noto Sans Symbols"/>
      </w:rPr>
    </w:lvl>
    <w:lvl w:ilvl="7">
      <w:start w:val="1"/>
      <w:numFmt w:val="bullet"/>
      <w:lvlText w:val="o"/>
      <w:lvlJc w:val="left"/>
      <w:pPr>
        <w:ind w:left="5760" w:hanging="360"/>
      </w:pPr>
      <w:rPr>
        <w:rFonts w:ascii="Courier New" w:eastAsia="Courier New" w:hAnsi="Courier New" w:cs="Courier New"/>
      </w:rPr>
    </w:lvl>
    <w:lvl w:ilvl="8">
      <w:start w:val="1"/>
      <w:numFmt w:val="bullet"/>
      <w:lvlText w:val="▪"/>
      <w:lvlJc w:val="left"/>
      <w:pPr>
        <w:ind w:left="6480" w:hanging="360"/>
      </w:pPr>
      <w:rPr>
        <w:rFonts w:ascii="Noto Sans Symbols" w:eastAsia="Noto Sans Symbols" w:hAnsi="Noto Sans Symbols" w:cs="Noto Sans Symbols"/>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16F98"/>
    <w:rsid w:val="000E36D0"/>
    <w:rsid w:val="00684E41"/>
    <w:rsid w:val="008E1C77"/>
    <w:rsid w:val="009045F1"/>
    <w:rsid w:val="00904F53"/>
    <w:rsid w:val="00E16F98"/>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3BC067"/>
  <w15:docId w15:val="{5179D3A9-168A-4442-BB02-0380608FE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ES" w:eastAsia="es-MX"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uiPriority w:val="9"/>
    <w:qFormat/>
    <w:pPr>
      <w:keepNext/>
      <w:keepLines/>
      <w:spacing w:before="240"/>
      <w:outlineLvl w:val="0"/>
    </w:pPr>
    <w:rPr>
      <w:rFonts w:ascii="Calibri" w:eastAsia="Calibri" w:hAnsi="Calibri" w:cs="Calibri"/>
      <w:color w:val="366091"/>
      <w:sz w:val="32"/>
      <w:szCs w:val="32"/>
    </w:rPr>
  </w:style>
  <w:style w:type="paragraph" w:styleId="Ttulo2">
    <w:name w:val="heading 2"/>
    <w:basedOn w:val="Normal"/>
    <w:next w:val="Normal"/>
    <w:uiPriority w:val="9"/>
    <w:semiHidden/>
    <w:unhideWhenUsed/>
    <w:qFormat/>
    <w:pPr>
      <w:keepNext/>
      <w:keepLines/>
      <w:spacing w:before="40"/>
      <w:outlineLvl w:val="1"/>
    </w:pPr>
    <w:rPr>
      <w:rFonts w:ascii="Calibri" w:eastAsia="Calibri" w:hAnsi="Calibri" w:cs="Calibri"/>
      <w:color w:val="366091"/>
      <w:sz w:val="26"/>
      <w:szCs w:val="26"/>
    </w:rPr>
  </w:style>
  <w:style w:type="paragraph" w:styleId="Ttulo3">
    <w:name w:val="heading 3"/>
    <w:basedOn w:val="Normal"/>
    <w:next w:val="Normal"/>
    <w:uiPriority w:val="9"/>
    <w:semiHidden/>
    <w:unhideWhenUsed/>
    <w:qFormat/>
    <w:pPr>
      <w:keepNext/>
      <w:spacing w:before="240" w:after="60"/>
      <w:ind w:left="2160" w:hanging="720"/>
      <w:outlineLvl w:val="2"/>
    </w:pPr>
    <w:rPr>
      <w:rFonts w:ascii="Calibri" w:eastAsia="Calibri" w:hAnsi="Calibri" w:cs="Calibri"/>
      <w:b/>
      <w:sz w:val="26"/>
      <w:szCs w:val="26"/>
    </w:rPr>
  </w:style>
  <w:style w:type="paragraph" w:styleId="Ttulo4">
    <w:name w:val="heading 4"/>
    <w:basedOn w:val="Normal"/>
    <w:next w:val="Normal"/>
    <w:uiPriority w:val="9"/>
    <w:semiHidden/>
    <w:unhideWhenUsed/>
    <w:qFormat/>
    <w:pPr>
      <w:keepNext/>
      <w:spacing w:before="240" w:after="60"/>
      <w:ind w:left="2880" w:hanging="720"/>
      <w:outlineLvl w:val="3"/>
    </w:pPr>
    <w:rPr>
      <w:rFonts w:ascii="Cambria" w:eastAsia="Cambria" w:hAnsi="Cambria" w:cs="Cambria"/>
      <w:b/>
      <w:sz w:val="28"/>
      <w:szCs w:val="28"/>
    </w:rPr>
  </w:style>
  <w:style w:type="paragraph" w:styleId="Ttulo5">
    <w:name w:val="heading 5"/>
    <w:basedOn w:val="Normal"/>
    <w:next w:val="Normal"/>
    <w:uiPriority w:val="9"/>
    <w:semiHidden/>
    <w:unhideWhenUsed/>
    <w:qFormat/>
    <w:pPr>
      <w:spacing w:before="240" w:after="60"/>
      <w:ind w:left="3600" w:hanging="720"/>
      <w:outlineLvl w:val="4"/>
    </w:pPr>
    <w:rPr>
      <w:rFonts w:ascii="Cambria" w:eastAsia="Cambria" w:hAnsi="Cambria" w:cs="Cambria"/>
      <w:b/>
      <w:i/>
      <w:sz w:val="26"/>
      <w:szCs w:val="26"/>
    </w:rPr>
  </w:style>
  <w:style w:type="paragraph" w:styleId="Ttulo6">
    <w:name w:val="heading 6"/>
    <w:basedOn w:val="Normal"/>
    <w:next w:val="Normal"/>
    <w:uiPriority w:val="9"/>
    <w:semiHidden/>
    <w:unhideWhenUsed/>
    <w:qFormat/>
    <w:pPr>
      <w:spacing w:before="240" w:after="60"/>
      <w:ind w:left="4320" w:hanging="720"/>
      <w:outlineLvl w:val="5"/>
    </w:pPr>
    <w:rPr>
      <w:b/>
      <w:sz w:val="22"/>
      <w:szCs w:val="22"/>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tulo">
    <w:name w:val="Title"/>
    <w:basedOn w:val="Normal"/>
    <w:next w:val="Normal"/>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table" w:customStyle="1" w:styleId="TableNormal1">
    <w:name w:val="Table Normal"/>
    <w:tblPr>
      <w:tblCellMar>
        <w:top w:w="0" w:type="dxa"/>
        <w:left w:w="0" w:type="dxa"/>
        <w:bottom w:w="0" w:type="dxa"/>
        <w:right w:w="0" w:type="dxa"/>
      </w:tblCellMar>
    </w:tblPr>
  </w:style>
  <w:style w:type="table" w:customStyle="1" w:styleId="TableNormal2">
    <w:name w:val="Table Normal"/>
    <w:tblPr>
      <w:tblCellMar>
        <w:top w:w="0" w:type="dxa"/>
        <w:left w:w="0" w:type="dxa"/>
        <w:bottom w:w="0" w:type="dxa"/>
        <w:right w:w="0" w:type="dxa"/>
      </w:tblCellMar>
    </w:tblPr>
  </w:style>
  <w:style w:type="paragraph" w:styleId="Subttulo">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2"/>
    <w:tblPr>
      <w:tblStyleRowBandSize w:val="1"/>
      <w:tblStyleColBandSize w:val="1"/>
      <w:tblCellMar>
        <w:left w:w="115" w:type="dxa"/>
        <w:right w:w="115" w:type="dxa"/>
      </w:tblCellMar>
    </w:tblPr>
  </w:style>
  <w:style w:type="table" w:customStyle="1" w:styleId="a0">
    <w:basedOn w:val="TableNormal2"/>
    <w:tblPr>
      <w:tblStyleRowBandSize w:val="1"/>
      <w:tblStyleColBandSize w:val="1"/>
      <w:tblCellMar>
        <w:left w:w="115" w:type="dxa"/>
        <w:right w:w="115" w:type="dxa"/>
      </w:tblCellMar>
    </w:tblPr>
  </w:style>
  <w:style w:type="paragraph" w:styleId="Encabezado">
    <w:name w:val="header"/>
    <w:basedOn w:val="Normal"/>
    <w:link w:val="EncabezadoCar"/>
    <w:uiPriority w:val="99"/>
    <w:unhideWhenUsed/>
    <w:rsid w:val="005E3D1F"/>
    <w:pPr>
      <w:tabs>
        <w:tab w:val="center" w:pos="4419"/>
        <w:tab w:val="right" w:pos="8838"/>
      </w:tabs>
    </w:pPr>
  </w:style>
  <w:style w:type="character" w:customStyle="1" w:styleId="EncabezadoCar">
    <w:name w:val="Encabezado Car"/>
    <w:basedOn w:val="Fuentedeprrafopredeter"/>
    <w:link w:val="Encabezado"/>
    <w:uiPriority w:val="99"/>
    <w:rsid w:val="005E3D1F"/>
  </w:style>
  <w:style w:type="paragraph" w:styleId="Piedepgina">
    <w:name w:val="footer"/>
    <w:basedOn w:val="Normal"/>
    <w:link w:val="PiedepginaCar"/>
    <w:uiPriority w:val="99"/>
    <w:unhideWhenUsed/>
    <w:rsid w:val="005E3D1F"/>
    <w:pPr>
      <w:tabs>
        <w:tab w:val="center" w:pos="4419"/>
        <w:tab w:val="right" w:pos="8838"/>
      </w:tabs>
    </w:pPr>
  </w:style>
  <w:style w:type="character" w:customStyle="1" w:styleId="PiedepginaCar">
    <w:name w:val="Pie de página Car"/>
    <w:basedOn w:val="Fuentedeprrafopredeter"/>
    <w:link w:val="Piedepgina"/>
    <w:uiPriority w:val="99"/>
    <w:rsid w:val="005E3D1F"/>
  </w:style>
  <w:style w:type="character" w:styleId="Hipervnculo">
    <w:name w:val="Hyperlink"/>
    <w:basedOn w:val="Fuentedeprrafopredeter"/>
    <w:uiPriority w:val="99"/>
    <w:unhideWhenUsed/>
    <w:rsid w:val="005E3D1F"/>
    <w:rPr>
      <w:color w:val="0000FF"/>
      <w:u w:val="single"/>
    </w:rPr>
  </w:style>
  <w:style w:type="paragraph" w:styleId="Prrafodelista">
    <w:name w:val="List Paragraph"/>
    <w:aliases w:val="lp1,List Paragraph1,Lista de nivel 1,4 Párrafo de lista,Figuras,Dot pt,No Spacing1,List Paragraph Char Char Char,Indicator Text,Numbered Para 1,DH1,Listas,Light Grid - Accent 31,Colorful List - Accent 11,Bullet 1,F5 List Paragraph,5.9.1"/>
    <w:basedOn w:val="Normal"/>
    <w:link w:val="PrrafodelistaCar"/>
    <w:uiPriority w:val="34"/>
    <w:qFormat/>
    <w:rsid w:val="00CF0F6F"/>
    <w:pPr>
      <w:ind w:left="720"/>
      <w:contextualSpacing/>
    </w:pPr>
  </w:style>
  <w:style w:type="character" w:customStyle="1" w:styleId="PrrafodelistaCar">
    <w:name w:val="Párrafo de lista Car"/>
    <w:aliases w:val="lp1 Car,List Paragraph1 Car,Lista de nivel 1 Car,4 Párrafo de lista Car,Figuras Car,Dot pt Car,No Spacing1 Car,List Paragraph Char Char Char Car,Indicator Text Car,Numbered Para 1 Car,DH1 Car,Listas Car,Light Grid - Accent 31 Car"/>
    <w:link w:val="Prrafodelista"/>
    <w:uiPriority w:val="34"/>
    <w:qFormat/>
    <w:locked/>
    <w:rsid w:val="000011D2"/>
  </w:style>
  <w:style w:type="table" w:styleId="Tablaconcuadrcula">
    <w:name w:val="Table Grid"/>
    <w:basedOn w:val="Tablanormal"/>
    <w:uiPriority w:val="39"/>
    <w:rsid w:val="008B5C6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a1">
    <w:basedOn w:val="TableNormal2"/>
    <w:tblPr>
      <w:tblStyleRowBandSize w:val="1"/>
      <w:tblStyleColBandSize w:val="1"/>
      <w:tblCellMar>
        <w:left w:w="108" w:type="dxa"/>
        <w:right w:w="108" w:type="dxa"/>
      </w:tblCellMar>
    </w:tblPr>
  </w:style>
  <w:style w:type="table" w:customStyle="1" w:styleId="a2">
    <w:basedOn w:val="TableNormal2"/>
    <w:tblPr>
      <w:tblStyleRowBandSize w:val="1"/>
      <w:tblStyleColBandSize w:val="1"/>
      <w:tblCellMar>
        <w:left w:w="115" w:type="dxa"/>
        <w:right w:w="115" w:type="dxa"/>
      </w:tblCellMar>
    </w:tblPr>
  </w:style>
  <w:style w:type="table" w:customStyle="1" w:styleId="a3">
    <w:basedOn w:val="TableNormal2"/>
    <w:tblPr>
      <w:tblStyleRowBandSize w:val="1"/>
      <w:tblStyleColBandSize w:val="1"/>
      <w:tblCellMar>
        <w:left w:w="115" w:type="dxa"/>
        <w:right w:w="115" w:type="dxa"/>
      </w:tblCellMar>
    </w:tblPr>
  </w:style>
  <w:style w:type="table" w:customStyle="1" w:styleId="a4">
    <w:basedOn w:val="TableNormal2"/>
    <w:tblPr>
      <w:tblStyleRowBandSize w:val="1"/>
      <w:tblStyleColBandSize w:val="1"/>
      <w:tblCellMar>
        <w:left w:w="115" w:type="dxa"/>
        <w:right w:w="115" w:type="dxa"/>
      </w:tblCellMar>
    </w:tblPr>
  </w:style>
  <w:style w:type="table" w:customStyle="1" w:styleId="a5">
    <w:basedOn w:val="TableNormal1"/>
    <w:tblPr>
      <w:tblStyleRowBandSize w:val="1"/>
      <w:tblStyleColBandSize w:val="1"/>
      <w:tblCellMar>
        <w:left w:w="115" w:type="dxa"/>
        <w:right w:w="115" w:type="dxa"/>
      </w:tblCellMar>
    </w:tblPr>
  </w:style>
  <w:style w:type="table" w:customStyle="1" w:styleId="a6">
    <w:basedOn w:val="TableNormal1"/>
    <w:tblPr>
      <w:tblStyleRowBandSize w:val="1"/>
      <w:tblStyleColBandSize w:val="1"/>
      <w:tblCellMar>
        <w:left w:w="115" w:type="dxa"/>
        <w:right w:w="115" w:type="dxa"/>
      </w:tblCellMar>
    </w:tblPr>
  </w:style>
  <w:style w:type="table" w:customStyle="1" w:styleId="a7">
    <w:basedOn w:val="TableNormal1"/>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https://saimex.org.mx/saimex/solicitud/downloadAttach/2261268.page"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6.png"/><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image" Target="media/image1.png"/><Relationship Id="rId19" Type="http://schemas.openxmlformats.org/officeDocument/2006/relationships/header" Target="header3.xml"/><Relationship Id="rId4" Type="http://schemas.openxmlformats.org/officeDocument/2006/relationships/settings" Target="settings.xml"/><Relationship Id="rId9" Type="http://schemas.openxmlformats.org/officeDocument/2006/relationships/hyperlink" Target="https://saimex.org.mx/saimex/solicitud/downloadAttach/2261269.page" TargetMode="External"/><Relationship Id="rId14" Type="http://schemas.openxmlformats.org/officeDocument/2006/relationships/image" Target="media/image4.png"/></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header2.xml.rels><?xml version="1.0" encoding="UTF-8" standalone="yes"?>
<Relationships xmlns="http://schemas.openxmlformats.org/package/2006/relationships"><Relationship Id="rId1"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hXcZWUivuyxANgZxrb3gRmwx0wyw==">CgMxLjAyCGguZ2pkZ3hzMgloLjMwajB6bGwyCGgudHlqY3d0MgloLjN6bnlzaDcyCWguMWZvYjl0ZTgAciExb0RKOWFjUkVuZUhGbk94THI3YWdWRnNISkNid3dhSnA=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47</Pages>
  <Words>10239</Words>
  <Characters>56316</Characters>
  <Application>Microsoft Office Word</Application>
  <DocSecurity>0</DocSecurity>
  <Lines>469</Lines>
  <Paragraphs>132</Paragraphs>
  <ScaleCrop>false</ScaleCrop>
  <HeadingPairs>
    <vt:vector size="2" baseType="variant">
      <vt:variant>
        <vt:lpstr>Título</vt:lpstr>
      </vt:variant>
      <vt:variant>
        <vt:i4>1</vt:i4>
      </vt:variant>
    </vt:vector>
  </HeadingPairs>
  <TitlesOfParts>
    <vt:vector size="1" baseType="lpstr">
      <vt:lpstr/>
    </vt:vector>
  </TitlesOfParts>
  <Company>HP Inc.</Company>
  <LinksUpToDate>false</LinksUpToDate>
  <CharactersWithSpaces>66423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USUARIO</dc:creator>
  <cp:lastModifiedBy>Maricela Villagómez Martínez</cp:lastModifiedBy>
  <cp:revision>2</cp:revision>
  <cp:lastPrinted>2024-11-29T19:03:00Z</cp:lastPrinted>
  <dcterms:created xsi:type="dcterms:W3CDTF">2024-12-06T20:22:00Z</dcterms:created>
  <dcterms:modified xsi:type="dcterms:W3CDTF">2024-12-06T20:22:00Z</dcterms:modified>
</cp:coreProperties>
</file>