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1539" w14:textId="77777777" w:rsidR="00A77C4C" w:rsidRDefault="00A77C4C">
      <w:pPr>
        <w:widowControl w:val="0"/>
        <w:pBdr>
          <w:top w:val="nil"/>
          <w:left w:val="nil"/>
          <w:bottom w:val="nil"/>
          <w:right w:val="nil"/>
          <w:between w:val="nil"/>
        </w:pBdr>
        <w:spacing w:after="0" w:line="276" w:lineRule="auto"/>
        <w:jc w:val="left"/>
      </w:pPr>
    </w:p>
    <w:p w14:paraId="17FB09BF" w14:textId="77777777" w:rsidR="00A77C4C" w:rsidRDefault="00C2394E">
      <w:pPr>
        <w:tabs>
          <w:tab w:val="left" w:pos="8931"/>
        </w:tabs>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cuatro de diciembre de dos mil veinticuatro. </w:t>
      </w:r>
    </w:p>
    <w:p w14:paraId="14B1964B" w14:textId="77777777" w:rsidR="00A77C4C" w:rsidRDefault="00A77C4C">
      <w:pPr>
        <w:spacing w:after="0" w:line="360" w:lineRule="auto"/>
        <w:rPr>
          <w:b/>
          <w:color w:val="000000"/>
        </w:rPr>
      </w:pPr>
    </w:p>
    <w:p w14:paraId="7BDF6DAB" w14:textId="318A3384" w:rsidR="00A77C4C" w:rsidRDefault="00C2394E">
      <w:pPr>
        <w:spacing w:after="0" w:line="360" w:lineRule="auto"/>
        <w:rPr>
          <w:color w:val="0D0D0D"/>
        </w:rPr>
      </w:pPr>
      <w:r>
        <w:rPr>
          <w:b/>
          <w:color w:val="000000"/>
        </w:rPr>
        <w:t xml:space="preserve">VISTO </w:t>
      </w:r>
      <w:r>
        <w:rPr>
          <w:color w:val="000000"/>
        </w:rPr>
        <w:t xml:space="preserve">el expediente electrónico conformado con motivo del Recurso de Revisión </w:t>
      </w:r>
      <w:r w:rsidRPr="009047CE">
        <w:rPr>
          <w:b/>
          <w:color w:val="000000"/>
        </w:rPr>
        <w:t>07131/INFOEM/IP/RR/2024</w:t>
      </w:r>
      <w:r>
        <w:rPr>
          <w:color w:val="000000"/>
        </w:rPr>
        <w:t>, interpuesto</w:t>
      </w:r>
      <w:r w:rsidR="00F1311C">
        <w:rPr>
          <w:color w:val="000000"/>
        </w:rPr>
        <w:t xml:space="preserve"> por </w:t>
      </w:r>
      <w:r w:rsidR="00F1311C" w:rsidRPr="00F1311C">
        <w:rPr>
          <w:b/>
          <w:color w:val="000000"/>
          <w:highlight w:val="black"/>
        </w:rPr>
        <w:t>XXXXXXXXXXXXXXXXXXXX</w:t>
      </w:r>
      <w:r w:rsidR="00F1311C">
        <w:rPr>
          <w:color w:val="000000"/>
        </w:rPr>
        <w:t xml:space="preserve">, </w:t>
      </w:r>
      <w:r>
        <w:rPr>
          <w:color w:val="000000"/>
        </w:rPr>
        <w:t xml:space="preserve">en lo sucesivo el </w:t>
      </w:r>
      <w:r>
        <w:rPr>
          <w:color w:val="0D0D0D"/>
        </w:rPr>
        <w:t xml:space="preserve">Recurrente o Particular, en contra de la respuesta del Sujeto Obligado, </w:t>
      </w:r>
      <w:r w:rsidRPr="009047CE">
        <w:rPr>
          <w:b/>
          <w:color w:val="000000"/>
        </w:rPr>
        <w:t>Ayuntamiento de Acambay de Ruíz Castañeda,</w:t>
      </w:r>
      <w:r>
        <w:rPr>
          <w:color w:val="0D0D0D"/>
        </w:rPr>
        <w:t xml:space="preserve"> a la solicitud de acceso a la información pública 00158/ACAMBAY/IP/2024</w:t>
      </w:r>
      <w:r>
        <w:rPr>
          <w:color w:val="000000"/>
        </w:rPr>
        <w:t xml:space="preserve">, </w:t>
      </w:r>
      <w:r>
        <w:rPr>
          <w:color w:val="0D0D0D"/>
        </w:rPr>
        <w:t>se emite la presente Resolución, con base en los Antecedentes y Considerandos que se exponen a continuación:</w:t>
      </w:r>
    </w:p>
    <w:p w14:paraId="457F42B0" w14:textId="77777777" w:rsidR="00A77C4C" w:rsidRDefault="00A77C4C">
      <w:pPr>
        <w:spacing w:after="0" w:line="360" w:lineRule="auto"/>
        <w:rPr>
          <w:b/>
          <w:color w:val="000000"/>
        </w:rPr>
      </w:pPr>
    </w:p>
    <w:p w14:paraId="3E2E46A9" w14:textId="77777777" w:rsidR="00A77C4C" w:rsidRDefault="00C2394E">
      <w:pPr>
        <w:spacing w:after="0" w:line="360" w:lineRule="auto"/>
        <w:jc w:val="center"/>
        <w:rPr>
          <w:b/>
          <w:color w:val="000000"/>
        </w:rPr>
      </w:pPr>
      <w:r>
        <w:rPr>
          <w:b/>
          <w:color w:val="000000"/>
        </w:rPr>
        <w:t>A N T E C E D E N T E S</w:t>
      </w:r>
    </w:p>
    <w:p w14:paraId="10598A61" w14:textId="77777777" w:rsidR="00A77C4C" w:rsidRDefault="00A77C4C">
      <w:pPr>
        <w:spacing w:after="0" w:line="360" w:lineRule="auto"/>
        <w:jc w:val="center"/>
        <w:rPr>
          <w:b/>
          <w:color w:val="000000"/>
        </w:rPr>
      </w:pPr>
    </w:p>
    <w:p w14:paraId="561E5B91" w14:textId="77777777" w:rsidR="00A77C4C" w:rsidRDefault="00C2394E">
      <w:pPr>
        <w:tabs>
          <w:tab w:val="left" w:pos="567"/>
        </w:tabs>
        <w:spacing w:after="0" w:line="360" w:lineRule="auto"/>
        <w:rPr>
          <w:b/>
          <w:color w:val="000000"/>
        </w:rPr>
      </w:pPr>
      <w:r>
        <w:rPr>
          <w:b/>
          <w:color w:val="000000"/>
        </w:rPr>
        <w:t>I. Presentación de la solicitud de información</w:t>
      </w:r>
    </w:p>
    <w:p w14:paraId="65ABA995" w14:textId="77777777" w:rsidR="00A77C4C" w:rsidRDefault="00A77C4C">
      <w:pPr>
        <w:tabs>
          <w:tab w:val="left" w:pos="567"/>
        </w:tabs>
        <w:spacing w:after="0" w:line="360" w:lineRule="auto"/>
        <w:rPr>
          <w:color w:val="000000"/>
        </w:rPr>
      </w:pPr>
    </w:p>
    <w:p w14:paraId="0595A627" w14:textId="77777777" w:rsidR="00A77C4C" w:rsidRDefault="00C2394E">
      <w:pPr>
        <w:spacing w:after="0" w:line="360" w:lineRule="auto"/>
        <w:rPr>
          <w:color w:val="000000"/>
        </w:rPr>
      </w:pPr>
      <w:r>
        <w:rPr>
          <w:color w:val="000000"/>
        </w:rPr>
        <w:t xml:space="preserve">Con fecha nueve de octubre de dos mil veinticuatro, el Particular presentó una solicitud de acceso a la información pública, a través del Sistema de Acceso a la Información Mexiquense (SAIMEX), ante el Ayuntamiento de Acambay de Ruíz Castañeda, en los siguientes términos: </w:t>
      </w:r>
    </w:p>
    <w:p w14:paraId="5913E4A8" w14:textId="77777777" w:rsidR="00A77C4C" w:rsidRDefault="00A77C4C">
      <w:pPr>
        <w:spacing w:after="0" w:line="360" w:lineRule="auto"/>
        <w:rPr>
          <w:color w:val="000000"/>
        </w:rPr>
      </w:pPr>
    </w:p>
    <w:p w14:paraId="6B37ED9A" w14:textId="77777777" w:rsidR="00A77C4C" w:rsidRDefault="00C2394E">
      <w:pPr>
        <w:tabs>
          <w:tab w:val="left" w:pos="4667"/>
        </w:tabs>
        <w:spacing w:after="0" w:line="360" w:lineRule="auto"/>
        <w:ind w:left="567" w:right="567"/>
        <w:rPr>
          <w:b/>
          <w:i/>
          <w:color w:val="000000"/>
          <w:sz w:val="20"/>
          <w:szCs w:val="20"/>
        </w:rPr>
      </w:pPr>
      <w:r>
        <w:rPr>
          <w:b/>
          <w:i/>
          <w:color w:val="000000"/>
          <w:sz w:val="20"/>
          <w:szCs w:val="20"/>
        </w:rPr>
        <w:t>“DESCRIPCIÓN CLARA Y PRECISA DE LA INFORMACIÓN SOLICITADA</w:t>
      </w:r>
    </w:p>
    <w:p w14:paraId="5BA30E5A" w14:textId="77777777" w:rsidR="00A77C4C" w:rsidRDefault="00C2394E">
      <w:pPr>
        <w:tabs>
          <w:tab w:val="left" w:pos="4667"/>
        </w:tabs>
        <w:spacing w:after="0" w:line="360" w:lineRule="auto"/>
        <w:ind w:left="567" w:right="567"/>
        <w:rPr>
          <w:i/>
          <w:color w:val="000000"/>
          <w:sz w:val="20"/>
          <w:szCs w:val="20"/>
        </w:rPr>
      </w:pPr>
      <w:r>
        <w:rPr>
          <w:i/>
          <w:color w:val="000000"/>
          <w:sz w:val="20"/>
          <w:szCs w:val="20"/>
        </w:rPr>
        <w:t>Solicito el catálogo de proveedores correspondiente al ejercicio fiscal 2024” (Sic)</w:t>
      </w:r>
    </w:p>
    <w:p w14:paraId="196A71A2" w14:textId="77777777" w:rsidR="00A77C4C" w:rsidRDefault="00A77C4C">
      <w:pPr>
        <w:tabs>
          <w:tab w:val="left" w:pos="4667"/>
        </w:tabs>
        <w:spacing w:after="0" w:line="360" w:lineRule="auto"/>
        <w:ind w:left="567" w:right="567"/>
        <w:rPr>
          <w:i/>
          <w:color w:val="000000"/>
          <w:sz w:val="20"/>
          <w:szCs w:val="20"/>
        </w:rPr>
      </w:pPr>
    </w:p>
    <w:p w14:paraId="23960CA6" w14:textId="77777777" w:rsidR="00A77C4C" w:rsidRDefault="00C2394E">
      <w:pPr>
        <w:tabs>
          <w:tab w:val="left" w:pos="4667"/>
        </w:tabs>
        <w:spacing w:after="0" w:line="360" w:lineRule="auto"/>
        <w:ind w:left="567"/>
        <w:rPr>
          <w:b/>
          <w:i/>
          <w:color w:val="000000"/>
          <w:sz w:val="20"/>
          <w:szCs w:val="20"/>
        </w:rPr>
      </w:pPr>
      <w:r>
        <w:rPr>
          <w:b/>
          <w:i/>
          <w:color w:val="000000"/>
          <w:sz w:val="20"/>
          <w:szCs w:val="20"/>
        </w:rPr>
        <w:t xml:space="preserve">“Modalidad de Entrega: </w:t>
      </w:r>
    </w:p>
    <w:p w14:paraId="4E700A01" w14:textId="77777777" w:rsidR="00A77C4C" w:rsidRDefault="00C2394E">
      <w:pPr>
        <w:tabs>
          <w:tab w:val="left" w:pos="4667"/>
        </w:tabs>
        <w:spacing w:after="0" w:line="360" w:lineRule="auto"/>
        <w:ind w:left="567"/>
        <w:rPr>
          <w:i/>
          <w:color w:val="000000"/>
          <w:sz w:val="20"/>
          <w:szCs w:val="20"/>
        </w:rPr>
      </w:pPr>
      <w:r>
        <w:rPr>
          <w:i/>
          <w:color w:val="000000"/>
          <w:sz w:val="20"/>
          <w:szCs w:val="20"/>
        </w:rPr>
        <w:t>A través del SAIMEX”</w:t>
      </w:r>
    </w:p>
    <w:p w14:paraId="3B3CB011" w14:textId="77777777" w:rsidR="00A77C4C" w:rsidRDefault="00A77C4C">
      <w:pPr>
        <w:tabs>
          <w:tab w:val="left" w:pos="4667"/>
        </w:tabs>
        <w:spacing w:after="0" w:line="360" w:lineRule="auto"/>
        <w:ind w:left="567"/>
        <w:rPr>
          <w:i/>
          <w:color w:val="000000"/>
          <w:sz w:val="20"/>
          <w:szCs w:val="20"/>
        </w:rPr>
      </w:pPr>
    </w:p>
    <w:p w14:paraId="223B3EA4" w14:textId="77777777" w:rsidR="00A77C4C" w:rsidRDefault="00C2394E">
      <w:pPr>
        <w:spacing w:after="0" w:line="360" w:lineRule="auto"/>
        <w:rPr>
          <w:b/>
          <w:color w:val="000000"/>
        </w:rPr>
      </w:pPr>
      <w:r>
        <w:rPr>
          <w:b/>
          <w:color w:val="000000"/>
        </w:rPr>
        <w:lastRenderedPageBreak/>
        <w:t>II. Respuesta del Sujeto Obligado</w:t>
      </w:r>
    </w:p>
    <w:p w14:paraId="55DED179" w14:textId="77777777" w:rsidR="00A77C4C" w:rsidRDefault="00A77C4C">
      <w:pPr>
        <w:spacing w:after="0" w:line="360" w:lineRule="auto"/>
        <w:rPr>
          <w:b/>
          <w:color w:val="000000"/>
        </w:rPr>
      </w:pPr>
    </w:p>
    <w:p w14:paraId="6016FC20" w14:textId="77777777" w:rsidR="00A77C4C" w:rsidRDefault="00C2394E">
      <w:pPr>
        <w:spacing w:after="0" w:line="360" w:lineRule="auto"/>
        <w:rPr>
          <w:color w:val="000000"/>
        </w:rPr>
      </w:pPr>
      <w:r>
        <w:rPr>
          <w:color w:val="000000"/>
        </w:rPr>
        <w:t xml:space="preserve">Con fecha treinta de octubre de dos mil veinticuatro, el Sujeto Obligado notificó, a través del Sistema de Acceso a la Información Mexiquense (SAIMEX), la respuesta a la solicitud de acceso a la información pública, a través de los oficios con números </w:t>
      </w:r>
      <w:proofErr w:type="spellStart"/>
      <w:r>
        <w:rPr>
          <w:color w:val="000000"/>
        </w:rPr>
        <w:t>UADyRM</w:t>
      </w:r>
      <w:proofErr w:type="spellEnd"/>
      <w:r>
        <w:rPr>
          <w:color w:val="000000"/>
        </w:rPr>
        <w:t xml:space="preserve">/0064/2024 y ACA/OP/0733/2024 suscritos por la Encargada de la Unidad de Adquisiciones y Recursos Materiales y el Director de Obras Públicas, y dirigidos  a la Titular de la Unidad de Transparencia, por medio de los cuales proporcionaron dos ligas electrónicas para consultar la información solicitada.  </w:t>
      </w:r>
    </w:p>
    <w:p w14:paraId="6CD34A6A" w14:textId="77777777" w:rsidR="00A77C4C" w:rsidRDefault="00A77C4C">
      <w:pPr>
        <w:spacing w:after="0" w:line="360" w:lineRule="auto"/>
        <w:rPr>
          <w:i/>
          <w:color w:val="000000"/>
        </w:rPr>
      </w:pPr>
    </w:p>
    <w:p w14:paraId="00DAA8D7" w14:textId="77777777" w:rsidR="00A77C4C" w:rsidRDefault="00C2394E">
      <w:pPr>
        <w:spacing w:after="0" w:line="360" w:lineRule="auto"/>
        <w:rPr>
          <w:b/>
          <w:color w:val="000000"/>
        </w:rPr>
      </w:pPr>
      <w:r>
        <w:rPr>
          <w:b/>
          <w:color w:val="000000"/>
        </w:rPr>
        <w:t>III. Interposición del Recurso de Revisión</w:t>
      </w:r>
    </w:p>
    <w:p w14:paraId="5F8BFBF9" w14:textId="77777777" w:rsidR="00A77C4C" w:rsidRDefault="00A77C4C">
      <w:pPr>
        <w:spacing w:after="0" w:line="360" w:lineRule="auto"/>
        <w:rPr>
          <w:b/>
          <w:color w:val="000000"/>
        </w:rPr>
      </w:pPr>
    </w:p>
    <w:p w14:paraId="184E5E52" w14:textId="77777777" w:rsidR="00A77C4C" w:rsidRDefault="00C2394E">
      <w:pPr>
        <w:spacing w:after="0" w:line="360" w:lineRule="auto"/>
        <w:rPr>
          <w:color w:val="000000"/>
        </w:rPr>
      </w:pPr>
      <w:r>
        <w:rPr>
          <w:color w:val="000000"/>
        </w:rPr>
        <w:t>Con fecha ocho de noviembre de dos mil veinticuatro, se recibió en este Instituto, a través del Sistema de Acceso a la Información Mexiquense (SAIMEX), Recurso de Revisión interpuesto por la parte Recurrente, en contra de la respuesta por el Sujeto Obligado, a la solicitud de información,</w:t>
      </w:r>
      <w:r>
        <w:rPr>
          <w:b/>
          <w:color w:val="000000"/>
        </w:rPr>
        <w:t xml:space="preserve"> </w:t>
      </w:r>
      <w:r>
        <w:rPr>
          <w:color w:val="000000"/>
        </w:rPr>
        <w:t>en los siguientes términos:</w:t>
      </w:r>
    </w:p>
    <w:p w14:paraId="11852D15" w14:textId="77777777" w:rsidR="00A77C4C" w:rsidRDefault="00A77C4C">
      <w:pPr>
        <w:spacing w:after="0" w:line="360" w:lineRule="auto"/>
        <w:rPr>
          <w:color w:val="000000"/>
        </w:rPr>
      </w:pPr>
    </w:p>
    <w:p w14:paraId="3D1F486F" w14:textId="77777777" w:rsidR="00A77C4C" w:rsidRDefault="00C2394E">
      <w:pPr>
        <w:spacing w:after="0" w:line="360" w:lineRule="auto"/>
        <w:ind w:left="567" w:right="567"/>
        <w:rPr>
          <w:i/>
          <w:color w:val="000000"/>
          <w:sz w:val="20"/>
          <w:szCs w:val="20"/>
        </w:rPr>
      </w:pPr>
      <w:r>
        <w:rPr>
          <w:b/>
          <w:i/>
          <w:color w:val="000000"/>
          <w:sz w:val="20"/>
          <w:szCs w:val="20"/>
        </w:rPr>
        <w:t>“ACTO IMPUGNADO</w:t>
      </w:r>
    </w:p>
    <w:p w14:paraId="742AA0F0" w14:textId="77777777" w:rsidR="00A77C4C" w:rsidRDefault="00C2394E">
      <w:pPr>
        <w:spacing w:after="0" w:line="360" w:lineRule="auto"/>
        <w:ind w:left="567" w:right="567"/>
        <w:rPr>
          <w:i/>
          <w:color w:val="000000"/>
          <w:sz w:val="20"/>
          <w:szCs w:val="20"/>
        </w:rPr>
      </w:pPr>
      <w:r>
        <w:rPr>
          <w:i/>
          <w:color w:val="000000"/>
          <w:sz w:val="20"/>
          <w:szCs w:val="20"/>
        </w:rPr>
        <w:t>Solicito el catálogo de proveedores correspondiente al ejercicio fiscal 2024” (Sic.)</w:t>
      </w:r>
    </w:p>
    <w:p w14:paraId="226D167E" w14:textId="77777777" w:rsidR="00A77C4C" w:rsidRDefault="00A77C4C">
      <w:pPr>
        <w:spacing w:after="0" w:line="360" w:lineRule="auto"/>
        <w:ind w:left="567" w:right="567"/>
        <w:rPr>
          <w:i/>
          <w:color w:val="000000"/>
          <w:sz w:val="20"/>
          <w:szCs w:val="20"/>
          <w:highlight w:val="yellow"/>
        </w:rPr>
      </w:pPr>
    </w:p>
    <w:p w14:paraId="4E04AAA0" w14:textId="77777777" w:rsidR="00A77C4C" w:rsidRDefault="00C2394E">
      <w:pPr>
        <w:spacing w:after="0" w:line="360" w:lineRule="auto"/>
        <w:ind w:left="567" w:right="567"/>
        <w:rPr>
          <w:b/>
          <w:i/>
          <w:color w:val="000000"/>
          <w:sz w:val="20"/>
          <w:szCs w:val="20"/>
        </w:rPr>
      </w:pPr>
      <w:r>
        <w:rPr>
          <w:b/>
          <w:i/>
          <w:color w:val="000000"/>
          <w:sz w:val="20"/>
          <w:szCs w:val="20"/>
        </w:rPr>
        <w:t>“RAZONES O MOTIVOS DE LA INCONFORMIDAD</w:t>
      </w:r>
    </w:p>
    <w:p w14:paraId="2412A793" w14:textId="77777777" w:rsidR="00A77C4C" w:rsidRDefault="00C2394E">
      <w:pPr>
        <w:spacing w:after="0" w:line="360" w:lineRule="auto"/>
        <w:ind w:left="567" w:right="567"/>
        <w:rPr>
          <w:i/>
          <w:color w:val="000000"/>
          <w:sz w:val="20"/>
          <w:szCs w:val="20"/>
        </w:rPr>
      </w:pPr>
      <w:r>
        <w:rPr>
          <w:i/>
          <w:color w:val="000000"/>
          <w:sz w:val="20"/>
          <w:szCs w:val="20"/>
        </w:rPr>
        <w:t xml:space="preserve">No presentan información, toda vez que es </w:t>
      </w:r>
      <w:proofErr w:type="spellStart"/>
      <w:r>
        <w:rPr>
          <w:i/>
          <w:color w:val="000000"/>
          <w:sz w:val="20"/>
          <w:szCs w:val="20"/>
        </w:rPr>
        <w:t>comsidera</w:t>
      </w:r>
      <w:proofErr w:type="spellEnd"/>
      <w:r>
        <w:rPr>
          <w:i/>
          <w:color w:val="000000"/>
          <w:sz w:val="20"/>
          <w:szCs w:val="20"/>
        </w:rPr>
        <w:t xml:space="preserve"> información </w:t>
      </w:r>
      <w:proofErr w:type="spellStart"/>
      <w:r>
        <w:rPr>
          <w:i/>
          <w:color w:val="000000"/>
          <w:sz w:val="20"/>
          <w:szCs w:val="20"/>
        </w:rPr>
        <w:t>publica</w:t>
      </w:r>
      <w:proofErr w:type="spellEnd"/>
      <w:r>
        <w:rPr>
          <w:i/>
          <w:color w:val="000000"/>
          <w:sz w:val="20"/>
          <w:szCs w:val="20"/>
        </w:rPr>
        <w:t xml:space="preserve"> de conformidad con el artículo 92 de la Ley de Transparencia y Acceso a la Información Pública del Estado de México y Municipios.” (Sic.)</w:t>
      </w:r>
    </w:p>
    <w:p w14:paraId="7AB37802" w14:textId="77777777" w:rsidR="00A77C4C" w:rsidRDefault="00A77C4C">
      <w:pPr>
        <w:spacing w:after="0" w:line="360" w:lineRule="auto"/>
        <w:ind w:right="567"/>
        <w:rPr>
          <w:b/>
          <w:color w:val="000000"/>
          <w:sz w:val="20"/>
          <w:szCs w:val="20"/>
        </w:rPr>
      </w:pPr>
    </w:p>
    <w:p w14:paraId="520FDB1D" w14:textId="77777777" w:rsidR="00A77C4C" w:rsidRDefault="00C2394E">
      <w:pPr>
        <w:spacing w:after="0" w:line="360" w:lineRule="auto"/>
        <w:rPr>
          <w:b/>
          <w:color w:val="000000"/>
        </w:rPr>
      </w:pPr>
      <w:r>
        <w:rPr>
          <w:b/>
          <w:color w:val="000000"/>
        </w:rPr>
        <w:t>IV. Trámite del Recurso de Revisión ante este Instituto</w:t>
      </w:r>
    </w:p>
    <w:p w14:paraId="4555C113" w14:textId="77777777" w:rsidR="00A77C4C" w:rsidRDefault="00A77C4C">
      <w:pPr>
        <w:spacing w:after="0" w:line="360" w:lineRule="auto"/>
        <w:rPr>
          <w:b/>
          <w:color w:val="000000"/>
        </w:rPr>
      </w:pPr>
    </w:p>
    <w:p w14:paraId="05DCD211" w14:textId="77777777" w:rsidR="00A77C4C" w:rsidRDefault="00C2394E">
      <w:pPr>
        <w:spacing w:after="0" w:line="360" w:lineRule="auto"/>
        <w:rPr>
          <w:b/>
          <w:color w:val="000000"/>
        </w:rPr>
      </w:pPr>
      <w:r>
        <w:rPr>
          <w:b/>
          <w:color w:val="000000"/>
        </w:rPr>
        <w:t xml:space="preserve">a) Turno del Medio de Impugnación. </w:t>
      </w:r>
      <w:r>
        <w:rPr>
          <w:color w:val="000000"/>
        </w:rPr>
        <w:t xml:space="preserve">El ocho de noviembre de dos mil veinticuatro, el Sistema de Acceso a la Información Mexiquense (SAIMEX), asignó el número de expediente </w:t>
      </w:r>
      <w:r>
        <w:rPr>
          <w:b/>
          <w:color w:val="000000"/>
        </w:rPr>
        <w:t>07131/INFOEM/IP/RR/2024</w:t>
      </w:r>
      <w:r>
        <w:rPr>
          <w:color w:val="000000"/>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037399B1" w14:textId="77777777" w:rsidR="00A77C4C" w:rsidRDefault="00A77C4C">
      <w:pPr>
        <w:spacing w:after="0" w:line="360" w:lineRule="auto"/>
        <w:rPr>
          <w:color w:val="000000"/>
        </w:rPr>
      </w:pPr>
    </w:p>
    <w:p w14:paraId="04DBC1AB" w14:textId="77777777" w:rsidR="00A77C4C" w:rsidRDefault="00C2394E">
      <w:pPr>
        <w:spacing w:after="0" w:line="360" w:lineRule="auto"/>
        <w:rPr>
          <w:color w:val="000000"/>
        </w:rPr>
      </w:pPr>
      <w:r>
        <w:rPr>
          <w:b/>
          <w:color w:val="000000"/>
        </w:rPr>
        <w:t xml:space="preserve">b) Admisión del Recurso de Revisión. </w:t>
      </w:r>
      <w:r>
        <w:rPr>
          <w:color w:val="000000"/>
        </w:rPr>
        <w:t>El trece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DA17098" w14:textId="77777777" w:rsidR="00A77C4C" w:rsidRDefault="00A77C4C">
      <w:pPr>
        <w:spacing w:after="0" w:line="360" w:lineRule="auto"/>
        <w:rPr>
          <w:color w:val="000000"/>
        </w:rPr>
      </w:pPr>
    </w:p>
    <w:p w14:paraId="35696F41" w14:textId="77777777" w:rsidR="00A77C4C" w:rsidRDefault="00C2394E">
      <w:pPr>
        <w:spacing w:after="0" w:line="360" w:lineRule="auto"/>
        <w:rPr>
          <w:color w:val="000000"/>
        </w:rPr>
      </w:pPr>
      <w:r>
        <w:rPr>
          <w:b/>
          <w:color w:val="000000"/>
        </w:rPr>
        <w:t>c) Informe Justificado o manifestaciones.</w:t>
      </w:r>
      <w:r>
        <w:rPr>
          <w:color w:val="000000"/>
        </w:rPr>
        <w:t xml:space="preserve"> Las partes fueron omisas en emitir manifestaciones o alegatos.</w:t>
      </w:r>
    </w:p>
    <w:p w14:paraId="28DDEA28" w14:textId="77777777" w:rsidR="00A77C4C" w:rsidRDefault="00A77C4C">
      <w:pPr>
        <w:spacing w:after="0" w:line="360" w:lineRule="auto"/>
        <w:rPr>
          <w:b/>
          <w:color w:val="000000"/>
        </w:rPr>
      </w:pPr>
    </w:p>
    <w:p w14:paraId="646CB654" w14:textId="77777777" w:rsidR="00A77C4C" w:rsidRDefault="00C2394E">
      <w:pPr>
        <w:spacing w:after="0" w:line="360" w:lineRule="auto"/>
        <w:rPr>
          <w:b/>
          <w:color w:val="000000"/>
        </w:rPr>
      </w:pPr>
      <w:r>
        <w:rPr>
          <w:b/>
          <w:color w:val="000000"/>
        </w:rPr>
        <w:t>d) Cierre de instrucción.</w:t>
      </w:r>
      <w:r>
        <w:rPr>
          <w:color w:val="000000"/>
        </w:rPr>
        <w:t xml:space="preserve"> El veintiséis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 mismo día, mediante el Sistema de Acceso a la Información Mexiquense (SAIMEX).</w:t>
      </w:r>
    </w:p>
    <w:p w14:paraId="399B9E64" w14:textId="77777777" w:rsidR="00A77C4C" w:rsidRDefault="00A77C4C">
      <w:pPr>
        <w:spacing w:after="0" w:line="360" w:lineRule="auto"/>
      </w:pPr>
    </w:p>
    <w:p w14:paraId="22182F0F" w14:textId="77777777" w:rsidR="00A77C4C" w:rsidRDefault="00C2394E">
      <w:pPr>
        <w:spacing w:after="0" w:line="360" w:lineRule="auto"/>
        <w:rPr>
          <w:b/>
        </w:rPr>
      </w:pPr>
      <w:r>
        <w:lastRenderedPageBreak/>
        <w:t xml:space="preserve">En razón de que fue debidamente sustanciado el expediente electrónico y no existe diligencia pendiente de desahogo, se emite la resolución que conforme a Derecho proceda, de acuerdo a los siguientes: </w:t>
      </w:r>
    </w:p>
    <w:p w14:paraId="14D205EE" w14:textId="77777777" w:rsidR="00A77C4C" w:rsidRDefault="00C2394E">
      <w:pPr>
        <w:spacing w:after="0" w:line="360" w:lineRule="auto"/>
        <w:jc w:val="center"/>
        <w:rPr>
          <w:b/>
        </w:rPr>
      </w:pPr>
      <w:r>
        <w:rPr>
          <w:b/>
        </w:rPr>
        <w:t>CONSIDERANDOS:</w:t>
      </w:r>
    </w:p>
    <w:p w14:paraId="583A26C5" w14:textId="77777777" w:rsidR="00A77C4C" w:rsidRDefault="00A77C4C">
      <w:pPr>
        <w:spacing w:after="0" w:line="360" w:lineRule="auto"/>
        <w:rPr>
          <w:b/>
        </w:rPr>
      </w:pPr>
    </w:p>
    <w:p w14:paraId="49EE2CF5" w14:textId="77777777" w:rsidR="00A77C4C" w:rsidRDefault="00C2394E">
      <w:pPr>
        <w:spacing w:after="0" w:line="360" w:lineRule="auto"/>
        <w:rPr>
          <w:b/>
          <w:color w:val="000000"/>
        </w:rPr>
      </w:pPr>
      <w:r>
        <w:rPr>
          <w:b/>
          <w:color w:val="000000"/>
        </w:rPr>
        <w:t>PRIMERO. Competencia</w:t>
      </w:r>
    </w:p>
    <w:p w14:paraId="513F813A" w14:textId="77777777" w:rsidR="00A77C4C" w:rsidRDefault="00A77C4C">
      <w:pPr>
        <w:spacing w:after="0" w:line="360" w:lineRule="auto"/>
        <w:rPr>
          <w:b/>
          <w:color w:val="000000"/>
        </w:rPr>
      </w:pPr>
    </w:p>
    <w:p w14:paraId="0C4D8031" w14:textId="77777777" w:rsidR="00A77C4C" w:rsidRDefault="00C2394E">
      <w:pPr>
        <w:spacing w:after="0" w:line="360" w:lineRule="auto"/>
        <w:rPr>
          <w:color w:val="000000"/>
        </w:rPr>
      </w:pPr>
      <w:bookmarkStart w:id="0" w:name="_heading=h.gjdgxs" w:colFirst="0" w:colLast="0"/>
      <w:bookmarkEnd w:id="0"/>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w:t>
      </w:r>
      <w:r>
        <w:t xml:space="preserve"> </w:t>
      </w:r>
      <w:r>
        <w:rPr>
          <w:color w:val="000000"/>
        </w:rPr>
        <w:t>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43B7D6B" w14:textId="77777777" w:rsidR="00A77C4C" w:rsidRDefault="00A77C4C">
      <w:pPr>
        <w:spacing w:after="0" w:line="360" w:lineRule="auto"/>
        <w:rPr>
          <w:color w:val="000000"/>
        </w:rPr>
      </w:pPr>
    </w:p>
    <w:p w14:paraId="49472C64" w14:textId="77777777" w:rsidR="00A77C4C" w:rsidRDefault="00C2394E">
      <w:pPr>
        <w:spacing w:after="0" w:line="360" w:lineRule="auto"/>
        <w:rPr>
          <w:color w:val="000000"/>
        </w:rPr>
      </w:pPr>
      <w:r>
        <w:rPr>
          <w:b/>
          <w:color w:val="000000"/>
        </w:rPr>
        <w:t>SEGUNDO</w:t>
      </w:r>
      <w:r>
        <w:rPr>
          <w:color w:val="000000"/>
        </w:rPr>
        <w:t xml:space="preserve">. </w:t>
      </w:r>
      <w:r>
        <w:rPr>
          <w:b/>
          <w:color w:val="000000"/>
        </w:rPr>
        <w:t>Causales de improcedencia y sobreseimiento</w:t>
      </w:r>
    </w:p>
    <w:p w14:paraId="4A7ECCD9" w14:textId="77777777" w:rsidR="00A77C4C" w:rsidRDefault="00A77C4C">
      <w:pPr>
        <w:spacing w:after="0" w:line="360" w:lineRule="auto"/>
        <w:rPr>
          <w:color w:val="000000"/>
        </w:rPr>
      </w:pPr>
    </w:p>
    <w:p w14:paraId="7D857679" w14:textId="77777777" w:rsidR="00A77C4C" w:rsidRDefault="00C2394E">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041EF167" w14:textId="77777777" w:rsidR="00A77C4C" w:rsidRDefault="00A77C4C">
      <w:pPr>
        <w:spacing w:after="0" w:line="360" w:lineRule="auto"/>
        <w:rPr>
          <w:b/>
          <w:color w:val="000000"/>
        </w:rPr>
      </w:pPr>
    </w:p>
    <w:p w14:paraId="321FB032" w14:textId="77777777" w:rsidR="00A77C4C" w:rsidRDefault="00C2394E">
      <w:pPr>
        <w:spacing w:after="0" w:line="360" w:lineRule="auto"/>
        <w:rPr>
          <w:b/>
          <w:color w:val="000000"/>
        </w:rPr>
      </w:pPr>
      <w:r>
        <w:rPr>
          <w:b/>
          <w:color w:val="000000"/>
        </w:rPr>
        <w:lastRenderedPageBreak/>
        <w:t>Causales de improcedencia</w:t>
      </w:r>
    </w:p>
    <w:p w14:paraId="04B7355A" w14:textId="77777777" w:rsidR="00A77C4C" w:rsidRDefault="00A77C4C">
      <w:pPr>
        <w:spacing w:after="0" w:line="360" w:lineRule="auto"/>
        <w:rPr>
          <w:color w:val="000000"/>
        </w:rPr>
      </w:pPr>
    </w:p>
    <w:p w14:paraId="0386603E" w14:textId="77777777" w:rsidR="00A77C4C" w:rsidRDefault="00C2394E">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526D3E2" w14:textId="77777777" w:rsidR="00A77C4C" w:rsidRDefault="00A77C4C">
      <w:pPr>
        <w:spacing w:after="0" w:line="360" w:lineRule="auto"/>
        <w:rPr>
          <w:color w:val="000000"/>
        </w:rPr>
      </w:pPr>
    </w:p>
    <w:p w14:paraId="4D9B6921" w14:textId="77777777" w:rsidR="00A77C4C" w:rsidRDefault="00C2394E">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E1D03A2" w14:textId="77777777" w:rsidR="00A77C4C" w:rsidRDefault="00A77C4C">
      <w:pPr>
        <w:spacing w:after="0" w:line="360" w:lineRule="auto"/>
        <w:rPr>
          <w:color w:val="000000"/>
        </w:rPr>
      </w:pPr>
    </w:p>
    <w:p w14:paraId="1A21463B" w14:textId="77777777" w:rsidR="00A77C4C" w:rsidRDefault="00C2394E">
      <w:pPr>
        <w:spacing w:after="0" w:line="360" w:lineRule="auto"/>
        <w:rPr>
          <w:color w:val="000000"/>
        </w:rPr>
      </w:pPr>
      <w:r>
        <w:rPr>
          <w:color w:val="000000"/>
        </w:rPr>
        <w:t xml:space="preserve">Conforme a lo anterior, se actualiza la causal de procedencia señalada en el artículo 179, fracción VI, de la Ley de la materia, toda vez que el Solicitante se inconformó de la entrega de información que no corresponde con lo solicitado. </w:t>
      </w:r>
    </w:p>
    <w:p w14:paraId="098FF9E3" w14:textId="77777777" w:rsidR="00A77C4C" w:rsidRDefault="00A77C4C">
      <w:pPr>
        <w:spacing w:after="0" w:line="360" w:lineRule="auto"/>
        <w:rPr>
          <w:color w:val="000000"/>
        </w:rPr>
      </w:pPr>
    </w:p>
    <w:p w14:paraId="737232A2" w14:textId="77777777" w:rsidR="00A77C4C" w:rsidRDefault="00C2394E">
      <w:pPr>
        <w:spacing w:after="0" w:line="360" w:lineRule="auto"/>
        <w:rPr>
          <w:color w:val="000000"/>
        </w:rPr>
      </w:pPr>
      <w:r>
        <w:rPr>
          <w:b/>
          <w:color w:val="000000"/>
        </w:rPr>
        <w:t>Causales de sobreseimiento</w:t>
      </w:r>
    </w:p>
    <w:p w14:paraId="7F0D6164" w14:textId="77777777" w:rsidR="00A77C4C" w:rsidRDefault="00A77C4C">
      <w:pPr>
        <w:spacing w:after="0" w:line="360" w:lineRule="auto"/>
        <w:rPr>
          <w:color w:val="000000"/>
        </w:rPr>
      </w:pPr>
    </w:p>
    <w:p w14:paraId="3F5E32F0" w14:textId="77777777" w:rsidR="00A77C4C" w:rsidRDefault="00C2394E">
      <w:pPr>
        <w:spacing w:after="0" w:line="360" w:lineRule="auto"/>
        <w:rPr>
          <w:color w:val="000000"/>
        </w:rPr>
      </w:pPr>
      <w:r>
        <w:rPr>
          <w:color w:val="000000"/>
        </w:rPr>
        <w:t>Por ser de previo y especial pronunciamiento, este Instituto analiza si se actualiza alguna causal de sobreseimiento.</w:t>
      </w:r>
    </w:p>
    <w:p w14:paraId="1BD4F389" w14:textId="77777777" w:rsidR="00A77C4C" w:rsidRDefault="00A77C4C">
      <w:pPr>
        <w:spacing w:after="0" w:line="360" w:lineRule="auto"/>
        <w:rPr>
          <w:color w:val="000000"/>
        </w:rPr>
      </w:pPr>
    </w:p>
    <w:p w14:paraId="538F9A26" w14:textId="77777777" w:rsidR="00A77C4C" w:rsidRDefault="00C2394E">
      <w:pPr>
        <w:spacing w:after="0" w:line="360" w:lineRule="auto"/>
        <w:rPr>
          <w:color w:val="000000"/>
        </w:rPr>
      </w:pPr>
      <w:r>
        <w:rPr>
          <w:color w:val="000000"/>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4719734E" w14:textId="77777777" w:rsidR="00A77C4C" w:rsidRDefault="00A77C4C">
      <w:pPr>
        <w:spacing w:after="0" w:line="360" w:lineRule="auto"/>
        <w:rPr>
          <w:color w:val="000000"/>
        </w:rPr>
      </w:pPr>
    </w:p>
    <w:p w14:paraId="36694676" w14:textId="77777777" w:rsidR="00A77C4C" w:rsidRDefault="00C2394E">
      <w:pPr>
        <w:spacing w:after="0" w:line="360" w:lineRule="auto"/>
        <w:rPr>
          <w:color w:val="000000"/>
        </w:rPr>
      </w:pPr>
      <w:r>
        <w:rPr>
          <w:color w:val="000000"/>
        </w:rPr>
        <w:t xml:space="preserve">Por tales motivos, se considera procedente entrar al fondo del presente asunto. </w:t>
      </w:r>
    </w:p>
    <w:p w14:paraId="7FC0EF82" w14:textId="77777777" w:rsidR="00A77C4C" w:rsidRDefault="00A77C4C">
      <w:pPr>
        <w:spacing w:after="0" w:line="360" w:lineRule="auto"/>
        <w:rPr>
          <w:color w:val="000000"/>
        </w:rPr>
      </w:pPr>
    </w:p>
    <w:p w14:paraId="27B15BD8" w14:textId="77777777" w:rsidR="00A77C4C" w:rsidRDefault="00C2394E">
      <w:pPr>
        <w:spacing w:after="0" w:line="360" w:lineRule="auto"/>
        <w:rPr>
          <w:b/>
        </w:rPr>
      </w:pPr>
      <w:r>
        <w:rPr>
          <w:b/>
        </w:rPr>
        <w:t>TERCERO. Determinación de la Controversia</w:t>
      </w:r>
    </w:p>
    <w:p w14:paraId="5A1D2CA2" w14:textId="77777777" w:rsidR="00A77C4C" w:rsidRDefault="00A77C4C">
      <w:pPr>
        <w:spacing w:after="0" w:line="360" w:lineRule="auto"/>
        <w:rPr>
          <w:color w:val="000000"/>
        </w:rPr>
      </w:pPr>
    </w:p>
    <w:p w14:paraId="2C46216A" w14:textId="77777777" w:rsidR="00A77C4C" w:rsidRDefault="00C2394E">
      <w:pPr>
        <w:spacing w:after="0" w:line="360" w:lineRule="auto"/>
        <w:rPr>
          <w:color w:val="FF0000"/>
        </w:rPr>
      </w:pPr>
      <w:r>
        <w:rPr>
          <w:color w:val="000000"/>
        </w:rPr>
        <w:t xml:space="preserve">Una vez realizado el estudio de las constancias que integran el expediente en que se actúa, se desprende que el Recurrente requirió, el catálogo de proveedores correspondientes al ejercicio fiscal dos mil veinticuatro. </w:t>
      </w:r>
    </w:p>
    <w:p w14:paraId="197C9BD4" w14:textId="77777777" w:rsidR="00A77C4C" w:rsidRDefault="00A77C4C">
      <w:pPr>
        <w:pBdr>
          <w:top w:val="nil"/>
          <w:left w:val="nil"/>
          <w:bottom w:val="nil"/>
          <w:right w:val="nil"/>
          <w:between w:val="nil"/>
        </w:pBdr>
        <w:spacing w:after="0" w:line="360" w:lineRule="auto"/>
        <w:ind w:left="720"/>
        <w:rPr>
          <w:rFonts w:ascii="Century Gothic" w:eastAsia="Century Gothic" w:hAnsi="Century Gothic" w:cs="Century Gothic"/>
          <w:color w:val="FF0000"/>
        </w:rPr>
      </w:pPr>
    </w:p>
    <w:p w14:paraId="5C72CFF5" w14:textId="77777777" w:rsidR="00A77C4C" w:rsidRDefault="00C2394E">
      <w:pPr>
        <w:spacing w:after="0" w:line="360" w:lineRule="auto"/>
        <w:ind w:right="-28"/>
        <w:rPr>
          <w:color w:val="000000"/>
        </w:rPr>
      </w:pPr>
      <w:r>
        <w:rPr>
          <w:color w:val="000000"/>
        </w:rPr>
        <w:t>En respuesta, el Sujeto Obligado, por medio del Director de Obras Públicas y la Encargada de Recursos Materiales proporcionaron dos ligas electrónicas para consultar la información solicitada; ante dicha circunstancia, el Particular se inconformó de la entrega de información que no corresponde con lo solicitado, al señalar que no presentaban la información pública, lo cual actualiza la causal de procedencia prevista en la fracción VI, del artículo 179 de la Ley de Transparencia y Acceso a la Información Pública del Estado de México y Municipios. Así las cosas, una vez admitido y notificado el Recurso de Revisión a las partes, estas fueron omisas en realizar manifestaciones o alegatos.</w:t>
      </w:r>
    </w:p>
    <w:p w14:paraId="3BA0CFD5" w14:textId="77777777" w:rsidR="00A77C4C" w:rsidRDefault="00C2394E">
      <w:pPr>
        <w:spacing w:after="0" w:line="360" w:lineRule="auto"/>
        <w:ind w:right="-28"/>
        <w:rPr>
          <w:color w:val="000000"/>
        </w:rPr>
      </w:pPr>
      <w:r>
        <w:rPr>
          <w:color w:val="000000"/>
        </w:rPr>
        <w:t xml:space="preserve"> </w:t>
      </w:r>
    </w:p>
    <w:p w14:paraId="2351F273" w14:textId="77777777" w:rsidR="00A77C4C" w:rsidRDefault="00C2394E">
      <w:pPr>
        <w:tabs>
          <w:tab w:val="left" w:pos="4962"/>
        </w:tabs>
        <w:spacing w:after="0" w:line="360" w:lineRule="auto"/>
        <w:rPr>
          <w:color w:val="000000"/>
        </w:rPr>
      </w:pPr>
      <w:r>
        <w:rPr>
          <w:color w:val="000000"/>
        </w:rPr>
        <w:lastRenderedPageBreak/>
        <w:t>Lo anterior, se desprende de las documentales que obran en el expediente de referencia, materia de la presente resolución, consistente en: la solicitud de acceso a la información, la respuesta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19CEF7FA" w14:textId="77777777" w:rsidR="00A77C4C" w:rsidRDefault="00A77C4C">
      <w:pPr>
        <w:spacing w:after="0" w:line="360" w:lineRule="auto"/>
        <w:rPr>
          <w:b/>
          <w:color w:val="000000"/>
        </w:rPr>
      </w:pPr>
    </w:p>
    <w:p w14:paraId="340BEF43" w14:textId="77777777" w:rsidR="00A77C4C" w:rsidRDefault="00C2394E">
      <w:pPr>
        <w:spacing w:after="0" w:line="360" w:lineRule="auto"/>
        <w:rPr>
          <w:b/>
          <w:color w:val="000000"/>
        </w:rPr>
      </w:pPr>
      <w:r>
        <w:rPr>
          <w:b/>
          <w:color w:val="000000"/>
        </w:rPr>
        <w:t>CUARTO. Marco normativo aplicable en materia de transparencia y acceso a la información pública</w:t>
      </w:r>
    </w:p>
    <w:p w14:paraId="48E6B515" w14:textId="77777777" w:rsidR="00A77C4C" w:rsidRDefault="00A77C4C">
      <w:pPr>
        <w:spacing w:after="0" w:line="360" w:lineRule="auto"/>
        <w:rPr>
          <w:color w:val="FF0000"/>
        </w:rPr>
      </w:pPr>
    </w:p>
    <w:p w14:paraId="55BDB501" w14:textId="77777777" w:rsidR="00A77C4C" w:rsidRDefault="00C2394E">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9D5C10D" w14:textId="77777777" w:rsidR="00A77C4C" w:rsidRDefault="00A77C4C">
      <w:pPr>
        <w:spacing w:after="0" w:line="360" w:lineRule="auto"/>
        <w:rPr>
          <w:color w:val="000000"/>
        </w:rPr>
      </w:pPr>
    </w:p>
    <w:p w14:paraId="485BF9D2" w14:textId="77777777" w:rsidR="00A77C4C" w:rsidRDefault="00C2394E">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B8BCEED" w14:textId="77777777" w:rsidR="00A77C4C" w:rsidRDefault="00A77C4C">
      <w:pPr>
        <w:spacing w:after="0" w:line="360" w:lineRule="auto"/>
        <w:rPr>
          <w:color w:val="000000"/>
        </w:rPr>
      </w:pPr>
    </w:p>
    <w:p w14:paraId="0D8E0137" w14:textId="77777777" w:rsidR="00A77C4C" w:rsidRDefault="00C2394E">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BD1476A" w14:textId="77777777" w:rsidR="00A77C4C" w:rsidRDefault="00A77C4C">
      <w:pPr>
        <w:spacing w:after="0" w:line="360" w:lineRule="auto"/>
        <w:rPr>
          <w:color w:val="000000"/>
        </w:rPr>
      </w:pPr>
    </w:p>
    <w:p w14:paraId="46AD7C55" w14:textId="77777777" w:rsidR="00A77C4C" w:rsidRDefault="00C2394E">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0887A605" w14:textId="77777777" w:rsidR="00A77C4C" w:rsidRDefault="00A77C4C">
      <w:pPr>
        <w:spacing w:after="0" w:line="360" w:lineRule="auto"/>
        <w:rPr>
          <w:color w:val="000000"/>
        </w:rPr>
      </w:pPr>
    </w:p>
    <w:p w14:paraId="56F8B8D3" w14:textId="77777777" w:rsidR="00A77C4C" w:rsidRDefault="00C2394E">
      <w:pPr>
        <w:spacing w:after="0" w:line="360" w:lineRule="auto"/>
        <w:rPr>
          <w:color w:val="000000"/>
        </w:rPr>
      </w:pPr>
      <w:r>
        <w:rPr>
          <w:color w:val="000000"/>
        </w:rPr>
        <w:lastRenderedPageBreak/>
        <w:t>El artículo 12, que, quienes generen, recopilen, administren, manejen, procesen, archiven o conserven información pública serán responsables de la misma.</w:t>
      </w:r>
    </w:p>
    <w:p w14:paraId="1ED75A89" w14:textId="77777777" w:rsidR="00A77C4C" w:rsidRDefault="00A77C4C">
      <w:pPr>
        <w:spacing w:after="0" w:line="360" w:lineRule="auto"/>
        <w:rPr>
          <w:color w:val="000000"/>
        </w:rPr>
      </w:pPr>
    </w:p>
    <w:p w14:paraId="46B8F21E" w14:textId="77777777" w:rsidR="00A77C4C" w:rsidRDefault="00C2394E">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02D3327" w14:textId="77777777" w:rsidR="00A77C4C" w:rsidRDefault="00A77C4C">
      <w:pPr>
        <w:spacing w:after="0" w:line="360" w:lineRule="auto"/>
        <w:rPr>
          <w:color w:val="000000"/>
        </w:rPr>
      </w:pPr>
    </w:p>
    <w:p w14:paraId="2110393C" w14:textId="77777777" w:rsidR="00A77C4C" w:rsidRDefault="00C2394E">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6707304" w14:textId="77777777" w:rsidR="00A77C4C" w:rsidRDefault="00A77C4C">
      <w:pPr>
        <w:spacing w:after="0" w:line="360" w:lineRule="auto"/>
        <w:rPr>
          <w:color w:val="FF0000"/>
        </w:rPr>
      </w:pPr>
    </w:p>
    <w:p w14:paraId="22F9071E" w14:textId="77777777" w:rsidR="00A77C4C" w:rsidRDefault="00C2394E">
      <w:pPr>
        <w:spacing w:after="0" w:line="360" w:lineRule="auto"/>
        <w:rPr>
          <w:b/>
          <w:color w:val="000000"/>
        </w:rPr>
      </w:pPr>
      <w:r>
        <w:rPr>
          <w:b/>
          <w:color w:val="000000"/>
        </w:rPr>
        <w:t>Quinto. Estudio de Fondo</w:t>
      </w:r>
    </w:p>
    <w:p w14:paraId="4692D93F" w14:textId="77777777" w:rsidR="00A77C4C" w:rsidRDefault="00A77C4C">
      <w:pPr>
        <w:spacing w:after="0" w:line="360" w:lineRule="auto"/>
        <w:rPr>
          <w:b/>
          <w:color w:val="000000"/>
        </w:rPr>
      </w:pPr>
    </w:p>
    <w:p w14:paraId="0AA52D71" w14:textId="77777777" w:rsidR="00A77C4C" w:rsidRDefault="00C2394E">
      <w:pPr>
        <w:widowControl w:val="0"/>
        <w:spacing w:after="0" w:line="360" w:lineRule="auto"/>
        <w:rPr>
          <w:color w:val="000000"/>
        </w:rPr>
      </w:pPr>
      <w:r>
        <w:rPr>
          <w:color w:val="000000"/>
        </w:rPr>
        <w:t>Expuestas las posturas de las partes, se procede al análisis del agravio hecho valer por el Recurrente, concerniente a la entrega de información que no corresponde con lo solicitado, por lo que, en principio es conveniente contextualizar la solicitud de información.</w:t>
      </w:r>
    </w:p>
    <w:p w14:paraId="7DCCFC92" w14:textId="77777777" w:rsidR="00A77C4C" w:rsidRDefault="00A77C4C">
      <w:pPr>
        <w:widowControl w:val="0"/>
        <w:spacing w:after="0" w:line="360" w:lineRule="auto"/>
        <w:rPr>
          <w:b/>
          <w:color w:val="000000"/>
        </w:rPr>
      </w:pPr>
    </w:p>
    <w:p w14:paraId="3C0279E8" w14:textId="77777777" w:rsidR="00A77C4C" w:rsidRDefault="00C2394E">
      <w:pPr>
        <w:widowControl w:val="0"/>
        <w:spacing w:after="0" w:line="360" w:lineRule="auto"/>
        <w:rPr>
          <w:color w:val="000000"/>
        </w:rPr>
      </w:pPr>
      <w:r>
        <w:rPr>
          <w:color w:val="000000"/>
        </w:rPr>
        <w:t xml:space="preserve">Al respecto el artículo 2°, fracción IV, del Reglamento de la Ley de Contratación Pública del Estado de México y Municipios, establece que el </w:t>
      </w:r>
      <w:r>
        <w:rPr>
          <w:b/>
          <w:color w:val="000000"/>
        </w:rPr>
        <w:t>Catálogo de Proveedores y Prestadores de Servicios</w:t>
      </w:r>
      <w:r>
        <w:rPr>
          <w:color w:val="000000"/>
        </w:rPr>
        <w:t>, es la lista de carácter público en la que se registran los proveedores y prestadores de servicios que han acreditado cumplir con los requisitos establecidos, con la finalidad de que se les permita en los procedimientos de adquisición omitir la presentación de los documentos relacionados con su información administrativa, legal y financiera, así como tener preferencia en las convocatorias que se realicen a procedimientos de invitación restringida.</w:t>
      </w:r>
    </w:p>
    <w:p w14:paraId="460B7F57" w14:textId="77777777" w:rsidR="00A77C4C" w:rsidRDefault="00A77C4C">
      <w:pPr>
        <w:widowControl w:val="0"/>
        <w:spacing w:after="0" w:line="360" w:lineRule="auto"/>
        <w:rPr>
          <w:color w:val="000000"/>
        </w:rPr>
      </w:pPr>
    </w:p>
    <w:p w14:paraId="42210013" w14:textId="77777777" w:rsidR="00A77C4C" w:rsidRDefault="00C2394E">
      <w:pPr>
        <w:widowControl w:val="0"/>
        <w:spacing w:after="0" w:line="360" w:lineRule="auto"/>
        <w:rPr>
          <w:color w:val="000000"/>
        </w:rPr>
      </w:pPr>
      <w:r>
        <w:rPr>
          <w:color w:val="000000"/>
        </w:rPr>
        <w:lastRenderedPageBreak/>
        <w:t xml:space="preserve">En ese mismo orden de ideas los artículos 20 y 21 de la Ley de Contratación Pública del Estado de México y Municipios establece que </w:t>
      </w:r>
      <w:r>
        <w:rPr>
          <w:b/>
          <w:color w:val="000000"/>
        </w:rPr>
        <w:t>los Ayuntamientos</w:t>
      </w:r>
      <w:r>
        <w:rPr>
          <w:color w:val="000000"/>
        </w:rPr>
        <w:t xml:space="preserve"> operarán el catálogo de bienes y servicios y lo integrarán a fin de conocer la capacidad administrativa, financiera, legal y técnica de las fuentes de suministro, catalogo que deberá publicarse en los Ayuntamientos.</w:t>
      </w:r>
    </w:p>
    <w:p w14:paraId="070CC015" w14:textId="77777777" w:rsidR="00A77C4C" w:rsidRDefault="00A77C4C">
      <w:pPr>
        <w:widowControl w:val="0"/>
        <w:spacing w:after="0" w:line="360" w:lineRule="auto"/>
        <w:rPr>
          <w:color w:val="000000"/>
        </w:rPr>
      </w:pPr>
    </w:p>
    <w:p w14:paraId="0F319DAE" w14:textId="77777777" w:rsidR="00A77C4C" w:rsidRDefault="00C2394E">
      <w:pPr>
        <w:widowControl w:val="0"/>
        <w:spacing w:after="0" w:line="360" w:lineRule="auto"/>
        <w:rPr>
          <w:color w:val="000000"/>
        </w:rPr>
      </w:pPr>
      <w:r>
        <w:rPr>
          <w:color w:val="000000"/>
        </w:rPr>
        <w:t>Por otra parte, el artículo 72 del Reglamento del Libro Décimo Segundo del Código Administrativo del Estado de México, establece que el catálogo de contratistas es una base de datos ordenada, actualizada y confiable, estructurada por especialidades de las personas interesadas en particular como contratistas de obras públicas y servicios mediante procedimientos de adjudicación que realicen los Ayuntamientos.</w:t>
      </w:r>
    </w:p>
    <w:p w14:paraId="7D7ACA97" w14:textId="77777777" w:rsidR="00A77C4C" w:rsidRDefault="00A77C4C">
      <w:pPr>
        <w:widowControl w:val="0"/>
        <w:spacing w:after="0" w:line="360" w:lineRule="auto"/>
        <w:rPr>
          <w:color w:val="000000"/>
        </w:rPr>
      </w:pPr>
    </w:p>
    <w:p w14:paraId="6ABAED67" w14:textId="77777777" w:rsidR="00A77C4C" w:rsidRDefault="00C2394E">
      <w:pPr>
        <w:widowControl w:val="0"/>
        <w:spacing w:after="0" w:line="360" w:lineRule="auto"/>
        <w:rPr>
          <w:color w:val="000000"/>
        </w:rPr>
      </w:pPr>
      <w:r>
        <w:rPr>
          <w:color w:val="000000"/>
        </w:rPr>
        <w:t>Situación que toma relevancia, pues conforme al artículo 92, fracción XXXVI, de la Ley de Transparencia y Acceso a la Información Pública del Estado de México y Municipios, es una obligación común de transparencia, publicar y mantener actualizada la información referente al padrón de proveedores y contratistas.</w:t>
      </w:r>
    </w:p>
    <w:p w14:paraId="20326DA6" w14:textId="77777777" w:rsidR="00A77C4C" w:rsidRDefault="00A77C4C">
      <w:pPr>
        <w:widowControl w:val="0"/>
        <w:spacing w:after="0" w:line="360" w:lineRule="auto"/>
        <w:rPr>
          <w:color w:val="000000"/>
        </w:rPr>
      </w:pPr>
    </w:p>
    <w:p w14:paraId="49A53BFE" w14:textId="77777777" w:rsidR="00A77C4C" w:rsidRDefault="00C2394E">
      <w:pPr>
        <w:widowControl w:val="0"/>
        <w:spacing w:after="0" w:line="360" w:lineRule="auto"/>
        <w:rPr>
          <w:color w:val="000000"/>
        </w:rPr>
      </w:pPr>
      <w:r>
        <w:rPr>
          <w:color w:val="000000"/>
        </w:rPr>
        <w:t xml:space="preserve">En ese orden de ideas, conforme a los </w:t>
      </w:r>
      <w: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en dicha fracción los sujetos obligados deberá publicar la información de las personas físicas y morales con las que se celebraron contratos de adquisiciones, pedidos, arrendamientos, servicios y obras públicas.</w:t>
      </w:r>
    </w:p>
    <w:p w14:paraId="62FB4C13" w14:textId="77777777" w:rsidR="00A77C4C" w:rsidRDefault="00A77C4C">
      <w:pPr>
        <w:widowControl w:val="0"/>
        <w:spacing w:after="0" w:line="360" w:lineRule="auto"/>
        <w:rPr>
          <w:color w:val="000000"/>
        </w:rPr>
      </w:pPr>
    </w:p>
    <w:p w14:paraId="5DA255B5" w14:textId="77777777" w:rsidR="00A77C4C" w:rsidRDefault="00C2394E">
      <w:pPr>
        <w:widowControl w:val="0"/>
        <w:spacing w:after="0" w:line="360" w:lineRule="auto"/>
        <w:rPr>
          <w:color w:val="000000"/>
        </w:rPr>
      </w:pPr>
      <w:r>
        <w:rPr>
          <w:color w:val="000000"/>
        </w:rPr>
        <w:t xml:space="preserve">Conforme a lo anterior, se logra vislumbrar que el Sujeto Obligado tiene competencia para conocer de lo peticionado y que la pretensión del ahora Recurrente, es obtener, el catálogo o </w:t>
      </w:r>
      <w:r>
        <w:rPr>
          <w:color w:val="000000"/>
        </w:rPr>
        <w:lastRenderedPageBreak/>
        <w:t xml:space="preserve">padrón de proveedores y contratistas, vigente al nueve de octubre dos mil veinticuatro. </w:t>
      </w:r>
    </w:p>
    <w:p w14:paraId="37BEF4AB" w14:textId="77777777" w:rsidR="00A77C4C" w:rsidRDefault="00A77C4C">
      <w:pPr>
        <w:widowControl w:val="0"/>
        <w:spacing w:after="0" w:line="360" w:lineRule="auto"/>
        <w:rPr>
          <w:color w:val="FF0000"/>
        </w:rPr>
      </w:pPr>
    </w:p>
    <w:p w14:paraId="33BD1DE3" w14:textId="77777777" w:rsidR="00A77C4C" w:rsidRDefault="00C2394E">
      <w:pPr>
        <w:widowControl w:val="0"/>
        <w:spacing w:after="0" w:line="360" w:lineRule="auto"/>
        <w:rPr>
          <w:color w:val="000000"/>
        </w:rPr>
      </w:pPr>
      <w:r>
        <w:rPr>
          <w:color w:val="000000"/>
        </w:rPr>
        <w:t xml:space="preserve">Establecido lo anterior, se procede analizar la respuesta entregada, para lo cual, de las constancias que obran en el expediente, se logra vislumbrar que el Sujeto Obligado, turno la solicitud de información a la </w:t>
      </w:r>
      <w:r>
        <w:rPr>
          <w:b/>
          <w:color w:val="000000"/>
        </w:rPr>
        <w:t>Dirección de Obras Públicas y</w:t>
      </w:r>
      <w:r>
        <w:rPr>
          <w:color w:val="000000"/>
        </w:rPr>
        <w:t xml:space="preserve"> </w:t>
      </w:r>
      <w:r>
        <w:rPr>
          <w:b/>
          <w:color w:val="000000"/>
        </w:rPr>
        <w:t>Unidad de Adquisiciones y Recursos Materiales</w:t>
      </w:r>
      <w:r>
        <w:rPr>
          <w:color w:val="000000"/>
        </w:rPr>
        <w:t>, por lo que, 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930582A" w14:textId="77777777" w:rsidR="00A77C4C" w:rsidRDefault="00A77C4C">
      <w:pPr>
        <w:widowControl w:val="0"/>
        <w:spacing w:after="0" w:line="360" w:lineRule="auto"/>
        <w:rPr>
          <w:color w:val="000000"/>
        </w:rPr>
      </w:pPr>
    </w:p>
    <w:p w14:paraId="4EB34722" w14:textId="77777777" w:rsidR="00A77C4C" w:rsidRDefault="00C2394E">
      <w:pPr>
        <w:widowControl w:val="0"/>
        <w:spacing w:after="0" w:line="360" w:lineRule="auto"/>
        <w:rPr>
          <w:color w:val="000000"/>
        </w:rPr>
      </w:pPr>
      <w:r>
        <w:rPr>
          <w:color w:val="000000"/>
        </w:rPr>
        <w:t xml:space="preserve">De tal circunstancia y toda vez que la Dirección de Obras Públicas y Dirección de Administración (Unidad de Adquisiciones y Recursos Materiales), áreas encargadas de realizar y ejecutar los procedimientos de adjudicación y por lo tanto, conocen a los proveedores y contratistas del Ayuntamiento, cumplió con el procedimiento de búsqueda previsto en el artículo 162 de la Ley de Transparencia y Acceso a la Información Pública del Estado de México y Municipios. </w:t>
      </w:r>
    </w:p>
    <w:p w14:paraId="4EBCB134" w14:textId="77777777" w:rsidR="00A77C4C" w:rsidRDefault="00A77C4C">
      <w:pPr>
        <w:widowControl w:val="0"/>
        <w:spacing w:after="0" w:line="360" w:lineRule="auto"/>
        <w:rPr>
          <w:color w:val="000000"/>
        </w:rPr>
      </w:pPr>
    </w:p>
    <w:p w14:paraId="37E6E72A" w14:textId="77777777" w:rsidR="00A77C4C" w:rsidRDefault="00C2394E">
      <w:pPr>
        <w:widowControl w:val="0"/>
        <w:spacing w:after="0" w:line="360" w:lineRule="auto"/>
        <w:rPr>
          <w:color w:val="000000"/>
        </w:rPr>
      </w:pPr>
      <w:r>
        <w:rPr>
          <w:color w:val="000000"/>
        </w:rPr>
        <w:t xml:space="preserve">Ahora bien, en respuesta el Sujeto Obligado refirió a través de la Dirección de Obras Públicas y la Dirección de Administración que lo peticionado se localizaba en las siguientes ligas electrónicas: </w:t>
      </w:r>
    </w:p>
    <w:p w14:paraId="303F16D7" w14:textId="77777777" w:rsidR="00A77C4C" w:rsidRDefault="00A77C4C">
      <w:pPr>
        <w:widowControl w:val="0"/>
        <w:spacing w:after="0" w:line="360" w:lineRule="auto"/>
        <w:rPr>
          <w:color w:val="000000"/>
        </w:rPr>
      </w:pPr>
    </w:p>
    <w:p w14:paraId="7F5C151C" w14:textId="77777777" w:rsidR="00A77C4C" w:rsidRDefault="00C2394E">
      <w:pPr>
        <w:widowControl w:val="0"/>
        <w:spacing w:after="0" w:line="360" w:lineRule="auto"/>
        <w:jc w:val="center"/>
        <w:rPr>
          <w:color w:val="000000"/>
        </w:rPr>
      </w:pPr>
      <w:r>
        <w:rPr>
          <w:noProof/>
          <w:color w:val="000000"/>
        </w:rPr>
        <w:lastRenderedPageBreak/>
        <w:drawing>
          <wp:inline distT="0" distB="0" distL="0" distR="0" wp14:anchorId="6E6DE1B2" wp14:editId="08784F6C">
            <wp:extent cx="4725059" cy="476316"/>
            <wp:effectExtent l="0" t="0" r="0" b="0"/>
            <wp:docPr id="664773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25059" cy="476316"/>
                    </a:xfrm>
                    <a:prstGeom prst="rect">
                      <a:avLst/>
                    </a:prstGeom>
                    <a:ln/>
                  </pic:spPr>
                </pic:pic>
              </a:graphicData>
            </a:graphic>
          </wp:inline>
        </w:drawing>
      </w:r>
    </w:p>
    <w:p w14:paraId="0AA2DFAA" w14:textId="77777777" w:rsidR="00A77C4C" w:rsidRDefault="00C2394E">
      <w:pPr>
        <w:widowControl w:val="0"/>
        <w:spacing w:after="0" w:line="360" w:lineRule="auto"/>
        <w:jc w:val="center"/>
        <w:rPr>
          <w:color w:val="000000"/>
        </w:rPr>
      </w:pPr>
      <w:r>
        <w:rPr>
          <w:noProof/>
          <w:color w:val="000000"/>
        </w:rPr>
        <w:drawing>
          <wp:inline distT="0" distB="0" distL="0" distR="0" wp14:anchorId="0A8B8920" wp14:editId="26184E85">
            <wp:extent cx="3960979" cy="239115"/>
            <wp:effectExtent l="0" t="0" r="0" b="0"/>
            <wp:docPr id="6647737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4815"/>
                    <a:stretch>
                      <a:fillRect/>
                    </a:stretch>
                  </pic:blipFill>
                  <pic:spPr>
                    <a:xfrm>
                      <a:off x="0" y="0"/>
                      <a:ext cx="3960979" cy="239115"/>
                    </a:xfrm>
                    <a:prstGeom prst="rect">
                      <a:avLst/>
                    </a:prstGeom>
                    <a:ln/>
                  </pic:spPr>
                </pic:pic>
              </a:graphicData>
            </a:graphic>
          </wp:inline>
        </w:drawing>
      </w:r>
    </w:p>
    <w:p w14:paraId="256B466A" w14:textId="77777777" w:rsidR="00A77C4C" w:rsidRDefault="00A77C4C">
      <w:pPr>
        <w:widowControl w:val="0"/>
        <w:spacing w:after="0" w:line="360" w:lineRule="auto"/>
        <w:jc w:val="center"/>
        <w:rPr>
          <w:color w:val="000000"/>
        </w:rPr>
      </w:pPr>
    </w:p>
    <w:p w14:paraId="1F791931" w14:textId="77777777" w:rsidR="00A77C4C" w:rsidRDefault="00C2394E">
      <w:pPr>
        <w:widowControl w:val="0"/>
        <w:spacing w:after="0" w:line="360" w:lineRule="auto"/>
        <w:rPr>
          <w:color w:val="000000"/>
        </w:rPr>
      </w:pPr>
      <w:r>
        <w:rPr>
          <w:color w:val="000000"/>
        </w:rPr>
        <w:t>Ahora bien, de la revisión de éstas, se logra vislumbrar que se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3C827A0" w14:textId="77777777" w:rsidR="00A77C4C" w:rsidRDefault="00A77C4C">
      <w:pPr>
        <w:widowControl w:val="0"/>
        <w:spacing w:after="0" w:line="360" w:lineRule="auto"/>
        <w:rPr>
          <w:color w:val="000000"/>
        </w:rPr>
      </w:pPr>
    </w:p>
    <w:p w14:paraId="30A4C8CB" w14:textId="77777777" w:rsidR="00A77C4C" w:rsidRDefault="00C2394E">
      <w:pPr>
        <w:widowControl w:val="0"/>
        <w:spacing w:after="0" w:line="360" w:lineRule="auto"/>
        <w:rPr>
          <w:color w:val="000000"/>
        </w:rPr>
      </w:pPr>
      <w:r>
        <w:rPr>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CB7D8E8" w14:textId="77777777" w:rsidR="00A77C4C" w:rsidRDefault="00A77C4C">
      <w:pPr>
        <w:widowControl w:val="0"/>
        <w:spacing w:after="0" w:line="360" w:lineRule="auto"/>
        <w:rPr>
          <w:color w:val="000000"/>
        </w:rPr>
      </w:pPr>
    </w:p>
    <w:p w14:paraId="740908DB" w14:textId="77777777" w:rsidR="00A77C4C" w:rsidRDefault="00C2394E">
      <w:pPr>
        <w:widowControl w:val="0"/>
        <w:spacing w:after="0" w:line="360" w:lineRule="auto"/>
        <w:rPr>
          <w:color w:val="000000"/>
        </w:rPr>
      </w:pPr>
      <w:r>
        <w:rPr>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9A5ABD4" w14:textId="77777777" w:rsidR="00A77C4C" w:rsidRDefault="00A77C4C">
      <w:pPr>
        <w:widowControl w:val="0"/>
        <w:spacing w:after="0" w:line="360" w:lineRule="auto"/>
        <w:rPr>
          <w:color w:val="000000"/>
        </w:rPr>
      </w:pPr>
    </w:p>
    <w:p w14:paraId="03BD97A5" w14:textId="77777777" w:rsidR="00A77C4C" w:rsidRDefault="00C2394E">
      <w:pPr>
        <w:widowControl w:val="0"/>
        <w:numPr>
          <w:ilvl w:val="0"/>
          <w:numId w:val="1"/>
        </w:numPr>
        <w:pBdr>
          <w:top w:val="nil"/>
          <w:left w:val="nil"/>
          <w:bottom w:val="nil"/>
          <w:right w:val="nil"/>
          <w:between w:val="nil"/>
        </w:pBdr>
        <w:spacing w:after="0" w:line="360" w:lineRule="auto"/>
        <w:rPr>
          <w:color w:val="000000"/>
        </w:rPr>
      </w:pPr>
      <w:r>
        <w:rPr>
          <w:b/>
          <w:color w:val="000000"/>
        </w:rPr>
        <w:t>Dato abierto</w:t>
      </w:r>
      <w:r>
        <w:rPr>
          <w:color w:val="000000"/>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B6F4E30" w14:textId="77777777" w:rsidR="00A77C4C" w:rsidRDefault="00A77C4C">
      <w:pPr>
        <w:widowControl w:val="0"/>
        <w:spacing w:after="0" w:line="360" w:lineRule="auto"/>
        <w:rPr>
          <w:color w:val="000000"/>
        </w:rPr>
      </w:pPr>
    </w:p>
    <w:p w14:paraId="18175896" w14:textId="77777777" w:rsidR="00A77C4C" w:rsidRDefault="00C2394E">
      <w:pPr>
        <w:widowControl w:val="0"/>
        <w:numPr>
          <w:ilvl w:val="0"/>
          <w:numId w:val="1"/>
        </w:numPr>
        <w:pBdr>
          <w:top w:val="nil"/>
          <w:left w:val="nil"/>
          <w:bottom w:val="nil"/>
          <w:right w:val="nil"/>
          <w:between w:val="nil"/>
        </w:pBdr>
        <w:spacing w:after="0" w:line="360" w:lineRule="auto"/>
        <w:rPr>
          <w:color w:val="000000"/>
        </w:rPr>
      </w:pPr>
      <w:r>
        <w:rPr>
          <w:b/>
          <w:color w:val="000000"/>
        </w:rPr>
        <w:t>Formato accesible:</w:t>
      </w:r>
      <w:r>
        <w:rPr>
          <w:color w:val="000000"/>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2AE4177" w14:textId="77777777" w:rsidR="00A77C4C" w:rsidRDefault="00C2394E">
      <w:pPr>
        <w:widowControl w:val="0"/>
        <w:spacing w:after="0" w:line="360" w:lineRule="auto"/>
        <w:rPr>
          <w:color w:val="000000"/>
        </w:rPr>
      </w:pPr>
      <w:r>
        <w:rPr>
          <w:color w:val="000000"/>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02125D4F" w14:textId="77777777" w:rsidR="00A77C4C" w:rsidRDefault="00A77C4C">
      <w:pPr>
        <w:widowControl w:val="0"/>
        <w:spacing w:after="0" w:line="360" w:lineRule="auto"/>
        <w:rPr>
          <w:color w:val="000000"/>
        </w:rPr>
      </w:pPr>
    </w:p>
    <w:p w14:paraId="15924278" w14:textId="77777777" w:rsidR="00A77C4C" w:rsidRDefault="00C2394E">
      <w:pPr>
        <w:widowControl w:val="0"/>
        <w:spacing w:after="0" w:line="360" w:lineRule="auto"/>
        <w:rPr>
          <w:b/>
          <w:color w:val="000000"/>
        </w:rPr>
      </w:pPr>
      <w:r>
        <w:rPr>
          <w:color w:val="000000"/>
        </w:rPr>
        <w:t xml:space="preserve">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 por lo que, el agravio es </w:t>
      </w:r>
      <w:r>
        <w:rPr>
          <w:b/>
          <w:color w:val="000000"/>
        </w:rPr>
        <w:t>FUNDADO.</w:t>
      </w:r>
    </w:p>
    <w:p w14:paraId="270CB3DD" w14:textId="77777777" w:rsidR="00A77C4C" w:rsidRDefault="00A77C4C">
      <w:pPr>
        <w:spacing w:after="0" w:line="360" w:lineRule="auto"/>
        <w:rPr>
          <w:color w:val="000000"/>
        </w:rPr>
      </w:pPr>
    </w:p>
    <w:p w14:paraId="2D5CED98" w14:textId="77777777" w:rsidR="00A77C4C" w:rsidRDefault="00C2394E">
      <w:pPr>
        <w:spacing w:after="0" w:line="360" w:lineRule="auto"/>
        <w:rPr>
          <w:color w:val="000000"/>
        </w:rPr>
      </w:pPr>
      <w:r>
        <w:rPr>
          <w:color w:val="000000"/>
        </w:rPr>
        <w:t>Ahora bien, de la revisión de las ligas electrónicas, se logra vislumbrar que la primera remite al Padrón de Proveedores y Contratistas del cuarto trimestre de dos mil veinte, es decir, de una temporalidad que no fue solicitada por el Particular, tal como se muestra a continuación:</w:t>
      </w:r>
    </w:p>
    <w:p w14:paraId="61139E8F" w14:textId="77777777" w:rsidR="00A77C4C" w:rsidRDefault="00A77C4C">
      <w:pPr>
        <w:spacing w:after="0" w:line="360" w:lineRule="auto"/>
        <w:rPr>
          <w:color w:val="000000"/>
        </w:rPr>
      </w:pPr>
    </w:p>
    <w:p w14:paraId="48B6B295" w14:textId="1DE70AD3" w:rsidR="00A77C4C" w:rsidRDefault="00C2394E">
      <w:pPr>
        <w:spacing w:after="0" w:line="360" w:lineRule="auto"/>
        <w:jc w:val="center"/>
        <w:rPr>
          <w:color w:val="000000"/>
        </w:rPr>
      </w:pPr>
      <w:r>
        <w:rPr>
          <w:noProof/>
          <w:color w:val="000000"/>
        </w:rPr>
        <w:lastRenderedPageBreak/>
        <w:drawing>
          <wp:inline distT="0" distB="0" distL="0" distR="0" wp14:anchorId="0D88F925" wp14:editId="5ACAB617">
            <wp:extent cx="2803554" cy="2206669"/>
            <wp:effectExtent l="0" t="0" r="0" b="0"/>
            <wp:docPr id="6647737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03554" cy="2206669"/>
                    </a:xfrm>
                    <a:prstGeom prst="rect">
                      <a:avLst/>
                    </a:prstGeom>
                    <a:ln/>
                  </pic:spPr>
                </pic:pic>
              </a:graphicData>
            </a:graphic>
          </wp:inline>
        </w:drawing>
      </w:r>
    </w:p>
    <w:p w14:paraId="4396F926" w14:textId="77777777" w:rsidR="00F1311C" w:rsidRDefault="00F1311C">
      <w:pPr>
        <w:spacing w:after="0" w:line="360" w:lineRule="auto"/>
        <w:jc w:val="center"/>
        <w:rPr>
          <w:color w:val="000000"/>
        </w:rPr>
      </w:pPr>
    </w:p>
    <w:p w14:paraId="23EDE7C8" w14:textId="77777777" w:rsidR="00A77C4C" w:rsidRDefault="00C2394E">
      <w:pPr>
        <w:spacing w:after="0" w:line="360" w:lineRule="auto"/>
        <w:rPr>
          <w:color w:val="000000"/>
        </w:rPr>
      </w:pPr>
      <w:r>
        <w:rPr>
          <w:color w:val="000000"/>
        </w:rPr>
        <w:t>Conforme a lo anterior, la primera liga no da cuenta de lo solicitado; sin embargo, la segunda remite al Padrón de proveedores y contratistas, del tercer trimestre de dos mil veinticuatro, es decir, con información al treinta de septiembre de dos mil veinticuatro, que si bien puede dar cuenta de lo peticionado, lo cierto es que no tuvo acceso el Recurrente, al estar el vínculo en formato cerrado.</w:t>
      </w:r>
    </w:p>
    <w:p w14:paraId="78E19B7A" w14:textId="77777777" w:rsidR="00A77C4C" w:rsidRDefault="00A77C4C">
      <w:pPr>
        <w:spacing w:after="0" w:line="360" w:lineRule="auto"/>
        <w:rPr>
          <w:color w:val="000000"/>
        </w:rPr>
      </w:pPr>
    </w:p>
    <w:p w14:paraId="02167D87" w14:textId="77777777" w:rsidR="00A77C4C" w:rsidRDefault="00C2394E">
      <w:pPr>
        <w:widowControl w:val="0"/>
        <w:spacing w:after="0" w:line="360" w:lineRule="auto"/>
        <w:rPr>
          <w:color w:val="000000"/>
        </w:rPr>
      </w:pPr>
      <w:r>
        <w:rPr>
          <w:color w:val="000000"/>
        </w:rPr>
        <w:t>Por lo que para atender el requerimiento el requerimiento de información, el Sujeto Obligado deberá realizar una búsqueda exhaustiva y razonable en los archivos de todas sus áreas competentes, a efecto que proporcione el catálogo o padrón de proveedores y contratistas vigente al nueve de octubre de dos mil veinticuatro;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3DA4E3B" w14:textId="77777777" w:rsidR="00A77C4C" w:rsidRDefault="00A77C4C">
      <w:pPr>
        <w:widowControl w:val="0"/>
        <w:spacing w:after="0" w:line="360" w:lineRule="auto"/>
        <w:rPr>
          <w:color w:val="000000"/>
        </w:rPr>
      </w:pPr>
    </w:p>
    <w:p w14:paraId="58F7EB07" w14:textId="77777777" w:rsidR="00A77C4C" w:rsidRDefault="00C2394E">
      <w:pPr>
        <w:widowControl w:val="0"/>
        <w:spacing w:after="0" w:line="360" w:lineRule="auto"/>
        <w:rPr>
          <w:color w:val="000000"/>
        </w:rPr>
      </w:pPr>
      <w:r>
        <w:rPr>
          <w:color w:val="000000"/>
        </w:rPr>
        <w:t xml:space="preserve">De esta manera, el derecho de acceso a la información pública se satisface en aquellos casos en </w:t>
      </w:r>
      <w:r>
        <w:rPr>
          <w:color w:val="000000"/>
        </w:rPr>
        <w:lastRenderedPageBreak/>
        <w:t>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 Para el caso de que todos los proveedores y contratistas se localicen en la fracción XXXVI, del artículo 92, del IPOMEX, podrá proporcionar la liga electrónica (en formato abierto), junto con el procedimiento (paso a paso), para obtener la información requerida.</w:t>
      </w:r>
    </w:p>
    <w:p w14:paraId="3A0041DC" w14:textId="77777777" w:rsidR="00A77C4C" w:rsidRDefault="00A77C4C">
      <w:pPr>
        <w:widowControl w:val="0"/>
        <w:spacing w:after="0" w:line="360" w:lineRule="auto"/>
        <w:rPr>
          <w:color w:val="000000"/>
        </w:rPr>
      </w:pPr>
    </w:p>
    <w:p w14:paraId="36EB785A" w14:textId="77777777" w:rsidR="00A77C4C" w:rsidRDefault="00C2394E">
      <w:pPr>
        <w:spacing w:after="0" w:line="360" w:lineRule="auto"/>
      </w:pPr>
      <w: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información solicitada.</w:t>
      </w:r>
    </w:p>
    <w:p w14:paraId="0274EFF6" w14:textId="77777777" w:rsidR="00A77C4C" w:rsidRDefault="00A77C4C">
      <w:pPr>
        <w:spacing w:after="0" w:line="360" w:lineRule="auto"/>
      </w:pPr>
    </w:p>
    <w:p w14:paraId="5B266CFC" w14:textId="77777777" w:rsidR="00A77C4C" w:rsidRDefault="00C2394E">
      <w:pPr>
        <w:spacing w:after="0" w:line="360" w:lineRule="auto"/>
        <w:rPr>
          <w:color w:val="000000"/>
        </w:rPr>
      </w:pPr>
      <w:r>
        <w:t>No pasa desapercibido para este Instituto que el catálogo o padrón de proveedores pueden tener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Pr>
          <w:color w:val="000000"/>
        </w:rPr>
        <w:t xml:space="preserve"> </w:t>
      </w: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C2FD75D" w14:textId="77777777" w:rsidR="00A77C4C" w:rsidRDefault="00A77C4C">
      <w:pPr>
        <w:spacing w:after="0" w:line="360" w:lineRule="auto"/>
        <w:rPr>
          <w:color w:val="000000"/>
        </w:rPr>
      </w:pPr>
    </w:p>
    <w:p w14:paraId="0265F723" w14:textId="77777777" w:rsidR="00A77C4C" w:rsidRDefault="00C2394E">
      <w:pPr>
        <w:spacing w:after="0" w:line="360" w:lineRule="auto"/>
        <w:rPr>
          <w:b/>
          <w:color w:val="000000"/>
        </w:rPr>
      </w:pPr>
      <w:r>
        <w:rPr>
          <w:b/>
          <w:color w:val="000000"/>
        </w:rPr>
        <w:t>SEXTO. Decisión</w:t>
      </w:r>
    </w:p>
    <w:p w14:paraId="1CC6A001" w14:textId="77777777" w:rsidR="00A77C4C" w:rsidRDefault="00A77C4C">
      <w:pPr>
        <w:spacing w:after="0" w:line="360" w:lineRule="auto"/>
        <w:rPr>
          <w:b/>
          <w:color w:val="000000"/>
        </w:rPr>
      </w:pPr>
    </w:p>
    <w:p w14:paraId="0AF5193D" w14:textId="77777777" w:rsidR="00A77C4C" w:rsidRDefault="00C2394E">
      <w:pPr>
        <w:spacing w:after="0" w:line="360" w:lineRule="auto"/>
        <w:rPr>
          <w:color w:val="000000"/>
        </w:rPr>
      </w:pPr>
      <w:r>
        <w:rPr>
          <w:color w:val="000000"/>
        </w:rPr>
        <w:t xml:space="preserve">Con fundamento en el artículo 186, fracción III, de la Ley de Transparencia y Acceso a la Información Pública del Estado de México y Municipios, este Instituto considera procedente </w:t>
      </w:r>
      <w:r>
        <w:rPr>
          <w:b/>
          <w:color w:val="000000"/>
        </w:rPr>
        <w:t xml:space="preserve">MODIFICAR </w:t>
      </w:r>
      <w:r>
        <w:rPr>
          <w:color w:val="000000"/>
        </w:rPr>
        <w:t xml:space="preserve">la respuesta otorgada por el Ayuntamiento de Acambay de Ruíz Castañeda, a efecto de que realice una búsqueda exhaustiva y razonable en los archivos, a efecto de que proporcione la información solicitada. </w:t>
      </w:r>
    </w:p>
    <w:p w14:paraId="77D5FF97" w14:textId="77777777" w:rsidR="00A77C4C" w:rsidRDefault="00A77C4C">
      <w:pPr>
        <w:spacing w:after="0" w:line="360" w:lineRule="auto"/>
        <w:rPr>
          <w:color w:val="000000"/>
        </w:rPr>
      </w:pPr>
    </w:p>
    <w:p w14:paraId="67BB3A2A" w14:textId="77777777" w:rsidR="00A77C4C" w:rsidRDefault="00C2394E">
      <w:pPr>
        <w:spacing w:after="0" w:line="360" w:lineRule="auto"/>
        <w:rPr>
          <w:b/>
          <w:color w:val="000000"/>
        </w:rPr>
      </w:pPr>
      <w:r>
        <w:rPr>
          <w:b/>
          <w:color w:val="000000"/>
        </w:rPr>
        <w:t>Términos de la Resolución para conocimiento del Particular</w:t>
      </w:r>
    </w:p>
    <w:p w14:paraId="14B35645" w14:textId="77777777" w:rsidR="00A77C4C" w:rsidRDefault="00A77C4C">
      <w:pPr>
        <w:spacing w:after="0" w:line="360" w:lineRule="auto"/>
        <w:rPr>
          <w:b/>
        </w:rPr>
      </w:pPr>
    </w:p>
    <w:p w14:paraId="3F0155F4" w14:textId="77777777" w:rsidR="00A77C4C" w:rsidRDefault="00C2394E">
      <w:pPr>
        <w:spacing w:after="0" w:line="360" w:lineRule="auto"/>
        <w:rPr>
          <w:color w:val="000000"/>
        </w:rPr>
      </w:pPr>
      <w:bookmarkStart w:id="1" w:name="_heading=h.1fob9te" w:colFirst="0" w:colLast="0"/>
      <w:bookmarkEnd w:id="1"/>
      <w:r>
        <w:rPr>
          <w:color w:val="000000"/>
        </w:rPr>
        <w:t xml:space="preserve">Se le hace del conocimiento al Particular, que, en el presente caso, se le concede la razón pues el Sujeto Obligado no remitió la información, por lo que, deberá proporcionarle el catálogo o padrón de proveedores y </w:t>
      </w:r>
      <w:r>
        <w:t>contratistas</w:t>
      </w:r>
      <w:r>
        <w:rPr>
          <w:color w:val="000000"/>
        </w:rPr>
        <w:t>. La labor del Instituto, es apoyar a la población a acceder a la información pública y garantizar la protección de los datos personales.</w:t>
      </w:r>
    </w:p>
    <w:p w14:paraId="314B5705" w14:textId="77777777" w:rsidR="00A77C4C" w:rsidRDefault="00A77C4C">
      <w:pPr>
        <w:spacing w:after="0" w:line="360" w:lineRule="auto"/>
        <w:rPr>
          <w:color w:val="000000"/>
        </w:rPr>
      </w:pPr>
    </w:p>
    <w:p w14:paraId="32562B71" w14:textId="77777777" w:rsidR="00A77C4C" w:rsidRDefault="00C2394E">
      <w:pPr>
        <w:spacing w:after="0" w:line="360" w:lineRule="auto"/>
        <w:rPr>
          <w:color w:val="000000"/>
        </w:rPr>
      </w:pPr>
      <w:r>
        <w:rPr>
          <w:color w:val="000000"/>
        </w:rPr>
        <w:t>Por lo expuesto y fundado, este Pleno:</w:t>
      </w:r>
    </w:p>
    <w:p w14:paraId="2ECD529D" w14:textId="77777777" w:rsidR="00A77C4C" w:rsidRDefault="00A77C4C">
      <w:pPr>
        <w:spacing w:after="0" w:line="360" w:lineRule="auto"/>
        <w:rPr>
          <w:b/>
          <w:color w:val="000000"/>
        </w:rPr>
      </w:pPr>
    </w:p>
    <w:p w14:paraId="15E70C3B" w14:textId="77777777" w:rsidR="00A77C4C" w:rsidRDefault="00C2394E">
      <w:pPr>
        <w:spacing w:after="0" w:line="360" w:lineRule="auto"/>
        <w:jc w:val="center"/>
        <w:rPr>
          <w:b/>
          <w:color w:val="000000"/>
        </w:rPr>
      </w:pPr>
      <w:r>
        <w:rPr>
          <w:b/>
          <w:color w:val="000000"/>
        </w:rPr>
        <w:t>R E S U E L V E</w:t>
      </w:r>
    </w:p>
    <w:p w14:paraId="5BCCF9F1" w14:textId="77777777" w:rsidR="00A77C4C" w:rsidRDefault="00A77C4C">
      <w:pPr>
        <w:spacing w:after="0" w:line="360" w:lineRule="auto"/>
        <w:rPr>
          <w:color w:val="000000"/>
        </w:rPr>
      </w:pPr>
    </w:p>
    <w:p w14:paraId="619D6977" w14:textId="77777777" w:rsidR="00A77C4C" w:rsidRDefault="00C2394E">
      <w:pPr>
        <w:spacing w:after="0" w:line="360" w:lineRule="auto"/>
        <w:rPr>
          <w:color w:val="000000"/>
        </w:rPr>
      </w:pPr>
      <w:r>
        <w:rPr>
          <w:b/>
          <w:color w:val="000000"/>
        </w:rPr>
        <w:t xml:space="preserve">PRIMERO. </w:t>
      </w:r>
      <w:r>
        <w:rPr>
          <w:color w:val="000000"/>
        </w:rPr>
        <w:t xml:space="preserve">Se </w:t>
      </w:r>
      <w:r>
        <w:rPr>
          <w:b/>
          <w:color w:val="000000"/>
        </w:rPr>
        <w:t xml:space="preserve">MODIFICA </w:t>
      </w:r>
      <w:r>
        <w:rPr>
          <w:color w:val="000000"/>
        </w:rPr>
        <w:t>la respuesta entregada por el Ayuntamiento de Acambay de Ruíz Castañeda, a la solicitud de información 00158/ACAMBAY/IP/2024, por resultar</w:t>
      </w:r>
      <w:r>
        <w:rPr>
          <w:b/>
          <w:color w:val="000000"/>
        </w:rPr>
        <w:t xml:space="preserve"> FUNDADAS </w:t>
      </w:r>
      <w:r>
        <w:rPr>
          <w:color w:val="000000"/>
        </w:rPr>
        <w:t>las razones o motivos de inconformidad hechos valer por el Recurrente, en términos de los considerandos QUINTO y SEXTO de la presente Resolución.</w:t>
      </w:r>
    </w:p>
    <w:p w14:paraId="6EE3EF0B" w14:textId="77777777" w:rsidR="00A77C4C" w:rsidRDefault="00A77C4C">
      <w:pPr>
        <w:spacing w:after="0" w:line="360" w:lineRule="auto"/>
        <w:rPr>
          <w:color w:val="000000"/>
          <w:highlight w:val="yellow"/>
        </w:rPr>
      </w:pPr>
    </w:p>
    <w:p w14:paraId="395659A8" w14:textId="77777777" w:rsidR="00A77C4C" w:rsidRDefault="00C2394E">
      <w:pPr>
        <w:spacing w:after="0" w:line="360" w:lineRule="auto"/>
        <w:rPr>
          <w:color w:val="000000"/>
        </w:rPr>
      </w:pPr>
      <w:r>
        <w:rPr>
          <w:b/>
          <w:color w:val="000000"/>
        </w:rPr>
        <w:t xml:space="preserve">SEGUNDO. </w:t>
      </w:r>
      <w:r>
        <w:rPr>
          <w:color w:val="000000"/>
        </w:rPr>
        <w:t xml:space="preserve">Se </w:t>
      </w:r>
      <w:r>
        <w:rPr>
          <w:b/>
          <w:color w:val="000000"/>
        </w:rPr>
        <w:t>ORDENA</w:t>
      </w:r>
      <w:r>
        <w:rPr>
          <w:color w:val="000000"/>
        </w:rPr>
        <w:t xml:space="preserve"> al Ente Recurrido</w:t>
      </w:r>
      <w:r>
        <w:rPr>
          <w:b/>
          <w:color w:val="000000"/>
        </w:rPr>
        <w:t xml:space="preserve">, </w:t>
      </w:r>
      <w:r>
        <w:rPr>
          <w:color w:val="000000"/>
        </w:rPr>
        <w:t xml:space="preserve">a efecto de que previa búsqueda exhaustiva y razonable en los archivos de las unidades administrativas competentes, entregue a través del </w:t>
      </w:r>
      <w:r>
        <w:rPr>
          <w:color w:val="000000"/>
        </w:rPr>
        <w:lastRenderedPageBreak/>
        <w:t>Sistema de Acceso a la Información Mexiquense (SAIMEX), en su caso, en versión pública, lo siguiente:</w:t>
      </w:r>
    </w:p>
    <w:p w14:paraId="40BA41CC" w14:textId="77777777" w:rsidR="00A77C4C" w:rsidRDefault="00A77C4C">
      <w:pPr>
        <w:widowControl w:val="0"/>
        <w:spacing w:after="0" w:line="360" w:lineRule="auto"/>
        <w:rPr>
          <w:color w:val="000000"/>
        </w:rPr>
      </w:pPr>
    </w:p>
    <w:p w14:paraId="447AF8B0" w14:textId="77777777" w:rsidR="00A77C4C" w:rsidRDefault="00C2394E">
      <w:pPr>
        <w:widowControl w:val="0"/>
        <w:numPr>
          <w:ilvl w:val="0"/>
          <w:numId w:val="2"/>
        </w:numPr>
        <w:pBdr>
          <w:top w:val="nil"/>
          <w:left w:val="nil"/>
          <w:bottom w:val="nil"/>
          <w:right w:val="nil"/>
          <w:between w:val="nil"/>
        </w:pBdr>
        <w:spacing w:after="0" w:line="360" w:lineRule="auto"/>
        <w:rPr>
          <w:color w:val="000000"/>
        </w:rPr>
      </w:pPr>
      <w:r>
        <w:rPr>
          <w:color w:val="000000"/>
        </w:rPr>
        <w:t xml:space="preserve">El Catálogo o Padrón de Proveedores y Contratistas vigente al nueve de octubre de dos mil veinticuatro. </w:t>
      </w:r>
    </w:p>
    <w:p w14:paraId="3CA36003" w14:textId="77777777" w:rsidR="00A77C4C" w:rsidRDefault="00A77C4C">
      <w:pPr>
        <w:widowControl w:val="0"/>
        <w:pBdr>
          <w:top w:val="nil"/>
          <w:left w:val="nil"/>
          <w:bottom w:val="nil"/>
          <w:right w:val="nil"/>
          <w:between w:val="nil"/>
        </w:pBdr>
        <w:spacing w:after="0" w:line="360" w:lineRule="auto"/>
        <w:ind w:left="1440"/>
        <w:jc w:val="left"/>
        <w:rPr>
          <w:rFonts w:ascii="Century Gothic" w:eastAsia="Century Gothic" w:hAnsi="Century Gothic" w:cs="Century Gothic"/>
          <w:color w:val="000000"/>
        </w:rPr>
      </w:pPr>
    </w:p>
    <w:p w14:paraId="62A73864" w14:textId="77777777" w:rsidR="00A77C4C" w:rsidRDefault="00C2394E">
      <w:pPr>
        <w:spacing w:after="0" w:line="360" w:lineRule="auto"/>
      </w:pPr>
      <w:r>
        <w:t>Además, de ser necesario, deberá proporcionar el Acuerdo de Clasificación donde el Comité de Transparencia, confirme la eliminación de los datos o información clasificada, de conformidad con los artículos 49, fracciones II y VIII y 132, fracción II de la Ley de Transparencia y Acceso a la Información Pública del Estado de México y Municipios</w:t>
      </w:r>
    </w:p>
    <w:p w14:paraId="442B4459" w14:textId="77777777" w:rsidR="00A77C4C" w:rsidRDefault="00A77C4C">
      <w:pPr>
        <w:spacing w:after="0" w:line="360" w:lineRule="auto"/>
        <w:rPr>
          <w:color w:val="000000"/>
        </w:rPr>
      </w:pPr>
    </w:p>
    <w:p w14:paraId="4AE9D303" w14:textId="77777777" w:rsidR="00A77C4C" w:rsidRDefault="00C2394E">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750FB47" w14:textId="77777777" w:rsidR="00A77C4C" w:rsidRDefault="00A77C4C">
      <w:pPr>
        <w:spacing w:after="0" w:line="360" w:lineRule="auto"/>
        <w:ind w:right="-28"/>
        <w:rPr>
          <w:color w:val="000000"/>
        </w:rPr>
      </w:pPr>
    </w:p>
    <w:p w14:paraId="48C47675" w14:textId="77777777" w:rsidR="00A77C4C" w:rsidRDefault="00C2394E">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14:paraId="34015207" w14:textId="77777777" w:rsidR="00A77C4C" w:rsidRDefault="00A77C4C">
      <w:pPr>
        <w:spacing w:after="0" w:line="360" w:lineRule="auto"/>
        <w:rPr>
          <w:color w:val="000000"/>
        </w:rPr>
      </w:pPr>
    </w:p>
    <w:p w14:paraId="31B4A31F" w14:textId="77777777" w:rsidR="00A77C4C" w:rsidRDefault="00C2394E">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w:t>
      </w:r>
      <w:r>
        <w:rPr>
          <w:color w:val="000000"/>
        </w:rPr>
        <w:lastRenderedPageBreak/>
        <w:t>Transparencia y Acceso a la Información Pública del Estado de México y Municipios podrá promover el Juicio de Amparo en los términos de las leyes aplicables.</w:t>
      </w:r>
    </w:p>
    <w:p w14:paraId="79E2A829" w14:textId="77777777" w:rsidR="00A77C4C" w:rsidRDefault="00A77C4C">
      <w:pPr>
        <w:spacing w:after="0" w:line="360" w:lineRule="auto"/>
        <w:rPr>
          <w:color w:val="000000"/>
        </w:rPr>
      </w:pPr>
    </w:p>
    <w:p w14:paraId="075A2D2D" w14:textId="77777777" w:rsidR="00A77C4C" w:rsidRDefault="00C2394E">
      <w:pPr>
        <w:spacing w:after="0" w:line="360" w:lineRule="auto"/>
        <w:rPr>
          <w:color w:val="000000"/>
        </w:rPr>
      </w:pPr>
      <w:r>
        <w:rPr>
          <w:color w:val="000000"/>
        </w:rPr>
        <w:t xml:space="preserve">ASÍ LO RESUELVE, </w:t>
      </w:r>
      <w:r w:rsidRPr="009047CE">
        <w:rPr>
          <w:color w:val="000000"/>
        </w:rPr>
        <w:t>POR</w:t>
      </w:r>
      <w:r>
        <w:rPr>
          <w:b/>
          <w:color w:val="000000"/>
        </w:rPr>
        <w:t xml:space="preserve"> 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983C9A0" w14:textId="77777777" w:rsidR="00A77C4C" w:rsidRDefault="00A77C4C">
      <w:pPr>
        <w:spacing w:after="0" w:line="360" w:lineRule="auto"/>
        <w:jc w:val="left"/>
      </w:pPr>
    </w:p>
    <w:p w14:paraId="3FDAD465" w14:textId="77777777" w:rsidR="00A77C4C" w:rsidRDefault="00A77C4C">
      <w:pPr>
        <w:spacing w:after="0" w:line="360" w:lineRule="auto"/>
      </w:pPr>
    </w:p>
    <w:p w14:paraId="4912F54A" w14:textId="77777777" w:rsidR="00A77C4C" w:rsidRDefault="00A77C4C">
      <w:pPr>
        <w:spacing w:after="0" w:line="360" w:lineRule="auto"/>
      </w:pPr>
    </w:p>
    <w:p w14:paraId="77590679" w14:textId="77777777" w:rsidR="00A77C4C" w:rsidRDefault="00A77C4C">
      <w:pPr>
        <w:spacing w:after="0" w:line="360" w:lineRule="auto"/>
      </w:pPr>
    </w:p>
    <w:p w14:paraId="2D5A540F" w14:textId="77777777" w:rsidR="00A77C4C" w:rsidRDefault="00A77C4C">
      <w:pPr>
        <w:spacing w:after="0" w:line="360" w:lineRule="auto"/>
      </w:pPr>
    </w:p>
    <w:p w14:paraId="7D577FEA" w14:textId="77777777" w:rsidR="00A77C4C" w:rsidRDefault="00A77C4C">
      <w:pPr>
        <w:spacing w:after="0" w:line="360" w:lineRule="auto"/>
      </w:pPr>
    </w:p>
    <w:p w14:paraId="20D32441" w14:textId="77777777" w:rsidR="00A77C4C" w:rsidRDefault="00A77C4C">
      <w:pPr>
        <w:spacing w:after="0" w:line="360" w:lineRule="auto"/>
      </w:pPr>
    </w:p>
    <w:p w14:paraId="5F2288FC" w14:textId="77777777" w:rsidR="00A77C4C" w:rsidRDefault="00A77C4C">
      <w:pPr>
        <w:spacing w:after="0" w:line="360" w:lineRule="auto"/>
      </w:pPr>
    </w:p>
    <w:p w14:paraId="4AEE0E4D" w14:textId="77777777" w:rsidR="00A77C4C" w:rsidRDefault="00A77C4C">
      <w:pPr>
        <w:spacing w:after="0" w:line="360" w:lineRule="auto"/>
      </w:pPr>
    </w:p>
    <w:p w14:paraId="29A78940" w14:textId="77777777" w:rsidR="00A77C4C" w:rsidRDefault="00A77C4C">
      <w:pPr>
        <w:spacing w:after="0" w:line="360" w:lineRule="auto"/>
      </w:pPr>
    </w:p>
    <w:p w14:paraId="1B491799" w14:textId="77777777" w:rsidR="00A77C4C" w:rsidRDefault="00A77C4C">
      <w:pPr>
        <w:spacing w:after="0" w:line="360" w:lineRule="auto"/>
      </w:pPr>
    </w:p>
    <w:p w14:paraId="5E1AF6A9" w14:textId="77777777" w:rsidR="009047CE" w:rsidRDefault="009047CE">
      <w:pPr>
        <w:spacing w:after="0" w:line="360" w:lineRule="auto"/>
      </w:pPr>
    </w:p>
    <w:p w14:paraId="4B75A66F" w14:textId="77777777" w:rsidR="009047CE" w:rsidRDefault="009047CE">
      <w:pPr>
        <w:spacing w:after="0" w:line="360" w:lineRule="auto"/>
      </w:pPr>
    </w:p>
    <w:p w14:paraId="7B7EBF85" w14:textId="77777777" w:rsidR="009047CE" w:rsidRDefault="009047CE">
      <w:pPr>
        <w:spacing w:after="0" w:line="360" w:lineRule="auto"/>
      </w:pPr>
    </w:p>
    <w:p w14:paraId="4886514B" w14:textId="77777777" w:rsidR="009047CE" w:rsidRDefault="009047CE">
      <w:pPr>
        <w:spacing w:after="0" w:line="360" w:lineRule="auto"/>
      </w:pPr>
    </w:p>
    <w:p w14:paraId="63E98D60" w14:textId="77777777" w:rsidR="009047CE" w:rsidRDefault="009047CE">
      <w:pPr>
        <w:spacing w:after="0" w:line="360" w:lineRule="auto"/>
      </w:pPr>
    </w:p>
    <w:p w14:paraId="11E181A1" w14:textId="77777777" w:rsidR="009047CE" w:rsidRDefault="009047CE">
      <w:pPr>
        <w:spacing w:after="0" w:line="360" w:lineRule="auto"/>
      </w:pPr>
    </w:p>
    <w:p w14:paraId="1336CA98" w14:textId="77777777" w:rsidR="009047CE" w:rsidRDefault="009047CE">
      <w:pPr>
        <w:spacing w:after="0" w:line="360" w:lineRule="auto"/>
      </w:pPr>
    </w:p>
    <w:p w14:paraId="3806D92C" w14:textId="77777777" w:rsidR="009047CE" w:rsidRDefault="009047CE">
      <w:pPr>
        <w:spacing w:after="0" w:line="360" w:lineRule="auto"/>
      </w:pPr>
    </w:p>
    <w:p w14:paraId="79C65069" w14:textId="77777777" w:rsidR="009047CE" w:rsidRDefault="009047CE">
      <w:pPr>
        <w:spacing w:after="0" w:line="360" w:lineRule="auto"/>
      </w:pPr>
    </w:p>
    <w:p w14:paraId="4807CDC5" w14:textId="77777777" w:rsidR="009047CE" w:rsidRDefault="009047CE">
      <w:pPr>
        <w:spacing w:after="0" w:line="360" w:lineRule="auto"/>
      </w:pPr>
    </w:p>
    <w:sectPr w:rsidR="009047CE">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03F4" w14:textId="77777777" w:rsidR="009831C5" w:rsidRDefault="009831C5">
      <w:pPr>
        <w:spacing w:after="0" w:line="240" w:lineRule="auto"/>
      </w:pPr>
      <w:r>
        <w:separator/>
      </w:r>
    </w:p>
  </w:endnote>
  <w:endnote w:type="continuationSeparator" w:id="0">
    <w:p w14:paraId="7A80BBD1" w14:textId="77777777" w:rsidR="009831C5" w:rsidRDefault="0098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3D8" w14:textId="77777777" w:rsidR="00A77C4C" w:rsidRDefault="00C2394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02142">
      <w:rPr>
        <w:b/>
        <w:noProof/>
        <w:color w:val="000000"/>
        <w:sz w:val="24"/>
        <w:szCs w:val="24"/>
      </w:rPr>
      <w:t>18</w:t>
    </w:r>
    <w:r>
      <w:rPr>
        <w:b/>
        <w:color w:val="000000"/>
        <w:sz w:val="24"/>
        <w:szCs w:val="24"/>
      </w:rPr>
      <w:fldChar w:fldCharType="end"/>
    </w:r>
  </w:p>
  <w:p w14:paraId="4136E844" w14:textId="77777777" w:rsidR="00A77C4C" w:rsidRDefault="00A77C4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32E" w14:textId="77777777" w:rsidR="00A77C4C" w:rsidRDefault="00C2394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02142">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02142">
      <w:rPr>
        <w:b/>
        <w:noProof/>
        <w:color w:val="000000"/>
        <w:sz w:val="24"/>
        <w:szCs w:val="24"/>
      </w:rPr>
      <w:t>18</w:t>
    </w:r>
    <w:r>
      <w:rPr>
        <w:b/>
        <w:color w:val="000000"/>
        <w:sz w:val="24"/>
        <w:szCs w:val="24"/>
      </w:rPr>
      <w:fldChar w:fldCharType="end"/>
    </w:r>
  </w:p>
  <w:p w14:paraId="434D2D28" w14:textId="77777777" w:rsidR="00A77C4C" w:rsidRDefault="00A77C4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881F" w14:textId="77777777" w:rsidR="00A77C4C" w:rsidRDefault="00C2394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0214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02142">
      <w:rPr>
        <w:b/>
        <w:noProof/>
        <w:color w:val="000000"/>
        <w:sz w:val="24"/>
        <w:szCs w:val="24"/>
      </w:rPr>
      <w:t>18</w:t>
    </w:r>
    <w:r>
      <w:rPr>
        <w:b/>
        <w:color w:val="000000"/>
        <w:sz w:val="24"/>
        <w:szCs w:val="24"/>
      </w:rPr>
      <w:fldChar w:fldCharType="end"/>
    </w:r>
  </w:p>
  <w:p w14:paraId="45F804FF" w14:textId="77777777" w:rsidR="00A77C4C" w:rsidRDefault="00C2394E">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B4E7" w14:textId="77777777" w:rsidR="009831C5" w:rsidRDefault="009831C5">
      <w:pPr>
        <w:spacing w:after="0" w:line="240" w:lineRule="auto"/>
      </w:pPr>
      <w:r>
        <w:separator/>
      </w:r>
    </w:p>
  </w:footnote>
  <w:footnote w:type="continuationSeparator" w:id="0">
    <w:p w14:paraId="70778807" w14:textId="77777777" w:rsidR="009831C5" w:rsidRDefault="0098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B424" w14:textId="77777777" w:rsidR="00A77C4C" w:rsidRDefault="00A77C4C">
    <w:pPr>
      <w:widowControl w:val="0"/>
      <w:pBdr>
        <w:top w:val="nil"/>
        <w:left w:val="nil"/>
        <w:bottom w:val="nil"/>
        <w:right w:val="nil"/>
        <w:between w:val="nil"/>
      </w:pBdr>
      <w:spacing w:after="0" w:line="276" w:lineRule="auto"/>
      <w:jc w:val="left"/>
    </w:pPr>
  </w:p>
  <w:tbl>
    <w:tblPr>
      <w:tblStyle w:val="a"/>
      <w:tblW w:w="9990" w:type="dxa"/>
      <w:tblInd w:w="0" w:type="dxa"/>
      <w:tblLayout w:type="fixed"/>
      <w:tblLook w:val="0400" w:firstRow="0" w:lastRow="0" w:firstColumn="0" w:lastColumn="0" w:noHBand="0" w:noVBand="1"/>
    </w:tblPr>
    <w:tblGrid>
      <w:gridCol w:w="3260"/>
      <w:gridCol w:w="6730"/>
    </w:tblGrid>
    <w:tr w:rsidR="00A77C4C" w14:paraId="4F5357F9" w14:textId="77777777">
      <w:trPr>
        <w:trHeight w:val="1435"/>
      </w:trPr>
      <w:tc>
        <w:tcPr>
          <w:tcW w:w="3260" w:type="dxa"/>
        </w:tcPr>
        <w:p w14:paraId="4A869C8C" w14:textId="77777777" w:rsidR="00A77C4C" w:rsidRDefault="00A77C4C">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29308E0A" w14:textId="77777777" w:rsidR="00A77C4C" w:rsidRDefault="00A77C4C">
          <w:pPr>
            <w:widowControl w:val="0"/>
            <w:pBdr>
              <w:top w:val="nil"/>
              <w:left w:val="nil"/>
              <w:bottom w:val="nil"/>
              <w:right w:val="nil"/>
              <w:between w:val="nil"/>
            </w:pBdr>
            <w:spacing w:after="0" w:line="276" w:lineRule="auto"/>
            <w:jc w:val="left"/>
            <w:rPr>
              <w:color w:val="000000"/>
            </w:rPr>
          </w:pPr>
        </w:p>
        <w:tbl>
          <w:tblPr>
            <w:tblStyle w:val="a0"/>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A77C4C" w14:paraId="186B2585" w14:textId="77777777">
            <w:trPr>
              <w:trHeight w:val="144"/>
            </w:trPr>
            <w:tc>
              <w:tcPr>
                <w:tcW w:w="2559" w:type="dxa"/>
              </w:tcPr>
              <w:p w14:paraId="46C5CDAE"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Recurso de Revisión:</w:t>
                </w:r>
              </w:p>
            </w:tc>
            <w:tc>
              <w:tcPr>
                <w:tcW w:w="3259" w:type="dxa"/>
              </w:tcPr>
              <w:p w14:paraId="2D7060F5" w14:textId="77777777" w:rsidR="00A77C4C" w:rsidRDefault="00C2394E">
                <w:pPr>
                  <w:pBdr>
                    <w:top w:val="nil"/>
                    <w:left w:val="nil"/>
                    <w:bottom w:val="nil"/>
                    <w:right w:val="nil"/>
                    <w:between w:val="nil"/>
                  </w:pBdr>
                  <w:tabs>
                    <w:tab w:val="center" w:pos="4419"/>
                    <w:tab w:val="right" w:pos="8838"/>
                  </w:tabs>
                  <w:rPr>
                    <w:color w:val="000000"/>
                  </w:rPr>
                </w:pPr>
                <w:r>
                  <w:rPr>
                    <w:color w:val="000000"/>
                  </w:rPr>
                  <w:t>01206/INFOEM/IP/RR/2022</w:t>
                </w:r>
              </w:p>
            </w:tc>
            <w:tc>
              <w:tcPr>
                <w:tcW w:w="3402" w:type="dxa"/>
              </w:tcPr>
              <w:p w14:paraId="4B445B30" w14:textId="77777777" w:rsidR="00A77C4C" w:rsidRDefault="00A77C4C">
                <w:pPr>
                  <w:pBdr>
                    <w:top w:val="nil"/>
                    <w:left w:val="nil"/>
                    <w:bottom w:val="nil"/>
                    <w:right w:val="nil"/>
                    <w:between w:val="nil"/>
                  </w:pBdr>
                  <w:tabs>
                    <w:tab w:val="center" w:pos="4419"/>
                    <w:tab w:val="right" w:pos="8838"/>
                  </w:tabs>
                  <w:rPr>
                    <w:color w:val="000000"/>
                  </w:rPr>
                </w:pPr>
              </w:p>
            </w:tc>
          </w:tr>
          <w:tr w:rsidR="00A77C4C" w14:paraId="1DF58504" w14:textId="77777777">
            <w:trPr>
              <w:trHeight w:val="283"/>
            </w:trPr>
            <w:tc>
              <w:tcPr>
                <w:tcW w:w="2559" w:type="dxa"/>
              </w:tcPr>
              <w:p w14:paraId="618B1410"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Sujeto Obligado:</w:t>
                </w:r>
              </w:p>
            </w:tc>
            <w:tc>
              <w:tcPr>
                <w:tcW w:w="3259" w:type="dxa"/>
              </w:tcPr>
              <w:p w14:paraId="2F8DA539" w14:textId="77777777" w:rsidR="00A77C4C" w:rsidRDefault="00C2394E">
                <w:pPr>
                  <w:pBdr>
                    <w:top w:val="nil"/>
                    <w:left w:val="nil"/>
                    <w:bottom w:val="nil"/>
                    <w:right w:val="nil"/>
                    <w:between w:val="nil"/>
                  </w:pBdr>
                  <w:tabs>
                    <w:tab w:val="center" w:pos="4419"/>
                    <w:tab w:val="right" w:pos="8838"/>
                  </w:tabs>
                  <w:rPr>
                    <w:color w:val="000000"/>
                  </w:rPr>
                </w:pPr>
                <w:r>
                  <w:rPr>
                    <w:color w:val="000000"/>
                  </w:rPr>
                  <w:t>Ayuntamiento de Tezoyuca</w:t>
                </w:r>
              </w:p>
            </w:tc>
            <w:tc>
              <w:tcPr>
                <w:tcW w:w="3402" w:type="dxa"/>
              </w:tcPr>
              <w:p w14:paraId="68083566" w14:textId="77777777" w:rsidR="00A77C4C" w:rsidRDefault="00A77C4C">
                <w:pPr>
                  <w:pBdr>
                    <w:top w:val="nil"/>
                    <w:left w:val="nil"/>
                    <w:bottom w:val="nil"/>
                    <w:right w:val="nil"/>
                    <w:between w:val="nil"/>
                  </w:pBdr>
                  <w:tabs>
                    <w:tab w:val="center" w:pos="4419"/>
                    <w:tab w:val="right" w:pos="8838"/>
                  </w:tabs>
                  <w:rPr>
                    <w:color w:val="000000"/>
                  </w:rPr>
                </w:pPr>
              </w:p>
            </w:tc>
          </w:tr>
          <w:tr w:rsidR="00A77C4C" w14:paraId="29B2B8B3" w14:textId="77777777">
            <w:trPr>
              <w:trHeight w:val="283"/>
            </w:trPr>
            <w:tc>
              <w:tcPr>
                <w:tcW w:w="2559" w:type="dxa"/>
              </w:tcPr>
              <w:p w14:paraId="6EFCA0B3"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3259" w:type="dxa"/>
              </w:tcPr>
              <w:p w14:paraId="6CADE058" w14:textId="77777777" w:rsidR="00A77C4C" w:rsidRDefault="00C2394E">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658490C5" w14:textId="77777777" w:rsidR="00A77C4C" w:rsidRDefault="00A77C4C">
                <w:pPr>
                  <w:pBdr>
                    <w:top w:val="nil"/>
                    <w:left w:val="nil"/>
                    <w:bottom w:val="nil"/>
                    <w:right w:val="nil"/>
                    <w:between w:val="nil"/>
                  </w:pBdr>
                  <w:tabs>
                    <w:tab w:val="center" w:pos="4419"/>
                    <w:tab w:val="right" w:pos="8838"/>
                  </w:tabs>
                  <w:rPr>
                    <w:color w:val="000000"/>
                  </w:rPr>
                </w:pPr>
              </w:p>
            </w:tc>
          </w:tr>
        </w:tbl>
        <w:p w14:paraId="48646A6B" w14:textId="77777777" w:rsidR="00A77C4C" w:rsidRDefault="00A77C4C">
          <w:pPr>
            <w:pBdr>
              <w:top w:val="nil"/>
              <w:left w:val="nil"/>
              <w:bottom w:val="nil"/>
              <w:right w:val="nil"/>
              <w:between w:val="nil"/>
            </w:pBdr>
            <w:tabs>
              <w:tab w:val="center" w:pos="4419"/>
              <w:tab w:val="right" w:pos="8838"/>
            </w:tabs>
            <w:spacing w:after="0" w:line="240" w:lineRule="auto"/>
            <w:rPr>
              <w:b/>
              <w:color w:val="000000"/>
            </w:rPr>
          </w:pPr>
        </w:p>
      </w:tc>
    </w:tr>
  </w:tbl>
  <w:p w14:paraId="4B62C1C6" w14:textId="77777777" w:rsidR="00A77C4C" w:rsidRDefault="009831C5">
    <w:pPr>
      <w:pBdr>
        <w:top w:val="nil"/>
        <w:left w:val="nil"/>
        <w:bottom w:val="nil"/>
        <w:right w:val="nil"/>
        <w:between w:val="nil"/>
      </w:pBdr>
      <w:tabs>
        <w:tab w:val="center" w:pos="4419"/>
        <w:tab w:val="right" w:pos="8838"/>
      </w:tabs>
      <w:spacing w:after="0" w:line="240" w:lineRule="auto"/>
      <w:rPr>
        <w:color w:val="000000"/>
      </w:rPr>
    </w:pPr>
    <w:r>
      <w:rPr>
        <w:color w:val="000000"/>
      </w:rPr>
      <w:pict w14:anchorId="36F01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20AF" w14:textId="77777777" w:rsidR="00A77C4C" w:rsidRDefault="00A77C4C">
    <w:pPr>
      <w:widowControl w:val="0"/>
      <w:pBdr>
        <w:top w:val="nil"/>
        <w:left w:val="nil"/>
        <w:bottom w:val="nil"/>
        <w:right w:val="nil"/>
        <w:between w:val="nil"/>
      </w:pBdr>
      <w:spacing w:after="0" w:line="276" w:lineRule="auto"/>
      <w:jc w:val="left"/>
      <w:rPr>
        <w:color w:val="000000"/>
      </w:rPr>
    </w:pPr>
  </w:p>
  <w:tbl>
    <w:tblPr>
      <w:tblStyle w:val="a1"/>
      <w:tblW w:w="8998" w:type="dxa"/>
      <w:tblInd w:w="0" w:type="dxa"/>
      <w:tblLayout w:type="fixed"/>
      <w:tblLook w:val="0400" w:firstRow="0" w:lastRow="0" w:firstColumn="0" w:lastColumn="0" w:noHBand="0" w:noVBand="1"/>
    </w:tblPr>
    <w:tblGrid>
      <w:gridCol w:w="2268"/>
      <w:gridCol w:w="6730"/>
    </w:tblGrid>
    <w:tr w:rsidR="00A77C4C" w14:paraId="76BC84C7" w14:textId="77777777">
      <w:trPr>
        <w:trHeight w:val="1435"/>
      </w:trPr>
      <w:tc>
        <w:tcPr>
          <w:tcW w:w="2268" w:type="dxa"/>
        </w:tcPr>
        <w:p w14:paraId="0BDFBC8F" w14:textId="77777777" w:rsidR="00A77C4C" w:rsidRDefault="00A77C4C">
          <w:pPr>
            <w:tabs>
              <w:tab w:val="right" w:pos="4273"/>
            </w:tabs>
            <w:spacing w:line="256" w:lineRule="auto"/>
            <w:rPr>
              <w:rFonts w:ascii="Garamond" w:eastAsia="Garamond" w:hAnsi="Garamond" w:cs="Garamond"/>
              <w:color w:val="000000"/>
            </w:rPr>
          </w:pPr>
        </w:p>
      </w:tc>
      <w:tc>
        <w:tcPr>
          <w:tcW w:w="6730" w:type="dxa"/>
        </w:tcPr>
        <w:p w14:paraId="21516B67" w14:textId="77777777" w:rsidR="00A77C4C" w:rsidRDefault="00A77C4C"/>
        <w:tbl>
          <w:tblPr>
            <w:tblStyle w:val="a2"/>
            <w:tblW w:w="10206" w:type="dxa"/>
            <w:tblInd w:w="178" w:type="dxa"/>
            <w:tblBorders>
              <w:top w:val="nil"/>
              <w:left w:val="nil"/>
              <w:bottom w:val="nil"/>
              <w:right w:val="nil"/>
              <w:insideH w:val="nil"/>
              <w:insideV w:val="nil"/>
            </w:tblBorders>
            <w:tblLayout w:type="fixed"/>
            <w:tblLook w:val="0400" w:firstRow="0" w:lastRow="0" w:firstColumn="0" w:lastColumn="0" w:noHBand="0" w:noVBand="1"/>
          </w:tblPr>
          <w:tblGrid>
            <w:gridCol w:w="2559"/>
            <w:gridCol w:w="4245"/>
            <w:gridCol w:w="3402"/>
          </w:tblGrid>
          <w:tr w:rsidR="00A77C4C" w14:paraId="7FFEC8B8" w14:textId="77777777">
            <w:trPr>
              <w:trHeight w:val="144"/>
            </w:trPr>
            <w:tc>
              <w:tcPr>
                <w:tcW w:w="2559" w:type="dxa"/>
              </w:tcPr>
              <w:p w14:paraId="4B9223C3" w14:textId="77777777" w:rsidR="00A77C4C" w:rsidRDefault="00C2394E">
                <w:pPr>
                  <w:tabs>
                    <w:tab w:val="right" w:pos="8838"/>
                  </w:tabs>
                  <w:ind w:left="-74" w:right="-105"/>
                  <w:rPr>
                    <w:b/>
                  </w:rPr>
                </w:pPr>
                <w:bookmarkStart w:id="2" w:name="_heading=h.30j0zll" w:colFirst="0" w:colLast="0"/>
                <w:bookmarkEnd w:id="2"/>
                <w:r>
                  <w:rPr>
                    <w:b/>
                  </w:rPr>
                  <w:t>Recurso de Revisión:</w:t>
                </w:r>
              </w:p>
            </w:tc>
            <w:tc>
              <w:tcPr>
                <w:tcW w:w="4245" w:type="dxa"/>
              </w:tcPr>
              <w:p w14:paraId="4072C569" w14:textId="77777777" w:rsidR="00A77C4C" w:rsidRDefault="00C2394E">
                <w:pPr>
                  <w:tabs>
                    <w:tab w:val="right" w:pos="8838"/>
                  </w:tabs>
                  <w:ind w:left="-74" w:right="-105"/>
                </w:pPr>
                <w:r>
                  <w:t>07131/INFOEM/IP/RR/2024</w:t>
                </w:r>
              </w:p>
            </w:tc>
            <w:tc>
              <w:tcPr>
                <w:tcW w:w="3402" w:type="dxa"/>
              </w:tcPr>
              <w:p w14:paraId="0E0C1142" w14:textId="77777777" w:rsidR="00A77C4C" w:rsidRDefault="00A77C4C">
                <w:pPr>
                  <w:tabs>
                    <w:tab w:val="right" w:pos="8838"/>
                  </w:tabs>
                  <w:ind w:left="-74" w:right="-105"/>
                </w:pPr>
              </w:p>
            </w:tc>
          </w:tr>
          <w:tr w:rsidR="00A77C4C" w14:paraId="30F69B32" w14:textId="77777777">
            <w:trPr>
              <w:trHeight w:val="283"/>
            </w:trPr>
            <w:tc>
              <w:tcPr>
                <w:tcW w:w="2559" w:type="dxa"/>
              </w:tcPr>
              <w:p w14:paraId="6C674070" w14:textId="77777777" w:rsidR="00A77C4C" w:rsidRDefault="00C2394E">
                <w:pPr>
                  <w:tabs>
                    <w:tab w:val="right" w:pos="8838"/>
                  </w:tabs>
                  <w:ind w:left="-74" w:right="-105"/>
                  <w:rPr>
                    <w:b/>
                  </w:rPr>
                </w:pPr>
                <w:r>
                  <w:rPr>
                    <w:b/>
                  </w:rPr>
                  <w:t>Sujeto Obligado:</w:t>
                </w:r>
              </w:p>
            </w:tc>
            <w:tc>
              <w:tcPr>
                <w:tcW w:w="4245" w:type="dxa"/>
              </w:tcPr>
              <w:p w14:paraId="502003CB" w14:textId="77777777" w:rsidR="00A77C4C" w:rsidRDefault="00C2394E">
                <w:pPr>
                  <w:tabs>
                    <w:tab w:val="left" w:pos="2834"/>
                    <w:tab w:val="right" w:pos="8838"/>
                  </w:tabs>
                  <w:ind w:left="-74" w:right="319"/>
                </w:pPr>
                <w:r>
                  <w:t>Ayuntamiento de Acambay de Ruíz Castañeda</w:t>
                </w:r>
              </w:p>
            </w:tc>
            <w:tc>
              <w:tcPr>
                <w:tcW w:w="3402" w:type="dxa"/>
              </w:tcPr>
              <w:p w14:paraId="773E6D5E" w14:textId="77777777" w:rsidR="00A77C4C" w:rsidRDefault="00A77C4C">
                <w:pPr>
                  <w:tabs>
                    <w:tab w:val="left" w:pos="2834"/>
                    <w:tab w:val="right" w:pos="8838"/>
                  </w:tabs>
                  <w:ind w:left="-74" w:right="-105"/>
                </w:pPr>
              </w:p>
            </w:tc>
          </w:tr>
          <w:tr w:rsidR="00A77C4C" w14:paraId="7222BF0F" w14:textId="77777777">
            <w:trPr>
              <w:trHeight w:val="283"/>
            </w:trPr>
            <w:tc>
              <w:tcPr>
                <w:tcW w:w="2559" w:type="dxa"/>
              </w:tcPr>
              <w:p w14:paraId="7FACA44D" w14:textId="77777777" w:rsidR="00A77C4C" w:rsidRDefault="00C2394E">
                <w:pPr>
                  <w:tabs>
                    <w:tab w:val="right" w:pos="8838"/>
                  </w:tabs>
                  <w:ind w:left="-74" w:right="-105"/>
                  <w:rPr>
                    <w:b/>
                  </w:rPr>
                </w:pPr>
                <w:r>
                  <w:rPr>
                    <w:b/>
                  </w:rPr>
                  <w:t xml:space="preserve">Comisionado Ponente: </w:t>
                </w:r>
              </w:p>
            </w:tc>
            <w:tc>
              <w:tcPr>
                <w:tcW w:w="4245" w:type="dxa"/>
              </w:tcPr>
              <w:p w14:paraId="1D2827B1" w14:textId="77777777" w:rsidR="00A77C4C" w:rsidRDefault="00C2394E">
                <w:pPr>
                  <w:tabs>
                    <w:tab w:val="right" w:pos="8838"/>
                  </w:tabs>
                  <w:ind w:left="-74" w:right="-105"/>
                  <w:rPr>
                    <w:b/>
                  </w:rPr>
                </w:pPr>
                <w:r>
                  <w:t>Luis Gustavo Parra Noriega</w:t>
                </w:r>
              </w:p>
            </w:tc>
            <w:tc>
              <w:tcPr>
                <w:tcW w:w="3402" w:type="dxa"/>
              </w:tcPr>
              <w:p w14:paraId="288785BF" w14:textId="77777777" w:rsidR="00A77C4C" w:rsidRDefault="00A77C4C">
                <w:pPr>
                  <w:tabs>
                    <w:tab w:val="right" w:pos="8838"/>
                  </w:tabs>
                  <w:ind w:left="-74" w:right="-105"/>
                </w:pPr>
              </w:p>
            </w:tc>
          </w:tr>
        </w:tbl>
        <w:p w14:paraId="3A089803" w14:textId="77777777" w:rsidR="00A77C4C" w:rsidRDefault="00A77C4C">
          <w:pPr>
            <w:tabs>
              <w:tab w:val="right" w:pos="8838"/>
            </w:tabs>
            <w:spacing w:line="256" w:lineRule="auto"/>
            <w:ind w:left="-28"/>
            <w:rPr>
              <w:rFonts w:ascii="Arial" w:eastAsia="Arial" w:hAnsi="Arial" w:cs="Arial"/>
              <w:b/>
            </w:rPr>
          </w:pPr>
        </w:p>
      </w:tc>
    </w:tr>
  </w:tbl>
  <w:p w14:paraId="393EB064" w14:textId="77777777" w:rsidR="00A77C4C" w:rsidRDefault="009831C5">
    <w:pPr>
      <w:pBdr>
        <w:top w:val="nil"/>
        <w:left w:val="nil"/>
        <w:bottom w:val="nil"/>
        <w:right w:val="nil"/>
        <w:between w:val="nil"/>
      </w:pBdr>
      <w:tabs>
        <w:tab w:val="center" w:pos="4419"/>
        <w:tab w:val="right" w:pos="8838"/>
      </w:tabs>
      <w:spacing w:after="0" w:line="240" w:lineRule="auto"/>
      <w:rPr>
        <w:color w:val="000000"/>
      </w:rPr>
    </w:pPr>
    <w:r>
      <w:rPr>
        <w:color w:val="000000"/>
      </w:rPr>
      <w:pict w14:anchorId="32A31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5DD4" w14:textId="77777777" w:rsidR="00A77C4C" w:rsidRDefault="00A77C4C">
    <w:pPr>
      <w:widowControl w:val="0"/>
      <w:pBdr>
        <w:top w:val="nil"/>
        <w:left w:val="nil"/>
        <w:bottom w:val="nil"/>
        <w:right w:val="nil"/>
        <w:between w:val="nil"/>
      </w:pBdr>
      <w:spacing w:after="0" w:line="276" w:lineRule="auto"/>
      <w:jc w:val="left"/>
      <w:rPr>
        <w:color w:val="000000"/>
      </w:rPr>
    </w:pPr>
  </w:p>
  <w:tbl>
    <w:tblPr>
      <w:tblStyle w:val="a3"/>
      <w:tblW w:w="9639" w:type="dxa"/>
      <w:tblInd w:w="0" w:type="dxa"/>
      <w:tblLayout w:type="fixed"/>
      <w:tblLook w:val="0400" w:firstRow="0" w:lastRow="0" w:firstColumn="0" w:lastColumn="0" w:noHBand="0" w:noVBand="1"/>
    </w:tblPr>
    <w:tblGrid>
      <w:gridCol w:w="2127"/>
      <w:gridCol w:w="7512"/>
    </w:tblGrid>
    <w:tr w:rsidR="00A77C4C" w14:paraId="240981A2" w14:textId="77777777">
      <w:trPr>
        <w:trHeight w:val="1435"/>
      </w:trPr>
      <w:tc>
        <w:tcPr>
          <w:tcW w:w="2127" w:type="dxa"/>
        </w:tcPr>
        <w:p w14:paraId="465958A6" w14:textId="77777777" w:rsidR="00A77C4C" w:rsidRDefault="00A77C4C">
          <w:pPr>
            <w:pBdr>
              <w:top w:val="nil"/>
              <w:left w:val="nil"/>
              <w:bottom w:val="nil"/>
              <w:right w:val="nil"/>
              <w:between w:val="nil"/>
            </w:pBdr>
            <w:tabs>
              <w:tab w:val="center" w:pos="4419"/>
              <w:tab w:val="right" w:pos="8838"/>
            </w:tabs>
            <w:spacing w:after="0" w:line="240" w:lineRule="auto"/>
            <w:rPr>
              <w:color w:val="000000"/>
            </w:rPr>
          </w:pPr>
        </w:p>
      </w:tc>
      <w:tc>
        <w:tcPr>
          <w:tcW w:w="7512" w:type="dxa"/>
        </w:tcPr>
        <w:p w14:paraId="6CAA9F7C" w14:textId="77777777" w:rsidR="00A77C4C" w:rsidRDefault="00A77C4C">
          <w:pPr>
            <w:widowControl w:val="0"/>
            <w:pBdr>
              <w:top w:val="nil"/>
              <w:left w:val="nil"/>
              <w:bottom w:val="nil"/>
              <w:right w:val="nil"/>
              <w:between w:val="nil"/>
            </w:pBdr>
            <w:spacing w:after="0" w:line="276" w:lineRule="auto"/>
            <w:jc w:val="left"/>
            <w:rPr>
              <w:color w:val="000000"/>
            </w:rPr>
          </w:pPr>
        </w:p>
        <w:tbl>
          <w:tblPr>
            <w:tblStyle w:val="a4"/>
            <w:tblW w:w="13466" w:type="dxa"/>
            <w:tblInd w:w="314" w:type="dxa"/>
            <w:tblBorders>
              <w:top w:val="nil"/>
              <w:left w:val="nil"/>
              <w:bottom w:val="nil"/>
              <w:right w:val="nil"/>
              <w:insideH w:val="nil"/>
              <w:insideV w:val="nil"/>
            </w:tblBorders>
            <w:tblLayout w:type="fixed"/>
            <w:tblLook w:val="0400" w:firstRow="0" w:lastRow="0" w:firstColumn="0" w:lastColumn="0" w:noHBand="0" w:noVBand="1"/>
          </w:tblPr>
          <w:tblGrid>
            <w:gridCol w:w="2559"/>
            <w:gridCol w:w="4103"/>
            <w:gridCol w:w="3402"/>
            <w:gridCol w:w="3402"/>
          </w:tblGrid>
          <w:tr w:rsidR="00A77C4C" w14:paraId="643149C1" w14:textId="77777777">
            <w:trPr>
              <w:trHeight w:val="144"/>
            </w:trPr>
            <w:tc>
              <w:tcPr>
                <w:tcW w:w="2559" w:type="dxa"/>
              </w:tcPr>
              <w:p w14:paraId="68B54750"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Recurso de Revisión:</w:t>
                </w:r>
              </w:p>
            </w:tc>
            <w:tc>
              <w:tcPr>
                <w:tcW w:w="4103" w:type="dxa"/>
              </w:tcPr>
              <w:p w14:paraId="0D7DBE3A" w14:textId="77777777" w:rsidR="00A77C4C" w:rsidRDefault="00C2394E">
                <w:pPr>
                  <w:pBdr>
                    <w:top w:val="nil"/>
                    <w:left w:val="nil"/>
                    <w:bottom w:val="nil"/>
                    <w:right w:val="nil"/>
                    <w:between w:val="nil"/>
                  </w:pBdr>
                  <w:tabs>
                    <w:tab w:val="center" w:pos="4419"/>
                    <w:tab w:val="right" w:pos="8838"/>
                  </w:tabs>
                  <w:rPr>
                    <w:color w:val="000000"/>
                  </w:rPr>
                </w:pPr>
                <w:r>
                  <w:rPr>
                    <w:color w:val="000000"/>
                  </w:rPr>
                  <w:t>07131/INFOEM/IP/RR/2024</w:t>
                </w:r>
              </w:p>
            </w:tc>
            <w:tc>
              <w:tcPr>
                <w:tcW w:w="3402" w:type="dxa"/>
              </w:tcPr>
              <w:p w14:paraId="2BF77BB5" w14:textId="77777777" w:rsidR="00A77C4C" w:rsidRDefault="00A77C4C">
                <w:pPr>
                  <w:pBdr>
                    <w:top w:val="nil"/>
                    <w:left w:val="nil"/>
                    <w:bottom w:val="nil"/>
                    <w:right w:val="nil"/>
                    <w:between w:val="nil"/>
                  </w:pBdr>
                  <w:tabs>
                    <w:tab w:val="center" w:pos="4419"/>
                    <w:tab w:val="right" w:pos="8838"/>
                  </w:tabs>
                  <w:rPr>
                    <w:color w:val="000000"/>
                  </w:rPr>
                </w:pPr>
              </w:p>
            </w:tc>
            <w:tc>
              <w:tcPr>
                <w:tcW w:w="3402" w:type="dxa"/>
              </w:tcPr>
              <w:p w14:paraId="505190EA" w14:textId="77777777" w:rsidR="00A77C4C" w:rsidRDefault="00A77C4C">
                <w:pPr>
                  <w:pBdr>
                    <w:top w:val="nil"/>
                    <w:left w:val="nil"/>
                    <w:bottom w:val="nil"/>
                    <w:right w:val="nil"/>
                    <w:between w:val="nil"/>
                  </w:pBdr>
                  <w:tabs>
                    <w:tab w:val="center" w:pos="4419"/>
                    <w:tab w:val="right" w:pos="8838"/>
                  </w:tabs>
                  <w:rPr>
                    <w:color w:val="000000"/>
                  </w:rPr>
                </w:pPr>
              </w:p>
            </w:tc>
          </w:tr>
          <w:tr w:rsidR="00A77C4C" w14:paraId="2622CE6F" w14:textId="77777777">
            <w:trPr>
              <w:trHeight w:val="144"/>
            </w:trPr>
            <w:tc>
              <w:tcPr>
                <w:tcW w:w="2559" w:type="dxa"/>
              </w:tcPr>
              <w:p w14:paraId="51E76EC4"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Recurrente:</w:t>
                </w:r>
              </w:p>
            </w:tc>
            <w:tc>
              <w:tcPr>
                <w:tcW w:w="4103" w:type="dxa"/>
              </w:tcPr>
              <w:p w14:paraId="3691467F" w14:textId="78528903" w:rsidR="00A77C4C" w:rsidRDefault="00F1311C">
                <w:pPr>
                  <w:pBdr>
                    <w:top w:val="nil"/>
                    <w:left w:val="nil"/>
                    <w:bottom w:val="nil"/>
                    <w:right w:val="nil"/>
                    <w:between w:val="nil"/>
                  </w:pBdr>
                  <w:tabs>
                    <w:tab w:val="center" w:pos="4419"/>
                    <w:tab w:val="right" w:pos="8838"/>
                  </w:tabs>
                  <w:rPr>
                    <w:color w:val="000000"/>
                  </w:rPr>
                </w:pPr>
                <w:r w:rsidRPr="00F1311C">
                  <w:rPr>
                    <w:color w:val="000000"/>
                    <w:highlight w:val="black"/>
                  </w:rPr>
                  <w:t>XXXXXXXXXXXXXXXXXX</w:t>
                </w:r>
              </w:p>
            </w:tc>
            <w:tc>
              <w:tcPr>
                <w:tcW w:w="3402" w:type="dxa"/>
              </w:tcPr>
              <w:p w14:paraId="7E4A422F" w14:textId="77777777" w:rsidR="00A77C4C" w:rsidRDefault="00A77C4C">
                <w:pPr>
                  <w:pBdr>
                    <w:top w:val="nil"/>
                    <w:left w:val="nil"/>
                    <w:bottom w:val="nil"/>
                    <w:right w:val="nil"/>
                    <w:between w:val="nil"/>
                  </w:pBdr>
                  <w:tabs>
                    <w:tab w:val="center" w:pos="4419"/>
                    <w:tab w:val="right" w:pos="8838"/>
                  </w:tabs>
                  <w:rPr>
                    <w:color w:val="000000"/>
                  </w:rPr>
                </w:pPr>
              </w:p>
            </w:tc>
            <w:tc>
              <w:tcPr>
                <w:tcW w:w="3402" w:type="dxa"/>
              </w:tcPr>
              <w:p w14:paraId="01DA134B" w14:textId="77777777" w:rsidR="00A77C4C" w:rsidRDefault="00A77C4C">
                <w:pPr>
                  <w:pBdr>
                    <w:top w:val="nil"/>
                    <w:left w:val="nil"/>
                    <w:bottom w:val="nil"/>
                    <w:right w:val="nil"/>
                    <w:between w:val="nil"/>
                  </w:pBdr>
                  <w:tabs>
                    <w:tab w:val="center" w:pos="4419"/>
                    <w:tab w:val="right" w:pos="8838"/>
                  </w:tabs>
                  <w:rPr>
                    <w:color w:val="000000"/>
                  </w:rPr>
                </w:pPr>
              </w:p>
            </w:tc>
          </w:tr>
          <w:tr w:rsidR="00A77C4C" w14:paraId="3DC34D20" w14:textId="77777777">
            <w:trPr>
              <w:trHeight w:val="283"/>
            </w:trPr>
            <w:tc>
              <w:tcPr>
                <w:tcW w:w="2559" w:type="dxa"/>
              </w:tcPr>
              <w:p w14:paraId="205635EB"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Sujeto Obligado:</w:t>
                </w:r>
              </w:p>
            </w:tc>
            <w:tc>
              <w:tcPr>
                <w:tcW w:w="4103" w:type="dxa"/>
              </w:tcPr>
              <w:p w14:paraId="265F4EB1" w14:textId="77777777" w:rsidR="00A77C4C" w:rsidRDefault="00C2394E">
                <w:pPr>
                  <w:pBdr>
                    <w:top w:val="nil"/>
                    <w:left w:val="nil"/>
                    <w:bottom w:val="nil"/>
                    <w:right w:val="nil"/>
                    <w:between w:val="nil"/>
                  </w:pBdr>
                  <w:tabs>
                    <w:tab w:val="center" w:pos="4419"/>
                    <w:tab w:val="right" w:pos="8838"/>
                  </w:tabs>
                  <w:rPr>
                    <w:color w:val="000000"/>
                  </w:rPr>
                </w:pPr>
                <w:r>
                  <w:rPr>
                    <w:color w:val="000000"/>
                  </w:rPr>
                  <w:t>Ayuntamiento de Acambay de Ruíz Castañeda</w:t>
                </w:r>
              </w:p>
            </w:tc>
            <w:tc>
              <w:tcPr>
                <w:tcW w:w="3402" w:type="dxa"/>
              </w:tcPr>
              <w:p w14:paraId="315A995E" w14:textId="77777777" w:rsidR="00A77C4C" w:rsidRDefault="00A77C4C">
                <w:pPr>
                  <w:pBdr>
                    <w:top w:val="nil"/>
                    <w:left w:val="nil"/>
                    <w:bottom w:val="nil"/>
                    <w:right w:val="nil"/>
                    <w:between w:val="nil"/>
                  </w:pBdr>
                  <w:tabs>
                    <w:tab w:val="center" w:pos="4419"/>
                    <w:tab w:val="right" w:pos="8838"/>
                  </w:tabs>
                  <w:rPr>
                    <w:color w:val="000000"/>
                  </w:rPr>
                </w:pPr>
              </w:p>
            </w:tc>
            <w:tc>
              <w:tcPr>
                <w:tcW w:w="3402" w:type="dxa"/>
              </w:tcPr>
              <w:p w14:paraId="7BBA8668" w14:textId="77777777" w:rsidR="00A77C4C" w:rsidRDefault="00A77C4C">
                <w:pPr>
                  <w:pBdr>
                    <w:top w:val="nil"/>
                    <w:left w:val="nil"/>
                    <w:bottom w:val="nil"/>
                    <w:right w:val="nil"/>
                    <w:between w:val="nil"/>
                  </w:pBdr>
                  <w:tabs>
                    <w:tab w:val="center" w:pos="4419"/>
                    <w:tab w:val="right" w:pos="8838"/>
                  </w:tabs>
                  <w:rPr>
                    <w:color w:val="000000"/>
                  </w:rPr>
                </w:pPr>
              </w:p>
            </w:tc>
          </w:tr>
          <w:tr w:rsidR="00A77C4C" w14:paraId="29B3AF68" w14:textId="77777777">
            <w:trPr>
              <w:trHeight w:val="283"/>
            </w:trPr>
            <w:tc>
              <w:tcPr>
                <w:tcW w:w="2559" w:type="dxa"/>
              </w:tcPr>
              <w:p w14:paraId="08729C85" w14:textId="77777777" w:rsidR="00A77C4C" w:rsidRDefault="00C2394E">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4103" w:type="dxa"/>
              </w:tcPr>
              <w:p w14:paraId="2FEB5044" w14:textId="77777777" w:rsidR="00A77C4C" w:rsidRDefault="00C2394E">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71731226" w14:textId="77777777" w:rsidR="00A77C4C" w:rsidRDefault="00A77C4C">
                <w:pPr>
                  <w:pBdr>
                    <w:top w:val="nil"/>
                    <w:left w:val="nil"/>
                    <w:bottom w:val="nil"/>
                    <w:right w:val="nil"/>
                    <w:between w:val="nil"/>
                  </w:pBdr>
                  <w:tabs>
                    <w:tab w:val="center" w:pos="4419"/>
                    <w:tab w:val="right" w:pos="8838"/>
                  </w:tabs>
                  <w:rPr>
                    <w:color w:val="000000"/>
                  </w:rPr>
                </w:pPr>
              </w:p>
            </w:tc>
            <w:tc>
              <w:tcPr>
                <w:tcW w:w="3402" w:type="dxa"/>
              </w:tcPr>
              <w:p w14:paraId="668C26A7" w14:textId="77777777" w:rsidR="00A77C4C" w:rsidRDefault="00A77C4C">
                <w:pPr>
                  <w:pBdr>
                    <w:top w:val="nil"/>
                    <w:left w:val="nil"/>
                    <w:bottom w:val="nil"/>
                    <w:right w:val="nil"/>
                    <w:between w:val="nil"/>
                  </w:pBdr>
                  <w:tabs>
                    <w:tab w:val="center" w:pos="4419"/>
                    <w:tab w:val="right" w:pos="8838"/>
                  </w:tabs>
                  <w:rPr>
                    <w:color w:val="000000"/>
                  </w:rPr>
                </w:pPr>
              </w:p>
            </w:tc>
          </w:tr>
        </w:tbl>
        <w:p w14:paraId="6D5D0158" w14:textId="77777777" w:rsidR="00A77C4C" w:rsidRDefault="00A77C4C">
          <w:pPr>
            <w:pBdr>
              <w:top w:val="nil"/>
              <w:left w:val="nil"/>
              <w:bottom w:val="nil"/>
              <w:right w:val="nil"/>
              <w:between w:val="nil"/>
            </w:pBdr>
            <w:tabs>
              <w:tab w:val="center" w:pos="4419"/>
              <w:tab w:val="right" w:pos="8838"/>
            </w:tabs>
            <w:spacing w:after="0" w:line="240" w:lineRule="auto"/>
            <w:rPr>
              <w:b/>
              <w:color w:val="000000"/>
            </w:rPr>
          </w:pPr>
        </w:p>
      </w:tc>
    </w:tr>
  </w:tbl>
  <w:p w14:paraId="1BBEF6A6" w14:textId="77777777" w:rsidR="00A77C4C" w:rsidRDefault="009831C5">
    <w:pPr>
      <w:pBdr>
        <w:top w:val="nil"/>
        <w:left w:val="nil"/>
        <w:bottom w:val="nil"/>
        <w:right w:val="nil"/>
        <w:between w:val="nil"/>
      </w:pBdr>
      <w:tabs>
        <w:tab w:val="center" w:pos="4419"/>
        <w:tab w:val="right" w:pos="8838"/>
      </w:tabs>
      <w:spacing w:after="0" w:line="240" w:lineRule="auto"/>
      <w:rPr>
        <w:color w:val="000000"/>
      </w:rPr>
    </w:pPr>
    <w:r>
      <w:rPr>
        <w:color w:val="000000"/>
      </w:rPr>
      <w:pict w14:anchorId="36A24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2.05pt;margin-top:-135.5pt;width:663.5pt;height:12in;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13528"/>
    <w:multiLevelType w:val="multilevel"/>
    <w:tmpl w:val="13389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30417B"/>
    <w:multiLevelType w:val="multilevel"/>
    <w:tmpl w:val="74B8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4C"/>
    <w:rsid w:val="00357872"/>
    <w:rsid w:val="007D3C54"/>
    <w:rsid w:val="009047CE"/>
    <w:rsid w:val="009831C5"/>
    <w:rsid w:val="00A77C4C"/>
    <w:rsid w:val="00C02142"/>
    <w:rsid w:val="00C2394E"/>
    <w:rsid w:val="00CF3281"/>
    <w:rsid w:val="00F13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5ACDB"/>
  <w15:docId w15:val="{04686200-691B-4968-B984-77FB8CEC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E1"/>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character" w:styleId="Hipervnculovisitado">
    <w:name w:val="FollowedHyperlink"/>
    <w:basedOn w:val="Fuentedeprrafopredeter"/>
    <w:uiPriority w:val="99"/>
    <w:semiHidden/>
    <w:unhideWhenUsed/>
    <w:rsid w:val="00A57CC8"/>
    <w:rPr>
      <w:color w:val="954F72" w:themeColor="followedHyperlink"/>
      <w:u w:val="single"/>
    </w:rPr>
  </w:style>
  <w:style w:type="character" w:styleId="Refdecomentario">
    <w:name w:val="annotation reference"/>
    <w:basedOn w:val="Fuentedeprrafopredeter"/>
    <w:uiPriority w:val="99"/>
    <w:semiHidden/>
    <w:unhideWhenUsed/>
    <w:rsid w:val="00273D95"/>
    <w:rPr>
      <w:sz w:val="16"/>
      <w:szCs w:val="16"/>
    </w:rPr>
  </w:style>
  <w:style w:type="paragraph" w:styleId="Textocomentario">
    <w:name w:val="annotation text"/>
    <w:basedOn w:val="Normal"/>
    <w:link w:val="TextocomentarioCar"/>
    <w:uiPriority w:val="99"/>
    <w:semiHidden/>
    <w:unhideWhenUsed/>
    <w:rsid w:val="00273D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D95"/>
    <w:rPr>
      <w:rFonts w:ascii="Palatino Linotype" w:hAnsi="Palatino Linotype"/>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273D95"/>
    <w:rPr>
      <w:b/>
      <w:bCs/>
    </w:rPr>
  </w:style>
  <w:style w:type="character" w:customStyle="1" w:styleId="AsuntodelcomentarioCar">
    <w:name w:val="Asunto del comentario Car"/>
    <w:basedOn w:val="TextocomentarioCar"/>
    <w:link w:val="Asuntodelcomentario"/>
    <w:uiPriority w:val="99"/>
    <w:semiHidden/>
    <w:rsid w:val="00273D95"/>
    <w:rPr>
      <w:rFonts w:ascii="Palatino Linotype" w:hAnsi="Palatino Linotype"/>
      <w:b/>
      <w:bCs/>
      <w:color w:val="000000" w:themeColor="text1"/>
      <w:sz w:val="20"/>
      <w:szCs w:val="20"/>
    </w:rPr>
  </w:style>
  <w:style w:type="paragraph" w:styleId="Textodeglobo">
    <w:name w:val="Balloon Text"/>
    <w:basedOn w:val="Normal"/>
    <w:link w:val="TextodegloboCar"/>
    <w:uiPriority w:val="99"/>
    <w:semiHidden/>
    <w:unhideWhenUsed/>
    <w:rsid w:val="00273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D95"/>
    <w:rPr>
      <w:rFonts w:ascii="Segoe UI" w:hAnsi="Segoe UI" w:cs="Segoe UI"/>
      <w:color w:val="000000" w:themeColor="text1"/>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0fLzsH+8WW5VXrjAF91vquITg==">CgMxLjAyCGguZ2pkZ3hzMgloLjFmb2I5dGUyCWguMzBqMHpsbDgAciExQ0ljay1DT1o1Nk9BSU9maElkY0FCX2R2QVNYY2RiZVg=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roxheart97@gmail.com</cp:lastModifiedBy>
  <cp:revision>4</cp:revision>
  <cp:lastPrinted>2024-12-05T20:42:00Z</cp:lastPrinted>
  <dcterms:created xsi:type="dcterms:W3CDTF">2024-12-05T20:42:00Z</dcterms:created>
  <dcterms:modified xsi:type="dcterms:W3CDTF">2025-04-23T22:06:00Z</dcterms:modified>
</cp:coreProperties>
</file>