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910" w:rsidRDefault="008E7910">
      <w:pPr>
        <w:tabs>
          <w:tab w:val="left" w:pos="3465"/>
        </w:tabs>
        <w:spacing w:line="360" w:lineRule="auto"/>
        <w:jc w:val="both"/>
      </w:pPr>
    </w:p>
    <w:p w:rsidR="002A27D4" w:rsidRDefault="00693DBF">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seis </w:t>
      </w:r>
      <w:r w:rsidR="008E7910">
        <w:rPr>
          <w:rFonts w:ascii="Palatino Linotype" w:eastAsia="Palatino Linotype" w:hAnsi="Palatino Linotype" w:cs="Palatino Linotype"/>
        </w:rPr>
        <w:t xml:space="preserve">(06) </w:t>
      </w:r>
      <w:r>
        <w:rPr>
          <w:rFonts w:ascii="Palatino Linotype" w:eastAsia="Palatino Linotype" w:hAnsi="Palatino Linotype" w:cs="Palatino Linotype"/>
        </w:rPr>
        <w:t>de noviembre  de dos mil veinticuatro.</w:t>
      </w:r>
    </w:p>
    <w:p w:rsidR="002A27D4" w:rsidRDefault="002A27D4">
      <w:pPr>
        <w:tabs>
          <w:tab w:val="left" w:pos="3465"/>
        </w:tabs>
        <w:spacing w:line="360" w:lineRule="auto"/>
        <w:jc w:val="both"/>
        <w:rPr>
          <w:rFonts w:ascii="Palatino Linotype" w:eastAsia="Palatino Linotype" w:hAnsi="Palatino Linotype" w:cs="Palatino Linotype"/>
        </w:rPr>
      </w:pPr>
    </w:p>
    <w:p w:rsidR="002A27D4" w:rsidRDefault="00693DB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 00053/INFOEM/IP/RR/2024, </w:t>
      </w:r>
      <w:r>
        <w:rPr>
          <w:rFonts w:ascii="Palatino Linotype" w:eastAsia="Palatino Linotype" w:hAnsi="Palatino Linotype" w:cs="Palatino Linotype"/>
        </w:rPr>
        <w:t>promovido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 xml:space="preserve">un usuario que no registró nombre alguno, </w:t>
      </w:r>
      <w:r>
        <w:rPr>
          <w:rFonts w:ascii="Palatino Linotype" w:eastAsia="Palatino Linotype" w:hAnsi="Palatino Linotype" w:cs="Palatino Linotype"/>
        </w:rPr>
        <w:t xml:space="preserve">a quien en lo sucesivo se le identificará como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Secretaría de Cultura y Turismo,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rsidR="002A27D4" w:rsidRDefault="002A27D4">
      <w:pPr>
        <w:spacing w:line="360" w:lineRule="auto"/>
        <w:jc w:val="both"/>
        <w:rPr>
          <w:rFonts w:ascii="Palatino Linotype" w:eastAsia="Palatino Linotype" w:hAnsi="Palatino Linotype" w:cs="Palatino Linotype"/>
          <w:b/>
        </w:rPr>
      </w:pPr>
    </w:p>
    <w:p w:rsidR="002A27D4" w:rsidRDefault="00693DBF">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 N T E C E D E N T E S</w:t>
      </w:r>
    </w:p>
    <w:p w:rsidR="002A27D4" w:rsidRDefault="002A27D4"/>
    <w:p w:rsidR="002A27D4" w:rsidRDefault="00693DBF">
      <w:pPr>
        <w:numPr>
          <w:ilvl w:val="0"/>
          <w:numId w:val="2"/>
        </w:numPr>
        <w:tabs>
          <w:tab w:val="left" w:pos="0"/>
        </w:tabs>
        <w:spacing w:line="360" w:lineRule="auto"/>
        <w:ind w:left="0" w:firstLine="0"/>
        <w:jc w:val="both"/>
        <w:rPr>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veintiocho (28) de noviembre de dos mil veintitrés,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00757/SCTUR/IP/2023; </w:t>
      </w:r>
      <w:r>
        <w:rPr>
          <w:rFonts w:ascii="Palatino Linotype" w:eastAsia="Palatino Linotype" w:hAnsi="Palatino Linotype" w:cs="Palatino Linotype"/>
        </w:rPr>
        <w:t>en la que</w:t>
      </w:r>
      <w:r>
        <w:rPr>
          <w:rFonts w:ascii="Palatino Linotype" w:eastAsia="Palatino Linotype" w:hAnsi="Palatino Linotype" w:cs="Palatino Linotype"/>
          <w:color w:val="000000"/>
        </w:rPr>
        <w:t xml:space="preserve"> se solicitó la siguiente información:</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spacing w:line="360" w:lineRule="auto"/>
        <w:ind w:left="566"/>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“Solicito: 1. Los documentos en los que consten las actas de entrega – recepción suscritas en ese Secretaría, por los servidores públicos salientes y entrantes, en el periodo comprendido del 15 de septiembre al 28 de noviembre 2023; 2. Asimismo, solicito el anexo que forma parte de las actas de entregas recepción antes referidas, en el que consten la relación de los asuntos pendientes de las áreas sujetas al propio acto señalado; 3. Así mismo solicito los documentos donde conste la forma en que los titulares entrantes han </w:t>
      </w:r>
      <w:proofErr w:type="gramStart"/>
      <w:r>
        <w:rPr>
          <w:rFonts w:ascii="Palatino Linotype" w:eastAsia="Palatino Linotype" w:hAnsi="Palatino Linotype" w:cs="Palatino Linotype"/>
          <w:i/>
          <w:color w:val="000000"/>
        </w:rPr>
        <w:t>dado</w:t>
      </w:r>
      <w:proofErr w:type="gramEnd"/>
      <w:r>
        <w:rPr>
          <w:rFonts w:ascii="Palatino Linotype" w:eastAsia="Palatino Linotype" w:hAnsi="Palatino Linotype" w:cs="Palatino Linotype"/>
          <w:i/>
          <w:color w:val="000000"/>
        </w:rPr>
        <w:t xml:space="preserve"> cumplimiento a los asuntos pendientes referidos.</w:t>
      </w:r>
      <w:r>
        <w:rPr>
          <w:rFonts w:ascii="Palatino Linotype" w:eastAsia="Palatino Linotype" w:hAnsi="Palatino Linotype" w:cs="Palatino Linotype"/>
          <w:color w:val="000000"/>
        </w:rPr>
        <w:t>” (SIC.)</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spacing w:line="360" w:lineRule="auto"/>
        <w:jc w:val="both"/>
        <w:rPr>
          <w:color w:val="000000"/>
        </w:rPr>
      </w:pPr>
      <w:r>
        <w:rPr>
          <w:rFonts w:ascii="Palatino Linotype" w:eastAsia="Palatino Linotype" w:hAnsi="Palatino Linotype" w:cs="Palatino Linotype"/>
          <w:color w:val="000000"/>
        </w:rPr>
        <w:lastRenderedPageBreak/>
        <w:t xml:space="preserve">Señaló como modalidad de entrega de la información a través del </w:t>
      </w:r>
      <w:r>
        <w:rPr>
          <w:rFonts w:ascii="Palatino Linotype" w:eastAsia="Palatino Linotype" w:hAnsi="Palatino Linotype" w:cs="Palatino Linotype"/>
          <w:b/>
          <w:color w:val="000000"/>
        </w:rPr>
        <w:t>SAIMEX.</w:t>
      </w:r>
    </w:p>
    <w:p w:rsidR="002A27D4" w:rsidRDefault="002A27D4">
      <w:pPr>
        <w:spacing w:line="360" w:lineRule="auto"/>
        <w:ind w:left="360"/>
        <w:jc w:val="both"/>
        <w:rPr>
          <w:rFonts w:ascii="Palatino Linotype" w:eastAsia="Palatino Linotype" w:hAnsi="Palatino Linotype" w:cs="Palatino Linotype"/>
          <w:i/>
          <w:color w:val="000000"/>
        </w:rPr>
      </w:pPr>
    </w:p>
    <w:p w:rsidR="002A27D4" w:rsidRDefault="00693DBF">
      <w:pPr>
        <w:numPr>
          <w:ilvl w:val="0"/>
          <w:numId w:val="2"/>
        </w:numPr>
        <w:spacing w:line="360" w:lineRule="auto"/>
        <w:jc w:val="both"/>
        <w:rPr>
          <w:color w:val="000000"/>
        </w:rPr>
      </w:pPr>
      <w:r>
        <w:rPr>
          <w:rFonts w:ascii="Palatino Linotype" w:eastAsia="Palatino Linotype" w:hAnsi="Palatino Linotype" w:cs="Palatino Linotype"/>
          <w:color w:val="000000"/>
        </w:rPr>
        <w:t>En fecha siete (07) de diciembre de dos mil veintitrés, se realizaron requerimientos a los servidores públicos habilitados.</w:t>
      </w:r>
    </w:p>
    <w:p w:rsidR="002A27D4" w:rsidRDefault="002A27D4">
      <w:pPr>
        <w:spacing w:line="360" w:lineRule="auto"/>
        <w:jc w:val="both"/>
        <w:rPr>
          <w:rFonts w:ascii="Palatino Linotype" w:eastAsia="Palatino Linotype" w:hAnsi="Palatino Linotype" w:cs="Palatino Linotype"/>
          <w:i/>
          <w:color w:val="000000"/>
        </w:rPr>
      </w:pPr>
    </w:p>
    <w:p w:rsidR="002A27D4" w:rsidRDefault="00693DBF">
      <w:pPr>
        <w:numPr>
          <w:ilvl w:val="0"/>
          <w:numId w:val="2"/>
        </w:numPr>
        <w:spacing w:line="360" w:lineRule="auto"/>
        <w:jc w:val="both"/>
        <w:rPr>
          <w:rFonts w:ascii="Calibri" w:eastAsia="Calibri" w:hAnsi="Calibri" w:cs="Calibri"/>
          <w:color w:val="000000"/>
        </w:rPr>
      </w:pPr>
      <w:r>
        <w:rPr>
          <w:rFonts w:ascii="Palatino Linotype" w:eastAsia="Palatino Linotype" w:hAnsi="Palatino Linotype" w:cs="Palatino Linotype"/>
          <w:color w:val="000000"/>
        </w:rPr>
        <w:t>En fecha diecinueve (19) de diciembre de dos mil veintitrés, el sujeto obligado, dio respuesta a la solicitud de información:</w:t>
      </w:r>
    </w:p>
    <w:p w:rsidR="002A27D4" w:rsidRDefault="00693DBF">
      <w:pPr>
        <w:spacing w:line="360" w:lineRule="auto"/>
        <w:ind w:left="99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RESPUESTA: 1.- Se adjuntan actas de entrega y recepción, de las oficinas del Secretario Ejecutivo del Consejo Editorial de la Administración Pública Estatal, Subsecretaría de Turismo, Dirección de Administración, Coordinación Jurídica y de Igualdad de Género, Subdirección y Normativa y Consulta y Coordinación Jurídica y de Igualdad de Género, así como nos permitimos hacer de su conocimiento que con fundamento en artículo 113, fracción X de la Ley General de Transparencia y Acceso a la Información Pública; numeral vigésimo noveno de los Lineamientos generales en materia de clasificación y desclasificación de la información y el artículo 140, fracción X de la Ley de Transparencia y Acceso a la Información Pública del Estado de México y Municipios, las actas de entrega y recepción de la Dirección General Patrimonio y Servicios Culturales del Valle de los Volcanes, Dirección de Servicios Culturales del Valle de los Volcanes y Dirección General Patrimonio y Servicios Culturales del Valle de Toluca se encuentra clasificada como reservada por periodo de 1 año, en razón del acuerdo identificado con el número: SCYTUR/CT/EXT-30/AC-003/2023, registrado en el acta que se emitió en la Trigésima Sesión Extraordinaria SCYTUR/CT/EXT-30/2023, fecha 19 de diciembre del 2023, por parte del Comité de Transparencia de la Secretaria de Cultura y Turismo. Las actas entrega y recepción de la Coordinación Administrativa y la Secretaría Particular se encuentran reservadas y se puede consultar el acuerdo y periodo de clasificación en el siguiente link: </w:t>
      </w:r>
      <w:hyperlink r:id="rId9">
        <w:r>
          <w:rPr>
            <w:rFonts w:ascii="Palatino Linotype" w:eastAsia="Palatino Linotype" w:hAnsi="Palatino Linotype" w:cs="Palatino Linotype"/>
            <w:i/>
            <w:color w:val="0563C1"/>
            <w:sz w:val="22"/>
            <w:szCs w:val="22"/>
            <w:u w:val="single"/>
          </w:rPr>
          <w:t>https://ipomex.org.mx/ipo3/lgt/indice/SCTUR/art_92_xix/5.web?token=03AFcWeA6AxIv</w:t>
        </w:r>
        <w:r>
          <w:rPr>
            <w:rFonts w:ascii="Palatino Linotype" w:eastAsia="Palatino Linotype" w:hAnsi="Palatino Linotype" w:cs="Palatino Linotype"/>
            <w:i/>
            <w:color w:val="0563C1"/>
            <w:sz w:val="22"/>
            <w:szCs w:val="22"/>
            <w:u w:val="single"/>
          </w:rPr>
          <w:lastRenderedPageBreak/>
          <w:t>9oSmNWGQZucmjDLMy323VhHpjP7UJka0UiUYrskFSOU8O04BXk1mc7HAzxi1vjjG_L1U7vvoRj9j1kJCplwVR-3vCe_n9IbU9O2iXeaCo_On-ONU1H8JQGrSUbX16G80TePRa-</w:t>
        </w:r>
      </w:hyperlink>
      <w:r>
        <w:rPr>
          <w:rFonts w:ascii="Palatino Linotype" w:eastAsia="Palatino Linotype" w:hAnsi="Palatino Linotype" w:cs="Palatino Linotype"/>
          <w:i/>
          <w:color w:val="000000"/>
          <w:sz w:val="22"/>
          <w:szCs w:val="22"/>
        </w:rPr>
        <w:t>km1vqYmDcGk27aje-tjBHZr4NJ5vM5Rmc7_EqAdXOlXPR-0YVUC0Yxim1K5OMfKlZJs1UtCHlqWAkmRy-eBz06PyIAP2IDQ0_q91RzqGR4TmmXU7PEEWzXEolXJmMw4THiDg9m2X-O-OIS5yv3vkiY-uqX1mR-_xlHuSAwK_ryddr-ohC4V-bBnxc5jY2kJG1kNt-ylPOezChP7ZOaJlozGh5VmEq3leJUoLBH3K6GrnkJMOoRq0VqdRsH1FkZeZENSfwmX5OCYokXF2YKoirIKoefTB2ccu-lClz526Og21LHAV-hNYdN3uG_xhUM19sudG2PHsNQ9_4jrHpWOOSurvGE4exk6eVkj4IGtRVZt4KkUl5KUpkTOhcARwpANhnClPDSlQ0Zoraza1NtwvjVmSzZ2aOJjSE2c 2.- Respecto a este punto, le hago de su conocimiento, que en las actas entrega y recepción referidas, no se cuenta con anexo que forme parte del acta donde conste relación de asuntos pendientes de las áreas sujetas al propio acto señalado. 3.- En el mismo tenor le informo, que en el acta entrega y recepción no se cuenta con anexo o documentos donde conste que existen asuntos pendientes a dar cumplimiento a estos.</w:t>
      </w:r>
    </w:p>
    <w:p w:rsidR="002A27D4" w:rsidRDefault="00693DBF">
      <w:pPr>
        <w:spacing w:line="360" w:lineRule="auto"/>
        <w:ind w:left="99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2A27D4" w:rsidRDefault="00693DBF">
      <w:pPr>
        <w:spacing w:line="360" w:lineRule="auto"/>
        <w:ind w:left="99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PALOMA RAMÍREZ SALAZAR</w:t>
      </w:r>
    </w:p>
    <w:p w:rsidR="002A27D4" w:rsidRDefault="002A27D4">
      <w:pPr>
        <w:spacing w:line="360" w:lineRule="auto"/>
        <w:jc w:val="both"/>
        <w:rPr>
          <w:rFonts w:ascii="Palatino Linotype" w:eastAsia="Palatino Linotype" w:hAnsi="Palatino Linotype" w:cs="Palatino Linotype"/>
          <w:color w:val="000000"/>
          <w:sz w:val="22"/>
          <w:szCs w:val="22"/>
        </w:rPr>
      </w:pPr>
    </w:p>
    <w:p w:rsidR="002A27D4" w:rsidRDefault="00693DBF">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su respuesta adjunto los siguientes archivos electrónicos;</w:t>
      </w:r>
    </w:p>
    <w:p w:rsidR="002A27D4" w:rsidRDefault="002A27D4">
      <w:pPr>
        <w:spacing w:line="360" w:lineRule="auto"/>
        <w:jc w:val="both"/>
        <w:rPr>
          <w:rFonts w:ascii="Palatino Linotype" w:eastAsia="Palatino Linotype" w:hAnsi="Palatino Linotype" w:cs="Palatino Linotype"/>
          <w:color w:val="000000"/>
          <w:sz w:val="22"/>
          <w:szCs w:val="22"/>
        </w:rPr>
      </w:pPr>
    </w:p>
    <w:p w:rsidR="002A27D4" w:rsidRDefault="00693DBF">
      <w:pPr>
        <w:numPr>
          <w:ilvl w:val="0"/>
          <w:numId w:val="3"/>
        </w:numPr>
        <w:spacing w:line="360" w:lineRule="auto"/>
        <w:ind w:left="1134" w:firstLine="0"/>
        <w:jc w:val="both"/>
        <w:rPr>
          <w:rFonts w:ascii="Calibri" w:eastAsia="Calibri" w:hAnsi="Calibri" w:cs="Calibri"/>
          <w:b/>
          <w:color w:val="000000"/>
          <w:sz w:val="22"/>
          <w:szCs w:val="22"/>
        </w:rPr>
      </w:pPr>
      <w:proofErr w:type="spellStart"/>
      <w:r>
        <w:rPr>
          <w:rFonts w:ascii="Palatino Linotype" w:eastAsia="Palatino Linotype" w:hAnsi="Palatino Linotype" w:cs="Palatino Linotype"/>
          <w:b/>
          <w:color w:val="000000"/>
          <w:sz w:val="22"/>
          <w:szCs w:val="22"/>
        </w:rPr>
        <w:t>ses</w:t>
      </w:r>
      <w:proofErr w:type="spellEnd"/>
      <w:r>
        <w:rPr>
          <w:rFonts w:ascii="Palatino Linotype" w:eastAsia="Palatino Linotype" w:hAnsi="Palatino Linotype" w:cs="Palatino Linotype"/>
          <w:b/>
          <w:color w:val="000000"/>
          <w:sz w:val="22"/>
          <w:szCs w:val="22"/>
        </w:rPr>
        <w:t xml:space="preserve"> </w:t>
      </w:r>
      <w:proofErr w:type="spellStart"/>
      <w:r>
        <w:rPr>
          <w:rFonts w:ascii="Palatino Linotype" w:eastAsia="Palatino Linotype" w:hAnsi="Palatino Linotype" w:cs="Palatino Linotype"/>
          <w:b/>
          <w:color w:val="000000"/>
          <w:sz w:val="22"/>
          <w:szCs w:val="22"/>
        </w:rPr>
        <w:t>ext</w:t>
      </w:r>
      <w:proofErr w:type="spellEnd"/>
      <w:r>
        <w:rPr>
          <w:rFonts w:ascii="Palatino Linotype" w:eastAsia="Palatino Linotype" w:hAnsi="Palatino Linotype" w:cs="Palatino Linotype"/>
          <w:b/>
          <w:color w:val="000000"/>
          <w:sz w:val="22"/>
          <w:szCs w:val="22"/>
        </w:rPr>
        <w:t xml:space="preserve"> 2912-15-2023-184608.pdf: </w:t>
      </w:r>
      <w:r>
        <w:rPr>
          <w:rFonts w:ascii="Palatino Linotype" w:eastAsia="Palatino Linotype" w:hAnsi="Palatino Linotype" w:cs="Palatino Linotype"/>
          <w:color w:val="000000"/>
          <w:sz w:val="22"/>
          <w:szCs w:val="22"/>
        </w:rPr>
        <w:t xml:space="preserve">Contiene, </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 xml:space="preserve">Acta de la Vigésima Novena  Sesión Extraordinaria del Comité de Transparencia de la Secretaría de Cultura y Turismo del Gobierno del Estado de México, de fecha quince (15) de diciembre de dos mil veintitrés. En donde se aprobaron diversos proyectos de clasificación de la información como confidencial solicitada por el Lic. </w:t>
      </w:r>
      <w:proofErr w:type="spellStart"/>
      <w:r>
        <w:rPr>
          <w:rFonts w:ascii="Palatino Linotype" w:eastAsia="Palatino Linotype" w:hAnsi="Palatino Linotype" w:cs="Palatino Linotype"/>
          <w:color w:val="000000"/>
          <w:sz w:val="22"/>
          <w:szCs w:val="22"/>
        </w:rPr>
        <w:t>Moshe</w:t>
      </w:r>
      <w:proofErr w:type="spellEnd"/>
      <w:r>
        <w:rPr>
          <w:rFonts w:ascii="Palatino Linotype" w:eastAsia="Palatino Linotype" w:hAnsi="Palatino Linotype" w:cs="Palatino Linotype"/>
          <w:color w:val="000000"/>
          <w:sz w:val="22"/>
          <w:szCs w:val="22"/>
        </w:rPr>
        <w:t xml:space="preserve"> </w:t>
      </w:r>
      <w:proofErr w:type="spellStart"/>
      <w:r>
        <w:rPr>
          <w:rFonts w:ascii="Palatino Linotype" w:eastAsia="Palatino Linotype" w:hAnsi="Palatino Linotype" w:cs="Palatino Linotype"/>
          <w:color w:val="000000"/>
          <w:sz w:val="22"/>
          <w:szCs w:val="22"/>
        </w:rPr>
        <w:t>Dayan</w:t>
      </w:r>
      <w:proofErr w:type="spellEnd"/>
      <w:r>
        <w:rPr>
          <w:rFonts w:ascii="Palatino Linotype" w:eastAsia="Palatino Linotype" w:hAnsi="Palatino Linotype" w:cs="Palatino Linotype"/>
          <w:color w:val="000000"/>
          <w:sz w:val="22"/>
          <w:szCs w:val="22"/>
        </w:rPr>
        <w:t xml:space="preserve"> Morales Díaz, Servidor Público Habilitado de la Secretaría Particular de la Secretaría de Cultura </w:t>
      </w:r>
      <w:r>
        <w:rPr>
          <w:rFonts w:ascii="Palatino Linotype" w:eastAsia="Palatino Linotype" w:hAnsi="Palatino Linotype" w:cs="Palatino Linotype"/>
          <w:color w:val="000000"/>
          <w:sz w:val="22"/>
          <w:szCs w:val="22"/>
        </w:rPr>
        <w:lastRenderedPageBreak/>
        <w:t xml:space="preserve">y Turismo. 00740/SCTUR/IP/2023, 00741/SCTUR/IP/2023, 00742/SCTUR/IP/2023, 00743/SCTUR/IP/2023, 00744/SCTUR/IP/2023, 00745/SCTUR/IP/2023, 00746/SCTUR/IP/2023, 00747/SCTUR/IP/2023,  00748/SCTUR/IP/2023, 00749/SCTUR/IP/2023, 00750/SCTUR/IP/2023, 00751/SCTUR/IP/2023 Y 00752/SCTUR/IP/2023 </w:t>
      </w:r>
    </w:p>
    <w:p w:rsidR="002A27D4" w:rsidRDefault="00693DBF">
      <w:pPr>
        <w:spacing w:before="240" w:line="360" w:lineRule="auto"/>
        <w:ind w:left="1134"/>
        <w:jc w:val="both"/>
        <w:rPr>
          <w:rFonts w:ascii="Calibri" w:eastAsia="Calibri" w:hAnsi="Calibri" w:cs="Calibri"/>
          <w:color w:val="000000"/>
          <w:sz w:val="22"/>
          <w:szCs w:val="22"/>
        </w:rPr>
      </w:pPr>
      <w:r>
        <w:rPr>
          <w:rFonts w:ascii="Palatino Linotype" w:eastAsia="Palatino Linotype" w:hAnsi="Palatino Linotype" w:cs="Palatino Linotype"/>
          <w:b/>
          <w:color w:val="000000"/>
          <w:sz w:val="22"/>
          <w:szCs w:val="22"/>
        </w:rPr>
        <w:t xml:space="preserve">RESPUESTA.zip. </w:t>
      </w:r>
      <w:r>
        <w:rPr>
          <w:rFonts w:ascii="Palatino Linotype" w:eastAsia="Palatino Linotype" w:hAnsi="Palatino Linotype" w:cs="Palatino Linotype"/>
          <w:color w:val="000000"/>
          <w:sz w:val="22"/>
          <w:szCs w:val="22"/>
        </w:rPr>
        <w:t>Se observa una carpeta denominada “Turnos” en la cual remitió dos oficios y un total de 516 tarjetas, los cuales  no guardan relación con lo requerido por el Recurrente.</w:t>
      </w:r>
    </w:p>
    <w:p w:rsidR="002A27D4" w:rsidRDefault="002A27D4">
      <w:pPr>
        <w:spacing w:line="360" w:lineRule="auto"/>
        <w:ind w:left="720"/>
        <w:jc w:val="both"/>
        <w:rPr>
          <w:rFonts w:ascii="Palatino Linotype" w:eastAsia="Palatino Linotype" w:hAnsi="Palatino Linotype" w:cs="Palatino Linotype"/>
          <w:b/>
        </w:rPr>
      </w:pPr>
    </w:p>
    <w:p w:rsidR="002A27D4" w:rsidRPr="0061353C" w:rsidRDefault="00693DBF">
      <w:pPr>
        <w:numPr>
          <w:ilvl w:val="0"/>
          <w:numId w:val="2"/>
        </w:numPr>
        <w:spacing w:line="360" w:lineRule="auto"/>
        <w:ind w:left="0" w:firstLine="0"/>
        <w:jc w:val="both"/>
        <w:rPr>
          <w:color w:val="000000"/>
        </w:rPr>
      </w:pPr>
      <w:r w:rsidRPr="0061353C">
        <w:rPr>
          <w:rFonts w:ascii="Palatino Linotype" w:eastAsia="Palatino Linotype" w:hAnsi="Palatino Linotype" w:cs="Palatino Linotype"/>
          <w:color w:val="000000"/>
        </w:rPr>
        <w:t xml:space="preserve">El nueve (09) de enero de dos mil veinticuatro, </w:t>
      </w:r>
      <w:r w:rsidRPr="0061353C">
        <w:rPr>
          <w:rFonts w:ascii="Palatino Linotype" w:eastAsia="Palatino Linotype" w:hAnsi="Palatino Linotype" w:cs="Palatino Linotype"/>
          <w:b/>
          <w:color w:val="000000"/>
        </w:rPr>
        <w:t>EL RECURRENTE</w:t>
      </w:r>
      <w:r w:rsidRPr="0061353C">
        <w:rPr>
          <w:rFonts w:ascii="Palatino Linotype" w:eastAsia="Palatino Linotype" w:hAnsi="Palatino Linotype" w:cs="Palatino Linotype"/>
          <w:color w:val="000000"/>
        </w:rPr>
        <w:t xml:space="preserve"> interpuso el recurso de revisión, en contra de la respuesta y señaló como:</w:t>
      </w:r>
    </w:p>
    <w:p w:rsidR="002A27D4" w:rsidRPr="0061353C" w:rsidRDefault="00693DBF">
      <w:pPr>
        <w:numPr>
          <w:ilvl w:val="0"/>
          <w:numId w:val="4"/>
        </w:numPr>
        <w:spacing w:line="360" w:lineRule="auto"/>
        <w:ind w:left="425"/>
        <w:jc w:val="both"/>
        <w:rPr>
          <w:rFonts w:ascii="Palatino Linotype" w:eastAsia="Palatino Linotype" w:hAnsi="Palatino Linotype" w:cs="Palatino Linotype"/>
          <w:color w:val="000000"/>
          <w:sz w:val="22"/>
          <w:szCs w:val="22"/>
        </w:rPr>
      </w:pPr>
      <w:r w:rsidRPr="0061353C">
        <w:rPr>
          <w:rFonts w:ascii="Palatino Linotype" w:eastAsia="Palatino Linotype" w:hAnsi="Palatino Linotype" w:cs="Palatino Linotype"/>
          <w:b/>
          <w:color w:val="000000"/>
          <w:sz w:val="22"/>
          <w:szCs w:val="22"/>
        </w:rPr>
        <w:t xml:space="preserve">Acto impugnado: </w:t>
      </w:r>
      <w:r w:rsidRPr="0061353C">
        <w:rPr>
          <w:rFonts w:ascii="Palatino Linotype" w:eastAsia="Palatino Linotype" w:hAnsi="Palatino Linotype" w:cs="Palatino Linotype"/>
          <w:i/>
          <w:color w:val="000000"/>
          <w:sz w:val="22"/>
          <w:szCs w:val="22"/>
        </w:rPr>
        <w:t>“Respuesta a la solicitud” (sic)</w:t>
      </w:r>
    </w:p>
    <w:p w:rsidR="002A27D4" w:rsidRPr="0061353C" w:rsidRDefault="00693DBF">
      <w:pPr>
        <w:numPr>
          <w:ilvl w:val="0"/>
          <w:numId w:val="4"/>
        </w:numPr>
        <w:spacing w:line="360" w:lineRule="auto"/>
        <w:ind w:left="425"/>
        <w:jc w:val="both"/>
        <w:rPr>
          <w:rFonts w:ascii="Palatino Linotype" w:eastAsia="Palatino Linotype" w:hAnsi="Palatino Linotype" w:cs="Palatino Linotype"/>
          <w:i/>
          <w:color w:val="000000"/>
          <w:sz w:val="22"/>
          <w:szCs w:val="22"/>
        </w:rPr>
      </w:pPr>
      <w:r w:rsidRPr="0061353C">
        <w:rPr>
          <w:rFonts w:ascii="Palatino Linotype" w:eastAsia="Palatino Linotype" w:hAnsi="Palatino Linotype" w:cs="Palatino Linotype"/>
          <w:b/>
          <w:color w:val="000000"/>
          <w:sz w:val="22"/>
          <w:szCs w:val="22"/>
        </w:rPr>
        <w:t xml:space="preserve">Motivos o razones de inconformidad: </w:t>
      </w:r>
      <w:r w:rsidRPr="0061353C">
        <w:rPr>
          <w:rFonts w:ascii="Palatino Linotype" w:eastAsia="Palatino Linotype" w:hAnsi="Palatino Linotype" w:cs="Palatino Linotype"/>
          <w:color w:val="000000"/>
          <w:sz w:val="22"/>
          <w:szCs w:val="22"/>
        </w:rPr>
        <w:t>“</w:t>
      </w:r>
      <w:r w:rsidRPr="0061353C">
        <w:rPr>
          <w:rFonts w:ascii="Palatino Linotype" w:eastAsia="Palatino Linotype" w:hAnsi="Palatino Linotype" w:cs="Palatino Linotype"/>
          <w:i/>
          <w:color w:val="000000"/>
          <w:sz w:val="22"/>
          <w:szCs w:val="22"/>
        </w:rPr>
        <w:t>1. Del archivo proporcionado ningún documento corresponde a lo solicitado</w:t>
      </w:r>
      <w:r w:rsidRPr="0061353C">
        <w:rPr>
          <w:rFonts w:ascii="Palatino Linotype" w:eastAsia="Palatino Linotype" w:hAnsi="Palatino Linotype" w:cs="Palatino Linotype"/>
          <w:color w:val="000000"/>
          <w:sz w:val="22"/>
          <w:szCs w:val="22"/>
        </w:rPr>
        <w:t xml:space="preserve">. </w:t>
      </w:r>
      <w:r w:rsidRPr="0061353C">
        <w:rPr>
          <w:rFonts w:ascii="Palatino Linotype" w:eastAsia="Palatino Linotype" w:hAnsi="Palatino Linotype" w:cs="Palatino Linotype"/>
          <w:i/>
          <w:color w:val="000000"/>
          <w:sz w:val="22"/>
          <w:szCs w:val="22"/>
        </w:rPr>
        <w:t xml:space="preserve">2. No se entrega el acuerdo identificado con el número: SCYTUR/CT/EXT-30/AC-003/2023, ni el acta de la Trigésima Sesión Extraordinaria SCYTUR/CT/EXT-30/2023, de fecha 19 de diciembre del 2023. 3. Manifiestan que no se cuenta con anexo que forme parte del acta donde conste relación de asuntos pendientes, sin embargo el peticionario no tiene la obligación de conocer y dominar a la perfección los términos de los que el sujeto obligado es experto, ya que en todo caso se debió requerirme una aclaración a mi solicitud, ya que en los anexos existe uno que refiere a informe de compromisos en los 90 días posteriores a la entrega y recepción que resulta obvio es equivalente a asuntos pendientes.” </w:t>
      </w:r>
      <w:r w:rsidRPr="0061353C">
        <w:rPr>
          <w:rFonts w:ascii="Palatino Linotype" w:eastAsia="Palatino Linotype" w:hAnsi="Palatino Linotype" w:cs="Palatino Linotype"/>
          <w:color w:val="000000"/>
          <w:sz w:val="22"/>
          <w:szCs w:val="22"/>
        </w:rPr>
        <w:t>(SIC.)</w:t>
      </w:r>
    </w:p>
    <w:p w:rsidR="002A27D4" w:rsidRPr="0061353C" w:rsidRDefault="002A27D4">
      <w:pPr>
        <w:spacing w:line="360" w:lineRule="auto"/>
        <w:ind w:left="850"/>
        <w:jc w:val="both"/>
        <w:rPr>
          <w:rFonts w:ascii="Palatino Linotype" w:eastAsia="Palatino Linotype" w:hAnsi="Palatino Linotype" w:cs="Palatino Linotype"/>
          <w:i/>
          <w:color w:val="000000"/>
        </w:rPr>
      </w:pPr>
    </w:p>
    <w:p w:rsidR="002A27D4" w:rsidRPr="0061353C" w:rsidRDefault="00693DBF">
      <w:pPr>
        <w:numPr>
          <w:ilvl w:val="0"/>
          <w:numId w:val="2"/>
        </w:numPr>
        <w:spacing w:line="360" w:lineRule="auto"/>
        <w:ind w:left="0" w:firstLine="0"/>
        <w:jc w:val="both"/>
        <w:rPr>
          <w:color w:val="000000"/>
        </w:rPr>
      </w:pPr>
      <w:r w:rsidRPr="0061353C">
        <w:rPr>
          <w:rFonts w:ascii="Palatino Linotype" w:eastAsia="Palatino Linotype" w:hAnsi="Palatino Linotype" w:cs="Palatino Linotype"/>
          <w:color w:val="000000"/>
        </w:rPr>
        <w:t xml:space="preserve">Se registró el recurso revisión bajo el número de expediente al rubro indicado, asimismo con fundamento en lo dispuesto por el artículo 185 fracción I de la </w:t>
      </w:r>
      <w:r w:rsidRPr="0061353C">
        <w:rPr>
          <w:rFonts w:ascii="Palatino Linotype" w:eastAsia="Palatino Linotype" w:hAnsi="Palatino Linotype" w:cs="Palatino Linotype"/>
          <w:b/>
          <w:color w:val="000000"/>
        </w:rPr>
        <w:t xml:space="preserve">Ley de </w:t>
      </w:r>
      <w:r w:rsidRPr="0061353C">
        <w:rPr>
          <w:rFonts w:ascii="Palatino Linotype" w:eastAsia="Palatino Linotype" w:hAnsi="Palatino Linotype" w:cs="Palatino Linotype"/>
          <w:b/>
          <w:color w:val="000000"/>
        </w:rPr>
        <w:lastRenderedPageBreak/>
        <w:t xml:space="preserve">Transparencia y Acceso a la Información Pública del Estado de México y Municipios </w:t>
      </w:r>
      <w:r w:rsidRPr="0061353C">
        <w:rPr>
          <w:rFonts w:ascii="Palatino Linotype" w:eastAsia="Palatino Linotype" w:hAnsi="Palatino Linotype" w:cs="Palatino Linotype"/>
          <w:color w:val="000000"/>
        </w:rPr>
        <w:t xml:space="preserve">se </w:t>
      </w:r>
      <w:r w:rsidRPr="0061353C">
        <w:rPr>
          <w:rFonts w:ascii="Palatino Linotype" w:eastAsia="Palatino Linotype" w:hAnsi="Palatino Linotype" w:cs="Palatino Linotype"/>
        </w:rPr>
        <w:t>turna</w:t>
      </w:r>
      <w:r w:rsidRPr="0061353C">
        <w:rPr>
          <w:rFonts w:ascii="Palatino Linotype" w:eastAsia="Palatino Linotype" w:hAnsi="Palatino Linotype" w:cs="Palatino Linotype"/>
          <w:color w:val="000000"/>
        </w:rPr>
        <w:t xml:space="preserve"> a la </w:t>
      </w:r>
      <w:r w:rsidRPr="0061353C">
        <w:rPr>
          <w:rFonts w:ascii="Palatino Linotype" w:eastAsia="Palatino Linotype" w:hAnsi="Palatino Linotype" w:cs="Palatino Linotype"/>
          <w:b/>
          <w:color w:val="000000"/>
        </w:rPr>
        <w:t xml:space="preserve">Comisionada María del Rosario Mejía Ayala, </w:t>
      </w:r>
      <w:r w:rsidRPr="0061353C">
        <w:rPr>
          <w:rFonts w:ascii="Palatino Linotype" w:eastAsia="Palatino Linotype" w:hAnsi="Palatino Linotype" w:cs="Palatino Linotype"/>
        </w:rPr>
        <w:t>para</w:t>
      </w:r>
      <w:r w:rsidRPr="0061353C">
        <w:rPr>
          <w:rFonts w:ascii="Palatino Linotype" w:eastAsia="Palatino Linotype" w:hAnsi="Palatino Linotype" w:cs="Palatino Linotype"/>
          <w:color w:val="000000"/>
        </w:rPr>
        <w:t xml:space="preserve"> su análisis.</w:t>
      </w:r>
    </w:p>
    <w:p w:rsidR="00303105" w:rsidRPr="0061353C" w:rsidRDefault="00303105" w:rsidP="00303105">
      <w:pPr>
        <w:spacing w:line="360" w:lineRule="auto"/>
        <w:jc w:val="both"/>
        <w:rPr>
          <w:color w:val="000000"/>
        </w:rPr>
      </w:pPr>
    </w:p>
    <w:p w:rsidR="002A27D4" w:rsidRPr="0061353C" w:rsidRDefault="00693DBF">
      <w:pPr>
        <w:numPr>
          <w:ilvl w:val="0"/>
          <w:numId w:val="2"/>
        </w:numPr>
        <w:spacing w:line="360" w:lineRule="auto"/>
        <w:ind w:left="0" w:firstLine="0"/>
        <w:jc w:val="both"/>
        <w:rPr>
          <w:color w:val="000000"/>
        </w:rPr>
      </w:pPr>
      <w:r w:rsidRPr="0061353C">
        <w:rPr>
          <w:rFonts w:ascii="Palatino Linotype" w:eastAsia="Palatino Linotype" w:hAnsi="Palatino Linotype" w:cs="Palatino Linotype"/>
          <w:color w:val="000000"/>
        </w:rPr>
        <w:t xml:space="preserve">La Comisionada Ponente con fundamento en lo dispuesto por el artículo 185 fracción I, II y IV de la ley de la materia, a través del acuerdo de admisión de fecha dieciocho (18) de enero de dos mil cuatro, puso a disposición de las partes el expediente electrónico vía </w:t>
      </w:r>
      <w:r w:rsidRPr="0061353C">
        <w:rPr>
          <w:rFonts w:ascii="Palatino Linotype" w:eastAsia="Palatino Linotype" w:hAnsi="Palatino Linotype" w:cs="Palatino Linotype"/>
          <w:b/>
          <w:color w:val="000000"/>
        </w:rPr>
        <w:t xml:space="preserve">SAIMEX </w:t>
      </w:r>
      <w:r w:rsidRPr="0061353C">
        <w:rPr>
          <w:rFonts w:ascii="Palatino Linotype" w:eastAsia="Palatino Linotype" w:hAnsi="Palatino Linotype" w:cs="Palatino Linotype"/>
          <w:color w:val="000000"/>
        </w:rPr>
        <w:t xml:space="preserve">a efecto de que en un plazo máximo de siete días </w:t>
      </w:r>
      <w:r w:rsidRPr="0061353C">
        <w:rPr>
          <w:rFonts w:ascii="Palatino Linotype" w:eastAsia="Palatino Linotype" w:hAnsi="Palatino Linotype" w:cs="Palatino Linotype"/>
        </w:rPr>
        <w:t>manifestara</w:t>
      </w:r>
      <w:r w:rsidRPr="0061353C">
        <w:rPr>
          <w:rFonts w:ascii="Palatino Linotype" w:eastAsia="Palatino Linotype" w:hAnsi="Palatino Linotype" w:cs="Palatino Linotype"/>
          <w:color w:val="000000"/>
        </w:rPr>
        <w:t xml:space="preserve"> lo que a derecho </w:t>
      </w:r>
      <w:r w:rsidRPr="0061353C">
        <w:rPr>
          <w:rFonts w:ascii="Palatino Linotype" w:eastAsia="Palatino Linotype" w:hAnsi="Palatino Linotype" w:cs="Palatino Linotype"/>
        </w:rPr>
        <w:t>conviniera</w:t>
      </w:r>
      <w:r w:rsidRPr="0061353C">
        <w:rPr>
          <w:rFonts w:ascii="Palatino Linotype" w:eastAsia="Palatino Linotype" w:hAnsi="Palatino Linotype" w:cs="Palatino Linotype"/>
          <w:color w:val="000000"/>
        </w:rPr>
        <w:t xml:space="preserve">, </w:t>
      </w:r>
      <w:r w:rsidRPr="0061353C">
        <w:rPr>
          <w:rFonts w:ascii="Palatino Linotype" w:eastAsia="Palatino Linotype" w:hAnsi="Palatino Linotype" w:cs="Palatino Linotype"/>
        </w:rPr>
        <w:t>ofreciera</w:t>
      </w:r>
      <w:r w:rsidRPr="0061353C">
        <w:rPr>
          <w:rFonts w:ascii="Palatino Linotype" w:eastAsia="Palatino Linotype" w:hAnsi="Palatino Linotype" w:cs="Palatino Linotype"/>
          <w:color w:val="000000"/>
        </w:rPr>
        <w:t xml:space="preserve"> pruebas y alegatos según corresponda al caso concreto, de esta forma para que el </w:t>
      </w:r>
      <w:r w:rsidRPr="0061353C">
        <w:rPr>
          <w:rFonts w:ascii="Palatino Linotype" w:eastAsia="Palatino Linotype" w:hAnsi="Palatino Linotype" w:cs="Palatino Linotype"/>
          <w:b/>
          <w:color w:val="000000"/>
        </w:rPr>
        <w:t>SUJETO OBLIGADO</w:t>
      </w:r>
      <w:r w:rsidRPr="0061353C">
        <w:rPr>
          <w:rFonts w:ascii="Palatino Linotype" w:eastAsia="Palatino Linotype" w:hAnsi="Palatino Linotype" w:cs="Palatino Linotype"/>
          <w:color w:val="000000"/>
        </w:rPr>
        <w:t xml:space="preserve"> </w:t>
      </w:r>
      <w:r w:rsidRPr="0061353C">
        <w:rPr>
          <w:rFonts w:ascii="Palatino Linotype" w:eastAsia="Palatino Linotype" w:hAnsi="Palatino Linotype" w:cs="Palatino Linotype"/>
        </w:rPr>
        <w:t>presentará</w:t>
      </w:r>
      <w:r w:rsidRPr="0061353C">
        <w:rPr>
          <w:rFonts w:ascii="Palatino Linotype" w:eastAsia="Palatino Linotype" w:hAnsi="Palatino Linotype" w:cs="Palatino Linotype"/>
          <w:color w:val="000000"/>
        </w:rPr>
        <w:t xml:space="preserve"> el informe justificado procedente.</w:t>
      </w:r>
    </w:p>
    <w:p w:rsidR="002A27D4" w:rsidRPr="0061353C" w:rsidRDefault="002A27D4">
      <w:pPr>
        <w:rPr>
          <w:rFonts w:ascii="Palatino Linotype" w:eastAsia="Palatino Linotype" w:hAnsi="Palatino Linotype" w:cs="Palatino Linotype"/>
          <w:i/>
          <w:color w:val="000000"/>
        </w:rPr>
      </w:pPr>
    </w:p>
    <w:p w:rsidR="002A27D4" w:rsidRPr="0061353C" w:rsidRDefault="00693DBF">
      <w:pPr>
        <w:numPr>
          <w:ilvl w:val="0"/>
          <w:numId w:val="2"/>
        </w:numPr>
        <w:spacing w:line="360" w:lineRule="auto"/>
        <w:ind w:left="0" w:firstLine="0"/>
        <w:jc w:val="both"/>
        <w:rPr>
          <w:color w:val="000000"/>
        </w:rPr>
      </w:pPr>
      <w:r w:rsidRPr="0061353C">
        <w:rPr>
          <w:rFonts w:ascii="Palatino Linotype" w:eastAsia="Palatino Linotype" w:hAnsi="Palatino Linotype" w:cs="Palatino Linotype"/>
        </w:rPr>
        <w:t>De las constancias que integran el expediente electrónico SAIMEX</w:t>
      </w:r>
      <w:r w:rsidRPr="0061353C">
        <w:rPr>
          <w:rFonts w:ascii="Palatino Linotype" w:eastAsia="Palatino Linotype" w:hAnsi="Palatino Linotype" w:cs="Palatino Linotype"/>
          <w:b/>
        </w:rPr>
        <w:t xml:space="preserve">, </w:t>
      </w:r>
      <w:r w:rsidRPr="0061353C">
        <w:rPr>
          <w:rFonts w:ascii="Palatino Linotype" w:eastAsia="Palatino Linotype" w:hAnsi="Palatino Linotype" w:cs="Palatino Linotype"/>
        </w:rPr>
        <w:t>se advierte que el particular no realizó manifestaciones.</w:t>
      </w:r>
    </w:p>
    <w:p w:rsidR="002A27D4" w:rsidRPr="0061353C" w:rsidRDefault="002A27D4">
      <w:pPr>
        <w:rPr>
          <w:rFonts w:ascii="Palatino Linotype" w:eastAsia="Palatino Linotype" w:hAnsi="Palatino Linotype" w:cs="Palatino Linotype"/>
          <w:i/>
          <w:color w:val="000000"/>
        </w:rPr>
      </w:pPr>
    </w:p>
    <w:p w:rsidR="002A27D4" w:rsidRPr="0061353C" w:rsidRDefault="00693DBF">
      <w:pPr>
        <w:numPr>
          <w:ilvl w:val="0"/>
          <w:numId w:val="2"/>
        </w:numPr>
        <w:tabs>
          <w:tab w:val="left" w:pos="284"/>
        </w:tabs>
        <w:spacing w:before="240" w:after="240" w:line="360" w:lineRule="auto"/>
        <w:ind w:left="0" w:firstLine="0"/>
        <w:jc w:val="both"/>
        <w:rPr>
          <w:color w:val="000000"/>
        </w:rPr>
      </w:pPr>
      <w:r w:rsidRPr="0061353C">
        <w:rPr>
          <w:rFonts w:ascii="Palatino Linotype" w:eastAsia="Palatino Linotype" w:hAnsi="Palatino Linotype" w:cs="Palatino Linotype"/>
          <w:color w:val="000000"/>
        </w:rPr>
        <w:t xml:space="preserve">El </w:t>
      </w:r>
      <w:r w:rsidRPr="0061353C">
        <w:rPr>
          <w:rFonts w:ascii="Palatino Linotype" w:eastAsia="Palatino Linotype" w:hAnsi="Palatino Linotype" w:cs="Palatino Linotype"/>
          <w:b/>
          <w:color w:val="000000"/>
        </w:rPr>
        <w:t xml:space="preserve">SUJETO OBLIGADO </w:t>
      </w:r>
      <w:r w:rsidRPr="0061353C">
        <w:rPr>
          <w:rFonts w:ascii="Palatino Linotype" w:eastAsia="Palatino Linotype" w:hAnsi="Palatino Linotype" w:cs="Palatino Linotype"/>
          <w:color w:val="000000"/>
        </w:rPr>
        <w:t xml:space="preserve">el veinticuatro (24) de enero de dos mil veinticuatro, realizó manifestaciones adjuntando un archivo electrónico, mismo que se puso a la vista del </w:t>
      </w:r>
      <w:r w:rsidR="00303105" w:rsidRPr="0061353C">
        <w:rPr>
          <w:rFonts w:ascii="Palatino Linotype" w:eastAsia="Palatino Linotype" w:hAnsi="Palatino Linotype" w:cs="Palatino Linotype"/>
          <w:color w:val="000000"/>
        </w:rPr>
        <w:t xml:space="preserve">particular el tres de octubre </w:t>
      </w:r>
      <w:r w:rsidRPr="0061353C">
        <w:rPr>
          <w:rFonts w:ascii="Palatino Linotype" w:eastAsia="Palatino Linotype" w:hAnsi="Palatino Linotype" w:cs="Palatino Linotype"/>
          <w:color w:val="000000"/>
        </w:rPr>
        <w:t>de dos mil veinticuatro, el cual contiene lo siguiente:</w:t>
      </w:r>
    </w:p>
    <w:p w:rsidR="002A27D4" w:rsidRDefault="00693DBF">
      <w:pPr>
        <w:spacing w:line="360" w:lineRule="auto"/>
        <w:ind w:left="1134"/>
        <w:jc w:val="both"/>
        <w:rPr>
          <w:rFonts w:ascii="Palatino Linotype" w:eastAsia="Palatino Linotype" w:hAnsi="Palatino Linotype" w:cs="Palatino Linotype"/>
          <w:i/>
          <w:color w:val="000000"/>
          <w:sz w:val="22"/>
          <w:szCs w:val="22"/>
        </w:rPr>
      </w:pPr>
      <w:r w:rsidRPr="0061353C">
        <w:rPr>
          <w:rFonts w:ascii="Palatino Linotype" w:eastAsia="Palatino Linotype" w:hAnsi="Palatino Linotype" w:cs="Palatino Linotype"/>
          <w:b/>
          <w:i/>
          <w:color w:val="000000"/>
          <w:sz w:val="22"/>
          <w:szCs w:val="22"/>
        </w:rPr>
        <w:t>SOL 757.zip</w:t>
      </w:r>
      <w:r w:rsidRPr="0061353C">
        <w:rPr>
          <w:rFonts w:ascii="Palatino Linotype" w:eastAsia="Palatino Linotype" w:hAnsi="Palatino Linotype" w:cs="Palatino Linotype"/>
          <w:i/>
          <w:color w:val="000000"/>
          <w:sz w:val="22"/>
          <w:szCs w:val="22"/>
        </w:rPr>
        <w:t>:</w:t>
      </w:r>
    </w:p>
    <w:p w:rsidR="002A27D4" w:rsidRDefault="00693DBF">
      <w:pP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Primer carpeta denominada  OFICIOS COMO ANEXOS, se encuentra vacía.</w:t>
      </w:r>
    </w:p>
    <w:p w:rsidR="002A27D4" w:rsidRDefault="002A27D4">
      <w:pPr>
        <w:spacing w:line="360" w:lineRule="auto"/>
        <w:ind w:left="1134"/>
        <w:jc w:val="both"/>
        <w:rPr>
          <w:rFonts w:ascii="Palatino Linotype" w:eastAsia="Palatino Linotype" w:hAnsi="Palatino Linotype" w:cs="Palatino Linotype"/>
          <w:i/>
          <w:color w:val="000000"/>
          <w:sz w:val="22"/>
          <w:szCs w:val="22"/>
        </w:rPr>
      </w:pPr>
    </w:p>
    <w:p w:rsidR="002A27D4" w:rsidRDefault="00693DBF">
      <w:pPr>
        <w:spacing w:line="360" w:lineRule="auto"/>
        <w:ind w:left="1134"/>
        <w:jc w:val="both"/>
        <w:rPr>
          <w:rFonts w:ascii="Palatino Linotype" w:eastAsia="Palatino Linotype" w:hAnsi="Palatino Linotype" w:cs="Palatino Linotype"/>
          <w:i/>
          <w:color w:val="000000"/>
          <w:sz w:val="22"/>
          <w:szCs w:val="22"/>
        </w:rPr>
      </w:pPr>
      <w:proofErr w:type="spellStart"/>
      <w:r>
        <w:rPr>
          <w:rFonts w:ascii="Palatino Linotype" w:eastAsia="Palatino Linotype" w:hAnsi="Palatino Linotype" w:cs="Palatino Linotype"/>
          <w:i/>
          <w:color w:val="000000"/>
          <w:sz w:val="22"/>
          <w:szCs w:val="22"/>
        </w:rPr>
        <w:t>Segunada</w:t>
      </w:r>
      <w:proofErr w:type="spellEnd"/>
      <w:r>
        <w:rPr>
          <w:rFonts w:ascii="Palatino Linotype" w:eastAsia="Palatino Linotype" w:hAnsi="Palatino Linotype" w:cs="Palatino Linotype"/>
          <w:i/>
          <w:color w:val="000000"/>
          <w:sz w:val="22"/>
          <w:szCs w:val="22"/>
        </w:rPr>
        <w:t xml:space="preserve"> carpeta denominada OFICIOS COMO ANEXOS, contiene:</w:t>
      </w:r>
    </w:p>
    <w:p w:rsidR="002A27D4" w:rsidRDefault="002A27D4">
      <w:pPr>
        <w:spacing w:line="360" w:lineRule="auto"/>
        <w:ind w:left="1134"/>
        <w:jc w:val="both"/>
        <w:rPr>
          <w:rFonts w:ascii="Palatino Linotype" w:eastAsia="Palatino Linotype" w:hAnsi="Palatino Linotype" w:cs="Palatino Linotype"/>
          <w:b/>
          <w:i/>
          <w:color w:val="000000"/>
          <w:sz w:val="22"/>
          <w:szCs w:val="22"/>
        </w:rPr>
      </w:pPr>
    </w:p>
    <w:p w:rsidR="002A27D4" w:rsidRDefault="00693DBF">
      <w:pPr>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ANEXO 1: </w:t>
      </w:r>
      <w:r>
        <w:rPr>
          <w:rFonts w:ascii="Palatino Linotype" w:eastAsia="Palatino Linotype" w:hAnsi="Palatino Linotype" w:cs="Palatino Linotype"/>
          <w:color w:val="000000"/>
          <w:sz w:val="22"/>
          <w:szCs w:val="22"/>
        </w:rPr>
        <w:t xml:space="preserve">Oficio número 22600002A/0299/2023, de fecha quince de diciembre de dos mil veintitrés, suscrito por la Directora General.  </w:t>
      </w:r>
    </w:p>
    <w:p w:rsidR="002A27D4" w:rsidRDefault="00693DBF">
      <w:pPr>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ANEXO 2: </w:t>
      </w:r>
      <w:r>
        <w:rPr>
          <w:rFonts w:ascii="Palatino Linotype" w:eastAsia="Palatino Linotype" w:hAnsi="Palatino Linotype" w:cs="Palatino Linotype"/>
          <w:color w:val="000000"/>
          <w:sz w:val="22"/>
          <w:szCs w:val="22"/>
        </w:rPr>
        <w:t>Oficio número 22600001020000L/468/2023, de fecha dieciocho de diciembre de dos mil veintitrés, suscrito por el Director de Servicios Culturales del Valle de los Volcanes.</w:t>
      </w:r>
    </w:p>
    <w:p w:rsidR="002A27D4" w:rsidRDefault="00693DBF">
      <w:pPr>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ANEXO 3: </w:t>
      </w:r>
      <w:r>
        <w:rPr>
          <w:rFonts w:ascii="Palatino Linotype" w:eastAsia="Palatino Linotype" w:hAnsi="Palatino Linotype" w:cs="Palatino Linotype"/>
          <w:color w:val="000000"/>
          <w:sz w:val="22"/>
          <w:szCs w:val="22"/>
        </w:rPr>
        <w:t>Oficio número 22600001000000L/666/2023, de fecha catorce de diciembre de dos mil veintitrés, suscrito por la Directora General de Patrimonio y Servicios Culturales del Valle de los Volcanes.</w:t>
      </w:r>
    </w:p>
    <w:p w:rsidR="002A27D4" w:rsidRDefault="00693DBF">
      <w:pPr>
        <w:spacing w:line="360" w:lineRule="auto"/>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color w:val="000000"/>
          <w:sz w:val="22"/>
          <w:szCs w:val="22"/>
        </w:rPr>
        <w:t xml:space="preserve">Oficios todos ellos que en su contenido, en lo que interesa se observa lo siguiente: </w:t>
      </w:r>
    </w:p>
    <w:p w:rsidR="002A27D4" w:rsidRDefault="00693DBF">
      <w:pP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dirección General a mi cargo, en la verificación del Acta Administrativa correspondiente al proceso de Entrega-Recepción, tuvo a bien requerir aclaraciones o información adicional a la Persona que entrega la Unidad Administrativa, así como hacer de conocimiento en fecha 31/10/2023 al Órgano Interno de Control de dichas irregularidades…</w:t>
      </w:r>
    </w:p>
    <w:p w:rsidR="002A27D4" w:rsidRDefault="002A27D4">
      <w:pPr>
        <w:spacing w:line="360" w:lineRule="auto"/>
        <w:ind w:left="1134"/>
        <w:jc w:val="both"/>
        <w:rPr>
          <w:rFonts w:ascii="Palatino Linotype" w:eastAsia="Palatino Linotype" w:hAnsi="Palatino Linotype" w:cs="Palatino Linotype"/>
          <w:i/>
          <w:color w:val="000000"/>
          <w:sz w:val="22"/>
          <w:szCs w:val="22"/>
        </w:rPr>
      </w:pPr>
    </w:p>
    <w:p w:rsidR="002A27D4" w:rsidRDefault="00693DBF">
      <w:pP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Derivado de lo anterior me permito informar a Usted, que el proceso de Entrega y Recepción (Acta Administrativa y documentos anexos) son el soporte documentas del procedimiento de investigación por parte del Órgano Interno de Control, por la presunta responsabilidad de faltas administrativas,…</w:t>
      </w:r>
    </w:p>
    <w:p w:rsidR="002A27D4" w:rsidRDefault="002A27D4">
      <w:pPr>
        <w:spacing w:line="360" w:lineRule="auto"/>
        <w:ind w:left="1134"/>
        <w:jc w:val="both"/>
        <w:rPr>
          <w:rFonts w:ascii="Palatino Linotype" w:eastAsia="Palatino Linotype" w:hAnsi="Palatino Linotype" w:cs="Palatino Linotype"/>
          <w:i/>
          <w:color w:val="000000"/>
          <w:sz w:val="22"/>
          <w:szCs w:val="22"/>
        </w:rPr>
      </w:pPr>
    </w:p>
    <w:p w:rsidR="002A27D4" w:rsidRDefault="00693DBF">
      <w:pP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Al respecto, se informa que lo solicitado constituye una expresión documental que se estima debe ser clasificada como reservada…</w:t>
      </w:r>
    </w:p>
    <w:p w:rsidR="002A27D4" w:rsidRDefault="002A27D4">
      <w:pPr>
        <w:spacing w:line="360" w:lineRule="auto"/>
        <w:ind w:left="1134"/>
        <w:jc w:val="both"/>
        <w:rPr>
          <w:rFonts w:ascii="Palatino Linotype" w:eastAsia="Palatino Linotype" w:hAnsi="Palatino Linotype" w:cs="Palatino Linotype"/>
          <w:i/>
          <w:color w:val="000000"/>
          <w:sz w:val="22"/>
          <w:szCs w:val="22"/>
        </w:rPr>
      </w:pPr>
    </w:p>
    <w:p w:rsidR="002A27D4" w:rsidRDefault="00693DBF">
      <w:pPr>
        <w:spacing w:line="360" w:lineRule="auto"/>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en particular, se trata del proceso de investigación por parte del Órgano Interno de Control, el cual tendrá un plazo de duración de al menos 1 año, y como es de conocimiento, el Órgano Interno de Control no ha tomado la decisión definitiva.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(SIC.)</w:t>
      </w:r>
    </w:p>
    <w:p w:rsidR="002A27D4" w:rsidRDefault="002A27D4">
      <w:pPr>
        <w:spacing w:line="360" w:lineRule="auto"/>
        <w:ind w:left="1134"/>
        <w:jc w:val="both"/>
        <w:rPr>
          <w:rFonts w:ascii="Palatino Linotype" w:eastAsia="Palatino Linotype" w:hAnsi="Palatino Linotype" w:cs="Palatino Linotype"/>
          <w:b/>
          <w:color w:val="000000"/>
          <w:sz w:val="22"/>
          <w:szCs w:val="22"/>
        </w:rPr>
      </w:pPr>
    </w:p>
    <w:p w:rsidR="002A27D4" w:rsidRDefault="00693DBF">
      <w:pPr>
        <w:tabs>
          <w:tab w:val="left" w:pos="8222"/>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 xml:space="preserve">ANEXO 4 IGUALDAD DE GENERO12-19-2023-184016: </w:t>
      </w:r>
      <w:r>
        <w:rPr>
          <w:rFonts w:ascii="Palatino Linotype" w:eastAsia="Palatino Linotype" w:hAnsi="Palatino Linotype" w:cs="Palatino Linotype"/>
          <w:color w:val="000000"/>
          <w:sz w:val="22"/>
          <w:szCs w:val="22"/>
        </w:rPr>
        <w:t xml:space="preserve">Acta de Entrega Recepción del cargo de Coordinador de la Coordinación Jurídica y de Igualdad de Género, de fecha dos (02) de octubre de dos mil veintitrés. </w:t>
      </w:r>
    </w:p>
    <w:p w:rsidR="002A27D4" w:rsidRDefault="002A27D4">
      <w:pPr>
        <w:spacing w:line="360" w:lineRule="auto"/>
        <w:ind w:left="1134"/>
        <w:jc w:val="both"/>
        <w:rPr>
          <w:rFonts w:ascii="Palatino Linotype" w:eastAsia="Palatino Linotype" w:hAnsi="Palatino Linotype" w:cs="Palatino Linotype"/>
          <w:color w:val="000000"/>
          <w:sz w:val="22"/>
          <w:szCs w:val="22"/>
        </w:rPr>
      </w:pPr>
    </w:p>
    <w:p w:rsidR="002A27D4" w:rsidRDefault="00693DBF">
      <w:pPr>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ANEXO 5 COORDINACION JURIDIA12-19-2023-183619: </w:t>
      </w:r>
      <w:r>
        <w:rPr>
          <w:rFonts w:ascii="Palatino Linotype" w:eastAsia="Palatino Linotype" w:hAnsi="Palatino Linotype" w:cs="Palatino Linotype"/>
          <w:color w:val="000000"/>
          <w:sz w:val="22"/>
          <w:szCs w:val="22"/>
        </w:rPr>
        <w:t>Acta de Entrega Recepción de la Coordinación Jurídica y de Igualdad de Género, de fecha diecinueve (19) de octubre de dos mil veintitrés.</w:t>
      </w:r>
    </w:p>
    <w:p w:rsidR="002A27D4" w:rsidRDefault="002A27D4">
      <w:pPr>
        <w:spacing w:line="360" w:lineRule="auto"/>
        <w:ind w:left="1134"/>
        <w:jc w:val="both"/>
        <w:rPr>
          <w:rFonts w:ascii="Palatino Linotype" w:eastAsia="Palatino Linotype" w:hAnsi="Palatino Linotype" w:cs="Palatino Linotype"/>
          <w:color w:val="000000"/>
          <w:sz w:val="22"/>
          <w:szCs w:val="22"/>
        </w:rPr>
      </w:pPr>
    </w:p>
    <w:p w:rsidR="002A27D4" w:rsidRDefault="00693DBF">
      <w:pPr>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ANEXO 6 SUBDIRECCION Y NORMATIVIDAD12-19-2023-183849: </w:t>
      </w:r>
      <w:r>
        <w:rPr>
          <w:rFonts w:ascii="Palatino Linotype" w:eastAsia="Palatino Linotype" w:hAnsi="Palatino Linotype" w:cs="Palatino Linotype"/>
          <w:color w:val="000000"/>
          <w:sz w:val="22"/>
          <w:szCs w:val="22"/>
        </w:rPr>
        <w:t xml:space="preserve">Acta de Entrega Recepción de la Subdirección y Normatividad y Consulta, de fecha diecisiete (17) de octubre de dos mil veintitrés. </w:t>
      </w:r>
    </w:p>
    <w:p w:rsidR="002A27D4" w:rsidRDefault="002A27D4">
      <w:pPr>
        <w:spacing w:line="360" w:lineRule="auto"/>
        <w:ind w:left="1134"/>
        <w:jc w:val="both"/>
        <w:rPr>
          <w:rFonts w:ascii="Palatino Linotype" w:eastAsia="Palatino Linotype" w:hAnsi="Palatino Linotype" w:cs="Palatino Linotype"/>
          <w:b/>
          <w:i/>
          <w:sz w:val="22"/>
          <w:szCs w:val="22"/>
        </w:rPr>
      </w:pPr>
    </w:p>
    <w:p w:rsidR="002A27D4" w:rsidRDefault="00693DBF">
      <w:pPr>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ANEXO 7 CEAPE ENTREGA: </w:t>
      </w:r>
      <w:r>
        <w:rPr>
          <w:rFonts w:ascii="Palatino Linotype" w:eastAsia="Palatino Linotype" w:hAnsi="Palatino Linotype" w:cs="Palatino Linotype"/>
          <w:sz w:val="22"/>
          <w:szCs w:val="22"/>
        </w:rPr>
        <w:t>Acta de Entrega Recepción de Oficina del C. Secretario Ejecutivo, de fecha diecinueve de octubre de dos mil veintitrés.</w:t>
      </w:r>
    </w:p>
    <w:p w:rsidR="002A27D4" w:rsidRDefault="002A27D4">
      <w:pPr>
        <w:spacing w:line="360" w:lineRule="auto"/>
        <w:ind w:left="1134"/>
        <w:jc w:val="both"/>
        <w:rPr>
          <w:rFonts w:ascii="Palatino Linotype" w:eastAsia="Palatino Linotype" w:hAnsi="Palatino Linotype" w:cs="Palatino Linotype"/>
          <w:sz w:val="22"/>
          <w:szCs w:val="22"/>
        </w:rPr>
      </w:pPr>
    </w:p>
    <w:p w:rsidR="002A27D4" w:rsidRDefault="00693DBF">
      <w:pPr>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ANEXO 8 Acta Entrega Recepción Oficina de Oficina del C. subsecretario  (2): </w:t>
      </w:r>
      <w:r>
        <w:rPr>
          <w:rFonts w:ascii="Palatino Linotype" w:eastAsia="Palatino Linotype" w:hAnsi="Palatino Linotype" w:cs="Palatino Linotype"/>
          <w:sz w:val="22"/>
          <w:szCs w:val="22"/>
        </w:rPr>
        <w:t>Acta de Entrega Recepción de fecha dos de octubre de dos mil veintitrés.</w:t>
      </w:r>
    </w:p>
    <w:p w:rsidR="002A27D4" w:rsidRDefault="002A27D4">
      <w:pPr>
        <w:spacing w:line="360" w:lineRule="auto"/>
        <w:ind w:left="1134"/>
        <w:jc w:val="both"/>
        <w:rPr>
          <w:rFonts w:ascii="Palatino Linotype" w:eastAsia="Palatino Linotype" w:hAnsi="Palatino Linotype" w:cs="Palatino Linotype"/>
          <w:sz w:val="22"/>
          <w:szCs w:val="22"/>
        </w:rPr>
      </w:pPr>
    </w:p>
    <w:p w:rsidR="002A27D4" w:rsidRDefault="00693DBF">
      <w:pPr>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ANEXO 9 Acta de Entrega y Recepción Dirección Administrativa12-04-2023-163756: </w:t>
      </w:r>
      <w:r>
        <w:rPr>
          <w:rFonts w:ascii="Palatino Linotype" w:eastAsia="Palatino Linotype" w:hAnsi="Palatino Linotype" w:cs="Palatino Linotype"/>
          <w:sz w:val="22"/>
          <w:szCs w:val="22"/>
        </w:rPr>
        <w:t>Acta de Entrega Recepción de la Dirección de Administración de fecha treinta y uno de octubre de dos mil veintitrés.</w:t>
      </w:r>
    </w:p>
    <w:p w:rsidR="002A27D4" w:rsidRDefault="002A27D4">
      <w:pPr>
        <w:spacing w:line="360" w:lineRule="auto"/>
        <w:ind w:left="1134"/>
        <w:jc w:val="both"/>
        <w:rPr>
          <w:rFonts w:ascii="Palatino Linotype" w:eastAsia="Palatino Linotype" w:hAnsi="Palatino Linotype" w:cs="Palatino Linotype"/>
          <w:sz w:val="22"/>
          <w:szCs w:val="22"/>
        </w:rPr>
      </w:pPr>
    </w:p>
    <w:p w:rsidR="002A27D4" w:rsidRDefault="00693DBF">
      <w:pPr>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Propuesta respuesta 757: </w:t>
      </w:r>
      <w:r>
        <w:rPr>
          <w:rFonts w:ascii="Palatino Linotype" w:eastAsia="Palatino Linotype" w:hAnsi="Palatino Linotype" w:cs="Palatino Linotype"/>
          <w:sz w:val="22"/>
          <w:szCs w:val="22"/>
        </w:rPr>
        <w:t>Documento en Word, en el que se observa lo siguiente:</w:t>
      </w:r>
    </w:p>
    <w:p w:rsidR="002A27D4" w:rsidRDefault="00693DBF">
      <w:pPr>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“RESPUESTA:</w:t>
      </w:r>
    </w:p>
    <w:p w:rsidR="002A27D4" w:rsidRDefault="002A27D4">
      <w:pPr>
        <w:ind w:left="1134"/>
        <w:jc w:val="both"/>
        <w:rPr>
          <w:rFonts w:ascii="Palatino Linotype" w:eastAsia="Palatino Linotype" w:hAnsi="Palatino Linotype" w:cs="Palatino Linotype"/>
          <w:i/>
          <w:sz w:val="22"/>
          <w:szCs w:val="22"/>
        </w:rPr>
      </w:pPr>
    </w:p>
    <w:p w:rsidR="002A27D4" w:rsidRDefault="00693DBF">
      <w:pPr>
        <w:ind w:left="1134"/>
        <w:jc w:val="both"/>
        <w:rPr>
          <w:rFonts w:ascii="Palatino Linotype" w:eastAsia="Palatino Linotype" w:hAnsi="Palatino Linotype" w:cs="Palatino Linotype"/>
          <w:i/>
          <w:sz w:val="22"/>
          <w:szCs w:val="22"/>
        </w:rPr>
      </w:pPr>
      <w:bookmarkStart w:id="0" w:name="_heading=h.3rdcrjn" w:colFirst="0" w:colLast="0"/>
      <w:bookmarkEnd w:id="0"/>
      <w:r>
        <w:rPr>
          <w:rFonts w:ascii="Palatino Linotype" w:eastAsia="Palatino Linotype" w:hAnsi="Palatino Linotype" w:cs="Palatino Linotype"/>
          <w:i/>
          <w:sz w:val="22"/>
          <w:szCs w:val="22"/>
        </w:rPr>
        <w:t xml:space="preserve">1.- Se adjuntan actas de entrega y recepción, de las oficinas del Secretario Ejecutivo del Consejo Editorial de la Administración Pública Estatal, Subsecretaría de Turismo, Dirección de Administración, Coordinación Jurídica y de Igualdad de Género, Subdirección </w:t>
      </w:r>
      <w:r>
        <w:rPr>
          <w:rFonts w:ascii="Palatino Linotype" w:eastAsia="Palatino Linotype" w:hAnsi="Palatino Linotype" w:cs="Palatino Linotype"/>
          <w:i/>
          <w:sz w:val="22"/>
          <w:szCs w:val="22"/>
        </w:rPr>
        <w:lastRenderedPageBreak/>
        <w:t>y Normativa y Consulta y Coordinación Jurídica y de Igualdad de Género, así como nos permitimos hacer de su conocimiento que con fundamento…., las actas de entrega y recepción de la Dirección General Patrimonio y Servicios Culturales del Valle de los Volcanes, Dirección de Servicios Culturales del Valle de los Volcanes y Dirección General Patrimonio y Servicios Culturales del Valle de Toluca se encuentra clasificada como reservada por periodo de 1 año, en razón del acuerdo identificado con el número: SCYTUR/CT/EXT-30/AC-002/2023, registrado en el acta que se emitió en la Trigésima Sesión Extraordinaria SCYTUR/CT/EXT-30/2023, fecha 19 de diciembre del 2023, por parte del Comité de Transparencia de la Secretaria de Cultura y Turismo. Las actas entrega y recepción de la Coordinación Administrativa y la Secretaría Particular se encuentran reservadas y se puede consultar el acuerdo y periodo de clasificación en el siguiente link:</w:t>
      </w:r>
    </w:p>
    <w:p w:rsidR="002A27D4" w:rsidRDefault="00693DBF">
      <w:pPr>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https://ipomex.org.mx/ipo3/lgt/indice/SCTUR/art_92_xix/5.web?token=03AFcWeA6AxIv9oSmNWGQZucmjDLMy323VhHpjP7UJka0UiUYrskFSOU8O04BXk1mc7HAzxi1vjjG_L1U7vvoRj9j1kJCplwVR-3vCe_n9IbU9O2iXeaCo_On-ONU1H8JQGrSUbX16G80TePRa-b5km1vqYmDcGk27aje-jBHZr4NJ5vM5Rmc7_EqAdXOlXPR-0YVUC0Yxim1K5OMfKlZJs1UtCHlqWAkmRy-JeBz06PyIAP2IDQ0_q91RzqGR4TmmXU7PEEWzXEolXJmMw4THiDg9m2X-O-OIS5yv3vkiY-uqX1mR-_xlHuSAwK_ryddr-ohC4V-bBnxc5jY2kJG1kNt-ylPOezChP7ZOaJlozGh5VmEq3leJUoLBH3K6GrnkJMOoRq0VqdRsH1FkZeZENSfwmX5OCYokXF2YKoirIKoefTB2ccu-lClz526Og21LHAV-hNYdN3uG_xhUM19sudG2PHsNQ9_4jrHpWOOSurvGE4exk6eVkj4IGtRVZt4KkUl5KUpkTOhcARwpANhnClPDSlQ0Zoraza1NtwvjVmSzZ2aOJjSE2c</w:t>
      </w:r>
    </w:p>
    <w:p w:rsidR="002A27D4" w:rsidRDefault="002A27D4">
      <w:pPr>
        <w:ind w:left="1134"/>
        <w:jc w:val="both"/>
        <w:rPr>
          <w:rFonts w:ascii="Palatino Linotype" w:eastAsia="Palatino Linotype" w:hAnsi="Palatino Linotype" w:cs="Palatino Linotype"/>
          <w:i/>
          <w:sz w:val="22"/>
          <w:szCs w:val="22"/>
        </w:rPr>
      </w:pPr>
    </w:p>
    <w:p w:rsidR="002A27D4" w:rsidRDefault="002A27D4">
      <w:pPr>
        <w:ind w:left="1134"/>
        <w:jc w:val="both"/>
        <w:rPr>
          <w:rFonts w:ascii="Palatino Linotype" w:eastAsia="Palatino Linotype" w:hAnsi="Palatino Linotype" w:cs="Palatino Linotype"/>
          <w:i/>
          <w:sz w:val="22"/>
          <w:szCs w:val="22"/>
        </w:rPr>
      </w:pPr>
    </w:p>
    <w:p w:rsidR="002A27D4" w:rsidRDefault="00693DBF">
      <w:pPr>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Respecto a este punto, le hago de su conocimiento, que en las actas entrega y recepción referidas, no se cuenta con anexo que forme parte del acta donde conste relación de asuntos pendientes de las áreas sujetas al propio acto señalado.</w:t>
      </w:r>
    </w:p>
    <w:p w:rsidR="002A27D4" w:rsidRDefault="002A27D4">
      <w:pPr>
        <w:ind w:left="1134"/>
        <w:jc w:val="both"/>
        <w:rPr>
          <w:rFonts w:ascii="Palatino Linotype" w:eastAsia="Palatino Linotype" w:hAnsi="Palatino Linotype" w:cs="Palatino Linotype"/>
          <w:i/>
          <w:sz w:val="22"/>
          <w:szCs w:val="22"/>
        </w:rPr>
      </w:pPr>
    </w:p>
    <w:p w:rsidR="002A27D4" w:rsidRDefault="00693DBF">
      <w:pPr>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3.- En el mismo tenor le informo, que en el acta entrega y recepción no se cuenta con anexo o documentos donde conste que existen asuntos pendientes a dar cumplimiento a estos.”</w:t>
      </w:r>
      <w:r>
        <w:rPr>
          <w:rFonts w:ascii="Palatino Linotype" w:eastAsia="Palatino Linotype" w:hAnsi="Palatino Linotype" w:cs="Palatino Linotype"/>
          <w:sz w:val="22"/>
          <w:szCs w:val="22"/>
        </w:rPr>
        <w:t xml:space="preserve"> (SIC.)</w:t>
      </w:r>
    </w:p>
    <w:p w:rsidR="002A27D4" w:rsidRDefault="002A27D4">
      <w:pPr>
        <w:spacing w:line="360" w:lineRule="auto"/>
        <w:ind w:left="1134"/>
        <w:jc w:val="both"/>
        <w:rPr>
          <w:rFonts w:ascii="Palatino Linotype" w:eastAsia="Palatino Linotype" w:hAnsi="Palatino Linotype" w:cs="Palatino Linotype"/>
          <w:sz w:val="22"/>
          <w:szCs w:val="22"/>
        </w:rPr>
      </w:pPr>
    </w:p>
    <w:p w:rsidR="002A27D4" w:rsidRDefault="00693DBF">
      <w:pPr>
        <w:spacing w:line="360" w:lineRule="auto"/>
        <w:ind w:left="1134"/>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b/>
          <w:sz w:val="22"/>
          <w:szCs w:val="22"/>
        </w:rPr>
        <w:t>Ses</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ext</w:t>
      </w:r>
      <w:proofErr w:type="spellEnd"/>
      <w:r>
        <w:rPr>
          <w:rFonts w:ascii="Palatino Linotype" w:eastAsia="Palatino Linotype" w:hAnsi="Palatino Linotype" w:cs="Palatino Linotype"/>
          <w:b/>
          <w:sz w:val="22"/>
          <w:szCs w:val="22"/>
        </w:rPr>
        <w:t xml:space="preserve"> 3012-19-2023-220306:</w:t>
      </w:r>
      <w:r>
        <w:rPr>
          <w:rFonts w:ascii="Palatino Linotype" w:eastAsia="Palatino Linotype" w:hAnsi="Palatino Linotype" w:cs="Palatino Linotype"/>
          <w:sz w:val="22"/>
          <w:szCs w:val="22"/>
        </w:rPr>
        <w:t xml:space="preserve"> Acta de la Trigésima Sesión Extraordinaria del Comité de Transparencia de la Secretaría de Cultura y Turismo del Gobierno del </w:t>
      </w:r>
      <w:r>
        <w:rPr>
          <w:rFonts w:ascii="Palatino Linotype" w:eastAsia="Palatino Linotype" w:hAnsi="Palatino Linotype" w:cs="Palatino Linotype"/>
          <w:sz w:val="22"/>
          <w:szCs w:val="22"/>
        </w:rPr>
        <w:lastRenderedPageBreak/>
        <w:t>Estado de México, en la que dentro del orden del día se trataron dos puntos relativos a la solicitud de información registrada con el número de folio 00757/SCTUR/IP/2023.</w:t>
      </w:r>
    </w:p>
    <w:p w:rsidR="002A27D4" w:rsidRDefault="002A27D4">
      <w:pPr>
        <w:spacing w:line="360" w:lineRule="auto"/>
        <w:ind w:left="1134"/>
        <w:jc w:val="both"/>
        <w:rPr>
          <w:rFonts w:ascii="Palatino Linotype" w:eastAsia="Palatino Linotype" w:hAnsi="Palatino Linotype" w:cs="Palatino Linotype"/>
          <w:sz w:val="22"/>
          <w:szCs w:val="22"/>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El diecinueve (19) de marzo de dos mil veinticuatro, la Comisionada Ponente notificó el acuerdo de ampliación para emitir resolución.</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2A27D4" w:rsidRDefault="00693DBF">
      <w:pPr>
        <w:spacing w:line="360" w:lineRule="auto"/>
        <w:ind w:left="566"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rsidR="002A27D4" w:rsidRDefault="00693DBF">
      <w:pPr>
        <w:spacing w:line="360" w:lineRule="auto"/>
        <w:ind w:left="566"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b)     Actividad Procesal del interesado: Acciones u omisiones del interesado.</w:t>
      </w:r>
    </w:p>
    <w:p w:rsidR="002A27D4" w:rsidRDefault="00693DBF">
      <w:pPr>
        <w:spacing w:line="360" w:lineRule="auto"/>
        <w:ind w:left="566"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rsidR="002A27D4" w:rsidRDefault="00693DBF">
      <w:pPr>
        <w:spacing w:line="360" w:lineRule="auto"/>
        <w:ind w:left="566"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Argumento que encuentra sustento en la jurisprudencia P</w:t>
      </w:r>
      <w:proofErr w:type="gramStart"/>
      <w:r>
        <w:rPr>
          <w:rFonts w:ascii="Palatino Linotype" w:eastAsia="Palatino Linotype" w:hAnsi="Palatino Linotype" w:cs="Palatino Linotype"/>
          <w:color w:val="000000"/>
        </w:rPr>
        <w:t>./</w:t>
      </w:r>
      <w:proofErr w:type="gramEnd"/>
      <w:r>
        <w:rPr>
          <w:rFonts w:ascii="Palatino Linotype" w:eastAsia="Palatino Linotype" w:hAnsi="Palatino Linotype" w:cs="Palatino Linotype"/>
          <w:color w:val="000000"/>
        </w:rPr>
        <w:t xml:space="preserve">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“TÉRMINOS </w:t>
      </w:r>
      <w:r>
        <w:rPr>
          <w:rFonts w:ascii="Palatino Linotype" w:eastAsia="Palatino Linotype" w:hAnsi="Palatino Linotype" w:cs="Palatino Linotype"/>
          <w:color w:val="000000"/>
        </w:rPr>
        <w:lastRenderedPageBreak/>
        <w:t xml:space="preserve">PROCESALES. PARA DETERMINAR SI UN FUNCIONARIO JUDICIAL ACTUÓ INDEBIDAMENTE POR NO RESPETARLOS SE DEBE ATENDER AL PRESUPUESTO QUE CONSIDERÓ EL LEGISLADOR AL FIJARLOS Y LAS CARACTERÍSTICAS DEL CASO.”,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A27D4" w:rsidRDefault="002A27D4">
      <w:pPr>
        <w:ind w:left="720"/>
        <w:rPr>
          <w:rFonts w:ascii="Calibri" w:eastAsia="Calibri" w:hAnsi="Calibri" w:cs="Calibri"/>
          <w:color w:val="000000"/>
        </w:rPr>
      </w:pPr>
    </w:p>
    <w:p w:rsidR="002A27D4" w:rsidRDefault="002A27D4">
      <w:pPr>
        <w:spacing w:line="360" w:lineRule="auto"/>
        <w:jc w:val="both"/>
        <w:rPr>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2A27D4" w:rsidRDefault="00693DBF">
      <w:pPr>
        <w:spacing w:line="360"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2002351.</w:t>
      </w:r>
    </w:p>
    <w:p w:rsidR="002A27D4" w:rsidRDefault="002A27D4">
      <w:pPr>
        <w:tabs>
          <w:tab w:val="left" w:pos="5387"/>
        </w:tabs>
        <w:spacing w:line="360" w:lineRule="auto"/>
        <w:ind w:left="567"/>
        <w:jc w:val="both"/>
        <w:rPr>
          <w:rFonts w:ascii="Palatino Linotype" w:eastAsia="Palatino Linotype" w:hAnsi="Palatino Linotype" w:cs="Palatino Linotype"/>
          <w:color w:val="000000"/>
          <w:sz w:val="22"/>
          <w:szCs w:val="22"/>
        </w:rPr>
      </w:pPr>
    </w:p>
    <w:p w:rsidR="002A27D4" w:rsidRDefault="00693DBF">
      <w:pPr>
        <w:spacing w:line="360" w:lineRule="auto"/>
        <w:ind w:lef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“PLAZO RAZONABLE PARA RESOLVER. CONCEPTO Y ELEMENTOS QUE LO INTEGRAN A LA LUZ DEL DERECHO INTERNACIONAL DE LOS DERECHOS HUMANOS.”, visible en el Sem</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nario Judicial de la Federación y su gaceta, con el registro digital 2002350.</w:t>
      </w:r>
    </w:p>
    <w:p w:rsidR="002A27D4" w:rsidRDefault="002A27D4">
      <w:pPr>
        <w:spacing w:line="360" w:lineRule="auto"/>
        <w:ind w:left="708"/>
        <w:jc w:val="both"/>
        <w:rPr>
          <w:rFonts w:ascii="Palatino Linotype" w:eastAsia="Palatino Linotype" w:hAnsi="Palatino Linotype" w:cs="Palatino Linotype"/>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2A27D4" w:rsidRDefault="002A27D4">
      <w:pPr>
        <w:spacing w:line="360" w:lineRule="auto"/>
        <w:jc w:val="both"/>
        <w:rPr>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El nueve (09) de octubre de dos mil veinticuatro se notificó el acuerdo mediante el cual se decretó el cierre de instrucción.</w:t>
      </w:r>
    </w:p>
    <w:p w:rsidR="002A27D4" w:rsidRDefault="00693DBF">
      <w:pPr>
        <w:pStyle w:val="Ttulo1"/>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C O N S I D E R A N D O </w:t>
      </w:r>
    </w:p>
    <w:p w:rsidR="002A27D4" w:rsidRDefault="002A27D4">
      <w:pPr>
        <w:rPr>
          <w:rFonts w:ascii="Palatino Linotype" w:eastAsia="Palatino Linotype" w:hAnsi="Palatino Linotype" w:cs="Palatino Linotype"/>
        </w:rPr>
      </w:pPr>
    </w:p>
    <w:p w:rsidR="002A27D4" w:rsidRDefault="00693DBF">
      <w:pPr>
        <w:pStyle w:val="Ttulo2"/>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PRIMERO. De la competencia</w:t>
      </w:r>
    </w:p>
    <w:p w:rsidR="002A27D4" w:rsidRDefault="002A27D4"/>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color w:val="000000"/>
        </w:rPr>
        <w:t>Constitución Política de los Estados Unidos Mexicanos</w:t>
      </w:r>
      <w:r>
        <w:rPr>
          <w:rFonts w:ascii="Palatino Linotype" w:eastAsia="Palatino Linotype" w:hAnsi="Palatino Linotype" w:cs="Palatino Linotype"/>
          <w:color w:val="000000"/>
        </w:rPr>
        <w:t xml:space="preserve">; 5, párrafos </w:t>
      </w:r>
      <w:r>
        <w:rPr>
          <w:rFonts w:ascii="Palatino Linotype" w:eastAsia="Palatino Linotype" w:hAnsi="Palatino Linotype" w:cs="Palatino Linotype"/>
          <w:color w:val="222222"/>
        </w:rPr>
        <w:t>trigésimo segundo, trigésimo tercero y trigésimo cuarto fracciones</w:t>
      </w:r>
      <w:r>
        <w:rPr>
          <w:rFonts w:ascii="Palatino Linotype" w:eastAsia="Palatino Linotype" w:hAnsi="Palatino Linotype" w:cs="Palatino Linotype"/>
          <w:color w:val="000000"/>
        </w:rPr>
        <w:t xml:space="preserve"> IV y V de la </w:t>
      </w:r>
      <w:r>
        <w:rPr>
          <w:rFonts w:ascii="Palatino Linotype" w:eastAsia="Palatino Linotype" w:hAnsi="Palatino Linotype" w:cs="Palatino Linotype"/>
          <w:b/>
          <w:color w:val="000000"/>
        </w:rPr>
        <w:t>Constitución Política del Estado Libre y Soberano de México</w:t>
      </w:r>
      <w:r>
        <w:rPr>
          <w:rFonts w:ascii="Palatino Linotype" w:eastAsia="Palatino Linotype" w:hAnsi="Palatino Linotype" w:cs="Palatino Linotype"/>
          <w:color w:val="000000"/>
        </w:rPr>
        <w:t xml:space="preserve">; artículos 1, 2 fracción II, 13, 29, 36 fracciones I y II, 176, 178, 179, 181 párrafo tercero y 185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xml:space="preserve">; y 7, 9 fracciones I y XXIII, y 11 del </w:t>
      </w:r>
      <w:r>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000000"/>
        </w:rPr>
        <w:t>.</w:t>
      </w:r>
    </w:p>
    <w:p w:rsidR="002A27D4" w:rsidRDefault="002A27D4">
      <w:pPr>
        <w:tabs>
          <w:tab w:val="left" w:pos="426"/>
        </w:tabs>
        <w:spacing w:line="360" w:lineRule="auto"/>
        <w:jc w:val="both"/>
        <w:rPr>
          <w:rFonts w:ascii="Palatino Linotype" w:eastAsia="Palatino Linotype" w:hAnsi="Palatino Linotype" w:cs="Palatino Linotype"/>
          <w:b/>
          <w:color w:val="000000"/>
        </w:rPr>
      </w:pPr>
    </w:p>
    <w:p w:rsidR="002A27D4" w:rsidRDefault="00693DBF">
      <w:pPr>
        <w:pStyle w:val="Ttulo2"/>
      </w:pPr>
      <w:r>
        <w:rPr>
          <w:rFonts w:ascii="Palatino Linotype" w:eastAsia="Palatino Linotype" w:hAnsi="Palatino Linotype" w:cs="Palatino Linotype"/>
          <w:b/>
          <w:color w:val="000000"/>
          <w:sz w:val="24"/>
          <w:szCs w:val="24"/>
        </w:rPr>
        <w:t>SEGUNDO. De la oportunidad y procedencia.</w:t>
      </w:r>
    </w:p>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t xml:space="preserve">El medio de impugnación fue presentado a través del SAIMEX en el formato previamente aprobado para tal efecto y dentro del plazo legal de quince días hábiles otorgados; siendo así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respuesta el diecinueve (19) de diciembre de dos mil </w:t>
      </w:r>
      <w:r w:rsidRPr="0061353C">
        <w:rPr>
          <w:rFonts w:ascii="Palatino Linotype" w:eastAsia="Palatino Linotype" w:hAnsi="Palatino Linotype" w:cs="Palatino Linotype"/>
          <w:color w:val="000000"/>
        </w:rPr>
        <w:t>veinticuatro, de tal forma que el plazo para interponer el recurso de revisión transcurrió del veinte (20) de diciembre de dos mil veintitrés al treinta (30) de enero de dos mil veinticuatro, el recurso de revisión fue interpuesto el nueve (09) de enero de dos mil veinticuatro, éste</w:t>
      </w:r>
      <w:r>
        <w:rPr>
          <w:rFonts w:ascii="Palatino Linotype" w:eastAsia="Palatino Linotype" w:hAnsi="Palatino Linotype" w:cs="Palatino Linotype"/>
          <w:color w:val="000000"/>
        </w:rPr>
        <w:t xml:space="preserve"> se encuentra dentro de los márgenes temporales previstos en el artículo 178 de la Ley de Transparencia y Acceso a la Información Pública del Estado de México y Municipios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vigente. </w:t>
      </w:r>
    </w:p>
    <w:p w:rsidR="002A27D4" w:rsidRDefault="002A27D4">
      <w:pPr>
        <w:tabs>
          <w:tab w:val="left" w:pos="426"/>
        </w:tabs>
        <w:spacing w:line="360" w:lineRule="auto"/>
        <w:ind w:left="360"/>
        <w:jc w:val="both"/>
        <w:rPr>
          <w:rFonts w:ascii="Palatino Linotype" w:eastAsia="Palatino Linotype" w:hAnsi="Palatino Linotype" w:cs="Palatino Linotype"/>
        </w:rPr>
      </w:pPr>
    </w:p>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2A27D4" w:rsidRDefault="002A27D4">
      <w:pPr>
        <w:spacing w:line="360" w:lineRule="auto"/>
        <w:jc w:val="both"/>
        <w:rPr>
          <w:rFonts w:ascii="Palatino Linotype" w:eastAsia="Palatino Linotype" w:hAnsi="Palatino Linotype" w:cs="Palatino Linotype"/>
        </w:rPr>
      </w:pPr>
    </w:p>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lastRenderedPageBreak/>
        <w:t>Robusteciendo lo anterior se encuentra lo dispuesto en el artículo 6, Apartado A, fracciones III de la Constitución Política de los Estados Unidos Mexicanos que establece:</w:t>
      </w: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2A27D4" w:rsidRDefault="002A27D4">
      <w:pPr>
        <w:spacing w:line="360" w:lineRule="auto"/>
        <w:ind w:left="567"/>
        <w:jc w:val="both"/>
        <w:rPr>
          <w:rFonts w:ascii="Palatino Linotype" w:eastAsia="Palatino Linotype" w:hAnsi="Palatino Linotype" w:cs="Palatino Linotype"/>
          <w:i/>
          <w:sz w:val="22"/>
          <w:szCs w:val="22"/>
        </w:rPr>
      </w:pP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rsidR="002A27D4" w:rsidRDefault="002A27D4">
      <w:pPr>
        <w:spacing w:line="360" w:lineRule="auto"/>
        <w:ind w:left="567"/>
        <w:jc w:val="both"/>
        <w:rPr>
          <w:rFonts w:ascii="Palatino Linotype" w:eastAsia="Palatino Linotype" w:hAnsi="Palatino Linotype" w:cs="Palatino Linotype"/>
          <w:i/>
          <w:sz w:val="22"/>
          <w:szCs w:val="22"/>
        </w:rPr>
      </w:pP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rsidR="002A27D4" w:rsidRDefault="002A27D4">
      <w:pPr>
        <w:spacing w:line="360" w:lineRule="auto"/>
        <w:ind w:left="567"/>
        <w:jc w:val="both"/>
        <w:rPr>
          <w:rFonts w:ascii="Palatino Linotype" w:eastAsia="Palatino Linotype" w:hAnsi="Palatino Linotype" w:cs="Palatino Linotype"/>
          <w:i/>
        </w:rPr>
      </w:pPr>
    </w:p>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rsidR="002A27D4" w:rsidRDefault="00693DBF">
      <w:pPr>
        <w:spacing w:line="360" w:lineRule="auto"/>
        <w:ind w:lef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spacing w:line="360" w:lineRule="auto"/>
        <w:ind w:lef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Toda persona en el Estado de México, tiene derecho al libre acceso a la información plural y oportuna, así como a buscar recibir y difundir información e ideas de toda índole por cualquier medio de expresión.</w:t>
      </w: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spacing w:line="360" w:lineRule="auto"/>
        <w:ind w:lef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rsidR="002A27D4" w:rsidRDefault="00693DBF">
      <w:pPr>
        <w:spacing w:line="360" w:lineRule="auto"/>
        <w:ind w:lef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A27D4" w:rsidRDefault="00693DBF">
      <w:pPr>
        <w:spacing w:line="360" w:lineRule="auto"/>
        <w:ind w:lef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rsidR="002A27D4" w:rsidRDefault="00693DBF">
      <w:pPr>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spacing w:line="360" w:lineRule="auto"/>
        <w:ind w:left="42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rsidR="002A27D4" w:rsidRDefault="002A27D4">
      <w:pPr>
        <w:spacing w:line="360" w:lineRule="auto"/>
        <w:ind w:left="426"/>
        <w:jc w:val="both"/>
        <w:rPr>
          <w:rFonts w:ascii="Palatino Linotype" w:eastAsia="Palatino Linotype" w:hAnsi="Palatino Linotype" w:cs="Palatino Linotype"/>
          <w:i/>
        </w:rPr>
      </w:pPr>
    </w:p>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rsidR="002A27D4" w:rsidRDefault="00693DBF">
      <w:pPr>
        <w:spacing w:line="360" w:lineRule="auto"/>
        <w:ind w:left="4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A27D4" w:rsidRDefault="00693DBF">
      <w:pPr>
        <w:spacing w:line="360" w:lineRule="auto"/>
        <w:ind w:left="4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rsidR="002A27D4" w:rsidRDefault="00693DBF">
      <w:pPr>
        <w:spacing w:line="360" w:lineRule="auto"/>
        <w:ind w:left="4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2A27D4" w:rsidRDefault="002A27D4">
      <w:pPr>
        <w:spacing w:line="360" w:lineRule="auto"/>
        <w:ind w:left="426"/>
        <w:jc w:val="both"/>
        <w:rPr>
          <w:rFonts w:ascii="Palatino Linotype" w:eastAsia="Palatino Linotype" w:hAnsi="Palatino Linotype" w:cs="Palatino Linotype"/>
          <w:i/>
        </w:rPr>
      </w:pPr>
    </w:p>
    <w:p w:rsidR="002A27D4" w:rsidRDefault="00693DBF">
      <w:pPr>
        <w:numPr>
          <w:ilvl w:val="0"/>
          <w:numId w:val="2"/>
        </w:numPr>
        <w:tabs>
          <w:tab w:val="left" w:pos="426"/>
        </w:tabs>
        <w:spacing w:line="360" w:lineRule="auto"/>
        <w:ind w:left="0" w:firstLine="0"/>
        <w:jc w:val="both"/>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2A27D4" w:rsidRDefault="002A27D4">
      <w:pPr>
        <w:tabs>
          <w:tab w:val="left" w:pos="426"/>
        </w:tabs>
        <w:spacing w:line="360" w:lineRule="auto"/>
        <w:jc w:val="both"/>
      </w:pPr>
    </w:p>
    <w:p w:rsidR="002A27D4" w:rsidRDefault="00693DBF">
      <w:pPr>
        <w:numPr>
          <w:ilvl w:val="0"/>
          <w:numId w:val="2"/>
        </w:numPr>
        <w:tabs>
          <w:tab w:val="left" w:pos="426"/>
        </w:tabs>
        <w:spacing w:line="360" w:lineRule="auto"/>
        <w:ind w:left="0" w:firstLine="0"/>
        <w:jc w:val="both"/>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w:t>
      </w:r>
      <w:r>
        <w:rPr>
          <w:rFonts w:ascii="Palatino Linotype" w:eastAsia="Palatino Linotype" w:hAnsi="Palatino Linotype" w:cs="Palatino Linotype"/>
        </w:rPr>
        <w:lastRenderedPageBreak/>
        <w:t>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2A27D4" w:rsidRDefault="002A27D4">
      <w:pPr>
        <w:tabs>
          <w:tab w:val="left" w:pos="426"/>
        </w:tabs>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426"/>
        </w:tabs>
        <w:spacing w:line="360" w:lineRule="auto"/>
        <w:ind w:left="0" w:firstLine="0"/>
        <w:jc w:val="both"/>
        <w:rPr>
          <w:color w:val="000000"/>
        </w:rPr>
      </w:pPr>
      <w:r>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2A27D4" w:rsidRDefault="002A27D4">
      <w:pPr>
        <w:ind w:left="720"/>
        <w:rPr>
          <w:rFonts w:ascii="Calibri" w:eastAsia="Calibri" w:hAnsi="Calibri" w:cs="Calibri"/>
          <w:color w:val="000000"/>
        </w:rPr>
      </w:pPr>
    </w:p>
    <w:p w:rsidR="002A27D4" w:rsidRDefault="00693DBF">
      <w:pPr>
        <w:pStyle w:val="Ttulo1"/>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TERCERO. Planteamiento de la Litis </w:t>
      </w:r>
    </w:p>
    <w:p w:rsidR="002A27D4" w:rsidRDefault="00693DBF">
      <w:pPr>
        <w:numPr>
          <w:ilvl w:val="0"/>
          <w:numId w:val="2"/>
        </w:numPr>
        <w:spacing w:before="240" w:line="360" w:lineRule="auto"/>
        <w:ind w:left="0" w:firstLine="0"/>
        <w:jc w:val="both"/>
        <w:rPr>
          <w:color w:val="000000"/>
        </w:rPr>
      </w:pPr>
      <w:r>
        <w:rPr>
          <w:rFonts w:ascii="Palatino Linotype" w:eastAsia="Palatino Linotype" w:hAnsi="Palatino Linotype" w:cs="Palatino Linotype"/>
          <w:color w:val="000000"/>
        </w:rPr>
        <w:t>El recurrente solicitó la siguiente información:</w:t>
      </w:r>
    </w:p>
    <w:p w:rsidR="002A27D4" w:rsidRDefault="00693DBF">
      <w:pPr>
        <w:spacing w:before="240" w:line="360" w:lineRule="auto"/>
        <w:jc w:val="both"/>
        <w:rPr>
          <w:color w:val="000000"/>
          <w:sz w:val="22"/>
          <w:szCs w:val="22"/>
        </w:rPr>
      </w:pPr>
      <w:r>
        <w:rPr>
          <w:rFonts w:ascii="Palatino Linotype" w:eastAsia="Palatino Linotype" w:hAnsi="Palatino Linotype" w:cs="Palatino Linotype"/>
          <w:i/>
          <w:color w:val="000000"/>
          <w:sz w:val="22"/>
          <w:szCs w:val="22"/>
        </w:rPr>
        <w:t>Del 15 de septiembre al 28 de noviembre 2023</w:t>
      </w:r>
    </w:p>
    <w:p w:rsidR="002A27D4" w:rsidRDefault="00693DBF">
      <w:pPr>
        <w:spacing w:line="360" w:lineRule="auto"/>
        <w:ind w:left="12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Actas de entrega – recepción suscrita en esa Secretaría, por los servidores públicos salientes y entrantes; </w:t>
      </w:r>
    </w:p>
    <w:p w:rsidR="002A27D4" w:rsidRDefault="00693DBF">
      <w:pPr>
        <w:spacing w:line="360" w:lineRule="auto"/>
        <w:ind w:left="12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Anexo  en el que consten la relación de los asuntos pendientes de las áreas sujetas al propio acto señalado; </w:t>
      </w:r>
    </w:p>
    <w:p w:rsidR="002A27D4" w:rsidRDefault="00693DBF">
      <w:pPr>
        <w:spacing w:line="360" w:lineRule="auto"/>
        <w:ind w:left="12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 Documentos donde conste la forma en que los titulares entrantes han dado cumplimiento a los asuntos pendientes referidos.</w:t>
      </w:r>
    </w:p>
    <w:p w:rsidR="002A27D4" w:rsidRDefault="002A27D4">
      <w:pPr>
        <w:spacing w:line="360" w:lineRule="auto"/>
        <w:ind w:left="1287"/>
        <w:jc w:val="both"/>
        <w:rPr>
          <w:rFonts w:ascii="Palatino Linotype" w:eastAsia="Palatino Linotype" w:hAnsi="Palatino Linotype" w:cs="Palatino Linotype"/>
        </w:rPr>
      </w:pPr>
    </w:p>
    <w:p w:rsidR="002A27D4" w:rsidRDefault="00693DBF">
      <w:pPr>
        <w:numPr>
          <w:ilvl w:val="0"/>
          <w:numId w:val="2"/>
        </w:numPr>
        <w:spacing w:before="240" w:line="360" w:lineRule="auto"/>
        <w:ind w:left="0" w:firstLine="0"/>
        <w:jc w:val="both"/>
      </w:pPr>
      <w:r>
        <w:rPr>
          <w:rFonts w:ascii="Palatino Linotype" w:eastAsia="Palatino Linotype" w:hAnsi="Palatino Linotype" w:cs="Palatino Linotype"/>
        </w:rPr>
        <w:t xml:space="preserve"> El Sujeto Obligado, informó que adjuntaba actas de entrega y recepción, de las oficinas del Secretario Ejecutivo del Consejo Editorial de la Administración Pública </w:t>
      </w:r>
      <w:r>
        <w:rPr>
          <w:rFonts w:ascii="Palatino Linotype" w:eastAsia="Palatino Linotype" w:hAnsi="Palatino Linotype" w:cs="Palatino Linotype"/>
        </w:rPr>
        <w:lastRenderedPageBreak/>
        <w:t>Estatal, Subsecretaría de Turismo, Dirección de Administración, Coordinación Jurídica y de Igualdad de Género, Subdirección y Normativa y Consulta y Coordinación Jurídica y de Igualdad de Género, y refiere que  las actas de entrega y recepción de la Dirección General Patrimonio y Servicios Culturales del Valle de los Volcanes, Dirección de Servicios Culturales del Valle de los Volcanes y Dirección General Patrimonio y Servicios Culturales del Valle de Toluca se encuentra clasificada como reservada por periodo de 1 año, en razón del acuerdo identificado con el número: SCYTUR/CT/EXT-30/AC-003/2023, registrado en el acta que se emitió en la Trigésima Sesión Extraordinaria SCYTUR/CT/EXT-30/2023, fecha 19 de diciembre del 2023, por parte del Comité de Transparencia de la Secretaría de Cultura y Turismo. Las actas de entrega y recepción de la Coordinación Administrativa y la Secretaría Particular se encuentran reservadas y proporciona un link donde puede consultarse el acuerdo y periodo de clasificación.</w:t>
      </w:r>
    </w:p>
    <w:p w:rsidR="002A27D4" w:rsidRDefault="00693DBF">
      <w:pPr>
        <w:numPr>
          <w:ilvl w:val="0"/>
          <w:numId w:val="2"/>
        </w:numPr>
        <w:spacing w:before="240" w:line="360" w:lineRule="auto"/>
        <w:ind w:left="0" w:firstLine="0"/>
        <w:jc w:val="both"/>
      </w:pPr>
      <w:r>
        <w:rPr>
          <w:rFonts w:ascii="Palatino Linotype" w:eastAsia="Palatino Linotype" w:hAnsi="Palatino Linotype" w:cs="Palatino Linotype"/>
        </w:rPr>
        <w:t>El Recurrente se inconformó porque  ningún documento corresponde a lo solicitado, no se entrega el acuerdo identificado con el número: SCYTUR/CT/EXT-30/AC-003/2023, ni el acta de la Trigésima Sesión Extraordinaria SCYTUR/CT/EXT-30/2023, de fecha 19 de diciembre del 2023, manifiesta que no se cuenta con anexo que forme parte del acta donde conste relación de asuntos pendientes, sin embargo el peticionario no tiene la obligación de conocer y dominar a la perfección los términos de los que el sujeto obligado es experto, ya que en todo caso se debió requerirse una aclaración a la solicitud.</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Por lo tanto, el presente recurso de revisión se circunscribe en determinar si se actualiza las causales de procedencia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contenidas en el artículo 179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V, relativo </w:t>
      </w:r>
      <w:r>
        <w:rPr>
          <w:rFonts w:ascii="Palatino Linotype" w:eastAsia="Palatino Linotype" w:hAnsi="Palatino Linotype" w:cs="Palatino Linotype"/>
        </w:rPr>
        <w:lastRenderedPageBreak/>
        <w:t xml:space="preserve">a la entrega incompleta de la información,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w:t>
      </w:r>
    </w:p>
    <w:p w:rsidR="002A27D4" w:rsidRDefault="002A27D4">
      <w:pPr>
        <w:ind w:left="720"/>
        <w:rPr>
          <w:rFonts w:ascii="Calibri" w:eastAsia="Calibri" w:hAnsi="Calibri" w:cs="Calibri"/>
          <w:color w:val="000000"/>
        </w:rPr>
      </w:pPr>
    </w:p>
    <w:p w:rsidR="002A27D4" w:rsidRDefault="00693DBF">
      <w:pPr>
        <w:pStyle w:val="Ttulo2"/>
        <w:tabs>
          <w:tab w:val="left" w:pos="426"/>
        </w:tabs>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CUARTO. Estudio y Resolución del asunto.</w:t>
      </w:r>
    </w:p>
    <w:p w:rsidR="002A27D4" w:rsidRDefault="00693DBF">
      <w:pPr>
        <w:keepNext/>
        <w:keepLines/>
        <w:numPr>
          <w:ilvl w:val="0"/>
          <w:numId w:val="5"/>
        </w:numPr>
        <w:spacing w:after="240" w:line="360" w:lineRule="auto"/>
        <w:ind w:left="78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Del derecho de acceso a la información.</w:t>
      </w: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 xml:space="preserve">La igualdad </w:t>
      </w:r>
    </w:p>
    <w:p w:rsidR="002A27D4" w:rsidRDefault="00693DBF">
      <w:pPr>
        <w:spacing w:before="240" w:line="360" w:lineRule="auto"/>
        <w:jc w:val="both"/>
      </w:pPr>
      <w:r>
        <w:rPr>
          <w:rFonts w:ascii="Palatino Linotype" w:eastAsia="Palatino Linotype" w:hAnsi="Palatino Linotype" w:cs="Palatino Linotype"/>
          <w:i/>
          <w:color w:val="000000"/>
        </w:rPr>
        <w:t>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w:t>
      </w:r>
      <w:r>
        <w:rPr>
          <w:rFonts w:ascii="Palatino Linotype" w:eastAsia="Palatino Linotype" w:hAnsi="Palatino Linotype" w:cs="Palatino Linotype"/>
          <w:i/>
          <w:color w:val="000000"/>
        </w:rPr>
        <w:lastRenderedPageBreak/>
        <w:t>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2A27D4" w:rsidRDefault="002A27D4">
      <w:pPr>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2A27D4" w:rsidRDefault="00693DBF">
      <w:pPr>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rsidR="002A27D4" w:rsidRDefault="00693DBF">
      <w:pPr>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A27D4" w:rsidRDefault="00693DBF">
      <w:pPr>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rsidR="002A27D4" w:rsidRDefault="002A27D4">
      <w:pPr>
        <w:jc w:val="both"/>
        <w:rPr>
          <w:rFonts w:ascii="Palatino Linotype" w:eastAsia="Palatino Linotype" w:hAnsi="Palatino Linotype" w:cs="Palatino Linotype"/>
          <w:b/>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2A27D4" w:rsidRDefault="002A27D4">
      <w:pPr>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w:t>
      </w:r>
      <w:r>
        <w:rPr>
          <w:rFonts w:ascii="Palatino Linotype" w:eastAsia="Palatino Linotype" w:hAnsi="Palatino Linotype" w:cs="Palatino Linotype"/>
        </w:rPr>
        <w:lastRenderedPageBreak/>
        <w:t>permiten que todas las autoridades, en el ámbito de sus atribuciones lo respeten, protejan y garanticen.</w:t>
      </w:r>
    </w:p>
    <w:p w:rsidR="002A27D4" w:rsidRDefault="00693DBF">
      <w:pPr>
        <w:spacing w:after="240"/>
        <w:ind w:lef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rsidR="002A27D4" w:rsidRDefault="00693DBF">
      <w:pPr>
        <w:spacing w:before="240" w:after="240"/>
        <w:ind w:lef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rsidR="002A27D4" w:rsidRDefault="00693DBF">
      <w:pPr>
        <w:spacing w:before="240" w:after="240"/>
        <w:ind w:lef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2A27D4" w:rsidRDefault="002A27D4">
      <w:pPr>
        <w:tabs>
          <w:tab w:val="left" w:pos="567"/>
        </w:tabs>
        <w:spacing w:before="240" w:after="240"/>
        <w:ind w:left="1134"/>
        <w:jc w:val="both"/>
        <w:rPr>
          <w:rFonts w:ascii="Palatino Linotype" w:eastAsia="Palatino Linotype" w:hAnsi="Palatino Linotype" w:cs="Palatino Linotype"/>
          <w:b/>
          <w:i/>
          <w:color w:val="000000"/>
          <w:sz w:val="22"/>
          <w:szCs w:val="22"/>
        </w:rPr>
      </w:pPr>
    </w:p>
    <w:p w:rsidR="002A27D4" w:rsidRDefault="00693DBF">
      <w:pPr>
        <w:spacing w:before="240" w:after="240"/>
        <w:ind w:lef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garantizar el ejercicio del derecho de transparencia, acceso a la información pública y protección de datos personales, los poderes públicos y los organismos autónomos, </w:t>
      </w:r>
      <w:r>
        <w:rPr>
          <w:rFonts w:ascii="Palatino Linotype" w:eastAsia="Palatino Linotype" w:hAnsi="Palatino Linotype" w:cs="Palatino Linotype"/>
          <w:i/>
          <w:sz w:val="22"/>
          <w:szCs w:val="22"/>
        </w:rPr>
        <w:lastRenderedPageBreak/>
        <w:t>transparentarán sus acciones, en términos de las disposiciones aplicables, la información será oportuna, clara, veraz y de fácil acceso.</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rsidR="002A27D4" w:rsidRDefault="00693DBF">
      <w:pPr>
        <w:spacing w:before="240" w:after="240"/>
        <w:ind w:lef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2A27D4" w:rsidRDefault="002A27D4">
      <w:pPr>
        <w:tabs>
          <w:tab w:val="left" w:pos="567"/>
        </w:tabs>
        <w:spacing w:before="240" w:after="240"/>
        <w:jc w:val="both"/>
        <w:rPr>
          <w:rFonts w:ascii="Palatino Linotype" w:eastAsia="Palatino Linotype" w:hAnsi="Palatino Linotype" w:cs="Palatino Linotype"/>
          <w:b/>
          <w:i/>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rsidR="002A27D4" w:rsidRDefault="002A27D4">
      <w:pPr>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rsidR="002A27D4" w:rsidRDefault="002A27D4"/>
    <w:p w:rsidR="002A27D4" w:rsidRDefault="002A27D4"/>
    <w:p w:rsidR="002A27D4" w:rsidRDefault="00693DBF">
      <w:pPr>
        <w:pStyle w:val="Ttulo1"/>
        <w:spacing w:before="0" w:after="24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De la información solicitada y la respuesta del SUJETO OBLIGADO</w:t>
      </w: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w:t>
      </w:r>
      <w:r>
        <w:rPr>
          <w:rFonts w:ascii="Palatino Linotype" w:eastAsia="Palatino Linotype" w:hAnsi="Palatino Linotype" w:cs="Palatino Linotype"/>
          <w:i/>
          <w:color w:val="000000"/>
          <w:sz w:val="22"/>
          <w:szCs w:val="22"/>
        </w:rPr>
        <w:t xml:space="preserve">1. Del archivo </w:t>
      </w:r>
      <w:r>
        <w:rPr>
          <w:rFonts w:ascii="Palatino Linotype" w:eastAsia="Palatino Linotype" w:hAnsi="Palatino Linotype" w:cs="Palatino Linotype"/>
          <w:i/>
          <w:color w:val="000000"/>
          <w:sz w:val="22"/>
          <w:szCs w:val="22"/>
        </w:rPr>
        <w:lastRenderedPageBreak/>
        <w:t>proporcionado ningún documento corresponde a lo solicitado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2. No se entrega el acuerdo identificado con el número: SCYTUR/CT/EXT-30/AC-003/2023, ni el acta de la Trigésima Sesión Extraordinaria SCYTUR/CT/EXT-30/2023, de fecha 19 de diciembre del 2023. 3. Manifiestan que no se cuenta con anexo que forme parte del acta donde conste relación de asuntos pendientes</w:t>
      </w:r>
    </w:p>
    <w:p w:rsidR="002A27D4" w:rsidRDefault="002A27D4"/>
    <w:p w:rsidR="002A27D4" w:rsidRDefault="00693DBF">
      <w:p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rsidR="002A27D4" w:rsidRDefault="00693DBF">
      <w:pPr>
        <w:spacing w:before="240" w:line="360" w:lineRule="auto"/>
        <w:jc w:val="both"/>
        <w:rPr>
          <w:color w:val="000000"/>
          <w:sz w:val="22"/>
          <w:szCs w:val="22"/>
        </w:rPr>
      </w:pPr>
      <w:r>
        <w:rPr>
          <w:rFonts w:ascii="Palatino Linotype" w:eastAsia="Palatino Linotype" w:hAnsi="Palatino Linotype" w:cs="Palatino Linotype"/>
          <w:i/>
          <w:color w:val="000000"/>
          <w:sz w:val="22"/>
          <w:szCs w:val="22"/>
        </w:rPr>
        <w:t>Del 15 de septiembre al 28 de noviembre 2023</w:t>
      </w:r>
    </w:p>
    <w:p w:rsidR="002A27D4" w:rsidRDefault="00693DBF">
      <w:pPr>
        <w:spacing w:line="360" w:lineRule="auto"/>
        <w:ind w:left="12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Actas de entrega – recepción suscrita en esa Secretaría, por los servidores públicos salientes y entrantes; </w:t>
      </w:r>
    </w:p>
    <w:p w:rsidR="002A27D4" w:rsidRDefault="00693DBF">
      <w:pPr>
        <w:spacing w:line="360" w:lineRule="auto"/>
        <w:ind w:left="12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Anexo  en el que consten la relación de los asuntos pendientes de las áreas sujetas al propio acto señalado; </w:t>
      </w:r>
    </w:p>
    <w:p w:rsidR="002A27D4" w:rsidRDefault="00693DBF">
      <w:pPr>
        <w:spacing w:line="360" w:lineRule="auto"/>
        <w:ind w:left="128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3. Documentos donde conste la forma en que los titulares entrantes han dado cumplimiento a los asuntos pendientes referidos.</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t>El Sujeto Obligado, a través de su respuesta adjunto un archivo electrónico, en cual remitió dos oficios y un total de 516 tarjetas.</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t xml:space="preserve">Derivado de dicha respuesta,  resulta necesario realizar una análisis de la información remitida por el Sujeto Obligado, primero es de señalar que el Sujeto Obligado, </w:t>
      </w:r>
      <w:r>
        <w:rPr>
          <w:rFonts w:ascii="Palatino Linotype" w:eastAsia="Palatino Linotype" w:hAnsi="Palatino Linotype" w:cs="Palatino Linotype"/>
        </w:rPr>
        <w:t>remitió</w:t>
      </w:r>
      <w:r>
        <w:rPr>
          <w:rFonts w:ascii="Palatino Linotype" w:eastAsia="Palatino Linotype" w:hAnsi="Palatino Linotype" w:cs="Palatino Linotype"/>
          <w:color w:val="000000"/>
        </w:rPr>
        <w:t xml:space="preserve"> un Acta de la Vigésima Novena Sesión Extraordinaria del Comité de Transparencia de la </w:t>
      </w:r>
      <w:r>
        <w:rPr>
          <w:rFonts w:ascii="Palatino Linotype" w:eastAsia="Palatino Linotype" w:hAnsi="Palatino Linotype" w:cs="Palatino Linotype"/>
        </w:rPr>
        <w:t>Secretaría</w:t>
      </w:r>
      <w:r>
        <w:rPr>
          <w:rFonts w:ascii="Palatino Linotype" w:eastAsia="Palatino Linotype" w:hAnsi="Palatino Linotype" w:cs="Palatino Linotype"/>
          <w:color w:val="000000"/>
        </w:rPr>
        <w:t xml:space="preserve"> de Cultura y Turismo del Gobierno del Estado de México de fecha 15 de diciembre de dos mil veintitrés, en donde se observa que se aprueban diversos proyectos de clasificación de la información como confidencial, sin embargo dichos proyectos no corresponden con la solicitud de información realizada por el Recurrente.</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lastRenderedPageBreak/>
        <w:t>En este mismo sentido una carpeta denominada “Turnos” en la cual se observaron   dos oficios, el primero de ellos se observa que,  se solicita hacer la difusión a la convocatoria de la Presea Estado de México y en el segundo se lee que,  solicita dar difusión al programa de XXI Festival de las Almas, como se observa, dichos oficios no guardan relación con lo requerido por el Recurrente.</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t>Por último es de señalar que el Sujeto Obligado, a su respuesta adjuntó  un total de 516 tarjetas, todas suscritas por el LIC MOSEHE DAYAN MORALES, las cuales del análisis realizado por este Órgano Garante, se observa que se refieren a diferentes asuntos, los cuales  no guardan ninguna relación con la información solicitada.</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t xml:space="preserve">Como se observa de la información remitida por el Sujeto Obligado en respuesta, dichos documentos no guardan relación alguna con la información solicitada por el Recurrente por lo que en un primer momento el Sujeto Obligado no colma con lo requerido por el Recurrente. </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t xml:space="preserve">El Sujeto Obligado en su  respuesta entrego una dirección electrónica, donde supuestamente obra la información relativa a </w:t>
      </w:r>
      <w:r>
        <w:rPr>
          <w:rFonts w:ascii="Palatino Linotype" w:eastAsia="Palatino Linotype" w:hAnsi="Palatino Linotype" w:cs="Palatino Linotype"/>
          <w:color w:val="000000"/>
          <w:sz w:val="22"/>
          <w:szCs w:val="22"/>
        </w:rPr>
        <w:t>las actas entrega y recepción de la Coordinación Administrativa y la Secretaría Particular se encuentran reservadas y se puede consultar el acuerdo y periodo de clasificación</w:t>
      </w:r>
      <w:r>
        <w:rPr>
          <w:rFonts w:ascii="Palatino Linotype" w:eastAsia="Palatino Linotype" w:hAnsi="Palatino Linotype" w:cs="Palatino Linotype"/>
          <w:color w:val="000000"/>
        </w:rPr>
        <w:t xml:space="preserve"> señalando el siguiente Link </w:t>
      </w:r>
      <w:hyperlink r:id="rId10">
        <w:r>
          <w:rPr>
            <w:rFonts w:ascii="Palatino Linotype" w:eastAsia="Palatino Linotype" w:hAnsi="Palatino Linotype" w:cs="Palatino Linotype"/>
            <w:color w:val="0563C1"/>
            <w:u w:val="single"/>
          </w:rPr>
          <w:t>https://ipomex.org.mx/ipo3/lgt/indice/SCTUR/art_92_xix/5.web?token=03AFcWeA6AxIv9oSmNWGQZucmjDLMy323VhHpjP7UJka0UiUYrskFSOU8O04BXk1mc7HAzxi1vjjG_L1U7vvoRj9j1kJCplwVR-3vCe_n9IbU9O2iXeaCo_On-ONU1H8JQGrSUbX16G80TePRa-b5km1vqYmDcGk27aje-tjBHZr4NJ5vM5Rmc7_EqAdXOlXPR-0YVUC0Yxim1K5OMfKlZJs1UtCHlqWAkmRy-</w:t>
        </w:r>
        <w:r>
          <w:rPr>
            <w:rFonts w:ascii="Palatino Linotype" w:eastAsia="Palatino Linotype" w:hAnsi="Palatino Linotype" w:cs="Palatino Linotype"/>
            <w:color w:val="0563C1"/>
            <w:u w:val="single"/>
          </w:rPr>
          <w:lastRenderedPageBreak/>
          <w:t>JeBz06PyIAP2IDQ0_q91RzqGR4TmmXU7PEEWzXEolXJmMw4THiDg9m2X-O-OIS5yv3vkiY-uqX1mR-_xlHuSAwK_ryddr-ohC4V-bBnxc5jY2kJG1kNt-ylPOezChP7ZOaJlozGh5VmEq3leJUoLBH3K6GrnkJMOoRq0VqdRsH1FkZeZENSfwmX5OCYokXF2YKoirIKoefTB2ccu-lClz526Og21LHAV-hNYdN3uG_xhUM19sudG2PHsNQ9_4jrHpWOOSurvGE4exk6eVkj4IGtRVZt4KkUl5KUpkTOhcARwpANhnClPDSlQ0Zoraza1NtwvjVmSzZ2aOJjSE2c</w:t>
        </w:r>
      </w:hyperlink>
    </w:p>
    <w:p w:rsidR="002A27D4" w:rsidRDefault="002A27D4">
      <w:pPr>
        <w:spacing w:before="240" w:line="360" w:lineRule="auto"/>
        <w:jc w:val="both"/>
        <w:rPr>
          <w:rFonts w:ascii="Calibri" w:eastAsia="Calibri" w:hAnsi="Calibri" w:cs="Calibri"/>
          <w:color w:val="000000"/>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 xml:space="preserve">Es necesario precisar que la Ley de Transparencia y Acceso a la Información Pública del Estado de México y Municipios establece en su artículo 11 que en </w:t>
      </w:r>
      <w:r>
        <w:rPr>
          <w:rFonts w:ascii="Palatino Linotype" w:eastAsia="Palatino Linotype" w:hAnsi="Palatino Linotype" w:cs="Palatino Linotype"/>
          <w:i/>
          <w:color w:val="000000"/>
        </w:rPr>
        <w:t xml:space="preserve">la entrega de la información se deberá garantizar que ésta sea accesible, actualizada, completa, congruente, confiable, verificable, veraz, integral, oportuna y expedita. </w:t>
      </w:r>
      <w:r>
        <w:rPr>
          <w:rFonts w:ascii="Palatino Linotype" w:eastAsia="Palatino Linotype" w:hAnsi="Palatino Linotype" w:cs="Palatino Linotype"/>
          <w:color w:val="000000"/>
        </w:rPr>
        <w:t>El artículo 161 de la Ley en comento, refiere lo siguiente:</w:t>
      </w:r>
    </w:p>
    <w:p w:rsidR="002A27D4" w:rsidRDefault="002A27D4">
      <w:pPr>
        <w:ind w:left="720"/>
        <w:rPr>
          <w:rFonts w:ascii="Palatino Linotype" w:eastAsia="Palatino Linotype" w:hAnsi="Palatino Linotype" w:cs="Palatino Linotype"/>
          <w:color w:val="000000"/>
        </w:rPr>
      </w:pPr>
    </w:p>
    <w:p w:rsidR="002A27D4" w:rsidRDefault="00693DBF">
      <w:pPr>
        <w:spacing w:line="360" w:lineRule="auto"/>
        <w:ind w:lef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161. Cuando la información requerida por el solicitante ya esté disponible al público </w:t>
      </w:r>
      <w:r>
        <w:rPr>
          <w:rFonts w:ascii="Palatino Linotype" w:eastAsia="Palatino Linotype" w:hAnsi="Palatino Linotype" w:cs="Palatino Linotype"/>
          <w:i/>
          <w:sz w:val="22"/>
          <w:szCs w:val="22"/>
        </w:rPr>
        <w:t xml:space="preserve">en medios impresos, tales como libros, compendios, trípticos, registros públicos, </w:t>
      </w:r>
      <w:r>
        <w:rPr>
          <w:rFonts w:ascii="Palatino Linotype" w:eastAsia="Palatino Linotype" w:hAnsi="Palatino Linotype" w:cs="Palatino Linotype"/>
          <w:b/>
          <w:i/>
          <w:sz w:val="22"/>
          <w:szCs w:val="22"/>
        </w:rPr>
        <w:t>en formatos electrónicos</w:t>
      </w:r>
      <w:r>
        <w:rPr>
          <w:rFonts w:ascii="Palatino Linotype" w:eastAsia="Palatino Linotype" w:hAnsi="Palatino Linotype" w:cs="Palatino Linotype"/>
          <w:i/>
          <w:sz w:val="22"/>
          <w:szCs w:val="22"/>
        </w:rPr>
        <w:t xml:space="preserve"> disponibles en Internet o en cualquier otro medio, </w:t>
      </w:r>
      <w:r>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2A27D4" w:rsidRDefault="00693DBF">
      <w:pPr>
        <w:spacing w:line="360" w:lineRule="auto"/>
        <w:ind w:lef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rsidR="002A27D4" w:rsidRDefault="002A27D4">
      <w:pPr>
        <w:spacing w:line="360" w:lineRule="auto"/>
        <w:ind w:left="567"/>
        <w:jc w:val="both"/>
        <w:rPr>
          <w:rFonts w:ascii="Palatino Linotype" w:eastAsia="Palatino Linotype" w:hAnsi="Palatino Linotype" w:cs="Palatino Linotype"/>
          <w:b/>
          <w:i/>
          <w:sz w:val="28"/>
          <w:szCs w:val="28"/>
        </w:rPr>
      </w:pPr>
    </w:p>
    <w:p w:rsidR="002A27D4" w:rsidRDefault="00693DBF">
      <w:pPr>
        <w:numPr>
          <w:ilvl w:val="0"/>
          <w:numId w:val="2"/>
        </w:numPr>
        <w:spacing w:line="360" w:lineRule="auto"/>
        <w:ind w:left="0" w:firstLine="0"/>
        <w:jc w:val="both"/>
        <w:rPr>
          <w:color w:val="000000"/>
        </w:rPr>
      </w:pPr>
      <w:r>
        <w:rPr>
          <w:rFonts w:ascii="Palatino Linotype" w:eastAsia="Palatino Linotype" w:hAnsi="Palatino Linotype" w:cs="Palatino Linotype"/>
          <w:color w:val="000000"/>
        </w:rPr>
        <w:t xml:space="preserve">Es así que, toda aquella información que sea requerida por los particulares pero que, previamente se encuentre disponible en sitios electrónicos, como puede ser de manera enunciativa más no limitativa, el sitio oficial del Sujeto Obligado o el portal </w:t>
      </w:r>
      <w:r>
        <w:rPr>
          <w:rFonts w:ascii="Palatino Linotype" w:eastAsia="Palatino Linotype" w:hAnsi="Palatino Linotype" w:cs="Palatino Linotype"/>
          <w:color w:val="000000"/>
        </w:rPr>
        <w:lastRenderedPageBreak/>
        <w:t xml:space="preserve">IPOMEX o las páginas institucionales. Los Sujetos Obligado pueden indicar la dirección electrónica donde obra la información solicitada. </w:t>
      </w:r>
      <w:r>
        <w:rPr>
          <w:rFonts w:ascii="Palatino Linotype" w:eastAsia="Palatino Linotype" w:hAnsi="Palatino Linotype" w:cs="Palatino Linotype"/>
          <w:b/>
          <w:color w:val="000000"/>
        </w:rPr>
        <w:t xml:space="preserve">Esta dirección electrónica debe ser precisa, de tal modo que no implique realizar una búsqueda en toda la información que ahí se encuentre, o bien, </w:t>
      </w:r>
      <w:r>
        <w:rPr>
          <w:rFonts w:ascii="Palatino Linotype" w:eastAsia="Palatino Linotype" w:hAnsi="Palatino Linotype" w:cs="Palatino Linotype"/>
          <w:color w:val="000000"/>
        </w:rPr>
        <w:t>acompañada del procedimiento a seguir, en caso de que la información se encuentre en distintos puntos del sitio electrónico referido.</w:t>
      </w:r>
    </w:p>
    <w:p w:rsidR="002A27D4" w:rsidRDefault="00693DBF">
      <w:pPr>
        <w:numPr>
          <w:ilvl w:val="0"/>
          <w:numId w:val="2"/>
        </w:numPr>
        <w:spacing w:before="240" w:line="360" w:lineRule="auto"/>
        <w:ind w:left="0" w:firstLine="0"/>
        <w:jc w:val="both"/>
        <w:rPr>
          <w:rFonts w:ascii="Calibri" w:eastAsia="Calibri" w:hAnsi="Calibri" w:cs="Calibri"/>
          <w:color w:val="000000"/>
        </w:rPr>
      </w:pPr>
      <w:r>
        <w:rPr>
          <w:rFonts w:ascii="Palatino Linotype" w:eastAsia="Palatino Linotype" w:hAnsi="Palatino Linotype" w:cs="Palatino Linotype"/>
          <w:color w:val="000000"/>
        </w:rPr>
        <w:t>Por lo que este Órgano Garante,  realizó un análisis de dicho Link y como resultado del mismo se observa lo siguiente.</w:t>
      </w:r>
    </w:p>
    <w:p w:rsidR="002A27D4" w:rsidRDefault="00693DBF">
      <w:pPr>
        <w:spacing w:before="240" w:line="360" w:lineRule="auto"/>
        <w:ind w:left="567"/>
        <w:jc w:val="both"/>
        <w:rPr>
          <w:rFonts w:ascii="Calibri" w:eastAsia="Calibri" w:hAnsi="Calibri" w:cs="Calibri"/>
          <w:color w:val="000000"/>
        </w:rPr>
      </w:pPr>
      <w:r>
        <w:rPr>
          <w:rFonts w:ascii="Calibri" w:eastAsia="Calibri" w:hAnsi="Calibri" w:cs="Calibri"/>
          <w:noProof/>
          <w:color w:val="000000"/>
          <w:lang w:eastAsia="es-MX"/>
        </w:rPr>
        <w:lastRenderedPageBreak/>
        <w:drawing>
          <wp:inline distT="0" distB="0" distL="0" distR="0">
            <wp:extent cx="5324475" cy="4953000"/>
            <wp:effectExtent l="0" t="0" r="0" b="0"/>
            <wp:docPr id="1038481661" name="image12.png"/>
            <wp:cNvGraphicFramePr/>
            <a:graphic xmlns:a="http://schemas.openxmlformats.org/drawingml/2006/main">
              <a:graphicData uri="http://schemas.openxmlformats.org/drawingml/2006/picture">
                <pic:pic xmlns:pic="http://schemas.openxmlformats.org/drawingml/2006/picture">
                  <pic:nvPicPr>
                    <pic:cNvPr id="1038481661" name="image12.png"/>
                    <pic:cNvPicPr preferRelativeResize="0"/>
                  </pic:nvPicPr>
                  <pic:blipFill>
                    <a:blip r:embed="rId11"/>
                    <a:srcRect/>
                    <a:stretch>
                      <a:fillRect/>
                    </a:stretch>
                  </pic:blipFill>
                  <pic:spPr>
                    <a:xfrm>
                      <a:off x="0" y="0"/>
                      <a:ext cx="5324475" cy="4953000"/>
                    </a:xfrm>
                    <a:prstGeom prst="rect">
                      <a:avLst/>
                    </a:prstGeom>
                  </pic:spPr>
                </pic:pic>
              </a:graphicData>
            </a:graphic>
          </wp:inline>
        </w:drawing>
      </w:r>
    </w:p>
    <w:p w:rsidR="002A27D4" w:rsidRDefault="002A27D4">
      <w:pPr>
        <w:spacing w:before="240" w:line="360" w:lineRule="auto"/>
        <w:ind w:left="567"/>
        <w:jc w:val="both"/>
        <w:rPr>
          <w:rFonts w:ascii="Calibri" w:eastAsia="Calibri" w:hAnsi="Calibri" w:cs="Calibri"/>
          <w:color w:val="000000"/>
        </w:rPr>
      </w:pPr>
    </w:p>
    <w:p w:rsidR="002A27D4" w:rsidRDefault="00693DBF">
      <w:pPr>
        <w:spacing w:before="240" w:line="360" w:lineRule="auto"/>
        <w:ind w:left="567"/>
        <w:jc w:val="both"/>
        <w:rPr>
          <w:rFonts w:ascii="Calibri" w:eastAsia="Calibri" w:hAnsi="Calibri" w:cs="Calibri"/>
          <w:color w:val="000000"/>
        </w:rPr>
      </w:pPr>
      <w:r>
        <w:rPr>
          <w:rFonts w:ascii="Calibri" w:eastAsia="Calibri" w:hAnsi="Calibri" w:cs="Calibri"/>
          <w:noProof/>
          <w:color w:val="000000"/>
          <w:lang w:eastAsia="es-MX"/>
        </w:rPr>
        <w:lastRenderedPageBreak/>
        <w:drawing>
          <wp:inline distT="0" distB="0" distL="0" distR="0">
            <wp:extent cx="5158105" cy="6057265"/>
            <wp:effectExtent l="0" t="0" r="0" b="0"/>
            <wp:docPr id="1038481663" name="image8.png"/>
            <wp:cNvGraphicFramePr/>
            <a:graphic xmlns:a="http://schemas.openxmlformats.org/drawingml/2006/main">
              <a:graphicData uri="http://schemas.openxmlformats.org/drawingml/2006/picture">
                <pic:pic xmlns:pic="http://schemas.openxmlformats.org/drawingml/2006/picture">
                  <pic:nvPicPr>
                    <pic:cNvPr id="1038481663" name="image8.png"/>
                    <pic:cNvPicPr preferRelativeResize="0"/>
                  </pic:nvPicPr>
                  <pic:blipFill>
                    <a:blip r:embed="rId12"/>
                    <a:srcRect l="29432" t="11690" r="30720" b="1250"/>
                    <a:stretch>
                      <a:fillRect/>
                    </a:stretch>
                  </pic:blipFill>
                  <pic:spPr>
                    <a:xfrm>
                      <a:off x="0" y="0"/>
                      <a:ext cx="5158447" cy="6057430"/>
                    </a:xfrm>
                    <a:prstGeom prst="rect">
                      <a:avLst/>
                    </a:prstGeom>
                  </pic:spPr>
                </pic:pic>
              </a:graphicData>
            </a:graphic>
          </wp:inline>
        </w:drawing>
      </w:r>
    </w:p>
    <w:p w:rsidR="002A27D4" w:rsidRDefault="002A27D4">
      <w:pPr>
        <w:spacing w:before="240" w:line="360" w:lineRule="auto"/>
        <w:ind w:left="567"/>
        <w:jc w:val="both"/>
        <w:rPr>
          <w:rFonts w:ascii="Calibri" w:eastAsia="Calibri" w:hAnsi="Calibri" w:cs="Calibri"/>
          <w:color w:val="000000"/>
        </w:rPr>
      </w:pPr>
    </w:p>
    <w:p w:rsidR="002A27D4" w:rsidRDefault="00693DBF">
      <w:pPr>
        <w:numPr>
          <w:ilvl w:val="0"/>
          <w:numId w:val="2"/>
        </w:numPr>
        <w:tabs>
          <w:tab w:val="left" w:pos="0"/>
        </w:tabs>
        <w:spacing w:line="360" w:lineRule="auto"/>
        <w:ind w:left="0" w:firstLine="0"/>
        <w:jc w:val="both"/>
        <w:rPr>
          <w:color w:val="000000"/>
        </w:rPr>
      </w:pPr>
      <w:r>
        <w:rPr>
          <w:rFonts w:ascii="Palatino Linotype" w:eastAsia="Palatino Linotype" w:hAnsi="Palatino Linotype" w:cs="Palatino Linotype"/>
          <w:color w:val="000000"/>
        </w:rPr>
        <w:t xml:space="preserve">El Sujeto Obligado remite el link donde obran los  acuerdos SCYTUR/CT/EXT-26/AC-002/2023 y SCYTUR/CT/EXT-27/AC-001/2023  de la  Vigésima Séptima Sesión Extraordinaria del Comité de Transparencia de la </w:t>
      </w:r>
      <w:r>
        <w:rPr>
          <w:rFonts w:ascii="Palatino Linotype" w:eastAsia="Palatino Linotype" w:hAnsi="Palatino Linotype" w:cs="Palatino Linotype"/>
        </w:rPr>
        <w:t>Secretaría</w:t>
      </w:r>
      <w:r>
        <w:rPr>
          <w:rFonts w:ascii="Palatino Linotype" w:eastAsia="Palatino Linotype" w:hAnsi="Palatino Linotype" w:cs="Palatino Linotype"/>
          <w:color w:val="000000"/>
        </w:rPr>
        <w:t xml:space="preserve"> de Cultura y Turismo del </w:t>
      </w:r>
      <w:r>
        <w:rPr>
          <w:rFonts w:ascii="Palatino Linotype" w:eastAsia="Palatino Linotype" w:hAnsi="Palatino Linotype" w:cs="Palatino Linotype"/>
          <w:color w:val="000000"/>
        </w:rPr>
        <w:lastRenderedPageBreak/>
        <w:t>Gobierno del Estado de México en la cual se determina que la Información concerniente al acta entrega y anexos (proceso de entrega y recepción) de la Secretaría Particular y de</w:t>
      </w:r>
      <w:r>
        <w:t xml:space="preserve"> </w:t>
      </w:r>
      <w:r>
        <w:rPr>
          <w:rFonts w:ascii="Palatino Linotype" w:eastAsia="Palatino Linotype" w:hAnsi="Palatino Linotype" w:cs="Palatino Linotype"/>
          <w:color w:val="000000"/>
        </w:rPr>
        <w:t xml:space="preserve"> la Coordinación Administrativa, sea clasificada como reservada por un periodo de un año, </w:t>
      </w:r>
      <w:r>
        <w:rPr>
          <w:rFonts w:ascii="Palatino Linotype" w:eastAsia="Palatino Linotype" w:hAnsi="Palatino Linotype" w:cs="Palatino Linotype"/>
          <w:color w:val="000000"/>
          <w:sz w:val="22"/>
          <w:szCs w:val="22"/>
        </w:rPr>
        <w:t xml:space="preserve">toda vez que se tuvo a bien </w:t>
      </w:r>
      <w:r>
        <w:rPr>
          <w:rFonts w:ascii="Arial" w:eastAsia="Arial" w:hAnsi="Arial" w:cs="Arial"/>
          <w:color w:val="333333"/>
          <w:sz w:val="17"/>
          <w:szCs w:val="17"/>
          <w:highlight w:val="white"/>
        </w:rPr>
        <w:t> </w:t>
      </w:r>
      <w:r>
        <w:rPr>
          <w:rFonts w:ascii="Palatino Linotype" w:eastAsia="Palatino Linotype" w:hAnsi="Palatino Linotype" w:cs="Palatino Linotype"/>
          <w:color w:val="333333"/>
          <w:highlight w:val="white"/>
        </w:rPr>
        <w:t>requerir aclaraciones o información adicional a la Persona que entrega la Unidad Administrativa, así como se hizo de conocimiento al Órgano Interno de Control de dichas irregularidades.</w:t>
      </w:r>
    </w:p>
    <w:p w:rsidR="002A27D4" w:rsidRDefault="002A27D4">
      <w:pPr>
        <w:tabs>
          <w:tab w:val="left" w:pos="0"/>
        </w:tabs>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0"/>
        </w:tabs>
        <w:spacing w:line="360" w:lineRule="auto"/>
        <w:ind w:left="0" w:firstLine="0"/>
        <w:jc w:val="both"/>
        <w:rPr>
          <w:color w:val="000000"/>
        </w:rPr>
      </w:pPr>
      <w:r>
        <w:rPr>
          <w:rFonts w:ascii="Palatino Linotype" w:eastAsia="Palatino Linotype" w:hAnsi="Palatino Linotype" w:cs="Palatino Linotype"/>
          <w:color w:val="333333"/>
          <w:highlight w:val="white"/>
        </w:rPr>
        <w:t>Por lo que el proceso de Entrega y Recepción (Acta Administrativa y documentos anexos) son el soporte documental del procedimiento de investigación por parte del Órgano Interno de Control, por la presunta responsabilidad de faltas administrativas, esto en razón de lo que establece el TÍTULO PRIMERO “DE LA INVESTIGACIÓN Y CALIFICACIÓN DE LAS FALTAS GRAVES Y NO GRAVES”, CAPÍTULO PRIMERO “DEL INICIO DE LA INVESTIGACIÓN”, de la LEY DE RESPONSABILIDADES ADMINISTRATIVAS DEL ESTADO DE MÉXICO Y MUNICIPIOS en su Artículo 94.</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333333"/>
          <w:highlight w:val="white"/>
        </w:rPr>
        <w:t xml:space="preserve">Por lo anterior refiere el Sujeto Obligado que dichas Actas no podrán ser remitidas por el mismo, toda vez que las misma se encuentran reservadas por un periodo de un año, como lo sustenta con su Actas del Comité de Transparencia del Sujeto Obligado , en donde confirmó la clasificación de la información como reservada. </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color w:val="333333"/>
          <w:highlight w:val="white"/>
        </w:rPr>
        <w:t>Ahora</w:t>
      </w:r>
      <w:r>
        <w:rPr>
          <w:rFonts w:ascii="Palatino Linotype" w:eastAsia="Palatino Linotype" w:hAnsi="Palatino Linotype" w:cs="Palatino Linotype"/>
        </w:rPr>
        <w:t xml:space="preserve"> bien, retomando las respuestas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se destaca que refiere que para el caso en específico</w:t>
      </w:r>
      <w:r>
        <w:rPr>
          <w:rFonts w:ascii="Palatino Linotype" w:eastAsia="Palatino Linotype" w:hAnsi="Palatino Linotype" w:cs="Palatino Linotype"/>
        </w:rPr>
        <w:t>, se actualiza la causal de reserva prevista en el artículo 140, fracción VIII de la Ley de Transparencia Local.</w:t>
      </w:r>
      <w:r>
        <w:rPr>
          <w:rFonts w:ascii="Palatino Linotype" w:eastAsia="Palatino Linotype" w:hAnsi="Palatino Linotype" w:cs="Palatino Linotype"/>
          <w:color w:val="000000"/>
        </w:rPr>
        <w:t xml:space="preserve"> </w:t>
      </w: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lastRenderedPageBreak/>
        <w:t>En principio, el artículo referido en el párrafo que antecede, homólogo al 113, fracción XI de la Ley General de Transparencia y Acceso a la Información Pública, precisa como uno de los criterios de excepción del acceso a la información pública, lo siguiente:</w:t>
      </w:r>
    </w:p>
    <w:p w:rsidR="002A27D4" w:rsidRDefault="00693DBF">
      <w:pPr>
        <w:pStyle w:val="Puesto"/>
        <w:ind w:left="567"/>
        <w:jc w:val="both"/>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“Artículo 140. El acceso a la información pública será restringido excepcionalmente, cuando por razones de interés público, ésta sea clasificada como reservada, conforme a los criterios siguientes:</w:t>
      </w:r>
    </w:p>
    <w:p w:rsidR="002A27D4" w:rsidRDefault="00693DBF">
      <w:pPr>
        <w:pStyle w:val="Puesto"/>
        <w:ind w:left="567"/>
        <w:jc w:val="both"/>
        <w:rPr>
          <w:rFonts w:ascii="Palatino Linotype" w:eastAsia="Palatino Linotype" w:hAnsi="Palatino Linotype" w:cs="Palatino Linotype"/>
          <w:b w:val="0"/>
          <w:i/>
          <w:sz w:val="22"/>
          <w:szCs w:val="22"/>
        </w:rPr>
      </w:pPr>
      <w:r>
        <w:rPr>
          <w:rFonts w:ascii="Palatino Linotype" w:eastAsia="Palatino Linotype" w:hAnsi="Palatino Linotype" w:cs="Palatino Linotype"/>
          <w:b w:val="0"/>
          <w:i/>
          <w:sz w:val="22"/>
          <w:szCs w:val="22"/>
        </w:rPr>
        <w:t>VIII. Vulnere la conducción de los expedientes judiciales o de los procedimientos administrativos seguidos en forma de juicio, en tanto no hayan quedado firmes”</w:t>
      </w:r>
    </w:p>
    <w:p w:rsidR="002A27D4" w:rsidRDefault="002A27D4">
      <w:pPr>
        <w:tabs>
          <w:tab w:val="left" w:pos="8222"/>
        </w:tabs>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Por otra parte,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rsidR="002A27D4" w:rsidRDefault="00693DBF">
      <w:pPr>
        <w:numPr>
          <w:ilvl w:val="0"/>
          <w:numId w:val="6"/>
        </w:numPr>
        <w:tabs>
          <w:tab w:val="left" w:pos="8222"/>
        </w:tabs>
        <w:spacing w:line="360" w:lineRule="auto"/>
        <w:ind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divulgación de la información representa un riesgo real, demostrable e identificable de perjuicio significativo al interés público o a la seguridad nacional.</w:t>
      </w:r>
    </w:p>
    <w:p w:rsidR="002A27D4" w:rsidRDefault="00693DBF">
      <w:pPr>
        <w:numPr>
          <w:ilvl w:val="0"/>
          <w:numId w:val="6"/>
        </w:numPr>
        <w:tabs>
          <w:tab w:val="left" w:pos="8222"/>
        </w:tabs>
        <w:spacing w:line="360" w:lineRule="auto"/>
        <w:ind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riesgo de perjuicio supera el interés público general de que se difunda.</w:t>
      </w:r>
    </w:p>
    <w:p w:rsidR="002A27D4" w:rsidRDefault="00693DBF">
      <w:pPr>
        <w:numPr>
          <w:ilvl w:val="0"/>
          <w:numId w:val="6"/>
        </w:numPr>
        <w:tabs>
          <w:tab w:val="left" w:pos="8222"/>
        </w:tabs>
        <w:spacing w:line="360" w:lineRule="auto"/>
        <w:ind w:right="57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Que la limitación se adecua al principio de proporcionalidad y representa el medio menos restrictivo disponible para evitar el perjuicio.</w:t>
      </w:r>
    </w:p>
    <w:p w:rsidR="002A27D4" w:rsidRDefault="002A27D4">
      <w:pPr>
        <w:tabs>
          <w:tab w:val="left" w:pos="8222"/>
        </w:tabs>
        <w:spacing w:line="360" w:lineRule="auto"/>
        <w:ind w:left="1080" w:right="571"/>
        <w:jc w:val="both"/>
        <w:rPr>
          <w:rFonts w:ascii="Palatino Linotype" w:eastAsia="Palatino Linotype" w:hAnsi="Palatino Linotype" w:cs="Palatino Linotype"/>
          <w:sz w:val="22"/>
          <w:szCs w:val="22"/>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Es así que, al tenor de lo hasta aquí expuesto y una vez analizado por este Órgano Garante, el Acuerdo de Reserva de la Información que remitió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en su respuesta y con la finalidad de establecer si el Comité de Transparencia cumplió cabalmente con las formalidades exigidas por con el artículo 113, fracción XIII, de la Ley General de Transparencia y Acceso a la Información </w:t>
      </w:r>
      <w:r>
        <w:rPr>
          <w:rFonts w:ascii="Palatino Linotype" w:eastAsia="Palatino Linotype" w:hAnsi="Palatino Linotype" w:cs="Palatino Linotype"/>
        </w:rPr>
        <w:lastRenderedPageBreak/>
        <w:t>Pública, numeral Trigésimo Segundo, de los Lineamientos Generales en Materia de Clasificación y Desclasificación de la Información, así como para la Elaboración de Versiones Públicas, los artículos 91, 128, 129, 140, fracción XI y 141, de la Ley de Transparencia y Acceso a la Información Pública del Estado de México y Municipios, es que se procede a realizar el siguiente análisis, tomando en cuenta las documentales facilitadas por el Sujeto Obligado:</w:t>
      </w:r>
    </w:p>
    <w:p w:rsidR="002A27D4" w:rsidRDefault="002A27D4">
      <w:pPr>
        <w:tabs>
          <w:tab w:val="left" w:pos="284"/>
        </w:tabs>
        <w:spacing w:line="360" w:lineRule="auto"/>
        <w:jc w:val="both"/>
        <w:rPr>
          <w:rFonts w:ascii="Palatino Linotype" w:eastAsia="Palatino Linotype" w:hAnsi="Palatino Linotype" w:cs="Palatino Linotype"/>
          <w:color w:val="000000"/>
        </w:rPr>
      </w:pPr>
    </w:p>
    <w:tbl>
      <w:tblPr>
        <w:tblStyle w:val="Style42"/>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5"/>
        <w:gridCol w:w="1696"/>
        <w:gridCol w:w="6095"/>
      </w:tblGrid>
      <w:tr w:rsidR="002A27D4">
        <w:tc>
          <w:tcPr>
            <w:tcW w:w="1535" w:type="dxa"/>
            <w:tcBorders>
              <w:top w:val="nil"/>
              <w:left w:val="nil"/>
            </w:tcBorders>
          </w:tcPr>
          <w:p w:rsidR="002A27D4" w:rsidRDefault="002A27D4">
            <w:pPr>
              <w:spacing w:after="120"/>
              <w:ind w:left="47"/>
              <w:rPr>
                <w:b/>
                <w:color w:val="000000"/>
                <w:sz w:val="20"/>
                <w:szCs w:val="20"/>
              </w:rPr>
            </w:pPr>
          </w:p>
        </w:tc>
        <w:tc>
          <w:tcPr>
            <w:tcW w:w="1696" w:type="dxa"/>
            <w:tcBorders>
              <w:bottom w:val="single" w:sz="4" w:space="0" w:color="000000"/>
            </w:tcBorders>
            <w:shd w:val="clear" w:color="auto" w:fill="BFBFBF"/>
            <w:vAlign w:val="bottom"/>
          </w:tcPr>
          <w:p w:rsidR="002A27D4" w:rsidRDefault="00693DBF">
            <w:pPr>
              <w:spacing w:after="120"/>
              <w:ind w:left="47"/>
              <w:jc w:val="center"/>
              <w:rPr>
                <w:b/>
                <w:color w:val="000000"/>
                <w:sz w:val="20"/>
                <w:szCs w:val="20"/>
              </w:rPr>
            </w:pPr>
            <w:r>
              <w:rPr>
                <w:b/>
                <w:color w:val="000000"/>
                <w:sz w:val="20"/>
                <w:szCs w:val="20"/>
              </w:rPr>
              <w:t>Cumplió:</w:t>
            </w:r>
          </w:p>
        </w:tc>
        <w:tc>
          <w:tcPr>
            <w:tcW w:w="6095" w:type="dxa"/>
            <w:tcBorders>
              <w:bottom w:val="single" w:sz="4" w:space="0" w:color="000000"/>
            </w:tcBorders>
            <w:shd w:val="clear" w:color="auto" w:fill="BFBFBF"/>
            <w:vAlign w:val="bottom"/>
          </w:tcPr>
          <w:p w:rsidR="002A27D4" w:rsidRDefault="00693DBF">
            <w:pPr>
              <w:spacing w:after="120"/>
              <w:ind w:left="47"/>
              <w:jc w:val="center"/>
              <w:rPr>
                <w:b/>
                <w:color w:val="000000"/>
                <w:sz w:val="20"/>
                <w:szCs w:val="20"/>
              </w:rPr>
            </w:pPr>
            <w:r>
              <w:rPr>
                <w:b/>
                <w:color w:val="000000"/>
                <w:sz w:val="20"/>
                <w:szCs w:val="20"/>
              </w:rPr>
              <w:t>Contenido</w:t>
            </w:r>
          </w:p>
        </w:tc>
      </w:tr>
      <w:tr w:rsidR="002A27D4">
        <w:trPr>
          <w:trHeight w:val="903"/>
        </w:trPr>
        <w:tc>
          <w:tcPr>
            <w:tcW w:w="1535" w:type="dxa"/>
            <w:vAlign w:val="center"/>
          </w:tcPr>
          <w:p w:rsidR="002A27D4" w:rsidRDefault="00693DBF">
            <w:pPr>
              <w:spacing w:after="120"/>
              <w:jc w:val="center"/>
              <w:rPr>
                <w:b/>
                <w:sz w:val="20"/>
                <w:szCs w:val="20"/>
              </w:rPr>
            </w:pPr>
            <w:r>
              <w:rPr>
                <w:b/>
                <w:sz w:val="20"/>
                <w:szCs w:val="20"/>
              </w:rPr>
              <w:t>Número de folio de la solicitud</w:t>
            </w:r>
          </w:p>
        </w:tc>
        <w:tc>
          <w:tcPr>
            <w:tcW w:w="1696" w:type="dxa"/>
            <w:tcBorders>
              <w:top w:val="single" w:sz="4" w:space="0" w:color="000000"/>
            </w:tcBorders>
            <w:vAlign w:val="center"/>
          </w:tcPr>
          <w:p w:rsidR="002A27D4" w:rsidRDefault="00693DBF">
            <w:pPr>
              <w:spacing w:after="120"/>
              <w:ind w:left="47"/>
              <w:jc w:val="center"/>
              <w:rPr>
                <w:b/>
                <w:sz w:val="20"/>
                <w:szCs w:val="20"/>
              </w:rPr>
            </w:pPr>
            <w:r>
              <w:rPr>
                <w:b/>
                <w:sz w:val="20"/>
                <w:szCs w:val="20"/>
              </w:rPr>
              <w:t>No</w:t>
            </w:r>
          </w:p>
        </w:tc>
        <w:tc>
          <w:tcPr>
            <w:tcW w:w="6095" w:type="dxa"/>
            <w:tcBorders>
              <w:top w:val="single" w:sz="4" w:space="0" w:color="000000"/>
            </w:tcBorders>
            <w:vAlign w:val="center"/>
          </w:tcPr>
          <w:p w:rsidR="002A27D4" w:rsidRDefault="00693DBF">
            <w:pPr>
              <w:spacing w:after="120"/>
              <w:rPr>
                <w:sz w:val="20"/>
                <w:szCs w:val="20"/>
              </w:rPr>
            </w:pPr>
            <w:r>
              <w:rPr>
                <w:noProof/>
                <w:sz w:val="20"/>
                <w:szCs w:val="20"/>
                <w:lang w:eastAsia="es-MX"/>
              </w:rPr>
              <w:drawing>
                <wp:inline distT="0" distB="0" distL="0" distR="0">
                  <wp:extent cx="3733165" cy="1059180"/>
                  <wp:effectExtent l="0" t="0" r="0" b="0"/>
                  <wp:docPr id="1038481662" name="image7.png"/>
                  <wp:cNvGraphicFramePr/>
                  <a:graphic xmlns:a="http://schemas.openxmlformats.org/drawingml/2006/main">
                    <a:graphicData uri="http://schemas.openxmlformats.org/drawingml/2006/picture">
                      <pic:pic xmlns:pic="http://schemas.openxmlformats.org/drawingml/2006/picture">
                        <pic:nvPicPr>
                          <pic:cNvPr id="1038481662" name="image7.png"/>
                          <pic:cNvPicPr preferRelativeResize="0"/>
                        </pic:nvPicPr>
                        <pic:blipFill>
                          <a:blip r:embed="rId13"/>
                          <a:srcRect/>
                          <a:stretch>
                            <a:fillRect/>
                          </a:stretch>
                        </pic:blipFill>
                        <pic:spPr>
                          <a:xfrm>
                            <a:off x="0" y="0"/>
                            <a:ext cx="3733165" cy="1059180"/>
                          </a:xfrm>
                          <a:prstGeom prst="rect">
                            <a:avLst/>
                          </a:prstGeom>
                        </pic:spPr>
                      </pic:pic>
                    </a:graphicData>
                  </a:graphic>
                </wp:inline>
              </w:drawing>
            </w:r>
          </w:p>
          <w:p w:rsidR="002A27D4" w:rsidRDefault="00693DBF">
            <w:pPr>
              <w:spacing w:after="120"/>
              <w:rPr>
                <w:sz w:val="20"/>
                <w:szCs w:val="20"/>
              </w:rPr>
            </w:pPr>
            <w:r>
              <w:rPr>
                <w:noProof/>
                <w:sz w:val="20"/>
                <w:szCs w:val="20"/>
                <w:lang w:eastAsia="es-MX"/>
              </w:rPr>
              <w:drawing>
                <wp:inline distT="0" distB="0" distL="0" distR="0">
                  <wp:extent cx="3733165" cy="685165"/>
                  <wp:effectExtent l="0" t="0" r="0" b="0"/>
                  <wp:docPr id="1038481665" name="image3.png"/>
                  <wp:cNvGraphicFramePr/>
                  <a:graphic xmlns:a="http://schemas.openxmlformats.org/drawingml/2006/main">
                    <a:graphicData uri="http://schemas.openxmlformats.org/drawingml/2006/picture">
                      <pic:pic xmlns:pic="http://schemas.openxmlformats.org/drawingml/2006/picture">
                        <pic:nvPicPr>
                          <pic:cNvPr id="1038481665" name="image3.png"/>
                          <pic:cNvPicPr preferRelativeResize="0"/>
                        </pic:nvPicPr>
                        <pic:blipFill>
                          <a:blip r:embed="rId14"/>
                          <a:srcRect/>
                          <a:stretch>
                            <a:fillRect/>
                          </a:stretch>
                        </pic:blipFill>
                        <pic:spPr>
                          <a:xfrm>
                            <a:off x="0" y="0"/>
                            <a:ext cx="3733165" cy="685165"/>
                          </a:xfrm>
                          <a:prstGeom prst="rect">
                            <a:avLst/>
                          </a:prstGeom>
                        </pic:spPr>
                      </pic:pic>
                    </a:graphicData>
                  </a:graphic>
                </wp:inline>
              </w:drawing>
            </w:r>
          </w:p>
        </w:tc>
      </w:tr>
      <w:tr w:rsidR="002A27D4">
        <w:tc>
          <w:tcPr>
            <w:tcW w:w="1535" w:type="dxa"/>
            <w:vAlign w:val="center"/>
          </w:tcPr>
          <w:p w:rsidR="002A27D4" w:rsidRDefault="00693DBF">
            <w:pPr>
              <w:spacing w:after="120"/>
              <w:jc w:val="center"/>
              <w:rPr>
                <w:b/>
                <w:sz w:val="20"/>
                <w:szCs w:val="20"/>
              </w:rPr>
            </w:pPr>
            <w:r>
              <w:rPr>
                <w:b/>
                <w:sz w:val="20"/>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rsidR="002A27D4" w:rsidRDefault="00693DBF">
            <w:pPr>
              <w:spacing w:after="120"/>
              <w:ind w:left="47"/>
              <w:jc w:val="center"/>
              <w:rPr>
                <w:sz w:val="20"/>
                <w:szCs w:val="20"/>
              </w:rPr>
            </w:pPr>
            <w:r>
              <w:rPr>
                <w:b/>
                <w:sz w:val="20"/>
                <w:szCs w:val="20"/>
              </w:rPr>
              <w:t>Sí</w:t>
            </w:r>
          </w:p>
        </w:tc>
        <w:tc>
          <w:tcPr>
            <w:tcW w:w="6095" w:type="dxa"/>
            <w:vAlign w:val="center"/>
          </w:tcPr>
          <w:p w:rsidR="002A27D4" w:rsidRDefault="00693DBF">
            <w:pPr>
              <w:spacing w:after="120"/>
              <w:rPr>
                <w:sz w:val="20"/>
                <w:szCs w:val="20"/>
              </w:rPr>
            </w:pPr>
            <w:r>
              <w:rPr>
                <w:noProof/>
                <w:sz w:val="20"/>
                <w:szCs w:val="20"/>
                <w:lang w:eastAsia="es-MX"/>
              </w:rPr>
              <w:drawing>
                <wp:inline distT="0" distB="0" distL="0" distR="0">
                  <wp:extent cx="3733165" cy="1797050"/>
                  <wp:effectExtent l="0" t="0" r="0" b="0"/>
                  <wp:docPr id="1038481664" name="image4.png"/>
                  <wp:cNvGraphicFramePr/>
                  <a:graphic xmlns:a="http://schemas.openxmlformats.org/drawingml/2006/main">
                    <a:graphicData uri="http://schemas.openxmlformats.org/drawingml/2006/picture">
                      <pic:pic xmlns:pic="http://schemas.openxmlformats.org/drawingml/2006/picture">
                        <pic:nvPicPr>
                          <pic:cNvPr id="1038481664" name="image4.png"/>
                          <pic:cNvPicPr preferRelativeResize="0"/>
                        </pic:nvPicPr>
                        <pic:blipFill>
                          <a:blip r:embed="rId15"/>
                          <a:srcRect/>
                          <a:stretch>
                            <a:fillRect/>
                          </a:stretch>
                        </pic:blipFill>
                        <pic:spPr>
                          <a:xfrm>
                            <a:off x="0" y="0"/>
                            <a:ext cx="3733165" cy="1797050"/>
                          </a:xfrm>
                          <a:prstGeom prst="rect">
                            <a:avLst/>
                          </a:prstGeom>
                        </pic:spPr>
                      </pic:pic>
                    </a:graphicData>
                  </a:graphic>
                </wp:inline>
              </w:drawing>
            </w:r>
          </w:p>
        </w:tc>
      </w:tr>
      <w:tr w:rsidR="002A27D4">
        <w:tc>
          <w:tcPr>
            <w:tcW w:w="1535" w:type="dxa"/>
            <w:vAlign w:val="center"/>
          </w:tcPr>
          <w:p w:rsidR="002A27D4" w:rsidRDefault="00693DBF">
            <w:pPr>
              <w:tabs>
                <w:tab w:val="left" w:pos="317"/>
              </w:tabs>
              <w:spacing w:after="120"/>
              <w:jc w:val="center"/>
              <w:rPr>
                <w:b/>
                <w:sz w:val="20"/>
                <w:szCs w:val="20"/>
              </w:rPr>
            </w:pPr>
            <w:r>
              <w:rPr>
                <w:b/>
                <w:sz w:val="20"/>
                <w:szCs w:val="20"/>
              </w:rPr>
              <w:lastRenderedPageBreak/>
              <w:t>Fundamento y Motivación Legal</w:t>
            </w:r>
          </w:p>
        </w:tc>
        <w:tc>
          <w:tcPr>
            <w:tcW w:w="1696" w:type="dxa"/>
            <w:vAlign w:val="center"/>
          </w:tcPr>
          <w:p w:rsidR="002A27D4" w:rsidRDefault="00693DBF">
            <w:pPr>
              <w:spacing w:after="120"/>
              <w:ind w:left="47"/>
              <w:jc w:val="center"/>
              <w:rPr>
                <w:b/>
                <w:sz w:val="20"/>
                <w:szCs w:val="20"/>
              </w:rPr>
            </w:pPr>
            <w:r>
              <w:rPr>
                <w:b/>
                <w:sz w:val="20"/>
                <w:szCs w:val="20"/>
              </w:rPr>
              <w:t>No</w:t>
            </w:r>
          </w:p>
        </w:tc>
        <w:tc>
          <w:tcPr>
            <w:tcW w:w="6095" w:type="dxa"/>
            <w:vAlign w:val="center"/>
          </w:tcPr>
          <w:p w:rsidR="002A27D4" w:rsidRDefault="00693DBF">
            <w:pPr>
              <w:spacing w:after="120"/>
              <w:rPr>
                <w:b/>
                <w:sz w:val="20"/>
                <w:szCs w:val="20"/>
              </w:rPr>
            </w:pPr>
            <w:r>
              <w:rPr>
                <w:b/>
                <w:noProof/>
                <w:sz w:val="20"/>
                <w:szCs w:val="20"/>
                <w:lang w:eastAsia="es-MX"/>
              </w:rPr>
              <w:drawing>
                <wp:inline distT="0" distB="0" distL="0" distR="0">
                  <wp:extent cx="3733165" cy="771525"/>
                  <wp:effectExtent l="0" t="0" r="0" b="0"/>
                  <wp:docPr id="1038481667" name="image9.png"/>
                  <wp:cNvGraphicFramePr/>
                  <a:graphic xmlns:a="http://schemas.openxmlformats.org/drawingml/2006/main">
                    <a:graphicData uri="http://schemas.openxmlformats.org/drawingml/2006/picture">
                      <pic:pic xmlns:pic="http://schemas.openxmlformats.org/drawingml/2006/picture">
                        <pic:nvPicPr>
                          <pic:cNvPr id="1038481667" name="image9.png"/>
                          <pic:cNvPicPr preferRelativeResize="0"/>
                        </pic:nvPicPr>
                        <pic:blipFill>
                          <a:blip r:embed="rId16"/>
                          <a:srcRect/>
                          <a:stretch>
                            <a:fillRect/>
                          </a:stretch>
                        </pic:blipFill>
                        <pic:spPr>
                          <a:xfrm>
                            <a:off x="0" y="0"/>
                            <a:ext cx="3733165" cy="771525"/>
                          </a:xfrm>
                          <a:prstGeom prst="rect">
                            <a:avLst/>
                          </a:prstGeom>
                        </pic:spPr>
                      </pic:pic>
                    </a:graphicData>
                  </a:graphic>
                </wp:inline>
              </w:drawing>
            </w:r>
          </w:p>
          <w:p w:rsidR="002A27D4" w:rsidRDefault="00693DBF">
            <w:pPr>
              <w:spacing w:after="120"/>
              <w:rPr>
                <w:b/>
                <w:sz w:val="20"/>
                <w:szCs w:val="20"/>
              </w:rPr>
            </w:pPr>
            <w:r>
              <w:rPr>
                <w:b/>
                <w:noProof/>
                <w:sz w:val="20"/>
                <w:szCs w:val="20"/>
                <w:lang w:eastAsia="es-MX"/>
              </w:rPr>
              <w:drawing>
                <wp:inline distT="0" distB="0" distL="0" distR="0">
                  <wp:extent cx="3733165" cy="845185"/>
                  <wp:effectExtent l="0" t="0" r="0" b="0"/>
                  <wp:docPr id="1038481666" name="image1.png"/>
                  <wp:cNvGraphicFramePr/>
                  <a:graphic xmlns:a="http://schemas.openxmlformats.org/drawingml/2006/main">
                    <a:graphicData uri="http://schemas.openxmlformats.org/drawingml/2006/picture">
                      <pic:pic xmlns:pic="http://schemas.openxmlformats.org/drawingml/2006/picture">
                        <pic:nvPicPr>
                          <pic:cNvPr id="1038481666" name="image1.png"/>
                          <pic:cNvPicPr preferRelativeResize="0"/>
                        </pic:nvPicPr>
                        <pic:blipFill>
                          <a:blip r:embed="rId17"/>
                          <a:srcRect/>
                          <a:stretch>
                            <a:fillRect/>
                          </a:stretch>
                        </pic:blipFill>
                        <pic:spPr>
                          <a:xfrm>
                            <a:off x="0" y="0"/>
                            <a:ext cx="3733165" cy="845185"/>
                          </a:xfrm>
                          <a:prstGeom prst="rect">
                            <a:avLst/>
                          </a:prstGeom>
                        </pic:spPr>
                      </pic:pic>
                    </a:graphicData>
                  </a:graphic>
                </wp:inline>
              </w:drawing>
            </w:r>
          </w:p>
        </w:tc>
      </w:tr>
      <w:tr w:rsidR="002A27D4">
        <w:trPr>
          <w:trHeight w:val="3109"/>
        </w:trPr>
        <w:tc>
          <w:tcPr>
            <w:tcW w:w="1535" w:type="dxa"/>
            <w:vAlign w:val="center"/>
          </w:tcPr>
          <w:p w:rsidR="002A27D4" w:rsidRDefault="00693DBF">
            <w:pPr>
              <w:spacing w:after="120"/>
              <w:jc w:val="center"/>
              <w:rPr>
                <w:b/>
                <w:sz w:val="20"/>
                <w:szCs w:val="20"/>
              </w:rPr>
            </w:pPr>
            <w:r>
              <w:rPr>
                <w:b/>
                <w:sz w:val="20"/>
                <w:szCs w:val="20"/>
              </w:rPr>
              <w:t>Conexión entre los fundamentos y motivos que dieron origen a la Reserva de la información</w:t>
            </w:r>
          </w:p>
        </w:tc>
        <w:tc>
          <w:tcPr>
            <w:tcW w:w="1696" w:type="dxa"/>
            <w:vAlign w:val="center"/>
          </w:tcPr>
          <w:p w:rsidR="002A27D4" w:rsidRDefault="00693DBF">
            <w:pPr>
              <w:spacing w:after="120"/>
              <w:ind w:left="47"/>
              <w:jc w:val="center"/>
              <w:rPr>
                <w:b/>
                <w:sz w:val="20"/>
                <w:szCs w:val="20"/>
              </w:rPr>
            </w:pPr>
            <w:r>
              <w:rPr>
                <w:b/>
                <w:sz w:val="20"/>
                <w:szCs w:val="20"/>
              </w:rPr>
              <w:t>Sí</w:t>
            </w:r>
          </w:p>
        </w:tc>
        <w:tc>
          <w:tcPr>
            <w:tcW w:w="6095" w:type="dxa"/>
            <w:vAlign w:val="center"/>
          </w:tcPr>
          <w:p w:rsidR="002A27D4" w:rsidRDefault="00693DBF">
            <w:pPr>
              <w:rPr>
                <w:sz w:val="20"/>
                <w:szCs w:val="20"/>
              </w:rPr>
            </w:pPr>
            <w:r>
              <w:rPr>
                <w:noProof/>
                <w:sz w:val="20"/>
                <w:szCs w:val="20"/>
                <w:lang w:eastAsia="es-MX"/>
              </w:rPr>
              <w:drawing>
                <wp:inline distT="0" distB="0" distL="0" distR="0">
                  <wp:extent cx="3733165" cy="1056640"/>
                  <wp:effectExtent l="0" t="0" r="0" b="0"/>
                  <wp:docPr id="1038481669" name="image6.png"/>
                  <wp:cNvGraphicFramePr/>
                  <a:graphic xmlns:a="http://schemas.openxmlformats.org/drawingml/2006/main">
                    <a:graphicData uri="http://schemas.openxmlformats.org/drawingml/2006/picture">
                      <pic:pic xmlns:pic="http://schemas.openxmlformats.org/drawingml/2006/picture">
                        <pic:nvPicPr>
                          <pic:cNvPr id="1038481669" name="image6.png"/>
                          <pic:cNvPicPr preferRelativeResize="0"/>
                        </pic:nvPicPr>
                        <pic:blipFill>
                          <a:blip r:embed="rId18"/>
                          <a:srcRect/>
                          <a:stretch>
                            <a:fillRect/>
                          </a:stretch>
                        </pic:blipFill>
                        <pic:spPr>
                          <a:xfrm>
                            <a:off x="0" y="0"/>
                            <a:ext cx="3733165" cy="1056640"/>
                          </a:xfrm>
                          <a:prstGeom prst="rect">
                            <a:avLst/>
                          </a:prstGeom>
                        </pic:spPr>
                      </pic:pic>
                    </a:graphicData>
                  </a:graphic>
                </wp:inline>
              </w:drawing>
            </w:r>
          </w:p>
          <w:p w:rsidR="002A27D4" w:rsidRDefault="00693DBF">
            <w:pPr>
              <w:rPr>
                <w:sz w:val="20"/>
                <w:szCs w:val="20"/>
              </w:rPr>
            </w:pPr>
            <w:r>
              <w:rPr>
                <w:noProof/>
                <w:sz w:val="20"/>
                <w:szCs w:val="20"/>
                <w:lang w:eastAsia="es-MX"/>
              </w:rPr>
              <w:drawing>
                <wp:inline distT="0" distB="0" distL="0" distR="0">
                  <wp:extent cx="3733165" cy="1309370"/>
                  <wp:effectExtent l="0" t="0" r="0" b="0"/>
                  <wp:docPr id="1038481668" name="image11.png"/>
                  <wp:cNvGraphicFramePr/>
                  <a:graphic xmlns:a="http://schemas.openxmlformats.org/drawingml/2006/main">
                    <a:graphicData uri="http://schemas.openxmlformats.org/drawingml/2006/picture">
                      <pic:pic xmlns:pic="http://schemas.openxmlformats.org/drawingml/2006/picture">
                        <pic:nvPicPr>
                          <pic:cNvPr id="1038481668" name="image11.png"/>
                          <pic:cNvPicPr preferRelativeResize="0"/>
                        </pic:nvPicPr>
                        <pic:blipFill>
                          <a:blip r:embed="rId19"/>
                          <a:srcRect/>
                          <a:stretch>
                            <a:fillRect/>
                          </a:stretch>
                        </pic:blipFill>
                        <pic:spPr>
                          <a:xfrm>
                            <a:off x="0" y="0"/>
                            <a:ext cx="3733165" cy="1309370"/>
                          </a:xfrm>
                          <a:prstGeom prst="rect">
                            <a:avLst/>
                          </a:prstGeom>
                        </pic:spPr>
                      </pic:pic>
                    </a:graphicData>
                  </a:graphic>
                </wp:inline>
              </w:drawing>
            </w:r>
          </w:p>
        </w:tc>
      </w:tr>
      <w:tr w:rsidR="002A27D4">
        <w:tc>
          <w:tcPr>
            <w:tcW w:w="9326" w:type="dxa"/>
            <w:gridSpan w:val="3"/>
            <w:shd w:val="clear" w:color="auto" w:fill="D9D9D9"/>
            <w:vAlign w:val="center"/>
          </w:tcPr>
          <w:p w:rsidR="002A27D4" w:rsidRDefault="00693DBF">
            <w:pPr>
              <w:spacing w:after="120"/>
              <w:ind w:left="29" w:firstLine="18"/>
              <w:jc w:val="center"/>
              <w:rPr>
                <w:color w:val="000000"/>
                <w:sz w:val="20"/>
                <w:szCs w:val="20"/>
              </w:rPr>
            </w:pPr>
            <w:r>
              <w:rPr>
                <w:b/>
                <w:color w:val="000000"/>
                <w:sz w:val="20"/>
                <w:szCs w:val="20"/>
              </w:rPr>
              <w:t>Prueba de Daño</w:t>
            </w:r>
          </w:p>
        </w:tc>
      </w:tr>
      <w:tr w:rsidR="002A27D4">
        <w:trPr>
          <w:trHeight w:val="4667"/>
        </w:trPr>
        <w:tc>
          <w:tcPr>
            <w:tcW w:w="1535" w:type="dxa"/>
            <w:vAlign w:val="center"/>
          </w:tcPr>
          <w:p w:rsidR="002A27D4" w:rsidRDefault="00693DBF">
            <w:pPr>
              <w:spacing w:after="120"/>
              <w:jc w:val="center"/>
              <w:rPr>
                <w:b/>
                <w:sz w:val="20"/>
                <w:szCs w:val="20"/>
              </w:rPr>
            </w:pPr>
            <w:r>
              <w:rPr>
                <w:b/>
                <w:sz w:val="20"/>
                <w:szCs w:val="20"/>
              </w:rPr>
              <w:t>Riesgo Real, Demostrable e Identificable</w:t>
            </w:r>
          </w:p>
          <w:p w:rsidR="002A27D4" w:rsidRDefault="00693DBF">
            <w:pPr>
              <w:spacing w:after="120"/>
              <w:jc w:val="center"/>
              <w:rPr>
                <w:b/>
                <w:sz w:val="20"/>
                <w:szCs w:val="20"/>
              </w:rPr>
            </w:pPr>
            <w:r>
              <w:rPr>
                <w:b/>
                <w:sz w:val="20"/>
                <w:szCs w:val="20"/>
              </w:rPr>
              <w:t>(Modo, Tiempo y Lugar)</w:t>
            </w:r>
          </w:p>
        </w:tc>
        <w:tc>
          <w:tcPr>
            <w:tcW w:w="1696" w:type="dxa"/>
            <w:vAlign w:val="center"/>
          </w:tcPr>
          <w:p w:rsidR="002A27D4" w:rsidRDefault="00693DBF">
            <w:pPr>
              <w:spacing w:after="120"/>
              <w:jc w:val="center"/>
              <w:rPr>
                <w:b/>
                <w:sz w:val="20"/>
                <w:szCs w:val="20"/>
              </w:rPr>
            </w:pPr>
            <w:r>
              <w:rPr>
                <w:b/>
                <w:sz w:val="20"/>
                <w:szCs w:val="20"/>
              </w:rPr>
              <w:t>Sí</w:t>
            </w:r>
          </w:p>
        </w:tc>
        <w:tc>
          <w:tcPr>
            <w:tcW w:w="6095" w:type="dxa"/>
            <w:vAlign w:val="center"/>
          </w:tcPr>
          <w:p w:rsidR="002A27D4" w:rsidRDefault="00693DBF">
            <w:pPr>
              <w:rPr>
                <w:sz w:val="20"/>
                <w:szCs w:val="20"/>
              </w:rPr>
            </w:pPr>
            <w:r>
              <w:rPr>
                <w:noProof/>
                <w:sz w:val="20"/>
                <w:szCs w:val="20"/>
                <w:lang w:eastAsia="es-MX"/>
              </w:rPr>
              <w:drawing>
                <wp:inline distT="0" distB="0" distL="0" distR="0">
                  <wp:extent cx="3733165" cy="2381250"/>
                  <wp:effectExtent l="0" t="0" r="0" b="0"/>
                  <wp:docPr id="1038481672" name="image2.png"/>
                  <wp:cNvGraphicFramePr/>
                  <a:graphic xmlns:a="http://schemas.openxmlformats.org/drawingml/2006/main">
                    <a:graphicData uri="http://schemas.openxmlformats.org/drawingml/2006/picture">
                      <pic:pic xmlns:pic="http://schemas.openxmlformats.org/drawingml/2006/picture">
                        <pic:nvPicPr>
                          <pic:cNvPr id="1038481672" name="image2.png"/>
                          <pic:cNvPicPr preferRelativeResize="0"/>
                        </pic:nvPicPr>
                        <pic:blipFill>
                          <a:blip r:embed="rId20"/>
                          <a:srcRect/>
                          <a:stretch>
                            <a:fillRect/>
                          </a:stretch>
                        </pic:blipFill>
                        <pic:spPr>
                          <a:xfrm>
                            <a:off x="0" y="0"/>
                            <a:ext cx="3733165" cy="2381250"/>
                          </a:xfrm>
                          <a:prstGeom prst="rect">
                            <a:avLst/>
                          </a:prstGeom>
                        </pic:spPr>
                      </pic:pic>
                    </a:graphicData>
                  </a:graphic>
                </wp:inline>
              </w:drawing>
            </w:r>
          </w:p>
          <w:p w:rsidR="002A27D4" w:rsidRDefault="002A27D4">
            <w:pPr>
              <w:rPr>
                <w:sz w:val="20"/>
                <w:szCs w:val="20"/>
              </w:rPr>
            </w:pPr>
          </w:p>
          <w:p w:rsidR="002A27D4" w:rsidRDefault="002A27D4">
            <w:pPr>
              <w:rPr>
                <w:sz w:val="20"/>
                <w:szCs w:val="20"/>
              </w:rPr>
            </w:pPr>
          </w:p>
        </w:tc>
      </w:tr>
      <w:tr w:rsidR="002A27D4">
        <w:trPr>
          <w:trHeight w:val="1308"/>
        </w:trPr>
        <w:tc>
          <w:tcPr>
            <w:tcW w:w="1535" w:type="dxa"/>
            <w:vAlign w:val="center"/>
          </w:tcPr>
          <w:p w:rsidR="002A27D4" w:rsidRDefault="00693DBF">
            <w:pPr>
              <w:spacing w:after="120"/>
              <w:jc w:val="center"/>
              <w:rPr>
                <w:b/>
                <w:sz w:val="20"/>
                <w:szCs w:val="20"/>
              </w:rPr>
            </w:pPr>
            <w:r>
              <w:rPr>
                <w:b/>
                <w:sz w:val="20"/>
                <w:szCs w:val="20"/>
              </w:rPr>
              <w:lastRenderedPageBreak/>
              <w:t>Temporalidad de la Reserva de la información</w:t>
            </w:r>
          </w:p>
        </w:tc>
        <w:tc>
          <w:tcPr>
            <w:tcW w:w="1696" w:type="dxa"/>
            <w:shd w:val="clear" w:color="auto" w:fill="auto"/>
            <w:vAlign w:val="center"/>
          </w:tcPr>
          <w:p w:rsidR="002A27D4" w:rsidRDefault="00693DBF">
            <w:pPr>
              <w:spacing w:after="120"/>
              <w:jc w:val="center"/>
              <w:rPr>
                <w:b/>
                <w:sz w:val="20"/>
                <w:szCs w:val="20"/>
              </w:rPr>
            </w:pPr>
            <w:r>
              <w:rPr>
                <w:b/>
                <w:sz w:val="20"/>
                <w:szCs w:val="20"/>
              </w:rPr>
              <w:t>Sí</w:t>
            </w:r>
          </w:p>
        </w:tc>
        <w:tc>
          <w:tcPr>
            <w:tcW w:w="6095" w:type="dxa"/>
            <w:vAlign w:val="center"/>
          </w:tcPr>
          <w:p w:rsidR="002A27D4" w:rsidRDefault="002A27D4">
            <w:pPr>
              <w:spacing w:after="120"/>
              <w:rPr>
                <w:b/>
                <w:sz w:val="20"/>
                <w:szCs w:val="20"/>
              </w:rPr>
            </w:pPr>
          </w:p>
          <w:p w:rsidR="002A27D4" w:rsidRDefault="00693DBF">
            <w:pPr>
              <w:spacing w:after="120"/>
              <w:rPr>
                <w:b/>
                <w:sz w:val="20"/>
                <w:szCs w:val="20"/>
              </w:rPr>
            </w:pPr>
            <w:r>
              <w:rPr>
                <w:b/>
                <w:noProof/>
                <w:sz w:val="20"/>
                <w:szCs w:val="20"/>
                <w:lang w:eastAsia="es-MX"/>
              </w:rPr>
              <w:drawing>
                <wp:inline distT="0" distB="0" distL="0" distR="0">
                  <wp:extent cx="3733165" cy="1069340"/>
                  <wp:effectExtent l="0" t="0" r="0" b="0"/>
                  <wp:docPr id="1038481670" name="image13.png"/>
                  <wp:cNvGraphicFramePr/>
                  <a:graphic xmlns:a="http://schemas.openxmlformats.org/drawingml/2006/main">
                    <a:graphicData uri="http://schemas.openxmlformats.org/drawingml/2006/picture">
                      <pic:pic xmlns:pic="http://schemas.openxmlformats.org/drawingml/2006/picture">
                        <pic:nvPicPr>
                          <pic:cNvPr id="1038481670" name="image13.png"/>
                          <pic:cNvPicPr preferRelativeResize="0"/>
                        </pic:nvPicPr>
                        <pic:blipFill>
                          <a:blip r:embed="rId21"/>
                          <a:srcRect/>
                          <a:stretch>
                            <a:fillRect/>
                          </a:stretch>
                        </pic:blipFill>
                        <pic:spPr>
                          <a:xfrm>
                            <a:off x="0" y="0"/>
                            <a:ext cx="3733165" cy="1069340"/>
                          </a:xfrm>
                          <a:prstGeom prst="rect">
                            <a:avLst/>
                          </a:prstGeom>
                        </pic:spPr>
                      </pic:pic>
                    </a:graphicData>
                  </a:graphic>
                </wp:inline>
              </w:drawing>
            </w:r>
          </w:p>
        </w:tc>
      </w:tr>
      <w:tr w:rsidR="002A27D4">
        <w:trPr>
          <w:trHeight w:val="3517"/>
        </w:trPr>
        <w:tc>
          <w:tcPr>
            <w:tcW w:w="1535" w:type="dxa"/>
            <w:vAlign w:val="center"/>
          </w:tcPr>
          <w:p w:rsidR="002A27D4" w:rsidRDefault="00693DBF">
            <w:pPr>
              <w:tabs>
                <w:tab w:val="left" w:pos="317"/>
              </w:tabs>
              <w:spacing w:after="120"/>
              <w:jc w:val="center"/>
              <w:rPr>
                <w:b/>
                <w:sz w:val="20"/>
                <w:szCs w:val="20"/>
              </w:rPr>
            </w:pPr>
            <w:r>
              <w:rPr>
                <w:b/>
                <w:sz w:val="20"/>
                <w:szCs w:val="20"/>
              </w:rPr>
              <w:t>Autoridades competentes.</w:t>
            </w:r>
          </w:p>
        </w:tc>
        <w:tc>
          <w:tcPr>
            <w:tcW w:w="1696" w:type="dxa"/>
            <w:vAlign w:val="center"/>
          </w:tcPr>
          <w:p w:rsidR="002A27D4" w:rsidRDefault="002A27D4">
            <w:pPr>
              <w:tabs>
                <w:tab w:val="left" w:pos="317"/>
              </w:tabs>
              <w:spacing w:after="120"/>
              <w:jc w:val="center"/>
              <w:rPr>
                <w:b/>
                <w:sz w:val="20"/>
                <w:szCs w:val="20"/>
              </w:rPr>
            </w:pPr>
          </w:p>
        </w:tc>
        <w:tc>
          <w:tcPr>
            <w:tcW w:w="6095" w:type="dxa"/>
            <w:vAlign w:val="center"/>
          </w:tcPr>
          <w:p w:rsidR="002A27D4" w:rsidRDefault="00693DBF">
            <w:pPr>
              <w:tabs>
                <w:tab w:val="left" w:pos="317"/>
              </w:tabs>
              <w:spacing w:after="120"/>
              <w:jc w:val="center"/>
              <w:rPr>
                <w:b/>
                <w:sz w:val="20"/>
                <w:szCs w:val="20"/>
              </w:rPr>
            </w:pPr>
            <w:r>
              <w:rPr>
                <w:b/>
                <w:noProof/>
                <w:sz w:val="20"/>
                <w:szCs w:val="20"/>
                <w:lang w:eastAsia="es-MX"/>
              </w:rPr>
              <w:drawing>
                <wp:inline distT="0" distB="0" distL="0" distR="0">
                  <wp:extent cx="3733165" cy="1864360"/>
                  <wp:effectExtent l="0" t="0" r="0" b="0"/>
                  <wp:docPr id="1038481671" name="image10.png"/>
                  <wp:cNvGraphicFramePr/>
                  <a:graphic xmlns:a="http://schemas.openxmlformats.org/drawingml/2006/main">
                    <a:graphicData uri="http://schemas.openxmlformats.org/drawingml/2006/picture">
                      <pic:pic xmlns:pic="http://schemas.openxmlformats.org/drawingml/2006/picture">
                        <pic:nvPicPr>
                          <pic:cNvPr id="1038481671" name="image10.png"/>
                          <pic:cNvPicPr preferRelativeResize="0"/>
                        </pic:nvPicPr>
                        <pic:blipFill>
                          <a:blip r:embed="rId22"/>
                          <a:srcRect/>
                          <a:stretch>
                            <a:fillRect/>
                          </a:stretch>
                        </pic:blipFill>
                        <pic:spPr>
                          <a:xfrm>
                            <a:off x="0" y="0"/>
                            <a:ext cx="3733165" cy="1864360"/>
                          </a:xfrm>
                          <a:prstGeom prst="rect">
                            <a:avLst/>
                          </a:prstGeom>
                        </pic:spPr>
                      </pic:pic>
                    </a:graphicData>
                  </a:graphic>
                </wp:inline>
              </w:drawing>
            </w:r>
          </w:p>
        </w:tc>
      </w:tr>
    </w:tbl>
    <w:p w:rsidR="002A27D4" w:rsidRDefault="002A27D4">
      <w:pPr>
        <w:tabs>
          <w:tab w:val="left" w:pos="284"/>
        </w:tabs>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Avanzando en estudio, es importante reiterar que el estudio se centra en determinar si las documentales requeridas por el solicitante son susceptibles de ser reservadas conforme a lo manifestado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Es así que, posterior al análisis de los acuerdos SCYTUR/CT/EXTE-26/AC-002/2023 y SCYTUR/CT/EXTE-27/AC-001/2023 por medio del cual el Comité de Transparencia de la Secretaría de Cultura y Turismo  aprueba la clasificación como información reservada por un  año las actas de entrega recepción y sus anexos de la Secretaría Particular  y </w:t>
      </w:r>
      <w:r>
        <w:rPr>
          <w:rFonts w:ascii="Palatino Linotype" w:eastAsia="Palatino Linotype" w:hAnsi="Palatino Linotype" w:cs="Palatino Linotype"/>
          <w:color w:val="000000"/>
          <w:sz w:val="22"/>
          <w:szCs w:val="22"/>
        </w:rPr>
        <w:t xml:space="preserve">Coordinación Administrativa  </w:t>
      </w:r>
      <w:r>
        <w:rPr>
          <w:rFonts w:ascii="Palatino Linotype" w:eastAsia="Palatino Linotype" w:hAnsi="Palatino Linotype" w:cs="Palatino Linotype"/>
        </w:rPr>
        <w:t xml:space="preserve">requeridos en la solicitud 00720/SCTUR/IP/2023 y 00718/SCTUR/IP/2023 se advirtió que el </w:t>
      </w:r>
      <w:r>
        <w:rPr>
          <w:rFonts w:ascii="Palatino Linotype" w:eastAsia="Palatino Linotype" w:hAnsi="Palatino Linotype" w:cs="Palatino Linotype"/>
          <w:b/>
        </w:rPr>
        <w:t xml:space="preserve">SUJETO OBLIGADO remite a un acuerdo de clasificación de la información como reservada, el  cual no corresponde con la solicitud de información </w:t>
      </w:r>
      <w:r>
        <w:rPr>
          <w:rFonts w:ascii="Palatino Linotype" w:eastAsia="Palatino Linotype" w:hAnsi="Palatino Linotype" w:cs="Palatino Linotype"/>
        </w:rPr>
        <w:t xml:space="preserve"> que se analiza en el presente </w:t>
      </w:r>
      <w:r>
        <w:rPr>
          <w:rFonts w:ascii="Palatino Linotype" w:eastAsia="Palatino Linotype" w:hAnsi="Palatino Linotype" w:cs="Palatino Linotype"/>
        </w:rPr>
        <w:lastRenderedPageBreak/>
        <w:t xml:space="preserve">recurso, por lo que dicho acuerdo no cumple con la clasificación de la información como reservada para el presente asunto. </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Ahora bien el </w:t>
      </w:r>
      <w:r>
        <w:rPr>
          <w:rFonts w:ascii="Palatino Linotype" w:eastAsia="Palatino Linotype" w:hAnsi="Palatino Linotype" w:cs="Palatino Linotype"/>
          <w:b/>
        </w:rPr>
        <w:t>SUJETO OBLIGADO</w:t>
      </w:r>
      <w:r>
        <w:rPr>
          <w:rFonts w:ascii="Palatino Linotype" w:eastAsia="Palatino Linotype" w:hAnsi="Palatino Linotype" w:cs="Palatino Linotype"/>
        </w:rPr>
        <w:t>, realizó la prueba de daño y precisó las razones por las cuales la apertura de la información generaría una afectación, sin embargo, no está debidamente fundado y motivado aplicable al caso en concreto. 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w:t>
      </w:r>
    </w:p>
    <w:p w:rsidR="002A27D4" w:rsidRDefault="002A27D4">
      <w:pPr>
        <w:tabs>
          <w:tab w:val="left" w:pos="284"/>
        </w:tabs>
        <w:spacing w:line="360" w:lineRule="auto"/>
        <w:jc w:val="both"/>
        <w:rPr>
          <w:rFonts w:ascii="Palatino Linotype" w:eastAsia="Palatino Linotype" w:hAnsi="Palatino Linotype" w:cs="Palatino Linotype"/>
          <w:b/>
          <w:color w:val="000000"/>
        </w:rPr>
      </w:pPr>
    </w:p>
    <w:p w:rsidR="002A27D4" w:rsidRDefault="00693DBF">
      <w:pPr>
        <w:numPr>
          <w:ilvl w:val="0"/>
          <w:numId w:val="2"/>
        </w:numPr>
        <w:tabs>
          <w:tab w:val="left" w:pos="284"/>
        </w:tabs>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w:t>
      </w:r>
      <w:r>
        <w:rPr>
          <w:rFonts w:ascii="Palatino Linotype" w:eastAsia="Palatino Linotype" w:hAnsi="Palatino Linotype" w:cs="Palatino Linotype"/>
        </w:rPr>
        <w:t>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Tal criterio se advierte de la tesis jurisprudencial I.4o.A. J/43, sustentada por el Cuarto Tribunal en Materia Administrativa del Primer Circuito, publicada en la página 1531 del Tomo XXIII, Mayo de 2006, del Semanario Judicial de la Federación y su Gaceta correspondiente a la Novena Época, que dice: </w:t>
      </w:r>
    </w:p>
    <w:p w:rsidR="002A27D4" w:rsidRDefault="00693DBF">
      <w:pPr>
        <w:spacing w:line="276" w:lineRule="auto"/>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w:t>
      </w:r>
      <w:r>
        <w:rPr>
          <w:rFonts w:ascii="Palatino Linotype" w:eastAsia="Palatino Linotype" w:hAnsi="Palatino Linotype" w:cs="Palatino Linotype"/>
          <w:i/>
          <w:color w:val="000000"/>
          <w:sz w:val="22"/>
          <w:szCs w:val="22"/>
        </w:rPr>
        <w:lastRenderedPageBreak/>
        <w:t>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2A27D4" w:rsidRDefault="002A27D4">
      <w:pPr>
        <w:spacing w:line="276" w:lineRule="auto"/>
        <w:ind w:left="720"/>
        <w:jc w:val="both"/>
        <w:rPr>
          <w:rFonts w:ascii="Palatino Linotype" w:eastAsia="Palatino Linotype" w:hAnsi="Palatino Linotype" w:cs="Palatino Linotype"/>
          <w:i/>
          <w:color w:val="000000"/>
          <w:sz w:val="22"/>
          <w:szCs w:val="22"/>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Expuesto lo anterior, y conforme a la reserva de la información contenida en el Acta de la Vigésima Séptima Sesión Extraordinaria del Comité de Transparencia de la Secretaría de Cultura y Turismo del Gobierno del Estado, se advierte que el sujeto obligado no fundó y motivó adecuadamente la reserva de la información </w:t>
      </w: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Las actas de entrega-recepción no pueden clasificarse como reservadas debido a que son documentos que reflejan el ejercicio de funciones públicas y están directamente relacionadas con la transparencia y rendición de cuentas, principios fundamentales establecidos en la normativa de acceso a la información pública. De acuerdo con la Ley de Transparencia y Acceso a la Información Pública del Estado de México, este tipo de documentos contienen información que permite verificar la correcta gestión de los recursos públicos y la continuidad administrativa, lo cual es de interés general.</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Clasificarlas como reservadas contravenir los principios de publicidad y máxima difusión de la información, salvo que incluyan datos específicos protegidos por otras disposiciones legales, como información personal sensible o datos que </w:t>
      </w:r>
      <w:r>
        <w:rPr>
          <w:rFonts w:ascii="Palatino Linotype" w:eastAsia="Palatino Linotype" w:hAnsi="Palatino Linotype" w:cs="Palatino Linotype"/>
        </w:rPr>
        <w:lastRenderedPageBreak/>
        <w:t>puedan comprometer la seguridad pública o la defensa nacional. En todo caso, la reserva de información debe estar debidamente justificada conforme a los criterios establecidos en la ley y solo por un tiempo determinado.</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Las </w:t>
      </w:r>
      <w:r>
        <w:rPr>
          <w:rFonts w:ascii="Palatino Linotype" w:eastAsia="Palatino Linotype" w:hAnsi="Palatino Linotype" w:cs="Palatino Linotype"/>
          <w:b/>
        </w:rPr>
        <w:t>actas de entrega-recepción</w:t>
      </w:r>
      <w:r>
        <w:rPr>
          <w:rFonts w:ascii="Palatino Linotype" w:eastAsia="Palatino Linotype" w:hAnsi="Palatino Linotype" w:cs="Palatino Linotype"/>
        </w:rPr>
        <w:t xml:space="preserve">, así como en otras entidades federativas, suelen ser documentos públicos debido a su naturaleza en procesos de </w:t>
      </w:r>
      <w:r>
        <w:rPr>
          <w:rFonts w:ascii="Palatino Linotype" w:eastAsia="Palatino Linotype" w:hAnsi="Palatino Linotype" w:cs="Palatino Linotype"/>
          <w:b/>
        </w:rPr>
        <w:t>transparencia y rendición de cuentas</w:t>
      </w:r>
      <w:r>
        <w:rPr>
          <w:rFonts w:ascii="Palatino Linotype" w:eastAsia="Palatino Linotype" w:hAnsi="Palatino Linotype" w:cs="Palatino Linotype"/>
        </w:rPr>
        <w:t>. Estos documentos son fundamentales para garantizar que los bienes, recursos y responsabilidades de las administraciones salientes sean transferidos de manera adecuada a las nuevas administraciones. Entre alguno de los motivos por los que no se considera dable reservar la información, son:</w:t>
      </w:r>
    </w:p>
    <w:p w:rsidR="002A27D4" w:rsidRDefault="002A27D4">
      <w:pPr>
        <w:ind w:left="720"/>
        <w:rPr>
          <w:rFonts w:ascii="Palatino Linotype" w:eastAsia="Palatino Linotype" w:hAnsi="Palatino Linotype" w:cs="Palatino Linotype"/>
          <w:color w:val="000000"/>
        </w:rPr>
      </w:pP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1"/>
        </w:numPr>
        <w:spacing w:line="360" w:lineRule="auto"/>
        <w:ind w:left="1276"/>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Transparencia y rendición de cuentas:</w:t>
      </w:r>
      <w:r>
        <w:rPr>
          <w:rFonts w:ascii="Palatino Linotype" w:eastAsia="Palatino Linotype" w:hAnsi="Palatino Linotype" w:cs="Palatino Linotype"/>
          <w:sz w:val="22"/>
          <w:szCs w:val="22"/>
        </w:rPr>
        <w:t xml:space="preserve"> Las actas de entrega-recepción son esenciales para garantizar que los ciudadanos puedan verificar el uso y manejo de los recursos públicos. Al ser accesibles, se promueve la supervisión pública sobre la gestión de las administraciones.</w:t>
      </w:r>
    </w:p>
    <w:p w:rsidR="002A27D4" w:rsidRDefault="00693DBF">
      <w:pPr>
        <w:numPr>
          <w:ilvl w:val="0"/>
          <w:numId w:val="1"/>
        </w:numPr>
        <w:spacing w:line="360" w:lineRule="auto"/>
        <w:ind w:left="1276"/>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Prevención de la corrupción:</w:t>
      </w:r>
      <w:r>
        <w:rPr>
          <w:rFonts w:ascii="Palatino Linotype" w:eastAsia="Palatino Linotype" w:hAnsi="Palatino Linotype" w:cs="Palatino Linotype"/>
          <w:sz w:val="22"/>
          <w:szCs w:val="22"/>
        </w:rPr>
        <w:t xml:space="preserve"> La apertura de estos documentos permite detectar posibles irregularidades o malos manejos en la administración saliente. Mantener estas actas públicas desalienta actos de corrupción, ya que todos los ciudadanos pueden acceder a ellas y cuestionar cualquier anomalía.</w:t>
      </w:r>
    </w:p>
    <w:p w:rsidR="002A27D4" w:rsidRDefault="00693DBF">
      <w:pPr>
        <w:numPr>
          <w:ilvl w:val="0"/>
          <w:numId w:val="1"/>
        </w:numPr>
        <w:spacing w:line="360" w:lineRule="auto"/>
        <w:ind w:left="1276"/>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Ley de Transparencia y Acceso a la Información Pública:</w:t>
      </w:r>
      <w:r>
        <w:rPr>
          <w:rFonts w:ascii="Palatino Linotype" w:eastAsia="Palatino Linotype" w:hAnsi="Palatino Linotype" w:cs="Palatino Linotype"/>
          <w:sz w:val="22"/>
          <w:szCs w:val="22"/>
        </w:rPr>
        <w:t xml:space="preserve"> la Ley General de Transparencia y Acceso a la Información Pública establece que la información relacionada con el uso de recursos públicos debe ser accesible, y sólo se pueden clasificar como reservados aquellos documentos que afecten la seguridad nacional, las relaciones exteriores, o datos personales sensibles, entre otros. Las actas de entrega-recepción no suelen cumplir con estas condiciones.</w:t>
      </w:r>
    </w:p>
    <w:p w:rsidR="002A27D4" w:rsidRDefault="00693DBF">
      <w:pPr>
        <w:numPr>
          <w:ilvl w:val="0"/>
          <w:numId w:val="1"/>
        </w:numPr>
        <w:spacing w:line="360" w:lineRule="auto"/>
        <w:ind w:left="1276"/>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Interés público:</w:t>
      </w:r>
      <w:r>
        <w:rPr>
          <w:rFonts w:ascii="Palatino Linotype" w:eastAsia="Palatino Linotype" w:hAnsi="Palatino Linotype" w:cs="Palatino Linotype"/>
          <w:sz w:val="22"/>
          <w:szCs w:val="22"/>
        </w:rPr>
        <w:t xml:space="preserve"> La información contenida en estas actas tiene un impacto en el bienestar de la sociedad, por lo que se considera de interés público. El acceso a la misma asegura que los ciudadanos puedan hacer valer su derecho a la información.</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Ahora bien, resulta necesario traer a contexto  el  Manual General  de Organización de la Secretaría de Cultura y Turismo en se fracción V  establece lo siguiente:</w:t>
      </w:r>
    </w:p>
    <w:p w:rsidR="002A27D4" w:rsidRDefault="00693DBF">
      <w:pPr>
        <w:tabs>
          <w:tab w:val="left" w:pos="284"/>
        </w:tabs>
        <w:spacing w:line="360" w:lineRule="auto"/>
        <w:ind w:left="56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ESTRUCTURA ORGÁNICA</w:t>
      </w:r>
    </w:p>
    <w:p w:rsidR="002A27D4" w:rsidRDefault="002A27D4">
      <w:pPr>
        <w:tabs>
          <w:tab w:val="left" w:pos="284"/>
        </w:tabs>
        <w:spacing w:line="360" w:lineRule="auto"/>
        <w:ind w:left="567"/>
        <w:jc w:val="center"/>
        <w:rPr>
          <w:rFonts w:ascii="Palatino Linotype" w:eastAsia="Palatino Linotype" w:hAnsi="Palatino Linotype" w:cs="Palatino Linotype"/>
          <w:b/>
          <w:i/>
          <w:sz w:val="22"/>
          <w:szCs w:val="22"/>
        </w:rPr>
      </w:pP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22600000000000L Secretaría de Cultura y Turismo</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22600001000000S Secretaría Particular </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22600002000000S Órgano Interno de Control</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22600003000000S Coordinación Administrativa</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22600004000000S Unidad de Información, Planeación, Programación y Evaluación</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22600005000000S Coordinación de Estudios y Proyectos Especiales </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22600006000000S Coordinación Jurídica y de Igualdad de Género</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22600001000000L Dirección General de Patrimonio y Servicios Culturales del Valle de los Volcanes</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22600002000000L Dirección General de Patrimonio y Servicios Culturales del Valle de Toluca</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22600003000000L Dirección General del Conservatorio de Música del Estado de México</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22600004000000L Dirección General de la Orquesta Sinfónica del Estado de México</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22600005000000L Dirección General de Cultura Física y Deporte</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22600006000000L Secretaría Ejecutiva del Consejo Editorial de la Administración Pública Estatal</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22600100000000L Subsecretaría de Turismo</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22600101000000L Dirección General de Promoción, Operación y Calidad Turística</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22600101000000L Dirección General de Promoción, Operación y Calidad Turística</w:t>
      </w:r>
    </w:p>
    <w:p w:rsidR="002A27D4" w:rsidRDefault="002A27D4"/>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En este mismo sentido el Manual en cita la Contraloría el Órgano Interno de Control tiene las siguientes funciones </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22600002000000S ÓRGANO INTERNO DE CONTROL</w:t>
      </w:r>
    </w:p>
    <w:p w:rsidR="002A27D4" w:rsidRDefault="002A27D4">
      <w:pPr>
        <w:ind w:left="567"/>
        <w:jc w:val="both"/>
        <w:rPr>
          <w:rFonts w:ascii="Palatino Linotype" w:eastAsia="Palatino Linotype" w:hAnsi="Palatino Linotype" w:cs="Palatino Linotype"/>
          <w:i/>
          <w:sz w:val="22"/>
          <w:szCs w:val="22"/>
        </w:rPr>
      </w:pP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OBJETIVO: Promover, evaluar y fortalecer el funcionamiento del sistema de control interno institucional de la Secretaría de Cultura y Turismo, así como prevenir, detectar, disuadir, controlar y sancionar actos de corrupción en los términos establecidos por el Sistema Anticorrupción del Estado de México y Municipios, mediante la ejecución de auditorías y acciones de control y evaluación; el desahogo del procedimiento de investigación, derivado de las denuncias de su competencia, y el desarrollo del procedimiento de responsabilidad administrativa. </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FUNCIONES:</w:t>
      </w:r>
    </w:p>
    <w:p w:rsidR="002A27D4" w:rsidRDefault="002A27D4">
      <w:pPr>
        <w:ind w:left="567"/>
        <w:jc w:val="both"/>
        <w:rPr>
          <w:rFonts w:ascii="Palatino Linotype" w:eastAsia="Palatino Linotype" w:hAnsi="Palatino Linotype" w:cs="Palatino Linotype"/>
          <w:i/>
          <w:sz w:val="22"/>
          <w:szCs w:val="22"/>
        </w:rPr>
      </w:pP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Facultar al personal del Órgano Interno de Control para testificar los actos de entrega y recepción, a fin de verificar su correcto cumplimiento.</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2A27D4"/>
    <w:p w:rsidR="002A27D4" w:rsidRDefault="002A27D4"/>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En este sentido el Reglamento para los Procesos de Entrega Recepción y de Rendición de Cuentas de la Administración Pública del Estado de México establece lo siguiente:</w:t>
      </w: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5. La Entrega y Recepción se realizará cuando una persona servidora pública se separe de su empleo, cargo o comisión, por cualquier motivo, incluyendo licencias, suplencias, encargos o el término del periodo constitucional de la gestión de gobierno de la persona titular del Poder Ejecutivo del Estado de México.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Entrega y Recepción también deberá de llevarse a cabo en los casos de reestructuraciones organizacionales; descentralización o desconcentración de Unidades Administrativas; extinción, liquidación, disolución o fusión de Organismos Auxiliares; creación o supresión de Unidades Administrativas, Dependencias y Organismos Auxiliares, que impliquen la transferencia total o parcial de Recursos, programas, proyectos, asuntos, archivos, competencias o funciones, independientemente de que haya continuidad del personal del servicio público.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6. Son sujetos obligados al proceso de Entrega y Recepción las personas servidoras públicas titulares de Unidades Administrativas, desde la persona titular del Poder Ejecutivo del Estado de México hasta las personas titulares de jefaturas de departamento en las Dependencias, así como los equivalentes jerárquicos en los Organismos Auxiliares. </w:t>
      </w: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También deberán realizar procesos de Entrega y Recepción las personas servidoras públicas que, por comisión, suplencia, encargo o bajo cualquier otra figura, hayan quedado bajo el encargo provisional de alguna Unidad Administrativa en que la persona titular deba cumplir con esta obligación.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personas titulares de las Dependencias y Organismos Auxiliares, previa opinión de la persona titular del Órgano Interno de Control correspondiente, determinarán, mediante acuerdo publicado en el Periódico Oficial “Gaceta del Gobierno”, la relación del personal del servicio público que, en adición a los ya señalados, esté obligado a realizar el proceso de Entrega y Recepción, señalando nombre, cargo, área de adscripción, ubicación física y tipo de fondos, bienes y valores públicos que tenga a su cargo, así como las actualizaciones correspondientes.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Las personas servidoras públicas que entregan deberán rendir un Informe de Gestión en el que hagan constar las actividades y temas encomendados y atendidos durante su gestión, relacionados con las facultades y atribuciones que les correspondan; así como el estado que guardan los asuntos de su competencia y los compromisos y actividades prioritarias por atender, con posterioridad al proceso de Entrega y Recepción.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7. La Entrega y Recepción se efectuará en un plazo máximo de cinco días hábiles, contados a partir de que surta efectos la separación del empleo, cargo o comisión y se dejará constancia mediante el Acta Administrativa correspondiente.</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el caso de los procesos de Entrega y Recepción derivados de reestructuraciones organizacionales; descentralización o desconcentración de Unidades Administrativas; extinción, liquidación, disolución o fusión de Organismos Auxiliares; creación o supresión de Unidades Administrativas, Dependencias, Órganos Administrativos Desconcentrados y Organismos Auxiliares; los Órganos Internos de Control y las Áreas de Administración fijarán la fecha para su ejecución, la cual no será mayor a cinco días hábiles posteriores a la entrada en vigor del instrumento jurídico que contenga la modificación referida, mismo que podrá ser ampliado por el Órgano Interno de Control o la Contraloría, en caso de que así lo considere.</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Las personas servidoras públicas deberán iniciar la preparación de la Entrega y Recepción desde el momento en que tengan conocimiento de que dejarán de ocupar el empleo, cargo o comisión, informando al Área de Administración, quien a su vez lo hará del conocimiento del Órgano Interno de Control o de la Contraloría, según corresponda. Lo anterior, sin perjuicio de cumplir con la obligación de mantener ordenados y actualizados en forma permanente sus registros, controles, archivos, informes y demás documentación relacionada con sus facultades.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Si a la fecha en que la persona servidora pública se separe del empleo, cargo o comisión no existe nombramiento o designación de quien habrá de sustituirle, la Entrega y Recepción se hará a la persona del servicio público que la o el superior jerárquico designe para tal efecto como encargada, encargado o responsable, debiendo esta última realizar la Entrega y Recepción correspondiente una vez que tome posesión del puesto la persona titular entrante.</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Artículo 8. En la Entrega y Recepción de Unidades Administrativas con nivel jerárquico de dirección general o superior, la persona titular del Órgano Interno de Control o de la Contraloría nombrará obligatoriamente a la persona representante que intervendrá en el acto; en la Entrega y Recepción de Unidades Administrativas de menor jerarquía, el nombramiento será potestativo. </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La persona representante del Órgano Interno de Control o de la Contraloría participará en el acto de Entrega y Recepción, quien revisará el contenido y los anexos del Acta Administrativa, la cual firmará de manera autógrafa o electrónica, con la presencia de dos personas que funjan como testigos de asistencia, sin que ello implique validación o responsabilidad.</w:t>
      </w:r>
    </w:p>
    <w:p w:rsidR="002A27D4" w:rsidRDefault="002A27D4">
      <w:pPr>
        <w:ind w:left="720"/>
        <w:jc w:val="both"/>
        <w:rPr>
          <w:rFonts w:ascii="Palatino Linotype" w:eastAsia="Palatino Linotype" w:hAnsi="Palatino Linotype" w:cs="Palatino Linotype"/>
          <w:i/>
          <w:color w:val="000000"/>
          <w:sz w:val="22"/>
          <w:szCs w:val="22"/>
        </w:rPr>
      </w:pPr>
    </w:p>
    <w:p w:rsidR="002A27D4" w:rsidRDefault="00693DBF">
      <w:pPr>
        <w:ind w:left="7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los actos de Entrega y Recepción en que no participe el representante del Órgano Interno de Control o de la Contraloría, la persona servidora pública que recibe remitirá a la persona titular del Órgano Interno de Control o de la Contraloría, dentro de los cinco días hábiles siguientes al acto, una copia documental o electrónica del Acta Administrativa y sus anexos.</w:t>
      </w:r>
    </w:p>
    <w:p w:rsidR="002A27D4" w:rsidRDefault="002A27D4">
      <w:pPr>
        <w:ind w:left="720"/>
        <w:jc w:val="both"/>
        <w:rPr>
          <w:rFonts w:ascii="Palatino Linotype" w:eastAsia="Palatino Linotype" w:hAnsi="Palatino Linotype" w:cs="Palatino Linotype"/>
          <w:i/>
          <w:color w:val="000000"/>
          <w:sz w:val="22"/>
          <w:szCs w:val="22"/>
        </w:rPr>
      </w:pPr>
    </w:p>
    <w:p w:rsidR="002A27D4" w:rsidRPr="0061353C"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De la normativa expuesta anteriormente se observa el proceso de la entrega recepción de las personas servidoras públicas al separarse de su empleo, cargo o comisión y que el Órgano </w:t>
      </w:r>
      <w:r w:rsidRPr="0061353C">
        <w:rPr>
          <w:rFonts w:ascii="Palatino Linotype" w:eastAsia="Palatino Linotype" w:hAnsi="Palatino Linotype" w:cs="Palatino Linotype"/>
        </w:rPr>
        <w:t xml:space="preserve">Interno de Control, es el área responsable de administrar la información respectiva de los actos de entrega recepción de los servidores públicos. </w:t>
      </w:r>
    </w:p>
    <w:p w:rsidR="002A27D4" w:rsidRPr="0061353C" w:rsidRDefault="002A27D4">
      <w:pPr>
        <w:rPr>
          <w:rFonts w:ascii="Palatino Linotype" w:eastAsia="Palatino Linotype" w:hAnsi="Palatino Linotype" w:cs="Palatino Linotype"/>
        </w:rPr>
      </w:pPr>
    </w:p>
    <w:p w:rsidR="002A27D4" w:rsidRPr="0061353C" w:rsidRDefault="00693DBF">
      <w:pPr>
        <w:numPr>
          <w:ilvl w:val="0"/>
          <w:numId w:val="2"/>
        </w:numPr>
        <w:tabs>
          <w:tab w:val="left" w:pos="284"/>
        </w:tabs>
        <w:spacing w:line="360" w:lineRule="auto"/>
        <w:ind w:left="0" w:firstLine="0"/>
        <w:jc w:val="both"/>
        <w:rPr>
          <w:color w:val="000000"/>
        </w:rPr>
      </w:pPr>
      <w:r w:rsidRPr="0061353C">
        <w:rPr>
          <w:rFonts w:ascii="Palatino Linotype" w:eastAsia="Palatino Linotype" w:hAnsi="Palatino Linotype" w:cs="Palatino Linotype"/>
        </w:rPr>
        <w:t xml:space="preserve">Ahora bien, respecto de las actas de entrega recepción, es importante mencionar  que el Sujeto Obligado refirió en respuesta remitir </w:t>
      </w:r>
      <w:r w:rsidRPr="0061353C">
        <w:rPr>
          <w:rFonts w:ascii="Palatino Linotype" w:eastAsia="Palatino Linotype" w:hAnsi="Palatino Linotype" w:cs="Palatino Linotype"/>
          <w:color w:val="000000"/>
        </w:rPr>
        <w:t xml:space="preserve">las actas de entrega y recepción, de las oficinas del Secretario Ejecutivo del Consejo Editorial de la Administración Pública Estatal, Subsecretaría de Turismo, Dirección de Administración, Coordinación Jurídica y de Igualdad de Género, Subdirección y Normativa y Consulta y Coordinación Jurídica y de Igualdad de Género, y refiere que  las actas de entrega y recepción de la Dirección General Patrimonio y Servicios Culturales del Valle de los Volcanes, Dirección de Servicios Culturales del Valle de los Volcanes y Dirección General Patrimonio y Servicios Culturales del Valle de Toluca se encuentran </w:t>
      </w:r>
      <w:r w:rsidRPr="0061353C">
        <w:rPr>
          <w:rFonts w:ascii="Palatino Linotype" w:eastAsia="Palatino Linotype" w:hAnsi="Palatino Linotype" w:cs="Palatino Linotype"/>
        </w:rPr>
        <w:t>calificadas</w:t>
      </w:r>
      <w:r w:rsidRPr="0061353C">
        <w:rPr>
          <w:rFonts w:ascii="Palatino Linotype" w:eastAsia="Palatino Linotype" w:hAnsi="Palatino Linotype" w:cs="Palatino Linotype"/>
          <w:color w:val="000000"/>
        </w:rPr>
        <w:t xml:space="preserve"> como reservadas por periodo de 1 año, en razón del acuerdo identificado con el número: SCYTUR/CT/EXT-30/AC-003/2023, registrado en el acta que se emitió en la Trigésima Sesión Extraordinaria SCYTUR/CT/EXT-30/2023, fecha 19 de diciembre del 2023, por parte del Comité de Transparencia de la </w:t>
      </w:r>
      <w:r w:rsidRPr="0061353C">
        <w:rPr>
          <w:rFonts w:ascii="Palatino Linotype" w:eastAsia="Palatino Linotype" w:hAnsi="Palatino Linotype" w:cs="Palatino Linotype"/>
        </w:rPr>
        <w:t>Secretaría</w:t>
      </w:r>
      <w:r w:rsidRPr="0061353C">
        <w:rPr>
          <w:rFonts w:ascii="Palatino Linotype" w:eastAsia="Palatino Linotype" w:hAnsi="Palatino Linotype" w:cs="Palatino Linotype"/>
          <w:color w:val="000000"/>
        </w:rPr>
        <w:t xml:space="preserve"> de Cultura y Turismo.</w:t>
      </w:r>
    </w:p>
    <w:p w:rsidR="002A27D4" w:rsidRPr="0061353C" w:rsidRDefault="002A27D4">
      <w:pPr>
        <w:spacing w:line="360" w:lineRule="auto"/>
        <w:jc w:val="both"/>
        <w:rPr>
          <w:rFonts w:ascii="Palatino Linotype" w:eastAsia="Palatino Linotype" w:hAnsi="Palatino Linotype" w:cs="Palatino Linotype"/>
          <w:color w:val="000000"/>
        </w:rPr>
      </w:pPr>
    </w:p>
    <w:p w:rsidR="002A27D4" w:rsidRPr="0061353C" w:rsidRDefault="00693DBF">
      <w:pPr>
        <w:numPr>
          <w:ilvl w:val="0"/>
          <w:numId w:val="2"/>
        </w:numPr>
        <w:tabs>
          <w:tab w:val="left" w:pos="284"/>
        </w:tabs>
        <w:spacing w:line="360" w:lineRule="auto"/>
        <w:ind w:left="0" w:firstLine="0"/>
        <w:jc w:val="both"/>
        <w:rPr>
          <w:color w:val="000000"/>
        </w:rPr>
      </w:pPr>
      <w:r w:rsidRPr="0061353C">
        <w:rPr>
          <w:rFonts w:ascii="Palatino Linotype" w:eastAsia="Palatino Linotype" w:hAnsi="Palatino Linotype" w:cs="Palatino Linotype"/>
          <w:color w:val="000000"/>
        </w:rPr>
        <w:t xml:space="preserve">Derivado de lo anterior, es necesario mencionar que el Sujeto Obligado en respuesta no remitió las actas de entrega recepción que mencionó, el acuerdo identificado con el número: SCYTUR/CT/EXT-30/AC-003/2023, ni el Acta de la Trigésima Sesión Extraordinaria SCYTUR/CT/EXT-30/2023, fecha 19 de diciembre del 2023 por parte del Comité de Transparencia de la </w:t>
      </w:r>
      <w:r w:rsidRPr="0061353C">
        <w:rPr>
          <w:rFonts w:ascii="Palatino Linotype" w:eastAsia="Palatino Linotype" w:hAnsi="Palatino Linotype" w:cs="Palatino Linotype"/>
        </w:rPr>
        <w:t>Secretaría</w:t>
      </w:r>
      <w:r w:rsidRPr="0061353C">
        <w:rPr>
          <w:rFonts w:ascii="Palatino Linotype" w:eastAsia="Palatino Linotype" w:hAnsi="Palatino Linotype" w:cs="Palatino Linotype"/>
          <w:color w:val="000000"/>
        </w:rPr>
        <w:t xml:space="preserve"> de Cultura y Turismo que refirió en respuesta.</w:t>
      </w:r>
    </w:p>
    <w:p w:rsidR="002A27D4" w:rsidRPr="0061353C" w:rsidRDefault="002A27D4">
      <w:pPr>
        <w:tabs>
          <w:tab w:val="left" w:pos="8222"/>
        </w:tabs>
        <w:spacing w:line="360" w:lineRule="auto"/>
        <w:jc w:val="both"/>
        <w:rPr>
          <w:rFonts w:ascii="Palatino Linotype" w:eastAsia="Palatino Linotype" w:hAnsi="Palatino Linotype" w:cs="Palatino Linotype"/>
          <w:color w:val="000000"/>
        </w:rPr>
      </w:pPr>
    </w:p>
    <w:p w:rsidR="002A27D4" w:rsidRPr="0061353C" w:rsidRDefault="00693DBF">
      <w:pPr>
        <w:numPr>
          <w:ilvl w:val="0"/>
          <w:numId w:val="2"/>
        </w:numPr>
        <w:tabs>
          <w:tab w:val="left" w:pos="284"/>
        </w:tabs>
        <w:spacing w:line="360" w:lineRule="auto"/>
        <w:ind w:left="0" w:firstLine="0"/>
        <w:jc w:val="both"/>
        <w:rPr>
          <w:color w:val="000000"/>
        </w:rPr>
      </w:pPr>
      <w:r w:rsidRPr="0061353C">
        <w:rPr>
          <w:rFonts w:ascii="Palatino Linotype" w:eastAsia="Palatino Linotype" w:hAnsi="Palatino Linotype" w:cs="Palatino Linotype"/>
          <w:color w:val="000000"/>
        </w:rPr>
        <w:t xml:space="preserve">El Sujeto Obligado en la etapa de manifestaciones,  remitió el Acta SCYTUR/CT/EXT-30/2023  de la Trigésima Sesión Extraordinaria  del Comité de Transparencia de la </w:t>
      </w:r>
      <w:r w:rsidRPr="0061353C">
        <w:rPr>
          <w:rFonts w:ascii="Palatino Linotype" w:eastAsia="Palatino Linotype" w:hAnsi="Palatino Linotype" w:cs="Palatino Linotype"/>
        </w:rPr>
        <w:t>Secretaría</w:t>
      </w:r>
      <w:r w:rsidRPr="0061353C">
        <w:rPr>
          <w:rFonts w:ascii="Palatino Linotype" w:eastAsia="Palatino Linotype" w:hAnsi="Palatino Linotype" w:cs="Palatino Linotype"/>
          <w:color w:val="000000"/>
        </w:rPr>
        <w:t xml:space="preserve"> de Cultura y Turismo y  un documento en formato Word en el que se observa la respuesta a la solicitud.  De igual forma remite un Anexo 1 en el cual se observa un oficio suscrito por la LIC. M. ZULEMA SÁNCHEZ LUGO DIRECTORA GENERAL cuyo asunto es la clasificación de la información, Anexo 2 Oficio suscrito por C, HUGO LOAIZA ALMARAZ DIRECTOR DE SERVICIOS CULTURALES DEL VALLE DE LOS VOLCANES, con asunto Clasificación de la Información , Anexo 3 Oficio suscrito por L.D.F. DIANA ENA RODRÍGUEZ PULIDO DIRECTORA GENERAL DE PATRIMONIO Y SERVICIOS CULTURALES DEL VALLE DE LOS VOLCANES, </w:t>
      </w:r>
      <w:r w:rsidRPr="0061353C">
        <w:rPr>
          <w:rFonts w:ascii="Palatino Linotype" w:eastAsia="Palatino Linotype" w:hAnsi="Palatino Linotype" w:cs="Palatino Linotype"/>
          <w:b/>
          <w:color w:val="000000"/>
        </w:rPr>
        <w:t xml:space="preserve">ANEXO 4 </w:t>
      </w:r>
      <w:r w:rsidRPr="0061353C">
        <w:rPr>
          <w:rFonts w:ascii="Palatino Linotype" w:eastAsia="Palatino Linotype" w:hAnsi="Palatino Linotype" w:cs="Palatino Linotype"/>
          <w:color w:val="000000"/>
        </w:rPr>
        <w:t xml:space="preserve">Acta de Entrega Recepción del cargo de Coordinador de la Coordinación Jurídica y de Igualdad de Género, de fecha dos (02) de octubre de dos mil veintitrés. </w:t>
      </w:r>
      <w:r w:rsidRPr="0061353C">
        <w:rPr>
          <w:rFonts w:ascii="Palatino Linotype" w:eastAsia="Palatino Linotype" w:hAnsi="Palatino Linotype" w:cs="Palatino Linotype"/>
          <w:b/>
          <w:color w:val="000000"/>
        </w:rPr>
        <w:t xml:space="preserve">ANEXO 5 </w:t>
      </w:r>
      <w:r w:rsidRPr="0061353C">
        <w:rPr>
          <w:rFonts w:ascii="Palatino Linotype" w:eastAsia="Palatino Linotype" w:hAnsi="Palatino Linotype" w:cs="Palatino Linotype"/>
          <w:color w:val="000000"/>
        </w:rPr>
        <w:t>Acta de Entrega Recepción de la Coordinación Jurídica y de Igualdad de Género, de fecha diecinueve (19) de octubre de dos mil veintitrés.</w:t>
      </w:r>
      <w:r w:rsidRPr="0061353C">
        <w:rPr>
          <w:rFonts w:ascii="Palatino Linotype" w:eastAsia="Palatino Linotype" w:hAnsi="Palatino Linotype" w:cs="Palatino Linotype"/>
          <w:b/>
          <w:color w:val="000000"/>
        </w:rPr>
        <w:t xml:space="preserve"> ANEXO 6: </w:t>
      </w:r>
      <w:r w:rsidRPr="0061353C">
        <w:rPr>
          <w:rFonts w:ascii="Palatino Linotype" w:eastAsia="Palatino Linotype" w:hAnsi="Palatino Linotype" w:cs="Palatino Linotype"/>
          <w:color w:val="000000"/>
        </w:rPr>
        <w:t xml:space="preserve">Acta de Entrega Recepción de la Subdirección y Normatividad y Consulta, de fecha diecisiete (17) de octubre de dos mil veintitrés. </w:t>
      </w:r>
      <w:r w:rsidRPr="0061353C">
        <w:rPr>
          <w:rFonts w:ascii="Palatino Linotype" w:eastAsia="Palatino Linotype" w:hAnsi="Palatino Linotype" w:cs="Palatino Linotype"/>
          <w:b/>
        </w:rPr>
        <w:lastRenderedPageBreak/>
        <w:t xml:space="preserve">ANEXO 7  </w:t>
      </w:r>
      <w:r w:rsidRPr="0061353C">
        <w:rPr>
          <w:rFonts w:ascii="Palatino Linotype" w:eastAsia="Palatino Linotype" w:hAnsi="Palatino Linotype" w:cs="Palatino Linotype"/>
        </w:rPr>
        <w:t>Acta de Entrega Recepción de Oficina del C. Secretario Ejecutivo, de fecha diecinueve de octubre de dos mil veintitrés.</w:t>
      </w:r>
      <w:r w:rsidRPr="0061353C">
        <w:rPr>
          <w:rFonts w:ascii="Palatino Linotype" w:eastAsia="Palatino Linotype" w:hAnsi="Palatino Linotype" w:cs="Palatino Linotype"/>
          <w:b/>
        </w:rPr>
        <w:t xml:space="preserve"> ANEXO 8: </w:t>
      </w:r>
      <w:r w:rsidRPr="0061353C">
        <w:rPr>
          <w:rFonts w:ascii="Palatino Linotype" w:eastAsia="Palatino Linotype" w:hAnsi="Palatino Linotype" w:cs="Palatino Linotype"/>
        </w:rPr>
        <w:t xml:space="preserve">Acta de Entrega Recepción </w:t>
      </w:r>
      <w:r w:rsidRPr="0061353C">
        <w:rPr>
          <w:rFonts w:ascii="Palatino Linotype" w:eastAsia="Palatino Linotype" w:hAnsi="Palatino Linotype" w:cs="Palatino Linotype"/>
          <w:b/>
        </w:rPr>
        <w:t xml:space="preserve">Oficina del C. Subsecretario  </w:t>
      </w:r>
      <w:r w:rsidRPr="0061353C">
        <w:rPr>
          <w:rFonts w:ascii="Palatino Linotype" w:eastAsia="Palatino Linotype" w:hAnsi="Palatino Linotype" w:cs="Palatino Linotype"/>
        </w:rPr>
        <w:t>de fecha dos de octubre de dos mil veintitrés.</w:t>
      </w:r>
      <w:r w:rsidRPr="0061353C">
        <w:rPr>
          <w:rFonts w:ascii="Palatino Linotype" w:eastAsia="Palatino Linotype" w:hAnsi="Palatino Linotype" w:cs="Palatino Linotype"/>
          <w:b/>
        </w:rPr>
        <w:t xml:space="preserve"> ANEXO 9 </w:t>
      </w:r>
      <w:r w:rsidRPr="0061353C">
        <w:rPr>
          <w:rFonts w:ascii="Palatino Linotype" w:eastAsia="Palatino Linotype" w:hAnsi="Palatino Linotype" w:cs="Palatino Linotype"/>
        </w:rPr>
        <w:t>Acta de Entrega Recepción de la Dirección de Administración de fecha treinta y uno de octubre de dos mil veintitrés.</w:t>
      </w:r>
    </w:p>
    <w:p w:rsidR="002A27D4" w:rsidRPr="0061353C" w:rsidRDefault="002A27D4">
      <w:pPr>
        <w:tabs>
          <w:tab w:val="left" w:pos="284"/>
        </w:tabs>
        <w:spacing w:line="360" w:lineRule="auto"/>
        <w:jc w:val="both"/>
        <w:rPr>
          <w:rFonts w:ascii="Palatino Linotype" w:eastAsia="Palatino Linotype" w:hAnsi="Palatino Linotype" w:cs="Palatino Linotype"/>
          <w:color w:val="000000"/>
        </w:rPr>
      </w:pPr>
    </w:p>
    <w:p w:rsidR="002A27D4" w:rsidRPr="0061353C" w:rsidRDefault="00693DBF">
      <w:pPr>
        <w:numPr>
          <w:ilvl w:val="0"/>
          <w:numId w:val="2"/>
        </w:numPr>
        <w:tabs>
          <w:tab w:val="left" w:pos="284"/>
        </w:tabs>
        <w:spacing w:line="360" w:lineRule="auto"/>
        <w:ind w:left="0" w:firstLine="0"/>
        <w:jc w:val="both"/>
        <w:rPr>
          <w:color w:val="000000"/>
        </w:rPr>
      </w:pPr>
      <w:r w:rsidRPr="0061353C">
        <w:rPr>
          <w:rFonts w:ascii="Palatino Linotype" w:eastAsia="Palatino Linotype" w:hAnsi="Palatino Linotype" w:cs="Palatino Linotype"/>
          <w:color w:val="000000"/>
        </w:rPr>
        <w:t>De igual forma es de señalar que el Sujeto Obligado al remitir las Actas en la  etapa de manifestaciones, referidas en el párrafo 66, este colmo parcialmente con la entrega de las Actas de Entrega Recepción de dichas áreas. Sin embargo el Sujeto Obligado fue omiso en remitir las Actas de Entrega Recepción de la Dirección General de Patrimonio y Servicios Culturales del Valle de los Volcanes, Dirección de Servicios Culturales del Valle de los Volcanes, Dirección General de Patrimonio y Servicios Culturales del Valle de Toluca, Coordinación Administrativa y Secretaria Particular. Por lo que resulta dable ORDENAR al Sujeto Obligado haga entrega de  las Actas de Entrega Recepción de las áreas faltantes mencionadas con anterioridad.</w:t>
      </w:r>
    </w:p>
    <w:p w:rsidR="002A27D4" w:rsidRPr="0061353C" w:rsidRDefault="002A27D4">
      <w:pPr>
        <w:tabs>
          <w:tab w:val="left" w:pos="284"/>
        </w:tabs>
        <w:spacing w:line="360" w:lineRule="auto"/>
        <w:jc w:val="both"/>
        <w:rPr>
          <w:rFonts w:ascii="Palatino Linotype" w:eastAsia="Palatino Linotype" w:hAnsi="Palatino Linotype" w:cs="Palatino Linotype"/>
          <w:color w:val="000000"/>
        </w:rPr>
      </w:pPr>
    </w:p>
    <w:p w:rsidR="002A27D4" w:rsidRPr="0061353C" w:rsidRDefault="002A27D4">
      <w:pPr>
        <w:ind w:left="720"/>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color w:val="000000"/>
        </w:rPr>
      </w:pPr>
      <w:r w:rsidRPr="0061353C">
        <w:rPr>
          <w:rFonts w:ascii="Palatino Linotype" w:eastAsia="Palatino Linotype" w:hAnsi="Palatino Linotype" w:cs="Palatino Linotype"/>
          <w:color w:val="000000"/>
        </w:rPr>
        <w:t xml:space="preserve">En el mismo sentido el Sujeto Obligado remitió un Acta de la Trigésima Sesión Extraordinaria del Comité de Transparencia de la </w:t>
      </w:r>
      <w:r w:rsidRPr="0061353C">
        <w:rPr>
          <w:rFonts w:ascii="Palatino Linotype" w:eastAsia="Palatino Linotype" w:hAnsi="Palatino Linotype" w:cs="Palatino Linotype"/>
        </w:rPr>
        <w:t>Secretaría</w:t>
      </w:r>
      <w:r w:rsidRPr="0061353C">
        <w:rPr>
          <w:rFonts w:ascii="Palatino Linotype" w:eastAsia="Palatino Linotype" w:hAnsi="Palatino Linotype" w:cs="Palatino Linotype"/>
          <w:color w:val="000000"/>
        </w:rPr>
        <w:t xml:space="preserve"> de Cultura y Turismo con número SCYTUR/CT/EXT-30/2023 en la cual se observa la aprobación de clasificación de la información solicitada por LIC. M. ZULEMA SÁNCHEZ LUGO DIRECTORA GENERAL de Patrimonio y Servicios Culturales del Valle de Toluca; por L.D.F. DIANA ENA RODRÍGUEZ PULIDO DIRECTORA GENERAL DE PATRIMONIO Y SERVICIOS CULTURALES DEL VALLE DE LOS VOLCANES; y la aprobación de clasificación de la información como confidencial , solicitada por  el Mtro. Rodrigo </w:t>
      </w:r>
      <w:r w:rsidRPr="0061353C">
        <w:rPr>
          <w:rFonts w:ascii="Palatino Linotype" w:eastAsia="Palatino Linotype" w:hAnsi="Palatino Linotype" w:cs="Palatino Linotype"/>
          <w:color w:val="000000"/>
        </w:rPr>
        <w:lastRenderedPageBreak/>
        <w:t>Sánchez Arce Encargado del Despacho del a Secretaria Ejecutiva del Consejo Editorial de la Administración Pública Estatal (CEAPE) y de la Lic. Fanny Gutiérrez Muciño servidora Pública Habilitada y Encargada del Despacho de la Subsecretaria de Turismo  y oficios en los cuales se observa  la solicitud clasificación de la información por p</w:t>
      </w:r>
      <w:r>
        <w:rPr>
          <w:rFonts w:ascii="Palatino Linotype" w:eastAsia="Palatino Linotype" w:hAnsi="Palatino Linotype" w:cs="Palatino Linotype"/>
          <w:color w:val="000000"/>
        </w:rPr>
        <w:t>arte de los Servidores públicos, sin embargo de dichos documento no se remiten las Actas de Entrega Recepción que refieren  en las solicitudes realizadas por los servidores público habilitado para clasificar la información como confidencial.</w:t>
      </w:r>
    </w:p>
    <w:p w:rsidR="002A27D4" w:rsidRDefault="00693DBF">
      <w:pPr>
        <w:numPr>
          <w:ilvl w:val="0"/>
          <w:numId w:val="2"/>
        </w:numPr>
        <w:tabs>
          <w:tab w:val="left" w:pos="284"/>
        </w:tabs>
        <w:spacing w:line="360" w:lineRule="auto"/>
        <w:ind w:left="0" w:firstLine="0"/>
        <w:jc w:val="both"/>
        <w:rPr>
          <w:rFonts w:ascii="Palatino Linotype" w:hAnsi="Palatino Linotype" w:cs="Palatino Linotype"/>
          <w:color w:val="000000"/>
        </w:rPr>
      </w:pPr>
      <w:r>
        <w:rPr>
          <w:rFonts w:ascii="Palatino Linotype" w:hAnsi="Palatino Linotype" w:cs="Palatino Linotype"/>
          <w:color w:val="000000"/>
        </w:rPr>
        <w:t xml:space="preserve">Refiere que existe la imposibilidad para entregar la información que concierne al proceso de entrega - recepción, pues se actualiza el supuesto de reserva previsto en el artículo 113, fracción X de la Ley General de Transparencia y Acceso a </w:t>
      </w:r>
      <w:proofErr w:type="spellStart"/>
      <w:r>
        <w:rPr>
          <w:rFonts w:ascii="Palatino Linotype" w:hAnsi="Palatino Linotype" w:cs="Palatino Linotype"/>
          <w:color w:val="000000"/>
        </w:rPr>
        <w:t>laInformación</w:t>
      </w:r>
      <w:proofErr w:type="spellEnd"/>
      <w:r>
        <w:rPr>
          <w:rFonts w:ascii="Palatino Linotype" w:hAnsi="Palatino Linotype" w:cs="Palatino Linotype"/>
          <w:color w:val="000000"/>
        </w:rPr>
        <w:t xml:space="preserve"> Pública: numeral vigésimo noveno de los Lineamientos generales en materia de clasificación y desclasificación de la información y el artículo 140, fracción X de la Ley de Transparencia y Acceso a la Información Pública del Estado de México y Municipios, indica que  la divulgación de la información del acta entrega y anexos (proceso de entrega recepción), podría obstruir, afectar o vulnerar la conducción de las actividades del procedimiento de investigación por parte del </w:t>
      </w:r>
      <w:proofErr w:type="spellStart"/>
      <w:r>
        <w:rPr>
          <w:rFonts w:ascii="Palatino Linotype" w:hAnsi="Palatino Linotype" w:cs="Palatino Linotype"/>
          <w:color w:val="000000"/>
        </w:rPr>
        <w:t>Organo</w:t>
      </w:r>
      <w:proofErr w:type="spellEnd"/>
      <w:r>
        <w:rPr>
          <w:rFonts w:ascii="Palatino Linotype" w:hAnsi="Palatino Linotype" w:cs="Palatino Linotype"/>
          <w:color w:val="000000"/>
        </w:rPr>
        <w:t xml:space="preserve"> Interno de Control que se encuentra en trámite.</w:t>
      </w:r>
    </w:p>
    <w:p w:rsidR="002A27D4" w:rsidRDefault="002A27D4">
      <w:pPr>
        <w:tabs>
          <w:tab w:val="left" w:pos="284"/>
        </w:tabs>
        <w:spacing w:line="360" w:lineRule="auto"/>
        <w:jc w:val="both"/>
        <w:rPr>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Derivado de lo anterior, si bien es cierto existe un pronunciamiento por parte de la Secretaría de Cultura y Turismo  de que no puede entregar la información relativa a la información del acta de entrega recepción de la administración entrante de dos mil veintidós, también lo es que no remite los documentos que demuestren las razones por las cuales no puede ser entregada dicha información. </w:t>
      </w:r>
    </w:p>
    <w:p w:rsidR="002A27D4" w:rsidRDefault="002A27D4">
      <w:pPr>
        <w:ind w:left="720"/>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lastRenderedPageBreak/>
        <w:t xml:space="preserve">De lo anterior, se debe de resaltar que para la entrega de información solicitada por los particulares, es necesario que esta obre en cualquier documento que el Sujeto Obligado, genere, posea o administre, en consecuencia, los documentos como ya ha quedado establecido y como </w:t>
      </w:r>
      <w:r>
        <w:rPr>
          <w:rFonts w:ascii="Palatino Linotype" w:eastAsia="Palatino Linotype" w:hAnsi="Palatino Linotype" w:cs="Palatino Linotype"/>
        </w:rPr>
        <w:t>él mismo</w:t>
      </w:r>
      <w:r>
        <w:rPr>
          <w:rFonts w:ascii="Palatino Linotype" w:eastAsia="Palatino Linotype" w:hAnsi="Palatino Linotype" w:cs="Palatino Linotype"/>
          <w:color w:val="000000"/>
        </w:rPr>
        <w:t xml:space="preserve"> lo refirió en respuesta obran en sus archivos, lo que significa que ello no implica la generación de un documento sino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la entrega del que ya obre en su poder y que contenga la información que el Particular desea conocer; por lo que no resulta procedente  reservar la información solicitada, pues el Sujeto Obligado cuenta en sus archivos con diversos documentos que son públicos, y </w:t>
      </w:r>
      <w:r>
        <w:rPr>
          <w:rFonts w:ascii="Palatino Linotype" w:eastAsia="Palatino Linotype" w:hAnsi="Palatino Linotype" w:cs="Palatino Linotype"/>
          <w:b/>
          <w:i/>
          <w:color w:val="000000"/>
          <w:u w:val="single"/>
        </w:rPr>
        <w:t>que además no sufren modificación alguna</w:t>
      </w:r>
      <w:r>
        <w:rPr>
          <w:rFonts w:ascii="Palatino Linotype" w:eastAsia="Palatino Linotype" w:hAnsi="Palatino Linotype" w:cs="Palatino Linotype"/>
          <w:color w:val="000000"/>
        </w:rPr>
        <w:t>, ahora bien, resulta prudente tomar en consideración lo plasmado en el criterio 09/2004 emitido por la Suprema Corte de Justicia de la Nación, e incluso referido por el Particular en sus motivos de inconformidad cuya literalidad es la siguiente:</w:t>
      </w:r>
    </w:p>
    <w:p w:rsidR="002A27D4" w:rsidRDefault="00693DBF">
      <w:pPr>
        <w:tabs>
          <w:tab w:val="left" w:pos="4962"/>
        </w:tabs>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INFORMACIÓN SUJETA A REVISIÓN. SI YA CONSTA EN UN DOCUMENTO DEFINITIVO, DEBE PERMITIRSE EL ACCESO A ÉSTE</w:t>
      </w:r>
      <w:r>
        <w:rPr>
          <w:rFonts w:ascii="Palatino Linotype" w:eastAsia="Palatino Linotype" w:hAnsi="Palatino Linotype" w:cs="Palatino Linotype"/>
          <w:i/>
          <w:color w:val="000000"/>
          <w:sz w:val="22"/>
          <w:szCs w:val="22"/>
        </w:rPr>
        <w:t xml:space="preserve">. </w:t>
      </w:r>
    </w:p>
    <w:p w:rsidR="002A27D4" w:rsidRDefault="00693DBF">
      <w:pPr>
        <w:tabs>
          <w:tab w:val="left" w:pos="4962"/>
        </w:tabs>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rsidR="002A27D4" w:rsidRDefault="00693DBF">
      <w:pPr>
        <w:tabs>
          <w:tab w:val="left" w:pos="4962"/>
        </w:tabs>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Clasificación de la información 10/2004-J, 19 de mayo de 2004.</w:t>
      </w:r>
    </w:p>
    <w:p w:rsidR="002A27D4" w:rsidRDefault="00693DBF">
      <w:pPr>
        <w:tabs>
          <w:tab w:val="left" w:pos="4962"/>
        </w:tabs>
        <w:ind w:left="113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Unanimidad de votos"</w:t>
      </w:r>
    </w:p>
    <w:p w:rsidR="002A27D4" w:rsidRDefault="002A27D4">
      <w:pPr>
        <w:tabs>
          <w:tab w:val="left" w:pos="4962"/>
        </w:tabs>
        <w:spacing w:line="360" w:lineRule="auto"/>
        <w:ind w:left="644"/>
        <w:jc w:val="both"/>
        <w:rPr>
          <w:rFonts w:ascii="Palatino Linotype" w:eastAsia="Palatino Linotype" w:hAnsi="Palatino Linotype" w:cs="Palatino Linotype"/>
          <w:color w:val="000000"/>
          <w:sz w:val="22"/>
          <w:szCs w:val="22"/>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t>Del anterior criterio se puede deducir que para el caso de acceso sobre documentos que se encuentren en un proceso de revisión no debe implicar la falta de los mismos</w:t>
      </w:r>
      <w:r>
        <w:rPr>
          <w:rFonts w:ascii="Palatino Linotype" w:eastAsia="Palatino Linotype" w:hAnsi="Palatino Linotype" w:cs="Palatino Linotype"/>
          <w:b/>
          <w:i/>
          <w:color w:val="000000"/>
          <w:u w:val="single"/>
        </w:rPr>
        <w:t>, siempre que sean definitivos</w:t>
      </w:r>
      <w:r>
        <w:rPr>
          <w:rFonts w:ascii="Palatino Linotype" w:eastAsia="Palatino Linotype" w:hAnsi="Palatino Linotype" w:cs="Palatino Linotype"/>
          <w:color w:val="000000"/>
        </w:rPr>
        <w:t xml:space="preserve">, por lo que deberá permitirse el acceso a los </w:t>
      </w:r>
      <w:r>
        <w:rPr>
          <w:rFonts w:ascii="Palatino Linotype" w:eastAsia="Palatino Linotype" w:hAnsi="Palatino Linotype" w:cs="Palatino Linotype"/>
          <w:color w:val="000000"/>
        </w:rPr>
        <w:lastRenderedPageBreak/>
        <w:t>mismos, aun cuando de manera posterior se realice un informe final, y no así negar el acceso aludiendo a que no se concluyen las etapas de la auditoría.</w:t>
      </w:r>
    </w:p>
    <w:p w:rsidR="002A27D4" w:rsidRDefault="002A27D4">
      <w:pPr>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t xml:space="preserve">Por lo anteriormente expuesto, se determina que las  actas de entrega – recepción de las áreas que integran la Secretaria de Cultura y Turismo, son  consideradas como documentos definitivos, situación por la cual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 de permitir su acceso a ellas. </w:t>
      </w:r>
    </w:p>
    <w:p w:rsidR="002A27D4" w:rsidRDefault="002A27D4">
      <w:pPr>
        <w:tabs>
          <w:tab w:val="left" w:pos="284"/>
        </w:tabs>
        <w:spacing w:line="360" w:lineRule="auto"/>
        <w:jc w:val="both"/>
        <w:rPr>
          <w:rFonts w:ascii="Palatino Linotype" w:eastAsia="Palatino Linotype" w:hAnsi="Palatino Linotype" w:cs="Palatino Linotype"/>
          <w:color w:val="000000"/>
        </w:rPr>
      </w:pPr>
    </w:p>
    <w:p w:rsidR="002A27D4" w:rsidRPr="0061353C" w:rsidRDefault="00693DBF">
      <w:pPr>
        <w:numPr>
          <w:ilvl w:val="0"/>
          <w:numId w:val="2"/>
        </w:numPr>
        <w:tabs>
          <w:tab w:val="left" w:pos="284"/>
        </w:tabs>
        <w:spacing w:line="360" w:lineRule="auto"/>
        <w:ind w:left="0" w:firstLine="0"/>
        <w:jc w:val="both"/>
        <w:rPr>
          <w:rFonts w:ascii="Palatino Linotype" w:eastAsia="Palatino Linotype" w:hAnsi="Palatino Linotype" w:cs="Palatino Linotype"/>
          <w:b/>
          <w:color w:val="000000"/>
        </w:rPr>
      </w:pPr>
      <w:r w:rsidRPr="0061353C">
        <w:rPr>
          <w:rFonts w:ascii="Palatino Linotype" w:eastAsia="Palatino Linotype" w:hAnsi="Palatino Linotype" w:cs="Palatino Linotype"/>
          <w:color w:val="000000"/>
        </w:rPr>
        <w:t xml:space="preserve">Seguidamente si del acta de entrega-recepción referida hubieran observaciones que no deberían de ser públicas, al  </w:t>
      </w:r>
      <w:r w:rsidRPr="0061353C">
        <w:rPr>
          <w:rFonts w:ascii="Palatino Linotype" w:eastAsia="Palatino Linotype" w:hAnsi="Palatino Linotype" w:cs="Palatino Linotype"/>
          <w:b/>
          <w:color w:val="000000"/>
        </w:rPr>
        <w:t xml:space="preserve">formar parte de un expediente que se encuentre en trámite </w:t>
      </w:r>
      <w:r w:rsidRPr="0061353C">
        <w:rPr>
          <w:rFonts w:ascii="Palatino Linotype" w:eastAsia="Palatino Linotype" w:hAnsi="Palatino Linotype" w:cs="Palatino Linotype"/>
          <w:color w:val="000000"/>
        </w:rPr>
        <w:t xml:space="preserve"> el </w:t>
      </w:r>
      <w:r w:rsidRPr="0061353C">
        <w:rPr>
          <w:rFonts w:ascii="Palatino Linotype" w:eastAsia="Palatino Linotype" w:hAnsi="Palatino Linotype" w:cs="Palatino Linotype"/>
          <w:b/>
          <w:color w:val="000000"/>
        </w:rPr>
        <w:t xml:space="preserve">SUJETO OBLIGADO </w:t>
      </w:r>
      <w:r w:rsidRPr="0061353C">
        <w:rPr>
          <w:rFonts w:ascii="Palatino Linotype" w:eastAsia="Palatino Linotype" w:hAnsi="Palatino Linotype" w:cs="Palatino Linotype"/>
          <w:color w:val="000000"/>
        </w:rPr>
        <w:t>deberá de emitir el Acuerdo de Clasificación de Información del Comité de Transparencia</w:t>
      </w:r>
      <w:r w:rsidRPr="0061353C">
        <w:rPr>
          <w:rFonts w:ascii="Palatino Linotype" w:eastAsia="Palatino Linotype" w:hAnsi="Palatino Linotype" w:cs="Palatino Linotype"/>
          <w:b/>
          <w:color w:val="000000"/>
        </w:rPr>
        <w:t xml:space="preserve"> en términos de los ordinales 49, fracción VIII, 129, 140 y 141 de la Ley de Transparencia y Acceso a la Información pública del Estado de México y Municipios.</w:t>
      </w:r>
    </w:p>
    <w:p w:rsidR="002A27D4" w:rsidRDefault="002A27D4">
      <w:pPr>
        <w:tabs>
          <w:tab w:val="left" w:pos="284"/>
        </w:tabs>
        <w:spacing w:line="360" w:lineRule="auto"/>
        <w:jc w:val="both"/>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i/>
          <w:color w:val="000000"/>
        </w:rPr>
      </w:pPr>
      <w:r>
        <w:rPr>
          <w:rFonts w:ascii="Palatino Linotype" w:eastAsia="Palatino Linotype" w:hAnsi="Palatino Linotype" w:cs="Palatino Linotype"/>
          <w:color w:val="000000"/>
        </w:rPr>
        <w:t xml:space="preserve">Por último, se puede observar que dentro del contenido de las actas de entrega recepción, se encuentran los siguientes datos, mismos que deberán de ser clasificados como confidenciales por el Comité de Transparencia del </w:t>
      </w:r>
      <w:r>
        <w:rPr>
          <w:rFonts w:ascii="Palatino Linotype" w:eastAsia="Palatino Linotype" w:hAnsi="Palatino Linotype" w:cs="Palatino Linotype"/>
          <w:b/>
          <w:color w:val="000000"/>
        </w:rPr>
        <w:t xml:space="preserve">SUJETO OBLIGADO mediante el acuerdo de clasificación que apruebe. </w:t>
      </w:r>
    </w:p>
    <w:p w:rsidR="002A27D4" w:rsidRDefault="002A27D4">
      <w:pPr>
        <w:tabs>
          <w:tab w:val="left" w:pos="284"/>
        </w:tabs>
        <w:spacing w:line="360" w:lineRule="auto"/>
        <w:jc w:val="both"/>
        <w:rPr>
          <w:i/>
          <w:color w:val="000000"/>
        </w:rPr>
      </w:pPr>
    </w:p>
    <w:p w:rsidR="002A27D4" w:rsidRDefault="00693DBF">
      <w:pPr>
        <w:tabs>
          <w:tab w:val="left" w:pos="284"/>
        </w:tabs>
        <w:spacing w:line="360" w:lineRule="auto"/>
        <w:jc w:val="both"/>
        <w:rPr>
          <w:rFonts w:ascii="Palatino Linotype" w:hAnsi="Palatino Linotype" w:cs="Palatino Linotype"/>
          <w:iCs/>
          <w:color w:val="000000"/>
        </w:rPr>
      </w:pPr>
      <w:r>
        <w:rPr>
          <w:rFonts w:ascii="Palatino Linotype" w:hAnsi="Palatino Linotype" w:cs="Palatino Linotype"/>
          <w:iCs/>
          <w:color w:val="000000"/>
        </w:rPr>
        <w:t xml:space="preserve">Clave de elector </w:t>
      </w:r>
    </w:p>
    <w:p w:rsidR="002A27D4" w:rsidRDefault="002A27D4">
      <w:pPr>
        <w:tabs>
          <w:tab w:val="left" w:pos="284"/>
        </w:tabs>
        <w:spacing w:line="360" w:lineRule="auto"/>
        <w:jc w:val="both"/>
        <w:rPr>
          <w:rFonts w:ascii="Palatino Linotype" w:hAnsi="Palatino Linotype" w:cs="Palatino Linotype"/>
          <w:iCs/>
          <w:color w:val="000000"/>
        </w:rPr>
      </w:pPr>
    </w:p>
    <w:p w:rsidR="002A27D4" w:rsidRDefault="00693DBF">
      <w:pPr>
        <w:numPr>
          <w:ilvl w:val="0"/>
          <w:numId w:val="2"/>
        </w:numPr>
        <w:tabs>
          <w:tab w:val="left" w:pos="284"/>
        </w:tabs>
        <w:spacing w:line="360" w:lineRule="auto"/>
        <w:ind w:left="0" w:firstLine="0"/>
        <w:jc w:val="both"/>
        <w:rPr>
          <w:rFonts w:ascii="Palatino Linotype" w:hAnsi="Palatino Linotype" w:cs="Palatino Linotype"/>
          <w:iCs/>
          <w:color w:val="000000"/>
        </w:rPr>
      </w:pPr>
      <w:r>
        <w:rPr>
          <w:rFonts w:ascii="Palatino Linotype" w:hAnsi="Palatino Linotype" w:cs="Palatino Linotype"/>
          <w:iCs/>
          <w:color w:val="000000"/>
        </w:rPr>
        <w:t xml:space="preserve">Composición alfanumérica compuesta de 18 caracteres, mismos que hacen identificable a una persona física, que se conforma por las primeras letras de los </w:t>
      </w:r>
      <w:r>
        <w:rPr>
          <w:rFonts w:ascii="Palatino Linotype" w:hAnsi="Palatino Linotype" w:cs="Palatino Linotype"/>
          <w:iCs/>
          <w:color w:val="000000"/>
        </w:rPr>
        <w:lastRenderedPageBreak/>
        <w:t xml:space="preserve">apellidos, año, mes, día, sexo, clave del estado en donde nació su titular, así como una homoclave que distingue a su titular de cualquier otro homónimo, por lo tanto, se trata de un dato personal que debe ser protegido con fundamento en los artículos 113, fracción. I, y segundo transitorio LFTAIP, 3. </w:t>
      </w:r>
      <w:proofErr w:type="spellStart"/>
      <w:r>
        <w:rPr>
          <w:rFonts w:ascii="Palatino Linotype" w:hAnsi="Palatino Linotype" w:cs="Palatino Linotype"/>
          <w:iCs/>
          <w:color w:val="000000"/>
        </w:rPr>
        <w:t>fr.</w:t>
      </w:r>
      <w:proofErr w:type="spellEnd"/>
      <w:r>
        <w:rPr>
          <w:rFonts w:ascii="Palatino Linotype" w:hAnsi="Palatino Linotype" w:cs="Palatino Linotype"/>
          <w:iCs/>
          <w:color w:val="000000"/>
        </w:rPr>
        <w:t xml:space="preserve"> II, 18, </w:t>
      </w:r>
      <w:proofErr w:type="spellStart"/>
      <w:r>
        <w:rPr>
          <w:rFonts w:ascii="Palatino Linotype" w:hAnsi="Palatino Linotype" w:cs="Palatino Linotype"/>
          <w:iCs/>
          <w:color w:val="000000"/>
        </w:rPr>
        <w:t>fr.</w:t>
      </w:r>
      <w:proofErr w:type="spellEnd"/>
      <w:r>
        <w:rPr>
          <w:rFonts w:ascii="Palatino Linotype" w:hAnsi="Palatino Linotype" w:cs="Palatino Linotype"/>
          <w:iCs/>
          <w:color w:val="000000"/>
        </w:rPr>
        <w:t xml:space="preserve"> II, y 21 LFTAIPG, 37 y 40 RLFTAIPG.</w:t>
      </w:r>
    </w:p>
    <w:p w:rsidR="002A27D4" w:rsidRDefault="002A27D4">
      <w:pPr>
        <w:tabs>
          <w:tab w:val="left" w:pos="284"/>
        </w:tabs>
        <w:spacing w:line="360" w:lineRule="auto"/>
        <w:jc w:val="both"/>
        <w:rPr>
          <w:rFonts w:ascii="Palatino Linotype" w:hAnsi="Palatino Linotype" w:cs="Palatino Linotype"/>
          <w:iCs/>
          <w:color w:val="000000"/>
        </w:rPr>
      </w:pPr>
    </w:p>
    <w:p w:rsidR="002A27D4" w:rsidRDefault="00693DBF">
      <w:pPr>
        <w:numPr>
          <w:ilvl w:val="0"/>
          <w:numId w:val="2"/>
        </w:numPr>
        <w:tabs>
          <w:tab w:val="left" w:pos="284"/>
        </w:tabs>
        <w:spacing w:line="360" w:lineRule="auto"/>
        <w:ind w:left="0" w:firstLine="0"/>
        <w:jc w:val="both"/>
        <w:rPr>
          <w:rFonts w:ascii="Palatino Linotype" w:hAnsi="Palatino Linotype" w:cs="Palatino Linotype"/>
          <w:iCs/>
          <w:color w:val="000000"/>
        </w:rPr>
      </w:pPr>
      <w:r>
        <w:rPr>
          <w:rFonts w:ascii="Palatino Linotype" w:hAnsi="Palatino Linotype" w:cs="Palatino Linotype"/>
          <w:iCs/>
          <w:color w:val="000000"/>
        </w:rPr>
        <w:t>Por consiguiente, dicha información se considera confidencial, en virtud de tratarse de datos personales que reflejan cuestiones de la vida privada de las personas, en términos del artículo 113, fracción 1. de la Ley Federal de Transparencia y Acceso a la Información Pública, en relación con el Trigésimo Noveno de los "Lineamientos generales en materia de clasificación y desclasificación de la información, así como para la elaboración de versiones públicas", y solo podrá otorgarse mediante el consentimiento expreso de su titular.</w:t>
      </w:r>
    </w:p>
    <w:p w:rsidR="002A27D4" w:rsidRDefault="002A27D4">
      <w:pPr>
        <w:tabs>
          <w:tab w:val="left" w:pos="284"/>
        </w:tabs>
        <w:spacing w:line="360" w:lineRule="auto"/>
        <w:jc w:val="both"/>
        <w:rPr>
          <w:rFonts w:ascii="Palatino Linotype" w:hAnsi="Palatino Linotype" w:cs="Palatino Linotype"/>
          <w:iCs/>
          <w:color w:val="000000"/>
        </w:rPr>
      </w:pPr>
    </w:p>
    <w:p w:rsidR="002A27D4" w:rsidRDefault="00693DBF">
      <w:pPr>
        <w:numPr>
          <w:ilvl w:val="0"/>
          <w:numId w:val="2"/>
        </w:numPr>
        <w:tabs>
          <w:tab w:val="left" w:pos="284"/>
        </w:tabs>
        <w:spacing w:line="360" w:lineRule="auto"/>
        <w:ind w:left="0" w:firstLine="0"/>
        <w:jc w:val="both"/>
        <w:rPr>
          <w:rFonts w:ascii="Palatino Linotype" w:hAnsi="Palatino Linotype" w:cs="Palatino Linotype"/>
          <w:iCs/>
          <w:color w:val="000000"/>
        </w:rPr>
      </w:pPr>
      <w:r>
        <w:rPr>
          <w:rFonts w:ascii="Palatino Linotype" w:hAnsi="Palatino Linotype" w:cs="Palatino Linotype"/>
          <w:iCs/>
          <w:color w:val="000000"/>
        </w:rPr>
        <w:t xml:space="preserve">Por lo anterior, el soporte documental que nos ocupa, está conformado por datos de acceso público y por datos de carácter clasificado; no obstante, debe preservarse el principio de máxima publicidad, de </w:t>
      </w:r>
      <w:proofErr w:type="spellStart"/>
      <w:r>
        <w:rPr>
          <w:rFonts w:ascii="Palatino Linotype" w:hAnsi="Palatino Linotype" w:cs="Palatino Linotype"/>
          <w:iCs/>
          <w:color w:val="000000"/>
        </w:rPr>
        <w:t>ahi</w:t>
      </w:r>
      <w:proofErr w:type="spellEnd"/>
      <w:r>
        <w:rPr>
          <w:rFonts w:ascii="Palatino Linotype" w:hAnsi="Palatino Linotype" w:cs="Palatino Linotype"/>
          <w:iCs/>
          <w:color w:val="000000"/>
        </w:rPr>
        <w:t xml:space="preserve"> que en tales circunstancias lo que procede es entregar la versión pública de dicho soporte documental, a través de la cual se permite, por un lado, eliminar o testar los datos clasificados a fin de salvaguardar los bienes tutelados por la norma cuando existan fundamentos y motivos para ello, y por el otro, permitir el acceso a los demás datos de acceso público.</w:t>
      </w:r>
    </w:p>
    <w:p w:rsidR="002A27D4" w:rsidRDefault="002A27D4">
      <w:pPr>
        <w:spacing w:line="360" w:lineRule="auto"/>
        <w:jc w:val="both"/>
        <w:rPr>
          <w:rFonts w:ascii="Palatino Linotype" w:eastAsia="Palatino Linotype" w:hAnsi="Palatino Linotype" w:cs="Palatino Linotype"/>
          <w:i/>
          <w:color w:val="000000"/>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color w:val="000000"/>
        </w:rPr>
        <w:t>Ahora</w:t>
      </w:r>
      <w:r>
        <w:rPr>
          <w:rFonts w:ascii="Palatino Linotype" w:eastAsia="Palatino Linotype" w:hAnsi="Palatino Linotype" w:cs="Palatino Linotype"/>
        </w:rPr>
        <w:t xml:space="preserve"> bien por cuanto hace a la Inconformidad realizada por el Recurrente referente a </w:t>
      </w:r>
      <w:r>
        <w:rPr>
          <w:rFonts w:ascii="Palatino Linotype" w:eastAsia="Palatino Linotype" w:hAnsi="Palatino Linotype" w:cs="Palatino Linotype"/>
          <w:color w:val="000000"/>
        </w:rPr>
        <w:t xml:space="preserve"> que no se cuenta con anexo que forme parte del acta donde conste relación </w:t>
      </w:r>
      <w:r>
        <w:rPr>
          <w:rFonts w:ascii="Palatino Linotype" w:eastAsia="Palatino Linotype" w:hAnsi="Palatino Linotype" w:cs="Palatino Linotype"/>
          <w:color w:val="000000"/>
        </w:rPr>
        <w:lastRenderedPageBreak/>
        <w:t xml:space="preserve">de asuntos pendientes, resulta necesario traer a contexto el </w:t>
      </w:r>
      <w:r>
        <w:rPr>
          <w:rFonts w:ascii="Palatino Linotype" w:eastAsia="Palatino Linotype" w:hAnsi="Palatino Linotype" w:cs="Palatino Linotype"/>
        </w:rPr>
        <w:t>Reglamento para los Procesos de Entrega y Recepción y de Rendición de Cuentas de la Administración Pública del Estado de México, el cual en sus artículos 6, 9 y 11 señala lo siguiente:</w:t>
      </w:r>
    </w:p>
    <w:p w:rsidR="002A27D4" w:rsidRDefault="002A27D4">
      <w:pPr>
        <w:tabs>
          <w:tab w:val="left" w:pos="284"/>
        </w:tabs>
        <w:spacing w:line="360" w:lineRule="auto"/>
        <w:jc w:val="both"/>
      </w:pP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Son sujetos obligados al proceso de Entrega y Recepción las personas servidoras públicas titulares de Unidades Administrativas, desde la persona titular del Poder Ejecutivo del Estado de México hasta las personas titulares de jefaturas de departamento en las Dependencias, así como los equivalentes jerárquicos en los Organismos Auxiliares. </w:t>
      </w:r>
    </w:p>
    <w:p w:rsidR="002A27D4" w:rsidRDefault="002A27D4">
      <w:pPr>
        <w:tabs>
          <w:tab w:val="left" w:pos="284"/>
        </w:tabs>
        <w:spacing w:line="360" w:lineRule="auto"/>
        <w:ind w:left="567" w:right="429"/>
        <w:jc w:val="both"/>
        <w:rPr>
          <w:rFonts w:ascii="Palatino Linotype" w:eastAsia="Palatino Linotype" w:hAnsi="Palatino Linotype" w:cs="Palatino Linotype"/>
          <w:i/>
          <w:sz w:val="22"/>
          <w:szCs w:val="22"/>
        </w:rPr>
      </w:pP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También deberán realizar procesos de Entrega y Recepción las personas servidoras públicas que, por comisión, suplencia, encargo o bajo cualquier otra figura, hayan quedado bajo el encargo provisional de alguna Unidad Administrativa en que la persona titular deba cumplir con esta obligación. </w:t>
      </w:r>
    </w:p>
    <w:p w:rsidR="002A27D4" w:rsidRDefault="002A27D4">
      <w:pPr>
        <w:tabs>
          <w:tab w:val="left" w:pos="284"/>
        </w:tabs>
        <w:spacing w:line="360" w:lineRule="auto"/>
        <w:ind w:left="567" w:right="429"/>
        <w:jc w:val="both"/>
        <w:rPr>
          <w:rFonts w:ascii="Palatino Linotype" w:eastAsia="Palatino Linotype" w:hAnsi="Palatino Linotype" w:cs="Palatino Linotype"/>
          <w:i/>
          <w:sz w:val="22"/>
          <w:szCs w:val="22"/>
        </w:rPr>
      </w:pP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personas titulares de las Dependencias y Organismos Auxiliares, previa opinión de la persona titular del Órgano Interno de Control correspondiente, determinarán, mediante acuerdo publicado en el Periódico Oficial “Gaceta del Gobierno”, la relación del personal del servicio público que, en adición a los ya señalados, esté obligado a realizar el proceso de Entrega y Recepción, señalando nombre, cargo, área de adscripción, ubicación física y tipo de fondos, bienes y valores públicos que tenga a su cargo, así como las actualizaciones correspondientes. </w:t>
      </w: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personas servidoras públicas que entregan deberán rendir un Informe de Gestión en el que hagan constar las actividades y temas encomendados y atendidos durante su gestión, relacionados con las facultades y atribuciones que les correspondan; así como el estado que guardan los asuntos de su competencia y los compromisos y actividades prioritarias por atender, con posterioridad al proceso de Entrega y Recepción.</w:t>
      </w:r>
    </w:p>
    <w:p w:rsidR="002A27D4" w:rsidRDefault="002A27D4">
      <w:pPr>
        <w:tabs>
          <w:tab w:val="left" w:pos="284"/>
        </w:tabs>
        <w:spacing w:line="360" w:lineRule="auto"/>
        <w:ind w:right="429"/>
        <w:jc w:val="both"/>
        <w:rPr>
          <w:rFonts w:ascii="Palatino Linotype" w:eastAsia="Palatino Linotype" w:hAnsi="Palatino Linotype" w:cs="Palatino Linotype"/>
          <w:sz w:val="22"/>
          <w:szCs w:val="22"/>
        </w:rPr>
      </w:pP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w:t>
      </w:r>
      <w:r>
        <w:rPr>
          <w:rFonts w:ascii="Palatino Linotype" w:eastAsia="Palatino Linotype" w:hAnsi="Palatino Linotype" w:cs="Palatino Linotype"/>
          <w:i/>
          <w:sz w:val="22"/>
          <w:szCs w:val="22"/>
        </w:rPr>
        <w:t>. El Acta Administrativa y sus anexos deberán elaborarse de manera física o electrónica, a través del SISER-WEB, conforme a los formatos establecidos para tal efecto, vinculados al soporte documental que resguarde la Persona que entrega. El Acta Administrativa deberá considerar, como mínimo, los apartados siguientes:</w:t>
      </w: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XV. Informe de Gestión: Reporte sobre el cumplimiento de obligaciones derivadas de instrumentos jurídicos, sobre el avance del presupuesto, programas y proyectos a su cargo, descripción sobre el estado en que se recibió y se entrega la Unidad Administrativa; resultados alcanzados, compromisos y actividades prioritarias dentro de los noventa días naturales siguientes al acto de Entrega y Recepción, y recomendaciones que se consideren pertinentes;</w:t>
      </w:r>
    </w:p>
    <w:p w:rsidR="002A27D4" w:rsidRDefault="002A27D4">
      <w:pPr>
        <w:tabs>
          <w:tab w:val="left" w:pos="284"/>
        </w:tabs>
        <w:spacing w:line="360" w:lineRule="auto"/>
        <w:ind w:left="567" w:right="429"/>
        <w:jc w:val="both"/>
        <w:rPr>
          <w:rFonts w:ascii="Palatino Linotype" w:eastAsia="Palatino Linotype" w:hAnsi="Palatino Linotype" w:cs="Palatino Linotype"/>
          <w:i/>
          <w:sz w:val="22"/>
          <w:szCs w:val="22"/>
        </w:rPr>
      </w:pPr>
    </w:p>
    <w:p w:rsidR="002A27D4" w:rsidRDefault="00693DBF">
      <w:pPr>
        <w:tabs>
          <w:tab w:val="left" w:pos="284"/>
        </w:tabs>
        <w:spacing w:line="360" w:lineRule="auto"/>
        <w:ind w:left="567" w:right="42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w:t>
      </w:r>
      <w:r>
        <w:rPr>
          <w:rFonts w:ascii="Palatino Linotype" w:eastAsia="Palatino Linotype" w:hAnsi="Palatino Linotype" w:cs="Palatino Linotype"/>
          <w:i/>
          <w:sz w:val="22"/>
          <w:szCs w:val="22"/>
        </w:rPr>
        <w:t xml:space="preserve">. El Informe de Gestión será parte del Acta Administrativa y deberá contener, según el tipo de funciones los apartados siguientes que resulten aplicables: </w:t>
      </w:r>
    </w:p>
    <w:p w:rsidR="002A27D4" w:rsidRDefault="002A27D4">
      <w:pPr>
        <w:tabs>
          <w:tab w:val="left" w:pos="284"/>
        </w:tabs>
        <w:spacing w:line="360" w:lineRule="auto"/>
        <w:ind w:left="567" w:right="429"/>
        <w:jc w:val="both"/>
        <w:rPr>
          <w:rFonts w:ascii="Palatino Linotype" w:eastAsia="Palatino Linotype" w:hAnsi="Palatino Linotype" w:cs="Palatino Linotype"/>
          <w:i/>
          <w:sz w:val="22"/>
          <w:szCs w:val="22"/>
        </w:rPr>
      </w:pPr>
    </w:p>
    <w:p w:rsidR="002A27D4" w:rsidRDefault="00693DBF">
      <w:pPr>
        <w:numPr>
          <w:ilvl w:val="0"/>
          <w:numId w:val="7"/>
        </w:numPr>
        <w:tabs>
          <w:tab w:val="left" w:pos="284"/>
        </w:tabs>
        <w:spacing w:line="360" w:lineRule="auto"/>
        <w:ind w:right="429" w:firstLine="13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Actividades y funciones: Una descripción de las actividades y temas encomendados a la persona servidora pública, que fueron atendidos durante su gestión, relacionados con las facultades o funciones que le correspondan; </w:t>
      </w:r>
    </w:p>
    <w:p w:rsidR="002A27D4" w:rsidRDefault="00693DBF">
      <w:pPr>
        <w:tabs>
          <w:tab w:val="left" w:pos="284"/>
        </w:tabs>
        <w:spacing w:line="360" w:lineRule="auto"/>
        <w:ind w:left="1287" w:right="42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Resultado de los programas, proyectos, estrategias y aspectos relevantes o prioritarios: En este apartado se deberá señalar el grado de cumplimiento cuantitativo, con la justificación correspondiente que explique el nivel alcanzado y las razones de aquello que quedó pendiente de alcanzar sobre los objetivos, metas, </w:t>
      </w:r>
      <w:r>
        <w:rPr>
          <w:rFonts w:ascii="Palatino Linotype" w:eastAsia="Palatino Linotype" w:hAnsi="Palatino Linotype" w:cs="Palatino Linotype"/>
          <w:i/>
          <w:color w:val="000000"/>
          <w:sz w:val="22"/>
          <w:szCs w:val="22"/>
        </w:rPr>
        <w:lastRenderedPageBreak/>
        <w:t>políticas, programas, proyectos, estrategias y aspectos relevantes o prioritarios que correspondan al área o funciones de la Persona que entrega;</w:t>
      </w:r>
    </w:p>
    <w:p w:rsidR="002A27D4" w:rsidRDefault="00693DBF">
      <w:pPr>
        <w:tabs>
          <w:tab w:val="left" w:pos="284"/>
        </w:tabs>
        <w:spacing w:line="360" w:lineRule="auto"/>
        <w:ind w:left="1287" w:right="42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III. Principales logros alcanzados: Se deberá señalar los principales logros alcanzados y sus impactos, identificando los programas, proyectos o acciones que se consideren deban tener continuidad con la justificación correspondiente, así como indicar las recomendaciones o propuestas de políticas y estrategias que contribuyan a su seguimiento, y </w:t>
      </w:r>
    </w:p>
    <w:p w:rsidR="002A27D4" w:rsidRDefault="00693DBF">
      <w:pPr>
        <w:tabs>
          <w:tab w:val="left" w:pos="284"/>
        </w:tabs>
        <w:spacing w:line="360" w:lineRule="auto"/>
        <w:ind w:left="1287" w:right="42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Temas prioritarios, principales problemáticas y estado que guardan los asuntos: Se deberá identificar las principales problemáticas y temas prioritarios, señalando el grado de atención de los mismos, los plazos o fechas de vencimiento, el presupuesto autorizado, la última actividad realizada sobre los mismos, indicando la fecha y las recomendaciones a seguir. Se deberá reportar el estado de los asuntos a cargo señalando los que se encuentran concluidos, en proceso y aquellos que ocurren con cierta periodicidad, así como los que requieren de atención especial e inmediata en el momento de la entrega.</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Como se observa de mencionados artículos los servidores públicos que entregan deberán de rendir un Informe de Gestión, en el que hagan constar las actividades y temas encomendados y atendidos durante su gestión, relacionados con las facultades y atribuciones que les correspondan; así como el estado que guardan los asuntos de su competencia y los compromisos y actividades prioritarias por atender, con posterioridad al proceso de Entrega y Recepción. </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pPr>
      <w:r>
        <w:rPr>
          <w:rFonts w:ascii="Palatino Linotype" w:eastAsia="Palatino Linotype" w:hAnsi="Palatino Linotype" w:cs="Palatino Linotype"/>
        </w:rPr>
        <w:t xml:space="preserve">Por lo tanto se ORDENA al   SUJETO OBLIGADO,   remitir las actas de entrega recepción faltantes de las áreas adscritas, el  documento donde conste la relación de asuntos pendientes de las áreas adscritas,  que contengan los  resultados alcanzados, </w:t>
      </w:r>
      <w:r>
        <w:rPr>
          <w:rFonts w:ascii="Palatino Linotype" w:eastAsia="Palatino Linotype" w:hAnsi="Palatino Linotype" w:cs="Palatino Linotype"/>
        </w:rPr>
        <w:lastRenderedPageBreak/>
        <w:t>compromisos y actividades prioritarias dentro de los noventa días naturales siguientes al acto de Entrega y Recepción, y recomendaciones que se consideren pertinentes y los documentos donde conste el cumplimiento de los servidores públicos a los asuntos pendientes.</w:t>
      </w:r>
    </w:p>
    <w:p w:rsidR="002A27D4" w:rsidRDefault="002A27D4">
      <w:pPr>
        <w:spacing w:line="360" w:lineRule="auto"/>
        <w:jc w:val="both"/>
        <w:rPr>
          <w:rFonts w:ascii="Palatino Linotype" w:eastAsia="Palatino Linotype" w:hAnsi="Palatino Linotype" w:cs="Palatino Linotype"/>
          <w:b/>
        </w:rPr>
      </w:pPr>
    </w:p>
    <w:p w:rsidR="002A27D4" w:rsidRDefault="00693DBF">
      <w:pPr>
        <w:keepNext/>
        <w:keepLines/>
        <w:spacing w:after="160" w:line="360" w:lineRule="auto"/>
        <w:rPr>
          <w:rFonts w:ascii="Palatino Linotype" w:eastAsia="Palatino Linotype" w:hAnsi="Palatino Linotype" w:cs="Palatino Linotype"/>
          <w:b/>
          <w:color w:val="000000"/>
        </w:rPr>
      </w:pPr>
      <w:bookmarkStart w:id="1" w:name="_heading=h.gjdgxs" w:colFirst="0" w:colLast="0"/>
      <w:bookmarkEnd w:id="1"/>
      <w:r>
        <w:rPr>
          <w:rFonts w:ascii="Palatino Linotype" w:eastAsia="Palatino Linotype" w:hAnsi="Palatino Linotype" w:cs="Palatino Linotype"/>
          <w:b/>
          <w:color w:val="000000"/>
        </w:rPr>
        <w:t>QUINTO. De la versión pública.</w:t>
      </w:r>
    </w:p>
    <w:p w:rsidR="002A27D4" w:rsidRDefault="00693DBF">
      <w:pPr>
        <w:keepNext/>
        <w:keepLines/>
        <w:numPr>
          <w:ilvl w:val="0"/>
          <w:numId w:val="8"/>
        </w:numPr>
        <w:tabs>
          <w:tab w:val="left" w:pos="284"/>
        </w:tabs>
        <w:spacing w:after="160" w:line="360" w:lineRule="auto"/>
        <w:ind w:left="0" w:firstLine="0"/>
        <w:rPr>
          <w:rFonts w:ascii="Palatino Linotype" w:eastAsia="Palatino Linotype" w:hAnsi="Palatino Linotype" w:cs="Palatino Linotype"/>
          <w:b/>
          <w:color w:val="000000"/>
        </w:rPr>
      </w:pPr>
      <w:bookmarkStart w:id="2" w:name="_heading=h.30j0zll" w:colFirst="0" w:colLast="0"/>
      <w:bookmarkEnd w:id="2"/>
      <w:r>
        <w:rPr>
          <w:rFonts w:ascii="Palatino Linotype" w:eastAsia="Palatino Linotype" w:hAnsi="Palatino Linotype" w:cs="Palatino Linotype"/>
          <w:b/>
          <w:color w:val="000000"/>
        </w:rPr>
        <w:t xml:space="preserve">Nociones generales. </w:t>
      </w: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t xml:space="preserve">Debe destacarse, que debido a la información solicitada por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pueden obrar datos personales susceptibles de protegerse, así como información susceptible de clasificarse como confidencial,  por lo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A27D4" w:rsidRDefault="002A27D4">
      <w:pPr>
        <w:tabs>
          <w:tab w:val="left" w:pos="0"/>
          <w:tab w:val="left" w:pos="284"/>
        </w:tabs>
        <w:spacing w:line="360" w:lineRule="auto"/>
        <w:jc w:val="both"/>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A27D4" w:rsidRDefault="002A27D4">
      <w:pPr>
        <w:tabs>
          <w:tab w:val="left" w:pos="284"/>
        </w:tabs>
        <w:spacing w:after="160" w:line="360" w:lineRule="auto"/>
        <w:jc w:val="both"/>
        <w:rPr>
          <w:rFonts w:ascii="Palatino Linotype" w:eastAsia="Palatino Linotype" w:hAnsi="Palatino Linotype" w:cs="Palatino Linotype"/>
          <w:color w:val="000000"/>
        </w:rPr>
      </w:pPr>
    </w:p>
    <w:tbl>
      <w:tblPr>
        <w:tblStyle w:val="Style43"/>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2A27D4" w:rsidTr="002A2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A27D4" w:rsidRDefault="00693DBF">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520" w:type="dxa"/>
          </w:tcPr>
          <w:p w:rsidR="002A27D4" w:rsidRDefault="00693DB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100 y 122 de la Ley Estatal y de la Ley General, respectivamente, señalan que si los Sujetos Obligados determinan que la información actualiza alguno de los supuestos de clasificación, </w:t>
            </w:r>
            <w:r>
              <w:rPr>
                <w:rFonts w:ascii="Palatino Linotype" w:eastAsia="Palatino Linotype" w:hAnsi="Palatino Linotype" w:cs="Palatino Linotype"/>
                <w:color w:val="000000"/>
                <w:sz w:val="20"/>
                <w:szCs w:val="20"/>
              </w:rPr>
              <w:lastRenderedPageBreak/>
              <w:t xml:space="preserve">es deber de los titulares de las áreas proponer su clasificación y no del Comité de Transparencia. </w:t>
            </w:r>
          </w:p>
          <w:p w:rsidR="002A27D4" w:rsidRDefault="00693DB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Al hacerlo tienen que precisar de qué información se trata, señalando el supuesto de clasificación (confidencialidad o reserva).</w:t>
            </w:r>
          </w:p>
          <w:p w:rsidR="002A27D4" w:rsidRDefault="00693DB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Además, se debe señalar el procedimiento, de los tres que establecen los artículos 132 y 106 de la Ley Estatal y General, respectivamente.</w:t>
            </w:r>
          </w:p>
          <w:p w:rsidR="002A27D4" w:rsidRDefault="00693DBF">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2A27D4" w:rsidTr="002A27D4">
        <w:tc>
          <w:tcPr>
            <w:cnfStyle w:val="001000000000" w:firstRow="0" w:lastRow="0" w:firstColumn="1" w:lastColumn="0" w:oddVBand="0" w:evenVBand="0" w:oddHBand="0" w:evenHBand="0" w:firstRowFirstColumn="0" w:firstRowLastColumn="0" w:lastRowFirstColumn="0" w:lastRowLastColumn="0"/>
            <w:tcW w:w="2689" w:type="dxa"/>
          </w:tcPr>
          <w:p w:rsidR="002A27D4" w:rsidRDefault="00693DBF">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520" w:type="dxa"/>
          </w:tcPr>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A27D4" w:rsidTr="002A27D4">
        <w:tc>
          <w:tcPr>
            <w:cnfStyle w:val="001000000000" w:firstRow="0" w:lastRow="0" w:firstColumn="1" w:lastColumn="0" w:oddVBand="0" w:evenVBand="0" w:oddHBand="0" w:evenHBand="0" w:firstRowFirstColumn="0" w:firstRowLastColumn="0" w:lastRowFirstColumn="0" w:lastRowLastColumn="0"/>
            <w:tcW w:w="2689" w:type="dxa"/>
          </w:tcPr>
          <w:p w:rsidR="002A27D4" w:rsidRDefault="00693DBF">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 Formalidades para emitir el acuerdo de clasificación.</w:t>
            </w:r>
          </w:p>
        </w:tc>
        <w:tc>
          <w:tcPr>
            <w:tcW w:w="6520" w:type="dxa"/>
          </w:tcPr>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A27D4" w:rsidTr="002A27D4">
        <w:tc>
          <w:tcPr>
            <w:cnfStyle w:val="001000000000" w:firstRow="0" w:lastRow="0" w:firstColumn="1" w:lastColumn="0" w:oddVBand="0" w:evenVBand="0" w:oddHBand="0" w:evenHBand="0" w:firstRowFirstColumn="0" w:firstRowLastColumn="0" w:lastRowFirstColumn="0" w:lastRowLastColumn="0"/>
            <w:tcW w:w="2689" w:type="dxa"/>
          </w:tcPr>
          <w:p w:rsidR="002A27D4" w:rsidRDefault="002A27D4">
            <w:pPr>
              <w:tabs>
                <w:tab w:val="left" w:pos="284"/>
              </w:tabs>
              <w:spacing w:line="360" w:lineRule="auto"/>
              <w:rPr>
                <w:rFonts w:ascii="Palatino Linotype" w:eastAsia="Palatino Linotype" w:hAnsi="Palatino Linotype" w:cs="Palatino Linotype"/>
                <w:sz w:val="20"/>
                <w:szCs w:val="20"/>
              </w:rPr>
            </w:pPr>
          </w:p>
          <w:p w:rsidR="002A27D4" w:rsidRDefault="00693DBF">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d) Requisitos de fondo del acuerdo de clasificación. </w:t>
            </w:r>
          </w:p>
        </w:tc>
        <w:tc>
          <w:tcPr>
            <w:tcW w:w="6520" w:type="dxa"/>
          </w:tcPr>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A27D4" w:rsidTr="002A27D4">
        <w:tc>
          <w:tcPr>
            <w:cnfStyle w:val="001000000000" w:firstRow="0" w:lastRow="0" w:firstColumn="1" w:lastColumn="0" w:oddVBand="0" w:evenVBand="0" w:oddHBand="0" w:evenHBand="0" w:firstRowFirstColumn="0" w:firstRowLastColumn="0" w:lastRowFirstColumn="0" w:lastRowLastColumn="0"/>
            <w:tcW w:w="2689" w:type="dxa"/>
          </w:tcPr>
          <w:p w:rsidR="002A27D4" w:rsidRDefault="00693DBF">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520" w:type="dxa"/>
          </w:tcPr>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2A27D4" w:rsidRDefault="00693DBF">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A27D4" w:rsidRDefault="00693DBF">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Pero si la información que se pretende clasificar como confidencial no se encuentra en los supuestos de los artículos señalados y es posible, se deberá consultar al titular de los datos si permite o no el acceso. De no </w:t>
            </w:r>
            <w:r>
              <w:rPr>
                <w:rFonts w:ascii="Palatino Linotype" w:eastAsia="Palatino Linotype" w:hAnsi="Palatino Linotype" w:cs="Palatino Linotype"/>
                <w:color w:val="000000"/>
                <w:sz w:val="20"/>
                <w:szCs w:val="20"/>
              </w:rPr>
              <w:lastRenderedPageBreak/>
              <w:t>ser posible, la realización de la consulta, procede, fundando y motivando, la clasificación.</w:t>
            </w:r>
          </w:p>
        </w:tc>
      </w:tr>
    </w:tbl>
    <w:p w:rsidR="002A27D4" w:rsidRDefault="002A27D4">
      <w:pPr>
        <w:tabs>
          <w:tab w:val="left" w:pos="284"/>
        </w:tabs>
        <w:spacing w:line="360" w:lineRule="auto"/>
        <w:rPr>
          <w:rFonts w:ascii="Palatino Linotype" w:eastAsia="Palatino Linotype" w:hAnsi="Palatino Linotype" w:cs="Palatino Linotype"/>
          <w:color w:val="000000"/>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color w:val="000000"/>
        </w:rPr>
        <w:t xml:space="preserve">Es de precisar que por tratarse de actas de entrega recepción,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tendrá que observar el estudio que hizo en el considerando cuarto respecto de la información que debe de clasificarse como confidencial.  </w:t>
      </w:r>
    </w:p>
    <w:p w:rsidR="002A27D4" w:rsidRDefault="002A27D4">
      <w:pPr>
        <w:rPr>
          <w:rFonts w:ascii="Palatino Linotype" w:eastAsia="Palatino Linotype" w:hAnsi="Palatino Linotype" w:cs="Palatino Linotype"/>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A27D4" w:rsidRDefault="002A27D4">
      <w:pPr>
        <w:tabs>
          <w:tab w:val="left" w:pos="284"/>
        </w:tabs>
        <w:spacing w:line="360" w:lineRule="auto"/>
        <w:jc w:val="both"/>
        <w:rPr>
          <w:rFonts w:ascii="Palatino Linotype" w:eastAsia="Palatino Linotype" w:hAnsi="Palatino Linotype" w:cs="Palatino Linotype"/>
          <w:color w:val="000000"/>
          <w:sz w:val="22"/>
          <w:szCs w:val="22"/>
        </w:rPr>
      </w:pPr>
    </w:p>
    <w:p w:rsidR="002A27D4" w:rsidRDefault="00693DBF">
      <w:pPr>
        <w:numPr>
          <w:ilvl w:val="0"/>
          <w:numId w:val="2"/>
        </w:numPr>
        <w:tabs>
          <w:tab w:val="left" w:pos="284"/>
        </w:tabs>
        <w:spacing w:line="360" w:lineRule="auto"/>
        <w:ind w:left="0" w:firstLine="0"/>
        <w:jc w:val="both"/>
        <w:rPr>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smallCaps/>
        </w:rPr>
        <w:t>REVOCAR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rsidR="002A27D4" w:rsidRDefault="002A27D4">
      <w:pPr>
        <w:tabs>
          <w:tab w:val="left" w:pos="284"/>
        </w:tabs>
        <w:spacing w:line="360" w:lineRule="auto"/>
        <w:jc w:val="both"/>
        <w:rPr>
          <w:rFonts w:ascii="Palatino Linotype" w:eastAsia="Palatino Linotype" w:hAnsi="Palatino Linotype" w:cs="Palatino Linotype"/>
        </w:rPr>
      </w:pPr>
    </w:p>
    <w:p w:rsidR="005C47E8" w:rsidRPr="005C47E8" w:rsidRDefault="00693DBF" w:rsidP="0061353C">
      <w:pPr>
        <w:tabs>
          <w:tab w:val="left" w:pos="284"/>
        </w:tabs>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O L U T I V O S</w:t>
      </w: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00053/INFOEM/IP/RR/2024,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de la presente resolución.</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la Secretaría de Cultura y Turismo </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entregar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la siguiente información en versión pública:</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numPr>
          <w:ilvl w:val="0"/>
          <w:numId w:val="9"/>
        </w:num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Actas de Entrega- Recepción de la Dirección General de Patrimonio y Servicios Culturales del Valle de los Volcanes, Dirección de Servicios Culturales del Valle de los Volcanes, Dirección General de Patrimonio y Servicios Culturales del Valle de Toluca, Coordinación Administrativa y Secretaria Particular referidas en respuesta.</w:t>
      </w:r>
    </w:p>
    <w:p w:rsidR="002A27D4" w:rsidRDefault="00693DBF">
      <w:pPr>
        <w:numPr>
          <w:ilvl w:val="0"/>
          <w:numId w:val="9"/>
        </w:num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Documento donde conste la relación de asuntos pendientes de las áreas adscritas,  que contengan los  resultados alcanzados, compromisos y actividades prioritarias dentro de los noventa días naturales siguientes al acto de Entrega y Recepción, y recomendaciones que se consideren pertinentes derivado de las Actas de Entrega- Recepción del 15 de septiembre al 28 de noviembre 2023.</w:t>
      </w:r>
    </w:p>
    <w:p w:rsidR="002A27D4" w:rsidRDefault="00693DBF">
      <w:pPr>
        <w:numPr>
          <w:ilvl w:val="0"/>
          <w:numId w:val="9"/>
        </w:num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Documentos donde conste el cumplimiento de los servidores públicos a los asuntos pendientes derivados de las Actas de Entrega- Recepción del 15 de septiembre al 28 de noviembre 2023.</w:t>
      </w:r>
    </w:p>
    <w:p w:rsidR="002A27D4" w:rsidRDefault="002A27D4">
      <w:pPr>
        <w:tabs>
          <w:tab w:val="left" w:pos="284"/>
        </w:tabs>
        <w:spacing w:line="360" w:lineRule="auto"/>
        <w:jc w:val="both"/>
        <w:rPr>
          <w:rFonts w:ascii="Palatino Linotype" w:eastAsia="Palatino Linotype" w:hAnsi="Palatino Linotype" w:cs="Palatino Linotype"/>
          <w:b/>
        </w:rPr>
      </w:pPr>
    </w:p>
    <w:p w:rsidR="002A27D4" w:rsidRDefault="00693DBF">
      <w:pPr>
        <w:tabs>
          <w:tab w:val="left" w:pos="284"/>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w:t>
      </w:r>
      <w:r>
        <w:rPr>
          <w:rFonts w:ascii="Palatino Linotype" w:eastAsia="Palatino Linotype" w:hAnsi="Palatino Linotype" w:cs="Palatino Linotype"/>
        </w:rPr>
        <w:lastRenderedPageBreak/>
        <w:t xml:space="preserve">del soporte documental respectivo objeto de las versiones públicas que se formulen y se pongan a disposición del </w:t>
      </w:r>
      <w:r>
        <w:rPr>
          <w:rFonts w:ascii="Palatino Linotype" w:eastAsia="Palatino Linotype" w:hAnsi="Palatino Linotype" w:cs="Palatino Linotype"/>
          <w:b/>
        </w:rPr>
        <w:t>RECURRENTE.</w:t>
      </w:r>
    </w:p>
    <w:p w:rsidR="002A27D4" w:rsidRDefault="002A27D4">
      <w:pPr>
        <w:tabs>
          <w:tab w:val="left" w:pos="284"/>
        </w:tabs>
        <w:spacing w:line="360" w:lineRule="auto"/>
        <w:jc w:val="both"/>
        <w:rPr>
          <w:rFonts w:ascii="Palatino Linotype" w:eastAsia="Palatino Linotype" w:hAnsi="Palatino Linotype" w:cs="Palatino Linotype"/>
          <w:b/>
        </w:rPr>
      </w:pPr>
    </w:p>
    <w:p w:rsidR="002A27D4" w:rsidRPr="0061353C" w:rsidRDefault="00693DBF">
      <w:pPr>
        <w:tabs>
          <w:tab w:val="left" w:pos="284"/>
        </w:tabs>
        <w:spacing w:line="360" w:lineRule="auto"/>
        <w:jc w:val="both"/>
        <w:rPr>
          <w:rFonts w:ascii="Palatino Linotype" w:eastAsia="Palatino Linotype" w:hAnsi="Palatino Linotype" w:cs="Palatino Linotype"/>
          <w:b/>
          <w:color w:val="000000"/>
        </w:rPr>
      </w:pPr>
      <w:r w:rsidRPr="0061353C">
        <w:rPr>
          <w:rFonts w:ascii="Palatino Linotype" w:eastAsia="Palatino Linotype" w:hAnsi="Palatino Linotype" w:cs="Palatino Linotype"/>
          <w:color w:val="000000"/>
        </w:rPr>
        <w:t xml:space="preserve">En caso de que de las actas de entrega-recepción existan  observaciones que formen </w:t>
      </w:r>
      <w:r w:rsidRPr="0061353C">
        <w:rPr>
          <w:rFonts w:ascii="Palatino Linotype" w:eastAsia="Palatino Linotype" w:hAnsi="Palatino Linotype" w:cs="Palatino Linotype"/>
          <w:b/>
          <w:color w:val="000000"/>
        </w:rPr>
        <w:t xml:space="preserve"> parte de un expediente que se encuentre en trámite </w:t>
      </w:r>
      <w:r w:rsidRPr="0061353C">
        <w:rPr>
          <w:rFonts w:ascii="Palatino Linotype" w:eastAsia="Palatino Linotype" w:hAnsi="Palatino Linotype" w:cs="Palatino Linotype"/>
          <w:color w:val="000000"/>
        </w:rPr>
        <w:t xml:space="preserve"> el </w:t>
      </w:r>
      <w:r w:rsidRPr="0061353C">
        <w:rPr>
          <w:rFonts w:ascii="Palatino Linotype" w:eastAsia="Palatino Linotype" w:hAnsi="Palatino Linotype" w:cs="Palatino Linotype"/>
          <w:b/>
          <w:color w:val="000000"/>
        </w:rPr>
        <w:t xml:space="preserve">SUJETO OBLIGADO </w:t>
      </w:r>
      <w:r w:rsidRPr="0061353C">
        <w:rPr>
          <w:rFonts w:ascii="Palatino Linotype" w:eastAsia="Palatino Linotype" w:hAnsi="Palatino Linotype" w:cs="Palatino Linotype"/>
          <w:color w:val="000000"/>
        </w:rPr>
        <w:t>deberá de emitir el Acuerdo de Clasificación de Información del Comité de Transparencia</w:t>
      </w:r>
      <w:r w:rsidRPr="0061353C">
        <w:rPr>
          <w:rFonts w:ascii="Palatino Linotype" w:eastAsia="Palatino Linotype" w:hAnsi="Palatino Linotype" w:cs="Palatino Linotype"/>
          <w:b/>
          <w:color w:val="000000"/>
        </w:rPr>
        <w:t xml:space="preserve"> en términos de los ordinales 49, fracción VIII, 129, 140 y 141 de la Ley de Transparencia y Acceso a la Información pública del Estado de México y Municipios.</w:t>
      </w: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la presente resolución, vía SAIMEX.</w:t>
      </w:r>
    </w:p>
    <w:p w:rsidR="002A27D4" w:rsidRDefault="002A27D4">
      <w:pPr>
        <w:tabs>
          <w:tab w:val="left" w:pos="284"/>
        </w:tabs>
        <w:spacing w:line="360" w:lineRule="auto"/>
        <w:jc w:val="both"/>
        <w:rPr>
          <w:rFonts w:ascii="Palatino Linotype" w:eastAsia="Palatino Linotype" w:hAnsi="Palatino Linotype" w:cs="Palatino Linotype"/>
        </w:rPr>
      </w:pPr>
    </w:p>
    <w:p w:rsidR="002A27D4" w:rsidRDefault="00693DBF">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5C47E8" w:rsidRDefault="005C47E8">
      <w:pPr>
        <w:tabs>
          <w:tab w:val="left" w:pos="284"/>
        </w:tabs>
        <w:spacing w:line="360" w:lineRule="auto"/>
        <w:jc w:val="both"/>
        <w:rPr>
          <w:rFonts w:ascii="Palatino Linotype" w:eastAsia="Palatino Linotype" w:hAnsi="Palatino Linotype" w:cs="Palatino Linotype"/>
        </w:rPr>
      </w:pPr>
    </w:p>
    <w:p w:rsidR="005C47E8" w:rsidRPr="003C7186" w:rsidRDefault="005C47E8" w:rsidP="005C47E8">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003B4A51">
        <w:rPr>
          <w:rFonts w:ascii="Palatino Linotype" w:hAnsi="Palatino Linotype"/>
        </w:rPr>
        <w:t xml:space="preserve">EMITIENDO VOTO PARTICULAR </w:t>
      </w:r>
      <w:r>
        <w:rPr>
          <w:rFonts w:ascii="Palatino Linotype" w:hAnsi="Palatino Linotype"/>
        </w:rPr>
        <w:t xml:space="preserve">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bookmarkStart w:id="3" w:name="_GoBack"/>
      <w:bookmarkEnd w:id="3"/>
    </w:p>
    <w:p w:rsidR="002A27D4" w:rsidRDefault="002A27D4">
      <w:pPr>
        <w:spacing w:before="240" w:after="240" w:line="360" w:lineRule="auto"/>
        <w:jc w:val="both"/>
        <w:rPr>
          <w:rFonts w:ascii="Palatino Linotype" w:eastAsia="Palatino Linotype" w:hAnsi="Palatino Linotype" w:cs="Palatino Linotype"/>
        </w:rPr>
      </w:pPr>
    </w:p>
    <w:p w:rsidR="002A27D4" w:rsidRDefault="002A27D4">
      <w:pPr>
        <w:spacing w:line="360" w:lineRule="auto"/>
        <w:ind w:firstLine="1"/>
        <w:jc w:val="both"/>
        <w:rPr>
          <w:rFonts w:ascii="Palatino Linotype" w:eastAsia="Palatino Linotype" w:hAnsi="Palatino Linotype" w:cs="Palatino Linotype"/>
        </w:rPr>
      </w:pPr>
    </w:p>
    <w:p w:rsidR="002A27D4" w:rsidRDefault="002A27D4">
      <w:pPr>
        <w:spacing w:before="240" w:after="240" w:line="360" w:lineRule="auto"/>
        <w:jc w:val="both"/>
        <w:rPr>
          <w:rFonts w:ascii="Palatino Linotype" w:eastAsia="Palatino Linotype" w:hAnsi="Palatino Linotype" w:cs="Palatino Linotype"/>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spacing w:before="240" w:after="360" w:line="360" w:lineRule="auto"/>
        <w:jc w:val="both"/>
        <w:rPr>
          <w:rFonts w:ascii="Palatino Linotype" w:eastAsia="Palatino Linotype" w:hAnsi="Palatino Linotype" w:cs="Palatino Linotype"/>
          <w:color w:val="222222"/>
        </w:rPr>
      </w:pPr>
    </w:p>
    <w:p w:rsidR="002A27D4" w:rsidRDefault="002A27D4">
      <w:pPr>
        <w:tabs>
          <w:tab w:val="left" w:pos="0"/>
          <w:tab w:val="left" w:pos="6161"/>
        </w:tabs>
        <w:spacing w:line="360" w:lineRule="auto"/>
        <w:jc w:val="both"/>
        <w:rPr>
          <w:color w:val="000000"/>
        </w:rPr>
      </w:pPr>
    </w:p>
    <w:p w:rsidR="002A27D4" w:rsidRDefault="002A27D4">
      <w:pPr>
        <w:tabs>
          <w:tab w:val="left" w:pos="0"/>
        </w:tabs>
        <w:spacing w:line="360" w:lineRule="auto"/>
        <w:jc w:val="both"/>
        <w:rPr>
          <w:color w:val="000000"/>
        </w:rPr>
      </w:pPr>
    </w:p>
    <w:p w:rsidR="002A27D4" w:rsidRDefault="002A27D4">
      <w:pPr>
        <w:tabs>
          <w:tab w:val="left" w:pos="0"/>
        </w:tabs>
        <w:spacing w:line="360" w:lineRule="auto"/>
        <w:jc w:val="both"/>
        <w:rPr>
          <w:color w:val="000000"/>
        </w:rPr>
      </w:pPr>
    </w:p>
    <w:p w:rsidR="002A27D4" w:rsidRDefault="002A27D4">
      <w:pPr>
        <w:tabs>
          <w:tab w:val="left" w:pos="0"/>
        </w:tabs>
        <w:spacing w:line="360" w:lineRule="auto"/>
        <w:jc w:val="both"/>
        <w:rPr>
          <w:color w:val="000000"/>
        </w:rPr>
      </w:pPr>
    </w:p>
    <w:p w:rsidR="002A27D4" w:rsidRDefault="002A27D4">
      <w:pPr>
        <w:tabs>
          <w:tab w:val="left" w:pos="0"/>
        </w:tabs>
        <w:spacing w:line="360" w:lineRule="auto"/>
        <w:jc w:val="both"/>
        <w:rPr>
          <w:color w:val="000000"/>
        </w:rPr>
      </w:pPr>
    </w:p>
    <w:sectPr w:rsidR="002A27D4">
      <w:headerReference w:type="even" r:id="rId23"/>
      <w:headerReference w:type="default" r:id="rId24"/>
      <w:footerReference w:type="default" r:id="rId25"/>
      <w:headerReference w:type="first" r:id="rId26"/>
      <w:footerReference w:type="first" r:id="rId27"/>
      <w:pgSz w:w="12240" w:h="15840"/>
      <w:pgMar w:top="2268" w:right="1467"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C83" w:rsidRDefault="00B75C83">
      <w:r>
        <w:separator/>
      </w:r>
    </w:p>
  </w:endnote>
  <w:endnote w:type="continuationSeparator" w:id="0">
    <w:p w:rsidR="00B75C83" w:rsidRDefault="00B7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7D4" w:rsidRDefault="00693DBF">
    <w:pP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1353C">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1353C">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p>
  <w:p w:rsidR="002A27D4" w:rsidRDefault="002A27D4">
    <w:pP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7D4" w:rsidRDefault="00693DBF">
    <w:pP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1353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1353C">
      <w:rPr>
        <w:rFonts w:ascii="Palatino Linotype" w:eastAsia="Palatino Linotype" w:hAnsi="Palatino Linotype" w:cs="Palatino Linotype"/>
        <w:noProof/>
        <w:color w:val="000000"/>
        <w:sz w:val="20"/>
        <w:szCs w:val="20"/>
      </w:rPr>
      <w:t>59</w:t>
    </w:r>
    <w:r>
      <w:rPr>
        <w:rFonts w:ascii="Palatino Linotype" w:eastAsia="Palatino Linotype" w:hAnsi="Palatino Linotype" w:cs="Palatino Linotype"/>
        <w:color w:val="000000"/>
        <w:sz w:val="20"/>
        <w:szCs w:val="20"/>
      </w:rPr>
      <w:fldChar w:fldCharType="end"/>
    </w:r>
  </w:p>
  <w:p w:rsidR="002A27D4" w:rsidRDefault="002A27D4">
    <w:pP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C83" w:rsidRDefault="00B75C83">
      <w:r>
        <w:separator/>
      </w:r>
    </w:p>
  </w:footnote>
  <w:footnote w:type="continuationSeparator" w:id="0">
    <w:p w:rsidR="00B75C83" w:rsidRDefault="00B75C83">
      <w:r>
        <w:continuationSeparator/>
      </w:r>
    </w:p>
  </w:footnote>
  <w:footnote w:id="1">
    <w:p w:rsidR="002A27D4" w:rsidRDefault="00693DBF">
      <w:pP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2A27D4" w:rsidRDefault="00693DBF">
      <w:pP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2A27D4" w:rsidRDefault="00693DBF">
      <w:pP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2A27D4" w:rsidRDefault="00693DBF">
      <w:pP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7D4" w:rsidRDefault="00B75C83">
    <w:pP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609.4pt;height:793.75pt;z-index:-251657728;mso-position-horizontal:center;mso-position-horizontal-relative:margin;mso-position-vertical:center;mso-position-vertical-relative:margin;mso-width-relative:page;mso-height-relative:page">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7D4" w:rsidRDefault="002A27D4">
    <w:pPr>
      <w:widowControl w:val="0"/>
      <w:spacing w:line="276" w:lineRule="auto"/>
      <w:rPr>
        <w:color w:val="000000"/>
      </w:rPr>
    </w:pPr>
  </w:p>
  <w:tbl>
    <w:tblPr>
      <w:tblStyle w:val="Style44"/>
      <w:tblW w:w="7305" w:type="dxa"/>
      <w:tblInd w:w="2694" w:type="dxa"/>
      <w:tblLayout w:type="fixed"/>
      <w:tblLook w:val="04A0" w:firstRow="1" w:lastRow="0" w:firstColumn="1" w:lastColumn="0" w:noHBand="0" w:noVBand="1"/>
    </w:tblPr>
    <w:tblGrid>
      <w:gridCol w:w="2970"/>
      <w:gridCol w:w="4335"/>
    </w:tblGrid>
    <w:tr w:rsidR="002A27D4">
      <w:trPr>
        <w:trHeight w:val="227"/>
      </w:trPr>
      <w:tc>
        <w:tcPr>
          <w:tcW w:w="2970" w:type="dxa"/>
          <w:vAlign w:val="center"/>
        </w:tcPr>
        <w:p w:rsidR="002A27D4" w:rsidRDefault="00693DB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rsidR="002A27D4" w:rsidRDefault="00693DBF">
          <w:pP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00053/INFOEM/IP/RR/2024</w:t>
          </w:r>
        </w:p>
      </w:tc>
    </w:tr>
    <w:tr w:rsidR="002A27D4">
      <w:trPr>
        <w:trHeight w:val="242"/>
      </w:trPr>
      <w:tc>
        <w:tcPr>
          <w:tcW w:w="2970" w:type="dxa"/>
          <w:vAlign w:val="center"/>
        </w:tcPr>
        <w:p w:rsidR="002A27D4" w:rsidRDefault="00693DB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rsidR="002A27D4" w:rsidRDefault="00693DBF">
          <w:pP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Secretaría de Cultura y Turismo</w:t>
          </w:r>
        </w:p>
      </w:tc>
    </w:tr>
    <w:tr w:rsidR="002A27D4">
      <w:trPr>
        <w:trHeight w:val="342"/>
      </w:trPr>
      <w:tc>
        <w:tcPr>
          <w:tcW w:w="2970" w:type="dxa"/>
          <w:vAlign w:val="center"/>
        </w:tcPr>
        <w:p w:rsidR="002A27D4" w:rsidRDefault="00693DBF">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rsidR="002A27D4" w:rsidRDefault="00693DBF">
          <w:pP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2A27D4" w:rsidRDefault="00B75C83">
    <w:pPr>
      <w:tabs>
        <w:tab w:val="center" w:pos="4419"/>
        <w:tab w:val="left" w:pos="6005"/>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82.3pt;margin-top:-110.1pt;width:609.4pt;height:793.75pt;z-index:-251658752;mso-position-horizontal-relative:margin;mso-position-vertical-relative:margin;mso-width-relative:page;mso-height-relative:page">
          <v:imagedata r:id="rId1" o:title="image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7D4" w:rsidRDefault="00B75C83">
    <w:pPr>
      <w:widowControl w:val="0"/>
      <w:spacing w:line="276" w:lineRule="auto"/>
      <w:rPr>
        <w:color w:val="000000"/>
        <w:sz w:val="14"/>
        <w:szCs w:val="14"/>
      </w:rPr>
    </w:pPr>
    <w:r>
      <w:rPr>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81.75pt;margin-top:-130pt;width:609.4pt;height:793.75pt;z-index:-251659776;mso-position-horizontal-relative:margin;mso-position-vertical-relative:margin;mso-width-relative:page;mso-height-relative:page">
          <v:imagedata r:id="rId1" o:title="image5"/>
          <w10:wrap anchorx="margin" anchory="margin"/>
        </v:shape>
      </w:pict>
    </w:r>
  </w:p>
  <w:tbl>
    <w:tblPr>
      <w:tblStyle w:val="Style45"/>
      <w:tblW w:w="7470" w:type="dxa"/>
      <w:tblInd w:w="2552" w:type="dxa"/>
      <w:tblLayout w:type="fixed"/>
      <w:tblLook w:val="04A0" w:firstRow="1" w:lastRow="0" w:firstColumn="1" w:lastColumn="0" w:noHBand="0" w:noVBand="1"/>
    </w:tblPr>
    <w:tblGrid>
      <w:gridCol w:w="2970"/>
      <w:gridCol w:w="4500"/>
    </w:tblGrid>
    <w:tr w:rsidR="002A27D4">
      <w:trPr>
        <w:trHeight w:val="227"/>
      </w:trPr>
      <w:tc>
        <w:tcPr>
          <w:tcW w:w="2970" w:type="dxa"/>
          <w:vAlign w:val="center"/>
        </w:tcPr>
        <w:p w:rsidR="002A27D4" w:rsidRDefault="00693DB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rsidR="002A27D4" w:rsidRDefault="00693DBF">
          <w:pPr>
            <w:tabs>
              <w:tab w:val="center" w:pos="4419"/>
              <w:tab w:val="right" w:pos="8838"/>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00053/INFOEM/IP/RR/2024</w:t>
          </w:r>
        </w:p>
      </w:tc>
    </w:tr>
    <w:tr w:rsidR="002A27D4">
      <w:trPr>
        <w:trHeight w:val="242"/>
      </w:trPr>
      <w:tc>
        <w:tcPr>
          <w:tcW w:w="2970" w:type="dxa"/>
          <w:vAlign w:val="center"/>
        </w:tcPr>
        <w:p w:rsidR="002A27D4" w:rsidRDefault="00693DB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rsidR="002A27D4" w:rsidRDefault="002A27D4">
          <w:pPr>
            <w:tabs>
              <w:tab w:val="left" w:pos="521"/>
              <w:tab w:val="center" w:pos="4419"/>
              <w:tab w:val="right" w:pos="8838"/>
            </w:tabs>
            <w:rPr>
              <w:rFonts w:ascii="Palatino Linotype" w:eastAsia="Palatino Linotype" w:hAnsi="Palatino Linotype" w:cs="Palatino Linotype"/>
              <w:sz w:val="22"/>
              <w:szCs w:val="22"/>
              <w:highlight w:val="green"/>
            </w:rPr>
          </w:pPr>
        </w:p>
      </w:tc>
    </w:tr>
    <w:tr w:rsidR="002A27D4">
      <w:trPr>
        <w:trHeight w:val="342"/>
      </w:trPr>
      <w:tc>
        <w:tcPr>
          <w:tcW w:w="2970" w:type="dxa"/>
          <w:vAlign w:val="center"/>
        </w:tcPr>
        <w:p w:rsidR="002A27D4" w:rsidRDefault="00693DB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rsidR="002A27D4" w:rsidRDefault="00693DBF">
          <w:pPr>
            <w:tabs>
              <w:tab w:val="center" w:pos="4419"/>
              <w:tab w:val="right" w:pos="8838"/>
            </w:tabs>
            <w:jc w:val="both"/>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Secretaría de Cultura y Turismo</w:t>
          </w:r>
        </w:p>
      </w:tc>
    </w:tr>
    <w:tr w:rsidR="002A27D4">
      <w:trPr>
        <w:trHeight w:val="342"/>
      </w:trPr>
      <w:tc>
        <w:tcPr>
          <w:tcW w:w="2970" w:type="dxa"/>
          <w:vAlign w:val="center"/>
        </w:tcPr>
        <w:p w:rsidR="002A27D4" w:rsidRDefault="00693DBF">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rsidR="002A27D4" w:rsidRDefault="00693DBF">
          <w:pP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rsidR="002A27D4" w:rsidRDefault="002A27D4">
    <w:pPr>
      <w:tabs>
        <w:tab w:val="center" w:pos="4419"/>
        <w:tab w:val="right" w:pos="8838"/>
      </w:tabs>
      <w:rPr>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5E306ED"/>
    <w:multiLevelType w:val="multilevel"/>
    <w:tmpl w:val="B5E306ED"/>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BF205925"/>
    <w:multiLevelType w:val="multilevel"/>
    <w:tmpl w:val="BF2059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CF092B84"/>
    <w:multiLevelType w:val="multilevel"/>
    <w:tmpl w:val="CF092B8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53208E"/>
    <w:multiLevelType w:val="multilevel"/>
    <w:tmpl w:val="0053208E"/>
    <w:lvl w:ilvl="0">
      <w:start w:val="1"/>
      <w:numFmt w:val="decimal"/>
      <w:pStyle w:val="Listaconvietas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248C179"/>
    <w:multiLevelType w:val="multilevel"/>
    <w:tmpl w:val="0248C179"/>
    <w:lvl w:ilvl="0">
      <w:start w:val="1"/>
      <w:numFmt w:val="low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nsid w:val="03D62ECE"/>
    <w:multiLevelType w:val="multilevel"/>
    <w:tmpl w:val="03D62ECE"/>
    <w:lvl w:ilvl="0">
      <w:start w:val="1"/>
      <w:numFmt w:val="upperRoman"/>
      <w:lvlText w:val="%1."/>
      <w:lvlJc w:val="left"/>
      <w:pPr>
        <w:ind w:left="1080" w:hanging="720"/>
      </w:pPr>
      <w:rPr>
        <w:b/>
      </w:r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5B654F3"/>
    <w:multiLevelType w:val="multilevel"/>
    <w:tmpl w:val="25B654F3"/>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59ADCABA"/>
    <w:multiLevelType w:val="multilevel"/>
    <w:tmpl w:val="59ADC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2183CF9"/>
    <w:multiLevelType w:val="multilevel"/>
    <w:tmpl w:val="72183CF9"/>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7D4"/>
    <w:rsid w:val="002A27D4"/>
    <w:rsid w:val="00303105"/>
    <w:rsid w:val="003B4A51"/>
    <w:rsid w:val="00410A39"/>
    <w:rsid w:val="005C47E8"/>
    <w:rsid w:val="0061353C"/>
    <w:rsid w:val="00693DBF"/>
    <w:rsid w:val="008E7910"/>
    <w:rsid w:val="00B75C83"/>
    <w:rsid w:val="6B161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D4995DC-2EFD-460B-A348-AE2349E9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List Bullet 2" w:uiPriority="99" w:unhideWhenUsed="1" w:qFormat="1"/>
    <w:lsdException w:name="Title" w:uiPriority="10" w:qFormat="1"/>
    <w:lsdException w:name="Default Paragraph Font" w:semiHidden="1" w:uiPriority="1" w:unhideWhenUsed="1" w:qFormat="1"/>
    <w:lsdException w:name="Subtitle" w:qFormat="1"/>
    <w:lsdException w:name="Hyperlink" w:uiPriority="99" w:unhideWhenUsed="1" w:qFormat="1"/>
    <w:lsdException w:name="FollowedHyperlink"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4"/>
      <w:szCs w:val="24"/>
      <w:lang w:eastAsia="en-U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lang w:eastAsia="es-ES"/>
    </w:rPr>
  </w:style>
  <w:style w:type="paragraph" w:styleId="Ttulo3">
    <w:name w:val="heading 3"/>
    <w:basedOn w:val="Normal"/>
    <w:next w:val="Normal"/>
    <w:qFormat/>
    <w:pPr>
      <w:keepNext/>
      <w:keepLines/>
      <w:spacing w:before="280" w:after="80"/>
      <w:outlineLvl w:val="2"/>
    </w:pPr>
    <w:rPr>
      <w:rFonts w:ascii="Calibri" w:eastAsiaTheme="minorEastAsia" w:hAnsi="Calibri" w:cs="Calibri"/>
      <w:b/>
      <w:sz w:val="28"/>
      <w:szCs w:val="28"/>
      <w:lang w:eastAsia="es-ES"/>
    </w:rPr>
  </w:style>
  <w:style w:type="paragraph" w:styleId="Ttulo4">
    <w:name w:val="heading 4"/>
    <w:basedOn w:val="Normal"/>
    <w:next w:val="Normal"/>
    <w:qFormat/>
    <w:pPr>
      <w:keepNext/>
      <w:keepLines/>
      <w:spacing w:before="240" w:after="40"/>
      <w:outlineLvl w:val="3"/>
    </w:pPr>
    <w:rPr>
      <w:rFonts w:ascii="Calibri" w:eastAsiaTheme="minorEastAsia" w:hAnsi="Calibri" w:cs="Calibri"/>
      <w:b/>
      <w:lang w:eastAsia="es-ES"/>
    </w:rPr>
  </w:style>
  <w:style w:type="paragraph" w:styleId="Ttulo5">
    <w:name w:val="heading 5"/>
    <w:basedOn w:val="Normal"/>
    <w:next w:val="Normal"/>
    <w:qFormat/>
    <w:pPr>
      <w:keepNext/>
      <w:keepLines/>
      <w:spacing w:before="220" w:after="40"/>
      <w:outlineLvl w:val="4"/>
    </w:pPr>
    <w:rPr>
      <w:rFonts w:ascii="Calibri" w:eastAsiaTheme="minorEastAsia" w:hAnsi="Calibri" w:cs="Calibri"/>
      <w:b/>
      <w:sz w:val="22"/>
      <w:szCs w:val="22"/>
      <w:lang w:eastAsia="es-ES"/>
    </w:rPr>
  </w:style>
  <w:style w:type="paragraph" w:styleId="Ttulo6">
    <w:name w:val="heading 6"/>
    <w:basedOn w:val="Normal"/>
    <w:next w:val="Normal"/>
    <w:qFormat/>
    <w:pPr>
      <w:keepNext/>
      <w:keepLines/>
      <w:spacing w:before="200" w:after="40"/>
      <w:outlineLvl w:val="5"/>
    </w:pPr>
    <w:rPr>
      <w:rFonts w:ascii="Calibri" w:eastAsiaTheme="minorEastAsia"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paragraph" w:styleId="Listaconvietas2">
    <w:name w:val="List Bullet 2"/>
    <w:basedOn w:val="Normal"/>
    <w:uiPriority w:val="99"/>
    <w:unhideWhenUsed/>
    <w:qFormat/>
    <w:pPr>
      <w:numPr>
        <w:numId w:val="1"/>
      </w:numPr>
      <w:contextualSpacing/>
    </w:pPr>
    <w:rPr>
      <w:rFonts w:ascii="Times New Roman" w:eastAsia="Times New Roman" w:hAnsi="Times New Roman" w:cs="Times New Roman"/>
      <w:sz w:val="20"/>
      <w:szCs w:val="20"/>
      <w:lang w:eastAsia="es-E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lang w:eastAsia="es-MX"/>
    </w:rPr>
  </w:style>
  <w:style w:type="paragraph" w:styleId="Piedepgina">
    <w:name w:val="footer"/>
    <w:basedOn w:val="Normal"/>
    <w:link w:val="PiedepginaCar"/>
    <w:uiPriority w:val="99"/>
    <w:unhideWhenUsed/>
    <w:qFormat/>
    <w:pPr>
      <w:tabs>
        <w:tab w:val="center" w:pos="4419"/>
        <w:tab w:val="right" w:pos="8838"/>
      </w:tabs>
    </w:pPr>
    <w:rPr>
      <w:rFonts w:ascii="Calibri" w:eastAsiaTheme="minorEastAsia" w:hAnsi="Calibri" w:cs="Calibri"/>
      <w:lang w:eastAsia="es-ES"/>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Puesto">
    <w:name w:val="Title"/>
    <w:basedOn w:val="Normal"/>
    <w:next w:val="Normal"/>
    <w:link w:val="PuestoCar"/>
    <w:uiPriority w:val="10"/>
    <w:qFormat/>
    <w:pPr>
      <w:keepNext/>
      <w:keepLines/>
      <w:spacing w:before="480" w:after="120"/>
    </w:pPr>
    <w:rPr>
      <w:rFonts w:ascii="Calibri" w:eastAsiaTheme="minorEastAsia" w:hAnsi="Calibri" w:cs="Calibri"/>
      <w:b/>
      <w:sz w:val="72"/>
      <w:szCs w:val="72"/>
      <w:lang w:eastAsia="es-ES"/>
    </w:rPr>
  </w:style>
  <w:style w:type="table" w:customStyle="1" w:styleId="TableNormal">
    <w:name w:val="Table Normal"/>
    <w:qFormat/>
    <w:tblPr>
      <w:tblCellMar>
        <w:top w:w="0" w:type="dxa"/>
        <w:left w:w="0" w:type="dxa"/>
        <w:bottom w:w="0" w:type="dxa"/>
        <w:right w:w="0" w:type="dxa"/>
      </w:tblCellMar>
    </w:tbl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qFormat/>
    <w:rPr>
      <w:rFonts w:asciiTheme="majorHAnsi" w:eastAsiaTheme="majorEastAsia" w:hAnsiTheme="majorHAnsi" w:cstheme="majorBidi"/>
      <w:color w:val="2E74B5" w:themeColor="accent1" w:themeShade="BF"/>
      <w:sz w:val="26"/>
      <w:szCs w:val="26"/>
      <w:lang w:eastAsia="es-ES"/>
    </w:rPr>
  </w:style>
  <w:style w:type="paragraph" w:styleId="Prrafodelista">
    <w:name w:val="List Paragraph"/>
    <w:basedOn w:val="Normal"/>
    <w:link w:val="PrrafodelistaCar"/>
    <w:uiPriority w:val="34"/>
    <w:qFormat/>
    <w:pPr>
      <w:ind w:left="720"/>
      <w:contextualSpacing/>
    </w:pPr>
    <w:rPr>
      <w:rFonts w:ascii="Calibri" w:eastAsiaTheme="minorEastAsia" w:hAnsi="Calibri" w:cs="Calibri"/>
      <w:lang w:eastAsia="es-ES"/>
    </w:rPr>
  </w:style>
  <w:style w:type="character" w:customStyle="1" w:styleId="PrrafodelistaCar">
    <w:name w:val="Párrafo de lista Car"/>
    <w:link w:val="Prrafodelista"/>
    <w:uiPriority w:val="34"/>
    <w:qFormat/>
    <w:locked/>
    <w:rPr>
      <w:rFonts w:ascii="Calibri" w:eastAsiaTheme="minorEastAsia" w:hAnsi="Calibri" w:cs="Calibri"/>
      <w:sz w:val="24"/>
      <w:szCs w:val="24"/>
      <w:lang w:eastAsia="es-ES"/>
    </w:rPr>
  </w:style>
  <w:style w:type="character" w:customStyle="1" w:styleId="PiedepginaCar">
    <w:name w:val="Pie de página Car"/>
    <w:basedOn w:val="Fuentedeprrafopredeter"/>
    <w:link w:val="Piedepgina"/>
    <w:uiPriority w:val="99"/>
    <w:qFormat/>
    <w:rPr>
      <w:rFonts w:ascii="Calibri" w:eastAsiaTheme="minorEastAsia" w:hAnsi="Calibri" w:cs="Calibri"/>
      <w:sz w:val="24"/>
      <w:szCs w:val="24"/>
      <w:lang w:eastAsia="es-ES"/>
    </w:rPr>
  </w:style>
  <w:style w:type="table" w:customStyle="1" w:styleId="Style29">
    <w:name w:val="_Style 29"/>
    <w:basedOn w:val="TableNormal"/>
    <w:qFormat/>
    <w:tblPr>
      <w:tblCellMar>
        <w:top w:w="0" w:type="dxa"/>
        <w:left w:w="115" w:type="dxa"/>
        <w:bottom w:w="0" w:type="dxa"/>
        <w:right w:w="115" w:type="dxa"/>
      </w:tblCellMar>
    </w:tblPr>
  </w:style>
  <w:style w:type="table" w:customStyle="1" w:styleId="Style30">
    <w:name w:val="_Style 30"/>
    <w:basedOn w:val="TableNormal"/>
    <w:qFormat/>
    <w:tblPr>
      <w:tblCellMar>
        <w:top w:w="0" w:type="dxa"/>
        <w:left w:w="115" w:type="dxa"/>
        <w:bottom w:w="0" w:type="dxa"/>
        <w:right w:w="115" w:type="dxa"/>
      </w:tblCellMar>
    </w:tblPr>
  </w:style>
  <w:style w:type="table" w:customStyle="1" w:styleId="Style31">
    <w:name w:val="_Style 31"/>
    <w:basedOn w:val="TableNormal"/>
    <w:qFormat/>
    <w:tblPr>
      <w:tblCellMar>
        <w:top w:w="0" w:type="dxa"/>
        <w:left w:w="115" w:type="dxa"/>
        <w:bottom w:w="0" w:type="dxa"/>
        <w:right w:w="115" w:type="dxa"/>
      </w:tblCellMar>
    </w:tbl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table" w:customStyle="1" w:styleId="Style34">
    <w:name w:val="_Style 34"/>
    <w:basedOn w:val="TableNormal"/>
    <w:tblPr>
      <w:tblCellMar>
        <w:top w:w="0" w:type="dxa"/>
        <w:left w:w="115" w:type="dxa"/>
        <w:bottom w:w="0" w:type="dxa"/>
        <w:right w:w="115" w:type="dxa"/>
      </w:tblCellMar>
    </w:tblPr>
  </w:style>
  <w:style w:type="table" w:customStyle="1" w:styleId="Style35">
    <w:name w:val="_Style 35"/>
    <w:basedOn w:val="TableNormal"/>
    <w:qFormat/>
    <w:tblPr>
      <w:tblCellMar>
        <w:top w:w="0" w:type="dxa"/>
        <w:left w:w="115" w:type="dxa"/>
        <w:bottom w:w="0" w:type="dxa"/>
        <w:right w:w="115" w:type="dxa"/>
      </w:tblCellMar>
    </w:tblPr>
  </w:style>
  <w:style w:type="table" w:customStyle="1" w:styleId="Tablanormal11">
    <w:name w:val="Tabla normal 11"/>
    <w:basedOn w:val="Tablanormal"/>
    <w:uiPriority w:val="41"/>
    <w:qFormat/>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uestoCar">
    <w:name w:val="Puesto Car"/>
    <w:basedOn w:val="Fuentedeprrafopredeter"/>
    <w:link w:val="Puesto"/>
    <w:uiPriority w:val="10"/>
    <w:qFormat/>
    <w:rPr>
      <w:rFonts w:eastAsiaTheme="minorEastAsia"/>
      <w:b/>
      <w:sz w:val="72"/>
      <w:szCs w:val="72"/>
      <w:lang w:eastAsia="es-ES"/>
    </w:rPr>
  </w:style>
  <w:style w:type="character" w:customStyle="1" w:styleId="UnresolvedMention">
    <w:name w:val="Unresolved Mention"/>
    <w:basedOn w:val="Fuentedeprrafopredeter"/>
    <w:uiPriority w:val="99"/>
    <w:semiHidden/>
    <w:unhideWhenUsed/>
    <w:qFormat/>
    <w:rPr>
      <w:color w:val="605E5C"/>
      <w:shd w:val="clear" w:color="auto" w:fill="E1DFDD"/>
    </w:rPr>
  </w:style>
  <w:style w:type="table" w:customStyle="1" w:styleId="Style42">
    <w:name w:val="_Style 42"/>
    <w:basedOn w:val="TableNormal"/>
    <w:qFormat/>
    <w:tblPr>
      <w:tblCellMar>
        <w:top w:w="0" w:type="dxa"/>
        <w:left w:w="115" w:type="dxa"/>
        <w:bottom w:w="0" w:type="dxa"/>
        <w:right w:w="115" w:type="dxa"/>
      </w:tblCellMar>
    </w:tblPr>
  </w:style>
  <w:style w:type="table" w:customStyle="1" w:styleId="Style43">
    <w:name w:val="_Style 43"/>
    <w:basedOn w:val="TableNormal"/>
    <w:qFormat/>
    <w:rPr>
      <w:sz w:val="22"/>
      <w:szCs w:val="22"/>
    </w:rPr>
    <w:tblPr>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Style44">
    <w:name w:val="_Style 44"/>
    <w:basedOn w:val="TableNormal"/>
    <w:qFormat/>
    <w:tblPr>
      <w:tblCellMar>
        <w:top w:w="0" w:type="dxa"/>
        <w:left w:w="115" w:type="dxa"/>
        <w:bottom w:w="0" w:type="dxa"/>
        <w:right w:w="115" w:type="dxa"/>
      </w:tblCellMar>
    </w:tblPr>
  </w:style>
  <w:style w:type="table" w:customStyle="1" w:styleId="Style45">
    <w:name w:val="_Style 45"/>
    <w:basedOn w:val="TableNormal"/>
    <w:qFormat/>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ipomex.org.mx/ipo3/lgt/indice/SCTUR/art_92_xix/5.web?token=03AFcWeA6AxIv9oSmNWGQZucmjDLMy323VhHpjP7UJka0UiUYrskFSOU8O04BXk1mc7HAzxi1vjjG_L1U7vvoRj9j1kJCplwVR-3vCe_n9IbU9O2iXeaCo_On-ONU1H8JQGrSUbX16G80TePRa-b5km1vqYmDcGk27aje-tjBHZr4NJ5vM5Rmc7_EqAdXOlXPR-0YVUC0Yxim1K5OMfKlZJs1UtCHlqWAkmRy-JeBz06PyIAP2IDQ0_q91RzqGR4TmmXU7PEEWzXEolXJmMw4THiDg9m2X-O-OIS5yv3vkiY-uqX1mR-_xlHuSAwK_ryddr-ohC4V-bBnxc5jY2kJG1kNt-ylPOezChP7ZOaJlozGh5VmEq3leJUoLBH3K6GrnkJMOoRq0VqdRsH1FkZeZENSfwmX5OCYokXF2YKoirIKoefTB2ccu-lClz526Og21LHAV-hNYdN3uG_xhUM19sudG2PHsNQ9_4jrHpWOOSurvGE4exk6eVkj4IGtRVZt4KkUl5KUpkTOhcARwpANhnClPDSlQ0Zoraza1NtwvjVmSzZ2aOJjSE2c"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ipomex.org.mx/ipo3/lgt/indice/SCTUR/art_92_xix/5.web?token=03AFcWeA6AxIv9oSmNWGQZucmjDLMy323VhHpjP7UJka0UiUYrskFSOU8O04BXk1mc7HAzxi1vjjG_L1U7vvoRj9j1kJCplwVR-3vCe_n9IbU9O2iXeaCo_On-ONU1H8JQGrSUbX16G80TePR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QW0idBKn9rfLxGPFptzlanHutQ==">CgMxLjAyCWguM3JkY3JqbjIIaC5namRneHMyCWguMzBqMHpsbDgAciExSVZ2VWhfYUM3YjNRZlcxTjlyOGdaNlBJMnhlSV8tajI=</go:docsCustomData>
</go:gDocsCustomXmlDataStorage>
</file>

<file path=customXml/item2.xml><?xml version="1.0" encoding="utf-8"?>
<s:customData xmlns="http://www.wps.cn/officeDocument/2013/wpsCustomData" xmlns:s="http://www.wps.cn/officeDocument/2013/wpsCustomData">
  <customSectProps/>
  <customShpExts>
    <customShpInfo spid="_x0000_s2049"/>
    <customShpInfo spid="_x0000_s2051"/>
    <customShpInfo spid="_x0000_s2050"/>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13927</Words>
  <Characters>76601</Characters>
  <Application>Microsoft Office Word</Application>
  <DocSecurity>0</DocSecurity>
  <Lines>638</Lines>
  <Paragraphs>180</Paragraphs>
  <ScaleCrop>false</ScaleCrop>
  <Company>HP Inc.</Company>
  <LinksUpToDate>false</LinksUpToDate>
  <CharactersWithSpaces>90348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USUARIO</cp:lastModifiedBy>
  <cp:revision>6</cp:revision>
  <dcterms:created xsi:type="dcterms:W3CDTF">2024-10-08T01:53:00Z</dcterms:created>
  <dcterms:modified xsi:type="dcterms:W3CDTF">2024-11-06T17:17:00Z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2058-12.2.0.18607</vt:lpwstr>
  </property>
  <property fmtid="{D5CDD505-2E9C-101B-9397-08002B2CF9AE}" pid="3" name="ICV">
    <vt:lpwstr>9F14571B9EB441AD80089BC61CDA8A6A_12</vt:lpwstr>
  </property>
</Properties>
</file>