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AF296" w14:textId="77777777" w:rsidR="00A16417" w:rsidRDefault="00A16417" w:rsidP="00F6431D">
      <w:pPr>
        <w:spacing w:line="360" w:lineRule="auto"/>
        <w:contextualSpacing/>
        <w:jc w:val="both"/>
        <w:rPr>
          <w:rFonts w:ascii="Palatino Linotype" w:hAnsi="Palatino Linotype" w:cs="Tahoma"/>
          <w:bCs/>
          <w:sz w:val="22"/>
          <w:szCs w:val="22"/>
        </w:rPr>
      </w:pPr>
    </w:p>
    <w:p w14:paraId="796F1111" w14:textId="21C40E02" w:rsidR="00FA2C4B" w:rsidRPr="00F6431D" w:rsidRDefault="00FA2C4B" w:rsidP="00F6431D">
      <w:pPr>
        <w:spacing w:line="360" w:lineRule="auto"/>
        <w:contextualSpacing/>
        <w:jc w:val="both"/>
        <w:rPr>
          <w:rFonts w:ascii="Palatino Linotype" w:hAnsi="Palatino Linotype" w:cs="Tahoma"/>
          <w:sz w:val="22"/>
          <w:szCs w:val="22"/>
        </w:rPr>
      </w:pPr>
      <w:r w:rsidRPr="00F6431D">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473F5D">
        <w:rPr>
          <w:rFonts w:ascii="Palatino Linotype" w:hAnsi="Palatino Linotype" w:cs="Tahoma"/>
          <w:bCs/>
          <w:sz w:val="22"/>
          <w:szCs w:val="22"/>
        </w:rPr>
        <w:t>trece de noviembre</w:t>
      </w:r>
      <w:r w:rsidRPr="00F6431D">
        <w:rPr>
          <w:rFonts w:ascii="Palatino Linotype" w:hAnsi="Palatino Linotype" w:cs="Tahoma"/>
          <w:bCs/>
          <w:sz w:val="22"/>
          <w:szCs w:val="22"/>
        </w:rPr>
        <w:t xml:space="preserve"> de dos mil veinticuatro. </w:t>
      </w:r>
    </w:p>
    <w:p w14:paraId="34EEA7D9" w14:textId="77777777" w:rsidR="00FA2C4B" w:rsidRPr="00F6431D" w:rsidRDefault="00FA2C4B" w:rsidP="00F6431D">
      <w:pPr>
        <w:spacing w:line="360" w:lineRule="auto"/>
        <w:contextualSpacing/>
        <w:rPr>
          <w:rFonts w:ascii="Palatino Linotype" w:hAnsi="Palatino Linotype" w:cs="Tahoma"/>
          <w:bCs/>
          <w:sz w:val="22"/>
          <w:szCs w:val="22"/>
        </w:rPr>
      </w:pPr>
    </w:p>
    <w:p w14:paraId="42A9EE3F" w14:textId="60C1D700" w:rsidR="00FA2C4B" w:rsidRPr="00F6431D" w:rsidRDefault="00FA2C4B" w:rsidP="00F6431D">
      <w:pPr>
        <w:spacing w:line="360" w:lineRule="auto"/>
        <w:contextualSpacing/>
        <w:jc w:val="both"/>
        <w:rPr>
          <w:rFonts w:ascii="Palatino Linotype" w:hAnsi="Palatino Linotype" w:cs="Tahoma"/>
          <w:color w:val="0D0D0D" w:themeColor="text1" w:themeTint="F2"/>
          <w:sz w:val="22"/>
          <w:szCs w:val="22"/>
        </w:rPr>
      </w:pPr>
      <w:r w:rsidRPr="00F6431D">
        <w:rPr>
          <w:rFonts w:ascii="Palatino Linotype" w:hAnsi="Palatino Linotype" w:cs="Tahoma"/>
          <w:b/>
          <w:bCs/>
          <w:color w:val="0D0D0D" w:themeColor="text1" w:themeTint="F2"/>
          <w:sz w:val="22"/>
          <w:szCs w:val="22"/>
        </w:rPr>
        <w:t xml:space="preserve">VISTO </w:t>
      </w:r>
      <w:r w:rsidRPr="00F6431D">
        <w:rPr>
          <w:rFonts w:ascii="Palatino Linotype" w:hAnsi="Palatino Linotype" w:cs="Tahoma"/>
          <w:bCs/>
          <w:color w:val="0D0D0D" w:themeColor="text1" w:themeTint="F2"/>
          <w:sz w:val="22"/>
          <w:szCs w:val="22"/>
        </w:rPr>
        <w:t xml:space="preserve">el expediente conformado con motivo del Recurso de Revisión </w:t>
      </w:r>
      <w:r w:rsidR="00651621" w:rsidRPr="0079627B">
        <w:rPr>
          <w:rFonts w:ascii="Palatino Linotype" w:eastAsia="Batang" w:hAnsi="Palatino Linotype" w:cs="Tahoma"/>
          <w:b/>
          <w:bCs/>
          <w:sz w:val="22"/>
          <w:szCs w:val="22"/>
          <w:lang w:val="es-ES_tradnl"/>
        </w:rPr>
        <w:t>0</w:t>
      </w:r>
      <w:r w:rsidR="002841BA">
        <w:rPr>
          <w:rFonts w:ascii="Palatino Linotype" w:eastAsia="Batang" w:hAnsi="Palatino Linotype" w:cs="Tahoma"/>
          <w:b/>
          <w:bCs/>
          <w:sz w:val="22"/>
          <w:szCs w:val="22"/>
          <w:lang w:val="es-ES_tradnl"/>
        </w:rPr>
        <w:t>6331</w:t>
      </w:r>
      <w:r w:rsidR="00651621" w:rsidRPr="0079627B">
        <w:rPr>
          <w:rFonts w:ascii="Palatino Linotype" w:eastAsia="Batang" w:hAnsi="Palatino Linotype" w:cs="Tahoma"/>
          <w:b/>
          <w:bCs/>
          <w:sz w:val="22"/>
          <w:szCs w:val="22"/>
          <w:lang w:val="es-ES_tradnl"/>
        </w:rPr>
        <w:t>/INFOEM/IP/RR/202</w:t>
      </w:r>
      <w:r w:rsidR="002E3EFB" w:rsidRPr="0079627B">
        <w:rPr>
          <w:rFonts w:ascii="Palatino Linotype" w:eastAsia="Batang" w:hAnsi="Palatino Linotype" w:cs="Tahoma"/>
          <w:b/>
          <w:bCs/>
          <w:sz w:val="22"/>
          <w:szCs w:val="22"/>
          <w:lang w:val="es-ES_tradnl"/>
        </w:rPr>
        <w:t>4</w:t>
      </w:r>
      <w:r w:rsidRPr="00F6431D">
        <w:rPr>
          <w:rFonts w:ascii="Palatino Linotype" w:hAnsi="Palatino Linotype" w:cs="Tahoma"/>
          <w:bCs/>
          <w:color w:val="0D0D0D" w:themeColor="text1" w:themeTint="F2"/>
          <w:sz w:val="22"/>
          <w:szCs w:val="22"/>
        </w:rPr>
        <w:t>, interpuesto por</w:t>
      </w:r>
      <w:r w:rsidR="0018264D" w:rsidRPr="00F6431D">
        <w:rPr>
          <w:rFonts w:ascii="Palatino Linotype" w:hAnsi="Palatino Linotype" w:cs="Tahoma"/>
          <w:bCs/>
          <w:color w:val="0D0D0D" w:themeColor="text1" w:themeTint="F2"/>
          <w:sz w:val="22"/>
          <w:szCs w:val="22"/>
        </w:rPr>
        <w:t xml:space="preserve"> </w:t>
      </w:r>
      <w:r w:rsidRPr="00F6431D">
        <w:rPr>
          <w:rFonts w:ascii="Palatino Linotype" w:hAnsi="Palatino Linotype" w:cs="Tahoma"/>
          <w:bCs/>
          <w:color w:val="0D0D0D" w:themeColor="text1" w:themeTint="F2"/>
          <w:sz w:val="22"/>
          <w:szCs w:val="22"/>
        </w:rPr>
        <w:t xml:space="preserve">el Recurrente o Particular, en contra de la respuesta del Sujeto Obligado, </w:t>
      </w:r>
      <w:r w:rsidR="00380F48" w:rsidRPr="00CD5EE8">
        <w:rPr>
          <w:rFonts w:ascii="Palatino Linotype" w:hAnsi="Palatino Linotype"/>
          <w:b/>
          <w:bCs/>
          <w:color w:val="000000"/>
          <w:sz w:val="22"/>
          <w:szCs w:val="22"/>
        </w:rPr>
        <w:t xml:space="preserve">Secretaría </w:t>
      </w:r>
      <w:r w:rsidR="002841BA" w:rsidRPr="00CD5EE8">
        <w:rPr>
          <w:rFonts w:ascii="Palatino Linotype" w:hAnsi="Palatino Linotype"/>
          <w:b/>
          <w:bCs/>
          <w:color w:val="000000"/>
          <w:sz w:val="22"/>
          <w:szCs w:val="22"/>
        </w:rPr>
        <w:t>de Finanzas</w:t>
      </w:r>
      <w:r w:rsidRPr="00F6431D">
        <w:rPr>
          <w:rFonts w:ascii="Palatino Linotype" w:hAnsi="Palatino Linotype" w:cs="Tahoma"/>
          <w:bCs/>
          <w:color w:val="0D0D0D" w:themeColor="text1" w:themeTint="F2"/>
          <w:sz w:val="22"/>
          <w:szCs w:val="22"/>
        </w:rPr>
        <w:t xml:space="preserve">, a la solicitud de acceso a la información </w:t>
      </w:r>
      <w:r w:rsidR="002841BA" w:rsidRPr="002841BA">
        <w:rPr>
          <w:rFonts w:ascii="Palatino Linotype" w:hAnsi="Palatino Linotype" w:cs="Tahoma"/>
          <w:b/>
          <w:color w:val="0D0D0D" w:themeColor="text1" w:themeTint="F2"/>
          <w:sz w:val="22"/>
          <w:szCs w:val="22"/>
        </w:rPr>
        <w:t>00685/SF/IP/2024</w:t>
      </w:r>
      <w:r w:rsidRPr="00F6431D">
        <w:rPr>
          <w:rFonts w:ascii="Palatino Linotype" w:hAnsi="Palatino Linotype" w:cs="Tahoma"/>
          <w:bCs/>
          <w:color w:val="0D0D0D" w:themeColor="text1" w:themeTint="F2"/>
          <w:sz w:val="22"/>
          <w:szCs w:val="22"/>
        </w:rPr>
        <w:t>, se emite la presente Resolución, con base en los Antecedentes y C</w:t>
      </w:r>
      <w:r w:rsidRPr="00F6431D">
        <w:rPr>
          <w:rFonts w:ascii="Palatino Linotype" w:hAnsi="Palatino Linotype" w:cs="Tahoma"/>
          <w:bCs/>
          <w:sz w:val="22"/>
          <w:szCs w:val="22"/>
        </w:rPr>
        <w:t>onsiderandos que a continuación se exponen:</w:t>
      </w:r>
    </w:p>
    <w:p w14:paraId="0C25CC7E" w14:textId="77777777" w:rsidR="00FA2C4B" w:rsidRDefault="00FA2C4B" w:rsidP="00F6431D">
      <w:pPr>
        <w:tabs>
          <w:tab w:val="center" w:pos="4522"/>
          <w:tab w:val="left" w:pos="7245"/>
        </w:tabs>
        <w:spacing w:line="360" w:lineRule="auto"/>
        <w:contextualSpacing/>
        <w:jc w:val="center"/>
        <w:rPr>
          <w:rFonts w:ascii="Palatino Linotype" w:hAnsi="Palatino Linotype" w:cs="Tahoma"/>
          <w:b/>
          <w:sz w:val="22"/>
          <w:szCs w:val="22"/>
        </w:rPr>
      </w:pPr>
    </w:p>
    <w:p w14:paraId="4DF18564" w14:textId="77777777" w:rsidR="00453670" w:rsidRPr="00F6431D" w:rsidRDefault="00453670" w:rsidP="00F6431D">
      <w:pPr>
        <w:tabs>
          <w:tab w:val="center" w:pos="4522"/>
          <w:tab w:val="left" w:pos="7245"/>
        </w:tabs>
        <w:spacing w:line="360" w:lineRule="auto"/>
        <w:contextualSpacing/>
        <w:jc w:val="center"/>
        <w:rPr>
          <w:rFonts w:ascii="Palatino Linotype" w:hAnsi="Palatino Linotype" w:cs="Tahoma"/>
          <w:b/>
          <w:sz w:val="22"/>
          <w:szCs w:val="22"/>
        </w:rPr>
      </w:pPr>
    </w:p>
    <w:p w14:paraId="2122BCF1" w14:textId="31501502" w:rsidR="00FA2C4B" w:rsidRPr="00855ADA" w:rsidRDefault="002841BA" w:rsidP="002841BA">
      <w:pPr>
        <w:pStyle w:val="Ttulo1"/>
        <w:tabs>
          <w:tab w:val="left" w:pos="2010"/>
          <w:tab w:val="center" w:pos="4419"/>
        </w:tabs>
        <w:spacing w:before="0"/>
        <w:rPr>
          <w:rFonts w:ascii="Palatino Linotype" w:hAnsi="Palatino Linotype"/>
          <w:b/>
          <w:bCs/>
          <w:color w:val="auto"/>
          <w:sz w:val="24"/>
        </w:rPr>
      </w:pPr>
      <w:r>
        <w:rPr>
          <w:rFonts w:ascii="Palatino Linotype" w:hAnsi="Palatino Linotype"/>
          <w:b/>
          <w:bCs/>
          <w:color w:val="auto"/>
          <w:sz w:val="24"/>
        </w:rPr>
        <w:tab/>
      </w:r>
      <w:r>
        <w:rPr>
          <w:rFonts w:ascii="Palatino Linotype" w:hAnsi="Palatino Linotype"/>
          <w:b/>
          <w:bCs/>
          <w:color w:val="auto"/>
          <w:sz w:val="24"/>
        </w:rPr>
        <w:tab/>
      </w:r>
      <w:r w:rsidR="00FA2C4B" w:rsidRPr="00855ADA">
        <w:rPr>
          <w:rFonts w:ascii="Palatino Linotype" w:hAnsi="Palatino Linotype"/>
          <w:b/>
          <w:bCs/>
          <w:color w:val="auto"/>
          <w:sz w:val="24"/>
        </w:rPr>
        <w:t>A N T E C E D E N T E S</w:t>
      </w:r>
    </w:p>
    <w:p w14:paraId="4CB721BF" w14:textId="77777777" w:rsidR="00FA2C4B" w:rsidRPr="00F6431D" w:rsidRDefault="00FA2C4B" w:rsidP="00F6431D">
      <w:pPr>
        <w:pStyle w:val="Prrafodelista"/>
        <w:tabs>
          <w:tab w:val="left" w:pos="567"/>
        </w:tabs>
        <w:spacing w:line="360" w:lineRule="auto"/>
        <w:ind w:left="567"/>
        <w:jc w:val="both"/>
        <w:rPr>
          <w:rFonts w:ascii="Palatino Linotype" w:hAnsi="Palatino Linotype" w:cs="Tahoma"/>
          <w:szCs w:val="22"/>
        </w:rPr>
      </w:pPr>
    </w:p>
    <w:p w14:paraId="28967F12" w14:textId="5C604979" w:rsidR="00FA2C4B" w:rsidRPr="00F6431D" w:rsidRDefault="00FA2C4B" w:rsidP="00F6431D">
      <w:pPr>
        <w:pStyle w:val="Prrafodelista"/>
        <w:tabs>
          <w:tab w:val="left" w:pos="567"/>
        </w:tabs>
        <w:spacing w:line="360" w:lineRule="auto"/>
        <w:ind w:left="0"/>
        <w:jc w:val="both"/>
        <w:rPr>
          <w:rFonts w:ascii="Palatino Linotype" w:hAnsi="Palatino Linotype" w:cs="Tahoma"/>
          <w:b/>
          <w:szCs w:val="22"/>
        </w:rPr>
      </w:pPr>
      <w:r w:rsidRPr="00F6431D">
        <w:rPr>
          <w:rFonts w:ascii="Palatino Linotype" w:hAnsi="Palatino Linotype" w:cs="Tahoma"/>
          <w:b/>
          <w:szCs w:val="22"/>
        </w:rPr>
        <w:t>I. Presentación de la solicitud de información</w:t>
      </w:r>
    </w:p>
    <w:p w14:paraId="3095917C" w14:textId="77777777" w:rsidR="00FA2C4B" w:rsidRPr="00F6431D" w:rsidRDefault="00FA2C4B" w:rsidP="00F6431D">
      <w:pPr>
        <w:pStyle w:val="Prrafodelista"/>
        <w:tabs>
          <w:tab w:val="left" w:pos="567"/>
        </w:tabs>
        <w:spacing w:line="360" w:lineRule="auto"/>
        <w:ind w:left="0"/>
        <w:jc w:val="both"/>
        <w:rPr>
          <w:rFonts w:ascii="Palatino Linotype" w:hAnsi="Palatino Linotype" w:cs="Tahoma"/>
          <w:sz w:val="24"/>
        </w:rPr>
      </w:pPr>
    </w:p>
    <w:p w14:paraId="74FB0182" w14:textId="4E96CA48" w:rsidR="00FA2C4B" w:rsidRPr="00F6431D" w:rsidRDefault="00453670" w:rsidP="00F6431D">
      <w:pPr>
        <w:tabs>
          <w:tab w:val="left" w:pos="567"/>
        </w:tabs>
        <w:spacing w:line="360" w:lineRule="auto"/>
        <w:jc w:val="both"/>
        <w:rPr>
          <w:rFonts w:ascii="Palatino Linotype" w:hAnsi="Palatino Linotype" w:cs="Tahoma"/>
          <w:sz w:val="22"/>
          <w:szCs w:val="24"/>
        </w:rPr>
      </w:pPr>
      <w:r>
        <w:rPr>
          <w:rFonts w:ascii="Palatino Linotype" w:hAnsi="Palatino Linotype" w:cs="Tahoma"/>
          <w:sz w:val="22"/>
          <w:szCs w:val="24"/>
        </w:rPr>
        <w:t>El</w:t>
      </w:r>
      <w:r w:rsidR="00FA2C4B" w:rsidRPr="00F6431D">
        <w:rPr>
          <w:rFonts w:ascii="Palatino Linotype" w:hAnsi="Palatino Linotype" w:cs="Tahoma"/>
          <w:sz w:val="22"/>
          <w:szCs w:val="24"/>
        </w:rPr>
        <w:t xml:space="preserve"> </w:t>
      </w:r>
      <w:r w:rsidR="002841BA">
        <w:rPr>
          <w:rFonts w:ascii="Palatino Linotype" w:hAnsi="Palatino Linotype" w:cs="Tahoma"/>
          <w:sz w:val="22"/>
          <w:szCs w:val="24"/>
        </w:rPr>
        <w:t>veintitrés de septiembre</w:t>
      </w:r>
      <w:r w:rsidR="00FA2C4B" w:rsidRPr="00F6431D">
        <w:rPr>
          <w:rFonts w:ascii="Palatino Linotype" w:hAnsi="Palatino Linotype" w:cs="Tahoma"/>
          <w:sz w:val="22"/>
          <w:szCs w:val="24"/>
        </w:rPr>
        <w:t xml:space="preserve"> de dos mil veinti</w:t>
      </w:r>
      <w:r w:rsidR="009A6FA6" w:rsidRPr="00F6431D">
        <w:rPr>
          <w:rFonts w:ascii="Palatino Linotype" w:hAnsi="Palatino Linotype" w:cs="Tahoma"/>
          <w:sz w:val="22"/>
          <w:szCs w:val="24"/>
        </w:rPr>
        <w:t>cuatro</w:t>
      </w:r>
      <w:r w:rsidR="00FA2C4B" w:rsidRPr="00F6431D">
        <w:rPr>
          <w:rFonts w:ascii="Palatino Linotype" w:hAnsi="Palatino Linotype" w:cs="Tahoma"/>
          <w:sz w:val="22"/>
          <w:szCs w:val="24"/>
        </w:rPr>
        <w:t xml:space="preserve">, el Particular presentó una solicitud de acceso a la información pública, </w:t>
      </w:r>
      <w:r w:rsidR="009A6FA6" w:rsidRPr="00F6431D">
        <w:rPr>
          <w:rFonts w:ascii="Palatino Linotype" w:hAnsi="Palatino Linotype" w:cs="Tahoma"/>
          <w:sz w:val="22"/>
          <w:szCs w:val="24"/>
        </w:rPr>
        <w:t>de la Plataforma Nacional de Transparencia (PNT),</w:t>
      </w:r>
      <w:r w:rsidR="00FA2C4B" w:rsidRPr="00F6431D">
        <w:rPr>
          <w:rFonts w:ascii="Palatino Linotype" w:hAnsi="Palatino Linotype" w:cs="Tahoma"/>
          <w:sz w:val="22"/>
          <w:szCs w:val="24"/>
        </w:rPr>
        <w:t xml:space="preserve"> ante </w:t>
      </w:r>
      <w:r w:rsidR="00380F48" w:rsidRPr="00F6431D">
        <w:rPr>
          <w:rFonts w:ascii="Palatino Linotype" w:hAnsi="Palatino Linotype" w:cs="Tahoma"/>
          <w:sz w:val="22"/>
          <w:szCs w:val="24"/>
        </w:rPr>
        <w:t>la Secretaría General de Gobierno</w:t>
      </w:r>
      <w:r w:rsidR="00FA2C4B" w:rsidRPr="00F6431D">
        <w:rPr>
          <w:rFonts w:ascii="Palatino Linotype" w:hAnsi="Palatino Linotype" w:cs="Tahoma"/>
          <w:b/>
          <w:bCs/>
          <w:sz w:val="22"/>
          <w:szCs w:val="24"/>
        </w:rPr>
        <w:t>,</w:t>
      </w:r>
      <w:r w:rsidR="00FA2C4B" w:rsidRPr="00F6431D">
        <w:rPr>
          <w:rFonts w:ascii="Palatino Linotype" w:hAnsi="Palatino Linotype" w:cs="Tahoma"/>
          <w:sz w:val="22"/>
          <w:szCs w:val="24"/>
          <w:lang w:val="es-ES"/>
        </w:rPr>
        <w:t xml:space="preserve"> </w:t>
      </w:r>
      <w:r w:rsidR="00FA2C4B" w:rsidRPr="00F6431D">
        <w:rPr>
          <w:rFonts w:ascii="Palatino Linotype" w:hAnsi="Palatino Linotype" w:cs="Tahoma"/>
          <w:sz w:val="22"/>
          <w:szCs w:val="24"/>
        </w:rPr>
        <w:t>mediante el cual requirió lo siguiente:</w:t>
      </w:r>
    </w:p>
    <w:p w14:paraId="50FE869A" w14:textId="77777777" w:rsidR="00635D5F" w:rsidRPr="00F6431D" w:rsidRDefault="00635D5F" w:rsidP="00F6431D">
      <w:pPr>
        <w:tabs>
          <w:tab w:val="left" w:pos="4667"/>
        </w:tabs>
        <w:spacing w:line="360" w:lineRule="auto"/>
        <w:ind w:left="567" w:right="567"/>
        <w:contextualSpacing/>
        <w:jc w:val="both"/>
        <w:rPr>
          <w:rFonts w:ascii="Palatino Linotype" w:hAnsi="Palatino Linotype" w:cs="Tahoma"/>
          <w:b/>
          <w:bCs/>
          <w:i/>
          <w:iCs/>
        </w:rPr>
      </w:pPr>
    </w:p>
    <w:p w14:paraId="2F1F6FBE" w14:textId="13355F2B" w:rsidR="00FA2C4B" w:rsidRPr="00F6431D" w:rsidRDefault="009A6FA6" w:rsidP="00F6431D">
      <w:pPr>
        <w:tabs>
          <w:tab w:val="left" w:pos="4667"/>
        </w:tabs>
        <w:spacing w:line="360" w:lineRule="auto"/>
        <w:ind w:left="567" w:right="567"/>
        <w:contextualSpacing/>
        <w:jc w:val="both"/>
        <w:rPr>
          <w:rFonts w:ascii="Palatino Linotype" w:hAnsi="Palatino Linotype" w:cs="Tahoma"/>
          <w:b/>
          <w:bCs/>
          <w:iCs/>
        </w:rPr>
      </w:pPr>
      <w:r w:rsidRPr="00F6431D">
        <w:rPr>
          <w:rFonts w:ascii="Palatino Linotype" w:hAnsi="Palatino Linotype" w:cs="Tahoma"/>
          <w:b/>
          <w:bCs/>
          <w:iCs/>
        </w:rPr>
        <w:t xml:space="preserve"> </w:t>
      </w:r>
      <w:r w:rsidR="00FA2C4B" w:rsidRPr="00F6431D">
        <w:rPr>
          <w:rFonts w:ascii="Palatino Linotype" w:hAnsi="Palatino Linotype" w:cs="Tahoma"/>
          <w:b/>
          <w:bCs/>
          <w:iCs/>
        </w:rPr>
        <w:t>DESCRIPCIÓN CLARA Y PRECISA DE LA INFORMACIÓN SOLICITADA</w:t>
      </w:r>
    </w:p>
    <w:p w14:paraId="1ED319EB" w14:textId="624753BF" w:rsidR="00C41F19" w:rsidRPr="00F6431D" w:rsidRDefault="009A6FA6" w:rsidP="00F6431D">
      <w:pPr>
        <w:spacing w:line="360" w:lineRule="auto"/>
        <w:ind w:left="567" w:right="567"/>
        <w:contextualSpacing/>
        <w:jc w:val="both"/>
        <w:rPr>
          <w:rFonts w:ascii="Palatino Linotype" w:hAnsi="Palatino Linotype"/>
          <w:i/>
          <w:color w:val="000000"/>
        </w:rPr>
      </w:pPr>
      <w:r w:rsidRPr="00F6431D">
        <w:rPr>
          <w:rFonts w:ascii="Palatino Linotype" w:hAnsi="Palatino Linotype"/>
          <w:i/>
          <w:color w:val="000000"/>
        </w:rPr>
        <w:t>“</w:t>
      </w:r>
      <w:r w:rsidR="002841BA" w:rsidRPr="002841BA">
        <w:rPr>
          <w:rFonts w:ascii="Palatino Linotype" w:hAnsi="Palatino Linotype"/>
          <w:i/>
          <w:color w:val="000000"/>
        </w:rPr>
        <w:t>Solicito la versión digitalizada del oficio (así como sus anexos) 20703001050100L/4221/2024 emitido por la Subdirección de Coordinación Operativa adscrita a la Dirección del Registro Estatal de Vehículos, mediante el cual informó el estatus de placas y consulta del padrón vehicular de diversos servidores públicos que laboran en Petróleos Mexicanos.</w:t>
      </w:r>
      <w:r w:rsidR="00C41F19" w:rsidRPr="00F6431D">
        <w:rPr>
          <w:rFonts w:ascii="Palatino Linotype" w:hAnsi="Palatino Linotype" w:cs="Tahoma"/>
          <w:bCs/>
          <w:i/>
          <w:iCs/>
        </w:rPr>
        <w:t>”</w:t>
      </w:r>
    </w:p>
    <w:p w14:paraId="23961B7F" w14:textId="77777777" w:rsidR="00FA2C4B" w:rsidRPr="00F6431D" w:rsidRDefault="00FA2C4B" w:rsidP="00F6431D">
      <w:pPr>
        <w:pStyle w:val="Prrafodelista"/>
        <w:tabs>
          <w:tab w:val="left" w:pos="567"/>
        </w:tabs>
        <w:spacing w:line="360" w:lineRule="auto"/>
        <w:ind w:left="567" w:right="567"/>
        <w:jc w:val="both"/>
        <w:rPr>
          <w:rFonts w:ascii="Palatino Linotype" w:hAnsi="Palatino Linotype"/>
          <w:b/>
          <w:bCs/>
          <w:i/>
          <w:iCs/>
          <w:color w:val="000000" w:themeColor="text1"/>
          <w:sz w:val="20"/>
          <w:szCs w:val="20"/>
        </w:rPr>
      </w:pPr>
    </w:p>
    <w:p w14:paraId="7E5497A7" w14:textId="77777777" w:rsidR="009A6FA6" w:rsidRPr="00F6431D" w:rsidRDefault="009A6FA6" w:rsidP="00F6431D">
      <w:pPr>
        <w:tabs>
          <w:tab w:val="left" w:pos="4667"/>
        </w:tabs>
        <w:spacing w:line="360" w:lineRule="auto"/>
        <w:ind w:left="567" w:right="567"/>
        <w:jc w:val="both"/>
        <w:rPr>
          <w:rFonts w:ascii="Palatino Linotype" w:hAnsi="Palatino Linotype" w:cs="Tahoma"/>
          <w:bCs/>
          <w:szCs w:val="22"/>
        </w:rPr>
      </w:pPr>
      <w:r w:rsidRPr="00F6431D">
        <w:rPr>
          <w:rFonts w:ascii="Palatino Linotype" w:hAnsi="Palatino Linotype" w:cs="Tahoma"/>
          <w:b/>
          <w:bCs/>
          <w:szCs w:val="22"/>
        </w:rPr>
        <w:t>MODALIDAD DE ENTREGA</w:t>
      </w:r>
    </w:p>
    <w:p w14:paraId="0E4AEB8A" w14:textId="77777777" w:rsidR="009A6FA6" w:rsidRPr="00F6431D" w:rsidRDefault="009A6FA6" w:rsidP="00F6431D">
      <w:pPr>
        <w:tabs>
          <w:tab w:val="left" w:pos="4667"/>
        </w:tabs>
        <w:spacing w:line="360" w:lineRule="auto"/>
        <w:ind w:left="567" w:right="567"/>
        <w:jc w:val="both"/>
        <w:rPr>
          <w:rFonts w:ascii="Palatino Linotype" w:hAnsi="Palatino Linotype" w:cs="Tahoma"/>
          <w:bCs/>
          <w:i/>
          <w:szCs w:val="22"/>
        </w:rPr>
      </w:pPr>
      <w:r w:rsidRPr="00F6431D">
        <w:rPr>
          <w:rFonts w:ascii="Palatino Linotype" w:hAnsi="Palatino Linotype" w:cs="Tahoma"/>
          <w:b/>
          <w:bCs/>
          <w:i/>
          <w:szCs w:val="22"/>
        </w:rPr>
        <w:lastRenderedPageBreak/>
        <w:t xml:space="preserve">Medio para recibir información o notificaciones </w:t>
      </w:r>
      <w:r w:rsidRPr="00F6431D">
        <w:rPr>
          <w:rFonts w:ascii="Palatino Linotype" w:hAnsi="Palatino Linotype" w:cs="Tahoma"/>
          <w:bCs/>
          <w:i/>
          <w:szCs w:val="22"/>
        </w:rPr>
        <w:t>Entrega por el sistema de solicitudes de acceso a la información de la PNT</w:t>
      </w:r>
    </w:p>
    <w:p w14:paraId="6B3AC900" w14:textId="77777777" w:rsidR="009A6FA6" w:rsidRPr="00F6431D" w:rsidRDefault="009A6FA6" w:rsidP="00F6431D">
      <w:pPr>
        <w:tabs>
          <w:tab w:val="left" w:pos="4667"/>
        </w:tabs>
        <w:spacing w:line="360" w:lineRule="auto"/>
        <w:ind w:left="567" w:right="567"/>
        <w:jc w:val="both"/>
        <w:rPr>
          <w:rFonts w:ascii="Palatino Linotype" w:hAnsi="Palatino Linotype" w:cs="Tahoma"/>
          <w:bCs/>
          <w:i/>
          <w:szCs w:val="22"/>
        </w:rPr>
      </w:pPr>
      <w:r w:rsidRPr="00F6431D">
        <w:rPr>
          <w:rFonts w:ascii="Palatino Linotype" w:hAnsi="Palatino Linotype" w:cs="Tahoma"/>
          <w:b/>
          <w:bCs/>
          <w:i/>
          <w:szCs w:val="22"/>
        </w:rPr>
        <w:t xml:space="preserve">Indique cómo desea recibir la información </w:t>
      </w:r>
      <w:r w:rsidRPr="00F6431D">
        <w:rPr>
          <w:rFonts w:ascii="Palatino Linotype" w:hAnsi="Palatino Linotype" w:cs="Tahoma"/>
          <w:bCs/>
          <w:i/>
          <w:szCs w:val="22"/>
        </w:rPr>
        <w:t>Electrónico a través del sistema de solicitudes de acceso</w:t>
      </w:r>
    </w:p>
    <w:p w14:paraId="493DE3DC" w14:textId="77777777" w:rsidR="009A6FA6" w:rsidRPr="00F6431D" w:rsidRDefault="009A6FA6" w:rsidP="00F6431D">
      <w:pPr>
        <w:tabs>
          <w:tab w:val="left" w:pos="1470"/>
        </w:tabs>
        <w:spacing w:line="360" w:lineRule="auto"/>
        <w:ind w:right="539"/>
        <w:jc w:val="both"/>
        <w:rPr>
          <w:rFonts w:ascii="Palatino Linotype" w:hAnsi="Palatino Linotype" w:cs="Tahoma"/>
          <w:bCs/>
          <w:i/>
          <w:szCs w:val="22"/>
        </w:rPr>
      </w:pPr>
    </w:p>
    <w:p w14:paraId="3AFC5E41" w14:textId="665B4743" w:rsidR="001E7709" w:rsidRPr="00F6431D" w:rsidRDefault="009A6FA6" w:rsidP="00F6431D">
      <w:pPr>
        <w:tabs>
          <w:tab w:val="left" w:pos="567"/>
        </w:tabs>
        <w:spacing w:line="360" w:lineRule="auto"/>
        <w:ind w:right="49"/>
        <w:contextualSpacing/>
        <w:jc w:val="both"/>
        <w:rPr>
          <w:rFonts w:ascii="Palatino Linotype" w:hAnsi="Palatino Linotype" w:cs="Tahoma"/>
          <w:bCs/>
          <w:sz w:val="22"/>
          <w:szCs w:val="22"/>
        </w:rPr>
      </w:pPr>
      <w:r w:rsidRPr="00F6431D">
        <w:rPr>
          <w:rFonts w:ascii="Palatino Linotype" w:hAnsi="Palatino Linotype" w:cs="Tahoma"/>
          <w:sz w:val="22"/>
          <w:szCs w:val="22"/>
        </w:rPr>
        <w:t>No se omite señalar, que el sistema de solicitudes de acceso a la información de la Plataforma Nacional de Transparencia (PNT), se encuentra vinculado al Sistema de Acceso a la Información Mexiquense, en lo sucesivo el SAIMEX, por lo que, se tiene como modalidad de recibir notificaciones y entrega de la información a través del SAIMEX.</w:t>
      </w:r>
      <w:r w:rsidR="001E7709" w:rsidRPr="00F6431D">
        <w:rPr>
          <w:rFonts w:ascii="Palatino Linotype" w:hAnsi="Palatino Linotype" w:cs="Tahoma"/>
          <w:bCs/>
          <w:sz w:val="22"/>
          <w:szCs w:val="22"/>
        </w:rPr>
        <w:t xml:space="preserve"> </w:t>
      </w:r>
    </w:p>
    <w:p w14:paraId="508958C6" w14:textId="77777777" w:rsidR="001E7709" w:rsidRPr="00F6431D" w:rsidRDefault="001E7709" w:rsidP="00F6431D">
      <w:pPr>
        <w:tabs>
          <w:tab w:val="left" w:pos="567"/>
        </w:tabs>
        <w:spacing w:line="360" w:lineRule="auto"/>
        <w:ind w:right="567"/>
        <w:contextualSpacing/>
        <w:jc w:val="both"/>
        <w:rPr>
          <w:rFonts w:ascii="Palatino Linotype" w:hAnsi="Palatino Linotype" w:cs="Tahoma"/>
          <w:bCs/>
          <w:sz w:val="22"/>
          <w:szCs w:val="22"/>
        </w:rPr>
      </w:pPr>
    </w:p>
    <w:p w14:paraId="5530ED04" w14:textId="69B8206D" w:rsidR="00FA2C4B" w:rsidRPr="00F6431D" w:rsidRDefault="00FA2C4B" w:rsidP="00F6431D">
      <w:pPr>
        <w:autoSpaceDE w:val="0"/>
        <w:autoSpaceDN w:val="0"/>
        <w:adjustRightInd w:val="0"/>
        <w:spacing w:line="360" w:lineRule="auto"/>
        <w:ind w:right="-28"/>
        <w:contextualSpacing/>
        <w:rPr>
          <w:rFonts w:ascii="Palatino Linotype" w:hAnsi="Palatino Linotype" w:cs="Segoe UI"/>
          <w:sz w:val="18"/>
          <w:szCs w:val="18"/>
        </w:rPr>
      </w:pPr>
      <w:r w:rsidRPr="00F6431D">
        <w:rPr>
          <w:rFonts w:ascii="Palatino Linotype" w:hAnsi="Palatino Linotype" w:cs="Tahoma"/>
          <w:b/>
          <w:sz w:val="22"/>
          <w:szCs w:val="22"/>
        </w:rPr>
        <w:t>II. Respuesta</w:t>
      </w:r>
      <w:r w:rsidRPr="00F6431D">
        <w:rPr>
          <w:rFonts w:ascii="Palatino Linotype" w:hAnsi="Palatino Linotype" w:cs="Tahoma"/>
          <w:b/>
          <w:bCs/>
          <w:sz w:val="22"/>
          <w:szCs w:val="22"/>
        </w:rPr>
        <w:t xml:space="preserve"> del Sujeto Obligado</w:t>
      </w:r>
    </w:p>
    <w:p w14:paraId="51019D60" w14:textId="77777777" w:rsidR="00FA2C4B" w:rsidRPr="00F6431D" w:rsidRDefault="00FA2C4B" w:rsidP="00F6431D">
      <w:pPr>
        <w:tabs>
          <w:tab w:val="left" w:pos="4667"/>
        </w:tabs>
        <w:spacing w:line="360" w:lineRule="auto"/>
        <w:ind w:right="567"/>
        <w:contextualSpacing/>
        <w:jc w:val="both"/>
        <w:rPr>
          <w:rFonts w:ascii="Palatino Linotype" w:hAnsi="Palatino Linotype" w:cs="Tahoma"/>
          <w:b/>
          <w:bCs/>
          <w:sz w:val="22"/>
          <w:szCs w:val="22"/>
        </w:rPr>
      </w:pPr>
    </w:p>
    <w:p w14:paraId="45FF4D6E" w14:textId="0344E4AA" w:rsidR="00FA2C4B" w:rsidRPr="00F6431D" w:rsidRDefault="00FA2C4B" w:rsidP="00F6431D">
      <w:pPr>
        <w:autoSpaceDE w:val="0"/>
        <w:autoSpaceDN w:val="0"/>
        <w:adjustRightInd w:val="0"/>
        <w:spacing w:line="360" w:lineRule="auto"/>
        <w:contextualSpacing/>
        <w:jc w:val="both"/>
        <w:rPr>
          <w:rFonts w:ascii="Palatino Linotype" w:hAnsi="Palatino Linotype" w:cs="Tahoma"/>
          <w:sz w:val="22"/>
          <w:szCs w:val="22"/>
        </w:rPr>
      </w:pPr>
      <w:r w:rsidRPr="00F6431D">
        <w:rPr>
          <w:rFonts w:ascii="Palatino Linotype" w:hAnsi="Palatino Linotype" w:cs="Tahoma"/>
          <w:bCs/>
          <w:sz w:val="22"/>
          <w:szCs w:val="22"/>
        </w:rPr>
        <w:t xml:space="preserve">Con fecha </w:t>
      </w:r>
      <w:r w:rsidR="0032033E">
        <w:rPr>
          <w:rFonts w:ascii="Palatino Linotype" w:hAnsi="Palatino Linotype" w:cs="Tahoma"/>
          <w:bCs/>
          <w:sz w:val="22"/>
          <w:szCs w:val="22"/>
        </w:rPr>
        <w:t>nueve de octubre</w:t>
      </w:r>
      <w:r w:rsidR="009A6FA6" w:rsidRPr="00F6431D">
        <w:rPr>
          <w:rFonts w:ascii="Palatino Linotype" w:hAnsi="Palatino Linotype" w:cs="Tahoma"/>
          <w:bCs/>
          <w:sz w:val="22"/>
          <w:szCs w:val="22"/>
        </w:rPr>
        <w:t xml:space="preserve"> de dos mil veinticuatro</w:t>
      </w:r>
      <w:r w:rsidRPr="00F6431D">
        <w:rPr>
          <w:rFonts w:ascii="Palatino Linotype" w:hAnsi="Palatino Linotype" w:cs="Tahoma"/>
          <w:bCs/>
          <w:sz w:val="22"/>
          <w:szCs w:val="22"/>
        </w:rPr>
        <w:t>, el</w:t>
      </w:r>
      <w:r w:rsidRPr="00F6431D">
        <w:rPr>
          <w:rFonts w:ascii="Palatino Linotype" w:hAnsi="Palatino Linotype" w:cs="Tahoma"/>
          <w:b/>
          <w:sz w:val="22"/>
          <w:szCs w:val="22"/>
        </w:rPr>
        <w:t xml:space="preserve"> </w:t>
      </w:r>
      <w:r w:rsidRPr="00F6431D">
        <w:rPr>
          <w:rFonts w:ascii="Palatino Linotype" w:hAnsi="Palatino Linotype" w:cs="Tahoma"/>
          <w:sz w:val="22"/>
          <w:szCs w:val="22"/>
        </w:rPr>
        <w:t xml:space="preserve">Sujeto Obligado </w:t>
      </w:r>
      <w:r w:rsidR="009A6FA6" w:rsidRPr="00F6431D">
        <w:rPr>
          <w:rFonts w:ascii="Palatino Linotype" w:hAnsi="Palatino Linotype" w:cs="Tahoma"/>
          <w:sz w:val="22"/>
          <w:szCs w:val="22"/>
        </w:rPr>
        <w:t>señaló lo siguiente</w:t>
      </w:r>
      <w:r w:rsidR="0008692B" w:rsidRPr="00F6431D">
        <w:rPr>
          <w:rFonts w:ascii="Palatino Linotype" w:hAnsi="Palatino Linotype" w:cs="Tahoma"/>
          <w:sz w:val="22"/>
          <w:szCs w:val="22"/>
        </w:rPr>
        <w:t>:</w:t>
      </w:r>
    </w:p>
    <w:p w14:paraId="052E6778" w14:textId="77777777" w:rsidR="0008692B" w:rsidRPr="00F6431D" w:rsidRDefault="0008692B" w:rsidP="00F6431D">
      <w:pPr>
        <w:autoSpaceDE w:val="0"/>
        <w:autoSpaceDN w:val="0"/>
        <w:adjustRightInd w:val="0"/>
        <w:spacing w:line="360" w:lineRule="auto"/>
        <w:contextualSpacing/>
        <w:jc w:val="both"/>
        <w:rPr>
          <w:rFonts w:ascii="Palatino Linotype" w:hAnsi="Palatino Linotype" w:cs="Tahoma"/>
          <w:sz w:val="22"/>
          <w:szCs w:val="22"/>
        </w:rPr>
      </w:pPr>
    </w:p>
    <w:p w14:paraId="3697FF4C" w14:textId="77777777" w:rsidR="0018264D" w:rsidRPr="00F6431D" w:rsidRDefault="005E39E1" w:rsidP="00F6431D">
      <w:pPr>
        <w:autoSpaceDE w:val="0"/>
        <w:autoSpaceDN w:val="0"/>
        <w:adjustRightInd w:val="0"/>
        <w:spacing w:line="360" w:lineRule="auto"/>
        <w:ind w:left="567" w:right="567"/>
        <w:contextualSpacing/>
        <w:jc w:val="both"/>
        <w:rPr>
          <w:rFonts w:ascii="Palatino Linotype" w:hAnsi="Palatino Linotype" w:cs="Tahoma"/>
          <w:i/>
          <w:szCs w:val="22"/>
        </w:rPr>
      </w:pPr>
      <w:r w:rsidRPr="00F6431D">
        <w:rPr>
          <w:rFonts w:ascii="Palatino Linotype" w:hAnsi="Palatino Linotype" w:cs="Tahoma"/>
          <w:i/>
          <w:szCs w:val="22"/>
        </w:rPr>
        <w:t>“…</w:t>
      </w:r>
    </w:p>
    <w:p w14:paraId="154882FF" w14:textId="6406EF87" w:rsidR="00651621" w:rsidRPr="00F6431D" w:rsidRDefault="0032033E" w:rsidP="00F6431D">
      <w:pPr>
        <w:autoSpaceDE w:val="0"/>
        <w:autoSpaceDN w:val="0"/>
        <w:adjustRightInd w:val="0"/>
        <w:spacing w:line="360" w:lineRule="auto"/>
        <w:ind w:left="567" w:right="567"/>
        <w:contextualSpacing/>
        <w:jc w:val="both"/>
        <w:rPr>
          <w:rFonts w:ascii="Palatino Linotype" w:hAnsi="Palatino Linotype" w:cs="Tahoma"/>
          <w:i/>
          <w:szCs w:val="22"/>
        </w:rPr>
      </w:pPr>
      <w:r w:rsidRPr="0032033E">
        <w:rPr>
          <w:rFonts w:ascii="Palatino Linotype" w:hAnsi="Palatino Linotype" w:cs="Tahoma"/>
          <w:i/>
          <w:szCs w:val="22"/>
        </w:rPr>
        <w:t>Sobre el particular, sírvase encontrar en archivo adjunto copia del oficio de notificación número 20700004S/UT-1984/2024 mediante el cual se detalla lo referente a su solicitud, así como el acuerdo de clasificación número CT-2024-0187 emitido por el Comité de Transparencia de este Sujeto Obligado.</w:t>
      </w:r>
    </w:p>
    <w:p w14:paraId="5FDF811B" w14:textId="2EBFF5E1" w:rsidR="005E39E1" w:rsidRPr="00F6431D" w:rsidRDefault="005E39E1" w:rsidP="00F6431D">
      <w:pPr>
        <w:autoSpaceDE w:val="0"/>
        <w:autoSpaceDN w:val="0"/>
        <w:adjustRightInd w:val="0"/>
        <w:spacing w:line="360" w:lineRule="auto"/>
        <w:ind w:left="567" w:right="567"/>
        <w:contextualSpacing/>
        <w:jc w:val="both"/>
        <w:rPr>
          <w:rFonts w:ascii="Palatino Linotype" w:hAnsi="Palatino Linotype" w:cs="Tahoma"/>
          <w:i/>
          <w:szCs w:val="22"/>
        </w:rPr>
      </w:pPr>
      <w:r w:rsidRPr="00F6431D">
        <w:rPr>
          <w:rFonts w:ascii="Palatino Linotype" w:hAnsi="Palatino Linotype" w:cs="Tahoma"/>
          <w:i/>
          <w:szCs w:val="22"/>
        </w:rPr>
        <w:t xml:space="preserve">…” </w:t>
      </w:r>
    </w:p>
    <w:p w14:paraId="1C68CECA" w14:textId="77777777" w:rsidR="00DA484C" w:rsidRPr="00F6431D" w:rsidRDefault="00DA484C" w:rsidP="00F6431D">
      <w:pPr>
        <w:autoSpaceDE w:val="0"/>
        <w:autoSpaceDN w:val="0"/>
        <w:adjustRightInd w:val="0"/>
        <w:spacing w:line="360" w:lineRule="auto"/>
        <w:ind w:right="567"/>
        <w:contextualSpacing/>
        <w:jc w:val="both"/>
        <w:rPr>
          <w:rFonts w:ascii="Palatino Linotype" w:hAnsi="Palatino Linotype" w:cs="Tahoma"/>
          <w:i/>
          <w:szCs w:val="22"/>
        </w:rPr>
      </w:pPr>
    </w:p>
    <w:p w14:paraId="7BD1E569" w14:textId="5EE2FFB5" w:rsidR="00DA484C" w:rsidRPr="00F6431D" w:rsidRDefault="00DA484C" w:rsidP="00F6431D">
      <w:pPr>
        <w:autoSpaceDE w:val="0"/>
        <w:autoSpaceDN w:val="0"/>
        <w:adjustRightInd w:val="0"/>
        <w:spacing w:line="360" w:lineRule="auto"/>
        <w:contextualSpacing/>
        <w:jc w:val="both"/>
        <w:rPr>
          <w:rFonts w:ascii="Palatino Linotype" w:hAnsi="Palatino Linotype" w:cs="Tahoma"/>
          <w:sz w:val="22"/>
          <w:szCs w:val="22"/>
        </w:rPr>
      </w:pPr>
      <w:r w:rsidRPr="00F6431D">
        <w:rPr>
          <w:rFonts w:ascii="Palatino Linotype" w:hAnsi="Palatino Linotype" w:cs="Tahoma"/>
          <w:sz w:val="22"/>
          <w:szCs w:val="22"/>
        </w:rPr>
        <w:t xml:space="preserve">A </w:t>
      </w:r>
      <w:r w:rsidR="009A6FA6" w:rsidRPr="00F6431D">
        <w:rPr>
          <w:rFonts w:ascii="Palatino Linotype" w:hAnsi="Palatino Linotype" w:cs="Tahoma"/>
          <w:sz w:val="22"/>
          <w:szCs w:val="22"/>
        </w:rPr>
        <w:t>su</w:t>
      </w:r>
      <w:r w:rsidRPr="00F6431D">
        <w:rPr>
          <w:rFonts w:ascii="Palatino Linotype" w:hAnsi="Palatino Linotype" w:cs="Tahoma"/>
          <w:sz w:val="22"/>
          <w:szCs w:val="22"/>
        </w:rPr>
        <w:t xml:space="preserve"> respuesta adjuntó </w:t>
      </w:r>
      <w:r w:rsidR="009A6FA6" w:rsidRPr="00F6431D">
        <w:rPr>
          <w:rFonts w:ascii="Palatino Linotype" w:hAnsi="Palatino Linotype" w:cs="Tahoma"/>
          <w:sz w:val="22"/>
          <w:szCs w:val="22"/>
        </w:rPr>
        <w:t>los</w:t>
      </w:r>
      <w:r w:rsidR="00542BC1" w:rsidRPr="00F6431D">
        <w:rPr>
          <w:rFonts w:ascii="Palatino Linotype" w:hAnsi="Palatino Linotype" w:cs="Tahoma"/>
          <w:sz w:val="22"/>
          <w:szCs w:val="22"/>
        </w:rPr>
        <w:t xml:space="preserve"> </w:t>
      </w:r>
      <w:r w:rsidRPr="00F6431D">
        <w:rPr>
          <w:rFonts w:ascii="Palatino Linotype" w:hAnsi="Palatino Linotype" w:cs="Tahoma"/>
          <w:sz w:val="22"/>
          <w:szCs w:val="22"/>
        </w:rPr>
        <w:t>documento</w:t>
      </w:r>
      <w:r w:rsidR="009A6FA6" w:rsidRPr="00F6431D">
        <w:rPr>
          <w:rFonts w:ascii="Palatino Linotype" w:hAnsi="Palatino Linotype" w:cs="Tahoma"/>
          <w:sz w:val="22"/>
          <w:szCs w:val="22"/>
        </w:rPr>
        <w:t>s</w:t>
      </w:r>
      <w:r w:rsidR="00FA5ACE" w:rsidRPr="00F6431D">
        <w:rPr>
          <w:rFonts w:ascii="Palatino Linotype" w:hAnsi="Palatino Linotype" w:cs="Tahoma"/>
          <w:sz w:val="22"/>
          <w:szCs w:val="22"/>
        </w:rPr>
        <w:t>,</w:t>
      </w:r>
      <w:r w:rsidRPr="00F6431D">
        <w:rPr>
          <w:rFonts w:ascii="Palatino Linotype" w:hAnsi="Palatino Linotype" w:cs="Tahoma"/>
          <w:sz w:val="22"/>
          <w:szCs w:val="22"/>
        </w:rPr>
        <w:t xml:space="preserve"> </w:t>
      </w:r>
      <w:r w:rsidR="009A6FA6" w:rsidRPr="00F6431D">
        <w:rPr>
          <w:rFonts w:ascii="Palatino Linotype" w:hAnsi="Palatino Linotype" w:cs="Tahoma"/>
          <w:sz w:val="22"/>
          <w:szCs w:val="22"/>
        </w:rPr>
        <w:t>que se describen a continuación</w:t>
      </w:r>
      <w:r w:rsidRPr="00F6431D">
        <w:rPr>
          <w:rFonts w:ascii="Palatino Linotype" w:hAnsi="Palatino Linotype" w:cs="Tahoma"/>
          <w:sz w:val="22"/>
          <w:szCs w:val="22"/>
        </w:rPr>
        <w:t xml:space="preserve">: </w:t>
      </w:r>
    </w:p>
    <w:p w14:paraId="105B33F9" w14:textId="77777777" w:rsidR="00DC45BD" w:rsidRPr="00F6431D" w:rsidRDefault="00DC45BD" w:rsidP="00F6431D">
      <w:pPr>
        <w:autoSpaceDE w:val="0"/>
        <w:autoSpaceDN w:val="0"/>
        <w:adjustRightInd w:val="0"/>
        <w:spacing w:line="360" w:lineRule="auto"/>
        <w:contextualSpacing/>
        <w:jc w:val="both"/>
        <w:rPr>
          <w:rFonts w:ascii="Palatino Linotype" w:hAnsi="Palatino Linotype" w:cs="Tahoma"/>
          <w:sz w:val="22"/>
          <w:szCs w:val="22"/>
        </w:rPr>
      </w:pPr>
    </w:p>
    <w:p w14:paraId="5840DBA3" w14:textId="620D6FC5" w:rsidR="00BB6FF1" w:rsidRPr="00F6431D" w:rsidRDefault="009A6FA6" w:rsidP="00F6431D">
      <w:pPr>
        <w:autoSpaceDE w:val="0"/>
        <w:autoSpaceDN w:val="0"/>
        <w:adjustRightInd w:val="0"/>
        <w:spacing w:line="360" w:lineRule="auto"/>
        <w:contextualSpacing/>
        <w:jc w:val="both"/>
        <w:rPr>
          <w:rFonts w:ascii="Palatino Linotype" w:hAnsi="Palatino Linotype" w:cs="Tahoma"/>
          <w:sz w:val="22"/>
          <w:szCs w:val="22"/>
        </w:rPr>
      </w:pPr>
      <w:r w:rsidRPr="00F6431D">
        <w:rPr>
          <w:rFonts w:ascii="Palatino Linotype" w:hAnsi="Palatino Linotype" w:cs="Tahoma"/>
          <w:sz w:val="22"/>
          <w:szCs w:val="22"/>
        </w:rPr>
        <w:t xml:space="preserve">I) Oficio </w:t>
      </w:r>
      <w:r w:rsidR="0032033E">
        <w:rPr>
          <w:rFonts w:ascii="Palatino Linotype" w:hAnsi="Palatino Linotype" w:cs="Tahoma"/>
          <w:sz w:val="22"/>
          <w:szCs w:val="22"/>
        </w:rPr>
        <w:t>20700004S/UT-1984/2024</w:t>
      </w:r>
      <w:r w:rsidRPr="00F6431D">
        <w:rPr>
          <w:rFonts w:ascii="Palatino Linotype" w:hAnsi="Palatino Linotype" w:cs="Tahoma"/>
          <w:sz w:val="22"/>
          <w:szCs w:val="22"/>
        </w:rPr>
        <w:t>, del ocho de o</w:t>
      </w:r>
      <w:r w:rsidR="0032033E">
        <w:rPr>
          <w:rFonts w:ascii="Palatino Linotype" w:hAnsi="Palatino Linotype" w:cs="Tahoma"/>
          <w:sz w:val="22"/>
          <w:szCs w:val="22"/>
        </w:rPr>
        <w:t>ctubre</w:t>
      </w:r>
      <w:r w:rsidRPr="00F6431D">
        <w:rPr>
          <w:rFonts w:ascii="Palatino Linotype" w:hAnsi="Palatino Linotype" w:cs="Tahoma"/>
          <w:sz w:val="22"/>
          <w:szCs w:val="22"/>
        </w:rPr>
        <w:t xml:space="preserve"> de dos mil veinticuatro, signado por el </w:t>
      </w:r>
      <w:r w:rsidR="0032033E">
        <w:rPr>
          <w:rFonts w:ascii="Palatino Linotype" w:hAnsi="Palatino Linotype" w:cs="Tahoma"/>
          <w:sz w:val="22"/>
          <w:szCs w:val="22"/>
        </w:rPr>
        <w:t xml:space="preserve">Jefe de la UIPPE y </w:t>
      </w:r>
      <w:r w:rsidRPr="00F6431D">
        <w:rPr>
          <w:rFonts w:ascii="Palatino Linotype" w:hAnsi="Palatino Linotype" w:cs="Tahoma"/>
          <w:sz w:val="22"/>
          <w:szCs w:val="22"/>
        </w:rPr>
        <w:t xml:space="preserve">Titular de la Unidad de Transparencia, el cual de manera general señaló que </w:t>
      </w:r>
      <w:r w:rsidR="0032033E">
        <w:rPr>
          <w:rFonts w:ascii="Palatino Linotype" w:hAnsi="Palatino Linotype" w:cs="Tahoma"/>
          <w:sz w:val="22"/>
          <w:szCs w:val="22"/>
        </w:rPr>
        <w:t>remitía la respuesta de la Servidora Pública Habilitada Suplente de la Dirección General de Recaudación</w:t>
      </w:r>
      <w:r w:rsidRPr="00F6431D">
        <w:rPr>
          <w:rFonts w:ascii="Palatino Linotype" w:hAnsi="Palatino Linotype" w:cs="Tahoma"/>
          <w:sz w:val="22"/>
          <w:szCs w:val="22"/>
        </w:rPr>
        <w:t>.</w:t>
      </w:r>
      <w:r w:rsidR="00BB6FF1" w:rsidRPr="00F6431D">
        <w:rPr>
          <w:rFonts w:ascii="Palatino Linotype" w:hAnsi="Palatino Linotype" w:cs="Tahoma"/>
          <w:sz w:val="22"/>
          <w:szCs w:val="22"/>
        </w:rPr>
        <w:t xml:space="preserve"> </w:t>
      </w:r>
    </w:p>
    <w:p w14:paraId="64B991D9" w14:textId="77777777" w:rsidR="009A6FA6" w:rsidRPr="00F6431D" w:rsidRDefault="009A6FA6" w:rsidP="00F6431D">
      <w:pPr>
        <w:autoSpaceDE w:val="0"/>
        <w:autoSpaceDN w:val="0"/>
        <w:adjustRightInd w:val="0"/>
        <w:spacing w:line="360" w:lineRule="auto"/>
        <w:contextualSpacing/>
        <w:jc w:val="both"/>
        <w:rPr>
          <w:rFonts w:ascii="Palatino Linotype" w:hAnsi="Palatino Linotype" w:cs="Tahoma"/>
          <w:sz w:val="22"/>
          <w:szCs w:val="22"/>
        </w:rPr>
      </w:pPr>
    </w:p>
    <w:p w14:paraId="3E1D2765" w14:textId="79FB210F" w:rsidR="009A6FA6" w:rsidRPr="00F6431D" w:rsidRDefault="009A6FA6" w:rsidP="00F6431D">
      <w:pPr>
        <w:autoSpaceDE w:val="0"/>
        <w:autoSpaceDN w:val="0"/>
        <w:adjustRightInd w:val="0"/>
        <w:spacing w:line="360" w:lineRule="auto"/>
        <w:contextualSpacing/>
        <w:jc w:val="both"/>
        <w:rPr>
          <w:rFonts w:ascii="Palatino Linotype" w:hAnsi="Palatino Linotype" w:cs="Tahoma"/>
          <w:sz w:val="22"/>
          <w:szCs w:val="22"/>
        </w:rPr>
      </w:pPr>
      <w:r w:rsidRPr="00F6431D">
        <w:rPr>
          <w:rFonts w:ascii="Palatino Linotype" w:hAnsi="Palatino Linotype" w:cs="Tahoma"/>
          <w:sz w:val="22"/>
          <w:szCs w:val="22"/>
        </w:rPr>
        <w:lastRenderedPageBreak/>
        <w:t>II) Oficio 20</w:t>
      </w:r>
      <w:r w:rsidR="00291385">
        <w:rPr>
          <w:rFonts w:ascii="Palatino Linotype" w:hAnsi="Palatino Linotype" w:cs="Tahoma"/>
          <w:sz w:val="22"/>
          <w:szCs w:val="22"/>
        </w:rPr>
        <w:t>703001030200L</w:t>
      </w:r>
      <w:r w:rsidRPr="00F6431D">
        <w:rPr>
          <w:rFonts w:ascii="Palatino Linotype" w:hAnsi="Palatino Linotype" w:cs="Tahoma"/>
          <w:sz w:val="22"/>
          <w:szCs w:val="22"/>
        </w:rPr>
        <w:t>/</w:t>
      </w:r>
      <w:r w:rsidR="00291385">
        <w:rPr>
          <w:rFonts w:ascii="Palatino Linotype" w:hAnsi="Palatino Linotype" w:cs="Tahoma"/>
          <w:sz w:val="22"/>
          <w:szCs w:val="22"/>
        </w:rPr>
        <w:t>337</w:t>
      </w:r>
      <w:r w:rsidRPr="00F6431D">
        <w:rPr>
          <w:rFonts w:ascii="Palatino Linotype" w:hAnsi="Palatino Linotype" w:cs="Tahoma"/>
          <w:sz w:val="22"/>
          <w:szCs w:val="22"/>
        </w:rPr>
        <w:t xml:space="preserve">/2024, del </w:t>
      </w:r>
      <w:r w:rsidR="00291385">
        <w:rPr>
          <w:rFonts w:ascii="Palatino Linotype" w:hAnsi="Palatino Linotype" w:cs="Tahoma"/>
          <w:sz w:val="22"/>
          <w:szCs w:val="22"/>
        </w:rPr>
        <w:t>treinta de septiembre</w:t>
      </w:r>
      <w:r w:rsidRPr="00F6431D">
        <w:rPr>
          <w:rFonts w:ascii="Palatino Linotype" w:hAnsi="Palatino Linotype" w:cs="Tahoma"/>
          <w:sz w:val="22"/>
          <w:szCs w:val="22"/>
        </w:rPr>
        <w:t xml:space="preserve"> de dos mil veinticuatro, signado por </w:t>
      </w:r>
      <w:r w:rsidR="008E01FA">
        <w:rPr>
          <w:rFonts w:ascii="Palatino Linotype" w:hAnsi="Palatino Linotype" w:cs="Tahoma"/>
          <w:sz w:val="22"/>
          <w:szCs w:val="22"/>
        </w:rPr>
        <w:t>la Subdirectora de Normas y Procedimientos y Servidora Pública Habilitada Suplente de la Dirección General de Recaudación</w:t>
      </w:r>
      <w:r w:rsidRPr="00F6431D">
        <w:rPr>
          <w:rFonts w:ascii="Palatino Linotype" w:hAnsi="Palatino Linotype" w:cs="Tahoma"/>
          <w:sz w:val="22"/>
          <w:szCs w:val="22"/>
        </w:rPr>
        <w:t xml:space="preserve">, </w:t>
      </w:r>
      <w:r w:rsidR="008E01FA">
        <w:rPr>
          <w:rFonts w:ascii="Palatino Linotype" w:hAnsi="Palatino Linotype" w:cs="Tahoma"/>
          <w:sz w:val="22"/>
          <w:szCs w:val="22"/>
        </w:rPr>
        <w:t xml:space="preserve">mediante </w:t>
      </w:r>
      <w:r w:rsidRPr="00F6431D">
        <w:rPr>
          <w:rFonts w:ascii="Palatino Linotype" w:hAnsi="Palatino Linotype" w:cs="Tahoma"/>
          <w:sz w:val="22"/>
          <w:szCs w:val="22"/>
        </w:rPr>
        <w:t xml:space="preserve">el cual de manera general señaló que </w:t>
      </w:r>
      <w:r w:rsidR="008E01FA">
        <w:rPr>
          <w:rFonts w:ascii="Palatino Linotype" w:hAnsi="Palatino Linotype" w:cs="Tahoma"/>
          <w:sz w:val="22"/>
          <w:szCs w:val="22"/>
        </w:rPr>
        <w:t xml:space="preserve">se realizó la búsqueda de la información solicitada, en razón de ello, </w:t>
      </w:r>
      <w:r w:rsidR="00E81927" w:rsidRPr="00F6431D">
        <w:rPr>
          <w:rFonts w:ascii="Palatino Linotype" w:hAnsi="Palatino Linotype" w:cs="Tahoma"/>
          <w:sz w:val="22"/>
          <w:szCs w:val="22"/>
        </w:rPr>
        <w:t>remitía copia simple del oficio 20</w:t>
      </w:r>
      <w:r w:rsidR="008E01FA">
        <w:rPr>
          <w:rFonts w:ascii="Palatino Linotype" w:hAnsi="Palatino Linotype" w:cs="Tahoma"/>
          <w:sz w:val="22"/>
          <w:szCs w:val="22"/>
        </w:rPr>
        <w:t>703001050000L/2020/</w:t>
      </w:r>
      <w:r w:rsidR="00E81927" w:rsidRPr="00F6431D">
        <w:rPr>
          <w:rFonts w:ascii="Palatino Linotype" w:hAnsi="Palatino Linotype" w:cs="Tahoma"/>
          <w:sz w:val="22"/>
          <w:szCs w:val="22"/>
        </w:rPr>
        <w:t xml:space="preserve">2024, emitido por la Dirección </w:t>
      </w:r>
      <w:r w:rsidR="008E01FA">
        <w:rPr>
          <w:rFonts w:ascii="Palatino Linotype" w:hAnsi="Palatino Linotype" w:cs="Tahoma"/>
          <w:sz w:val="22"/>
          <w:szCs w:val="22"/>
        </w:rPr>
        <w:t>del Registro Estatal de Vehículos, además de que solicitó se someta a consideración del Comité de Transparencia la clasificación como información confidencial de la información solicitada, consistente en el oficio 20703001050100L/4221/2024 y sus anexos.</w:t>
      </w:r>
    </w:p>
    <w:p w14:paraId="0E86927B" w14:textId="77777777" w:rsidR="00E81927" w:rsidRPr="00F6431D" w:rsidRDefault="00E81927" w:rsidP="00F6431D">
      <w:pPr>
        <w:autoSpaceDE w:val="0"/>
        <w:autoSpaceDN w:val="0"/>
        <w:adjustRightInd w:val="0"/>
        <w:spacing w:line="360" w:lineRule="auto"/>
        <w:contextualSpacing/>
        <w:jc w:val="both"/>
        <w:rPr>
          <w:rFonts w:ascii="Palatino Linotype" w:hAnsi="Palatino Linotype" w:cs="Tahoma"/>
          <w:sz w:val="22"/>
          <w:szCs w:val="22"/>
        </w:rPr>
      </w:pPr>
    </w:p>
    <w:p w14:paraId="5BAE233E" w14:textId="207D0EEC" w:rsidR="00E81927" w:rsidRDefault="00E81927" w:rsidP="00F6431D">
      <w:pPr>
        <w:autoSpaceDE w:val="0"/>
        <w:autoSpaceDN w:val="0"/>
        <w:adjustRightInd w:val="0"/>
        <w:spacing w:line="360" w:lineRule="auto"/>
        <w:contextualSpacing/>
        <w:jc w:val="both"/>
        <w:rPr>
          <w:rFonts w:ascii="Palatino Linotype" w:hAnsi="Palatino Linotype" w:cs="Tahoma"/>
          <w:sz w:val="22"/>
          <w:szCs w:val="22"/>
        </w:rPr>
      </w:pPr>
      <w:r w:rsidRPr="00F6431D">
        <w:rPr>
          <w:rFonts w:ascii="Palatino Linotype" w:hAnsi="Palatino Linotype" w:cs="Tahoma"/>
          <w:sz w:val="22"/>
          <w:szCs w:val="22"/>
        </w:rPr>
        <w:t xml:space="preserve">III) Oficio </w:t>
      </w:r>
      <w:r w:rsidR="009F0D17" w:rsidRPr="009F0D17">
        <w:rPr>
          <w:rFonts w:ascii="Palatino Linotype" w:hAnsi="Palatino Linotype" w:cs="Tahoma"/>
          <w:sz w:val="22"/>
          <w:szCs w:val="22"/>
        </w:rPr>
        <w:t xml:space="preserve">20703001050000L/2020/2024, </w:t>
      </w:r>
      <w:r w:rsidRPr="00F6431D">
        <w:rPr>
          <w:rFonts w:ascii="Palatino Linotype" w:hAnsi="Palatino Linotype" w:cs="Tahoma"/>
          <w:sz w:val="22"/>
          <w:szCs w:val="22"/>
        </w:rPr>
        <w:t xml:space="preserve">del </w:t>
      </w:r>
      <w:r w:rsidR="009F0D17">
        <w:rPr>
          <w:rFonts w:ascii="Palatino Linotype" w:hAnsi="Palatino Linotype" w:cs="Tahoma"/>
          <w:sz w:val="22"/>
          <w:szCs w:val="22"/>
        </w:rPr>
        <w:t>veintisiete de septiembre</w:t>
      </w:r>
      <w:r w:rsidRPr="00F6431D">
        <w:rPr>
          <w:rFonts w:ascii="Palatino Linotype" w:hAnsi="Palatino Linotype" w:cs="Tahoma"/>
          <w:sz w:val="22"/>
          <w:szCs w:val="22"/>
        </w:rPr>
        <w:t xml:space="preserve"> de dos mil veinticuatro, </w:t>
      </w:r>
      <w:r w:rsidR="009F0D17" w:rsidRPr="009F0D17">
        <w:rPr>
          <w:rFonts w:ascii="Palatino Linotype" w:hAnsi="Palatino Linotype" w:cs="Tahoma"/>
          <w:sz w:val="22"/>
          <w:szCs w:val="22"/>
        </w:rPr>
        <w:t>emitido por la Direc</w:t>
      </w:r>
      <w:r w:rsidR="009F0D17">
        <w:rPr>
          <w:rFonts w:ascii="Palatino Linotype" w:hAnsi="Palatino Linotype" w:cs="Tahoma"/>
          <w:sz w:val="22"/>
          <w:szCs w:val="22"/>
        </w:rPr>
        <w:t>tora</w:t>
      </w:r>
      <w:r w:rsidR="009F0D17" w:rsidRPr="009F0D17">
        <w:rPr>
          <w:rFonts w:ascii="Palatino Linotype" w:hAnsi="Palatino Linotype" w:cs="Tahoma"/>
          <w:sz w:val="22"/>
          <w:szCs w:val="22"/>
        </w:rPr>
        <w:t xml:space="preserve"> del Registro Estatal de Vehículos</w:t>
      </w:r>
      <w:r w:rsidRPr="00F6431D">
        <w:rPr>
          <w:rFonts w:ascii="Palatino Linotype" w:hAnsi="Palatino Linotype" w:cs="Tahoma"/>
          <w:sz w:val="22"/>
          <w:szCs w:val="22"/>
        </w:rPr>
        <w:t xml:space="preserve">, </w:t>
      </w:r>
      <w:r w:rsidR="009F0D17">
        <w:rPr>
          <w:rFonts w:ascii="Palatino Linotype" w:hAnsi="Palatino Linotype" w:cs="Tahoma"/>
          <w:sz w:val="22"/>
          <w:szCs w:val="22"/>
        </w:rPr>
        <w:t>misma que</w:t>
      </w:r>
      <w:r w:rsidRPr="00F6431D">
        <w:rPr>
          <w:rFonts w:ascii="Palatino Linotype" w:hAnsi="Palatino Linotype" w:cs="Tahoma"/>
          <w:sz w:val="22"/>
          <w:szCs w:val="22"/>
        </w:rPr>
        <w:t xml:space="preserve"> señaló </w:t>
      </w:r>
      <w:r w:rsidR="009F0D17">
        <w:rPr>
          <w:rFonts w:ascii="Palatino Linotype" w:hAnsi="Palatino Linotype" w:cs="Tahoma"/>
          <w:sz w:val="22"/>
          <w:szCs w:val="22"/>
        </w:rPr>
        <w:t>lo siguiente:</w:t>
      </w:r>
    </w:p>
    <w:p w14:paraId="78B23A50" w14:textId="77777777" w:rsidR="009F0D17" w:rsidRDefault="009F0D17" w:rsidP="00F6431D">
      <w:pPr>
        <w:autoSpaceDE w:val="0"/>
        <w:autoSpaceDN w:val="0"/>
        <w:adjustRightInd w:val="0"/>
        <w:spacing w:line="360" w:lineRule="auto"/>
        <w:contextualSpacing/>
        <w:jc w:val="both"/>
        <w:rPr>
          <w:rFonts w:ascii="Palatino Linotype" w:hAnsi="Palatino Linotype" w:cs="Tahoma"/>
          <w:sz w:val="22"/>
          <w:szCs w:val="22"/>
        </w:rPr>
      </w:pPr>
    </w:p>
    <w:p w14:paraId="0C1FE961" w14:textId="77777777" w:rsidR="009F0D17" w:rsidRPr="00F6431D" w:rsidRDefault="009F0D17" w:rsidP="009F0D17">
      <w:pPr>
        <w:autoSpaceDE w:val="0"/>
        <w:autoSpaceDN w:val="0"/>
        <w:adjustRightInd w:val="0"/>
        <w:spacing w:line="360" w:lineRule="auto"/>
        <w:ind w:left="567" w:right="567"/>
        <w:contextualSpacing/>
        <w:jc w:val="both"/>
        <w:rPr>
          <w:rFonts w:ascii="Palatino Linotype" w:hAnsi="Palatino Linotype" w:cs="Tahoma"/>
          <w:i/>
          <w:szCs w:val="22"/>
        </w:rPr>
      </w:pPr>
      <w:r w:rsidRPr="00F6431D">
        <w:rPr>
          <w:rFonts w:ascii="Palatino Linotype" w:hAnsi="Palatino Linotype" w:cs="Tahoma"/>
          <w:i/>
          <w:szCs w:val="22"/>
        </w:rPr>
        <w:t>“…</w:t>
      </w:r>
    </w:p>
    <w:p w14:paraId="3F48EA2E" w14:textId="5BDB6078" w:rsidR="009F0D17" w:rsidRDefault="009F0D17"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b/>
          <w:i/>
          <w:szCs w:val="22"/>
        </w:rPr>
        <w:t xml:space="preserve">No es posible otorgar el oficio </w:t>
      </w:r>
      <w:r w:rsidRPr="009F0D17">
        <w:rPr>
          <w:rFonts w:ascii="Palatino Linotype" w:hAnsi="Palatino Linotype" w:cs="Tahoma"/>
          <w:b/>
          <w:i/>
          <w:szCs w:val="22"/>
        </w:rPr>
        <w:t>20703001050100L/4221/2024 y sus anexos</w:t>
      </w:r>
      <w:r>
        <w:rPr>
          <w:rFonts w:ascii="Palatino Linotype" w:hAnsi="Palatino Linotype" w:cs="Tahoma"/>
          <w:b/>
          <w:i/>
          <w:szCs w:val="22"/>
        </w:rPr>
        <w:t>, solicitados por el particular,</w:t>
      </w:r>
      <w:r>
        <w:rPr>
          <w:rFonts w:ascii="Palatino Linotype" w:hAnsi="Palatino Linotype" w:cs="Tahoma"/>
          <w:i/>
          <w:szCs w:val="22"/>
        </w:rPr>
        <w:t xml:space="preserve"> toda vez que, de acuerdo a su naturaleza, </w:t>
      </w:r>
      <w:r>
        <w:rPr>
          <w:rFonts w:ascii="Palatino Linotype" w:hAnsi="Palatino Linotype" w:cs="Tahoma"/>
          <w:b/>
          <w:i/>
          <w:szCs w:val="22"/>
          <w:u w:val="single"/>
        </w:rPr>
        <w:t>reviste el carácter de confidencialidad</w:t>
      </w:r>
      <w:r>
        <w:rPr>
          <w:rFonts w:ascii="Palatino Linotype" w:hAnsi="Palatino Linotype" w:cs="Tahoma"/>
          <w:i/>
          <w:szCs w:val="22"/>
        </w:rPr>
        <w:t>, conforme a lo que a continuación se expone</w:t>
      </w:r>
      <w:r w:rsidR="00463DF7">
        <w:rPr>
          <w:rFonts w:ascii="Palatino Linotype" w:hAnsi="Palatino Linotype" w:cs="Tahoma"/>
          <w:i/>
          <w:szCs w:val="22"/>
        </w:rPr>
        <w:t>:</w:t>
      </w:r>
    </w:p>
    <w:p w14:paraId="0A10D295" w14:textId="77777777" w:rsidR="00463DF7" w:rsidRDefault="00463DF7" w:rsidP="009F0D17">
      <w:pPr>
        <w:autoSpaceDE w:val="0"/>
        <w:autoSpaceDN w:val="0"/>
        <w:adjustRightInd w:val="0"/>
        <w:spacing w:line="360" w:lineRule="auto"/>
        <w:ind w:left="567" w:right="567"/>
        <w:contextualSpacing/>
        <w:jc w:val="both"/>
        <w:rPr>
          <w:rFonts w:ascii="Palatino Linotype" w:hAnsi="Palatino Linotype" w:cs="Tahoma"/>
          <w:i/>
          <w:szCs w:val="22"/>
        </w:rPr>
      </w:pPr>
    </w:p>
    <w:p w14:paraId="426B62B0" w14:textId="3F2209A2" w:rsidR="00463DF7" w:rsidRDefault="00463DF7" w:rsidP="009F0D17">
      <w:pPr>
        <w:autoSpaceDE w:val="0"/>
        <w:autoSpaceDN w:val="0"/>
        <w:adjustRightInd w:val="0"/>
        <w:spacing w:line="360" w:lineRule="auto"/>
        <w:ind w:left="567" w:right="567"/>
        <w:contextualSpacing/>
        <w:jc w:val="both"/>
        <w:rPr>
          <w:rFonts w:ascii="Palatino Linotype" w:hAnsi="Palatino Linotype" w:cs="Tahoma"/>
          <w:b/>
          <w:i/>
          <w:szCs w:val="22"/>
        </w:rPr>
      </w:pPr>
      <w:r>
        <w:rPr>
          <w:rFonts w:ascii="Palatino Linotype" w:hAnsi="Palatino Linotype" w:cs="Tahoma"/>
          <w:i/>
          <w:szCs w:val="22"/>
        </w:rPr>
        <w:t xml:space="preserve">En términos del artículo 10 E de la Ley de Coordinación Fiscal, las entidades adheridas al Sistema Nacional de Coordinación Fiscal deben llevar un </w:t>
      </w:r>
      <w:r>
        <w:rPr>
          <w:rFonts w:ascii="Palatino Linotype" w:hAnsi="Palatino Linotype" w:cs="Tahoma"/>
          <w:b/>
          <w:i/>
          <w:szCs w:val="22"/>
        </w:rPr>
        <w:t>registro estatal vehicular</w:t>
      </w:r>
      <w:r>
        <w:rPr>
          <w:rFonts w:ascii="Palatino Linotype" w:hAnsi="Palatino Linotype" w:cs="Tahoma"/>
          <w:i/>
          <w:szCs w:val="22"/>
        </w:rPr>
        <w:t xml:space="preserve">, integrado con los </w:t>
      </w:r>
      <w:r>
        <w:rPr>
          <w:rFonts w:ascii="Palatino Linotype" w:hAnsi="Palatino Linotype" w:cs="Tahoma"/>
          <w:b/>
          <w:i/>
          <w:szCs w:val="22"/>
        </w:rPr>
        <w:t>datos de los vehículos que los contribuyentes inscriban o registren en la circunscripción territorial de cada entidad.</w:t>
      </w:r>
    </w:p>
    <w:p w14:paraId="692B51DF" w14:textId="77777777" w:rsidR="000F0859" w:rsidRDefault="000F0859" w:rsidP="009F0D17">
      <w:pPr>
        <w:autoSpaceDE w:val="0"/>
        <w:autoSpaceDN w:val="0"/>
        <w:adjustRightInd w:val="0"/>
        <w:spacing w:line="360" w:lineRule="auto"/>
        <w:ind w:left="567" w:right="567"/>
        <w:contextualSpacing/>
        <w:jc w:val="both"/>
        <w:rPr>
          <w:rFonts w:ascii="Palatino Linotype" w:hAnsi="Palatino Linotype" w:cs="Tahoma"/>
          <w:b/>
          <w:i/>
          <w:szCs w:val="22"/>
        </w:rPr>
      </w:pPr>
    </w:p>
    <w:p w14:paraId="3DF0D059" w14:textId="33A421FC" w:rsidR="000F0859" w:rsidRDefault="000F0859"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Asimismo, los datos de los vehículos y de los contribuyentes que contendrá el registro estatal vehicular deben ser:</w:t>
      </w:r>
    </w:p>
    <w:p w14:paraId="3AB89657" w14:textId="77777777" w:rsidR="000F0859" w:rsidRDefault="000F0859" w:rsidP="009F0D17">
      <w:pPr>
        <w:autoSpaceDE w:val="0"/>
        <w:autoSpaceDN w:val="0"/>
        <w:adjustRightInd w:val="0"/>
        <w:spacing w:line="360" w:lineRule="auto"/>
        <w:ind w:left="567" w:right="567"/>
        <w:contextualSpacing/>
        <w:jc w:val="both"/>
        <w:rPr>
          <w:rFonts w:ascii="Palatino Linotype" w:hAnsi="Palatino Linotype" w:cs="Tahoma"/>
          <w:i/>
          <w:szCs w:val="22"/>
        </w:rPr>
      </w:pPr>
    </w:p>
    <w:p w14:paraId="566C609F" w14:textId="103CF27E" w:rsidR="000F0859" w:rsidRDefault="000F0859"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I. El número de identificación vehicular.</w:t>
      </w:r>
    </w:p>
    <w:p w14:paraId="0D2F8F10" w14:textId="7CA747F5" w:rsidR="000F0859" w:rsidRDefault="000F0859"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II. Las características esenciales del vehículo: marca, modelo, año modelo, número de cilindros, origen o procedencia, número de motor, número de chasis y número de placas.</w:t>
      </w:r>
    </w:p>
    <w:p w14:paraId="3880850E" w14:textId="2971A2C3" w:rsidR="000F0859" w:rsidRDefault="000F0859"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lastRenderedPageBreak/>
        <w:t>III. El nombre, denominación o razón social, domicilio del propietario y, en su caso, el Registro Federal de Contribuyentes.</w:t>
      </w:r>
    </w:p>
    <w:p w14:paraId="077DEB8F" w14:textId="77777777" w:rsidR="000F0859" w:rsidRDefault="000F0859" w:rsidP="009F0D17">
      <w:pPr>
        <w:autoSpaceDE w:val="0"/>
        <w:autoSpaceDN w:val="0"/>
        <w:adjustRightInd w:val="0"/>
        <w:spacing w:line="360" w:lineRule="auto"/>
        <w:ind w:left="567" w:right="567"/>
        <w:contextualSpacing/>
        <w:jc w:val="both"/>
        <w:rPr>
          <w:rFonts w:ascii="Palatino Linotype" w:hAnsi="Palatino Linotype" w:cs="Tahoma"/>
          <w:i/>
          <w:szCs w:val="22"/>
        </w:rPr>
      </w:pPr>
    </w:p>
    <w:p w14:paraId="04C282D4" w14:textId="4BB641FB" w:rsidR="000F0859" w:rsidRDefault="000F0859" w:rsidP="009F0D17">
      <w:pPr>
        <w:autoSpaceDE w:val="0"/>
        <w:autoSpaceDN w:val="0"/>
        <w:adjustRightInd w:val="0"/>
        <w:spacing w:line="360" w:lineRule="auto"/>
        <w:ind w:left="567" w:right="567"/>
        <w:contextualSpacing/>
        <w:jc w:val="both"/>
        <w:rPr>
          <w:rFonts w:ascii="Palatino Linotype" w:hAnsi="Palatino Linotype" w:cs="Tahoma"/>
          <w:b/>
          <w:i/>
          <w:szCs w:val="22"/>
        </w:rPr>
      </w:pPr>
      <w:r>
        <w:rPr>
          <w:rFonts w:ascii="Palatino Linotype" w:hAnsi="Palatino Linotype" w:cs="Tahoma"/>
          <w:i/>
          <w:szCs w:val="22"/>
        </w:rPr>
        <w:t>El artículo 13</w:t>
      </w:r>
      <w:r w:rsidR="00DC340E">
        <w:rPr>
          <w:rFonts w:ascii="Palatino Linotype" w:hAnsi="Palatino Linotype" w:cs="Tahoma"/>
          <w:i/>
          <w:szCs w:val="22"/>
        </w:rPr>
        <w:t xml:space="preserve"> de la misma ley en relación con la cláusula Décima Segunda del Convenio de Colaboración Administrativa en Materia Fiscal Federal, celebrado por el Gobierno Federal a través de la Secretaría de Hacienda y Crédito Público y el Gobierno del Estado de México, publicado en el Diario Oficial de la Federación el 13 de agosto de 2015 y en la “Gaceta del Gobierno” del Estado de México el 05 de agosto de 2015, esta Entidad </w:t>
      </w:r>
      <w:r w:rsidR="00DC340E">
        <w:rPr>
          <w:rFonts w:ascii="Palatino Linotype" w:hAnsi="Palatino Linotype" w:cs="Tahoma"/>
          <w:b/>
          <w:i/>
          <w:szCs w:val="22"/>
        </w:rPr>
        <w:t>se compromete a llevar y mantener actualizado un registro estatal de vehicular, a través del Sistema Informático determinado por la Secretaría de Hacienda y Crédito Público mediante reglas de carácter general, el cual se integra con los datos de los vehículos a los que les expida placas de circulación, que los contribuyentes o propietarios inscriban o registren en su circunscripción territorial.</w:t>
      </w:r>
    </w:p>
    <w:p w14:paraId="16C3B99F" w14:textId="77777777" w:rsidR="004D5E54" w:rsidRDefault="004D5E54" w:rsidP="009F0D17">
      <w:pPr>
        <w:autoSpaceDE w:val="0"/>
        <w:autoSpaceDN w:val="0"/>
        <w:adjustRightInd w:val="0"/>
        <w:spacing w:line="360" w:lineRule="auto"/>
        <w:ind w:left="567" w:right="567"/>
        <w:contextualSpacing/>
        <w:jc w:val="both"/>
        <w:rPr>
          <w:rFonts w:ascii="Palatino Linotype" w:hAnsi="Palatino Linotype" w:cs="Tahoma"/>
          <w:b/>
          <w:i/>
          <w:szCs w:val="22"/>
        </w:rPr>
      </w:pPr>
    </w:p>
    <w:p w14:paraId="6DB4D590" w14:textId="351D89B7" w:rsidR="004D5E54" w:rsidRDefault="004D5E54"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Por lo que, para el control y vigilancia del registro estatal vehicular, esta Entidad ejerce, por conducto de sus autoridades fiscales, las siguientes facultades:</w:t>
      </w:r>
    </w:p>
    <w:p w14:paraId="4938EF12" w14:textId="709F2030" w:rsidR="004D5E54" w:rsidRDefault="004D5E54"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w:t>
      </w:r>
    </w:p>
    <w:p w14:paraId="23A2C906" w14:textId="54162AA6" w:rsidR="004D5E54" w:rsidRDefault="004D5E54"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b/>
          <w:i/>
          <w:szCs w:val="22"/>
        </w:rPr>
        <w:t>a) Efectuar los trámites de inscripción, bajas, cambios y rectificaciones que procedan,</w:t>
      </w:r>
      <w:r>
        <w:rPr>
          <w:rFonts w:ascii="Palatino Linotype" w:hAnsi="Palatino Linotype" w:cs="Tahoma"/>
          <w:i/>
          <w:szCs w:val="22"/>
        </w:rPr>
        <w:t xml:space="preserve"> conforme a las reglas generales que expida la Secretaría, siempre que los vehículos se encuentren registrados en el Sistema Informático…</w:t>
      </w:r>
    </w:p>
    <w:p w14:paraId="716F111F" w14:textId="5EDE5D8A" w:rsidR="004D5E54" w:rsidRDefault="004D5E54" w:rsidP="009F0D17">
      <w:pPr>
        <w:autoSpaceDE w:val="0"/>
        <w:autoSpaceDN w:val="0"/>
        <w:adjustRightInd w:val="0"/>
        <w:spacing w:line="360" w:lineRule="auto"/>
        <w:ind w:left="567" w:right="567"/>
        <w:contextualSpacing/>
        <w:jc w:val="both"/>
        <w:rPr>
          <w:rFonts w:ascii="Palatino Linotype" w:hAnsi="Palatino Linotype" w:cs="Tahoma"/>
          <w:i/>
          <w:szCs w:val="22"/>
        </w:rPr>
      </w:pPr>
      <w:r w:rsidRPr="004D5E54">
        <w:rPr>
          <w:rFonts w:ascii="Palatino Linotype" w:hAnsi="Palatino Linotype" w:cs="Tahoma"/>
          <w:i/>
          <w:szCs w:val="22"/>
        </w:rPr>
        <w:t>…</w:t>
      </w:r>
    </w:p>
    <w:p w14:paraId="7F92599C" w14:textId="5D53BD4C" w:rsidR="004D5E54" w:rsidRDefault="004D5E54"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b/>
          <w:i/>
          <w:szCs w:val="22"/>
        </w:rPr>
        <w:t>b) Realizar actos de verificación y comprobación para mantener actualizado el registro estatal vehicular,</w:t>
      </w:r>
      <w:r>
        <w:rPr>
          <w:rFonts w:ascii="Palatino Linotype" w:hAnsi="Palatino Linotype" w:cs="Tahoma"/>
          <w:i/>
          <w:szCs w:val="22"/>
        </w:rPr>
        <w:t xml:space="preserve"> conforme a las disposiciones jurídicas aplicables.</w:t>
      </w:r>
    </w:p>
    <w:p w14:paraId="52859839" w14:textId="42A2713E" w:rsidR="00A00D38" w:rsidRPr="00A00D38" w:rsidRDefault="00A00D38" w:rsidP="009F0D17">
      <w:pPr>
        <w:autoSpaceDE w:val="0"/>
        <w:autoSpaceDN w:val="0"/>
        <w:adjustRightInd w:val="0"/>
        <w:spacing w:line="360" w:lineRule="auto"/>
        <w:ind w:left="567" w:right="567"/>
        <w:contextualSpacing/>
        <w:jc w:val="both"/>
        <w:rPr>
          <w:rFonts w:ascii="Palatino Linotype" w:hAnsi="Palatino Linotype" w:cs="Tahoma"/>
          <w:i/>
          <w:szCs w:val="22"/>
        </w:rPr>
      </w:pPr>
      <w:r w:rsidRPr="00A00D38">
        <w:rPr>
          <w:rFonts w:ascii="Palatino Linotype" w:hAnsi="Palatino Linotype" w:cs="Tahoma"/>
          <w:i/>
          <w:szCs w:val="22"/>
        </w:rPr>
        <w:t>…</w:t>
      </w:r>
    </w:p>
    <w:p w14:paraId="13B771B8" w14:textId="53E12610" w:rsidR="004D5E54" w:rsidRDefault="00A00D38"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 xml:space="preserve">Adicionalmente a lo anterior, no debe perderse de vista que la información solicitada </w:t>
      </w:r>
      <w:r>
        <w:rPr>
          <w:rFonts w:ascii="Palatino Linotype" w:hAnsi="Palatino Linotype" w:cs="Tahoma"/>
          <w:b/>
          <w:i/>
          <w:szCs w:val="22"/>
        </w:rPr>
        <w:t>se relaciona con la obligación de los contribuyentes inscribirse en los registros fiscales</w:t>
      </w:r>
      <w:r>
        <w:rPr>
          <w:rFonts w:ascii="Palatino Linotype" w:hAnsi="Palatino Linotype" w:cs="Tahoma"/>
          <w:i/>
          <w:szCs w:val="22"/>
        </w:rPr>
        <w:t>, concretamente con la inscripción de los vehículos en el padrón vehicular de la entidad, como se desprende del artículo 47, fracción I, del Código Financiero del Estado de México y Municipios:</w:t>
      </w:r>
    </w:p>
    <w:p w14:paraId="7F7E2746" w14:textId="5E349E9C" w:rsidR="00A00D38" w:rsidRDefault="00A00D38"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w:t>
      </w:r>
    </w:p>
    <w:p w14:paraId="23B5C261" w14:textId="2A0A2928" w:rsidR="00A00D38" w:rsidRDefault="00A00D38" w:rsidP="009F0D17">
      <w:pPr>
        <w:autoSpaceDE w:val="0"/>
        <w:autoSpaceDN w:val="0"/>
        <w:adjustRightInd w:val="0"/>
        <w:spacing w:line="360" w:lineRule="auto"/>
        <w:ind w:left="567" w:right="567"/>
        <w:contextualSpacing/>
        <w:jc w:val="both"/>
        <w:rPr>
          <w:rFonts w:ascii="Palatino Linotype" w:hAnsi="Palatino Linotype" w:cs="Tahoma"/>
          <w:b/>
          <w:i/>
          <w:szCs w:val="22"/>
        </w:rPr>
      </w:pPr>
      <w:r>
        <w:rPr>
          <w:rFonts w:ascii="Palatino Linotype" w:hAnsi="Palatino Linotype" w:cs="Tahoma"/>
          <w:i/>
          <w:szCs w:val="22"/>
        </w:rPr>
        <w:lastRenderedPageBreak/>
        <w:t xml:space="preserve">De ahí que, en la solicitud de acceso a la información pública que nos ocupa, el particular desea obtener acceso a diversos datos de los vehículos y trámites de los particulares, </w:t>
      </w:r>
      <w:r>
        <w:rPr>
          <w:rFonts w:ascii="Palatino Linotype" w:hAnsi="Palatino Linotype" w:cs="Tahoma"/>
          <w:b/>
          <w:i/>
          <w:szCs w:val="22"/>
        </w:rPr>
        <w:t xml:space="preserve"> que fueron presentados por los mismos en su momento para la realización de dichos movi</w:t>
      </w:r>
      <w:r w:rsidR="001E6B14">
        <w:rPr>
          <w:rFonts w:ascii="Palatino Linotype" w:hAnsi="Palatino Linotype" w:cs="Tahoma"/>
          <w:b/>
          <w:i/>
          <w:szCs w:val="22"/>
        </w:rPr>
        <w:t>mientos por los que se inscribieron o actualizaron datos en el Padrón Vehicular de esta Entidad.</w:t>
      </w:r>
    </w:p>
    <w:p w14:paraId="62D99A87" w14:textId="12D0C1BD" w:rsidR="001E6B14" w:rsidRDefault="001E6B14"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w:t>
      </w:r>
    </w:p>
    <w:p w14:paraId="6DA53D95" w14:textId="4A4E4BD1" w:rsidR="001E6B14" w:rsidRDefault="001E6B14"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Sin embargo, en el caso que nos ocupara, dada la naturaleza de la información de la cual se requiere se entrega, se precisa que existen datos que son considerados confidenciales, y cuyo acceso debe ser restringido, atento a lo siguiente:</w:t>
      </w:r>
    </w:p>
    <w:p w14:paraId="38BF5CE8" w14:textId="77777777" w:rsidR="001E6B14" w:rsidRDefault="001E6B14" w:rsidP="009F0D17">
      <w:pPr>
        <w:autoSpaceDE w:val="0"/>
        <w:autoSpaceDN w:val="0"/>
        <w:adjustRightInd w:val="0"/>
        <w:spacing w:line="360" w:lineRule="auto"/>
        <w:ind w:left="567" w:right="567"/>
        <w:contextualSpacing/>
        <w:jc w:val="both"/>
        <w:rPr>
          <w:rFonts w:ascii="Palatino Linotype" w:hAnsi="Palatino Linotype" w:cs="Tahoma"/>
          <w:i/>
          <w:szCs w:val="22"/>
        </w:rPr>
      </w:pPr>
    </w:p>
    <w:p w14:paraId="205C01CE" w14:textId="05A55540" w:rsidR="001E6B14" w:rsidRDefault="001E6B14" w:rsidP="001E6B14">
      <w:pPr>
        <w:autoSpaceDE w:val="0"/>
        <w:autoSpaceDN w:val="0"/>
        <w:adjustRightInd w:val="0"/>
        <w:spacing w:line="360" w:lineRule="auto"/>
        <w:ind w:left="567" w:right="567"/>
        <w:contextualSpacing/>
        <w:jc w:val="center"/>
        <w:rPr>
          <w:rFonts w:ascii="Palatino Linotype" w:hAnsi="Palatino Linotype" w:cs="Tahoma"/>
          <w:b/>
          <w:i/>
          <w:szCs w:val="22"/>
        </w:rPr>
      </w:pPr>
      <w:r w:rsidRPr="001E6B14">
        <w:rPr>
          <w:rFonts w:ascii="Palatino Linotype" w:hAnsi="Palatino Linotype" w:cs="Tahoma"/>
          <w:b/>
          <w:i/>
          <w:noProof/>
          <w:szCs w:val="22"/>
          <w:lang w:eastAsia="es-MX"/>
        </w:rPr>
        <w:drawing>
          <wp:inline distT="0" distB="0" distL="0" distR="0" wp14:anchorId="32C41E3D" wp14:editId="101DBDF2">
            <wp:extent cx="4890977" cy="1769231"/>
            <wp:effectExtent l="0" t="0" r="508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0495" cy="1787143"/>
                    </a:xfrm>
                    <a:prstGeom prst="rect">
                      <a:avLst/>
                    </a:prstGeom>
                  </pic:spPr>
                </pic:pic>
              </a:graphicData>
            </a:graphic>
          </wp:inline>
        </w:drawing>
      </w:r>
    </w:p>
    <w:p w14:paraId="3C6A1762" w14:textId="3745C8AB" w:rsidR="001E6B14" w:rsidRPr="00A00D38" w:rsidRDefault="001E6B14" w:rsidP="001E6B14">
      <w:pPr>
        <w:autoSpaceDE w:val="0"/>
        <w:autoSpaceDN w:val="0"/>
        <w:adjustRightInd w:val="0"/>
        <w:spacing w:line="360" w:lineRule="auto"/>
        <w:ind w:left="567" w:right="567"/>
        <w:contextualSpacing/>
        <w:jc w:val="center"/>
        <w:rPr>
          <w:rFonts w:ascii="Palatino Linotype" w:hAnsi="Palatino Linotype" w:cs="Tahoma"/>
          <w:b/>
          <w:i/>
          <w:szCs w:val="22"/>
        </w:rPr>
      </w:pPr>
      <w:r w:rsidRPr="001E6B14">
        <w:rPr>
          <w:rFonts w:ascii="Palatino Linotype" w:hAnsi="Palatino Linotype" w:cs="Tahoma"/>
          <w:b/>
          <w:i/>
          <w:noProof/>
          <w:szCs w:val="22"/>
          <w:lang w:eastAsia="es-MX"/>
        </w:rPr>
        <w:drawing>
          <wp:inline distT="0" distB="0" distL="0" distR="0" wp14:anchorId="0B3006EA" wp14:editId="224EE249">
            <wp:extent cx="4837814" cy="3168828"/>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1895" cy="3184601"/>
                    </a:xfrm>
                    <a:prstGeom prst="rect">
                      <a:avLst/>
                    </a:prstGeom>
                  </pic:spPr>
                </pic:pic>
              </a:graphicData>
            </a:graphic>
          </wp:inline>
        </w:drawing>
      </w:r>
    </w:p>
    <w:p w14:paraId="1D9872EF" w14:textId="7CC0D145" w:rsidR="000F0859" w:rsidRDefault="001E6B14" w:rsidP="009F0D17">
      <w:pPr>
        <w:autoSpaceDE w:val="0"/>
        <w:autoSpaceDN w:val="0"/>
        <w:adjustRightInd w:val="0"/>
        <w:spacing w:line="360" w:lineRule="auto"/>
        <w:ind w:left="567" w:right="567"/>
        <w:contextualSpacing/>
        <w:jc w:val="both"/>
        <w:rPr>
          <w:rFonts w:ascii="Palatino Linotype" w:hAnsi="Palatino Linotype" w:cs="Tahoma"/>
          <w:i/>
          <w:szCs w:val="22"/>
        </w:rPr>
      </w:pPr>
      <w:r>
        <w:rPr>
          <w:rFonts w:ascii="Palatino Linotype" w:hAnsi="Palatino Linotype" w:cs="Tahoma"/>
          <w:i/>
          <w:szCs w:val="22"/>
        </w:rPr>
        <w:t>…</w:t>
      </w:r>
    </w:p>
    <w:p w14:paraId="0C292EB1" w14:textId="22D72943" w:rsidR="001E6B14" w:rsidRDefault="001E6B14" w:rsidP="009F0D17">
      <w:pPr>
        <w:autoSpaceDE w:val="0"/>
        <w:autoSpaceDN w:val="0"/>
        <w:adjustRightInd w:val="0"/>
        <w:spacing w:line="360" w:lineRule="auto"/>
        <w:ind w:left="567" w:right="567"/>
        <w:contextualSpacing/>
        <w:jc w:val="both"/>
        <w:rPr>
          <w:rFonts w:ascii="Palatino Linotype" w:hAnsi="Palatino Linotype" w:cs="Tahoma"/>
          <w:b/>
          <w:i/>
          <w:szCs w:val="22"/>
          <w:u w:val="single"/>
        </w:rPr>
      </w:pPr>
      <w:r>
        <w:rPr>
          <w:rFonts w:ascii="Palatino Linotype" w:hAnsi="Palatino Linotype" w:cs="Tahoma"/>
          <w:i/>
          <w:szCs w:val="22"/>
        </w:rPr>
        <w:lastRenderedPageBreak/>
        <w:t xml:space="preserve">Por lo expuesto, es dable precisar que, de manera enunciativa más no limitativa, la información a la que desea acceder el particular, puede hacer a una persona identificada o identificable en virtud de que permite identificar automóviles y dar acceso a diversos datos personales, que involucran la vida privada de los particulares; lo que </w:t>
      </w:r>
      <w:r>
        <w:rPr>
          <w:rFonts w:ascii="Palatino Linotype" w:hAnsi="Palatino Linotype" w:cs="Tahoma"/>
          <w:b/>
          <w:i/>
          <w:szCs w:val="22"/>
          <w:u w:val="single"/>
        </w:rPr>
        <w:t xml:space="preserve"> no guarda interés público que favorezca su difusión, que de ser entregado aún en versión pública, supone una omisión a la legislación en materia de protección de datos personales.</w:t>
      </w:r>
    </w:p>
    <w:p w14:paraId="3356AC42" w14:textId="77777777" w:rsidR="001E6B14" w:rsidRDefault="001E6B14" w:rsidP="009F0D17">
      <w:pPr>
        <w:autoSpaceDE w:val="0"/>
        <w:autoSpaceDN w:val="0"/>
        <w:adjustRightInd w:val="0"/>
        <w:spacing w:line="360" w:lineRule="auto"/>
        <w:ind w:left="567" w:right="567"/>
        <w:contextualSpacing/>
        <w:jc w:val="both"/>
        <w:rPr>
          <w:rFonts w:ascii="Palatino Linotype" w:hAnsi="Palatino Linotype" w:cs="Tahoma"/>
          <w:b/>
          <w:i/>
          <w:szCs w:val="22"/>
          <w:u w:val="single"/>
        </w:rPr>
      </w:pPr>
    </w:p>
    <w:p w14:paraId="1F1B2D4E" w14:textId="2A849F16" w:rsidR="001E6B14" w:rsidRPr="001E6B14" w:rsidRDefault="001E6B14" w:rsidP="009F0D17">
      <w:pPr>
        <w:autoSpaceDE w:val="0"/>
        <w:autoSpaceDN w:val="0"/>
        <w:adjustRightInd w:val="0"/>
        <w:spacing w:line="360" w:lineRule="auto"/>
        <w:ind w:left="567" w:right="567"/>
        <w:contextualSpacing/>
        <w:jc w:val="both"/>
      </w:pPr>
      <w:r>
        <w:rPr>
          <w:rFonts w:ascii="Palatino Linotype" w:hAnsi="Palatino Linotype" w:cs="Tahoma"/>
          <w:i/>
          <w:szCs w:val="22"/>
        </w:rPr>
        <w:t xml:space="preserve">En tales consideraciones, </w:t>
      </w:r>
      <w:r>
        <w:rPr>
          <w:rFonts w:ascii="Palatino Linotype" w:hAnsi="Palatino Linotype" w:cs="Tahoma"/>
          <w:b/>
          <w:i/>
          <w:szCs w:val="22"/>
        </w:rPr>
        <w:t xml:space="preserve"> este sujeto obligado considera no otorgar la información solicitada, </w:t>
      </w:r>
      <w:r w:rsidRPr="001E6B14">
        <w:rPr>
          <w:rFonts w:ascii="Palatino Linotype" w:hAnsi="Palatino Linotype"/>
          <w:i/>
        </w:rPr>
        <w:t>a efecto de garantizar la protección de los datos personales relativos a</w:t>
      </w:r>
      <w:r>
        <w:rPr>
          <w:rFonts w:ascii="Palatino Linotype" w:hAnsi="Palatino Linotype"/>
          <w:i/>
        </w:rPr>
        <w:t xml:space="preserve"> </w:t>
      </w:r>
      <w:r w:rsidRPr="001E6B14">
        <w:rPr>
          <w:rFonts w:ascii="Palatino Linotype" w:hAnsi="Palatino Linotype"/>
          <w:i/>
        </w:rPr>
        <w:t>la vida privada de las personas física</w:t>
      </w:r>
      <w:r>
        <w:rPr>
          <w:rFonts w:ascii="Palatino Linotype" w:hAnsi="Palatino Linotype"/>
          <w:i/>
        </w:rPr>
        <w:t>s; lo anterior, atendiendo a los principios en materia de transparencia y acceso a la información, así como al de proporcionalidad.</w:t>
      </w:r>
    </w:p>
    <w:p w14:paraId="6B4CCC89" w14:textId="77777777" w:rsidR="009F0D17" w:rsidRPr="00F6431D" w:rsidRDefault="009F0D17" w:rsidP="009F0D17">
      <w:pPr>
        <w:autoSpaceDE w:val="0"/>
        <w:autoSpaceDN w:val="0"/>
        <w:adjustRightInd w:val="0"/>
        <w:spacing w:line="360" w:lineRule="auto"/>
        <w:ind w:left="567" w:right="567"/>
        <w:contextualSpacing/>
        <w:jc w:val="both"/>
        <w:rPr>
          <w:rFonts w:ascii="Palatino Linotype" w:hAnsi="Palatino Linotype" w:cs="Tahoma"/>
          <w:i/>
          <w:szCs w:val="22"/>
        </w:rPr>
      </w:pPr>
      <w:r w:rsidRPr="00F6431D">
        <w:rPr>
          <w:rFonts w:ascii="Palatino Linotype" w:hAnsi="Palatino Linotype" w:cs="Tahoma"/>
          <w:i/>
          <w:szCs w:val="22"/>
        </w:rPr>
        <w:t xml:space="preserve">…” </w:t>
      </w:r>
    </w:p>
    <w:p w14:paraId="1FD67454" w14:textId="77777777" w:rsidR="00E33A99" w:rsidRDefault="00E33A99" w:rsidP="00D22C9A">
      <w:pPr>
        <w:autoSpaceDE w:val="0"/>
        <w:autoSpaceDN w:val="0"/>
        <w:adjustRightInd w:val="0"/>
        <w:spacing w:line="360" w:lineRule="auto"/>
        <w:ind w:right="567"/>
        <w:contextualSpacing/>
        <w:jc w:val="both"/>
        <w:rPr>
          <w:rFonts w:ascii="Palatino Linotype" w:hAnsi="Palatino Linotype" w:cs="Tahoma"/>
          <w:i/>
          <w:iCs/>
        </w:rPr>
      </w:pPr>
    </w:p>
    <w:p w14:paraId="53F16011" w14:textId="3E6CB4E9" w:rsidR="00D22C9A" w:rsidRPr="00F6431D" w:rsidRDefault="00D22C9A" w:rsidP="00D22C9A">
      <w:pPr>
        <w:autoSpaceDE w:val="0"/>
        <w:autoSpaceDN w:val="0"/>
        <w:adjustRightInd w:val="0"/>
        <w:spacing w:line="360" w:lineRule="auto"/>
        <w:contextualSpacing/>
        <w:jc w:val="both"/>
        <w:rPr>
          <w:rFonts w:ascii="Palatino Linotype" w:hAnsi="Palatino Linotype" w:cs="Tahoma"/>
          <w:i/>
          <w:iCs/>
        </w:rPr>
      </w:pPr>
      <w:r w:rsidRPr="00F6431D">
        <w:rPr>
          <w:rFonts w:ascii="Palatino Linotype" w:hAnsi="Palatino Linotype" w:cs="Tahoma"/>
          <w:sz w:val="22"/>
          <w:szCs w:val="22"/>
        </w:rPr>
        <w:t>I</w:t>
      </w:r>
      <w:r>
        <w:rPr>
          <w:rFonts w:ascii="Palatino Linotype" w:hAnsi="Palatino Linotype" w:cs="Tahoma"/>
          <w:sz w:val="22"/>
          <w:szCs w:val="22"/>
        </w:rPr>
        <w:t>V</w:t>
      </w:r>
      <w:r w:rsidRPr="00F6431D">
        <w:rPr>
          <w:rFonts w:ascii="Palatino Linotype" w:hAnsi="Palatino Linotype" w:cs="Tahoma"/>
          <w:sz w:val="22"/>
          <w:szCs w:val="22"/>
        </w:rPr>
        <w:t xml:space="preserve">) </w:t>
      </w:r>
      <w:r w:rsidR="00A81F04">
        <w:rPr>
          <w:rFonts w:ascii="Palatino Linotype" w:hAnsi="Palatino Linotype" w:cs="Tahoma"/>
          <w:sz w:val="22"/>
          <w:szCs w:val="22"/>
        </w:rPr>
        <w:t xml:space="preserve">Acuerdo CT-2024-187, emitido por el Comité de Transparencia, en fecha ocho de octubre de dos mil veinticuatro, a través del cual se confirmó la clasificación de la información como confidencial </w:t>
      </w:r>
      <w:r w:rsidR="003446C7">
        <w:rPr>
          <w:rFonts w:ascii="Palatino Linotype" w:hAnsi="Palatino Linotype" w:cs="Tahoma"/>
          <w:sz w:val="22"/>
          <w:szCs w:val="22"/>
        </w:rPr>
        <w:t xml:space="preserve">en su totalidad </w:t>
      </w:r>
      <w:r w:rsidR="00A81F04">
        <w:rPr>
          <w:rFonts w:ascii="Palatino Linotype" w:hAnsi="Palatino Linotype" w:cs="Tahoma"/>
          <w:sz w:val="22"/>
          <w:szCs w:val="22"/>
        </w:rPr>
        <w:t xml:space="preserve">del oficio </w:t>
      </w:r>
      <w:r w:rsidR="00A81F04" w:rsidRPr="00A81F04">
        <w:rPr>
          <w:rFonts w:ascii="Palatino Linotype" w:hAnsi="Palatino Linotype" w:cs="Tahoma"/>
          <w:sz w:val="22"/>
          <w:szCs w:val="22"/>
        </w:rPr>
        <w:t>20703001050100L/4221/2024 y sus anexos</w:t>
      </w:r>
      <w:r w:rsidR="00A81F04">
        <w:rPr>
          <w:rFonts w:ascii="Palatino Linotype" w:hAnsi="Palatino Linotype" w:cs="Tahoma"/>
          <w:sz w:val="22"/>
          <w:szCs w:val="22"/>
        </w:rPr>
        <w:t>.</w:t>
      </w:r>
    </w:p>
    <w:p w14:paraId="76DD05B9" w14:textId="77777777" w:rsidR="00D22C9A" w:rsidRDefault="00D22C9A" w:rsidP="00F6431D">
      <w:pPr>
        <w:autoSpaceDE w:val="0"/>
        <w:autoSpaceDN w:val="0"/>
        <w:adjustRightInd w:val="0"/>
        <w:spacing w:line="360" w:lineRule="auto"/>
        <w:contextualSpacing/>
        <w:jc w:val="both"/>
        <w:rPr>
          <w:rFonts w:ascii="Palatino Linotype" w:hAnsi="Palatino Linotype" w:cs="Tahoma"/>
          <w:b/>
          <w:sz w:val="22"/>
          <w:szCs w:val="22"/>
        </w:rPr>
      </w:pPr>
    </w:p>
    <w:p w14:paraId="4B947D27" w14:textId="01398599" w:rsidR="00FA2C4B" w:rsidRPr="00F6431D" w:rsidRDefault="00FA2C4B" w:rsidP="00F6431D">
      <w:pPr>
        <w:autoSpaceDE w:val="0"/>
        <w:autoSpaceDN w:val="0"/>
        <w:adjustRightInd w:val="0"/>
        <w:spacing w:line="360" w:lineRule="auto"/>
        <w:contextualSpacing/>
        <w:jc w:val="both"/>
        <w:rPr>
          <w:rFonts w:ascii="Palatino Linotype" w:hAnsi="Palatino Linotype" w:cs="Tahoma"/>
          <w:b/>
          <w:sz w:val="22"/>
          <w:szCs w:val="22"/>
        </w:rPr>
      </w:pPr>
      <w:r w:rsidRPr="00F6431D">
        <w:rPr>
          <w:rFonts w:ascii="Palatino Linotype" w:hAnsi="Palatino Linotype" w:cs="Tahoma"/>
          <w:b/>
          <w:sz w:val="22"/>
          <w:szCs w:val="22"/>
        </w:rPr>
        <w:t>I</w:t>
      </w:r>
      <w:r w:rsidR="009B2BAC" w:rsidRPr="00F6431D">
        <w:rPr>
          <w:rFonts w:ascii="Palatino Linotype" w:hAnsi="Palatino Linotype" w:cs="Tahoma"/>
          <w:b/>
          <w:sz w:val="22"/>
          <w:szCs w:val="22"/>
        </w:rPr>
        <w:t>II</w:t>
      </w:r>
      <w:r w:rsidRPr="00F6431D">
        <w:rPr>
          <w:rFonts w:ascii="Palatino Linotype" w:hAnsi="Palatino Linotype" w:cs="Tahoma"/>
          <w:b/>
          <w:sz w:val="22"/>
          <w:szCs w:val="22"/>
        </w:rPr>
        <w:t>. Interposición del Recurso de Revisión</w:t>
      </w:r>
    </w:p>
    <w:p w14:paraId="1A920D99" w14:textId="77777777" w:rsidR="00FA2C4B" w:rsidRPr="00F6431D" w:rsidRDefault="00FA2C4B" w:rsidP="00F6431D">
      <w:pPr>
        <w:autoSpaceDE w:val="0"/>
        <w:autoSpaceDN w:val="0"/>
        <w:adjustRightInd w:val="0"/>
        <w:spacing w:line="360" w:lineRule="auto"/>
        <w:contextualSpacing/>
        <w:jc w:val="both"/>
        <w:rPr>
          <w:rFonts w:ascii="Palatino Linotype" w:hAnsi="Palatino Linotype" w:cs="Tahoma"/>
          <w:sz w:val="22"/>
          <w:szCs w:val="22"/>
        </w:rPr>
      </w:pPr>
    </w:p>
    <w:p w14:paraId="7020648C" w14:textId="597C311C" w:rsidR="00FA2C4B" w:rsidRPr="00F6431D" w:rsidRDefault="005C5630" w:rsidP="00F6431D">
      <w:pPr>
        <w:autoSpaceDE w:val="0"/>
        <w:autoSpaceDN w:val="0"/>
        <w:adjustRightInd w:val="0"/>
        <w:spacing w:line="360" w:lineRule="auto"/>
        <w:contextualSpacing/>
        <w:jc w:val="both"/>
        <w:rPr>
          <w:rFonts w:ascii="Palatino Linotype" w:hAnsi="Palatino Linotype" w:cs="Tahoma"/>
          <w:b/>
          <w:bCs/>
          <w:sz w:val="22"/>
          <w:szCs w:val="22"/>
          <w:lang w:val="es-ES"/>
        </w:rPr>
      </w:pPr>
      <w:r w:rsidRPr="00F6431D">
        <w:rPr>
          <w:rFonts w:ascii="Palatino Linotype" w:hAnsi="Palatino Linotype" w:cs="Tahoma"/>
          <w:sz w:val="22"/>
          <w:szCs w:val="22"/>
        </w:rPr>
        <w:t>El</w:t>
      </w:r>
      <w:r w:rsidR="00FA2C4B" w:rsidRPr="00F6431D">
        <w:rPr>
          <w:rFonts w:ascii="Palatino Linotype" w:hAnsi="Palatino Linotype" w:cs="Tahoma"/>
          <w:sz w:val="22"/>
          <w:szCs w:val="22"/>
        </w:rPr>
        <w:t xml:space="preserve"> </w:t>
      </w:r>
      <w:r w:rsidR="00115EA6">
        <w:rPr>
          <w:rFonts w:ascii="Palatino Linotype" w:hAnsi="Palatino Linotype" w:cs="Tahoma"/>
          <w:sz w:val="22"/>
          <w:szCs w:val="22"/>
        </w:rPr>
        <w:t>diecisiete de octubre</w:t>
      </w:r>
      <w:r w:rsidR="00BD0843" w:rsidRPr="00F6431D">
        <w:rPr>
          <w:rFonts w:ascii="Palatino Linotype" w:hAnsi="Palatino Linotype" w:cs="Tahoma"/>
          <w:sz w:val="22"/>
          <w:szCs w:val="22"/>
        </w:rPr>
        <w:t xml:space="preserve"> de dos mil veinticuatro</w:t>
      </w:r>
      <w:r w:rsidR="00FA2C4B" w:rsidRPr="00F6431D">
        <w:rPr>
          <w:rFonts w:ascii="Palatino Linotype" w:hAnsi="Palatino Linotype" w:cs="Tahoma"/>
          <w:sz w:val="22"/>
          <w:szCs w:val="22"/>
        </w:rPr>
        <w:t xml:space="preserve">, se recibió en este </w:t>
      </w:r>
      <w:r w:rsidR="00FA2C4B" w:rsidRPr="00F6431D">
        <w:rPr>
          <w:rFonts w:ascii="Palatino Linotype" w:eastAsia="Calibri" w:hAnsi="Palatino Linotype" w:cs="Tahoma"/>
          <w:sz w:val="22"/>
          <w:szCs w:val="22"/>
          <w:lang w:eastAsia="en-US"/>
        </w:rPr>
        <w:t>Instituto, a través de</w:t>
      </w:r>
      <w:r w:rsidRPr="00F6431D">
        <w:rPr>
          <w:rFonts w:ascii="Palatino Linotype" w:eastAsia="Calibri" w:hAnsi="Palatino Linotype" w:cs="Tahoma"/>
          <w:sz w:val="22"/>
          <w:szCs w:val="22"/>
          <w:lang w:eastAsia="en-US"/>
        </w:rPr>
        <w:t xml:space="preserve">l </w:t>
      </w:r>
      <w:r w:rsidR="00FA2C4B" w:rsidRPr="00F6431D">
        <w:rPr>
          <w:rFonts w:ascii="Palatino Linotype" w:hAnsi="Palatino Linotype" w:cs="Tahoma"/>
          <w:sz w:val="22"/>
          <w:szCs w:val="22"/>
          <w:lang w:val="es-ES"/>
        </w:rPr>
        <w:t>Sistema de Acceso a la Información Mexiquense (SAIMEX)</w:t>
      </w:r>
      <w:r w:rsidR="00FA2C4B" w:rsidRPr="00F6431D">
        <w:rPr>
          <w:rFonts w:ascii="Palatino Linotype" w:hAnsi="Palatino Linotype" w:cs="Tahoma"/>
          <w:sz w:val="22"/>
          <w:szCs w:val="22"/>
        </w:rPr>
        <w:t>, el Recurso de Revisión interpuesto por la parte Recurrente, en contra de la respuesta de</w:t>
      </w:r>
      <w:r w:rsidR="00700174" w:rsidRPr="00F6431D">
        <w:rPr>
          <w:rFonts w:ascii="Palatino Linotype" w:hAnsi="Palatino Linotype" w:cs="Tahoma"/>
          <w:sz w:val="22"/>
          <w:szCs w:val="22"/>
        </w:rPr>
        <w:t xml:space="preserve"> </w:t>
      </w:r>
      <w:r w:rsidR="00FA2C4B" w:rsidRPr="00F6431D">
        <w:rPr>
          <w:rFonts w:ascii="Palatino Linotype" w:hAnsi="Palatino Linotype" w:cs="Tahoma"/>
          <w:sz w:val="22"/>
          <w:szCs w:val="22"/>
        </w:rPr>
        <w:t>l</w:t>
      </w:r>
      <w:r w:rsidR="00700174" w:rsidRPr="00F6431D">
        <w:rPr>
          <w:rFonts w:ascii="Palatino Linotype" w:hAnsi="Palatino Linotype" w:cs="Tahoma"/>
          <w:sz w:val="22"/>
          <w:szCs w:val="22"/>
        </w:rPr>
        <w:t>a</w:t>
      </w:r>
      <w:r w:rsidR="00FA2C4B" w:rsidRPr="00F6431D">
        <w:rPr>
          <w:rFonts w:ascii="Palatino Linotype" w:hAnsi="Palatino Linotype" w:cs="Tahoma"/>
          <w:sz w:val="22"/>
          <w:szCs w:val="22"/>
        </w:rPr>
        <w:t xml:space="preserve"> </w:t>
      </w:r>
      <w:r w:rsidR="00700174" w:rsidRPr="00F6431D">
        <w:rPr>
          <w:rFonts w:ascii="Palatino Linotype" w:hAnsi="Palatino Linotype" w:cs="Tahoma"/>
          <w:bCs/>
          <w:sz w:val="22"/>
          <w:szCs w:val="22"/>
        </w:rPr>
        <w:t xml:space="preserve">Secretaría </w:t>
      </w:r>
      <w:r w:rsidR="00115EA6">
        <w:rPr>
          <w:rFonts w:ascii="Palatino Linotype" w:hAnsi="Palatino Linotype" w:cs="Tahoma"/>
          <w:bCs/>
          <w:sz w:val="22"/>
          <w:szCs w:val="22"/>
        </w:rPr>
        <w:t>de Finanzas</w:t>
      </w:r>
      <w:r w:rsidR="00FA2C4B" w:rsidRPr="00F6431D">
        <w:rPr>
          <w:rFonts w:ascii="Palatino Linotype" w:hAnsi="Palatino Linotype" w:cs="Tahoma"/>
          <w:sz w:val="22"/>
          <w:szCs w:val="22"/>
        </w:rPr>
        <w:t xml:space="preserve">, en los </w:t>
      </w:r>
      <w:r w:rsidR="00115EA6" w:rsidRPr="00F6431D">
        <w:rPr>
          <w:rFonts w:ascii="Palatino Linotype" w:hAnsi="Palatino Linotype" w:cs="Tahoma"/>
          <w:sz w:val="22"/>
          <w:szCs w:val="22"/>
        </w:rPr>
        <w:t xml:space="preserve">términos </w:t>
      </w:r>
      <w:r w:rsidR="00FA2C4B" w:rsidRPr="00F6431D">
        <w:rPr>
          <w:rFonts w:ascii="Palatino Linotype" w:hAnsi="Palatino Linotype" w:cs="Tahoma"/>
          <w:sz w:val="22"/>
          <w:szCs w:val="22"/>
        </w:rPr>
        <w:t>siguientes</w:t>
      </w:r>
      <w:r w:rsidR="00FA2C4B" w:rsidRPr="00F6431D">
        <w:rPr>
          <w:rFonts w:ascii="Palatino Linotype" w:hAnsi="Palatino Linotype" w:cs="Tahoma"/>
          <w:sz w:val="22"/>
          <w:szCs w:val="22"/>
          <w:lang w:val="es-ES"/>
        </w:rPr>
        <w:t>:</w:t>
      </w:r>
    </w:p>
    <w:p w14:paraId="25BE3104" w14:textId="77777777" w:rsidR="00FA2C4B" w:rsidRPr="00F6431D" w:rsidRDefault="00FA2C4B" w:rsidP="00F6431D">
      <w:pPr>
        <w:autoSpaceDE w:val="0"/>
        <w:autoSpaceDN w:val="0"/>
        <w:adjustRightInd w:val="0"/>
        <w:spacing w:line="360" w:lineRule="auto"/>
        <w:contextualSpacing/>
        <w:jc w:val="both"/>
        <w:rPr>
          <w:rFonts w:ascii="Palatino Linotype" w:hAnsi="Palatino Linotype" w:cs="Tahoma"/>
          <w:sz w:val="22"/>
          <w:szCs w:val="22"/>
        </w:rPr>
      </w:pPr>
    </w:p>
    <w:p w14:paraId="0C6B3E7F" w14:textId="68259923" w:rsidR="00FA2C4B" w:rsidRPr="00F6431D" w:rsidRDefault="00FA2C4B" w:rsidP="00F6431D">
      <w:pPr>
        <w:autoSpaceDE w:val="0"/>
        <w:autoSpaceDN w:val="0"/>
        <w:adjustRightInd w:val="0"/>
        <w:spacing w:line="360" w:lineRule="auto"/>
        <w:ind w:left="567" w:right="567"/>
        <w:contextualSpacing/>
        <w:jc w:val="both"/>
        <w:rPr>
          <w:rFonts w:ascii="Palatino Linotype" w:hAnsi="Palatino Linotype" w:cs="Tahoma"/>
          <w:bCs/>
          <w:i/>
        </w:rPr>
      </w:pPr>
      <w:r w:rsidRPr="00F6431D">
        <w:rPr>
          <w:rFonts w:ascii="Palatino Linotype" w:hAnsi="Palatino Linotype" w:cs="Tahoma"/>
          <w:b/>
          <w:bCs/>
          <w:i/>
        </w:rPr>
        <w:t>ACTO IMPUGNADO</w:t>
      </w:r>
    </w:p>
    <w:p w14:paraId="09495207" w14:textId="4EF0C2AB" w:rsidR="00FA2C4B" w:rsidRDefault="00115EA6" w:rsidP="00F6431D">
      <w:pPr>
        <w:spacing w:line="360" w:lineRule="auto"/>
        <w:ind w:left="567" w:right="567"/>
        <w:contextualSpacing/>
        <w:jc w:val="both"/>
        <w:rPr>
          <w:rFonts w:ascii="Palatino Linotype" w:hAnsi="Palatino Linotype" w:cs="Tahoma"/>
        </w:rPr>
      </w:pPr>
      <w:r w:rsidRPr="00115EA6">
        <w:rPr>
          <w:rFonts w:ascii="Palatino Linotype" w:hAnsi="Palatino Linotype"/>
          <w:i/>
          <w:color w:val="000000"/>
        </w:rPr>
        <w:t>La clasificación de la información</w:t>
      </w:r>
      <w:r w:rsidR="00FA2C4B" w:rsidRPr="00F6431D">
        <w:rPr>
          <w:rFonts w:ascii="Palatino Linotype" w:hAnsi="Palatino Linotype" w:cs="Tahoma"/>
          <w:i/>
        </w:rPr>
        <w:t xml:space="preserve">” </w:t>
      </w:r>
    </w:p>
    <w:p w14:paraId="76E8807A" w14:textId="77777777" w:rsidR="00115EA6" w:rsidRDefault="00115EA6" w:rsidP="00F6431D">
      <w:pPr>
        <w:spacing w:line="360" w:lineRule="auto"/>
        <w:ind w:left="567" w:right="567"/>
        <w:contextualSpacing/>
        <w:jc w:val="both"/>
        <w:rPr>
          <w:rFonts w:ascii="Palatino Linotype" w:hAnsi="Palatino Linotype"/>
          <w:i/>
          <w:color w:val="000000"/>
        </w:rPr>
      </w:pPr>
    </w:p>
    <w:p w14:paraId="194C7BB1" w14:textId="77777777" w:rsidR="00115EA6" w:rsidRPr="00115EA6" w:rsidRDefault="00115EA6" w:rsidP="00115EA6">
      <w:pPr>
        <w:tabs>
          <w:tab w:val="left" w:pos="4667"/>
        </w:tabs>
        <w:spacing w:line="360" w:lineRule="auto"/>
        <w:ind w:left="567" w:right="567"/>
        <w:jc w:val="both"/>
        <w:rPr>
          <w:rFonts w:ascii="Palatino Linotype" w:hAnsi="Palatino Linotype" w:cs="Tahoma"/>
          <w:b/>
          <w:bCs/>
          <w:i/>
        </w:rPr>
      </w:pPr>
      <w:r w:rsidRPr="00115EA6">
        <w:rPr>
          <w:rFonts w:ascii="Palatino Linotype" w:hAnsi="Palatino Linotype" w:cs="Tahoma"/>
          <w:b/>
          <w:bCs/>
          <w:i/>
        </w:rPr>
        <w:t>“RAZONES O MOTIVOS DE LA INCONFORMIDAD</w:t>
      </w:r>
    </w:p>
    <w:p w14:paraId="5095AE4C" w14:textId="2B4795F6" w:rsidR="00115EA6" w:rsidRPr="00F6431D" w:rsidRDefault="00115EA6" w:rsidP="00115EA6">
      <w:pPr>
        <w:spacing w:line="360" w:lineRule="auto"/>
        <w:ind w:left="567" w:right="567"/>
        <w:contextualSpacing/>
        <w:jc w:val="both"/>
        <w:rPr>
          <w:rFonts w:ascii="Palatino Linotype" w:hAnsi="Palatino Linotype"/>
          <w:i/>
          <w:color w:val="000000"/>
        </w:rPr>
      </w:pPr>
      <w:r w:rsidRPr="00115EA6">
        <w:rPr>
          <w:rFonts w:ascii="Palatino Linotype" w:hAnsi="Palatino Linotype"/>
          <w:i/>
        </w:rPr>
        <w:lastRenderedPageBreak/>
        <w:t>“Presento el recurso de queja, toda vez que el sujeto obligado pretende no entregar la información para no dar a conocer los actos de corrupción realizados por trabajadores de Petróleos Mexicanos, toda vez que presentaron documentación falsa para hacer valer de prestaciones con documentación apócrifa, en tales circunstancias, dicha información no puede ser confidencial en su totalidad, se robustece lo anterior, que la condición de excepcionalidad que marca la normatividad establece que si la información se relaciona con actos de corrupción (como en el caso que nos ocupa), la clasificación de información es improcedente. Ahora bien, el sujeto obligado puede crear las versiones públicas que considere necesarias, cuestión que pasó por alto. Para ejemplificar lo anterior se remite un documento elaborado por la representación patronal de Petróleos Mexicanos, en donde se notifica la rescisión de un trabajador, toda vez que la Dirección del Registro Estatal de Vehículos, informó que el trabajador NO ERA PROPIETARIO del vehículo que el trabajador presentó documentación apócrifa para hacerse de una prestación económica bajo el concepto de “gasolina” que viene estipulada en el Contrato Colectivo de Trabajo de PEMEX y el STPRM. En la segunda hoja del citado oficio elaborado por PEMEX se informa que el trabajador con su actuar ocasionó un daño patrimonial a la empresa por $849,654.54; es por esta razón que es de utilidad pública conocer toda la documentación con la cual se originó la motivación, fundamentación y justificación, del daño patrimonial que han generado los trabajadores. No omito mencionar, que no sólo se trata de un solo trabajador, sino que se tiene conocimiento, que hay 13 trabajadores que realizaron prácticas en contra del patrimonio de la empresa ocasionando un perjuicio de aproximadamente de 11 millones de pesos; y con el oficio que se solicitó a través de transparencia identificado con el numeral 20703001050100L/4221/2024; mismo que fue emitido por la Subdirección de Coordinación Operativa adscrita a la Dirección del Registro Estatal de Vehículos, pudieron comprobar el actuar doloso de los trabajadores. Anexo prueba identificada con el nombre "oficio" y el oficio de clasificación de información denominado 00685 RECAUDACIÓN (1)</w:t>
      </w:r>
      <w:r w:rsidRPr="00115EA6">
        <w:rPr>
          <w:rFonts w:ascii="Palatino Linotype" w:hAnsi="Palatino Linotype" w:cs="Tahoma"/>
          <w:i/>
        </w:rPr>
        <w:t>”</w:t>
      </w:r>
    </w:p>
    <w:p w14:paraId="0F09B53B" w14:textId="77777777" w:rsidR="00662DD2" w:rsidRPr="00F6431D" w:rsidRDefault="00662DD2" w:rsidP="00F6431D">
      <w:pPr>
        <w:spacing w:line="360" w:lineRule="auto"/>
        <w:ind w:left="567" w:right="567"/>
        <w:contextualSpacing/>
        <w:jc w:val="both"/>
        <w:rPr>
          <w:rFonts w:ascii="Palatino Linotype" w:hAnsi="Palatino Linotype" w:cs="Tahoma"/>
          <w:i/>
        </w:rPr>
      </w:pPr>
    </w:p>
    <w:p w14:paraId="4158C3E6" w14:textId="335D24DA" w:rsidR="00BD0843" w:rsidRDefault="00BD0843" w:rsidP="00F6431D">
      <w:pPr>
        <w:autoSpaceDE w:val="0"/>
        <w:autoSpaceDN w:val="0"/>
        <w:adjustRightInd w:val="0"/>
        <w:spacing w:line="360" w:lineRule="auto"/>
        <w:contextualSpacing/>
        <w:jc w:val="both"/>
        <w:rPr>
          <w:rFonts w:ascii="Palatino Linotype" w:hAnsi="Palatino Linotype" w:cs="Tahoma"/>
          <w:bCs/>
        </w:rPr>
      </w:pPr>
      <w:r w:rsidRPr="00F6431D">
        <w:rPr>
          <w:rFonts w:ascii="Palatino Linotype" w:hAnsi="Palatino Linotype" w:cs="Tahoma"/>
          <w:bCs/>
        </w:rPr>
        <w:t xml:space="preserve">A lo anterior, </w:t>
      </w:r>
      <w:r w:rsidR="007728BB" w:rsidRPr="00F6431D">
        <w:rPr>
          <w:rFonts w:ascii="Palatino Linotype" w:hAnsi="Palatino Linotype" w:cs="Tahoma"/>
          <w:bCs/>
        </w:rPr>
        <w:t>e</w:t>
      </w:r>
      <w:r w:rsidRPr="00F6431D">
        <w:rPr>
          <w:rFonts w:ascii="Palatino Linotype" w:hAnsi="Palatino Linotype" w:cs="Tahoma"/>
          <w:bCs/>
        </w:rPr>
        <w:t xml:space="preserve">l Sujeto Obligado adjuntó </w:t>
      </w:r>
      <w:r w:rsidR="00115EA6">
        <w:rPr>
          <w:rFonts w:ascii="Palatino Linotype" w:hAnsi="Palatino Linotype" w:cs="Tahoma"/>
          <w:bCs/>
        </w:rPr>
        <w:t>los</w:t>
      </w:r>
      <w:r w:rsidRPr="00F6431D">
        <w:rPr>
          <w:rFonts w:ascii="Palatino Linotype" w:hAnsi="Palatino Linotype" w:cs="Tahoma"/>
          <w:bCs/>
        </w:rPr>
        <w:t xml:space="preserve"> archivo</w:t>
      </w:r>
      <w:r w:rsidR="00115EA6">
        <w:rPr>
          <w:rFonts w:ascii="Palatino Linotype" w:hAnsi="Palatino Linotype" w:cs="Tahoma"/>
          <w:bCs/>
        </w:rPr>
        <w:t>s</w:t>
      </w:r>
      <w:r w:rsidRPr="00F6431D">
        <w:rPr>
          <w:rFonts w:ascii="Palatino Linotype" w:hAnsi="Palatino Linotype" w:cs="Tahoma"/>
          <w:bCs/>
        </w:rPr>
        <w:t xml:space="preserve"> </w:t>
      </w:r>
      <w:r w:rsidR="00115EA6">
        <w:rPr>
          <w:rFonts w:ascii="Palatino Linotype" w:hAnsi="Palatino Linotype" w:cs="Tahoma"/>
          <w:bCs/>
        </w:rPr>
        <w:t>que se describen a continuación:</w:t>
      </w:r>
    </w:p>
    <w:p w14:paraId="175B8A34" w14:textId="77777777" w:rsidR="00115EA6" w:rsidRDefault="00115EA6" w:rsidP="00F6431D">
      <w:pPr>
        <w:autoSpaceDE w:val="0"/>
        <w:autoSpaceDN w:val="0"/>
        <w:adjustRightInd w:val="0"/>
        <w:spacing w:line="360" w:lineRule="auto"/>
        <w:contextualSpacing/>
        <w:jc w:val="both"/>
        <w:rPr>
          <w:rFonts w:ascii="Palatino Linotype" w:hAnsi="Palatino Linotype" w:cs="Tahoma"/>
          <w:bCs/>
        </w:rPr>
      </w:pPr>
    </w:p>
    <w:p w14:paraId="2DD1998D" w14:textId="690585AE" w:rsidR="00115EA6" w:rsidRDefault="00115EA6" w:rsidP="00F6431D">
      <w:pPr>
        <w:autoSpaceDE w:val="0"/>
        <w:autoSpaceDN w:val="0"/>
        <w:adjustRightInd w:val="0"/>
        <w:spacing w:line="360" w:lineRule="auto"/>
        <w:contextualSpacing/>
        <w:jc w:val="both"/>
        <w:rPr>
          <w:rFonts w:ascii="Palatino Linotype" w:hAnsi="Palatino Linotype" w:cs="Tahoma"/>
          <w:bCs/>
        </w:rPr>
      </w:pPr>
      <w:r>
        <w:rPr>
          <w:rFonts w:ascii="Palatino Linotype" w:hAnsi="Palatino Linotype" w:cs="Tahoma"/>
          <w:bCs/>
        </w:rPr>
        <w:lastRenderedPageBreak/>
        <w:t>I) Oficio</w:t>
      </w:r>
      <w:r w:rsidR="00FF3276">
        <w:rPr>
          <w:rFonts w:ascii="Palatino Linotype" w:hAnsi="Palatino Linotype" w:cs="Tahoma"/>
          <w:bCs/>
        </w:rPr>
        <w:t xml:space="preserve"> de fecha trece de septiembre de dos mil veinticuatro, signado por la Jefa del Centro de Servicios al Personal del Hospital Central Sur de Alta especialidad, mediante </w:t>
      </w:r>
      <w:r w:rsidR="00614134">
        <w:rPr>
          <w:rFonts w:ascii="Palatino Linotype" w:hAnsi="Palatino Linotype" w:cs="Tahoma"/>
          <w:bCs/>
        </w:rPr>
        <w:t>el</w:t>
      </w:r>
      <w:bookmarkStart w:id="0" w:name="_GoBack"/>
      <w:bookmarkEnd w:id="0"/>
      <w:r w:rsidR="002A77C9">
        <w:rPr>
          <w:rFonts w:ascii="Palatino Linotype" w:hAnsi="Palatino Linotype" w:cs="Tahoma"/>
          <w:bCs/>
        </w:rPr>
        <w:t xml:space="preserve"> cual se</w:t>
      </w:r>
      <w:r w:rsidR="00FF3276">
        <w:rPr>
          <w:rFonts w:ascii="Palatino Linotype" w:hAnsi="Palatino Linotype" w:cs="Tahoma"/>
          <w:bCs/>
        </w:rPr>
        <w:t xml:space="preserve"> c</w:t>
      </w:r>
      <w:r w:rsidR="002A77C9">
        <w:rPr>
          <w:rFonts w:ascii="Palatino Linotype" w:hAnsi="Palatino Linotype" w:cs="Tahoma"/>
          <w:bCs/>
        </w:rPr>
        <w:t>omunicó la rescisión de la relación laboral.</w:t>
      </w:r>
    </w:p>
    <w:p w14:paraId="74166968" w14:textId="77777777" w:rsidR="002A77C9" w:rsidRDefault="002A77C9" w:rsidP="00F6431D">
      <w:pPr>
        <w:autoSpaceDE w:val="0"/>
        <w:autoSpaceDN w:val="0"/>
        <w:adjustRightInd w:val="0"/>
        <w:spacing w:line="360" w:lineRule="auto"/>
        <w:contextualSpacing/>
        <w:jc w:val="both"/>
        <w:rPr>
          <w:rFonts w:ascii="Palatino Linotype" w:hAnsi="Palatino Linotype" w:cs="Tahoma"/>
          <w:bCs/>
        </w:rPr>
      </w:pPr>
    </w:p>
    <w:p w14:paraId="1AD6A615" w14:textId="5A0F3797" w:rsidR="002A77C9" w:rsidRPr="00F6431D" w:rsidRDefault="002A77C9" w:rsidP="00F6431D">
      <w:pPr>
        <w:autoSpaceDE w:val="0"/>
        <w:autoSpaceDN w:val="0"/>
        <w:adjustRightInd w:val="0"/>
        <w:spacing w:line="360" w:lineRule="auto"/>
        <w:contextualSpacing/>
        <w:jc w:val="both"/>
        <w:rPr>
          <w:rFonts w:ascii="Palatino Linotype" w:hAnsi="Palatino Linotype" w:cs="Tahoma"/>
          <w:b/>
          <w:bCs/>
          <w:sz w:val="22"/>
          <w:szCs w:val="22"/>
          <w:lang w:val="es-ES"/>
        </w:rPr>
      </w:pPr>
      <w:r>
        <w:rPr>
          <w:rFonts w:ascii="Palatino Linotype" w:hAnsi="Palatino Linotype" w:cs="Tahoma"/>
          <w:bCs/>
        </w:rPr>
        <w:t xml:space="preserve">II) Oficio 20703001030200L/337/2024, del treinta de septiembre de dos mil veinticuatro, </w:t>
      </w:r>
      <w:r w:rsidRPr="002A77C9">
        <w:rPr>
          <w:rFonts w:ascii="Palatino Linotype" w:hAnsi="Palatino Linotype" w:cs="Tahoma"/>
          <w:bCs/>
        </w:rPr>
        <w:t>signado por la Subdirectora de Normas y Procedimientos y Servidora Pública Habilitada Suplente de la Dirección General de Recaudación</w:t>
      </w:r>
      <w:r>
        <w:rPr>
          <w:rFonts w:ascii="Palatino Linotype" w:hAnsi="Palatino Linotype" w:cs="Tahoma"/>
          <w:bCs/>
        </w:rPr>
        <w:t xml:space="preserve"> y oficio </w:t>
      </w:r>
      <w:r w:rsidRPr="002A77C9">
        <w:rPr>
          <w:rFonts w:ascii="Palatino Linotype" w:hAnsi="Palatino Linotype" w:cs="Tahoma"/>
          <w:bCs/>
        </w:rPr>
        <w:t>20703001050000L/2020/2024, del veintisiete de septiembre de dos mil veinticuatro, emitido por la Directora del Registro Estatal de Vehículos</w:t>
      </w:r>
      <w:r>
        <w:rPr>
          <w:rFonts w:ascii="Palatino Linotype" w:hAnsi="Palatino Linotype" w:cs="Tahoma"/>
          <w:bCs/>
        </w:rPr>
        <w:t>, ambos remitidos en respuesta por el Sujeto Obligado.</w:t>
      </w:r>
    </w:p>
    <w:p w14:paraId="5CDC7962" w14:textId="77777777" w:rsidR="00FA2C4B" w:rsidRPr="00F6431D" w:rsidRDefault="00FA2C4B" w:rsidP="00F6431D">
      <w:pPr>
        <w:spacing w:line="360" w:lineRule="auto"/>
        <w:contextualSpacing/>
        <w:jc w:val="both"/>
        <w:rPr>
          <w:rFonts w:ascii="Palatino Linotype" w:hAnsi="Palatino Linotype" w:cs="Tahoma"/>
          <w:b/>
          <w:sz w:val="22"/>
          <w:szCs w:val="22"/>
        </w:rPr>
      </w:pPr>
    </w:p>
    <w:p w14:paraId="11299034" w14:textId="0B18C521" w:rsidR="00FA2C4B" w:rsidRPr="00F6431D" w:rsidRDefault="004E37F1" w:rsidP="00F6431D">
      <w:pPr>
        <w:spacing w:line="360" w:lineRule="auto"/>
        <w:contextualSpacing/>
        <w:jc w:val="both"/>
        <w:rPr>
          <w:rFonts w:ascii="Palatino Linotype" w:eastAsia="Batang" w:hAnsi="Palatino Linotype" w:cs="Tahoma"/>
          <w:b/>
          <w:bCs/>
          <w:sz w:val="22"/>
          <w:szCs w:val="22"/>
        </w:rPr>
      </w:pPr>
      <w:r w:rsidRPr="00F6431D">
        <w:rPr>
          <w:rFonts w:ascii="Palatino Linotype" w:hAnsi="Palatino Linotype" w:cs="Tahoma"/>
          <w:b/>
          <w:sz w:val="22"/>
          <w:szCs w:val="22"/>
        </w:rPr>
        <w:t>I</w:t>
      </w:r>
      <w:r w:rsidR="00FA2C4B" w:rsidRPr="00F6431D">
        <w:rPr>
          <w:rFonts w:ascii="Palatino Linotype" w:hAnsi="Palatino Linotype" w:cs="Tahoma"/>
          <w:b/>
          <w:sz w:val="22"/>
          <w:szCs w:val="22"/>
        </w:rPr>
        <w:t xml:space="preserve">V. </w:t>
      </w:r>
      <w:r w:rsidR="00FA2C4B" w:rsidRPr="00F6431D">
        <w:rPr>
          <w:rFonts w:ascii="Palatino Linotype" w:eastAsia="Batang" w:hAnsi="Palatino Linotype" w:cs="Tahoma"/>
          <w:b/>
          <w:bCs/>
          <w:sz w:val="22"/>
          <w:szCs w:val="22"/>
        </w:rPr>
        <w:t xml:space="preserve">Trámite del </w:t>
      </w:r>
      <w:r w:rsidR="00FA2C4B" w:rsidRPr="00F6431D">
        <w:rPr>
          <w:rFonts w:ascii="Palatino Linotype" w:hAnsi="Palatino Linotype" w:cs="Tahoma"/>
          <w:b/>
          <w:sz w:val="22"/>
          <w:szCs w:val="22"/>
        </w:rPr>
        <w:t xml:space="preserve">Recurso de Revisión </w:t>
      </w:r>
      <w:r w:rsidR="00FA2C4B" w:rsidRPr="00F6431D">
        <w:rPr>
          <w:rFonts w:ascii="Palatino Linotype" w:eastAsia="Batang" w:hAnsi="Palatino Linotype" w:cs="Tahoma"/>
          <w:b/>
          <w:bCs/>
          <w:sz w:val="22"/>
          <w:szCs w:val="22"/>
        </w:rPr>
        <w:t>ante este Instituto</w:t>
      </w:r>
    </w:p>
    <w:p w14:paraId="028DC814" w14:textId="77777777" w:rsidR="00FA2C4B" w:rsidRPr="00F6431D" w:rsidRDefault="00FA2C4B" w:rsidP="00F6431D">
      <w:pPr>
        <w:spacing w:line="360" w:lineRule="auto"/>
        <w:contextualSpacing/>
        <w:jc w:val="both"/>
        <w:rPr>
          <w:rFonts w:ascii="Palatino Linotype" w:eastAsia="Batang" w:hAnsi="Palatino Linotype" w:cs="Tahoma"/>
          <w:b/>
          <w:bCs/>
          <w:sz w:val="22"/>
          <w:szCs w:val="22"/>
        </w:rPr>
      </w:pPr>
    </w:p>
    <w:p w14:paraId="144148B0" w14:textId="1E98C46E" w:rsidR="00FA2C4B" w:rsidRPr="00F6431D" w:rsidRDefault="00FA2C4B" w:rsidP="00F6431D">
      <w:pPr>
        <w:spacing w:line="360" w:lineRule="auto"/>
        <w:contextualSpacing/>
        <w:jc w:val="both"/>
        <w:rPr>
          <w:rFonts w:ascii="Palatino Linotype" w:eastAsia="Batang" w:hAnsi="Palatino Linotype" w:cs="Tahoma"/>
          <w:bCs/>
          <w:sz w:val="22"/>
          <w:szCs w:val="22"/>
        </w:rPr>
      </w:pPr>
      <w:r w:rsidRPr="00F6431D">
        <w:rPr>
          <w:rFonts w:ascii="Palatino Linotype" w:hAnsi="Palatino Linotype"/>
          <w:b/>
          <w:bCs/>
          <w:sz w:val="22"/>
          <w:szCs w:val="22"/>
        </w:rPr>
        <w:t xml:space="preserve">a) Turno del Recurso de Revisión. </w:t>
      </w:r>
      <w:r w:rsidRPr="00F6431D">
        <w:rPr>
          <w:rFonts w:ascii="Palatino Linotype" w:eastAsia="Batang" w:hAnsi="Palatino Linotype" w:cs="Tahoma"/>
          <w:bCs/>
          <w:sz w:val="22"/>
          <w:szCs w:val="22"/>
          <w:lang w:val="es-ES_tradnl"/>
        </w:rPr>
        <w:t xml:space="preserve">El </w:t>
      </w:r>
      <w:r w:rsidR="002A77C9">
        <w:rPr>
          <w:rFonts w:ascii="Palatino Linotype" w:hAnsi="Palatino Linotype" w:cs="Tahoma"/>
          <w:sz w:val="22"/>
          <w:szCs w:val="22"/>
        </w:rPr>
        <w:t>diecisiete de octubre</w:t>
      </w:r>
      <w:r w:rsidR="007728BB" w:rsidRPr="00F6431D">
        <w:rPr>
          <w:rFonts w:ascii="Palatino Linotype" w:hAnsi="Palatino Linotype" w:cs="Tahoma"/>
          <w:sz w:val="22"/>
          <w:szCs w:val="22"/>
        </w:rPr>
        <w:t xml:space="preserve"> de dos mil veinticuatro</w:t>
      </w:r>
      <w:r w:rsidRPr="00F6431D">
        <w:rPr>
          <w:rFonts w:ascii="Palatino Linotype" w:eastAsia="Batang" w:hAnsi="Palatino Linotype" w:cs="Tahoma"/>
          <w:bCs/>
          <w:sz w:val="22"/>
          <w:szCs w:val="22"/>
          <w:lang w:val="es-ES_tradnl"/>
        </w:rPr>
        <w:t>, el Sistema de Acceso a la Información Mexiquense (SAIMEX), asig</w:t>
      </w:r>
      <w:r w:rsidR="00D86FC0" w:rsidRPr="00F6431D">
        <w:rPr>
          <w:rFonts w:ascii="Palatino Linotype" w:eastAsia="Batang" w:hAnsi="Palatino Linotype" w:cs="Tahoma"/>
          <w:bCs/>
          <w:sz w:val="22"/>
          <w:szCs w:val="22"/>
          <w:lang w:val="es-ES_tradnl"/>
        </w:rPr>
        <w:t xml:space="preserve">nó el número de expediente </w:t>
      </w:r>
      <w:r w:rsidR="001F467A" w:rsidRPr="00F6431D">
        <w:rPr>
          <w:rFonts w:ascii="Palatino Linotype" w:eastAsia="Calibri" w:hAnsi="Palatino Linotype" w:cs="Tahoma"/>
          <w:sz w:val="22"/>
          <w:szCs w:val="22"/>
          <w:lang w:eastAsia="en-US"/>
        </w:rPr>
        <w:t>0</w:t>
      </w:r>
      <w:r w:rsidR="002A77C9">
        <w:rPr>
          <w:rFonts w:ascii="Palatino Linotype" w:eastAsia="Calibri" w:hAnsi="Palatino Linotype" w:cs="Tahoma"/>
          <w:sz w:val="22"/>
          <w:szCs w:val="22"/>
          <w:lang w:eastAsia="en-US"/>
        </w:rPr>
        <w:t>6331</w:t>
      </w:r>
      <w:r w:rsidR="001F467A" w:rsidRPr="00F6431D">
        <w:rPr>
          <w:rFonts w:ascii="Palatino Linotype" w:eastAsia="Calibri" w:hAnsi="Palatino Linotype" w:cs="Tahoma"/>
          <w:sz w:val="22"/>
          <w:szCs w:val="22"/>
          <w:lang w:eastAsia="en-US"/>
        </w:rPr>
        <w:t>/INFOEM/IP/RR/202</w:t>
      </w:r>
      <w:r w:rsidR="007728BB" w:rsidRPr="00F6431D">
        <w:rPr>
          <w:rFonts w:ascii="Palatino Linotype" w:eastAsia="Calibri" w:hAnsi="Palatino Linotype" w:cs="Tahoma"/>
          <w:sz w:val="22"/>
          <w:szCs w:val="22"/>
          <w:lang w:eastAsia="en-US"/>
        </w:rPr>
        <w:t>4</w:t>
      </w:r>
      <w:r w:rsidR="00870F31" w:rsidRPr="00F6431D">
        <w:rPr>
          <w:rFonts w:ascii="Palatino Linotype" w:eastAsia="Batang" w:hAnsi="Palatino Linotype" w:cs="Tahoma"/>
          <w:bCs/>
          <w:sz w:val="22"/>
          <w:szCs w:val="22"/>
          <w:lang w:val="es-ES_tradnl"/>
        </w:rPr>
        <w:t xml:space="preserve"> </w:t>
      </w:r>
      <w:r w:rsidRPr="00F6431D">
        <w:rPr>
          <w:rFonts w:ascii="Palatino Linotype" w:eastAsia="Batang" w:hAnsi="Palatino Linotype" w:cs="Tahoma"/>
          <w:bCs/>
          <w:sz w:val="22"/>
          <w:szCs w:val="22"/>
          <w:lang w:val="es-ES_tradnl"/>
        </w:rPr>
        <w:t>al</w:t>
      </w:r>
      <w:r w:rsidR="002A77C9">
        <w:rPr>
          <w:rFonts w:ascii="Palatino Linotype" w:eastAsia="Batang" w:hAnsi="Palatino Linotype" w:cs="Tahoma"/>
          <w:bCs/>
          <w:sz w:val="22"/>
          <w:szCs w:val="22"/>
          <w:lang w:val="es-ES_tradnl"/>
        </w:rPr>
        <w:t xml:space="preserve"> medio</w:t>
      </w:r>
      <w:r w:rsidRPr="00F6431D">
        <w:rPr>
          <w:rFonts w:ascii="Palatino Linotype" w:eastAsia="Batang" w:hAnsi="Palatino Linotype" w:cs="Tahoma"/>
          <w:bCs/>
          <w:sz w:val="22"/>
          <w:szCs w:val="22"/>
          <w:lang w:val="es-ES_tradnl"/>
        </w:rPr>
        <w:t xml:space="preserve"> de impugnación que nos ocupa, con base en el sistema aprobado por el Pleno de este Órgano Garante y lo turnó al Comisionado </w:t>
      </w:r>
      <w:r w:rsidRPr="00F6431D">
        <w:rPr>
          <w:rFonts w:ascii="Palatino Linotype" w:eastAsia="Batang" w:hAnsi="Palatino Linotype" w:cs="Tahoma"/>
          <w:b/>
          <w:sz w:val="22"/>
          <w:szCs w:val="22"/>
          <w:lang w:val="es-ES_tradnl"/>
        </w:rPr>
        <w:t>Luis Gustavo Parra Noriega,</w:t>
      </w:r>
      <w:r w:rsidRPr="00F6431D">
        <w:rPr>
          <w:rFonts w:ascii="Palatino Linotype" w:eastAsia="Batang" w:hAnsi="Palatino Linotype" w:cs="Tahoma"/>
          <w:bCs/>
          <w:sz w:val="22"/>
          <w:szCs w:val="22"/>
          <w:lang w:val="es-ES_tradnl"/>
        </w:rPr>
        <w:t xml:space="preserve"> para los efectos del artículo 185, fracción I de la Ley de Transparencia y Acceso a la Información Pública del Estado de México y Municipios.</w:t>
      </w:r>
    </w:p>
    <w:p w14:paraId="278E3BDE" w14:textId="77777777" w:rsidR="00FA2C4B" w:rsidRPr="00F6431D" w:rsidRDefault="00FA2C4B" w:rsidP="00F6431D">
      <w:pPr>
        <w:spacing w:line="360" w:lineRule="auto"/>
        <w:contextualSpacing/>
        <w:jc w:val="both"/>
        <w:rPr>
          <w:rFonts w:ascii="Palatino Linotype" w:eastAsia="Batang" w:hAnsi="Palatino Linotype" w:cs="Tahoma"/>
          <w:b/>
          <w:bCs/>
          <w:sz w:val="22"/>
          <w:szCs w:val="22"/>
        </w:rPr>
      </w:pPr>
    </w:p>
    <w:p w14:paraId="169B7969" w14:textId="6FBAF01F" w:rsidR="00FA2C4B" w:rsidRPr="00F6431D" w:rsidRDefault="00FA2C4B" w:rsidP="00F6431D">
      <w:pPr>
        <w:spacing w:line="360" w:lineRule="auto"/>
        <w:contextualSpacing/>
        <w:jc w:val="both"/>
        <w:rPr>
          <w:rFonts w:ascii="Palatino Linotype" w:eastAsia="Batang" w:hAnsi="Palatino Linotype" w:cs="Tahoma"/>
          <w:bCs/>
          <w:sz w:val="22"/>
          <w:szCs w:val="22"/>
          <w:lang w:val="es-ES_tradnl"/>
        </w:rPr>
      </w:pPr>
      <w:r w:rsidRPr="00F6431D">
        <w:rPr>
          <w:rFonts w:ascii="Palatino Linotype" w:eastAsia="Batang" w:hAnsi="Palatino Linotype" w:cs="Tahoma"/>
          <w:b/>
          <w:bCs/>
          <w:sz w:val="22"/>
          <w:szCs w:val="22"/>
        </w:rPr>
        <w:t xml:space="preserve">b) Admisión del </w:t>
      </w:r>
      <w:r w:rsidRPr="00F6431D">
        <w:rPr>
          <w:rFonts w:ascii="Palatino Linotype" w:hAnsi="Palatino Linotype" w:cs="Tahoma"/>
          <w:b/>
          <w:sz w:val="22"/>
          <w:szCs w:val="22"/>
        </w:rPr>
        <w:t>Recurso de Revisión</w:t>
      </w:r>
      <w:r w:rsidRPr="00F6431D">
        <w:rPr>
          <w:rFonts w:ascii="Palatino Linotype" w:eastAsia="Batang" w:hAnsi="Palatino Linotype" w:cs="Tahoma"/>
          <w:b/>
          <w:bCs/>
          <w:sz w:val="22"/>
          <w:szCs w:val="22"/>
          <w:lang w:val="es-ES_tradnl"/>
        </w:rPr>
        <w:t xml:space="preserve">. </w:t>
      </w:r>
      <w:r w:rsidRPr="00F6431D">
        <w:rPr>
          <w:rFonts w:ascii="Palatino Linotype" w:eastAsia="Batang" w:hAnsi="Palatino Linotype" w:cs="Tahoma"/>
          <w:bCs/>
          <w:sz w:val="22"/>
          <w:szCs w:val="22"/>
          <w:lang w:val="es-ES_tradnl"/>
        </w:rPr>
        <w:t xml:space="preserve">El </w:t>
      </w:r>
      <w:r w:rsidR="0040395A" w:rsidRPr="00F6431D">
        <w:rPr>
          <w:rFonts w:ascii="Palatino Linotype" w:eastAsia="Batang" w:hAnsi="Palatino Linotype" w:cs="Tahoma"/>
          <w:bCs/>
          <w:sz w:val="22"/>
          <w:szCs w:val="22"/>
          <w:lang w:val="es-ES_tradnl"/>
        </w:rPr>
        <w:t>veinti</w:t>
      </w:r>
      <w:r w:rsidR="002A77C9">
        <w:rPr>
          <w:rFonts w:ascii="Palatino Linotype" w:eastAsia="Batang" w:hAnsi="Palatino Linotype" w:cs="Tahoma"/>
          <w:bCs/>
          <w:sz w:val="22"/>
          <w:szCs w:val="22"/>
          <w:lang w:val="es-ES_tradnl"/>
        </w:rPr>
        <w:t xml:space="preserve">dós de octubre </w:t>
      </w:r>
      <w:r w:rsidR="0040395A" w:rsidRPr="00F6431D">
        <w:rPr>
          <w:rFonts w:ascii="Palatino Linotype" w:eastAsia="Batang" w:hAnsi="Palatino Linotype" w:cs="Tahoma"/>
          <w:bCs/>
          <w:sz w:val="22"/>
          <w:szCs w:val="22"/>
          <w:lang w:val="es-ES_tradnl"/>
        </w:rPr>
        <w:t>de dos mil veinticuatro</w:t>
      </w:r>
      <w:r w:rsidR="00D86FC0" w:rsidRPr="00F6431D">
        <w:rPr>
          <w:rFonts w:ascii="Palatino Linotype" w:eastAsia="Batang" w:hAnsi="Palatino Linotype" w:cs="Tahoma"/>
          <w:bCs/>
          <w:sz w:val="22"/>
          <w:szCs w:val="22"/>
          <w:lang w:val="es-ES_tradnl"/>
        </w:rPr>
        <w:t>, se acordó la admisión del</w:t>
      </w:r>
      <w:r w:rsidRPr="00F6431D">
        <w:rPr>
          <w:rFonts w:ascii="Palatino Linotype" w:eastAsia="Batang" w:hAnsi="Palatino Linotype" w:cs="Tahoma"/>
          <w:bCs/>
          <w:sz w:val="22"/>
          <w:szCs w:val="22"/>
          <w:lang w:val="es-ES_tradnl"/>
        </w:rPr>
        <w:t xml:space="preserve"> Re</w:t>
      </w:r>
      <w:r w:rsidR="00D86FC0" w:rsidRPr="00F6431D">
        <w:rPr>
          <w:rFonts w:ascii="Palatino Linotype" w:eastAsia="Batang" w:hAnsi="Palatino Linotype" w:cs="Tahoma"/>
          <w:bCs/>
          <w:sz w:val="22"/>
          <w:szCs w:val="22"/>
          <w:lang w:val="es-ES_tradnl"/>
        </w:rPr>
        <w:t>cursos de Revisión, interpuesto</w:t>
      </w:r>
      <w:r w:rsidRPr="00F6431D">
        <w:rPr>
          <w:rFonts w:ascii="Palatino Linotype" w:eastAsia="Batang" w:hAnsi="Palatino Linotype" w:cs="Tahoma"/>
          <w:bCs/>
          <w:sz w:val="22"/>
          <w:szCs w:val="22"/>
          <w:lang w:val="es-ES_tradnl"/>
        </w:rPr>
        <w:t xml:space="preserve"> por el Recurrente, en contra del Sujeto Obligado, en términos del artículo 185, fracciones I y II de la Ley de Transparencia y Acceso a la Información Pública del Estado de México y Municipios, </w:t>
      </w:r>
      <w:r w:rsidR="00E95157" w:rsidRPr="00F6431D">
        <w:rPr>
          <w:rFonts w:ascii="Palatino Linotype" w:eastAsia="Batang" w:hAnsi="Palatino Linotype" w:cs="Tahoma"/>
          <w:bCs/>
          <w:sz w:val="22"/>
          <w:szCs w:val="22"/>
          <w:lang w:val="es-ES_tradnl"/>
        </w:rPr>
        <w:t>el</w:t>
      </w:r>
      <w:r w:rsidRPr="00F6431D">
        <w:rPr>
          <w:rFonts w:ascii="Palatino Linotype" w:eastAsia="Batang" w:hAnsi="Palatino Linotype" w:cs="Tahoma"/>
          <w:bCs/>
          <w:sz w:val="22"/>
          <w:szCs w:val="22"/>
          <w:lang w:val="es-ES_tradnl"/>
        </w:rPr>
        <w:t xml:space="preserve"> cual fu</w:t>
      </w:r>
      <w:r w:rsidR="00E95157" w:rsidRPr="00F6431D">
        <w:rPr>
          <w:rFonts w:ascii="Palatino Linotype" w:eastAsia="Batang" w:hAnsi="Palatino Linotype" w:cs="Tahoma"/>
          <w:bCs/>
          <w:sz w:val="22"/>
          <w:szCs w:val="22"/>
          <w:lang w:val="es-ES_tradnl"/>
        </w:rPr>
        <w:t xml:space="preserve">e </w:t>
      </w:r>
      <w:r w:rsidRPr="00F6431D">
        <w:rPr>
          <w:rFonts w:ascii="Palatino Linotype" w:eastAsia="Batang" w:hAnsi="Palatino Linotype" w:cs="Tahoma"/>
          <w:bCs/>
          <w:sz w:val="22"/>
          <w:szCs w:val="22"/>
          <w:lang w:val="es-ES_tradnl"/>
        </w:rPr>
        <w:t>notificado</w:t>
      </w:r>
      <w:r w:rsidR="00E95157" w:rsidRPr="00F6431D">
        <w:rPr>
          <w:rFonts w:ascii="Palatino Linotype" w:eastAsia="Batang" w:hAnsi="Palatino Linotype" w:cs="Tahoma"/>
          <w:bCs/>
          <w:sz w:val="22"/>
          <w:szCs w:val="22"/>
          <w:lang w:val="es-ES_tradnl"/>
        </w:rPr>
        <w:t xml:space="preserve"> </w:t>
      </w:r>
      <w:r w:rsidRPr="00F6431D">
        <w:rPr>
          <w:rFonts w:ascii="Palatino Linotype" w:eastAsia="Batang" w:hAnsi="Palatino Linotype" w:cs="Tahoma"/>
          <w:bCs/>
          <w:sz w:val="22"/>
          <w:szCs w:val="22"/>
          <w:lang w:val="es-ES_tradnl"/>
        </w:rPr>
        <w:t>a las partes</w:t>
      </w:r>
      <w:r w:rsidR="00E95157" w:rsidRPr="00F6431D">
        <w:rPr>
          <w:rFonts w:ascii="Palatino Linotype" w:eastAsia="Batang" w:hAnsi="Palatino Linotype" w:cs="Tahoma"/>
          <w:bCs/>
          <w:sz w:val="22"/>
          <w:szCs w:val="22"/>
          <w:lang w:val="es-ES_tradnl"/>
        </w:rPr>
        <w:t xml:space="preserve"> </w:t>
      </w:r>
      <w:r w:rsidR="002A77C9">
        <w:rPr>
          <w:rFonts w:ascii="Palatino Linotype" w:eastAsia="Batang" w:hAnsi="Palatino Linotype" w:cs="Tahoma"/>
          <w:bCs/>
          <w:sz w:val="22"/>
          <w:szCs w:val="22"/>
          <w:lang w:val="es-ES_tradnl"/>
        </w:rPr>
        <w:t>el mismo día, mes y año</w:t>
      </w:r>
      <w:r w:rsidRPr="00F6431D">
        <w:rPr>
          <w:rFonts w:ascii="Palatino Linotype" w:eastAsia="Batang" w:hAnsi="Palatino Linotype" w:cs="Tahoma"/>
          <w:bCs/>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658D68BD" w14:textId="77777777" w:rsidR="00FA2C4B" w:rsidRPr="00F6431D" w:rsidRDefault="00FA2C4B" w:rsidP="00F6431D">
      <w:pPr>
        <w:spacing w:line="360" w:lineRule="auto"/>
        <w:contextualSpacing/>
        <w:jc w:val="both"/>
        <w:rPr>
          <w:rFonts w:ascii="Palatino Linotype" w:eastAsia="Batang" w:hAnsi="Palatino Linotype" w:cs="Tahoma"/>
          <w:bCs/>
          <w:sz w:val="22"/>
          <w:szCs w:val="22"/>
          <w:lang w:val="es-ES_tradnl"/>
        </w:rPr>
      </w:pPr>
    </w:p>
    <w:p w14:paraId="16EC797F" w14:textId="5142A855" w:rsidR="0008692B" w:rsidRPr="00F6431D" w:rsidRDefault="00742E55" w:rsidP="00F6431D">
      <w:pPr>
        <w:widowControl w:val="0"/>
        <w:spacing w:line="360" w:lineRule="auto"/>
        <w:jc w:val="both"/>
        <w:rPr>
          <w:rFonts w:ascii="Palatino Linotype" w:hAnsi="Palatino Linotype" w:cs="Tahoma"/>
          <w:sz w:val="22"/>
          <w:szCs w:val="22"/>
        </w:rPr>
      </w:pPr>
      <w:r w:rsidRPr="00F6431D">
        <w:rPr>
          <w:rFonts w:ascii="Palatino Linotype" w:hAnsi="Palatino Linotype" w:cs="Tahoma"/>
          <w:b/>
          <w:sz w:val="22"/>
          <w:szCs w:val="22"/>
        </w:rPr>
        <w:t xml:space="preserve">c) Informe Justificado. </w:t>
      </w:r>
      <w:r w:rsidRPr="00F6431D">
        <w:rPr>
          <w:rFonts w:ascii="Palatino Linotype" w:hAnsi="Palatino Linotype" w:cs="Tahoma"/>
          <w:sz w:val="22"/>
          <w:szCs w:val="22"/>
        </w:rPr>
        <w:t xml:space="preserve">En fecha </w:t>
      </w:r>
      <w:r w:rsidR="002A77C9">
        <w:rPr>
          <w:rFonts w:ascii="Palatino Linotype" w:hAnsi="Palatino Linotype" w:cs="Tahoma"/>
          <w:sz w:val="22"/>
          <w:szCs w:val="22"/>
        </w:rPr>
        <w:t>veintiocho de octubre</w:t>
      </w:r>
      <w:r w:rsidR="0040395A" w:rsidRPr="00F6431D">
        <w:rPr>
          <w:rFonts w:ascii="Palatino Linotype" w:hAnsi="Palatino Linotype" w:cs="Tahoma"/>
          <w:sz w:val="22"/>
          <w:szCs w:val="22"/>
        </w:rPr>
        <w:t xml:space="preserve"> de dos mil veinticuatro, a través del </w:t>
      </w:r>
      <w:r w:rsidR="0040395A" w:rsidRPr="00F6431D">
        <w:rPr>
          <w:rFonts w:ascii="Palatino Linotype" w:hAnsi="Palatino Linotype" w:cs="Tahoma"/>
          <w:sz w:val="22"/>
          <w:szCs w:val="22"/>
        </w:rPr>
        <w:lastRenderedPageBreak/>
        <w:t>SAIMEX, se recibió en este Instituto el informe justificado por parte del Sujeto Obligado, a través de los archivos que se describen a continuación:</w:t>
      </w:r>
    </w:p>
    <w:p w14:paraId="18CF487F" w14:textId="77777777" w:rsidR="0040395A" w:rsidRPr="00F6431D" w:rsidRDefault="0040395A" w:rsidP="00F6431D">
      <w:pPr>
        <w:widowControl w:val="0"/>
        <w:spacing w:line="360" w:lineRule="auto"/>
        <w:jc w:val="both"/>
        <w:rPr>
          <w:rFonts w:ascii="Palatino Linotype" w:hAnsi="Palatino Linotype" w:cs="Tahoma"/>
          <w:sz w:val="22"/>
          <w:szCs w:val="22"/>
        </w:rPr>
      </w:pPr>
    </w:p>
    <w:p w14:paraId="7A8225EC" w14:textId="0F77439E" w:rsidR="0040395A" w:rsidRDefault="0040395A" w:rsidP="00F6431D">
      <w:pPr>
        <w:widowControl w:val="0"/>
        <w:spacing w:line="360" w:lineRule="auto"/>
        <w:jc w:val="both"/>
        <w:rPr>
          <w:rFonts w:ascii="Palatino Linotype" w:hAnsi="Palatino Linotype" w:cs="Tahoma"/>
          <w:sz w:val="22"/>
          <w:szCs w:val="22"/>
        </w:rPr>
      </w:pPr>
      <w:r w:rsidRPr="00F6431D">
        <w:rPr>
          <w:rFonts w:ascii="Palatino Linotype" w:hAnsi="Palatino Linotype" w:cs="Tahoma"/>
          <w:sz w:val="22"/>
          <w:szCs w:val="22"/>
        </w:rPr>
        <w:t xml:space="preserve">I) Oficio sin número, de fecha </w:t>
      </w:r>
      <w:r w:rsidR="002A77C9">
        <w:rPr>
          <w:rFonts w:ascii="Palatino Linotype" w:hAnsi="Palatino Linotype" w:cs="Tahoma"/>
          <w:sz w:val="22"/>
          <w:szCs w:val="22"/>
        </w:rPr>
        <w:t>veintiocho de octubre</w:t>
      </w:r>
      <w:r w:rsidRPr="00F6431D">
        <w:rPr>
          <w:rFonts w:ascii="Palatino Linotype" w:hAnsi="Palatino Linotype" w:cs="Tahoma"/>
          <w:sz w:val="22"/>
          <w:szCs w:val="22"/>
        </w:rPr>
        <w:t xml:space="preserve"> de dos mil veinticuatro, signado por el</w:t>
      </w:r>
      <w:r w:rsidR="002A77C9">
        <w:rPr>
          <w:rFonts w:ascii="Palatino Linotype" w:hAnsi="Palatino Linotype" w:cs="Tahoma"/>
          <w:sz w:val="22"/>
          <w:szCs w:val="22"/>
        </w:rPr>
        <w:t xml:space="preserve"> Jefe de la UIPPE y</w:t>
      </w:r>
      <w:r w:rsidRPr="00F6431D">
        <w:rPr>
          <w:rFonts w:ascii="Palatino Linotype" w:hAnsi="Palatino Linotype" w:cs="Tahoma"/>
          <w:sz w:val="22"/>
          <w:szCs w:val="22"/>
        </w:rPr>
        <w:t xml:space="preserve"> Titular de la Unidad de Transparencia, el cual de manera general señaló</w:t>
      </w:r>
      <w:r w:rsidR="00FF05B9">
        <w:rPr>
          <w:rFonts w:ascii="Palatino Linotype" w:hAnsi="Palatino Linotype" w:cs="Tahoma"/>
          <w:sz w:val="22"/>
          <w:szCs w:val="22"/>
        </w:rPr>
        <w:t xml:space="preserve"> que remitía los informes justificados </w:t>
      </w:r>
      <w:r w:rsidRPr="00F6431D">
        <w:rPr>
          <w:rFonts w:ascii="Palatino Linotype" w:hAnsi="Palatino Linotype" w:cs="Tahoma"/>
          <w:sz w:val="22"/>
          <w:szCs w:val="22"/>
        </w:rPr>
        <w:t xml:space="preserve"> </w:t>
      </w:r>
      <w:r w:rsidR="00FF05B9">
        <w:rPr>
          <w:rFonts w:ascii="Palatino Linotype" w:hAnsi="Palatino Linotype" w:cs="Tahoma"/>
          <w:sz w:val="22"/>
          <w:szCs w:val="22"/>
        </w:rPr>
        <w:t>realizados por la Subdirectora de Coordinación Operativa de la Dirección del Registro Estatal de Vehículos perteneciente a la Dirección General de Recaudación.</w:t>
      </w:r>
    </w:p>
    <w:p w14:paraId="6D69AC8F" w14:textId="77777777" w:rsidR="00FF05B9" w:rsidRDefault="00FF05B9" w:rsidP="00F6431D">
      <w:pPr>
        <w:widowControl w:val="0"/>
        <w:spacing w:line="360" w:lineRule="auto"/>
        <w:jc w:val="both"/>
        <w:rPr>
          <w:rFonts w:ascii="Palatino Linotype" w:hAnsi="Palatino Linotype" w:cs="Tahoma"/>
          <w:sz w:val="22"/>
          <w:szCs w:val="22"/>
        </w:rPr>
      </w:pPr>
    </w:p>
    <w:p w14:paraId="642B0726" w14:textId="33A87BC0" w:rsidR="00B72397" w:rsidRDefault="00FF05B9" w:rsidP="00B72397">
      <w:pPr>
        <w:widowControl w:val="0"/>
        <w:spacing w:line="360" w:lineRule="auto"/>
        <w:jc w:val="both"/>
        <w:rPr>
          <w:rFonts w:ascii="Palatino Linotype" w:hAnsi="Palatino Linotype" w:cs="Tahoma"/>
          <w:sz w:val="22"/>
          <w:szCs w:val="22"/>
        </w:rPr>
      </w:pPr>
      <w:r>
        <w:rPr>
          <w:rFonts w:ascii="Palatino Linotype" w:hAnsi="Palatino Linotype" w:cs="Tahoma"/>
          <w:sz w:val="22"/>
          <w:szCs w:val="22"/>
        </w:rPr>
        <w:t xml:space="preserve">II) </w:t>
      </w:r>
      <w:r w:rsidR="00B72397">
        <w:rPr>
          <w:rFonts w:ascii="Palatino Linotype" w:hAnsi="Palatino Linotype" w:cs="Tahoma"/>
          <w:sz w:val="22"/>
          <w:szCs w:val="22"/>
        </w:rPr>
        <w:t>Oficio 20703001030200L/353/2024, de fecha veintidós de octubre de dos mil veinticuatro, signado por la Subdirectora de Normas y Procedimientos y Servidora Pública Habilitada Suplente de la Dirección General de Recaudación, mediante el cual solicitó se sometiera a consideración del  Comité de Transparencia la clasificación como información confidencial del número de motor, número de identificación vehicular, placa de circulación, número de factura, domicilio particular, nombre del propietario del vehículo, CURP, RFC, importe factura, adeudos fiscales y hacendarios, formato de alta, último importe de tenencia, número y folio de la tarjeta de circulación</w:t>
      </w:r>
      <w:r w:rsidR="00696B35">
        <w:rPr>
          <w:rFonts w:ascii="Palatino Linotype" w:hAnsi="Palatino Linotype" w:cs="Tahoma"/>
          <w:sz w:val="22"/>
          <w:szCs w:val="22"/>
        </w:rPr>
        <w:t xml:space="preserve"> y nombre del usuario contenidos en el oficio </w:t>
      </w:r>
      <w:r w:rsidR="00696B35" w:rsidRPr="00B72397">
        <w:rPr>
          <w:rFonts w:ascii="Palatino Linotype" w:hAnsi="Palatino Linotype" w:cs="Tahoma"/>
          <w:sz w:val="22"/>
          <w:szCs w:val="22"/>
        </w:rPr>
        <w:t>20703001050100L/4221/2024 y sus anexos</w:t>
      </w:r>
      <w:r w:rsidR="00696B35">
        <w:rPr>
          <w:rFonts w:ascii="Palatino Linotype" w:hAnsi="Palatino Linotype" w:cs="Tahoma"/>
          <w:sz w:val="22"/>
          <w:szCs w:val="22"/>
        </w:rPr>
        <w:t>.</w:t>
      </w:r>
    </w:p>
    <w:p w14:paraId="05A94980" w14:textId="77777777" w:rsidR="00A76231" w:rsidRDefault="00A76231" w:rsidP="00B72397">
      <w:pPr>
        <w:widowControl w:val="0"/>
        <w:spacing w:line="360" w:lineRule="auto"/>
        <w:jc w:val="both"/>
        <w:rPr>
          <w:rFonts w:ascii="Palatino Linotype" w:hAnsi="Palatino Linotype" w:cs="Tahoma"/>
          <w:sz w:val="22"/>
          <w:szCs w:val="22"/>
        </w:rPr>
      </w:pPr>
    </w:p>
    <w:p w14:paraId="16B142D6" w14:textId="4674E9F8" w:rsidR="00A76231" w:rsidRDefault="00A76231" w:rsidP="00A76231">
      <w:pPr>
        <w:widowControl w:val="0"/>
        <w:spacing w:line="360" w:lineRule="auto"/>
        <w:jc w:val="both"/>
        <w:rPr>
          <w:rFonts w:ascii="Palatino Linotype" w:hAnsi="Palatino Linotype" w:cs="Tahoma"/>
          <w:sz w:val="22"/>
          <w:szCs w:val="22"/>
        </w:rPr>
      </w:pPr>
      <w:r>
        <w:rPr>
          <w:rFonts w:ascii="Palatino Linotype" w:hAnsi="Palatino Linotype" w:cs="Tahoma"/>
          <w:sz w:val="22"/>
          <w:szCs w:val="22"/>
        </w:rPr>
        <w:t xml:space="preserve">III) Oficio </w:t>
      </w:r>
      <w:r w:rsidRPr="00B72397">
        <w:rPr>
          <w:rFonts w:ascii="Palatino Linotype" w:hAnsi="Palatino Linotype" w:cs="Tahoma"/>
          <w:sz w:val="22"/>
          <w:szCs w:val="22"/>
        </w:rPr>
        <w:t>20703001050100L/4221/2024</w:t>
      </w:r>
      <w:r>
        <w:rPr>
          <w:rFonts w:ascii="Palatino Linotype" w:hAnsi="Palatino Linotype" w:cs="Tahoma"/>
          <w:sz w:val="22"/>
          <w:szCs w:val="22"/>
        </w:rPr>
        <w:t>, de fecha veinte de agosto de dos mil veinticuatro, signado por la Subdirectora de Coordinación Operativa, a través del cual atiende lo solicitado en el oficio número DCAS-SCH-CRLRH-GRRLRHALTP-SAPTUAZC-CSPHCSAE-3200-2024, del dieciséis de agosto de dos mil veinticuatro, mediante el cual se solicitó se verificara la veracidad de las tarjetas de circulación, mismo que contiene</w:t>
      </w:r>
      <w:r w:rsidRPr="00B72397">
        <w:rPr>
          <w:rFonts w:ascii="Palatino Linotype" w:hAnsi="Palatino Linotype" w:cs="Tahoma"/>
          <w:sz w:val="22"/>
          <w:szCs w:val="22"/>
        </w:rPr>
        <w:t xml:space="preserve"> anexos</w:t>
      </w:r>
      <w:r>
        <w:rPr>
          <w:rFonts w:ascii="Palatino Linotype" w:hAnsi="Palatino Linotype" w:cs="Tahoma"/>
          <w:sz w:val="22"/>
          <w:szCs w:val="22"/>
        </w:rPr>
        <w:t>, todos presentados en versión pública, dónde se dejaron visibles tres nombres de particulares.</w:t>
      </w:r>
    </w:p>
    <w:p w14:paraId="59EC8AC2" w14:textId="77777777" w:rsidR="00B72397" w:rsidRDefault="00B72397" w:rsidP="00B72397">
      <w:pPr>
        <w:widowControl w:val="0"/>
        <w:spacing w:line="360" w:lineRule="auto"/>
        <w:jc w:val="both"/>
        <w:rPr>
          <w:rFonts w:ascii="Palatino Linotype" w:hAnsi="Palatino Linotype" w:cs="Tahoma"/>
          <w:sz w:val="22"/>
          <w:szCs w:val="22"/>
        </w:rPr>
      </w:pPr>
    </w:p>
    <w:p w14:paraId="242A8B6C" w14:textId="4781E38A" w:rsidR="00B72397" w:rsidRDefault="00B72397" w:rsidP="00B72397">
      <w:pPr>
        <w:widowControl w:val="0"/>
        <w:spacing w:line="360" w:lineRule="auto"/>
        <w:jc w:val="both"/>
        <w:rPr>
          <w:rFonts w:ascii="Palatino Linotype" w:hAnsi="Palatino Linotype" w:cs="Tahoma"/>
          <w:sz w:val="22"/>
          <w:szCs w:val="22"/>
        </w:rPr>
      </w:pPr>
      <w:r>
        <w:rPr>
          <w:rFonts w:ascii="Palatino Linotype" w:hAnsi="Palatino Linotype" w:cs="Tahoma"/>
          <w:sz w:val="22"/>
          <w:szCs w:val="22"/>
        </w:rPr>
        <w:lastRenderedPageBreak/>
        <w:t>I</w:t>
      </w:r>
      <w:r w:rsidR="00A76231">
        <w:rPr>
          <w:rFonts w:ascii="Palatino Linotype" w:hAnsi="Palatino Linotype" w:cs="Tahoma"/>
          <w:sz w:val="22"/>
          <w:szCs w:val="22"/>
        </w:rPr>
        <w:t>V</w:t>
      </w:r>
      <w:r>
        <w:rPr>
          <w:rFonts w:ascii="Palatino Linotype" w:hAnsi="Palatino Linotype" w:cs="Tahoma"/>
          <w:sz w:val="22"/>
          <w:szCs w:val="22"/>
        </w:rPr>
        <w:t xml:space="preserve">) </w:t>
      </w:r>
      <w:r w:rsidRPr="00B72397">
        <w:rPr>
          <w:rFonts w:ascii="Palatino Linotype" w:hAnsi="Palatino Linotype" w:cs="Tahoma"/>
          <w:sz w:val="22"/>
          <w:szCs w:val="22"/>
        </w:rPr>
        <w:t>Acuerdo CT-2024-</w:t>
      </w:r>
      <w:r>
        <w:rPr>
          <w:rFonts w:ascii="Palatino Linotype" w:hAnsi="Palatino Linotype" w:cs="Tahoma"/>
          <w:sz w:val="22"/>
          <w:szCs w:val="22"/>
        </w:rPr>
        <w:t>221</w:t>
      </w:r>
      <w:r w:rsidRPr="00B72397">
        <w:rPr>
          <w:rFonts w:ascii="Palatino Linotype" w:hAnsi="Palatino Linotype" w:cs="Tahoma"/>
          <w:sz w:val="22"/>
          <w:szCs w:val="22"/>
        </w:rPr>
        <w:t xml:space="preserve">, emitido por el Comité de Transparencia, en fecha </w:t>
      </w:r>
      <w:r>
        <w:rPr>
          <w:rFonts w:ascii="Palatino Linotype" w:hAnsi="Palatino Linotype" w:cs="Tahoma"/>
          <w:sz w:val="22"/>
          <w:szCs w:val="22"/>
        </w:rPr>
        <w:t>veinti</w:t>
      </w:r>
      <w:r w:rsidRPr="00B72397">
        <w:rPr>
          <w:rFonts w:ascii="Palatino Linotype" w:hAnsi="Palatino Linotype" w:cs="Tahoma"/>
          <w:sz w:val="22"/>
          <w:szCs w:val="22"/>
        </w:rPr>
        <w:t>ocho de octubre de dos mil veinticuatro, a través del cual se confirmó la clasificación de la información como confidencial del oficio 20703001050100L/4221/2024 y sus anexos.</w:t>
      </w:r>
    </w:p>
    <w:p w14:paraId="08314010" w14:textId="77777777" w:rsidR="00220907" w:rsidRPr="00F6431D" w:rsidRDefault="00220907" w:rsidP="00F6431D">
      <w:pPr>
        <w:autoSpaceDE w:val="0"/>
        <w:autoSpaceDN w:val="0"/>
        <w:adjustRightInd w:val="0"/>
        <w:spacing w:line="360" w:lineRule="auto"/>
        <w:contextualSpacing/>
        <w:jc w:val="both"/>
        <w:rPr>
          <w:rFonts w:ascii="Palatino Linotype" w:hAnsi="Palatino Linotype" w:cs="Tahoma"/>
          <w:sz w:val="22"/>
          <w:szCs w:val="22"/>
        </w:rPr>
      </w:pPr>
    </w:p>
    <w:p w14:paraId="17DEA2FF" w14:textId="297DE15C" w:rsidR="00384D82" w:rsidRDefault="00A76231" w:rsidP="00A76231">
      <w:pPr>
        <w:autoSpaceDE w:val="0"/>
        <w:autoSpaceDN w:val="0"/>
        <w:adjustRightInd w:val="0"/>
        <w:spacing w:line="360" w:lineRule="auto"/>
        <w:contextualSpacing/>
        <w:jc w:val="both"/>
        <w:rPr>
          <w:rFonts w:ascii="Palatino Linotype" w:eastAsia="Calibri" w:hAnsi="Palatino Linotype" w:cs="Tahoma"/>
          <w:color w:val="000000"/>
          <w:sz w:val="22"/>
          <w:szCs w:val="22"/>
          <w:lang w:eastAsia="en-US"/>
        </w:rPr>
      </w:pPr>
      <w:r>
        <w:rPr>
          <w:rFonts w:ascii="Palatino Linotype" w:hAnsi="Palatino Linotype" w:cs="Tahoma"/>
          <w:b/>
          <w:sz w:val="22"/>
          <w:szCs w:val="22"/>
        </w:rPr>
        <w:t>d</w:t>
      </w:r>
      <w:r w:rsidR="00FA2C4B" w:rsidRPr="00F6431D">
        <w:rPr>
          <w:rFonts w:ascii="Palatino Linotype" w:hAnsi="Palatino Linotype" w:cs="Tahoma"/>
          <w:b/>
          <w:sz w:val="22"/>
          <w:szCs w:val="22"/>
        </w:rPr>
        <w:t xml:space="preserve">) </w:t>
      </w:r>
      <w:r w:rsidR="00384D82" w:rsidRPr="00F6431D">
        <w:rPr>
          <w:rFonts w:ascii="Palatino Linotype" w:eastAsia="Calibri" w:hAnsi="Palatino Linotype" w:cs="Tahoma"/>
          <w:b/>
          <w:color w:val="000000"/>
          <w:sz w:val="22"/>
          <w:szCs w:val="22"/>
          <w:lang w:eastAsia="en-US"/>
        </w:rPr>
        <w:t xml:space="preserve">Vista de Informe Justificado. </w:t>
      </w:r>
      <w:r>
        <w:rPr>
          <w:rFonts w:ascii="Palatino Linotype" w:eastAsia="Calibri" w:hAnsi="Palatino Linotype" w:cs="Tahoma"/>
          <w:color w:val="000000"/>
          <w:sz w:val="22"/>
          <w:szCs w:val="22"/>
          <w:lang w:eastAsia="en-US"/>
        </w:rPr>
        <w:t>En fecha cinco de noviembr</w:t>
      </w:r>
      <w:r w:rsidR="00384D82" w:rsidRPr="00F6431D">
        <w:rPr>
          <w:rFonts w:ascii="Palatino Linotype" w:eastAsia="Calibri" w:hAnsi="Palatino Linotype" w:cs="Tahoma"/>
          <w:color w:val="000000"/>
          <w:sz w:val="22"/>
          <w:szCs w:val="22"/>
          <w:lang w:eastAsia="en-US"/>
        </w:rPr>
        <w:t xml:space="preserve">e de dos mil veinticuatro, respectivamente, se notificó a través del Sistema de Acceso a la Información Mexiquense (SAIMEX), el acuerdo mediante el cual se puso a la vista del Particular </w:t>
      </w:r>
      <w:r>
        <w:rPr>
          <w:rFonts w:ascii="Palatino Linotype" w:eastAsia="Calibri" w:hAnsi="Palatino Linotype" w:cs="Tahoma"/>
          <w:color w:val="000000"/>
          <w:sz w:val="22"/>
          <w:szCs w:val="22"/>
          <w:lang w:eastAsia="en-US"/>
        </w:rPr>
        <w:t>los</w:t>
      </w:r>
      <w:r w:rsidR="00937B1C">
        <w:rPr>
          <w:rFonts w:ascii="Palatino Linotype" w:eastAsia="Calibri" w:hAnsi="Palatino Linotype" w:cs="Tahoma"/>
          <w:color w:val="000000"/>
          <w:sz w:val="22"/>
          <w:szCs w:val="22"/>
          <w:lang w:eastAsia="en-US"/>
        </w:rPr>
        <w:t xml:space="preserve"> archivo</w:t>
      </w:r>
      <w:r>
        <w:rPr>
          <w:rFonts w:ascii="Palatino Linotype" w:eastAsia="Calibri" w:hAnsi="Palatino Linotype" w:cs="Tahoma"/>
          <w:color w:val="000000"/>
          <w:sz w:val="22"/>
          <w:szCs w:val="22"/>
          <w:lang w:eastAsia="en-US"/>
        </w:rPr>
        <w:t>s</w:t>
      </w:r>
      <w:r w:rsidR="00937B1C">
        <w:rPr>
          <w:rFonts w:ascii="Palatino Linotype" w:eastAsia="Calibri" w:hAnsi="Palatino Linotype" w:cs="Tahoma"/>
          <w:color w:val="000000"/>
          <w:sz w:val="22"/>
          <w:szCs w:val="22"/>
          <w:lang w:eastAsia="en-US"/>
        </w:rPr>
        <w:t xml:space="preserve"> denominado</w:t>
      </w:r>
      <w:r>
        <w:rPr>
          <w:rFonts w:ascii="Palatino Linotype" w:eastAsia="Calibri" w:hAnsi="Palatino Linotype" w:cs="Tahoma"/>
          <w:color w:val="000000"/>
          <w:sz w:val="22"/>
          <w:szCs w:val="22"/>
          <w:lang w:eastAsia="en-US"/>
        </w:rPr>
        <w:t>s</w:t>
      </w:r>
      <w:r w:rsidR="00937B1C">
        <w:rPr>
          <w:rFonts w:ascii="Palatino Linotype" w:eastAsia="Calibri" w:hAnsi="Palatino Linotype" w:cs="Tahoma"/>
          <w:color w:val="000000"/>
          <w:sz w:val="22"/>
          <w:szCs w:val="22"/>
          <w:lang w:eastAsia="en-US"/>
        </w:rPr>
        <w:t xml:space="preserve"> “</w:t>
      </w:r>
      <w:r w:rsidRPr="00A76231">
        <w:rPr>
          <w:rFonts w:ascii="Palatino Linotype" w:eastAsia="Calibri" w:hAnsi="Palatino Linotype" w:cs="Tahoma"/>
          <w:i/>
          <w:color w:val="000000"/>
          <w:sz w:val="22"/>
          <w:szCs w:val="22"/>
          <w:lang w:eastAsia="en-US"/>
        </w:rPr>
        <w:t>RR 06331- 2024 Informe Justificado.pdf</w:t>
      </w:r>
      <w:r w:rsidR="00937B1C">
        <w:rPr>
          <w:rFonts w:ascii="Palatino Linotype" w:eastAsia="Calibri" w:hAnsi="Palatino Linotype" w:cs="Tahoma"/>
          <w:i/>
          <w:color w:val="000000"/>
          <w:sz w:val="22"/>
          <w:szCs w:val="22"/>
          <w:lang w:eastAsia="en-US"/>
        </w:rPr>
        <w:t>”</w:t>
      </w:r>
      <w:r>
        <w:rPr>
          <w:rFonts w:ascii="Palatino Linotype" w:eastAsia="Calibri" w:hAnsi="Palatino Linotype" w:cs="Tahoma"/>
          <w:color w:val="000000"/>
          <w:sz w:val="22"/>
          <w:szCs w:val="22"/>
          <w:lang w:eastAsia="en-US"/>
        </w:rPr>
        <w:t xml:space="preserve"> y “</w:t>
      </w:r>
      <w:r w:rsidRPr="00A76231">
        <w:rPr>
          <w:rFonts w:ascii="Palatino Linotype" w:eastAsia="Calibri" w:hAnsi="Palatino Linotype" w:cs="Tahoma"/>
          <w:i/>
          <w:color w:val="000000"/>
          <w:sz w:val="22"/>
          <w:szCs w:val="22"/>
          <w:lang w:eastAsia="en-US"/>
        </w:rPr>
        <w:t>CT-2024-221.pdf</w:t>
      </w:r>
      <w:r>
        <w:rPr>
          <w:rFonts w:ascii="Palatino Linotype" w:eastAsia="Calibri" w:hAnsi="Palatino Linotype" w:cs="Tahoma"/>
          <w:i/>
          <w:color w:val="000000"/>
          <w:sz w:val="22"/>
          <w:szCs w:val="22"/>
          <w:lang w:eastAsia="en-US"/>
        </w:rPr>
        <w:t>”</w:t>
      </w:r>
      <w:r w:rsidR="00937B1C">
        <w:rPr>
          <w:rFonts w:ascii="Palatino Linotype" w:eastAsia="Calibri" w:hAnsi="Palatino Linotype" w:cs="Tahoma"/>
          <w:i/>
          <w:color w:val="000000"/>
          <w:sz w:val="22"/>
          <w:szCs w:val="22"/>
          <w:lang w:eastAsia="en-US"/>
        </w:rPr>
        <w:t xml:space="preserve">, </w:t>
      </w:r>
      <w:r w:rsidR="00937B1C">
        <w:rPr>
          <w:rFonts w:ascii="Palatino Linotype" w:eastAsia="Calibri" w:hAnsi="Palatino Linotype" w:cs="Tahoma"/>
          <w:color w:val="000000"/>
          <w:sz w:val="22"/>
          <w:szCs w:val="22"/>
          <w:lang w:eastAsia="en-US"/>
        </w:rPr>
        <w:t>el cual contiene el</w:t>
      </w:r>
      <w:r w:rsidR="00384D82" w:rsidRPr="00F6431D">
        <w:rPr>
          <w:rFonts w:ascii="Palatino Linotype" w:eastAsia="Calibri" w:hAnsi="Palatino Linotype" w:cs="Tahoma"/>
          <w:color w:val="000000"/>
          <w:sz w:val="22"/>
          <w:szCs w:val="22"/>
          <w:lang w:eastAsia="en-US"/>
        </w:rPr>
        <w:t xml:space="preserve"> Informe Justificado</w:t>
      </w:r>
      <w:r>
        <w:rPr>
          <w:rFonts w:ascii="Palatino Linotype" w:eastAsia="Calibri" w:hAnsi="Palatino Linotype" w:cs="Tahoma"/>
          <w:color w:val="000000"/>
          <w:sz w:val="22"/>
          <w:szCs w:val="22"/>
          <w:lang w:eastAsia="en-US"/>
        </w:rPr>
        <w:t xml:space="preserve"> y el acuerdo de Comité de Transparencia</w:t>
      </w:r>
      <w:r w:rsidR="00384D82" w:rsidRPr="00F6431D">
        <w:rPr>
          <w:rFonts w:ascii="Palatino Linotype" w:eastAsia="Calibri" w:hAnsi="Palatino Linotype" w:cs="Tahoma"/>
          <w:color w:val="000000"/>
          <w:sz w:val="22"/>
          <w:szCs w:val="22"/>
          <w:lang w:eastAsia="en-US"/>
        </w:rPr>
        <w:t>,</w:t>
      </w:r>
      <w:r w:rsidR="00937B1C" w:rsidRPr="00937B1C">
        <w:rPr>
          <w:rFonts w:ascii="Palatino Linotype" w:hAnsi="Palatino Linotype" w:cs="Tahoma"/>
          <w:sz w:val="22"/>
          <w:szCs w:val="22"/>
        </w:rPr>
        <w:t xml:space="preserve"> </w:t>
      </w:r>
      <w:r w:rsidR="00384D82" w:rsidRPr="00F6431D">
        <w:rPr>
          <w:rFonts w:ascii="Palatino Linotype" w:eastAsia="Calibri" w:hAnsi="Palatino Linotype" w:cs="Tahoma"/>
          <w:color w:val="000000"/>
          <w:sz w:val="22"/>
          <w:szCs w:val="22"/>
          <w:lang w:eastAsia="en-US"/>
        </w:rPr>
        <w:t>proveído por el cual se le otorgó a</w:t>
      </w:r>
      <w:r>
        <w:rPr>
          <w:rFonts w:ascii="Palatino Linotype" w:eastAsia="Calibri" w:hAnsi="Palatino Linotype" w:cs="Tahoma"/>
          <w:color w:val="000000"/>
          <w:sz w:val="22"/>
          <w:szCs w:val="22"/>
          <w:lang w:eastAsia="en-US"/>
        </w:rPr>
        <w:t>l Recurrente</w:t>
      </w:r>
      <w:r w:rsidR="00384D82" w:rsidRPr="00F6431D">
        <w:rPr>
          <w:rFonts w:ascii="Palatino Linotype" w:eastAsia="Calibri" w:hAnsi="Palatino Linotype" w:cs="Tahoma"/>
          <w:color w:val="000000"/>
          <w:sz w:val="22"/>
          <w:szCs w:val="22"/>
          <w:lang w:eastAsia="en-US"/>
        </w:rPr>
        <w:t>, un término de tres días hábiles contados a partir del día siguiente a la notificación, a fin de emitir las manifestaciones que conforme a sus intereses convinieran.</w:t>
      </w:r>
    </w:p>
    <w:p w14:paraId="3A500795" w14:textId="77777777" w:rsidR="00937B1C" w:rsidRDefault="00937B1C" w:rsidP="00F6431D">
      <w:pPr>
        <w:spacing w:line="360" w:lineRule="auto"/>
        <w:jc w:val="both"/>
        <w:rPr>
          <w:rFonts w:ascii="Palatino Linotype" w:eastAsia="Calibri" w:hAnsi="Palatino Linotype" w:cs="Tahoma"/>
          <w:color w:val="000000"/>
          <w:sz w:val="22"/>
          <w:szCs w:val="22"/>
          <w:lang w:eastAsia="en-US"/>
        </w:rPr>
      </w:pPr>
    </w:p>
    <w:p w14:paraId="68AD3065" w14:textId="0F99D796" w:rsidR="00937B1C" w:rsidRDefault="00937B1C" w:rsidP="00F6431D">
      <w:pPr>
        <w:spacing w:line="360" w:lineRule="auto"/>
        <w:jc w:val="both"/>
        <w:rPr>
          <w:rFonts w:ascii="Palatino Linotype" w:eastAsia="Calibri" w:hAnsi="Palatino Linotype" w:cs="Tahoma"/>
          <w:color w:val="000000"/>
          <w:sz w:val="22"/>
          <w:szCs w:val="22"/>
          <w:lang w:eastAsia="en-US"/>
        </w:rPr>
      </w:pPr>
      <w:r>
        <w:rPr>
          <w:rFonts w:ascii="Palatino Linotype" w:eastAsia="Calibri" w:hAnsi="Palatino Linotype" w:cs="Tahoma"/>
          <w:color w:val="000000"/>
          <w:sz w:val="22"/>
          <w:szCs w:val="22"/>
          <w:lang w:eastAsia="en-US"/>
        </w:rPr>
        <w:t>Finalmente, respecto al archivo denominado “</w:t>
      </w:r>
      <w:r w:rsidR="00A76231" w:rsidRPr="00A76231">
        <w:rPr>
          <w:rFonts w:ascii="Palatino Linotype" w:eastAsia="Calibri" w:hAnsi="Palatino Linotype" w:cs="Tahoma"/>
          <w:i/>
          <w:color w:val="000000"/>
          <w:sz w:val="22"/>
          <w:szCs w:val="22"/>
          <w:lang w:eastAsia="en-US"/>
        </w:rPr>
        <w:t>RR 06331-2024 DGR_redacted.pdf</w:t>
      </w:r>
      <w:r>
        <w:rPr>
          <w:rFonts w:ascii="Palatino Linotype" w:eastAsia="Calibri" w:hAnsi="Palatino Linotype" w:cs="Tahoma"/>
          <w:i/>
          <w:color w:val="000000"/>
          <w:sz w:val="22"/>
          <w:szCs w:val="22"/>
          <w:lang w:eastAsia="en-US"/>
        </w:rPr>
        <w:t>”,</w:t>
      </w:r>
      <w:r>
        <w:rPr>
          <w:rFonts w:ascii="Palatino Linotype" w:eastAsia="Calibri" w:hAnsi="Palatino Linotype" w:cs="Tahoma"/>
          <w:color w:val="000000"/>
          <w:sz w:val="22"/>
          <w:szCs w:val="22"/>
          <w:lang w:eastAsia="en-US"/>
        </w:rPr>
        <w:t xml:space="preserve"> </w:t>
      </w:r>
      <w:r w:rsidR="00A76231">
        <w:rPr>
          <w:rFonts w:ascii="Palatino Linotype" w:eastAsia="Calibri" w:hAnsi="Palatino Linotype" w:cs="Tahoma"/>
          <w:color w:val="000000"/>
          <w:sz w:val="22"/>
          <w:szCs w:val="22"/>
          <w:lang w:eastAsia="en-US"/>
        </w:rPr>
        <w:t xml:space="preserve">el cual contiene el oficio de interés del solicitante y sus anexos, </w:t>
      </w:r>
      <w:r>
        <w:rPr>
          <w:rFonts w:ascii="Palatino Linotype" w:eastAsia="Calibri" w:hAnsi="Palatino Linotype" w:cs="Tahoma"/>
          <w:color w:val="000000"/>
          <w:sz w:val="22"/>
          <w:szCs w:val="22"/>
          <w:lang w:eastAsia="en-US"/>
        </w:rPr>
        <w:t xml:space="preserve">no fue puesto a la vista del particular al advertirse datos </w:t>
      </w:r>
      <w:r w:rsidR="00453670">
        <w:rPr>
          <w:rFonts w:ascii="Palatino Linotype" w:eastAsia="Calibri" w:hAnsi="Palatino Linotype" w:cs="Tahoma"/>
          <w:color w:val="000000"/>
          <w:sz w:val="22"/>
          <w:szCs w:val="22"/>
          <w:lang w:eastAsia="en-US"/>
        </w:rPr>
        <w:t>posiblemente</w:t>
      </w:r>
      <w:r>
        <w:rPr>
          <w:rFonts w:ascii="Palatino Linotype" w:eastAsia="Calibri" w:hAnsi="Palatino Linotype" w:cs="Tahoma"/>
          <w:color w:val="000000"/>
          <w:sz w:val="22"/>
          <w:szCs w:val="22"/>
          <w:lang w:eastAsia="en-US"/>
        </w:rPr>
        <w:t xml:space="preserve"> de naturaleza confidencial</w:t>
      </w:r>
      <w:r w:rsidR="00A76231">
        <w:rPr>
          <w:rFonts w:ascii="Palatino Linotype" w:eastAsia="Calibri" w:hAnsi="Palatino Linotype" w:cs="Tahoma"/>
          <w:color w:val="000000"/>
          <w:sz w:val="22"/>
          <w:szCs w:val="22"/>
          <w:lang w:eastAsia="en-US"/>
        </w:rPr>
        <w:t xml:space="preserve"> (nombre de particulares)</w:t>
      </w:r>
      <w:r>
        <w:rPr>
          <w:rFonts w:ascii="Palatino Linotype" w:eastAsia="Calibri" w:hAnsi="Palatino Linotype" w:cs="Tahoma"/>
          <w:color w:val="000000"/>
          <w:sz w:val="22"/>
          <w:szCs w:val="22"/>
          <w:lang w:eastAsia="en-US"/>
        </w:rPr>
        <w:t>.</w:t>
      </w:r>
    </w:p>
    <w:p w14:paraId="0448A46B" w14:textId="77777777" w:rsidR="00937B1C" w:rsidRPr="00937B1C" w:rsidRDefault="00937B1C" w:rsidP="00F6431D">
      <w:pPr>
        <w:spacing w:line="360" w:lineRule="auto"/>
        <w:jc w:val="both"/>
        <w:rPr>
          <w:rFonts w:ascii="Palatino Linotype" w:eastAsia="Calibri" w:hAnsi="Palatino Linotype" w:cs="Tahoma"/>
          <w:color w:val="000000"/>
          <w:sz w:val="22"/>
          <w:szCs w:val="22"/>
          <w:lang w:eastAsia="en-US"/>
        </w:rPr>
      </w:pPr>
    </w:p>
    <w:p w14:paraId="040F8595" w14:textId="77777777" w:rsidR="00384D82" w:rsidRPr="00F6431D" w:rsidRDefault="00384D82" w:rsidP="00F6431D">
      <w:pPr>
        <w:widowControl w:val="0"/>
        <w:spacing w:line="360" w:lineRule="auto"/>
        <w:jc w:val="both"/>
        <w:rPr>
          <w:rFonts w:ascii="Palatino Linotype" w:hAnsi="Palatino Linotype"/>
          <w:bCs/>
          <w:sz w:val="22"/>
          <w:szCs w:val="22"/>
          <w:lang w:val="es-ES_tradnl"/>
        </w:rPr>
      </w:pPr>
      <w:r w:rsidRPr="00F6431D">
        <w:rPr>
          <w:rFonts w:ascii="Palatino Linotype" w:eastAsia="Calibri" w:hAnsi="Palatino Linotype" w:cs="Tahoma"/>
          <w:bCs/>
          <w:color w:val="000000"/>
          <w:sz w:val="22"/>
          <w:szCs w:val="24"/>
          <w:lang w:eastAsia="en-US"/>
        </w:rPr>
        <w:t>No obstante, lo anterior, transcurrido el término de ley, el Recurrente fue omiso en emitir pronunciamiento alguno que conviniera a sus intereses, respecto al alcance del Informe Justificado.</w:t>
      </w:r>
    </w:p>
    <w:p w14:paraId="4EB2019F" w14:textId="77777777" w:rsidR="00C90F5D" w:rsidRPr="00F6431D" w:rsidRDefault="00C90F5D" w:rsidP="00F6431D">
      <w:pPr>
        <w:autoSpaceDE w:val="0"/>
        <w:autoSpaceDN w:val="0"/>
        <w:adjustRightInd w:val="0"/>
        <w:spacing w:line="360" w:lineRule="auto"/>
        <w:contextualSpacing/>
        <w:jc w:val="both"/>
        <w:rPr>
          <w:rFonts w:ascii="Palatino Linotype" w:hAnsi="Palatino Linotype" w:cs="Tahoma"/>
          <w:b/>
          <w:sz w:val="22"/>
          <w:szCs w:val="22"/>
        </w:rPr>
      </w:pPr>
    </w:p>
    <w:p w14:paraId="1DF506EF" w14:textId="62A54902" w:rsidR="00FA2C4B" w:rsidRPr="00F6431D" w:rsidRDefault="00D34CD1" w:rsidP="00F6431D">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
          <w:sz w:val="22"/>
          <w:szCs w:val="22"/>
        </w:rPr>
        <w:t>e</w:t>
      </w:r>
      <w:r w:rsidR="00D434D1" w:rsidRPr="00F6431D">
        <w:rPr>
          <w:rFonts w:ascii="Palatino Linotype" w:hAnsi="Palatino Linotype" w:cs="Tahoma"/>
          <w:b/>
          <w:sz w:val="22"/>
          <w:szCs w:val="22"/>
        </w:rPr>
        <w:t xml:space="preserve">) </w:t>
      </w:r>
      <w:r w:rsidR="00FA2C4B" w:rsidRPr="00F6431D">
        <w:rPr>
          <w:rFonts w:ascii="Palatino Linotype" w:hAnsi="Palatino Linotype" w:cs="Tahoma"/>
          <w:b/>
          <w:sz w:val="22"/>
          <w:szCs w:val="22"/>
        </w:rPr>
        <w:t>Cierre de instrucción.</w:t>
      </w:r>
      <w:r w:rsidR="00FA2C4B" w:rsidRPr="00F6431D">
        <w:rPr>
          <w:rFonts w:ascii="Palatino Linotype" w:hAnsi="Palatino Linotype" w:cs="Tahoma"/>
          <w:sz w:val="22"/>
          <w:szCs w:val="22"/>
        </w:rPr>
        <w:t xml:space="preserve"> El </w:t>
      </w:r>
      <w:r>
        <w:rPr>
          <w:rFonts w:ascii="Palatino Linotype" w:hAnsi="Palatino Linotype" w:cs="Tahoma"/>
          <w:sz w:val="22"/>
          <w:szCs w:val="22"/>
        </w:rPr>
        <w:t>once de noviembre</w:t>
      </w:r>
      <w:r w:rsidR="00384D82" w:rsidRPr="00F6431D">
        <w:rPr>
          <w:rFonts w:ascii="Palatino Linotype" w:hAnsi="Palatino Linotype" w:cs="Tahoma"/>
          <w:sz w:val="22"/>
          <w:szCs w:val="22"/>
        </w:rPr>
        <w:t xml:space="preserve"> de dos mil veinticuatro</w:t>
      </w:r>
      <w:r w:rsidR="00FA2C4B" w:rsidRPr="00F6431D">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w:t>
      </w:r>
      <w:r w:rsidR="00FA2C4B" w:rsidRPr="00F6431D">
        <w:rPr>
          <w:rFonts w:ascii="Palatino Linotype" w:hAnsi="Palatino Linotype" w:cs="Tahoma"/>
          <w:sz w:val="22"/>
          <w:szCs w:val="22"/>
          <w:lang w:val="es-ES"/>
        </w:rPr>
        <w:t>Sistema de Acceso a la Información Mexiquense (SAIMEX)</w:t>
      </w:r>
      <w:r w:rsidR="00FA2C4B" w:rsidRPr="00F6431D">
        <w:rPr>
          <w:rFonts w:ascii="Palatino Linotype" w:hAnsi="Palatino Linotype" w:cs="Tahoma"/>
          <w:sz w:val="22"/>
          <w:szCs w:val="22"/>
        </w:rPr>
        <w:t>.</w:t>
      </w:r>
    </w:p>
    <w:p w14:paraId="5C17ADF4" w14:textId="77777777" w:rsidR="00FA2C4B" w:rsidRPr="00F6431D" w:rsidRDefault="00FA2C4B" w:rsidP="00F6431D">
      <w:pPr>
        <w:autoSpaceDE w:val="0"/>
        <w:autoSpaceDN w:val="0"/>
        <w:adjustRightInd w:val="0"/>
        <w:spacing w:line="360" w:lineRule="auto"/>
        <w:contextualSpacing/>
        <w:jc w:val="both"/>
        <w:rPr>
          <w:rFonts w:ascii="Palatino Linotype" w:hAnsi="Palatino Linotype" w:cs="Tahoma"/>
          <w:b/>
          <w:sz w:val="22"/>
          <w:szCs w:val="22"/>
          <w:lang w:val="es-ES"/>
        </w:rPr>
      </w:pPr>
    </w:p>
    <w:p w14:paraId="13794D26" w14:textId="77777777" w:rsidR="00FA2C4B" w:rsidRPr="00F6431D" w:rsidRDefault="00FA2C4B" w:rsidP="00F6431D">
      <w:pPr>
        <w:spacing w:line="360" w:lineRule="auto"/>
        <w:contextualSpacing/>
        <w:jc w:val="both"/>
        <w:rPr>
          <w:rFonts w:ascii="Palatino Linotype" w:hAnsi="Palatino Linotype" w:cs="Tahoma"/>
          <w:color w:val="000000"/>
          <w:sz w:val="22"/>
          <w:szCs w:val="22"/>
        </w:rPr>
      </w:pPr>
      <w:r w:rsidRPr="00F6431D">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a los siguientes: </w:t>
      </w:r>
    </w:p>
    <w:p w14:paraId="2F9166AC" w14:textId="77777777" w:rsidR="00FA2C4B" w:rsidRPr="00F6431D" w:rsidRDefault="00FA2C4B" w:rsidP="00F6431D">
      <w:pPr>
        <w:spacing w:line="360" w:lineRule="auto"/>
        <w:contextualSpacing/>
        <w:jc w:val="center"/>
        <w:rPr>
          <w:rFonts w:ascii="Palatino Linotype" w:hAnsi="Palatino Linotype" w:cs="Tahoma"/>
          <w:b/>
          <w:sz w:val="22"/>
          <w:szCs w:val="22"/>
        </w:rPr>
      </w:pPr>
    </w:p>
    <w:p w14:paraId="781CB357" w14:textId="77777777" w:rsidR="00FA2C4B" w:rsidRPr="00F6431D" w:rsidRDefault="00FA2C4B" w:rsidP="00F6431D">
      <w:pPr>
        <w:spacing w:line="360" w:lineRule="auto"/>
        <w:contextualSpacing/>
        <w:jc w:val="center"/>
        <w:rPr>
          <w:rFonts w:ascii="Palatino Linotype" w:hAnsi="Palatino Linotype" w:cs="Tahoma"/>
          <w:b/>
          <w:sz w:val="22"/>
          <w:szCs w:val="22"/>
        </w:rPr>
      </w:pPr>
      <w:r w:rsidRPr="00F6431D">
        <w:rPr>
          <w:rFonts w:ascii="Palatino Linotype" w:hAnsi="Palatino Linotype" w:cs="Tahoma"/>
          <w:b/>
          <w:sz w:val="22"/>
          <w:szCs w:val="22"/>
        </w:rPr>
        <w:t>C O N S I D E R A N D O S</w:t>
      </w:r>
    </w:p>
    <w:p w14:paraId="00190F2A" w14:textId="77777777" w:rsidR="00FA2C4B" w:rsidRPr="00F6431D" w:rsidRDefault="00FA2C4B" w:rsidP="00F6431D">
      <w:pPr>
        <w:spacing w:line="360" w:lineRule="auto"/>
        <w:contextualSpacing/>
        <w:rPr>
          <w:rFonts w:ascii="Palatino Linotype" w:hAnsi="Palatino Linotype" w:cs="Tahoma"/>
          <w:b/>
          <w:sz w:val="22"/>
          <w:szCs w:val="22"/>
        </w:rPr>
      </w:pPr>
    </w:p>
    <w:p w14:paraId="5C6769CA" w14:textId="6946BADD" w:rsidR="00FA2C4B" w:rsidRPr="00F6431D" w:rsidRDefault="00FA2C4B" w:rsidP="00F6431D">
      <w:pPr>
        <w:spacing w:line="360" w:lineRule="auto"/>
        <w:contextualSpacing/>
        <w:jc w:val="both"/>
        <w:rPr>
          <w:rFonts w:ascii="Palatino Linotype" w:eastAsia="Batang" w:hAnsi="Palatino Linotype" w:cs="Tahoma"/>
          <w:b/>
          <w:bCs/>
          <w:sz w:val="22"/>
          <w:szCs w:val="22"/>
        </w:rPr>
      </w:pPr>
      <w:r w:rsidRPr="00F6431D">
        <w:rPr>
          <w:rFonts w:ascii="Palatino Linotype" w:eastAsia="Batang" w:hAnsi="Palatino Linotype" w:cs="Tahoma"/>
          <w:b/>
          <w:bCs/>
          <w:sz w:val="22"/>
          <w:szCs w:val="22"/>
        </w:rPr>
        <w:t>PRIMERO. Competencia</w:t>
      </w:r>
    </w:p>
    <w:p w14:paraId="7E123DB9" w14:textId="77777777" w:rsidR="002A3B96" w:rsidRPr="00F6431D" w:rsidRDefault="002A3B96" w:rsidP="00F6431D">
      <w:pPr>
        <w:spacing w:line="360" w:lineRule="auto"/>
        <w:contextualSpacing/>
        <w:jc w:val="both"/>
        <w:rPr>
          <w:rFonts w:ascii="Palatino Linotype" w:eastAsia="Batang" w:hAnsi="Palatino Linotype" w:cs="Tahoma"/>
          <w:b/>
          <w:bCs/>
          <w:sz w:val="22"/>
          <w:szCs w:val="22"/>
        </w:rPr>
      </w:pPr>
    </w:p>
    <w:p w14:paraId="2020DAB6" w14:textId="1C461087" w:rsidR="00FA2C4B" w:rsidRPr="00F6431D" w:rsidRDefault="008E59F8" w:rsidP="00F6431D">
      <w:pPr>
        <w:spacing w:line="360" w:lineRule="auto"/>
        <w:contextualSpacing/>
        <w:jc w:val="both"/>
        <w:rPr>
          <w:rFonts w:ascii="Palatino Linotype" w:hAnsi="Palatino Linotype" w:cs="Tahoma"/>
          <w:bCs/>
          <w:sz w:val="22"/>
          <w:szCs w:val="22"/>
        </w:rPr>
      </w:pPr>
      <w:bookmarkStart w:id="1" w:name="_Hlk63334754"/>
      <w:r w:rsidRPr="00F6431D">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bookmarkEnd w:id="1"/>
    <w:p w14:paraId="2773473E" w14:textId="77777777" w:rsidR="00FA2C4B" w:rsidRPr="00F6431D" w:rsidRDefault="00FA2C4B" w:rsidP="00F6431D">
      <w:pPr>
        <w:spacing w:line="360" w:lineRule="auto"/>
        <w:contextualSpacing/>
        <w:jc w:val="both"/>
        <w:rPr>
          <w:rFonts w:ascii="Palatino Linotype" w:eastAsia="Calibri" w:hAnsi="Palatino Linotype" w:cs="Tahoma"/>
          <w:bCs/>
          <w:color w:val="000000"/>
          <w:sz w:val="22"/>
          <w:szCs w:val="22"/>
          <w:lang w:eastAsia="es-ES_tradnl"/>
        </w:rPr>
      </w:pPr>
    </w:p>
    <w:p w14:paraId="5A073A83" w14:textId="77777777" w:rsidR="006E05A1" w:rsidRPr="00F6431D" w:rsidRDefault="006E05A1" w:rsidP="00F6431D">
      <w:pPr>
        <w:spacing w:line="360" w:lineRule="auto"/>
        <w:jc w:val="both"/>
        <w:rPr>
          <w:rFonts w:ascii="Palatino Linotype" w:eastAsia="Calibri" w:hAnsi="Palatino Linotype" w:cs="Tahoma"/>
          <w:b/>
          <w:color w:val="000000"/>
          <w:sz w:val="22"/>
          <w:szCs w:val="22"/>
          <w:lang w:val="es-ES" w:eastAsia="es-MX"/>
        </w:rPr>
      </w:pPr>
      <w:r w:rsidRPr="00F6431D">
        <w:rPr>
          <w:rFonts w:ascii="Palatino Linotype" w:hAnsi="Palatino Linotype" w:cs="Tahoma"/>
          <w:b/>
          <w:sz w:val="22"/>
          <w:szCs w:val="22"/>
          <w:shd w:val="clear" w:color="auto" w:fill="FFFFFF"/>
          <w:lang w:val="es-ES"/>
        </w:rPr>
        <w:t>SEGUNDO</w:t>
      </w:r>
      <w:r w:rsidRPr="00F6431D">
        <w:rPr>
          <w:rFonts w:ascii="Palatino Linotype" w:hAnsi="Palatino Linotype" w:cs="Tahoma"/>
          <w:sz w:val="22"/>
          <w:szCs w:val="22"/>
          <w:shd w:val="clear" w:color="auto" w:fill="FFFFFF"/>
          <w:lang w:val="es-ES"/>
        </w:rPr>
        <w:t xml:space="preserve">. </w:t>
      </w:r>
      <w:r w:rsidRPr="00F6431D">
        <w:rPr>
          <w:rFonts w:ascii="Palatino Linotype" w:eastAsia="Calibri" w:hAnsi="Palatino Linotype" w:cs="Tahoma"/>
          <w:b/>
          <w:color w:val="000000"/>
          <w:sz w:val="22"/>
          <w:szCs w:val="22"/>
          <w:lang w:val="es-ES" w:eastAsia="es-MX"/>
        </w:rPr>
        <w:t>Causales de improcedencia y sobreseimiento</w:t>
      </w:r>
    </w:p>
    <w:p w14:paraId="625CA089" w14:textId="77777777" w:rsidR="006E05A1" w:rsidRPr="00F6431D" w:rsidRDefault="006E05A1" w:rsidP="00F6431D">
      <w:pPr>
        <w:spacing w:line="360" w:lineRule="auto"/>
        <w:jc w:val="both"/>
        <w:rPr>
          <w:rFonts w:ascii="Palatino Linotype" w:hAnsi="Palatino Linotype" w:cs="Tahoma"/>
          <w:sz w:val="22"/>
          <w:szCs w:val="22"/>
          <w:shd w:val="clear" w:color="auto" w:fill="FFFFFF"/>
          <w:lang w:val="es-ES"/>
        </w:rPr>
      </w:pPr>
    </w:p>
    <w:p w14:paraId="168785A8" w14:textId="77777777" w:rsidR="006E05A1" w:rsidRPr="00F6431D" w:rsidRDefault="006E05A1" w:rsidP="00F6431D">
      <w:pPr>
        <w:spacing w:line="360" w:lineRule="auto"/>
        <w:jc w:val="both"/>
        <w:rPr>
          <w:rFonts w:ascii="Palatino Linotype" w:hAnsi="Palatino Linotype"/>
          <w:sz w:val="22"/>
        </w:rPr>
      </w:pPr>
      <w:r w:rsidRPr="00F6431D">
        <w:rPr>
          <w:rFonts w:ascii="Palatino Linotype" w:hAnsi="Palatino Linotype"/>
          <w:sz w:val="22"/>
        </w:rPr>
        <w:t>Este Instituto realiza el estudio oficioso de las causales de improcedencia, por tratarse de una cuestión de orden público y de estudio preferente (acorde con el Criterio orientador en la Tesis de Jurisprudencia “</w:t>
      </w:r>
      <w:r w:rsidRPr="00F6431D">
        <w:rPr>
          <w:rFonts w:ascii="Palatino Linotype" w:hAnsi="Palatino Linotype"/>
          <w:b/>
          <w:sz w:val="22"/>
        </w:rPr>
        <w:t>IMPROCEDENCIA</w:t>
      </w:r>
      <w:r w:rsidRPr="00F6431D">
        <w:rPr>
          <w:rFonts w:ascii="Palatino Linotype" w:hAnsi="Palatino Linotype"/>
          <w:sz w:val="22"/>
        </w:rPr>
        <w:t xml:space="preserve">.” </w:t>
      </w:r>
      <w:r w:rsidRPr="00F6431D">
        <w:rPr>
          <w:rFonts w:ascii="Palatino Linotype" w:hAnsi="Palatino Linotype"/>
          <w:b/>
          <w:sz w:val="22"/>
        </w:rPr>
        <w:t>(Semanario Judicial de la Federación, Quinta Época, 1985, pág. 262),</w:t>
      </w:r>
      <w:r w:rsidRPr="00F6431D">
        <w:rPr>
          <w:rFonts w:ascii="Palatino Linotype" w:hAnsi="Palatino Linotype"/>
          <w:sz w:val="22"/>
        </w:rPr>
        <w:t xml:space="preserve"> el cual establece que debe examinarse previamente la </w:t>
      </w:r>
      <w:r w:rsidRPr="00F6431D">
        <w:rPr>
          <w:rFonts w:ascii="Palatino Linotype" w:hAnsi="Palatino Linotype"/>
          <w:sz w:val="22"/>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81F485C" w14:textId="77777777" w:rsidR="006E05A1" w:rsidRPr="00F6431D" w:rsidRDefault="006E05A1" w:rsidP="00F6431D">
      <w:pPr>
        <w:spacing w:line="360" w:lineRule="auto"/>
        <w:jc w:val="both"/>
        <w:rPr>
          <w:rFonts w:ascii="Palatino Linotype" w:hAnsi="Palatino Linotype"/>
          <w:sz w:val="22"/>
        </w:rPr>
      </w:pPr>
    </w:p>
    <w:p w14:paraId="1327D275" w14:textId="77777777" w:rsidR="006E05A1" w:rsidRPr="00F6431D" w:rsidRDefault="006E05A1" w:rsidP="00F6431D">
      <w:pPr>
        <w:spacing w:line="360" w:lineRule="auto"/>
        <w:jc w:val="both"/>
        <w:rPr>
          <w:rFonts w:ascii="Palatino Linotype" w:hAnsi="Palatino Linotype"/>
          <w:sz w:val="22"/>
        </w:rPr>
      </w:pPr>
      <w:r w:rsidRPr="00F6431D">
        <w:rPr>
          <w:rFonts w:ascii="Palatino Linotype" w:hAnsi="Palatino Linotype"/>
          <w:sz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9C18E98" w14:textId="77777777" w:rsidR="006E05A1" w:rsidRPr="00F6431D" w:rsidRDefault="006E05A1" w:rsidP="00F6431D">
      <w:pPr>
        <w:spacing w:line="360" w:lineRule="auto"/>
        <w:jc w:val="both"/>
        <w:rPr>
          <w:rFonts w:ascii="Palatino Linotype" w:hAnsi="Palatino Linotype"/>
          <w:sz w:val="22"/>
        </w:rPr>
      </w:pPr>
    </w:p>
    <w:p w14:paraId="118850FC" w14:textId="77777777" w:rsidR="006E05A1" w:rsidRPr="00F6431D" w:rsidRDefault="006E05A1" w:rsidP="00F6431D">
      <w:pPr>
        <w:spacing w:line="360" w:lineRule="auto"/>
        <w:jc w:val="both"/>
        <w:rPr>
          <w:rFonts w:ascii="Palatino Linotype" w:hAnsi="Palatino Linotype"/>
          <w:b/>
          <w:sz w:val="22"/>
        </w:rPr>
      </w:pPr>
      <w:r w:rsidRPr="00F6431D">
        <w:rPr>
          <w:rFonts w:ascii="Palatino Linotype" w:hAnsi="Palatino Linotype"/>
          <w:b/>
          <w:sz w:val="22"/>
        </w:rPr>
        <w:t>Causales de sobreseimiento</w:t>
      </w:r>
    </w:p>
    <w:p w14:paraId="35979F73" w14:textId="77777777" w:rsidR="006E05A1" w:rsidRPr="00F6431D" w:rsidRDefault="006E05A1" w:rsidP="00F6431D">
      <w:pPr>
        <w:spacing w:line="360" w:lineRule="auto"/>
        <w:jc w:val="both"/>
        <w:rPr>
          <w:rFonts w:ascii="Palatino Linotype" w:hAnsi="Palatino Linotype"/>
          <w:sz w:val="22"/>
        </w:rPr>
      </w:pPr>
    </w:p>
    <w:p w14:paraId="14CCD8B2" w14:textId="77777777" w:rsidR="006E05A1" w:rsidRPr="00F6431D" w:rsidRDefault="006E05A1" w:rsidP="00F6431D">
      <w:pPr>
        <w:spacing w:line="360" w:lineRule="auto"/>
        <w:jc w:val="both"/>
        <w:rPr>
          <w:rFonts w:ascii="Palatino Linotype" w:hAnsi="Palatino Linotype"/>
          <w:sz w:val="22"/>
        </w:rPr>
      </w:pPr>
      <w:r w:rsidRPr="00F6431D">
        <w:rPr>
          <w:rFonts w:ascii="Palatino Linotype" w:hAnsi="Palatino Linotype"/>
          <w:sz w:val="22"/>
        </w:rPr>
        <w:t>Por ser de previo y especial pronunciamiento, este Instituto analiza si se actualiza alguna causal de sobreseimiento.</w:t>
      </w:r>
    </w:p>
    <w:p w14:paraId="11A1D6F2" w14:textId="77777777" w:rsidR="006E05A1" w:rsidRPr="00F6431D" w:rsidRDefault="006E05A1" w:rsidP="00F6431D">
      <w:pPr>
        <w:spacing w:line="360" w:lineRule="auto"/>
        <w:jc w:val="both"/>
        <w:rPr>
          <w:rFonts w:ascii="Palatino Linotype" w:hAnsi="Palatino Linotype"/>
          <w:sz w:val="22"/>
        </w:rPr>
      </w:pPr>
    </w:p>
    <w:p w14:paraId="08BFB0D3" w14:textId="77777777" w:rsidR="006E05A1" w:rsidRPr="00F6431D" w:rsidRDefault="006E05A1" w:rsidP="00F6431D">
      <w:pPr>
        <w:spacing w:line="360" w:lineRule="auto"/>
        <w:jc w:val="both"/>
        <w:rPr>
          <w:rFonts w:ascii="Palatino Linotype" w:hAnsi="Palatino Linotype"/>
          <w:sz w:val="22"/>
        </w:rPr>
      </w:pPr>
      <w:r w:rsidRPr="00F6431D">
        <w:rPr>
          <w:rFonts w:ascii="Palatino Linotype" w:hAnsi="Palatino Linotype"/>
          <w:sz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3CEF36E4" w14:textId="77777777" w:rsidR="006E05A1" w:rsidRPr="00F6431D" w:rsidRDefault="006E05A1" w:rsidP="00F6431D">
      <w:pPr>
        <w:spacing w:line="360" w:lineRule="auto"/>
        <w:jc w:val="both"/>
        <w:rPr>
          <w:rFonts w:ascii="Palatino Linotype" w:hAnsi="Palatino Linotype"/>
          <w:sz w:val="22"/>
        </w:rPr>
      </w:pPr>
    </w:p>
    <w:p w14:paraId="4019910F" w14:textId="77777777" w:rsidR="006E05A1" w:rsidRPr="00F6431D" w:rsidRDefault="006E05A1" w:rsidP="00F6431D">
      <w:pPr>
        <w:spacing w:line="360" w:lineRule="auto"/>
        <w:jc w:val="both"/>
        <w:rPr>
          <w:rFonts w:ascii="Palatino Linotype" w:hAnsi="Palatino Linotype" w:cs="Tahoma"/>
          <w:sz w:val="22"/>
          <w:szCs w:val="24"/>
          <w:lang w:val="es-ES"/>
        </w:rPr>
      </w:pPr>
      <w:r w:rsidRPr="00F6431D">
        <w:rPr>
          <w:rFonts w:ascii="Palatino Linotype" w:hAnsi="Palatino Linotype"/>
          <w:sz w:val="22"/>
        </w:rPr>
        <w:lastRenderedPageBreak/>
        <w:t>En ese orden de ideas, toda vez que no ha quedado por completo sin materia el Recurso de Revisión, se considera procedente entrar al fondo del presente asunto.</w:t>
      </w:r>
    </w:p>
    <w:p w14:paraId="2FDECA30" w14:textId="77777777" w:rsidR="006E05A1" w:rsidRPr="00F6431D" w:rsidRDefault="006E05A1" w:rsidP="00F6431D">
      <w:pPr>
        <w:spacing w:line="360" w:lineRule="auto"/>
        <w:jc w:val="both"/>
        <w:rPr>
          <w:rFonts w:ascii="Palatino Linotype" w:eastAsia="Calibri" w:hAnsi="Palatino Linotype"/>
          <w:color w:val="000000"/>
          <w:sz w:val="22"/>
          <w:szCs w:val="22"/>
          <w:lang w:eastAsia="en-US"/>
        </w:rPr>
      </w:pPr>
    </w:p>
    <w:p w14:paraId="10FF4FD5" w14:textId="77777777" w:rsidR="006E05A1" w:rsidRPr="00F6431D" w:rsidRDefault="006E05A1" w:rsidP="00F6431D">
      <w:pPr>
        <w:spacing w:line="360" w:lineRule="auto"/>
        <w:jc w:val="both"/>
        <w:rPr>
          <w:rFonts w:ascii="Palatino Linotype" w:hAnsi="Palatino Linotype" w:cs="Tahoma"/>
          <w:b/>
          <w:bCs/>
          <w:iCs/>
          <w:sz w:val="22"/>
          <w:szCs w:val="22"/>
          <w:lang w:val="es-ES"/>
        </w:rPr>
      </w:pPr>
      <w:r w:rsidRPr="00F6431D">
        <w:rPr>
          <w:rFonts w:ascii="Palatino Linotype" w:hAnsi="Palatino Linotype" w:cs="Tahoma"/>
          <w:b/>
          <w:bCs/>
          <w:iCs/>
          <w:sz w:val="22"/>
          <w:szCs w:val="22"/>
          <w:lang w:val="es-ES"/>
        </w:rPr>
        <w:t xml:space="preserve">TERCERO. Determinación de la Controversia </w:t>
      </w:r>
    </w:p>
    <w:p w14:paraId="2DA6614B" w14:textId="77777777" w:rsidR="006E05A1" w:rsidRPr="00F6431D" w:rsidRDefault="006E05A1" w:rsidP="00F6431D">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p>
    <w:p w14:paraId="62EF3596" w14:textId="61A102E2" w:rsidR="006E05A1" w:rsidRPr="00F6431D" w:rsidRDefault="006E05A1" w:rsidP="00F6431D">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r w:rsidRPr="00F6431D">
        <w:rPr>
          <w:rFonts w:ascii="Palatino Linotype" w:eastAsia="Calibri" w:hAnsi="Palatino Linotype" w:cs="Tahoma"/>
          <w:color w:val="000000"/>
          <w:sz w:val="22"/>
          <w:szCs w:val="24"/>
          <w:lang w:val="es-ES" w:eastAsia="es-MX"/>
        </w:rPr>
        <w:t>Una vez realizado el estudio de las constancias que obran en el expediente electrónico en el que se actúa, se advierte que el Solicitante requirió</w:t>
      </w:r>
      <w:r w:rsidR="00194D7E" w:rsidRPr="00F6431D">
        <w:rPr>
          <w:rFonts w:ascii="Palatino Linotype" w:eastAsia="Calibri" w:hAnsi="Palatino Linotype" w:cs="Tahoma"/>
          <w:color w:val="000000"/>
          <w:sz w:val="22"/>
          <w:szCs w:val="24"/>
          <w:lang w:val="es-ES" w:eastAsia="es-MX"/>
        </w:rPr>
        <w:t xml:space="preserve"> </w:t>
      </w:r>
      <w:r w:rsidR="00136A40">
        <w:rPr>
          <w:rFonts w:ascii="Palatino Linotype" w:eastAsia="Calibri" w:hAnsi="Palatino Linotype" w:cs="Tahoma"/>
          <w:color w:val="000000"/>
          <w:sz w:val="22"/>
          <w:szCs w:val="24"/>
          <w:lang w:val="es-ES" w:eastAsia="es-MX"/>
        </w:rPr>
        <w:t xml:space="preserve">el </w:t>
      </w:r>
      <w:r w:rsidR="00136A40" w:rsidRPr="00136A40">
        <w:rPr>
          <w:rFonts w:ascii="Palatino Linotype" w:eastAsia="Calibri" w:hAnsi="Palatino Linotype" w:cs="Tahoma"/>
          <w:color w:val="000000"/>
          <w:sz w:val="22"/>
          <w:szCs w:val="24"/>
          <w:lang w:val="es-ES" w:eastAsia="es-MX"/>
        </w:rPr>
        <w:t>oficio 20703001050100L/4221/2024</w:t>
      </w:r>
      <w:r w:rsidR="00136A40">
        <w:rPr>
          <w:rFonts w:ascii="Palatino Linotype" w:eastAsia="Calibri" w:hAnsi="Palatino Linotype" w:cs="Tahoma"/>
          <w:color w:val="000000"/>
          <w:sz w:val="22"/>
          <w:szCs w:val="24"/>
          <w:lang w:val="es-ES" w:eastAsia="es-MX"/>
        </w:rPr>
        <w:t xml:space="preserve"> y sus anexos,</w:t>
      </w:r>
      <w:r w:rsidR="00136A40" w:rsidRPr="00136A40">
        <w:rPr>
          <w:rFonts w:ascii="Palatino Linotype" w:eastAsia="Calibri" w:hAnsi="Palatino Linotype" w:cs="Tahoma"/>
          <w:color w:val="000000"/>
          <w:sz w:val="22"/>
          <w:szCs w:val="24"/>
          <w:lang w:val="es-ES" w:eastAsia="es-MX"/>
        </w:rPr>
        <w:t xml:space="preserve"> emitido por la Subdirección de Coordinación Operativa adscrita a la Dirección del Registro Estatal de Vehículos, mediante el cual informó el estatus de placas y consulta del padrón vehicular de diversos servidores públicos que laboran en Petróleos Mexicanos</w:t>
      </w:r>
      <w:r w:rsidRPr="00F6431D">
        <w:rPr>
          <w:rFonts w:ascii="Palatino Linotype" w:eastAsia="Calibri" w:hAnsi="Palatino Linotype" w:cs="Tahoma"/>
          <w:color w:val="000000"/>
          <w:sz w:val="22"/>
          <w:szCs w:val="24"/>
          <w:lang w:val="es-ES" w:eastAsia="es-MX"/>
        </w:rPr>
        <w:t>.</w:t>
      </w:r>
    </w:p>
    <w:p w14:paraId="0DE7B64E" w14:textId="77777777" w:rsidR="006E05A1" w:rsidRPr="00F6431D" w:rsidRDefault="006E05A1" w:rsidP="00F6431D">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p>
    <w:p w14:paraId="0D4976A7" w14:textId="15A10375" w:rsidR="006E05A1" w:rsidRPr="00F6431D" w:rsidRDefault="006E05A1" w:rsidP="00F6431D">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r w:rsidRPr="00F6431D">
        <w:rPr>
          <w:rFonts w:ascii="Palatino Linotype" w:eastAsia="Calibri" w:hAnsi="Palatino Linotype" w:cs="Tahoma"/>
          <w:color w:val="000000"/>
          <w:sz w:val="22"/>
          <w:szCs w:val="24"/>
          <w:lang w:val="es-ES" w:eastAsia="es-MX"/>
        </w:rPr>
        <w:t>En respuesta, el Sujeto Obligado, señaló a través de</w:t>
      </w:r>
      <w:r w:rsidR="00136A40">
        <w:rPr>
          <w:rFonts w:ascii="Palatino Linotype" w:eastAsia="Calibri" w:hAnsi="Palatino Linotype" w:cs="Tahoma"/>
          <w:color w:val="000000"/>
          <w:sz w:val="22"/>
          <w:szCs w:val="24"/>
          <w:lang w:val="es-ES" w:eastAsia="es-MX"/>
        </w:rPr>
        <w:t xml:space="preserve"> </w:t>
      </w:r>
      <w:r w:rsidR="00194D7E" w:rsidRPr="00F6431D">
        <w:rPr>
          <w:rFonts w:ascii="Palatino Linotype" w:eastAsia="Calibri" w:hAnsi="Palatino Linotype" w:cs="Tahoma"/>
          <w:color w:val="000000"/>
          <w:sz w:val="22"/>
          <w:szCs w:val="24"/>
          <w:lang w:val="es-ES" w:eastAsia="es-MX"/>
        </w:rPr>
        <w:t>l</w:t>
      </w:r>
      <w:r w:rsidR="00136A40">
        <w:rPr>
          <w:rFonts w:ascii="Palatino Linotype" w:eastAsia="Calibri" w:hAnsi="Palatino Linotype" w:cs="Tahoma"/>
          <w:color w:val="000000"/>
          <w:sz w:val="22"/>
          <w:szCs w:val="24"/>
          <w:lang w:val="es-ES" w:eastAsia="es-MX"/>
        </w:rPr>
        <w:t>a</w:t>
      </w:r>
      <w:r w:rsidRPr="00F6431D">
        <w:rPr>
          <w:rFonts w:ascii="Palatino Linotype" w:eastAsia="Calibri" w:hAnsi="Palatino Linotype" w:cs="Tahoma"/>
          <w:color w:val="000000"/>
          <w:sz w:val="22"/>
          <w:szCs w:val="24"/>
          <w:lang w:val="es-ES" w:eastAsia="es-MX"/>
        </w:rPr>
        <w:t xml:space="preserve"> </w:t>
      </w:r>
      <w:r w:rsidR="00136A40" w:rsidRPr="00136A40">
        <w:rPr>
          <w:rFonts w:ascii="Palatino Linotype" w:eastAsia="Calibri" w:hAnsi="Palatino Linotype" w:cs="Tahoma"/>
          <w:color w:val="000000"/>
          <w:sz w:val="22"/>
          <w:szCs w:val="24"/>
          <w:lang w:val="es-ES" w:eastAsia="es-MX"/>
        </w:rPr>
        <w:t>Subdirectora de Normas y Procedimientos</w:t>
      </w:r>
      <w:r w:rsidR="00136A40">
        <w:rPr>
          <w:rFonts w:ascii="Palatino Linotype" w:eastAsia="Calibri" w:hAnsi="Palatino Linotype" w:cs="Tahoma"/>
          <w:color w:val="000000"/>
          <w:sz w:val="22"/>
          <w:szCs w:val="24"/>
          <w:lang w:val="es-ES" w:eastAsia="es-MX"/>
        </w:rPr>
        <w:t xml:space="preserve"> y de la </w:t>
      </w:r>
      <w:r w:rsidR="00136A40" w:rsidRPr="009F0D17">
        <w:rPr>
          <w:rFonts w:ascii="Palatino Linotype" w:hAnsi="Palatino Linotype" w:cs="Tahoma"/>
          <w:sz w:val="22"/>
          <w:szCs w:val="22"/>
        </w:rPr>
        <w:t>Direc</w:t>
      </w:r>
      <w:r w:rsidR="00136A40">
        <w:rPr>
          <w:rFonts w:ascii="Palatino Linotype" w:hAnsi="Palatino Linotype" w:cs="Tahoma"/>
          <w:sz w:val="22"/>
          <w:szCs w:val="22"/>
        </w:rPr>
        <w:t>tora</w:t>
      </w:r>
      <w:r w:rsidR="00136A40" w:rsidRPr="009F0D17">
        <w:rPr>
          <w:rFonts w:ascii="Palatino Linotype" w:hAnsi="Palatino Linotype" w:cs="Tahoma"/>
          <w:sz w:val="22"/>
          <w:szCs w:val="22"/>
        </w:rPr>
        <w:t xml:space="preserve"> del Registro Estatal de Vehículos</w:t>
      </w:r>
      <w:r w:rsidR="00136A40">
        <w:rPr>
          <w:rFonts w:ascii="Palatino Linotype" w:hAnsi="Palatino Linotype" w:cs="Tahoma"/>
          <w:sz w:val="22"/>
          <w:szCs w:val="22"/>
        </w:rPr>
        <w:t>, que la información se encuentra clasificada como confidencial en su totalidad, al tratarse de datos personales que pudieran hacer identificable a personas físicas.</w:t>
      </w:r>
      <w:r w:rsidR="00136A40">
        <w:rPr>
          <w:rFonts w:ascii="Palatino Linotype" w:eastAsia="Calibri" w:hAnsi="Palatino Linotype" w:cs="Tahoma"/>
          <w:color w:val="000000"/>
          <w:sz w:val="22"/>
          <w:szCs w:val="24"/>
          <w:lang w:val="es-ES" w:eastAsia="es-MX"/>
        </w:rPr>
        <w:t xml:space="preserve"> A</w:t>
      </w:r>
      <w:r w:rsidRPr="00F6431D">
        <w:rPr>
          <w:rFonts w:ascii="Palatino Linotype" w:eastAsia="Calibri" w:hAnsi="Palatino Linotype" w:cs="Tahoma"/>
          <w:color w:val="000000"/>
          <w:sz w:val="22"/>
          <w:szCs w:val="24"/>
          <w:lang w:val="es-ES" w:eastAsia="es-MX"/>
        </w:rPr>
        <w:t xml:space="preserve">nte dicha circunstancia, el Particular interpuso el presente Recurso de Revisión, cuyo agravio consiste en señalar que el Sujeto Obligado </w:t>
      </w:r>
      <w:r w:rsidR="00823B9D" w:rsidRPr="00823B9D">
        <w:rPr>
          <w:rFonts w:ascii="Palatino Linotype" w:eastAsia="Calibri" w:hAnsi="Palatino Linotype" w:cs="Tahoma"/>
          <w:color w:val="000000"/>
          <w:sz w:val="22"/>
          <w:szCs w:val="24"/>
          <w:lang w:val="es-ES" w:eastAsia="es-MX"/>
        </w:rPr>
        <w:t>clasific</w:t>
      </w:r>
      <w:r w:rsidR="00823B9D">
        <w:rPr>
          <w:rFonts w:ascii="Palatino Linotype" w:eastAsia="Calibri" w:hAnsi="Palatino Linotype" w:cs="Tahoma"/>
          <w:color w:val="000000"/>
          <w:sz w:val="22"/>
          <w:szCs w:val="24"/>
          <w:lang w:val="es-ES" w:eastAsia="es-MX"/>
        </w:rPr>
        <w:t xml:space="preserve">ó </w:t>
      </w:r>
      <w:r w:rsidR="00823B9D" w:rsidRPr="00823B9D">
        <w:rPr>
          <w:rFonts w:ascii="Palatino Linotype" w:eastAsia="Calibri" w:hAnsi="Palatino Linotype" w:cs="Tahoma"/>
          <w:color w:val="000000"/>
          <w:sz w:val="22"/>
          <w:szCs w:val="24"/>
          <w:lang w:val="es-ES" w:eastAsia="es-MX"/>
        </w:rPr>
        <w:t>la información</w:t>
      </w:r>
      <w:r w:rsidR="00823B9D">
        <w:rPr>
          <w:rFonts w:ascii="Palatino Linotype" w:eastAsia="Calibri" w:hAnsi="Palatino Linotype" w:cs="Tahoma"/>
          <w:color w:val="000000"/>
          <w:sz w:val="22"/>
          <w:szCs w:val="24"/>
          <w:lang w:val="es-ES" w:eastAsia="es-MX"/>
        </w:rPr>
        <w:t xml:space="preserve"> solicitada</w:t>
      </w:r>
      <w:r w:rsidRPr="00F6431D">
        <w:rPr>
          <w:rFonts w:ascii="Palatino Linotype" w:eastAsia="Calibri" w:hAnsi="Palatino Linotype" w:cs="Tahoma"/>
          <w:color w:val="000000"/>
          <w:sz w:val="22"/>
          <w:szCs w:val="24"/>
          <w:lang w:val="es-ES" w:eastAsia="es-MX"/>
        </w:rPr>
        <w:t xml:space="preserve">, hecho que actualiza la causal de procedencia prevista en la fracción </w:t>
      </w:r>
      <w:r w:rsidR="00136A40">
        <w:rPr>
          <w:rFonts w:ascii="Palatino Linotype" w:eastAsia="Calibri" w:hAnsi="Palatino Linotype" w:cs="Tahoma"/>
          <w:color w:val="000000"/>
          <w:sz w:val="22"/>
          <w:szCs w:val="24"/>
          <w:lang w:val="es-ES" w:eastAsia="es-MX"/>
        </w:rPr>
        <w:t>I</w:t>
      </w:r>
      <w:r w:rsidRPr="00F6431D">
        <w:rPr>
          <w:rFonts w:ascii="Palatino Linotype" w:eastAsia="Calibri" w:hAnsi="Palatino Linotype" w:cs="Tahoma"/>
          <w:color w:val="000000"/>
          <w:sz w:val="22"/>
          <w:szCs w:val="24"/>
          <w:lang w:val="es-ES" w:eastAsia="es-MX"/>
        </w:rPr>
        <w:t xml:space="preserve">I, del artículo 179 de la Ley de Transparencia y Acceso a la Información Pública del Estado de México y Municipios. </w:t>
      </w:r>
    </w:p>
    <w:p w14:paraId="56598D81" w14:textId="77777777" w:rsidR="006E05A1" w:rsidRPr="00F6431D" w:rsidRDefault="006E05A1" w:rsidP="00F6431D">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p>
    <w:p w14:paraId="4496677A" w14:textId="47774449" w:rsidR="006E05A1" w:rsidRPr="00F6431D" w:rsidRDefault="006E05A1" w:rsidP="00F6431D">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r w:rsidRPr="00F6431D">
        <w:rPr>
          <w:rFonts w:ascii="Palatino Linotype" w:eastAsia="Calibri" w:hAnsi="Palatino Linotype" w:cs="Tahoma"/>
          <w:color w:val="000000"/>
          <w:sz w:val="22"/>
          <w:szCs w:val="24"/>
          <w:lang w:val="es-ES" w:eastAsia="es-MX"/>
        </w:rPr>
        <w:t>Así las cosas, una vez admitido y notificado a las partes el Medio de Impugnación, el Sujeto Obligado modificó su respuesta y remitió</w:t>
      </w:r>
      <w:r w:rsidR="00136A40">
        <w:rPr>
          <w:rFonts w:ascii="Palatino Linotype" w:eastAsia="Calibri" w:hAnsi="Palatino Linotype" w:cs="Tahoma"/>
          <w:color w:val="000000"/>
          <w:sz w:val="22"/>
          <w:szCs w:val="24"/>
          <w:lang w:val="es-ES" w:eastAsia="es-MX"/>
        </w:rPr>
        <w:t xml:space="preserve"> en versión pública</w:t>
      </w:r>
      <w:r w:rsidRPr="00F6431D">
        <w:rPr>
          <w:rFonts w:ascii="Palatino Linotype" w:eastAsia="Calibri" w:hAnsi="Palatino Linotype" w:cs="Tahoma"/>
          <w:color w:val="000000"/>
          <w:sz w:val="22"/>
          <w:szCs w:val="24"/>
          <w:lang w:val="es-ES" w:eastAsia="es-MX"/>
        </w:rPr>
        <w:t xml:space="preserve"> </w:t>
      </w:r>
      <w:r w:rsidR="00194D7E" w:rsidRPr="00F6431D">
        <w:rPr>
          <w:rFonts w:ascii="Palatino Linotype" w:eastAsia="Calibri" w:hAnsi="Palatino Linotype" w:cs="Tahoma"/>
          <w:color w:val="000000"/>
          <w:sz w:val="22"/>
          <w:szCs w:val="24"/>
          <w:lang w:val="es-ES" w:eastAsia="es-MX"/>
        </w:rPr>
        <w:t>la información</w:t>
      </w:r>
      <w:r w:rsidRPr="00F6431D">
        <w:rPr>
          <w:rFonts w:ascii="Palatino Linotype" w:eastAsia="Calibri" w:hAnsi="Palatino Linotype" w:cs="Tahoma"/>
          <w:color w:val="000000"/>
          <w:sz w:val="22"/>
          <w:szCs w:val="24"/>
          <w:lang w:val="es-ES" w:eastAsia="es-MX"/>
        </w:rPr>
        <w:t xml:space="preserve"> que solicitó el particular</w:t>
      </w:r>
      <w:r w:rsidR="00136A40">
        <w:rPr>
          <w:rFonts w:ascii="Palatino Linotype" w:eastAsia="Calibri" w:hAnsi="Palatino Linotype" w:cs="Tahoma"/>
          <w:color w:val="000000"/>
          <w:sz w:val="22"/>
          <w:szCs w:val="24"/>
          <w:lang w:val="es-ES" w:eastAsia="es-MX"/>
        </w:rPr>
        <w:t>, la cual no se puso a la vista al advertir datos visibles de naturaleza confidencial</w:t>
      </w:r>
      <w:r w:rsidRPr="00F6431D">
        <w:rPr>
          <w:rFonts w:ascii="Palatino Linotype" w:eastAsia="Calibri" w:hAnsi="Palatino Linotype"/>
          <w:color w:val="000000"/>
          <w:sz w:val="22"/>
          <w:szCs w:val="22"/>
          <w:lang w:eastAsia="en-US"/>
        </w:rPr>
        <w:t xml:space="preserve">; por su parte, </w:t>
      </w:r>
      <w:r w:rsidRPr="00F6431D">
        <w:rPr>
          <w:rFonts w:ascii="Palatino Linotype" w:eastAsia="Calibri" w:hAnsi="Palatino Linotype" w:cs="Tahoma"/>
          <w:color w:val="000000"/>
          <w:sz w:val="22"/>
          <w:szCs w:val="24"/>
          <w:lang w:val="es-ES" w:eastAsia="es-MX"/>
        </w:rPr>
        <w:t>el Recurrente fue omiso en realizar manifestaciones o alegatos que en derecho corresponden.</w:t>
      </w:r>
    </w:p>
    <w:p w14:paraId="590C9673" w14:textId="77777777" w:rsidR="006E05A1" w:rsidRPr="00F6431D" w:rsidRDefault="006E05A1" w:rsidP="00F6431D">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p>
    <w:p w14:paraId="52F49F87" w14:textId="77777777" w:rsidR="006E05A1" w:rsidRPr="00F6431D" w:rsidRDefault="006E05A1" w:rsidP="00F6431D">
      <w:pPr>
        <w:spacing w:line="360" w:lineRule="auto"/>
        <w:jc w:val="both"/>
        <w:rPr>
          <w:rFonts w:ascii="Palatino Linotype" w:eastAsia="Calibri" w:hAnsi="Palatino Linotype"/>
          <w:color w:val="000000"/>
          <w:sz w:val="22"/>
          <w:szCs w:val="22"/>
          <w:lang w:eastAsia="en-US"/>
        </w:rPr>
      </w:pPr>
      <w:r w:rsidRPr="00F6431D">
        <w:rPr>
          <w:rFonts w:ascii="Palatino Linotype" w:eastAsia="Calibri" w:hAnsi="Palatino Linotype"/>
          <w:color w:val="000000"/>
          <w:sz w:val="22"/>
          <w:szCs w:val="22"/>
          <w:lang w:eastAsia="en-US"/>
        </w:rPr>
        <w:lastRenderedPageBreak/>
        <w:t xml:space="preserve">Lo anterior, se desprende de las documentales que obran en el expediente de referencia, materia de la presente Resolución, consistentes en: la solicitud de acceso a la información; la respuesta del Sujeto Obligado; </w:t>
      </w:r>
      <w:r w:rsidRPr="00F6431D">
        <w:rPr>
          <w:rFonts w:ascii="Palatino Linotype" w:eastAsia="Calibri" w:hAnsi="Palatino Linotype"/>
          <w:bCs/>
          <w:color w:val="000000"/>
          <w:sz w:val="22"/>
          <w:szCs w:val="22"/>
          <w:lang w:eastAsia="en-US"/>
        </w:rPr>
        <w:t xml:space="preserve">el </w:t>
      </w:r>
      <w:r w:rsidRPr="00F6431D">
        <w:rPr>
          <w:rFonts w:ascii="Palatino Linotype" w:eastAsia="Calibri" w:hAnsi="Palatino Linotype"/>
          <w:color w:val="000000"/>
          <w:sz w:val="22"/>
          <w:szCs w:val="22"/>
          <w:lang w:eastAsia="en-US"/>
        </w:rPr>
        <w:t>escrito recursal y el Informe Justificado proporcionado por el Sujeto Obligado; instrumentales que se toman en cuenta a efecto de resolver el presente medio de impugnación, conforme a lo dispuesto por el artículo 185, fracción IV, de la Ley de Transparencia y Acceso a la Información Pública del Estado de México y Municipios.</w:t>
      </w:r>
    </w:p>
    <w:p w14:paraId="0D98F183" w14:textId="77777777" w:rsidR="006E05A1" w:rsidRPr="00F6431D" w:rsidRDefault="006E05A1" w:rsidP="00F6431D">
      <w:pPr>
        <w:spacing w:line="360" w:lineRule="auto"/>
        <w:jc w:val="both"/>
        <w:rPr>
          <w:rFonts w:ascii="Palatino Linotype" w:eastAsia="Calibri" w:hAnsi="Palatino Linotype"/>
          <w:color w:val="000000"/>
          <w:sz w:val="22"/>
          <w:szCs w:val="22"/>
          <w:lang w:eastAsia="en-US"/>
        </w:rPr>
      </w:pPr>
    </w:p>
    <w:p w14:paraId="3F75DE8B" w14:textId="77777777" w:rsidR="006E05A1" w:rsidRPr="00F6431D" w:rsidRDefault="006E05A1" w:rsidP="00F6431D">
      <w:pPr>
        <w:spacing w:line="360" w:lineRule="auto"/>
        <w:jc w:val="both"/>
        <w:rPr>
          <w:rFonts w:ascii="Palatino Linotype" w:hAnsi="Palatino Linotype" w:cs="Tahoma"/>
          <w:b/>
          <w:bCs/>
          <w:iCs/>
          <w:sz w:val="22"/>
          <w:szCs w:val="22"/>
        </w:rPr>
      </w:pPr>
      <w:r w:rsidRPr="00F6431D">
        <w:rPr>
          <w:rFonts w:ascii="Palatino Linotype" w:hAnsi="Palatino Linotype" w:cs="Tahoma"/>
          <w:b/>
          <w:bCs/>
          <w:iCs/>
          <w:sz w:val="22"/>
          <w:szCs w:val="22"/>
          <w:lang w:val="es-ES"/>
        </w:rPr>
        <w:t xml:space="preserve">CUARTO. </w:t>
      </w:r>
      <w:r w:rsidRPr="00F6431D">
        <w:rPr>
          <w:rFonts w:ascii="Palatino Linotype" w:hAnsi="Palatino Linotype" w:cs="Tahoma"/>
          <w:b/>
          <w:bCs/>
          <w:iCs/>
          <w:sz w:val="22"/>
          <w:szCs w:val="22"/>
        </w:rPr>
        <w:t>Marco normativo aplicable en materia de transparencia y acceso a la información pública</w:t>
      </w:r>
    </w:p>
    <w:p w14:paraId="27E75DED" w14:textId="77777777" w:rsidR="006E05A1" w:rsidRPr="00F6431D" w:rsidRDefault="006E05A1" w:rsidP="00F6431D">
      <w:pPr>
        <w:spacing w:line="360" w:lineRule="auto"/>
        <w:jc w:val="both"/>
        <w:rPr>
          <w:rFonts w:ascii="Palatino Linotype" w:hAnsi="Palatino Linotype" w:cs="Tahoma"/>
          <w:b/>
          <w:bCs/>
          <w:iCs/>
          <w:sz w:val="22"/>
          <w:szCs w:val="22"/>
        </w:rPr>
      </w:pPr>
    </w:p>
    <w:p w14:paraId="720B285C" w14:textId="77777777" w:rsidR="006E05A1" w:rsidRPr="00F6431D" w:rsidRDefault="006E05A1" w:rsidP="00F6431D">
      <w:pPr>
        <w:spacing w:line="360" w:lineRule="auto"/>
        <w:jc w:val="both"/>
        <w:rPr>
          <w:rFonts w:ascii="Palatino Linotype" w:hAnsi="Palatino Linotype" w:cs="Tahoma"/>
          <w:bCs/>
          <w:iCs/>
          <w:sz w:val="22"/>
          <w:szCs w:val="22"/>
        </w:rPr>
      </w:pPr>
      <w:r w:rsidRPr="00F6431D">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1123458" w14:textId="77777777" w:rsidR="006E05A1" w:rsidRPr="00F6431D" w:rsidRDefault="006E05A1" w:rsidP="00F6431D">
      <w:pPr>
        <w:spacing w:line="360" w:lineRule="auto"/>
        <w:jc w:val="both"/>
        <w:rPr>
          <w:rFonts w:ascii="Palatino Linotype" w:hAnsi="Palatino Linotype" w:cs="Tahoma"/>
          <w:bCs/>
          <w:iCs/>
          <w:sz w:val="22"/>
          <w:szCs w:val="22"/>
        </w:rPr>
      </w:pPr>
    </w:p>
    <w:p w14:paraId="31183467" w14:textId="77777777" w:rsidR="006E05A1" w:rsidRPr="00F6431D" w:rsidRDefault="006E05A1" w:rsidP="00F6431D">
      <w:pPr>
        <w:spacing w:line="360" w:lineRule="auto"/>
        <w:jc w:val="both"/>
        <w:rPr>
          <w:rFonts w:ascii="Palatino Linotype" w:hAnsi="Palatino Linotype" w:cs="Tahoma"/>
          <w:bCs/>
          <w:iCs/>
          <w:sz w:val="22"/>
          <w:szCs w:val="22"/>
        </w:rPr>
      </w:pPr>
      <w:r w:rsidRPr="00F6431D">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89F2B50" w14:textId="77777777" w:rsidR="006E05A1" w:rsidRPr="00F6431D" w:rsidRDefault="006E05A1" w:rsidP="00F6431D">
      <w:pPr>
        <w:spacing w:line="360" w:lineRule="auto"/>
        <w:jc w:val="both"/>
        <w:rPr>
          <w:rFonts w:ascii="Palatino Linotype" w:hAnsi="Palatino Linotype" w:cs="Tahoma"/>
          <w:bCs/>
          <w:iCs/>
          <w:sz w:val="22"/>
          <w:szCs w:val="22"/>
        </w:rPr>
      </w:pPr>
    </w:p>
    <w:p w14:paraId="5D4D5202" w14:textId="77777777" w:rsidR="006E05A1" w:rsidRPr="00F6431D" w:rsidRDefault="006E05A1" w:rsidP="00F6431D">
      <w:pPr>
        <w:spacing w:line="360" w:lineRule="auto"/>
        <w:jc w:val="both"/>
        <w:rPr>
          <w:rFonts w:ascii="Palatino Linotype" w:hAnsi="Palatino Linotype" w:cs="Tahoma"/>
          <w:bCs/>
          <w:iCs/>
          <w:sz w:val="22"/>
          <w:szCs w:val="22"/>
        </w:rPr>
      </w:pPr>
      <w:r w:rsidRPr="00F6431D">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A500E89" w14:textId="77777777" w:rsidR="006E05A1" w:rsidRPr="00F6431D" w:rsidRDefault="006E05A1" w:rsidP="00F6431D">
      <w:pPr>
        <w:spacing w:line="360" w:lineRule="auto"/>
        <w:jc w:val="both"/>
        <w:rPr>
          <w:rFonts w:ascii="Palatino Linotype" w:hAnsi="Palatino Linotype" w:cs="Tahoma"/>
          <w:bCs/>
          <w:iCs/>
          <w:sz w:val="22"/>
          <w:szCs w:val="22"/>
        </w:rPr>
      </w:pPr>
    </w:p>
    <w:p w14:paraId="6C4A889D" w14:textId="77777777" w:rsidR="006E05A1" w:rsidRPr="00F6431D" w:rsidRDefault="006E05A1" w:rsidP="00F6431D">
      <w:pPr>
        <w:spacing w:line="360" w:lineRule="auto"/>
        <w:jc w:val="both"/>
        <w:rPr>
          <w:rFonts w:ascii="Palatino Linotype" w:hAnsi="Palatino Linotype" w:cs="Tahoma"/>
          <w:bCs/>
          <w:iCs/>
          <w:sz w:val="22"/>
          <w:szCs w:val="22"/>
        </w:rPr>
      </w:pPr>
      <w:r w:rsidRPr="00F6431D">
        <w:rPr>
          <w:rFonts w:ascii="Palatino Linotype" w:hAnsi="Palatino Linotype" w:cs="Tahoma"/>
          <w:bCs/>
          <w:iCs/>
          <w:sz w:val="22"/>
          <w:szCs w:val="22"/>
        </w:rPr>
        <w:lastRenderedPageBreak/>
        <w:t>Por su parte, la Ley de Transparencia y Acceso a la Información Pública del Estado de México y Municipios (Reglamentaria del artículo 5° de la Constitución Local), establece lo siguiente:</w:t>
      </w:r>
    </w:p>
    <w:p w14:paraId="0267F024" w14:textId="77777777" w:rsidR="006E05A1" w:rsidRPr="00F6431D" w:rsidRDefault="006E05A1" w:rsidP="00F6431D">
      <w:pPr>
        <w:spacing w:line="360" w:lineRule="auto"/>
        <w:jc w:val="both"/>
        <w:rPr>
          <w:rFonts w:ascii="Palatino Linotype" w:hAnsi="Palatino Linotype" w:cs="Tahoma"/>
          <w:bCs/>
          <w:iCs/>
          <w:sz w:val="22"/>
          <w:szCs w:val="22"/>
        </w:rPr>
      </w:pPr>
    </w:p>
    <w:p w14:paraId="6874475A" w14:textId="77777777" w:rsidR="006E05A1" w:rsidRPr="00F6431D" w:rsidRDefault="006E05A1" w:rsidP="00F6431D">
      <w:pPr>
        <w:spacing w:line="360" w:lineRule="auto"/>
        <w:jc w:val="both"/>
        <w:rPr>
          <w:rFonts w:ascii="Palatino Linotype" w:hAnsi="Palatino Linotype" w:cs="Tahoma"/>
          <w:bCs/>
          <w:iCs/>
          <w:sz w:val="22"/>
          <w:szCs w:val="22"/>
        </w:rPr>
      </w:pPr>
      <w:r w:rsidRPr="00F6431D">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4FE24354" w14:textId="77777777" w:rsidR="006E05A1" w:rsidRPr="00F6431D" w:rsidRDefault="006E05A1" w:rsidP="00F6431D">
      <w:pPr>
        <w:spacing w:line="360" w:lineRule="auto"/>
        <w:jc w:val="both"/>
        <w:rPr>
          <w:rFonts w:ascii="Palatino Linotype" w:hAnsi="Palatino Linotype" w:cs="Tahoma"/>
          <w:bCs/>
          <w:iCs/>
          <w:sz w:val="22"/>
          <w:szCs w:val="22"/>
        </w:rPr>
      </w:pPr>
    </w:p>
    <w:p w14:paraId="363DD31F" w14:textId="77777777" w:rsidR="006E05A1" w:rsidRPr="00F6431D" w:rsidRDefault="006E05A1" w:rsidP="00F6431D">
      <w:pPr>
        <w:spacing w:line="360" w:lineRule="auto"/>
        <w:jc w:val="both"/>
        <w:rPr>
          <w:rFonts w:ascii="Palatino Linotype" w:hAnsi="Palatino Linotype" w:cs="Tahoma"/>
          <w:bCs/>
          <w:iCs/>
          <w:sz w:val="22"/>
          <w:szCs w:val="22"/>
        </w:rPr>
      </w:pPr>
      <w:r w:rsidRPr="00F6431D">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CD90B6C" w14:textId="77777777" w:rsidR="006E05A1" w:rsidRPr="00F6431D" w:rsidRDefault="006E05A1" w:rsidP="00F6431D">
      <w:pPr>
        <w:spacing w:line="360" w:lineRule="auto"/>
        <w:jc w:val="both"/>
        <w:rPr>
          <w:rFonts w:ascii="Palatino Linotype" w:hAnsi="Palatino Linotype" w:cs="Tahoma"/>
          <w:bCs/>
          <w:iCs/>
          <w:sz w:val="22"/>
          <w:szCs w:val="22"/>
        </w:rPr>
      </w:pPr>
    </w:p>
    <w:p w14:paraId="2D983329" w14:textId="77777777" w:rsidR="006E05A1" w:rsidRPr="00F6431D" w:rsidRDefault="006E05A1" w:rsidP="00F6431D">
      <w:pPr>
        <w:spacing w:line="360" w:lineRule="auto"/>
        <w:jc w:val="both"/>
        <w:rPr>
          <w:rFonts w:ascii="Palatino Linotype" w:hAnsi="Palatino Linotype" w:cs="Tahoma"/>
          <w:bCs/>
          <w:iCs/>
          <w:sz w:val="22"/>
          <w:szCs w:val="22"/>
        </w:rPr>
      </w:pPr>
      <w:r w:rsidRPr="00F6431D">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EF685D" w14:textId="77777777" w:rsidR="006E05A1" w:rsidRPr="00F6431D" w:rsidRDefault="006E05A1" w:rsidP="00F6431D">
      <w:pPr>
        <w:spacing w:line="360" w:lineRule="auto"/>
        <w:jc w:val="both"/>
        <w:rPr>
          <w:rFonts w:ascii="Palatino Linotype" w:hAnsi="Palatino Linotype" w:cs="Tahoma"/>
          <w:b/>
          <w:bCs/>
          <w:iCs/>
          <w:sz w:val="22"/>
          <w:szCs w:val="22"/>
          <w:lang w:val="es-ES"/>
        </w:rPr>
      </w:pPr>
    </w:p>
    <w:p w14:paraId="281A1CD6" w14:textId="758381A9" w:rsidR="00FA2C4B" w:rsidRDefault="006E05A1" w:rsidP="00F6431D">
      <w:pPr>
        <w:spacing w:line="360" w:lineRule="auto"/>
        <w:contextualSpacing/>
        <w:jc w:val="both"/>
        <w:rPr>
          <w:rFonts w:ascii="Palatino Linotype" w:hAnsi="Palatino Linotype" w:cs="Tahoma"/>
          <w:b/>
          <w:bCs/>
          <w:iCs/>
          <w:sz w:val="22"/>
          <w:szCs w:val="22"/>
          <w:lang w:val="es-ES"/>
        </w:rPr>
      </w:pPr>
      <w:r w:rsidRPr="00F6431D">
        <w:rPr>
          <w:rFonts w:ascii="Palatino Linotype" w:hAnsi="Palatino Linotype" w:cs="Tahoma"/>
          <w:b/>
          <w:bCs/>
          <w:iCs/>
          <w:sz w:val="22"/>
          <w:szCs w:val="22"/>
          <w:lang w:val="es-ES"/>
        </w:rPr>
        <w:t>QUINTO. Estudio de Fondo</w:t>
      </w:r>
    </w:p>
    <w:p w14:paraId="511D1DA6" w14:textId="77777777" w:rsidR="00080EF0" w:rsidRPr="00F6431D" w:rsidRDefault="00080EF0" w:rsidP="00F6431D">
      <w:pPr>
        <w:spacing w:line="360" w:lineRule="auto"/>
        <w:contextualSpacing/>
        <w:jc w:val="both"/>
        <w:rPr>
          <w:rFonts w:ascii="Palatino Linotype" w:hAnsi="Palatino Linotype" w:cs="Tahoma"/>
          <w:b/>
          <w:sz w:val="22"/>
          <w:szCs w:val="22"/>
          <w:lang w:val="es-ES"/>
        </w:rPr>
      </w:pPr>
    </w:p>
    <w:p w14:paraId="4FE1657F" w14:textId="6DBE7C5B" w:rsidR="00321786" w:rsidRDefault="00321786" w:rsidP="00F6431D">
      <w:pPr>
        <w:spacing w:line="360" w:lineRule="auto"/>
        <w:jc w:val="both"/>
        <w:rPr>
          <w:rFonts w:ascii="Palatino Linotype" w:eastAsia="Calibri" w:hAnsi="Palatino Linotype" w:cs="Tahoma"/>
          <w:iCs/>
          <w:sz w:val="22"/>
          <w:szCs w:val="22"/>
          <w:lang w:val="es-ES" w:eastAsia="es-ES_tradnl"/>
        </w:rPr>
      </w:pPr>
      <w:r w:rsidRPr="00F6431D">
        <w:rPr>
          <w:rFonts w:ascii="Palatino Linotype" w:hAnsi="Palatino Linotype"/>
          <w:sz w:val="22"/>
        </w:rPr>
        <w:t xml:space="preserve">Expuesta la controversia, se procede al análisis de los agravios hechos valer por el Recurrente, referentes a </w:t>
      </w:r>
      <w:r w:rsidR="00823B9D">
        <w:rPr>
          <w:rFonts w:ascii="Palatino Linotype" w:hAnsi="Palatino Linotype"/>
          <w:sz w:val="22"/>
        </w:rPr>
        <w:t>la clasificación de la información por parte del Sujeto Obligado</w:t>
      </w:r>
      <w:r w:rsidRPr="00F6431D">
        <w:rPr>
          <w:rFonts w:ascii="Palatino Linotype" w:hAnsi="Palatino Linotype"/>
          <w:sz w:val="22"/>
        </w:rPr>
        <w:t xml:space="preserve">. </w:t>
      </w:r>
      <w:r w:rsidRPr="00F6431D">
        <w:rPr>
          <w:rFonts w:ascii="Palatino Linotype" w:eastAsia="Calibri" w:hAnsi="Palatino Linotype" w:cs="Tahoma"/>
          <w:color w:val="0D0D0D"/>
          <w:sz w:val="22"/>
          <w:szCs w:val="24"/>
          <w:lang w:eastAsia="en-US"/>
        </w:rPr>
        <w:t xml:space="preserve">Precisado lo anterior, es de recordar que el Recurrente solicitó </w:t>
      </w:r>
      <w:r w:rsidR="00823B9D" w:rsidRPr="00823B9D">
        <w:rPr>
          <w:rFonts w:ascii="Palatino Linotype" w:eastAsia="Calibri" w:hAnsi="Palatino Linotype" w:cs="Tahoma"/>
          <w:iCs/>
          <w:sz w:val="22"/>
          <w:szCs w:val="22"/>
          <w:lang w:val="es-ES" w:eastAsia="es-ES_tradnl"/>
        </w:rPr>
        <w:t>el oficio 20703001050100L/4221/2024 y sus anexos, emitido por la Subdirección de Coordinación Operativa adscrita a la Dirección del Registro Estatal de Vehículos, mediante el cual informó el estatus de placas y consulta del padrón vehicular de diversos servidores públicos que laboran en Petróleos Mexicanos</w:t>
      </w:r>
      <w:r w:rsidRPr="00F6431D">
        <w:rPr>
          <w:rFonts w:ascii="Palatino Linotype" w:eastAsia="Calibri" w:hAnsi="Palatino Linotype" w:cs="Tahoma"/>
          <w:iCs/>
          <w:sz w:val="22"/>
          <w:szCs w:val="22"/>
          <w:lang w:val="es-ES" w:eastAsia="es-ES_tradnl"/>
        </w:rPr>
        <w:t>.</w:t>
      </w:r>
    </w:p>
    <w:p w14:paraId="3AA9A755" w14:textId="77777777" w:rsidR="00C601F1" w:rsidRDefault="00C601F1" w:rsidP="00F6431D">
      <w:pPr>
        <w:spacing w:line="360" w:lineRule="auto"/>
        <w:jc w:val="both"/>
        <w:rPr>
          <w:rFonts w:ascii="Palatino Linotype" w:eastAsia="Calibri" w:hAnsi="Palatino Linotype" w:cs="Tahoma"/>
          <w:iCs/>
          <w:sz w:val="22"/>
          <w:szCs w:val="22"/>
          <w:lang w:val="es-ES" w:eastAsia="es-ES_tradnl"/>
        </w:rPr>
      </w:pPr>
    </w:p>
    <w:p w14:paraId="1985379C" w14:textId="0858BB81" w:rsidR="00C601F1" w:rsidRDefault="00F95C41" w:rsidP="00F6431D">
      <w:pPr>
        <w:spacing w:line="360" w:lineRule="auto"/>
        <w:jc w:val="both"/>
        <w:rPr>
          <w:rFonts w:ascii="Palatino Linotype" w:hAnsi="Palatino Linotype" w:cs="Tahoma"/>
          <w:bCs/>
          <w:iCs/>
          <w:sz w:val="22"/>
          <w:szCs w:val="22"/>
        </w:rPr>
      </w:pPr>
      <w:r w:rsidRPr="009A03F4">
        <w:rPr>
          <w:rFonts w:ascii="Palatino Linotype" w:hAnsi="Palatino Linotype" w:cs="Tahoma"/>
          <w:bCs/>
          <w:iCs/>
          <w:sz w:val="22"/>
          <w:szCs w:val="22"/>
        </w:rPr>
        <w:lastRenderedPageBreak/>
        <w:t xml:space="preserve">Así entonces, es necesario incluir en la presente Resolución la estructura orgánica del Sujeto Obligado, e identificar a las unidades administrativas que integran al Ente Recurrido y que derivado de sus atribuciones puedan conocer de la información solicitada; por ello, se atrae al estudio la Ley Orgánica de la Administración Pública del Estado de México, específicamente en su artículo </w:t>
      </w:r>
      <w:r>
        <w:rPr>
          <w:rFonts w:ascii="Palatino Linotype" w:hAnsi="Palatino Linotype" w:cs="Tahoma"/>
          <w:bCs/>
          <w:iCs/>
          <w:sz w:val="22"/>
          <w:szCs w:val="22"/>
        </w:rPr>
        <w:t>23</w:t>
      </w:r>
      <w:r w:rsidRPr="009A03F4">
        <w:rPr>
          <w:rFonts w:ascii="Palatino Linotype" w:hAnsi="Palatino Linotype" w:cs="Tahoma"/>
          <w:bCs/>
          <w:iCs/>
          <w:sz w:val="22"/>
          <w:szCs w:val="22"/>
        </w:rPr>
        <w:t xml:space="preserve">; el Reglamento Interior de la Secretaría de Finanzas en sus artículos 3 y 14; y por último el Manual General de Organización </w:t>
      </w:r>
      <w:r>
        <w:rPr>
          <w:rFonts w:ascii="Palatino Linotype" w:hAnsi="Palatino Linotype" w:cs="Tahoma"/>
          <w:bCs/>
          <w:iCs/>
          <w:sz w:val="22"/>
          <w:szCs w:val="22"/>
        </w:rPr>
        <w:t>de la Secretaría de Finanzas, normatividades que señalan que p</w:t>
      </w:r>
      <w:r w:rsidRPr="00F95C41">
        <w:rPr>
          <w:rFonts w:ascii="Palatino Linotype" w:hAnsi="Palatino Linotype" w:cs="Tahoma"/>
          <w:bCs/>
          <w:iCs/>
          <w:sz w:val="22"/>
          <w:szCs w:val="22"/>
        </w:rPr>
        <w:t>ara el estudio, planeación y despacho de los asuntos, en los diversos ramos de la Administración Pública del Estado, auxiliarán al Titular del Ejecutivo</w:t>
      </w:r>
      <w:r>
        <w:rPr>
          <w:rFonts w:ascii="Palatino Linotype" w:hAnsi="Palatino Linotype" w:cs="Tahoma"/>
          <w:bCs/>
          <w:iCs/>
          <w:sz w:val="22"/>
          <w:szCs w:val="22"/>
        </w:rPr>
        <w:t xml:space="preserve"> diversas Dependencias, entre ellas, la Secretaría de Finanzas, que se auxiliará de diversas unidades administrativas, entre ellas, la Dirección General de Recaudación, quien establece normas y controla los programas de recaudación tributaria, así mismo, m</w:t>
      </w:r>
      <w:r w:rsidRPr="00F95C41">
        <w:rPr>
          <w:rFonts w:ascii="Palatino Linotype" w:hAnsi="Palatino Linotype" w:cs="Tahoma"/>
          <w:bCs/>
          <w:iCs/>
          <w:sz w:val="22"/>
          <w:szCs w:val="22"/>
        </w:rPr>
        <w:t>atricula los vehículos destinados al transporte de uso particular, así como vehículos en demostración y traslado, expidiendo las placas de matriculación</w:t>
      </w:r>
      <w:r>
        <w:rPr>
          <w:rFonts w:ascii="Palatino Linotype" w:hAnsi="Palatino Linotype" w:cs="Tahoma"/>
          <w:bCs/>
          <w:iCs/>
          <w:sz w:val="22"/>
          <w:szCs w:val="22"/>
        </w:rPr>
        <w:t xml:space="preserve">, </w:t>
      </w:r>
      <w:r w:rsidRPr="00F95C41">
        <w:rPr>
          <w:rFonts w:ascii="Palatino Linotype" w:hAnsi="Palatino Linotype" w:cs="Tahoma"/>
          <w:bCs/>
          <w:iCs/>
          <w:sz w:val="22"/>
          <w:szCs w:val="22"/>
        </w:rPr>
        <w:t>calcomanías, tarjetas de circulación y los demás elementos de identificación que se estimen necesarios</w:t>
      </w:r>
      <w:r w:rsidR="00C03A05">
        <w:rPr>
          <w:rFonts w:ascii="Palatino Linotype" w:hAnsi="Palatino Linotype" w:cs="Tahoma"/>
          <w:bCs/>
          <w:iCs/>
          <w:sz w:val="22"/>
          <w:szCs w:val="22"/>
        </w:rPr>
        <w:t xml:space="preserve"> y verifica</w:t>
      </w:r>
      <w:r w:rsidR="00C03A05" w:rsidRPr="00C03A05">
        <w:rPr>
          <w:rFonts w:ascii="Palatino Linotype" w:hAnsi="Palatino Linotype" w:cs="Tahoma"/>
          <w:bCs/>
          <w:iCs/>
          <w:sz w:val="22"/>
          <w:szCs w:val="22"/>
        </w:rPr>
        <w:t xml:space="preserve"> y compr</w:t>
      </w:r>
      <w:r w:rsidR="00C03A05">
        <w:rPr>
          <w:rFonts w:ascii="Palatino Linotype" w:hAnsi="Palatino Linotype" w:cs="Tahoma"/>
          <w:bCs/>
          <w:iCs/>
          <w:sz w:val="22"/>
          <w:szCs w:val="22"/>
        </w:rPr>
        <w:t>ueba</w:t>
      </w:r>
      <w:r w:rsidR="00C03A05" w:rsidRPr="00C03A05">
        <w:rPr>
          <w:rFonts w:ascii="Palatino Linotype" w:hAnsi="Palatino Linotype" w:cs="Tahoma"/>
          <w:bCs/>
          <w:iCs/>
          <w:sz w:val="22"/>
          <w:szCs w:val="22"/>
        </w:rPr>
        <w:t xml:space="preserve"> el debido registro de vehículos destinados al transporte de uso particular, matriculados en el Estado de México</w:t>
      </w:r>
      <w:r w:rsidR="00C03A05">
        <w:rPr>
          <w:rFonts w:ascii="Palatino Linotype" w:hAnsi="Palatino Linotype" w:cs="Tahoma"/>
          <w:bCs/>
          <w:iCs/>
          <w:sz w:val="22"/>
          <w:szCs w:val="22"/>
        </w:rPr>
        <w:t>.</w:t>
      </w:r>
    </w:p>
    <w:p w14:paraId="3EB79776" w14:textId="77777777" w:rsidR="00865756" w:rsidRDefault="00865756" w:rsidP="00F6431D">
      <w:pPr>
        <w:spacing w:line="360" w:lineRule="auto"/>
        <w:jc w:val="both"/>
        <w:rPr>
          <w:rFonts w:ascii="Palatino Linotype" w:hAnsi="Palatino Linotype" w:cs="Tahoma"/>
          <w:bCs/>
          <w:iCs/>
          <w:sz w:val="22"/>
          <w:szCs w:val="22"/>
        </w:rPr>
      </w:pPr>
    </w:p>
    <w:p w14:paraId="243A4E81" w14:textId="7A3B07C1" w:rsidR="00865756" w:rsidRDefault="00865756" w:rsidP="00F6431D">
      <w:pPr>
        <w:spacing w:line="360" w:lineRule="auto"/>
        <w:jc w:val="both"/>
        <w:rPr>
          <w:rFonts w:ascii="Palatino Linotype" w:hAnsi="Palatino Linotype" w:cs="Tahoma"/>
          <w:bCs/>
          <w:iCs/>
          <w:sz w:val="22"/>
          <w:szCs w:val="22"/>
        </w:rPr>
      </w:pPr>
      <w:r>
        <w:rPr>
          <w:rFonts w:ascii="Palatino Linotype" w:hAnsi="Palatino Linotype" w:cs="Tahoma"/>
          <w:bCs/>
          <w:iCs/>
          <w:sz w:val="22"/>
          <w:szCs w:val="22"/>
        </w:rPr>
        <w:t>Por su parte el Manual General de Organización de la Secretaría de Finanzas señala que la Dirección del Registro Estatal de Vehículos, tiene por objetivo n</w:t>
      </w:r>
      <w:r w:rsidRPr="00865756">
        <w:rPr>
          <w:rFonts w:ascii="Palatino Linotype" w:hAnsi="Palatino Linotype" w:cs="Tahoma"/>
          <w:bCs/>
          <w:iCs/>
          <w:sz w:val="22"/>
          <w:szCs w:val="22"/>
        </w:rPr>
        <w:t>ormar, supervisar, administrar y controlar el registro de los vehículos, los procedimientos para la expedición de los medios de identificación vehicular, así como proponer los lineamientos de control vehicular de servicio particular y particular de carga comercial en la entidad, considerando, en su caso, el uso de medios electrónicos</w:t>
      </w:r>
      <w:r>
        <w:rPr>
          <w:rFonts w:ascii="Palatino Linotype" w:hAnsi="Palatino Linotype" w:cs="Tahoma"/>
          <w:bCs/>
          <w:iCs/>
          <w:sz w:val="22"/>
          <w:szCs w:val="22"/>
        </w:rPr>
        <w:t>. Por su parte, el Departamento de Control Vehicular, tiene por objetivo i</w:t>
      </w:r>
      <w:r w:rsidRPr="00865756">
        <w:rPr>
          <w:rFonts w:ascii="Palatino Linotype" w:hAnsi="Palatino Linotype" w:cs="Tahoma"/>
          <w:bCs/>
          <w:iCs/>
          <w:sz w:val="22"/>
          <w:szCs w:val="22"/>
        </w:rPr>
        <w:t>ntegrar, organizar y controlar el Registro Estatal de Vehículos, a través de mecanismos administrativos e informáticos que faciliten la actualización, depuración y resguardo permanente de la información</w:t>
      </w:r>
      <w:r>
        <w:rPr>
          <w:rFonts w:ascii="Palatino Linotype" w:hAnsi="Palatino Linotype" w:cs="Tahoma"/>
          <w:bCs/>
          <w:iCs/>
          <w:sz w:val="22"/>
          <w:szCs w:val="22"/>
        </w:rPr>
        <w:t>.</w:t>
      </w:r>
    </w:p>
    <w:p w14:paraId="609F641D" w14:textId="77777777" w:rsidR="006B352D" w:rsidRDefault="006B352D" w:rsidP="00F6431D">
      <w:pPr>
        <w:spacing w:line="360" w:lineRule="auto"/>
        <w:jc w:val="both"/>
        <w:rPr>
          <w:rFonts w:ascii="Palatino Linotype" w:hAnsi="Palatino Linotype" w:cs="Tahoma"/>
          <w:bCs/>
          <w:iCs/>
          <w:sz w:val="22"/>
          <w:szCs w:val="22"/>
        </w:rPr>
      </w:pPr>
    </w:p>
    <w:p w14:paraId="287A0C1A" w14:textId="37C9F131" w:rsidR="006B352D" w:rsidRDefault="006B352D" w:rsidP="006B352D">
      <w:pPr>
        <w:spacing w:line="360" w:lineRule="auto"/>
        <w:ind w:right="-93"/>
        <w:jc w:val="both"/>
        <w:rPr>
          <w:rFonts w:ascii="Palatino Linotype" w:hAnsi="Palatino Linotype" w:cs="Tahoma"/>
          <w:bCs/>
          <w:iCs/>
          <w:sz w:val="22"/>
          <w:szCs w:val="22"/>
        </w:rPr>
      </w:pPr>
      <w:r>
        <w:rPr>
          <w:rFonts w:ascii="Palatino Linotype" w:hAnsi="Palatino Linotype" w:cs="Tahoma"/>
          <w:bCs/>
          <w:iCs/>
          <w:sz w:val="22"/>
          <w:szCs w:val="22"/>
        </w:rPr>
        <w:lastRenderedPageBreak/>
        <w:t>En este sentido, d</w:t>
      </w:r>
      <w:r w:rsidRPr="009A03F4">
        <w:rPr>
          <w:rFonts w:ascii="Palatino Linotype" w:hAnsi="Palatino Linotype" w:cs="Tahoma"/>
          <w:bCs/>
          <w:iCs/>
          <w:sz w:val="22"/>
          <w:szCs w:val="22"/>
        </w:rPr>
        <w:t>e l</w:t>
      </w:r>
      <w:r>
        <w:rPr>
          <w:rFonts w:ascii="Palatino Linotype" w:hAnsi="Palatino Linotype" w:cs="Tahoma"/>
          <w:bCs/>
          <w:iCs/>
          <w:sz w:val="22"/>
          <w:szCs w:val="22"/>
        </w:rPr>
        <w:t>a normatividad invocada</w:t>
      </w:r>
      <w:r w:rsidRPr="009A03F4">
        <w:rPr>
          <w:rFonts w:ascii="Palatino Linotype" w:hAnsi="Palatino Linotype" w:cs="Tahoma"/>
          <w:bCs/>
          <w:iCs/>
          <w:sz w:val="22"/>
          <w:szCs w:val="22"/>
        </w:rPr>
        <w:t>, la Dirección del Registro Estatal de Vehículos junto con el Departamento de Control Vehicular adscritas a la Secretaría de Finanzas del Estado de México</w:t>
      </w:r>
      <w:r>
        <w:rPr>
          <w:rFonts w:ascii="Palatino Linotype" w:hAnsi="Palatino Linotype" w:cs="Tahoma"/>
          <w:bCs/>
          <w:iCs/>
          <w:sz w:val="22"/>
          <w:szCs w:val="22"/>
        </w:rPr>
        <w:t>,</w:t>
      </w:r>
      <w:r w:rsidRPr="009A03F4">
        <w:rPr>
          <w:rFonts w:ascii="Palatino Linotype" w:hAnsi="Palatino Linotype" w:cs="Tahoma"/>
          <w:bCs/>
          <w:iCs/>
          <w:sz w:val="22"/>
          <w:szCs w:val="22"/>
        </w:rPr>
        <w:t xml:space="preserve"> son las áreas encargadas de controlar el Registro Estatal de Vehículos, así, dicho Registro se compone de las placas de matriculación, calcomanías, tarjetas de circulación y demás elementos de identificación de los vehículos automotores destinados a transporte de carga, de uso particular y comercial.</w:t>
      </w:r>
    </w:p>
    <w:p w14:paraId="5936B62C" w14:textId="77777777" w:rsidR="006B352D" w:rsidRDefault="006B352D" w:rsidP="006B352D">
      <w:pPr>
        <w:spacing w:line="360" w:lineRule="auto"/>
        <w:ind w:right="-93"/>
        <w:jc w:val="both"/>
        <w:rPr>
          <w:rFonts w:ascii="Palatino Linotype" w:hAnsi="Palatino Linotype" w:cs="Tahoma"/>
          <w:bCs/>
          <w:iCs/>
          <w:sz w:val="22"/>
          <w:szCs w:val="22"/>
        </w:rPr>
      </w:pPr>
    </w:p>
    <w:p w14:paraId="22F799DE" w14:textId="767DE1F7" w:rsidR="006B352D" w:rsidRDefault="006B352D" w:rsidP="006B352D">
      <w:pPr>
        <w:spacing w:line="360" w:lineRule="auto"/>
        <w:ind w:right="-93"/>
        <w:jc w:val="both"/>
        <w:rPr>
          <w:rFonts w:ascii="Palatino Linotype" w:hAnsi="Palatino Linotype" w:cs="Tahoma"/>
          <w:sz w:val="22"/>
          <w:szCs w:val="22"/>
        </w:rPr>
      </w:pPr>
      <w:r>
        <w:rPr>
          <w:rFonts w:ascii="Palatino Linotype" w:hAnsi="Palatino Linotype" w:cs="Tahoma"/>
          <w:bCs/>
          <w:iCs/>
          <w:sz w:val="22"/>
          <w:szCs w:val="22"/>
        </w:rPr>
        <w:t xml:space="preserve">Derivado de lo anterior, </w:t>
      </w:r>
      <w:r w:rsidRPr="006B352D">
        <w:rPr>
          <w:rFonts w:ascii="Palatino Linotype" w:hAnsi="Palatino Linotype" w:cs="Tahoma"/>
          <w:bCs/>
          <w:iCs/>
          <w:sz w:val="22"/>
          <w:szCs w:val="22"/>
        </w:rPr>
        <w:t>la Directora del Registro Estatal de Vehículos</w:t>
      </w:r>
      <w:r>
        <w:rPr>
          <w:rFonts w:ascii="Palatino Linotype" w:hAnsi="Palatino Linotype" w:cs="Tahoma"/>
          <w:bCs/>
          <w:iCs/>
          <w:sz w:val="22"/>
          <w:szCs w:val="22"/>
        </w:rPr>
        <w:t>, mediante respuesta señaló que n</w:t>
      </w:r>
      <w:r w:rsidRPr="006B352D">
        <w:rPr>
          <w:rFonts w:ascii="Palatino Linotype" w:hAnsi="Palatino Linotype" w:cs="Tahoma"/>
          <w:bCs/>
          <w:iCs/>
          <w:sz w:val="22"/>
          <w:szCs w:val="22"/>
        </w:rPr>
        <w:t xml:space="preserve">o es posible otorgar </w:t>
      </w:r>
      <w:r>
        <w:rPr>
          <w:rFonts w:ascii="Palatino Linotype" w:hAnsi="Palatino Linotype" w:cs="Tahoma"/>
          <w:bCs/>
          <w:iCs/>
          <w:sz w:val="22"/>
          <w:szCs w:val="22"/>
        </w:rPr>
        <w:t>la información solicitada por el particular (</w:t>
      </w:r>
      <w:r w:rsidRPr="006B352D">
        <w:rPr>
          <w:rFonts w:ascii="Palatino Linotype" w:hAnsi="Palatino Linotype" w:cs="Tahoma"/>
          <w:bCs/>
          <w:iCs/>
          <w:sz w:val="22"/>
          <w:szCs w:val="22"/>
        </w:rPr>
        <w:t>oficio 20703001050100L/4221/2024 y sus anexos</w:t>
      </w:r>
      <w:r>
        <w:rPr>
          <w:rFonts w:ascii="Palatino Linotype" w:hAnsi="Palatino Linotype" w:cs="Tahoma"/>
          <w:bCs/>
          <w:iCs/>
          <w:sz w:val="22"/>
          <w:szCs w:val="22"/>
        </w:rPr>
        <w:t>)</w:t>
      </w:r>
      <w:r w:rsidRPr="006B352D">
        <w:rPr>
          <w:rFonts w:ascii="Palatino Linotype" w:hAnsi="Palatino Linotype" w:cs="Tahoma"/>
          <w:bCs/>
          <w:iCs/>
          <w:sz w:val="22"/>
          <w:szCs w:val="22"/>
        </w:rPr>
        <w:t xml:space="preserve">, toda vez que </w:t>
      </w:r>
      <w:r>
        <w:rPr>
          <w:rFonts w:ascii="Palatino Linotype" w:hAnsi="Palatino Linotype" w:cs="Tahoma"/>
          <w:bCs/>
          <w:iCs/>
          <w:sz w:val="22"/>
          <w:szCs w:val="22"/>
        </w:rPr>
        <w:t>su naturaleza</w:t>
      </w:r>
      <w:r w:rsidRPr="006B352D">
        <w:rPr>
          <w:rFonts w:ascii="Palatino Linotype" w:hAnsi="Palatino Linotype" w:cs="Tahoma"/>
          <w:bCs/>
          <w:iCs/>
          <w:sz w:val="22"/>
          <w:szCs w:val="22"/>
        </w:rPr>
        <w:t xml:space="preserve"> reviste el carácter de c</w:t>
      </w:r>
      <w:r>
        <w:rPr>
          <w:rFonts w:ascii="Palatino Linotype" w:hAnsi="Palatino Linotype" w:cs="Tahoma"/>
          <w:bCs/>
          <w:iCs/>
          <w:sz w:val="22"/>
          <w:szCs w:val="22"/>
        </w:rPr>
        <w:t xml:space="preserve">onfidencial, ya que el </w:t>
      </w:r>
      <w:r w:rsidRPr="006B352D">
        <w:rPr>
          <w:rFonts w:ascii="Palatino Linotype" w:hAnsi="Palatino Linotype" w:cs="Tahoma"/>
          <w:bCs/>
          <w:iCs/>
          <w:sz w:val="22"/>
          <w:szCs w:val="22"/>
        </w:rPr>
        <w:t>registro estatal vehicular,</w:t>
      </w:r>
      <w:r>
        <w:rPr>
          <w:rFonts w:ascii="Palatino Linotype" w:hAnsi="Palatino Linotype" w:cs="Tahoma"/>
          <w:bCs/>
          <w:iCs/>
          <w:sz w:val="22"/>
          <w:szCs w:val="22"/>
        </w:rPr>
        <w:t xml:space="preserve"> se encuentra </w:t>
      </w:r>
      <w:r w:rsidRPr="006B352D">
        <w:rPr>
          <w:rFonts w:ascii="Palatino Linotype" w:hAnsi="Palatino Linotype" w:cs="Tahoma"/>
          <w:bCs/>
          <w:iCs/>
          <w:sz w:val="22"/>
          <w:szCs w:val="22"/>
        </w:rPr>
        <w:t xml:space="preserve"> integrado con los datos de los vehículos que los contribuyentes inscrib</w:t>
      </w:r>
      <w:r>
        <w:rPr>
          <w:rFonts w:ascii="Palatino Linotype" w:hAnsi="Palatino Linotype" w:cs="Tahoma"/>
          <w:bCs/>
          <w:iCs/>
          <w:sz w:val="22"/>
          <w:szCs w:val="22"/>
        </w:rPr>
        <w:t>en o registra</w:t>
      </w:r>
      <w:r w:rsidRPr="006B352D">
        <w:rPr>
          <w:rFonts w:ascii="Palatino Linotype" w:hAnsi="Palatino Linotype" w:cs="Tahoma"/>
          <w:bCs/>
          <w:iCs/>
          <w:sz w:val="22"/>
          <w:szCs w:val="22"/>
        </w:rPr>
        <w:t>n en la circunscripc</w:t>
      </w:r>
      <w:r w:rsidR="00FA4949">
        <w:rPr>
          <w:rFonts w:ascii="Palatino Linotype" w:hAnsi="Palatino Linotype" w:cs="Tahoma"/>
          <w:bCs/>
          <w:iCs/>
          <w:sz w:val="22"/>
          <w:szCs w:val="22"/>
        </w:rPr>
        <w:t xml:space="preserve">ión territorial de cada entidad, razón por la cual, adjuntó </w:t>
      </w:r>
      <w:r w:rsidR="00FA4949">
        <w:rPr>
          <w:rFonts w:ascii="Palatino Linotype" w:hAnsi="Palatino Linotype" w:cs="Tahoma"/>
          <w:sz w:val="22"/>
          <w:szCs w:val="22"/>
        </w:rPr>
        <w:t xml:space="preserve">Acuerdo CT-2024-187, emitido por el Comité de Transparencia, en fecha ocho de octubre de dos mil veinticuatro, mediante el cual se confirmó la clasificación de la información como confidencial en su totalidad del oficio </w:t>
      </w:r>
      <w:r w:rsidR="00FA4949" w:rsidRPr="00A81F04">
        <w:rPr>
          <w:rFonts w:ascii="Palatino Linotype" w:hAnsi="Palatino Linotype" w:cs="Tahoma"/>
          <w:sz w:val="22"/>
          <w:szCs w:val="22"/>
        </w:rPr>
        <w:t>20703001050100L/4221/2024 y sus anexos</w:t>
      </w:r>
      <w:r w:rsidR="00FA4949">
        <w:rPr>
          <w:rFonts w:ascii="Palatino Linotype" w:hAnsi="Palatino Linotype" w:cs="Tahoma"/>
          <w:sz w:val="22"/>
          <w:szCs w:val="22"/>
        </w:rPr>
        <w:t>. Situación de la cual se inconformó la persona Recurrente.</w:t>
      </w:r>
    </w:p>
    <w:p w14:paraId="5652ADE6" w14:textId="77777777" w:rsidR="00FA4949" w:rsidRDefault="00FA4949" w:rsidP="006B352D">
      <w:pPr>
        <w:spacing w:line="360" w:lineRule="auto"/>
        <w:ind w:right="-93"/>
        <w:jc w:val="both"/>
        <w:rPr>
          <w:rFonts w:ascii="Palatino Linotype" w:hAnsi="Palatino Linotype" w:cs="Tahoma"/>
          <w:sz w:val="22"/>
          <w:szCs w:val="22"/>
        </w:rPr>
      </w:pPr>
    </w:p>
    <w:p w14:paraId="6D9E0047" w14:textId="4B7171C9" w:rsidR="005E0748" w:rsidRDefault="005E0748" w:rsidP="00FA4949">
      <w:pPr>
        <w:spacing w:line="360" w:lineRule="auto"/>
        <w:ind w:right="-93"/>
        <w:jc w:val="both"/>
        <w:rPr>
          <w:rFonts w:ascii="Palatino Linotype" w:hAnsi="Palatino Linotype" w:cs="Tahoma"/>
          <w:sz w:val="22"/>
          <w:szCs w:val="22"/>
        </w:rPr>
      </w:pPr>
      <w:r>
        <w:rPr>
          <w:rFonts w:ascii="Palatino Linotype" w:hAnsi="Palatino Linotype" w:cs="Tahoma"/>
          <w:sz w:val="22"/>
          <w:szCs w:val="22"/>
        </w:rPr>
        <w:t>En este contexto, en un acto posterior</w:t>
      </w:r>
      <w:r w:rsidR="00FA4949">
        <w:rPr>
          <w:rFonts w:ascii="Palatino Linotype" w:hAnsi="Palatino Linotype" w:cs="Tahoma"/>
          <w:sz w:val="22"/>
          <w:szCs w:val="22"/>
        </w:rPr>
        <w:t xml:space="preserve"> el Sujeto Obligado a través de la presentación de su Informe Justificado, modificó su respuesta e hizo entrega de la información solicitada en versión pública, a saber, oficio </w:t>
      </w:r>
      <w:r w:rsidR="00FA4949" w:rsidRPr="00A81F04">
        <w:rPr>
          <w:rFonts w:ascii="Palatino Linotype" w:hAnsi="Palatino Linotype" w:cs="Tahoma"/>
          <w:sz w:val="22"/>
          <w:szCs w:val="22"/>
        </w:rPr>
        <w:t>20703001050100L/4221/2024 y sus anexos</w:t>
      </w:r>
      <w:r w:rsidR="00FA4949">
        <w:rPr>
          <w:rFonts w:ascii="Palatino Linotype" w:hAnsi="Palatino Linotype" w:cs="Tahoma"/>
          <w:sz w:val="22"/>
          <w:szCs w:val="22"/>
        </w:rPr>
        <w:t xml:space="preserve">, en los que clasificó información de carácter confidencial en términos del artículo 143, fracción I de </w:t>
      </w:r>
      <w:r w:rsidR="00FA4949" w:rsidRPr="00FA4949">
        <w:rPr>
          <w:rFonts w:ascii="Palatino Linotype" w:hAnsi="Palatino Linotype" w:cs="Tahoma"/>
          <w:sz w:val="22"/>
          <w:szCs w:val="22"/>
        </w:rPr>
        <w:t>la Ley de Transparencia y Acceso a la Información Pública del Estado de México y Municipios</w:t>
      </w:r>
      <w:r>
        <w:rPr>
          <w:rFonts w:ascii="Palatino Linotype" w:hAnsi="Palatino Linotype" w:cs="Tahoma"/>
          <w:sz w:val="22"/>
          <w:szCs w:val="22"/>
        </w:rPr>
        <w:t>, en razón de que la información solicitada se trata de un registro vehicular que realizan las personas como particulares no como servidores públicos.</w:t>
      </w:r>
    </w:p>
    <w:p w14:paraId="652D3FEA" w14:textId="77777777" w:rsidR="005E0748" w:rsidRDefault="005E0748" w:rsidP="00FA4949">
      <w:pPr>
        <w:spacing w:line="360" w:lineRule="auto"/>
        <w:ind w:right="-93"/>
        <w:jc w:val="both"/>
        <w:rPr>
          <w:rFonts w:ascii="Palatino Linotype" w:hAnsi="Palatino Linotype" w:cs="Tahoma"/>
          <w:sz w:val="22"/>
          <w:szCs w:val="22"/>
        </w:rPr>
      </w:pPr>
    </w:p>
    <w:p w14:paraId="13F9E587" w14:textId="06D44805" w:rsidR="005E0748" w:rsidRDefault="005E0748" w:rsidP="00FA4949">
      <w:pPr>
        <w:spacing w:line="360" w:lineRule="auto"/>
        <w:ind w:right="-93"/>
        <w:jc w:val="both"/>
        <w:rPr>
          <w:rFonts w:ascii="Palatino Linotype" w:hAnsi="Palatino Linotype" w:cs="Tahoma"/>
          <w:sz w:val="22"/>
          <w:szCs w:val="22"/>
        </w:rPr>
      </w:pPr>
      <w:r w:rsidRPr="005E0748">
        <w:rPr>
          <w:rFonts w:ascii="Palatino Linotype" w:hAnsi="Palatino Linotype" w:cs="Tahoma"/>
          <w:sz w:val="22"/>
          <w:szCs w:val="22"/>
        </w:rPr>
        <w:lastRenderedPageBreak/>
        <w:t xml:space="preserve">Es </w:t>
      </w:r>
      <w:r>
        <w:rPr>
          <w:rFonts w:ascii="Palatino Linotype" w:hAnsi="Palatino Linotype" w:cs="Tahoma"/>
          <w:sz w:val="22"/>
          <w:szCs w:val="22"/>
        </w:rPr>
        <w:t>importante</w:t>
      </w:r>
      <w:r w:rsidRPr="005E0748">
        <w:rPr>
          <w:rFonts w:ascii="Palatino Linotype" w:hAnsi="Palatino Linotype" w:cs="Tahoma"/>
          <w:sz w:val="22"/>
          <w:szCs w:val="22"/>
        </w:rPr>
        <w:t xml:space="preserve"> señalar</w:t>
      </w:r>
      <w:r>
        <w:rPr>
          <w:rFonts w:ascii="Palatino Linotype" w:hAnsi="Palatino Linotype" w:cs="Tahoma"/>
          <w:sz w:val="22"/>
          <w:szCs w:val="22"/>
        </w:rPr>
        <w:t>,</w:t>
      </w:r>
      <w:r w:rsidRPr="005E0748">
        <w:rPr>
          <w:rFonts w:ascii="Palatino Linotype" w:hAnsi="Palatino Linotype" w:cs="Tahoma"/>
          <w:sz w:val="22"/>
          <w:szCs w:val="22"/>
        </w:rPr>
        <w:t xml:space="preserve"> que este </w:t>
      </w:r>
      <w:r>
        <w:rPr>
          <w:rFonts w:ascii="Palatino Linotype" w:hAnsi="Palatino Linotype" w:cs="Tahoma"/>
          <w:sz w:val="22"/>
          <w:szCs w:val="22"/>
        </w:rPr>
        <w:t>Instituto</w:t>
      </w:r>
      <w:r w:rsidRPr="005E0748">
        <w:rPr>
          <w:rFonts w:ascii="Palatino Linotype" w:hAnsi="Palatino Linotype" w:cs="Tahoma"/>
          <w:sz w:val="22"/>
          <w:szCs w:val="22"/>
        </w:rPr>
        <w:t xml:space="preserve"> comparte la idea de la clasificación de información realizada por </w:t>
      </w:r>
      <w:r>
        <w:rPr>
          <w:rFonts w:ascii="Palatino Linotype" w:hAnsi="Palatino Linotype" w:cs="Tahoma"/>
          <w:sz w:val="22"/>
          <w:szCs w:val="22"/>
        </w:rPr>
        <w:t xml:space="preserve">la Secretaría de Finanzas, pues los datos contenidos en el oficio </w:t>
      </w:r>
      <w:r w:rsidRPr="005E0748">
        <w:rPr>
          <w:rFonts w:ascii="Palatino Linotype" w:hAnsi="Palatino Linotype" w:cs="Tahoma"/>
          <w:sz w:val="22"/>
          <w:szCs w:val="22"/>
        </w:rPr>
        <w:t>20703001050100L/4221/2024</w:t>
      </w:r>
      <w:r>
        <w:rPr>
          <w:rFonts w:ascii="Palatino Linotype" w:hAnsi="Palatino Linotype" w:cs="Tahoma"/>
          <w:sz w:val="22"/>
          <w:szCs w:val="22"/>
        </w:rPr>
        <w:t xml:space="preserve"> emitido por la Subdirectora de Coordinación Operativa, </w:t>
      </w:r>
      <w:r w:rsidRPr="005E0748">
        <w:rPr>
          <w:rFonts w:ascii="Palatino Linotype" w:hAnsi="Palatino Linotype" w:cs="Tahoma"/>
          <w:sz w:val="22"/>
          <w:szCs w:val="22"/>
        </w:rPr>
        <w:t>forman parte de vehículos de carácter particular, esto es, de personas que nada tienen que ver con el servicio público o alguna institución</w:t>
      </w:r>
      <w:r>
        <w:rPr>
          <w:rFonts w:ascii="Palatino Linotype" w:hAnsi="Palatino Linotype" w:cs="Tahoma"/>
          <w:sz w:val="22"/>
          <w:szCs w:val="22"/>
        </w:rPr>
        <w:t>, es decir, se trata de información privada que atañe únicamente a las o los particulares que realizan dicho registro ante el Sujeto Obligado</w:t>
      </w:r>
      <w:r w:rsidR="00B10508">
        <w:rPr>
          <w:rFonts w:ascii="Palatino Linotype" w:hAnsi="Palatino Linotype" w:cs="Tahoma"/>
          <w:sz w:val="22"/>
          <w:szCs w:val="22"/>
        </w:rPr>
        <w:t xml:space="preserve">, tal como ha quedado precisado en líneas que anteceden, pues </w:t>
      </w:r>
      <w:r w:rsidR="00B10508" w:rsidRPr="009A03F4">
        <w:rPr>
          <w:rFonts w:ascii="Palatino Linotype" w:hAnsi="Palatino Linotype" w:cs="Tahoma"/>
          <w:bCs/>
          <w:iCs/>
          <w:sz w:val="22"/>
          <w:szCs w:val="22"/>
        </w:rPr>
        <w:t>la Dirección del Registro Estatal de Vehículos junto con el Departamento de Control Vehicular</w:t>
      </w:r>
      <w:r w:rsidR="00B10508">
        <w:rPr>
          <w:rFonts w:ascii="Palatino Linotype" w:hAnsi="Palatino Linotype" w:cs="Tahoma"/>
          <w:bCs/>
          <w:iCs/>
          <w:sz w:val="22"/>
          <w:szCs w:val="22"/>
        </w:rPr>
        <w:t>,</w:t>
      </w:r>
      <w:r w:rsidR="00B10508" w:rsidRPr="009A03F4">
        <w:rPr>
          <w:rFonts w:ascii="Palatino Linotype" w:hAnsi="Palatino Linotype" w:cs="Tahoma"/>
          <w:bCs/>
          <w:iCs/>
          <w:sz w:val="22"/>
          <w:szCs w:val="22"/>
        </w:rPr>
        <w:t xml:space="preserve"> son las áreas encargadas de controlar el Registro Estatal de Vehículos, así, dicho Registro se compone de las placas de matriculación, calcomanías, tarjetas de circulación y demás elementos de identificación de los vehículos automotores destinados a transporte de carga, </w:t>
      </w:r>
      <w:r w:rsidR="00B10508" w:rsidRPr="00B10508">
        <w:rPr>
          <w:rFonts w:ascii="Palatino Linotype" w:hAnsi="Palatino Linotype" w:cs="Tahoma"/>
          <w:b/>
          <w:bCs/>
          <w:iCs/>
          <w:sz w:val="22"/>
          <w:szCs w:val="22"/>
        </w:rPr>
        <w:t>de uso particular</w:t>
      </w:r>
      <w:r w:rsidR="00B10508" w:rsidRPr="009A03F4">
        <w:rPr>
          <w:rFonts w:ascii="Palatino Linotype" w:hAnsi="Palatino Linotype" w:cs="Tahoma"/>
          <w:bCs/>
          <w:iCs/>
          <w:sz w:val="22"/>
          <w:szCs w:val="22"/>
        </w:rPr>
        <w:t xml:space="preserve"> y comercial</w:t>
      </w:r>
      <w:r w:rsidR="00B10508">
        <w:rPr>
          <w:rFonts w:ascii="Palatino Linotype" w:hAnsi="Palatino Linotype" w:cs="Tahoma"/>
          <w:bCs/>
          <w:iCs/>
          <w:sz w:val="22"/>
          <w:szCs w:val="22"/>
        </w:rPr>
        <w:t>.</w:t>
      </w:r>
    </w:p>
    <w:p w14:paraId="172B8788" w14:textId="77777777" w:rsidR="005E0748" w:rsidRDefault="005E0748" w:rsidP="00FA4949">
      <w:pPr>
        <w:spacing w:line="360" w:lineRule="auto"/>
        <w:ind w:right="-93"/>
        <w:jc w:val="both"/>
        <w:rPr>
          <w:rFonts w:ascii="Palatino Linotype" w:hAnsi="Palatino Linotype" w:cs="Tahoma"/>
          <w:sz w:val="22"/>
          <w:szCs w:val="22"/>
        </w:rPr>
      </w:pPr>
    </w:p>
    <w:p w14:paraId="2C338D74" w14:textId="360E01D1" w:rsidR="006756FB" w:rsidRPr="009A666F" w:rsidRDefault="0013472B" w:rsidP="00B10508">
      <w:pPr>
        <w:spacing w:line="360" w:lineRule="auto"/>
        <w:ind w:right="-93"/>
        <w:jc w:val="both"/>
        <w:rPr>
          <w:rFonts w:ascii="Palatino Linotype" w:eastAsia="Calibri" w:hAnsi="Palatino Linotype"/>
          <w:color w:val="000000"/>
          <w:szCs w:val="22"/>
          <w:lang w:eastAsia="en-US"/>
        </w:rPr>
      </w:pPr>
      <w:r>
        <w:rPr>
          <w:rFonts w:ascii="Palatino Linotype" w:hAnsi="Palatino Linotype" w:cs="Tahoma"/>
          <w:sz w:val="22"/>
          <w:szCs w:val="22"/>
        </w:rPr>
        <w:t>No obstante a lo anterior</w:t>
      </w:r>
      <w:r w:rsidR="00FA4949">
        <w:rPr>
          <w:rFonts w:ascii="Palatino Linotype" w:hAnsi="Palatino Linotype" w:cs="Tahoma"/>
          <w:sz w:val="22"/>
          <w:szCs w:val="22"/>
        </w:rPr>
        <w:t xml:space="preserve">, </w:t>
      </w:r>
      <w:r w:rsidR="00FA4949" w:rsidRPr="00FA4949">
        <w:rPr>
          <w:rFonts w:ascii="Palatino Linotype" w:hAnsi="Palatino Linotype" w:cs="Tahoma"/>
          <w:sz w:val="22"/>
          <w:szCs w:val="22"/>
        </w:rPr>
        <w:t>este Instituto realizó un análisis a los documentos proporcionados por el Sujeto Obligado, en los cuales se advierte</w:t>
      </w:r>
      <w:r w:rsidR="00FA4949">
        <w:rPr>
          <w:rFonts w:ascii="Palatino Linotype" w:hAnsi="Palatino Linotype" w:cs="Tahoma"/>
          <w:sz w:val="22"/>
          <w:szCs w:val="22"/>
        </w:rPr>
        <w:t xml:space="preserve"> que corresponde</w:t>
      </w:r>
      <w:r w:rsidR="00FA4949" w:rsidRPr="00FA4949">
        <w:rPr>
          <w:rFonts w:ascii="Palatino Linotype" w:hAnsi="Palatino Linotype" w:cs="Tahoma"/>
          <w:sz w:val="22"/>
          <w:szCs w:val="22"/>
        </w:rPr>
        <w:t xml:space="preserve"> con lo solic</w:t>
      </w:r>
      <w:r w:rsidR="00FA4949">
        <w:rPr>
          <w:rFonts w:ascii="Palatino Linotype" w:hAnsi="Palatino Linotype" w:cs="Tahoma"/>
          <w:sz w:val="22"/>
          <w:szCs w:val="22"/>
        </w:rPr>
        <w:t>i</w:t>
      </w:r>
      <w:r>
        <w:rPr>
          <w:rFonts w:ascii="Palatino Linotype" w:hAnsi="Palatino Linotype" w:cs="Tahoma"/>
          <w:sz w:val="22"/>
          <w:szCs w:val="22"/>
        </w:rPr>
        <w:t xml:space="preserve">tado por la persona Recurrente. </w:t>
      </w:r>
      <w:r w:rsidR="00FA4949">
        <w:rPr>
          <w:rFonts w:ascii="Palatino Linotype" w:hAnsi="Palatino Linotype" w:cs="Tahoma"/>
          <w:sz w:val="22"/>
          <w:szCs w:val="22"/>
        </w:rPr>
        <w:t xml:space="preserve">No </w:t>
      </w:r>
      <w:r>
        <w:rPr>
          <w:rFonts w:ascii="Palatino Linotype" w:hAnsi="Palatino Linotype" w:cs="Tahoma"/>
          <w:sz w:val="22"/>
          <w:szCs w:val="22"/>
        </w:rPr>
        <w:t>se omite mencionar</w:t>
      </w:r>
      <w:r w:rsidR="00FA4949" w:rsidRPr="00FA4949">
        <w:rPr>
          <w:rFonts w:ascii="Palatino Linotype" w:hAnsi="Palatino Linotype" w:cs="Tahoma"/>
          <w:sz w:val="22"/>
          <w:szCs w:val="22"/>
        </w:rPr>
        <w:t>,</w:t>
      </w:r>
      <w:r>
        <w:rPr>
          <w:rFonts w:ascii="Palatino Linotype" w:hAnsi="Palatino Linotype" w:cs="Tahoma"/>
          <w:sz w:val="22"/>
          <w:szCs w:val="22"/>
        </w:rPr>
        <w:t xml:space="preserve"> que</w:t>
      </w:r>
      <w:r w:rsidR="00FA4949" w:rsidRPr="00FA4949">
        <w:rPr>
          <w:rFonts w:ascii="Palatino Linotype" w:hAnsi="Palatino Linotype" w:cs="Tahoma"/>
          <w:sz w:val="22"/>
          <w:szCs w:val="22"/>
        </w:rPr>
        <w:t xml:space="preserve"> se entregaron </w:t>
      </w:r>
      <w:r w:rsidR="00FA4949" w:rsidRPr="0013472B">
        <w:rPr>
          <w:rFonts w:ascii="Palatino Linotype" w:hAnsi="Palatino Linotype" w:cs="Tahoma"/>
          <w:sz w:val="22"/>
          <w:szCs w:val="22"/>
        </w:rPr>
        <w:t>en versión pública</w:t>
      </w:r>
      <w:r w:rsidR="00FA4949" w:rsidRPr="00FA4949">
        <w:rPr>
          <w:rFonts w:ascii="Palatino Linotype" w:hAnsi="Palatino Linotype" w:cs="Tahoma"/>
          <w:sz w:val="22"/>
          <w:szCs w:val="22"/>
        </w:rPr>
        <w:t>,</w:t>
      </w:r>
      <w:r w:rsidR="005C00A2">
        <w:rPr>
          <w:rFonts w:ascii="Palatino Linotype" w:hAnsi="Palatino Linotype" w:cs="Tahoma"/>
          <w:sz w:val="22"/>
          <w:szCs w:val="22"/>
        </w:rPr>
        <w:t xml:space="preserve"> junto con su respectivo </w:t>
      </w:r>
      <w:r w:rsidR="005C00A2" w:rsidRPr="005C00A2">
        <w:rPr>
          <w:rFonts w:ascii="Palatino Linotype" w:hAnsi="Palatino Linotype" w:cs="Tahoma"/>
          <w:sz w:val="22"/>
          <w:szCs w:val="22"/>
        </w:rPr>
        <w:t xml:space="preserve">Acuerdo </w:t>
      </w:r>
      <w:r w:rsidR="005C00A2">
        <w:rPr>
          <w:rFonts w:ascii="Palatino Linotype" w:hAnsi="Palatino Linotype" w:cs="Tahoma"/>
          <w:sz w:val="22"/>
          <w:szCs w:val="22"/>
        </w:rPr>
        <w:t xml:space="preserve">número </w:t>
      </w:r>
      <w:r w:rsidR="005C00A2" w:rsidRPr="005C00A2">
        <w:rPr>
          <w:rFonts w:ascii="Palatino Linotype" w:hAnsi="Palatino Linotype" w:cs="Tahoma"/>
          <w:sz w:val="22"/>
          <w:szCs w:val="22"/>
        </w:rPr>
        <w:t>CT-2024-221, emitido por el Comité de Transparencia, en fecha veintiocho de octubre de dos mil veinticuatro, a través del cual se confirmó la clasificación de la información como confidencial del oficio 20703001050100L/4221/2024 y sus anexos</w:t>
      </w:r>
      <w:r w:rsidR="005C00A2">
        <w:rPr>
          <w:rFonts w:ascii="Palatino Linotype" w:hAnsi="Palatino Linotype" w:cs="Tahoma"/>
          <w:sz w:val="22"/>
          <w:szCs w:val="22"/>
        </w:rPr>
        <w:t>,</w:t>
      </w:r>
      <w:r w:rsidR="00FA4949" w:rsidRPr="00FA4949">
        <w:rPr>
          <w:rFonts w:ascii="Palatino Linotype" w:hAnsi="Palatino Linotype" w:cs="Tahoma"/>
          <w:sz w:val="22"/>
          <w:szCs w:val="22"/>
        </w:rPr>
        <w:t xml:space="preserve"> en la que</w:t>
      </w:r>
      <w:r w:rsidR="005E0748">
        <w:rPr>
          <w:rFonts w:ascii="Palatino Linotype" w:hAnsi="Palatino Linotype" w:cs="Tahoma"/>
          <w:sz w:val="22"/>
          <w:szCs w:val="22"/>
        </w:rPr>
        <w:t xml:space="preserve"> si bien</w:t>
      </w:r>
      <w:r w:rsidR="005C00A2">
        <w:rPr>
          <w:rFonts w:ascii="Palatino Linotype" w:hAnsi="Palatino Linotype" w:cs="Tahoma"/>
          <w:sz w:val="22"/>
          <w:szCs w:val="22"/>
        </w:rPr>
        <w:t>,</w:t>
      </w:r>
      <w:r w:rsidR="005E0748">
        <w:rPr>
          <w:rFonts w:ascii="Palatino Linotype" w:hAnsi="Palatino Linotype" w:cs="Tahoma"/>
          <w:sz w:val="22"/>
          <w:szCs w:val="22"/>
        </w:rPr>
        <w:t xml:space="preserve"> se testaron datos de naturaleza confidencial como lo es el RFC, placas, series, adeudos e importe de tenencia, </w:t>
      </w:r>
      <w:r w:rsidR="00B10508">
        <w:rPr>
          <w:rFonts w:ascii="Palatino Linotype" w:hAnsi="Palatino Linotype" w:cs="Tahoma"/>
          <w:sz w:val="22"/>
          <w:szCs w:val="22"/>
        </w:rPr>
        <w:t xml:space="preserve">números de </w:t>
      </w:r>
      <w:r w:rsidR="005E0748">
        <w:rPr>
          <w:rFonts w:ascii="Palatino Linotype" w:hAnsi="Palatino Linotype" w:cs="Tahoma"/>
          <w:sz w:val="22"/>
          <w:szCs w:val="22"/>
        </w:rPr>
        <w:t>tarjeta</w:t>
      </w:r>
      <w:r w:rsidR="00B10508">
        <w:rPr>
          <w:rFonts w:ascii="Palatino Linotype" w:hAnsi="Palatino Linotype" w:cs="Tahoma"/>
          <w:sz w:val="22"/>
          <w:szCs w:val="22"/>
        </w:rPr>
        <w:t>s</w:t>
      </w:r>
      <w:r w:rsidR="005E0748">
        <w:rPr>
          <w:rFonts w:ascii="Palatino Linotype" w:hAnsi="Palatino Linotype" w:cs="Tahoma"/>
          <w:sz w:val="22"/>
          <w:szCs w:val="22"/>
        </w:rPr>
        <w:t xml:space="preserve"> de circulación y </w:t>
      </w:r>
      <w:r w:rsidR="00B10508">
        <w:rPr>
          <w:rFonts w:ascii="Palatino Linotype" w:hAnsi="Palatino Linotype" w:cs="Tahoma"/>
          <w:sz w:val="22"/>
          <w:szCs w:val="22"/>
        </w:rPr>
        <w:t>domicilios, todos referentes</w:t>
      </w:r>
      <w:r w:rsidR="005E0748">
        <w:rPr>
          <w:rFonts w:ascii="Palatino Linotype" w:hAnsi="Palatino Linotype" w:cs="Tahoma"/>
          <w:sz w:val="22"/>
          <w:szCs w:val="22"/>
        </w:rPr>
        <w:t xml:space="preserve"> a personas particulares</w:t>
      </w:r>
      <w:r>
        <w:rPr>
          <w:rFonts w:ascii="Palatino Linotype" w:hAnsi="Palatino Linotype" w:cs="Tahoma"/>
          <w:sz w:val="22"/>
          <w:szCs w:val="22"/>
        </w:rPr>
        <w:t xml:space="preserve">, también lo es, que se </w:t>
      </w:r>
      <w:r w:rsidR="005E0748">
        <w:rPr>
          <w:rFonts w:ascii="Palatino Linotype" w:hAnsi="Palatino Linotype" w:cs="Tahoma"/>
          <w:sz w:val="22"/>
          <w:szCs w:val="22"/>
        </w:rPr>
        <w:t xml:space="preserve">dejaron visibles </w:t>
      </w:r>
      <w:r w:rsidR="00B10508">
        <w:rPr>
          <w:rFonts w:ascii="Palatino Linotype" w:hAnsi="Palatino Linotype" w:cs="Tahoma"/>
          <w:sz w:val="22"/>
          <w:szCs w:val="22"/>
        </w:rPr>
        <w:t>los</w:t>
      </w:r>
      <w:r w:rsidR="005E0748">
        <w:rPr>
          <w:rFonts w:ascii="Palatino Linotype" w:hAnsi="Palatino Linotype" w:cs="Tahoma"/>
          <w:sz w:val="22"/>
          <w:szCs w:val="22"/>
        </w:rPr>
        <w:t xml:space="preserve"> nombre de tres personas </w:t>
      </w:r>
      <w:r w:rsidR="00B10508">
        <w:rPr>
          <w:rFonts w:ascii="Palatino Linotype" w:hAnsi="Palatino Linotype" w:cs="Tahoma"/>
          <w:sz w:val="22"/>
          <w:szCs w:val="22"/>
        </w:rPr>
        <w:t>particulares</w:t>
      </w:r>
      <w:r w:rsidR="00FA4949" w:rsidRPr="00FA4949">
        <w:rPr>
          <w:rFonts w:ascii="Palatino Linotype" w:hAnsi="Palatino Linotype" w:cs="Tahoma"/>
          <w:sz w:val="22"/>
          <w:szCs w:val="22"/>
        </w:rPr>
        <w:t xml:space="preserve">. </w:t>
      </w:r>
    </w:p>
    <w:p w14:paraId="257E805A" w14:textId="77777777" w:rsidR="006756FB" w:rsidRPr="00F6431D" w:rsidRDefault="006756FB" w:rsidP="00F6431D">
      <w:pPr>
        <w:tabs>
          <w:tab w:val="left" w:pos="4962"/>
        </w:tabs>
        <w:spacing w:line="360" w:lineRule="auto"/>
        <w:contextualSpacing/>
        <w:jc w:val="both"/>
        <w:rPr>
          <w:rFonts w:ascii="Palatino Linotype" w:eastAsia="Calibri" w:hAnsi="Palatino Linotype"/>
          <w:color w:val="000000"/>
          <w:sz w:val="22"/>
          <w:szCs w:val="22"/>
          <w:lang w:eastAsia="en-US"/>
        </w:rPr>
      </w:pPr>
    </w:p>
    <w:p w14:paraId="23C17D8D" w14:textId="59B0F6FF" w:rsidR="006B5870" w:rsidRPr="00F6431D" w:rsidRDefault="006756FB" w:rsidP="00F6431D">
      <w:pPr>
        <w:tabs>
          <w:tab w:val="left" w:pos="4962"/>
        </w:tabs>
        <w:spacing w:line="360" w:lineRule="auto"/>
        <w:contextualSpacing/>
        <w:jc w:val="both"/>
        <w:rPr>
          <w:rFonts w:ascii="Palatino Linotype" w:hAnsi="Palatino Linotype" w:cs="Tahoma"/>
          <w:bCs/>
          <w:iCs/>
          <w:sz w:val="22"/>
          <w:szCs w:val="22"/>
          <w:lang w:eastAsia="es-MX"/>
        </w:rPr>
      </w:pPr>
      <w:r w:rsidRPr="00F6431D">
        <w:rPr>
          <w:rFonts w:ascii="Palatino Linotype" w:eastAsia="Calibri" w:hAnsi="Palatino Linotype"/>
          <w:color w:val="000000"/>
          <w:sz w:val="22"/>
          <w:szCs w:val="22"/>
          <w:lang w:eastAsia="en-US"/>
        </w:rPr>
        <w:t xml:space="preserve">En </w:t>
      </w:r>
      <w:r w:rsidR="006B5870" w:rsidRPr="00F6431D">
        <w:rPr>
          <w:rFonts w:ascii="Palatino Linotype" w:hAnsi="Palatino Linotype" w:cs="Tahoma"/>
          <w:bCs/>
          <w:iCs/>
          <w:sz w:val="22"/>
          <w:szCs w:val="22"/>
          <w:lang w:eastAsia="es-MX"/>
        </w:rPr>
        <w:t xml:space="preserve">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w:t>
      </w:r>
      <w:r w:rsidR="006B5870" w:rsidRPr="00F6431D">
        <w:rPr>
          <w:rFonts w:ascii="Palatino Linotype" w:hAnsi="Palatino Linotype" w:cs="Tahoma"/>
          <w:bCs/>
          <w:iCs/>
          <w:sz w:val="22"/>
          <w:szCs w:val="22"/>
          <w:lang w:eastAsia="es-MX"/>
        </w:rPr>
        <w:lastRenderedPageBreak/>
        <w:t>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0FA3D9F"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2B1AEDD5"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4322BB87"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2680F7E5"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CB2DB77"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349A44D0"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D4EBE93"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70F1CD2A"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758B434"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7105F0C0"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 xml:space="preserve">Asimismo, el artículo 145 de la Ley de Transparencia y Acceso a la Información Pública del Estado de México y Municipios, prevé que para que los Sujetos Obligados puedan permitir </w:t>
      </w:r>
      <w:r w:rsidRPr="00F6431D">
        <w:rPr>
          <w:rFonts w:ascii="Palatino Linotype" w:hAnsi="Palatino Linotype" w:cs="Tahoma"/>
          <w:bCs/>
          <w:iCs/>
          <w:sz w:val="22"/>
          <w:szCs w:val="22"/>
          <w:lang w:eastAsia="es-MX"/>
        </w:rPr>
        <w:lastRenderedPageBreak/>
        <w:t>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BF1E8FE"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5A8419D6"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En términos de lo expuesto, la documentación y aquellos datos que se consideren confidenciales, serán una limitante del derecho de acceso a la información, siempre y cuando:</w:t>
      </w:r>
    </w:p>
    <w:p w14:paraId="18DFFE1C"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64244A11" w14:textId="77777777" w:rsidR="006B5870" w:rsidRPr="00F6431D" w:rsidRDefault="006B5870" w:rsidP="00F6431D">
      <w:pPr>
        <w:numPr>
          <w:ilvl w:val="0"/>
          <w:numId w:val="2"/>
        </w:num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 xml:space="preserve">Se trate de datos personales o información privada; esto es, información concerniente a una persona física o jurídico colectiva y que esta sea identificada o identificable. </w:t>
      </w:r>
    </w:p>
    <w:p w14:paraId="5F3A5C78" w14:textId="77777777" w:rsidR="006B5870" w:rsidRPr="00F6431D" w:rsidRDefault="006B5870" w:rsidP="00F6431D">
      <w:pPr>
        <w:numPr>
          <w:ilvl w:val="0"/>
          <w:numId w:val="2"/>
        </w:num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 xml:space="preserve">Para la difusión de los datos, se requiera el consentimiento del titular. </w:t>
      </w:r>
    </w:p>
    <w:p w14:paraId="5CFA4FD1"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09D4F82B"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A414B08"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45E861B3"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Además, en el artículo 5° de dicho ordenamiento jurídico, establece que es la Ley aplicable para todo tratamiento de datos personales.</w:t>
      </w:r>
    </w:p>
    <w:p w14:paraId="2E3C3ACE"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lastRenderedPageBreak/>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7A8B9E4"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7EF03D7C"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6173C032"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3CD88203" w14:textId="4FF394AF"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r w:rsidR="00154535">
        <w:rPr>
          <w:rFonts w:ascii="Palatino Linotype" w:hAnsi="Palatino Linotype" w:cs="Tahoma"/>
          <w:bCs/>
          <w:iCs/>
          <w:sz w:val="22"/>
          <w:szCs w:val="22"/>
          <w:lang w:eastAsia="es-MX"/>
        </w:rPr>
        <w:t xml:space="preserve"> </w:t>
      </w:r>
      <w:r w:rsidRPr="00F6431D">
        <w:rPr>
          <w:rFonts w:ascii="Palatino Linotype" w:hAnsi="Palatino Linotype" w:cs="Tahoma"/>
          <w:bCs/>
          <w:iCs/>
          <w:sz w:val="22"/>
          <w:szCs w:val="22"/>
          <w:lang w:eastAsia="es-MX"/>
        </w:rPr>
        <w:t>De tal suerte, las instituciones públicas tienen la doble responsabilidad, por un lado, de proteger los datos personales y por otro, darles publicidad cuando la relevancia de esos datos sea de interés público.</w:t>
      </w:r>
    </w:p>
    <w:p w14:paraId="590090BE"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05BDB932"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 xml:space="preserve">En este orden de ideas, toda la información que transparente la gestión pública, favorezca la rendición de cuentas y contribuya a la democratización del Estado Mexicano es, sin </w:t>
      </w:r>
      <w:r w:rsidRPr="00F6431D">
        <w:rPr>
          <w:rFonts w:ascii="Palatino Linotype" w:hAnsi="Palatino Linotype" w:cs="Tahoma"/>
          <w:bCs/>
          <w:iCs/>
          <w:sz w:val="22"/>
          <w:szCs w:val="22"/>
          <w:lang w:eastAsia="es-MX"/>
        </w:rPr>
        <w:lastRenderedPageBreak/>
        <w:t>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A76636B"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0AD0D8D1" w14:textId="77777777" w:rsidR="006B5870" w:rsidRPr="00F6431D"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091A6E58" w14:textId="77777777" w:rsidR="006B5870" w:rsidRPr="00F6431D" w:rsidRDefault="006B5870" w:rsidP="00F6431D">
      <w:pPr>
        <w:spacing w:line="360" w:lineRule="auto"/>
        <w:jc w:val="both"/>
        <w:rPr>
          <w:rFonts w:ascii="Palatino Linotype" w:hAnsi="Palatino Linotype" w:cs="Tahoma"/>
          <w:bCs/>
          <w:iCs/>
          <w:sz w:val="22"/>
          <w:szCs w:val="22"/>
          <w:lang w:eastAsia="es-MX"/>
        </w:rPr>
      </w:pPr>
    </w:p>
    <w:p w14:paraId="5607E415" w14:textId="77777777" w:rsidR="006B5870" w:rsidRDefault="006B5870" w:rsidP="00F6431D">
      <w:pPr>
        <w:spacing w:line="360" w:lineRule="auto"/>
        <w:jc w:val="both"/>
        <w:rPr>
          <w:rFonts w:ascii="Palatino Linotype" w:hAnsi="Palatino Linotype" w:cs="Tahoma"/>
          <w:bCs/>
          <w:iCs/>
          <w:sz w:val="22"/>
          <w:szCs w:val="22"/>
          <w:lang w:eastAsia="es-MX"/>
        </w:rPr>
      </w:pPr>
      <w:r w:rsidRPr="00F6431D">
        <w:rPr>
          <w:rFonts w:ascii="Palatino Linotype" w:hAnsi="Palatino Linotype" w:cs="Tahoma"/>
          <w:bCs/>
          <w:iCs/>
          <w:sz w:val="22"/>
          <w:szCs w:val="22"/>
          <w:lang w:eastAsia="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3938FC43" w14:textId="77777777" w:rsidR="009A666F" w:rsidRDefault="009A666F" w:rsidP="00F6431D">
      <w:pPr>
        <w:spacing w:line="360" w:lineRule="auto"/>
        <w:jc w:val="both"/>
        <w:rPr>
          <w:rFonts w:ascii="Palatino Linotype" w:hAnsi="Palatino Linotype" w:cs="Tahoma"/>
          <w:bCs/>
          <w:iCs/>
          <w:sz w:val="22"/>
          <w:szCs w:val="22"/>
          <w:lang w:eastAsia="es-MX"/>
        </w:rPr>
      </w:pPr>
    </w:p>
    <w:p w14:paraId="2184D481" w14:textId="77777777" w:rsidR="009A666F" w:rsidRPr="009A666F" w:rsidRDefault="009A666F" w:rsidP="009A666F">
      <w:pPr>
        <w:numPr>
          <w:ilvl w:val="0"/>
          <w:numId w:val="10"/>
        </w:numPr>
        <w:spacing w:line="360" w:lineRule="auto"/>
        <w:contextualSpacing/>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
          <w:bCs/>
          <w:color w:val="000000"/>
          <w:sz w:val="22"/>
          <w:szCs w:val="22"/>
          <w:lang w:eastAsia="en-US"/>
        </w:rPr>
        <w:lastRenderedPageBreak/>
        <w:t xml:space="preserve">Número de placas vehiculares de Particulares en el registro vehicular. </w:t>
      </w:r>
    </w:p>
    <w:p w14:paraId="7FD92AFB" w14:textId="77777777" w:rsidR="009A666F" w:rsidRPr="009A666F" w:rsidRDefault="009A666F" w:rsidP="009A666F">
      <w:pPr>
        <w:spacing w:line="360" w:lineRule="auto"/>
        <w:ind w:left="720"/>
        <w:contextualSpacing/>
        <w:jc w:val="both"/>
        <w:rPr>
          <w:rFonts w:ascii="Palatino Linotype" w:eastAsia="Calibri" w:hAnsi="Palatino Linotype" w:cs="Tahoma"/>
          <w:bCs/>
          <w:color w:val="000000"/>
          <w:sz w:val="22"/>
          <w:szCs w:val="22"/>
          <w:lang w:eastAsia="en-US"/>
        </w:rPr>
      </w:pPr>
    </w:p>
    <w:p w14:paraId="4952E262"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 xml:space="preserve">El número de placas vehiculares que se encuentra constituido por caracteres; es decir, por números y letras que permite obtener un código alfanumérico único, que identifica a un vehículo automotor entre otros; y cuyo dato permite acceder a otros datos que individualizan al vehículo y son un medio para hacer identificable a su propietario; cabe precisar que para el caso que nos ocupa, el hoy Recurrente, pretende acceder a una base de datos en el que se registran todos los números de placas vehiculares de la Entidad, por lo que es procedente analizar si, esta información puede considerarse confidencial cuando se trata de particulares, en virtud de haberlo así indicado la Secretaría de Finanzas. </w:t>
      </w:r>
    </w:p>
    <w:p w14:paraId="0BC3A58B"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6BB27419"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Se debe considerar que un vehículo automotor, forma parte del patrimonio de una persona, por lo que esto corresponde a aspectos patrimoniales de las personas físicas; por lo que, si bien</w:t>
      </w:r>
      <w:r w:rsidRPr="009A666F">
        <w:rPr>
          <w:rFonts w:ascii="Palatino Linotype" w:eastAsia="Calibri" w:hAnsi="Palatino Linotype" w:cs="Palatino Linotype"/>
          <w:color w:val="000000"/>
          <w:sz w:val="22"/>
          <w:szCs w:val="22"/>
          <w:lang w:eastAsia="en-US"/>
        </w:rPr>
        <w:t xml:space="preserve"> </w:t>
      </w:r>
      <w:r w:rsidRPr="009A666F">
        <w:rPr>
          <w:rFonts w:ascii="Palatino Linotype" w:eastAsia="Calibri" w:hAnsi="Palatino Linotype" w:cs="Tahoma"/>
          <w:bCs/>
          <w:color w:val="000000"/>
          <w:sz w:val="22"/>
          <w:szCs w:val="22"/>
          <w:lang w:eastAsia="en-US"/>
        </w:rPr>
        <w:t xml:space="preserve">el número de placa por sí sólo pudiera considerarse que no hace identificable el patrimonio de una persona, es importante hacer mención que con esfuerzos mínimos este dato sí hace identificado e identificable a si titular. En efecto, el número de placas es un dato que puede ser ingresado a diversos sitios de </w:t>
      </w:r>
      <w:r w:rsidRPr="009A666F">
        <w:rPr>
          <w:rFonts w:ascii="Palatino Linotype" w:eastAsia="Calibri" w:hAnsi="Palatino Linotype" w:cs="Tahoma"/>
          <w:bCs/>
          <w:i/>
          <w:iCs/>
          <w:color w:val="000000"/>
          <w:sz w:val="22"/>
          <w:szCs w:val="22"/>
          <w:lang w:eastAsia="en-US"/>
        </w:rPr>
        <w:t xml:space="preserve">Internet, </w:t>
      </w:r>
      <w:r w:rsidRPr="009A666F">
        <w:rPr>
          <w:rFonts w:ascii="Palatino Linotype" w:eastAsia="Calibri" w:hAnsi="Palatino Linotype" w:cs="Tahoma"/>
          <w:bCs/>
          <w:color w:val="000000"/>
          <w:sz w:val="22"/>
          <w:szCs w:val="22"/>
          <w:lang w:eastAsia="en-US"/>
        </w:rPr>
        <w:t>que son de libre acceso y que permiten conocer detalles del vehículo y en su caso, del propietario.</w:t>
      </w:r>
    </w:p>
    <w:p w14:paraId="381CE289"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472B7A8F"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 xml:space="preserve">Un ejemplo de estos sitios es el </w:t>
      </w:r>
      <w:r w:rsidRPr="009A666F">
        <w:rPr>
          <w:rFonts w:ascii="Palatino Linotype" w:eastAsia="Calibri" w:hAnsi="Palatino Linotype" w:cs="Tahoma"/>
          <w:b/>
          <w:bCs/>
          <w:color w:val="000000"/>
          <w:sz w:val="22"/>
          <w:szCs w:val="22"/>
          <w:lang w:eastAsia="en-US"/>
        </w:rPr>
        <w:t>Registro Público Vehicular (REPUVE)</w:t>
      </w:r>
      <w:r w:rsidRPr="009A666F">
        <w:rPr>
          <w:rFonts w:ascii="Palatino Linotype" w:eastAsia="Calibri" w:hAnsi="Palatino Linotype" w:cs="Tahoma"/>
          <w:bCs/>
          <w:color w:val="000000"/>
          <w:sz w:val="22"/>
          <w:szCs w:val="22"/>
          <w:lang w:eastAsia="en-US"/>
        </w:rPr>
        <w:t>, en el cual, únicamente es necesario ingresar un solo dato del vehículo, como puede ser, el número de placa y se puede obtener diversos datos, tales como la marca, modelo, año, clase, tipo, número de identificación vehicular, número de constancia de inscripción</w:t>
      </w:r>
      <w:r w:rsidRPr="009A666F">
        <w:rPr>
          <w:rFonts w:ascii="Palatino Linotype" w:eastAsia="Calibri" w:hAnsi="Palatino Linotype" w:cs="Tahoma"/>
          <w:b/>
          <w:bCs/>
          <w:color w:val="000000"/>
          <w:sz w:val="22"/>
          <w:szCs w:val="22"/>
          <w:lang w:eastAsia="en-US"/>
        </w:rPr>
        <w:t xml:space="preserve">, </w:t>
      </w:r>
      <w:r w:rsidRPr="009A666F">
        <w:rPr>
          <w:rFonts w:ascii="Palatino Linotype" w:eastAsia="Calibri" w:hAnsi="Palatino Linotype" w:cs="Tahoma"/>
          <w:bCs/>
          <w:color w:val="000000"/>
          <w:sz w:val="22"/>
          <w:szCs w:val="22"/>
          <w:lang w:eastAsia="en-US"/>
        </w:rPr>
        <w:t>placa, e incluso, si dicho auto fue robado o recuperado; o en su caso, si cuenta con reporte de robo.</w:t>
      </w:r>
    </w:p>
    <w:p w14:paraId="6A09A327"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0EC4FBE4"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 xml:space="preserve">Vale la pena mencionar, que de la exposición de motivos de la creación del </w:t>
      </w:r>
      <w:r w:rsidRPr="009A666F">
        <w:rPr>
          <w:rFonts w:ascii="Palatino Linotype" w:eastAsia="Calibri" w:hAnsi="Palatino Linotype" w:cs="Tahoma"/>
          <w:b/>
          <w:bCs/>
          <w:color w:val="000000"/>
          <w:sz w:val="22"/>
          <w:szCs w:val="22"/>
          <w:lang w:eastAsia="en-US"/>
        </w:rPr>
        <w:t>Registro Público Vehicular (REPUVE)</w:t>
      </w:r>
      <w:r w:rsidRPr="009A666F">
        <w:rPr>
          <w:rFonts w:ascii="Palatino Linotype" w:eastAsia="Calibri" w:hAnsi="Palatino Linotype" w:cs="Tahoma"/>
          <w:bCs/>
          <w:color w:val="000000"/>
          <w:sz w:val="22"/>
          <w:szCs w:val="22"/>
          <w:lang w:eastAsia="en-US"/>
        </w:rPr>
        <w:t xml:space="preserve">, destaca, que fue creado para recabar los datos de los automóviles con </w:t>
      </w:r>
      <w:r w:rsidRPr="009A666F">
        <w:rPr>
          <w:rFonts w:ascii="Palatino Linotype" w:eastAsia="Calibri" w:hAnsi="Palatino Linotype" w:cs="Tahoma"/>
          <w:bCs/>
          <w:color w:val="000000"/>
          <w:sz w:val="22"/>
          <w:szCs w:val="22"/>
          <w:lang w:eastAsia="en-US"/>
        </w:rPr>
        <w:lastRenderedPageBreak/>
        <w:t>el propósito de otorgar seguridad pública y jurídica a los actos que se realicen con vehículos, con el objeto de identificar y contar con un control vehicular; esto es así, ya que permite a quienes pretendan adquirir un vehículo usado verificar su procedencia y advertir si el vehículo cuenta con algún registro de robo; esto quiere decir, que permite obtener datos de un vehículo que se conoce y se identifica entre otros; lo que implica que el REPUVE, no se trata de un listado de registros, sino más bien, de un sistema que permite obtener información del vehículo una vez que se tiene identificado.</w:t>
      </w:r>
    </w:p>
    <w:p w14:paraId="360022CF"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3E4435E4" w14:textId="77777777" w:rsidR="009A666F" w:rsidRPr="009A666F" w:rsidRDefault="009A666F" w:rsidP="009A666F">
      <w:pPr>
        <w:spacing w:line="360" w:lineRule="auto"/>
        <w:jc w:val="both"/>
        <w:rPr>
          <w:rFonts w:ascii="Palatino Linotype" w:eastAsia="Calibri" w:hAnsi="Palatino Linotype" w:cs="Tahoma"/>
          <w:b/>
          <w:bCs/>
          <w:color w:val="000000"/>
          <w:sz w:val="22"/>
          <w:szCs w:val="22"/>
          <w:lang w:eastAsia="en-US"/>
        </w:rPr>
      </w:pPr>
      <w:r w:rsidRPr="009A666F">
        <w:rPr>
          <w:rFonts w:ascii="Palatino Linotype" w:eastAsia="Calibri" w:hAnsi="Palatino Linotype" w:cs="Tahoma"/>
          <w:bCs/>
          <w:color w:val="000000"/>
          <w:sz w:val="22"/>
          <w:szCs w:val="22"/>
          <w:lang w:eastAsia="en-US"/>
        </w:rPr>
        <w:t>Es de señalar, que el Instituto Nacional de Transparencia, Acceso a la Información y Protección de Datos Personales (INAI), emitió la resolución RRA 4815/2018 en el que determinó que “…</w:t>
      </w:r>
      <w:r w:rsidRPr="009A666F">
        <w:rPr>
          <w:rFonts w:ascii="Palatino Linotype" w:eastAsia="Calibri" w:hAnsi="Palatino Linotype" w:cs="Tahoma"/>
          <w:b/>
          <w:bCs/>
          <w:i/>
          <w:iCs/>
          <w:color w:val="000000"/>
          <w:sz w:val="22"/>
          <w:szCs w:val="22"/>
          <w:lang w:eastAsia="en-US"/>
        </w:rPr>
        <w:t>entregar al particular el número de placas de todos los vehículos registrados, así como su número de identificación vehicular, iría en contra del fin para el cual fueron recabados</w:t>
      </w:r>
      <w:r w:rsidRPr="009A666F">
        <w:rPr>
          <w:rFonts w:ascii="Palatino Linotype" w:eastAsia="Calibri" w:hAnsi="Palatino Linotype" w:cs="Tahoma"/>
          <w:b/>
          <w:bCs/>
          <w:color w:val="000000"/>
          <w:sz w:val="22"/>
          <w:szCs w:val="22"/>
          <w:lang w:eastAsia="en-US"/>
        </w:rPr>
        <w:t>.”</w:t>
      </w:r>
    </w:p>
    <w:p w14:paraId="59D44BBC" w14:textId="77777777" w:rsidR="009A666F" w:rsidRPr="009A666F" w:rsidRDefault="009A666F" w:rsidP="009A666F">
      <w:pPr>
        <w:spacing w:line="360" w:lineRule="auto"/>
        <w:jc w:val="both"/>
        <w:rPr>
          <w:rFonts w:ascii="Palatino Linotype" w:eastAsia="Calibri" w:hAnsi="Palatino Linotype" w:cs="Tahoma"/>
          <w:b/>
          <w:bCs/>
          <w:color w:val="000000"/>
          <w:sz w:val="22"/>
          <w:szCs w:val="22"/>
          <w:lang w:eastAsia="en-US"/>
        </w:rPr>
      </w:pPr>
    </w:p>
    <w:p w14:paraId="406A5851"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Esto resulta trascendental, ya que deja claro que la finalidad de esa base de datos no es que cualquier individuo tenga en su equipo personal una base de datos con toda la información de los autos registrados en el país, sino que, una persona que tiene interés particular en conocer si un auto usado cuanta o no con registro de robo o si está debidamente registrado, lo pueda hacer y para ello, requiere tener previamente el dato completo y correcto de las placas el auto.</w:t>
      </w:r>
    </w:p>
    <w:p w14:paraId="4ACB0047"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68D6905D"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 xml:space="preserve">Por otra parte, otro de los sitios en los que se puede obtener la información del vehículo y del propietario, es el </w:t>
      </w:r>
      <w:r w:rsidRPr="009A666F">
        <w:rPr>
          <w:rFonts w:ascii="Palatino Linotype" w:eastAsia="Calibri" w:hAnsi="Palatino Linotype" w:cs="Tahoma"/>
          <w:b/>
          <w:bCs/>
          <w:color w:val="000000"/>
          <w:sz w:val="22"/>
          <w:szCs w:val="22"/>
          <w:lang w:eastAsia="en-US"/>
        </w:rPr>
        <w:t>Portal de Servicios al Contribuyente del EDOMEX</w:t>
      </w:r>
      <w:r w:rsidRPr="009A666F">
        <w:rPr>
          <w:rFonts w:ascii="Palatino Linotype" w:eastAsia="Calibri" w:hAnsi="Palatino Linotype" w:cs="Tahoma"/>
          <w:bCs/>
          <w:color w:val="000000"/>
          <w:sz w:val="22"/>
          <w:szCs w:val="22"/>
          <w:lang w:eastAsia="en-US"/>
        </w:rPr>
        <w:t>; del cual, únicamente con ingresar el número de placa, se puede obtener el modelo, el tipo de vehículo, la clave vehicular, la fecha de factura, el importe de la factura y el detalle del pago de tenencia; a</w:t>
      </w:r>
      <w:r w:rsidRPr="009A666F">
        <w:rPr>
          <w:rFonts w:ascii="Palatino Linotype" w:eastAsia="Calibri" w:hAnsi="Palatino Linotype" w:cs="Tahoma"/>
          <w:bCs/>
          <w:color w:val="000000"/>
          <w:sz w:val="22"/>
          <w:szCs w:val="22"/>
          <w:u w:val="single"/>
          <w:lang w:eastAsia="en-US"/>
        </w:rPr>
        <w:t xml:space="preserve">unado a que sí el pago de la tenencia no está vigente y se genera el proceso del trámite de pago de tenencia; el cual no implica proporcionar otro dato más que el número </w:t>
      </w:r>
      <w:r w:rsidRPr="009A666F">
        <w:rPr>
          <w:rFonts w:ascii="Palatino Linotype" w:eastAsia="Calibri" w:hAnsi="Palatino Linotype" w:cs="Tahoma"/>
          <w:bCs/>
          <w:color w:val="000000"/>
          <w:sz w:val="22"/>
          <w:szCs w:val="22"/>
          <w:u w:val="single"/>
          <w:lang w:eastAsia="en-US"/>
        </w:rPr>
        <w:lastRenderedPageBreak/>
        <w:t>de placa; genera una antesala a la ficha de pago y muestra el Registro Federal de Contribuyentes (RFC) del propietario del vehículo</w:t>
      </w:r>
      <w:r w:rsidRPr="009A666F">
        <w:rPr>
          <w:rFonts w:ascii="Palatino Linotype" w:eastAsia="Calibri" w:hAnsi="Palatino Linotype" w:cs="Tahoma"/>
          <w:bCs/>
          <w:color w:val="000000"/>
          <w:sz w:val="22"/>
          <w:szCs w:val="22"/>
          <w:lang w:eastAsia="en-US"/>
        </w:rPr>
        <w:t>; lo cual corresponde a un dato personal confidencial; de conformidad con lo siguiente:</w:t>
      </w:r>
    </w:p>
    <w:p w14:paraId="0A6D2132" w14:textId="77777777" w:rsidR="009A666F" w:rsidRDefault="009A666F" w:rsidP="009A666F">
      <w:pPr>
        <w:spacing w:line="360" w:lineRule="auto"/>
        <w:jc w:val="both"/>
        <w:rPr>
          <w:rFonts w:ascii="Palatino Linotype" w:eastAsia="Calibri" w:hAnsi="Palatino Linotype" w:cs="Tahoma"/>
          <w:bCs/>
          <w:color w:val="000000"/>
          <w:sz w:val="22"/>
          <w:szCs w:val="22"/>
          <w:lang w:eastAsia="en-US"/>
        </w:rPr>
      </w:pPr>
    </w:p>
    <w:p w14:paraId="2AB03017" w14:textId="710BEEC6" w:rsidR="005164C8" w:rsidRPr="005164C8" w:rsidRDefault="005164C8" w:rsidP="005164C8">
      <w:pPr>
        <w:pStyle w:val="Prrafodelista"/>
        <w:numPr>
          <w:ilvl w:val="0"/>
          <w:numId w:val="12"/>
        </w:numPr>
        <w:spacing w:line="360" w:lineRule="auto"/>
        <w:jc w:val="both"/>
        <w:rPr>
          <w:rFonts w:ascii="Palatino Linotype" w:eastAsia="Calibri" w:hAnsi="Palatino Linotype" w:cs="Tahoma"/>
          <w:b/>
          <w:bCs/>
          <w:color w:val="000000"/>
          <w:szCs w:val="22"/>
          <w:lang w:eastAsia="en-US"/>
        </w:rPr>
      </w:pPr>
      <w:r w:rsidRPr="005164C8">
        <w:rPr>
          <w:rFonts w:ascii="Palatino Linotype" w:eastAsia="Calibri" w:hAnsi="Palatino Linotype" w:cs="Tahoma"/>
          <w:b/>
          <w:bCs/>
          <w:color w:val="000000"/>
          <w:szCs w:val="22"/>
          <w:lang w:eastAsia="en-US"/>
        </w:rPr>
        <w:t>Tarjeta de Circulación</w:t>
      </w:r>
    </w:p>
    <w:p w14:paraId="71D417DD" w14:textId="77777777" w:rsidR="005164C8" w:rsidRDefault="005164C8" w:rsidP="005164C8">
      <w:pPr>
        <w:spacing w:line="360" w:lineRule="auto"/>
        <w:jc w:val="both"/>
        <w:rPr>
          <w:rFonts w:ascii="Palatino Linotype" w:eastAsia="Calibri" w:hAnsi="Palatino Linotype" w:cs="Tahoma"/>
          <w:bCs/>
          <w:color w:val="000000"/>
          <w:szCs w:val="22"/>
          <w:lang w:eastAsia="en-US"/>
        </w:rPr>
      </w:pPr>
    </w:p>
    <w:p w14:paraId="31F895EF" w14:textId="25DADD4F" w:rsidR="005164C8" w:rsidRDefault="005164C8" w:rsidP="005164C8">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 xml:space="preserve">Al respecto, </w:t>
      </w:r>
      <w:r>
        <w:rPr>
          <w:rFonts w:ascii="Palatino Linotype" w:eastAsia="Calibri" w:hAnsi="Palatino Linotype" w:cs="Tahoma"/>
          <w:bCs/>
          <w:color w:val="000000"/>
          <w:sz w:val="22"/>
          <w:szCs w:val="22"/>
          <w:lang w:eastAsia="en-US"/>
        </w:rPr>
        <w:t xml:space="preserve">la tarjeta de circulación </w:t>
      </w:r>
      <w:r w:rsidRPr="005164C8">
        <w:rPr>
          <w:rFonts w:ascii="Palatino Linotype" w:eastAsia="Calibri" w:hAnsi="Palatino Linotype" w:cs="Tahoma"/>
          <w:bCs/>
          <w:color w:val="000000"/>
          <w:sz w:val="22"/>
          <w:szCs w:val="22"/>
          <w:lang w:eastAsia="en-US"/>
        </w:rPr>
        <w:t>es un documento oficial que autoriza a un vehículo a circular por las calles de México. Es un elemento obligatorio y de identificación vehicular que contiene información importante sobre el vehículo y su propietario</w:t>
      </w:r>
      <w:r w:rsidR="005C77B0">
        <w:rPr>
          <w:rFonts w:ascii="Palatino Linotype" w:eastAsia="Calibri" w:hAnsi="Palatino Linotype" w:cs="Tahoma"/>
          <w:bCs/>
          <w:color w:val="000000"/>
          <w:sz w:val="22"/>
          <w:szCs w:val="22"/>
          <w:lang w:eastAsia="en-US"/>
        </w:rPr>
        <w:t xml:space="preserve">, entre ella, el nombre de la persona, número de placas, tipo de automóvil, modelo, color, número de serie, </w:t>
      </w:r>
      <w:r w:rsidR="005C77B0" w:rsidRPr="005C77B0">
        <w:rPr>
          <w:rFonts w:ascii="Palatino Linotype" w:eastAsia="Calibri" w:hAnsi="Palatino Linotype" w:cs="Tahoma"/>
          <w:bCs/>
          <w:color w:val="000000"/>
          <w:sz w:val="22"/>
          <w:szCs w:val="22"/>
          <w:lang w:eastAsia="en-US"/>
        </w:rPr>
        <w:t>VIN o NIV (número de identificación vehicular)</w:t>
      </w:r>
      <w:r w:rsidR="005C77B0">
        <w:rPr>
          <w:rFonts w:ascii="Palatino Linotype" w:eastAsia="Calibri" w:hAnsi="Palatino Linotype" w:cs="Tahoma"/>
          <w:bCs/>
          <w:color w:val="000000"/>
          <w:sz w:val="22"/>
          <w:szCs w:val="22"/>
          <w:lang w:eastAsia="en-US"/>
        </w:rPr>
        <w:t xml:space="preserve">, tipo de combustible, número de cilindros, RFC, año de fabricación. </w:t>
      </w:r>
    </w:p>
    <w:p w14:paraId="5868D4BF" w14:textId="77777777" w:rsidR="005C77B0" w:rsidRDefault="005C77B0" w:rsidP="005164C8">
      <w:pPr>
        <w:spacing w:line="360" w:lineRule="auto"/>
        <w:jc w:val="both"/>
        <w:rPr>
          <w:rFonts w:ascii="Palatino Linotype" w:eastAsia="Calibri" w:hAnsi="Palatino Linotype" w:cs="Tahoma"/>
          <w:bCs/>
          <w:color w:val="000000"/>
          <w:sz w:val="22"/>
          <w:szCs w:val="22"/>
          <w:lang w:eastAsia="en-US"/>
        </w:rPr>
      </w:pPr>
    </w:p>
    <w:p w14:paraId="48B6944E" w14:textId="4905548F" w:rsidR="005C77B0" w:rsidRDefault="005C77B0" w:rsidP="005164C8">
      <w:pPr>
        <w:spacing w:line="360" w:lineRule="auto"/>
        <w:jc w:val="both"/>
        <w:rPr>
          <w:rFonts w:ascii="Palatino Linotype" w:eastAsia="Calibri" w:hAnsi="Palatino Linotype" w:cs="Tahoma"/>
          <w:bCs/>
          <w:color w:val="000000"/>
          <w:sz w:val="22"/>
          <w:szCs w:val="22"/>
          <w:lang w:eastAsia="en-US"/>
        </w:rPr>
      </w:pPr>
      <w:r>
        <w:rPr>
          <w:rFonts w:ascii="Palatino Linotype" w:eastAsia="Calibri" w:hAnsi="Palatino Linotype" w:cs="Tahoma"/>
          <w:bCs/>
          <w:color w:val="000000"/>
          <w:sz w:val="22"/>
          <w:szCs w:val="22"/>
          <w:lang w:eastAsia="en-US"/>
        </w:rPr>
        <w:t xml:space="preserve">Atento a lo anterior, la página de validación de autenticidad de Tarjetas de Circulación del Gobierno del Estado Libre y Soberano de México, en su portal </w:t>
      </w:r>
      <w:hyperlink r:id="rId10" w:history="1">
        <w:r w:rsidRPr="009931F9">
          <w:rPr>
            <w:rStyle w:val="Hipervnculo"/>
            <w:rFonts w:ascii="Palatino Linotype" w:eastAsia="Calibri" w:hAnsi="Palatino Linotype" w:cs="Tahoma"/>
            <w:bCs/>
            <w:sz w:val="22"/>
            <w:szCs w:val="22"/>
            <w:lang w:eastAsia="en-US"/>
          </w:rPr>
          <w:t>https://sfpya.edomexico.gob.mx/controlv/faces/ControlVehicular/Consultas/tarjetaCirculacion.xhtml</w:t>
        </w:r>
      </w:hyperlink>
      <w:r>
        <w:rPr>
          <w:rFonts w:ascii="Palatino Linotype" w:eastAsia="Calibri" w:hAnsi="Palatino Linotype" w:cs="Tahoma"/>
          <w:bCs/>
          <w:color w:val="000000"/>
          <w:sz w:val="22"/>
          <w:szCs w:val="22"/>
          <w:lang w:eastAsia="en-US"/>
        </w:rPr>
        <w:t xml:space="preserve"> señala, lo siguiente:</w:t>
      </w:r>
    </w:p>
    <w:p w14:paraId="6C89CF02" w14:textId="77777777" w:rsidR="005C77B0" w:rsidRDefault="005C77B0" w:rsidP="005164C8">
      <w:pPr>
        <w:spacing w:line="360" w:lineRule="auto"/>
        <w:jc w:val="both"/>
        <w:rPr>
          <w:rFonts w:ascii="Palatino Linotype" w:eastAsia="Calibri" w:hAnsi="Palatino Linotype" w:cs="Tahoma"/>
          <w:bCs/>
          <w:color w:val="000000"/>
          <w:sz w:val="22"/>
          <w:szCs w:val="22"/>
          <w:lang w:eastAsia="en-US"/>
        </w:rPr>
      </w:pPr>
    </w:p>
    <w:p w14:paraId="7DD7707D" w14:textId="3A315FC3" w:rsidR="005C77B0" w:rsidRDefault="005C77B0" w:rsidP="005C77B0">
      <w:pPr>
        <w:spacing w:line="360" w:lineRule="auto"/>
        <w:jc w:val="center"/>
        <w:rPr>
          <w:rFonts w:ascii="Palatino Linotype" w:eastAsia="Calibri" w:hAnsi="Palatino Linotype" w:cs="Tahoma"/>
          <w:bCs/>
          <w:color w:val="000000"/>
          <w:sz w:val="22"/>
          <w:szCs w:val="22"/>
          <w:lang w:eastAsia="en-US"/>
        </w:rPr>
      </w:pPr>
      <w:r w:rsidRPr="005C77B0">
        <w:rPr>
          <w:rFonts w:ascii="Palatino Linotype" w:eastAsia="Calibri" w:hAnsi="Palatino Linotype" w:cs="Tahoma"/>
          <w:bCs/>
          <w:noProof/>
          <w:color w:val="000000"/>
          <w:sz w:val="22"/>
          <w:szCs w:val="22"/>
          <w:lang w:eastAsia="es-MX"/>
        </w:rPr>
        <w:drawing>
          <wp:inline distT="0" distB="0" distL="0" distR="0" wp14:anchorId="133384D3" wp14:editId="0A6A0A98">
            <wp:extent cx="3624871" cy="680483"/>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1959"/>
                    <a:stretch/>
                  </pic:blipFill>
                  <pic:spPr bwMode="auto">
                    <a:xfrm>
                      <a:off x="0" y="0"/>
                      <a:ext cx="3650203" cy="685239"/>
                    </a:xfrm>
                    <a:prstGeom prst="rect">
                      <a:avLst/>
                    </a:prstGeom>
                    <a:ln>
                      <a:noFill/>
                    </a:ln>
                    <a:extLst>
                      <a:ext uri="{53640926-AAD7-44D8-BBD7-CCE9431645EC}">
                        <a14:shadowObscured xmlns:a14="http://schemas.microsoft.com/office/drawing/2010/main"/>
                      </a:ext>
                    </a:extLst>
                  </pic:spPr>
                </pic:pic>
              </a:graphicData>
            </a:graphic>
          </wp:inline>
        </w:drawing>
      </w:r>
    </w:p>
    <w:p w14:paraId="3E9BC14D" w14:textId="272AC5C8" w:rsidR="005C77B0" w:rsidRPr="009A666F" w:rsidRDefault="005C77B0" w:rsidP="005C77B0">
      <w:pPr>
        <w:spacing w:line="360" w:lineRule="auto"/>
        <w:jc w:val="center"/>
        <w:rPr>
          <w:rFonts w:ascii="Palatino Linotype" w:eastAsia="Calibri" w:hAnsi="Palatino Linotype" w:cs="Tahoma"/>
          <w:bCs/>
          <w:color w:val="000000"/>
          <w:sz w:val="22"/>
          <w:szCs w:val="22"/>
          <w:lang w:eastAsia="en-US"/>
        </w:rPr>
      </w:pPr>
      <w:r w:rsidRPr="005C77B0">
        <w:rPr>
          <w:rFonts w:ascii="Palatino Linotype" w:eastAsia="Calibri" w:hAnsi="Palatino Linotype" w:cs="Tahoma"/>
          <w:bCs/>
          <w:noProof/>
          <w:color w:val="000000"/>
          <w:sz w:val="22"/>
          <w:szCs w:val="22"/>
          <w:lang w:eastAsia="es-MX"/>
        </w:rPr>
        <w:lastRenderedPageBreak/>
        <w:drawing>
          <wp:inline distT="0" distB="0" distL="0" distR="0" wp14:anchorId="2EF247EC" wp14:editId="0F40D1FA">
            <wp:extent cx="3583173" cy="28396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1467" cy="2846218"/>
                    </a:xfrm>
                    <a:prstGeom prst="rect">
                      <a:avLst/>
                    </a:prstGeom>
                  </pic:spPr>
                </pic:pic>
              </a:graphicData>
            </a:graphic>
          </wp:inline>
        </w:drawing>
      </w:r>
    </w:p>
    <w:p w14:paraId="5A4A7502" w14:textId="77777777" w:rsidR="005164C8" w:rsidRDefault="005164C8" w:rsidP="005164C8">
      <w:pPr>
        <w:spacing w:line="360" w:lineRule="auto"/>
        <w:jc w:val="both"/>
        <w:rPr>
          <w:rFonts w:ascii="Palatino Linotype" w:eastAsia="Calibri" w:hAnsi="Palatino Linotype" w:cs="Tahoma"/>
          <w:bCs/>
          <w:color w:val="000000"/>
          <w:szCs w:val="22"/>
          <w:lang w:eastAsia="en-US"/>
        </w:rPr>
      </w:pPr>
    </w:p>
    <w:p w14:paraId="392EF252" w14:textId="0D921429" w:rsidR="005C77B0" w:rsidRDefault="005C77B0" w:rsidP="005164C8">
      <w:pPr>
        <w:spacing w:line="360" w:lineRule="auto"/>
        <w:jc w:val="both"/>
        <w:rPr>
          <w:rFonts w:ascii="Palatino Linotype" w:eastAsia="Calibri" w:hAnsi="Palatino Linotype" w:cs="Tahoma"/>
          <w:bCs/>
          <w:color w:val="000000"/>
          <w:szCs w:val="22"/>
          <w:lang w:eastAsia="en-US"/>
        </w:rPr>
      </w:pPr>
      <w:r>
        <w:rPr>
          <w:rFonts w:ascii="Palatino Linotype" w:eastAsia="Calibri" w:hAnsi="Palatino Linotype" w:cs="Tahoma"/>
          <w:color w:val="000000"/>
          <w:sz w:val="22"/>
          <w:szCs w:val="22"/>
          <w:lang w:val="es-ES" w:eastAsia="en-US"/>
        </w:rPr>
        <w:t xml:space="preserve">En ese contexto, los datos inmersos en una tarjeta de circulación </w:t>
      </w:r>
      <w:r w:rsidRPr="00A22E9E">
        <w:rPr>
          <w:rFonts w:ascii="Palatino Linotype" w:eastAsia="Calibri" w:hAnsi="Palatino Linotype" w:cs="Tahoma"/>
          <w:color w:val="000000"/>
          <w:sz w:val="22"/>
          <w:szCs w:val="22"/>
          <w:lang w:val="es-ES" w:eastAsia="en-US"/>
        </w:rPr>
        <w:t>constituye</w:t>
      </w:r>
      <w:r>
        <w:rPr>
          <w:rFonts w:ascii="Palatino Linotype" w:eastAsia="Calibri" w:hAnsi="Palatino Linotype" w:cs="Tahoma"/>
          <w:color w:val="000000"/>
          <w:sz w:val="22"/>
          <w:szCs w:val="22"/>
          <w:lang w:val="es-ES" w:eastAsia="en-US"/>
        </w:rPr>
        <w:t>n</w:t>
      </w:r>
      <w:r w:rsidRPr="00A22E9E">
        <w:rPr>
          <w:rFonts w:ascii="Palatino Linotype" w:eastAsia="Calibri" w:hAnsi="Palatino Linotype" w:cs="Tahoma"/>
          <w:color w:val="000000"/>
          <w:sz w:val="22"/>
          <w:szCs w:val="22"/>
          <w:lang w:val="es-ES" w:eastAsia="en-US"/>
        </w:rPr>
        <w:t xml:space="preserve"> dato</w:t>
      </w:r>
      <w:r>
        <w:rPr>
          <w:rFonts w:ascii="Palatino Linotype" w:eastAsia="Calibri" w:hAnsi="Palatino Linotype" w:cs="Tahoma"/>
          <w:color w:val="000000"/>
          <w:sz w:val="22"/>
          <w:szCs w:val="22"/>
          <w:lang w:val="es-ES" w:eastAsia="en-US"/>
        </w:rPr>
        <w:t>s</w:t>
      </w:r>
      <w:r w:rsidRPr="00A22E9E">
        <w:rPr>
          <w:rFonts w:ascii="Palatino Linotype" w:eastAsia="Calibri" w:hAnsi="Palatino Linotype" w:cs="Tahoma"/>
          <w:color w:val="000000"/>
          <w:sz w:val="22"/>
          <w:szCs w:val="22"/>
          <w:lang w:val="es-ES" w:eastAsia="en-US"/>
        </w:rPr>
        <w:t xml:space="preserve"> personal</w:t>
      </w:r>
      <w:r>
        <w:rPr>
          <w:rFonts w:ascii="Palatino Linotype" w:eastAsia="Calibri" w:hAnsi="Palatino Linotype" w:cs="Tahoma"/>
          <w:color w:val="000000"/>
          <w:sz w:val="22"/>
          <w:szCs w:val="22"/>
          <w:lang w:val="es-ES" w:eastAsia="en-US"/>
        </w:rPr>
        <w:t>es</w:t>
      </w:r>
      <w:r w:rsidRPr="00A22E9E">
        <w:rPr>
          <w:rFonts w:ascii="Palatino Linotype" w:eastAsia="Calibri" w:hAnsi="Palatino Linotype" w:cs="Tahoma"/>
          <w:color w:val="000000"/>
          <w:sz w:val="22"/>
          <w:szCs w:val="22"/>
          <w:lang w:val="es-ES" w:eastAsia="en-US"/>
        </w:rPr>
        <w:t xml:space="preserve"> y, por ende, confidencial</w:t>
      </w:r>
      <w:r>
        <w:rPr>
          <w:rFonts w:ascii="Palatino Linotype" w:eastAsia="Calibri" w:hAnsi="Palatino Linotype" w:cs="Tahoma"/>
          <w:color w:val="000000"/>
          <w:sz w:val="22"/>
          <w:szCs w:val="22"/>
          <w:lang w:val="es-ES" w:eastAsia="en-US"/>
        </w:rPr>
        <w:t>es</w:t>
      </w:r>
      <w:r w:rsidRPr="00A22E9E">
        <w:rPr>
          <w:rFonts w:ascii="Palatino Linotype" w:eastAsia="Calibri" w:hAnsi="Palatino Linotype" w:cs="Tahoma"/>
          <w:color w:val="000000"/>
          <w:sz w:val="22"/>
          <w:szCs w:val="22"/>
          <w:lang w:val="es-ES" w:eastAsia="en-US"/>
        </w:rPr>
        <w:t xml:space="preserve">, ya que incide directamente en </w:t>
      </w:r>
      <w:r>
        <w:rPr>
          <w:rFonts w:ascii="Palatino Linotype" w:eastAsia="Calibri" w:hAnsi="Palatino Linotype" w:cs="Tahoma"/>
          <w:color w:val="000000"/>
          <w:sz w:val="22"/>
          <w:szCs w:val="22"/>
          <w:lang w:val="es-ES" w:eastAsia="en-US"/>
        </w:rPr>
        <w:t xml:space="preserve">datos de la vida privada </w:t>
      </w:r>
      <w:r w:rsidRPr="00A22E9E">
        <w:rPr>
          <w:rFonts w:ascii="Palatino Linotype" w:eastAsia="Calibri" w:hAnsi="Palatino Linotype" w:cs="Tahoma"/>
          <w:color w:val="000000"/>
          <w:sz w:val="22"/>
          <w:szCs w:val="22"/>
          <w:lang w:val="es-ES" w:eastAsia="en-US"/>
        </w:rPr>
        <w:t>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23D53FAF" w14:textId="77777777" w:rsidR="005164C8" w:rsidRPr="005164C8" w:rsidRDefault="005164C8" w:rsidP="005164C8">
      <w:pPr>
        <w:spacing w:line="360" w:lineRule="auto"/>
        <w:ind w:left="360"/>
        <w:jc w:val="both"/>
        <w:rPr>
          <w:rFonts w:ascii="Palatino Linotype" w:eastAsia="Calibri" w:hAnsi="Palatino Linotype" w:cs="Tahoma"/>
          <w:bCs/>
          <w:color w:val="000000"/>
          <w:szCs w:val="22"/>
          <w:lang w:eastAsia="en-US"/>
        </w:rPr>
      </w:pPr>
    </w:p>
    <w:p w14:paraId="179F33BD" w14:textId="77777777" w:rsidR="009A666F" w:rsidRPr="009A666F" w:rsidRDefault="009A666F" w:rsidP="009A666F">
      <w:pPr>
        <w:numPr>
          <w:ilvl w:val="0"/>
          <w:numId w:val="10"/>
        </w:numPr>
        <w:spacing w:line="360" w:lineRule="auto"/>
        <w:contextualSpacing/>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
          <w:bCs/>
          <w:color w:val="000000"/>
          <w:sz w:val="22"/>
          <w:szCs w:val="22"/>
          <w:lang w:eastAsia="en-US"/>
        </w:rPr>
        <w:t xml:space="preserve">Registro Federal de Contribuyentes </w:t>
      </w:r>
      <w:r w:rsidRPr="009A666F">
        <w:rPr>
          <w:rFonts w:ascii="Palatino Linotype" w:eastAsia="Calibri" w:hAnsi="Palatino Linotype" w:cs="Tahoma"/>
          <w:bCs/>
          <w:color w:val="000000"/>
          <w:sz w:val="22"/>
          <w:szCs w:val="22"/>
          <w:lang w:eastAsia="en-US"/>
        </w:rPr>
        <w:t xml:space="preserve">(RFC) </w:t>
      </w:r>
    </w:p>
    <w:p w14:paraId="51909274" w14:textId="77777777" w:rsidR="009A666F" w:rsidRPr="009A666F" w:rsidRDefault="009A666F" w:rsidP="009A666F">
      <w:pPr>
        <w:spacing w:line="360" w:lineRule="auto"/>
        <w:jc w:val="both"/>
        <w:rPr>
          <w:rFonts w:ascii="Palatino Linotype" w:eastAsia="Calibri" w:hAnsi="Palatino Linotype" w:cs="Tahoma"/>
          <w:bCs/>
          <w:color w:val="000000"/>
          <w:szCs w:val="22"/>
          <w:lang w:eastAsia="en-US"/>
        </w:rPr>
      </w:pPr>
    </w:p>
    <w:p w14:paraId="324F6035"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A2A9298"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3E4693AE"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lastRenderedPageBreak/>
        <w:t xml:space="preserve">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 </w:t>
      </w:r>
    </w:p>
    <w:p w14:paraId="349C5879"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6CFAE0C3"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 </w:t>
      </w:r>
    </w:p>
    <w:p w14:paraId="6F8D8BA1"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243283D2"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40F7CB28"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r w:rsidRPr="009A666F">
        <w:rPr>
          <w:rFonts w:ascii="Palatino Linotype" w:eastAsia="Calibri" w:hAnsi="Palatino Linotype" w:cs="Tahoma"/>
          <w:bCs/>
          <w:color w:val="000000"/>
          <w:sz w:val="22"/>
          <w:szCs w:val="22"/>
          <w:lang w:eastAsia="en-US"/>
        </w:rPr>
        <w:t>Lo anterior, resulta congruente con el Criterio 19/17 emitido por el Instituto Nacional de Transparencia, Acceso a la Información y Protección de Datos Personales, en el cual se señala lo siguiente:</w:t>
      </w:r>
    </w:p>
    <w:p w14:paraId="7D399C63" w14:textId="77777777" w:rsidR="009A666F" w:rsidRPr="009A666F" w:rsidRDefault="009A666F" w:rsidP="009A666F">
      <w:pPr>
        <w:spacing w:line="360" w:lineRule="auto"/>
        <w:jc w:val="both"/>
        <w:rPr>
          <w:rFonts w:ascii="Palatino Linotype" w:eastAsia="Calibri" w:hAnsi="Palatino Linotype" w:cs="Tahoma"/>
          <w:bCs/>
          <w:color w:val="000000"/>
          <w:sz w:val="22"/>
          <w:szCs w:val="22"/>
          <w:lang w:eastAsia="en-US"/>
        </w:rPr>
      </w:pPr>
    </w:p>
    <w:p w14:paraId="26318085" w14:textId="77777777" w:rsidR="009A666F" w:rsidRPr="009A666F" w:rsidRDefault="009A666F" w:rsidP="009A666F">
      <w:pPr>
        <w:spacing w:line="360" w:lineRule="auto"/>
        <w:ind w:left="567" w:right="567"/>
        <w:jc w:val="both"/>
        <w:rPr>
          <w:rFonts w:ascii="Palatino Linotype" w:eastAsia="Calibri" w:hAnsi="Palatino Linotype" w:cs="Tahoma"/>
          <w:bCs/>
          <w:color w:val="000000"/>
          <w:szCs w:val="22"/>
          <w:lang w:eastAsia="en-US"/>
        </w:rPr>
      </w:pPr>
      <w:r w:rsidRPr="009A666F">
        <w:rPr>
          <w:rFonts w:ascii="Palatino Linotype" w:eastAsia="Calibri" w:hAnsi="Palatino Linotype" w:cs="Tahoma"/>
          <w:b/>
          <w:bCs/>
          <w:i/>
          <w:iCs/>
          <w:color w:val="000000"/>
          <w:szCs w:val="22"/>
          <w:lang w:eastAsia="en-US"/>
        </w:rPr>
        <w:t>Registro Federal de Contribuyentes (RFC) de personas físicas</w:t>
      </w:r>
      <w:r w:rsidRPr="009A666F">
        <w:rPr>
          <w:rFonts w:ascii="Palatino Linotype" w:eastAsia="Calibri" w:hAnsi="Palatino Linotype" w:cs="Tahoma"/>
          <w:bCs/>
          <w:i/>
          <w:iCs/>
          <w:color w:val="000000"/>
          <w:szCs w:val="22"/>
          <w:lang w:eastAsia="en-US"/>
        </w:rPr>
        <w:t>. El RFC es una clave de carácter fiscal, única e irrepetible, que permite identificar al titular, su edad y fecha de nacimiento, por lo que es un dato personal de carácter confidencial.</w:t>
      </w:r>
    </w:p>
    <w:p w14:paraId="541C4036" w14:textId="77777777" w:rsidR="009A666F" w:rsidRPr="009A666F" w:rsidRDefault="009A666F" w:rsidP="009A666F">
      <w:pPr>
        <w:spacing w:line="360" w:lineRule="auto"/>
        <w:ind w:right="-93"/>
        <w:jc w:val="both"/>
        <w:rPr>
          <w:rFonts w:ascii="Palatino Linotype" w:eastAsia="Calibri" w:hAnsi="Palatino Linotype"/>
          <w:color w:val="000000"/>
          <w:sz w:val="22"/>
          <w:szCs w:val="22"/>
          <w:lang w:eastAsia="en-US"/>
        </w:rPr>
      </w:pPr>
    </w:p>
    <w:p w14:paraId="5AD845E9" w14:textId="77777777" w:rsidR="009A666F" w:rsidRPr="009A666F" w:rsidRDefault="009A666F" w:rsidP="009A666F">
      <w:pPr>
        <w:spacing w:line="360" w:lineRule="auto"/>
        <w:ind w:right="-93"/>
        <w:jc w:val="both"/>
        <w:rPr>
          <w:rFonts w:ascii="Palatino Linotype" w:eastAsia="Calibri" w:hAnsi="Palatino Linotype"/>
          <w:b/>
          <w:bCs/>
          <w:color w:val="000000"/>
          <w:sz w:val="22"/>
          <w:szCs w:val="22"/>
          <w:lang w:eastAsia="en-US"/>
        </w:rPr>
      </w:pPr>
      <w:r w:rsidRPr="009A666F">
        <w:rPr>
          <w:rFonts w:ascii="Palatino Linotype" w:eastAsia="Calibri" w:hAnsi="Palatino Linotype"/>
          <w:color w:val="000000"/>
          <w:sz w:val="22"/>
          <w:szCs w:val="22"/>
          <w:lang w:eastAsia="en-US"/>
        </w:rPr>
        <w:t xml:space="preserve">De tal suerte, el Registro Federal de Contribuyentes no guarda relación con la transparencia de los recursos públicos, por lo que constituye un dato personal confidencial al actualizar el </w:t>
      </w:r>
      <w:r w:rsidRPr="009A666F">
        <w:rPr>
          <w:rFonts w:ascii="Palatino Linotype" w:eastAsia="Calibri" w:hAnsi="Palatino Linotype"/>
          <w:color w:val="000000"/>
          <w:sz w:val="22"/>
          <w:szCs w:val="22"/>
          <w:lang w:eastAsia="en-US"/>
        </w:rPr>
        <w:lastRenderedPageBreak/>
        <w:t>supuesto normativo del artículo 143, fracción I de la Ley de Transparencia y Acceso a la Información Pública del Estado de México y Municipios</w:t>
      </w:r>
      <w:r w:rsidRPr="009A666F">
        <w:rPr>
          <w:rFonts w:ascii="Palatino Linotype" w:eastAsia="Calibri" w:hAnsi="Palatino Linotype"/>
          <w:b/>
          <w:bCs/>
          <w:color w:val="000000"/>
          <w:sz w:val="22"/>
          <w:szCs w:val="22"/>
          <w:lang w:eastAsia="en-US"/>
        </w:rPr>
        <w:t xml:space="preserve">. </w:t>
      </w:r>
    </w:p>
    <w:p w14:paraId="35FEE3DF" w14:textId="77777777" w:rsidR="009A666F" w:rsidRPr="009A666F" w:rsidRDefault="009A666F" w:rsidP="009A666F">
      <w:pPr>
        <w:spacing w:line="360" w:lineRule="auto"/>
        <w:ind w:right="-93"/>
        <w:jc w:val="both"/>
        <w:rPr>
          <w:rFonts w:ascii="Palatino Linotype" w:eastAsia="Calibri" w:hAnsi="Palatino Linotype"/>
          <w:color w:val="000000"/>
          <w:sz w:val="22"/>
          <w:szCs w:val="22"/>
          <w:lang w:eastAsia="en-US"/>
        </w:rPr>
      </w:pPr>
    </w:p>
    <w:p w14:paraId="0E78AEE4" w14:textId="77777777" w:rsidR="009A666F" w:rsidRPr="009A666F" w:rsidRDefault="009A666F" w:rsidP="009A666F">
      <w:pPr>
        <w:spacing w:line="360" w:lineRule="auto"/>
        <w:ind w:right="-93"/>
        <w:jc w:val="both"/>
        <w:rPr>
          <w:rFonts w:ascii="Palatino Linotype" w:eastAsia="Calibri" w:hAnsi="Palatino Linotype"/>
          <w:color w:val="000000"/>
          <w:sz w:val="22"/>
          <w:szCs w:val="22"/>
          <w:lang w:eastAsia="en-US"/>
        </w:rPr>
      </w:pPr>
      <w:r w:rsidRPr="009A666F">
        <w:rPr>
          <w:rFonts w:ascii="Palatino Linotype" w:eastAsia="Calibri" w:hAnsi="Palatino Linotype"/>
          <w:color w:val="000000"/>
          <w:sz w:val="22"/>
          <w:szCs w:val="22"/>
          <w:lang w:eastAsia="en-US"/>
        </w:rPr>
        <w:t xml:space="preserve">En este mismo sentido, en la página del </w:t>
      </w:r>
      <w:r w:rsidRPr="009A666F">
        <w:rPr>
          <w:rFonts w:ascii="Palatino Linotype" w:eastAsia="Calibri" w:hAnsi="Palatino Linotype"/>
          <w:b/>
          <w:bCs/>
          <w:color w:val="000000"/>
          <w:sz w:val="22"/>
          <w:szCs w:val="22"/>
          <w:lang w:eastAsia="en-US"/>
        </w:rPr>
        <w:t>Portal de Servicios al Contribuyente del EDOMEX</w:t>
      </w:r>
      <w:r w:rsidRPr="009A666F">
        <w:rPr>
          <w:rFonts w:ascii="Palatino Linotype" w:eastAsia="Calibri" w:hAnsi="Palatino Linotype"/>
          <w:color w:val="000000"/>
          <w:sz w:val="22"/>
          <w:szCs w:val="22"/>
          <w:lang w:eastAsia="en-US"/>
        </w:rPr>
        <w:t xml:space="preserve">, sí se cuenta con el número de placa vehicular y el número de identificación vehicular, se puede obtener los comprobantes del pago de tenencia del vehículo. </w:t>
      </w:r>
    </w:p>
    <w:p w14:paraId="46DA223E" w14:textId="77777777" w:rsidR="009A666F" w:rsidRPr="009A666F" w:rsidRDefault="009A666F" w:rsidP="009A666F">
      <w:pPr>
        <w:spacing w:line="360" w:lineRule="auto"/>
        <w:ind w:right="-93"/>
        <w:jc w:val="both"/>
        <w:rPr>
          <w:rFonts w:ascii="Palatino Linotype" w:eastAsia="Calibri" w:hAnsi="Palatino Linotype"/>
          <w:color w:val="000000"/>
          <w:sz w:val="22"/>
          <w:szCs w:val="22"/>
          <w:lang w:eastAsia="en-US"/>
        </w:rPr>
      </w:pPr>
    </w:p>
    <w:p w14:paraId="39606DF4" w14:textId="77777777" w:rsidR="009A666F" w:rsidRPr="009A666F" w:rsidRDefault="009A666F" w:rsidP="009A666F">
      <w:pPr>
        <w:spacing w:line="360" w:lineRule="auto"/>
        <w:ind w:right="-93"/>
        <w:jc w:val="both"/>
        <w:rPr>
          <w:rFonts w:ascii="Palatino Linotype" w:eastAsia="Calibri" w:hAnsi="Palatino Linotype"/>
          <w:b/>
          <w:bCs/>
          <w:color w:val="000000"/>
          <w:sz w:val="22"/>
          <w:szCs w:val="22"/>
          <w:lang w:eastAsia="en-US"/>
        </w:rPr>
      </w:pPr>
      <w:r w:rsidRPr="009A666F">
        <w:rPr>
          <w:rFonts w:ascii="Palatino Linotype" w:eastAsia="Calibri" w:hAnsi="Palatino Linotype"/>
          <w:color w:val="000000"/>
          <w:sz w:val="22"/>
          <w:szCs w:val="22"/>
          <w:lang w:eastAsia="en-US"/>
        </w:rPr>
        <w:t xml:space="preserve">Conforme a lo anterior, proporcionar el número de placas de un vehículo particular, permite identificar automóviles y da acceso a diversos datos personales, que involucran la vida privada de los Particulares; pues se trata de información relacionada con su patrimonio y obligaciones tributarias, tales como, si ha cumplido con sus obligaciones del pago de tenencia y refrendo anual, e incluso, en algunos casos el RFC de particulares, por lo que, es información que no guarda interés público; en consecuencia, conocer el número de placas de todos los vehículos registrados constituye </w:t>
      </w:r>
      <w:r w:rsidRPr="009A666F">
        <w:rPr>
          <w:rFonts w:ascii="Palatino Linotype" w:eastAsia="Calibri" w:hAnsi="Palatino Linotype"/>
          <w:b/>
          <w:bCs/>
          <w:color w:val="000000"/>
          <w:sz w:val="22"/>
          <w:szCs w:val="22"/>
          <w:lang w:eastAsia="en-US"/>
        </w:rPr>
        <w:t>un dato personal confidencial al actualizar el supuesto normativo del artículo 143, fracción I de la Ley de Transparencia y Acceso a la Información Pública del Estado de México y Municipios.</w:t>
      </w:r>
    </w:p>
    <w:p w14:paraId="2B8DA230" w14:textId="77777777" w:rsidR="00CA3DA3" w:rsidRPr="00CA3DA3" w:rsidRDefault="00CA3DA3" w:rsidP="00CA3DA3">
      <w:pPr>
        <w:spacing w:line="360" w:lineRule="auto"/>
        <w:ind w:left="720"/>
        <w:contextualSpacing/>
        <w:jc w:val="both"/>
        <w:rPr>
          <w:rFonts w:ascii="Palatino Linotype" w:eastAsia="Calibri" w:hAnsi="Palatino Linotype" w:cs="Tahoma"/>
          <w:b/>
          <w:bCs/>
          <w:sz w:val="22"/>
          <w:szCs w:val="22"/>
          <w:lang w:val="es-ES_tradnl" w:eastAsia="en-US"/>
        </w:rPr>
      </w:pPr>
    </w:p>
    <w:p w14:paraId="6D1AEBF3" w14:textId="77777777" w:rsidR="00AB24AA" w:rsidRPr="00AB24AA" w:rsidRDefault="00AB24AA" w:rsidP="00AB24AA">
      <w:pPr>
        <w:numPr>
          <w:ilvl w:val="0"/>
          <w:numId w:val="3"/>
        </w:numPr>
        <w:spacing w:line="360" w:lineRule="auto"/>
        <w:jc w:val="both"/>
        <w:rPr>
          <w:rFonts w:ascii="Palatino Linotype" w:eastAsia="Calibri" w:hAnsi="Palatino Linotype" w:cs="Tahoma"/>
          <w:b/>
          <w:color w:val="000000"/>
          <w:sz w:val="22"/>
          <w:szCs w:val="22"/>
          <w:lang w:eastAsia="en-US"/>
        </w:rPr>
      </w:pPr>
      <w:r w:rsidRPr="00AB24AA">
        <w:rPr>
          <w:rFonts w:ascii="Palatino Linotype" w:eastAsia="Calibri" w:hAnsi="Palatino Linotype" w:cs="Tahoma"/>
          <w:b/>
          <w:color w:val="000000"/>
          <w:sz w:val="22"/>
          <w:szCs w:val="22"/>
          <w:lang w:eastAsia="en-US"/>
        </w:rPr>
        <w:t xml:space="preserve">Nombre de particulares </w:t>
      </w:r>
    </w:p>
    <w:p w14:paraId="3CDACA61" w14:textId="77777777" w:rsidR="00AB24AA" w:rsidRPr="00AB24AA" w:rsidRDefault="00AB24AA" w:rsidP="00AB24AA">
      <w:pPr>
        <w:spacing w:line="360" w:lineRule="auto"/>
        <w:ind w:left="708" w:hanging="708"/>
        <w:jc w:val="both"/>
        <w:rPr>
          <w:rFonts w:ascii="Palatino Linotype" w:eastAsia="Calibri" w:hAnsi="Palatino Linotype" w:cs="Tahoma"/>
          <w:color w:val="000000"/>
          <w:sz w:val="22"/>
          <w:szCs w:val="22"/>
          <w:lang w:eastAsia="en-US"/>
        </w:rPr>
      </w:pPr>
    </w:p>
    <w:p w14:paraId="0A32B17F" w14:textId="3092C3E1" w:rsidR="00CA3DA3" w:rsidRDefault="00AB24AA" w:rsidP="00AB24AA">
      <w:pPr>
        <w:spacing w:line="360" w:lineRule="auto"/>
        <w:ind w:right="-93"/>
        <w:jc w:val="both"/>
        <w:rPr>
          <w:rFonts w:ascii="Palatino Linotype" w:eastAsia="Calibri" w:hAnsi="Palatino Linotype" w:cs="Tahoma"/>
          <w:bCs/>
          <w:sz w:val="22"/>
          <w:szCs w:val="22"/>
          <w:lang w:eastAsia="en-US"/>
        </w:rPr>
      </w:pPr>
      <w:r w:rsidRPr="00AB24AA">
        <w:rPr>
          <w:rFonts w:ascii="Palatino Linotype" w:eastAsia="Calibri" w:hAnsi="Palatino Linotype" w:cs="Tahoma"/>
          <w:color w:val="000000"/>
          <w:sz w:val="22"/>
          <w:szCs w:val="22"/>
          <w:lang w:val="es-419" w:eastAsia="en-US"/>
        </w:rPr>
        <w:t>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el nombre de personas físicas que no tienen nada que ver con el servicio público y que no realizan actos de autoridad o reciben recursos públicos, es un dato confidencial, en términos del artículo 143, fracción I de la Ley de Transparencia y Acceso a la Información.</w:t>
      </w:r>
    </w:p>
    <w:p w14:paraId="55AF9ABD" w14:textId="77777777" w:rsidR="00A22E9E" w:rsidRPr="00A22E9E" w:rsidRDefault="00A22E9E" w:rsidP="00A22E9E">
      <w:pPr>
        <w:numPr>
          <w:ilvl w:val="0"/>
          <w:numId w:val="3"/>
        </w:numPr>
        <w:spacing w:after="160" w:line="360" w:lineRule="auto"/>
        <w:contextualSpacing/>
        <w:jc w:val="both"/>
        <w:rPr>
          <w:rFonts w:ascii="Palatino Linotype" w:eastAsia="Calibri" w:hAnsi="Palatino Linotype" w:cs="Tahoma"/>
          <w:b/>
          <w:bCs/>
          <w:color w:val="000000"/>
          <w:sz w:val="22"/>
          <w:szCs w:val="22"/>
          <w:lang w:eastAsia="en-US"/>
        </w:rPr>
      </w:pPr>
      <w:r w:rsidRPr="00A22E9E">
        <w:rPr>
          <w:rFonts w:ascii="Palatino Linotype" w:eastAsia="Calibri" w:hAnsi="Palatino Linotype" w:cs="Tahoma"/>
          <w:b/>
          <w:bCs/>
          <w:color w:val="000000"/>
          <w:sz w:val="22"/>
          <w:szCs w:val="22"/>
          <w:lang w:eastAsia="en-US"/>
        </w:rPr>
        <w:lastRenderedPageBreak/>
        <w:t>Domicilio</w:t>
      </w:r>
    </w:p>
    <w:p w14:paraId="4CD01D60" w14:textId="77777777" w:rsidR="00A22E9E" w:rsidRPr="00A22E9E" w:rsidRDefault="00A22E9E" w:rsidP="00A22E9E">
      <w:pPr>
        <w:spacing w:line="360" w:lineRule="auto"/>
        <w:ind w:left="720"/>
        <w:contextualSpacing/>
        <w:jc w:val="both"/>
        <w:rPr>
          <w:rFonts w:ascii="Palatino Linotype" w:eastAsia="Calibri" w:hAnsi="Palatino Linotype" w:cs="Tahoma"/>
          <w:b/>
          <w:bCs/>
          <w:color w:val="000000"/>
          <w:sz w:val="22"/>
          <w:szCs w:val="22"/>
          <w:lang w:eastAsia="en-US"/>
        </w:rPr>
      </w:pPr>
    </w:p>
    <w:p w14:paraId="6703C81C" w14:textId="77777777" w:rsidR="00A22E9E" w:rsidRPr="00A22E9E" w:rsidRDefault="00A22E9E" w:rsidP="00A22E9E">
      <w:pPr>
        <w:spacing w:line="360" w:lineRule="auto"/>
        <w:ind w:right="-93"/>
        <w:contextualSpacing/>
        <w:jc w:val="both"/>
        <w:rPr>
          <w:rFonts w:ascii="Palatino Linotype" w:eastAsia="Calibri" w:hAnsi="Palatino Linotype" w:cs="Tahoma"/>
          <w:color w:val="000000"/>
          <w:sz w:val="22"/>
          <w:szCs w:val="22"/>
          <w:lang w:val="es-ES" w:eastAsia="en-US"/>
        </w:rPr>
      </w:pPr>
      <w:r w:rsidRPr="00A22E9E">
        <w:rPr>
          <w:rFonts w:ascii="Palatino Linotype" w:eastAsia="Calibri" w:hAnsi="Palatino Linotype" w:cs="Tahoma"/>
          <w:color w:val="000000"/>
          <w:sz w:val="22"/>
          <w:szCs w:val="22"/>
          <w:lang w:val="es-ES" w:eastAsia="en-U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720CB04" w14:textId="77777777" w:rsidR="00A22E9E" w:rsidRPr="00A22E9E" w:rsidRDefault="00A22E9E" w:rsidP="00A22E9E">
      <w:pPr>
        <w:spacing w:line="360" w:lineRule="auto"/>
        <w:ind w:right="-93"/>
        <w:contextualSpacing/>
        <w:jc w:val="both"/>
        <w:rPr>
          <w:rFonts w:ascii="Palatino Linotype" w:eastAsia="Calibri" w:hAnsi="Palatino Linotype" w:cs="Tahoma"/>
          <w:color w:val="000000"/>
          <w:sz w:val="22"/>
          <w:szCs w:val="22"/>
          <w:lang w:val="es-ES" w:eastAsia="en-US"/>
        </w:rPr>
      </w:pPr>
    </w:p>
    <w:p w14:paraId="6019210F" w14:textId="77777777" w:rsidR="00A22E9E" w:rsidRPr="00A22E9E" w:rsidRDefault="00A22E9E" w:rsidP="00A22E9E">
      <w:pPr>
        <w:spacing w:line="360" w:lineRule="auto"/>
        <w:ind w:right="-93"/>
        <w:contextualSpacing/>
        <w:jc w:val="both"/>
        <w:rPr>
          <w:rFonts w:ascii="Palatino Linotype" w:eastAsia="Calibri" w:hAnsi="Palatino Linotype" w:cs="Tahoma"/>
          <w:b/>
          <w:color w:val="000000"/>
          <w:sz w:val="22"/>
          <w:szCs w:val="22"/>
          <w:lang w:val="es-ES" w:eastAsia="en-US"/>
        </w:rPr>
      </w:pPr>
      <w:r w:rsidRPr="00A22E9E">
        <w:rPr>
          <w:rFonts w:ascii="Palatino Linotype" w:eastAsia="Calibri" w:hAnsi="Palatino Linotype" w:cs="Tahoma"/>
          <w:color w:val="000000"/>
          <w:sz w:val="22"/>
          <w:szCs w:val="22"/>
          <w:lang w:val="es-ES" w:eastAsia="en-US"/>
        </w:rPr>
        <w:t>De la misma manera, lo establece el artículo 29 del Código Civil Federal, al precisar que el domicilio de personas físicas</w:t>
      </w:r>
      <w:r w:rsidRPr="00A22E9E">
        <w:rPr>
          <w:rFonts w:ascii="Palatino Linotype" w:eastAsia="Calibri" w:hAnsi="Palatino Linotype" w:cs="Tahoma"/>
          <w:b/>
          <w:color w:val="000000"/>
          <w:sz w:val="22"/>
          <w:szCs w:val="22"/>
          <w:lang w:val="es-ES" w:eastAsia="en-US"/>
        </w:rPr>
        <w:t>, es el lugar donde residen habitualmente, el lugar del centro principal de sus negocios, donde residan o el lugar donde se encuentren.</w:t>
      </w:r>
    </w:p>
    <w:p w14:paraId="3F1616AA" w14:textId="77777777" w:rsidR="00A22E9E" w:rsidRPr="00A22E9E" w:rsidRDefault="00A22E9E" w:rsidP="00A22E9E">
      <w:pPr>
        <w:spacing w:line="360" w:lineRule="auto"/>
        <w:contextualSpacing/>
        <w:jc w:val="both"/>
        <w:rPr>
          <w:rFonts w:ascii="Palatino Linotype" w:eastAsia="Calibri" w:hAnsi="Palatino Linotype" w:cs="Tahoma"/>
          <w:b/>
          <w:bCs/>
          <w:color w:val="000000"/>
          <w:sz w:val="22"/>
          <w:szCs w:val="22"/>
          <w:lang w:eastAsia="en-US"/>
        </w:rPr>
      </w:pPr>
    </w:p>
    <w:p w14:paraId="59456642" w14:textId="4D7045E8" w:rsidR="00A22E9E" w:rsidRPr="009A666F" w:rsidRDefault="00A22E9E" w:rsidP="00A22E9E">
      <w:pPr>
        <w:spacing w:line="360" w:lineRule="auto"/>
        <w:ind w:right="-93"/>
        <w:jc w:val="both"/>
        <w:rPr>
          <w:rFonts w:ascii="Palatino Linotype" w:eastAsia="Calibri" w:hAnsi="Palatino Linotype"/>
          <w:b/>
          <w:bCs/>
          <w:color w:val="000000"/>
          <w:sz w:val="22"/>
          <w:szCs w:val="22"/>
          <w:lang w:eastAsia="en-US"/>
        </w:rPr>
      </w:pPr>
      <w:r w:rsidRPr="00A22E9E">
        <w:rPr>
          <w:rFonts w:ascii="Palatino Linotype" w:eastAsia="Calibri" w:hAnsi="Palatino Linotype" w:cs="Tahoma"/>
          <w:color w:val="000000"/>
          <w:sz w:val="22"/>
          <w:szCs w:val="22"/>
          <w:lang w:val="es-ES" w:eastAsia="en-U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64F72169" w14:textId="77777777" w:rsidR="006B5870" w:rsidRPr="00F6431D" w:rsidRDefault="006B5870" w:rsidP="00F6431D">
      <w:pPr>
        <w:spacing w:line="360" w:lineRule="auto"/>
        <w:jc w:val="both"/>
        <w:rPr>
          <w:rFonts w:ascii="Palatino Linotype" w:eastAsia="Calibri" w:hAnsi="Palatino Linotype" w:cs="Tahoma"/>
          <w:bCs/>
          <w:iCs/>
          <w:color w:val="000000"/>
          <w:sz w:val="22"/>
          <w:szCs w:val="22"/>
          <w:lang w:val="es-ES" w:eastAsia="en-US"/>
        </w:rPr>
      </w:pPr>
    </w:p>
    <w:p w14:paraId="77C9B107" w14:textId="77777777" w:rsidR="006B5870" w:rsidRPr="005C00A2" w:rsidRDefault="006B5870" w:rsidP="00F6431D">
      <w:pPr>
        <w:spacing w:line="360" w:lineRule="auto"/>
        <w:jc w:val="both"/>
        <w:rPr>
          <w:rFonts w:ascii="Palatino Linotype" w:eastAsia="Calibri" w:hAnsi="Palatino Linotype" w:cs="Tahoma"/>
          <w:bCs/>
          <w:iCs/>
          <w:color w:val="000000"/>
          <w:sz w:val="22"/>
          <w:szCs w:val="22"/>
          <w:lang w:val="x-none" w:eastAsia="en-US"/>
        </w:rPr>
      </w:pPr>
      <w:r w:rsidRPr="005C00A2">
        <w:rPr>
          <w:rFonts w:ascii="Palatino Linotype" w:eastAsia="Calibri" w:hAnsi="Palatino Linotype" w:cs="Tahoma"/>
          <w:bCs/>
          <w:iCs/>
          <w:color w:val="000000"/>
          <w:sz w:val="22"/>
          <w:szCs w:val="22"/>
          <w:lang w:val="es-ES" w:eastAsia="en-US"/>
        </w:rPr>
        <w:t xml:space="preserve">Conforme a lo anterior, se logra vislumbrar que si bien el Sujeto Obligado, hizo entrega a través del Informe Justificado de </w:t>
      </w:r>
      <w:r w:rsidRPr="005C00A2">
        <w:rPr>
          <w:rFonts w:ascii="Palatino Linotype" w:eastAsia="Calibri" w:hAnsi="Palatino Linotype" w:cs="Tahoma"/>
          <w:bCs/>
          <w:iCs/>
          <w:color w:val="000000"/>
          <w:sz w:val="22"/>
          <w:szCs w:val="22"/>
          <w:lang w:val="x-none" w:eastAsia="en-US"/>
        </w:rPr>
        <w:t>los documentos que daban cuenta de lo peticionado, lo cierto es</w:t>
      </w:r>
      <w:r w:rsidRPr="005C00A2">
        <w:rPr>
          <w:rFonts w:ascii="Palatino Linotype" w:eastAsia="Calibri" w:hAnsi="Palatino Linotype" w:cs="Tahoma"/>
          <w:bCs/>
          <w:iCs/>
          <w:color w:val="000000"/>
          <w:sz w:val="22"/>
          <w:szCs w:val="22"/>
          <w:lang w:val="es-US" w:eastAsia="en-US"/>
        </w:rPr>
        <w:t>,</w:t>
      </w:r>
      <w:r w:rsidRPr="005C00A2">
        <w:rPr>
          <w:rFonts w:ascii="Palatino Linotype" w:eastAsia="Calibri" w:hAnsi="Palatino Linotype" w:cs="Tahoma"/>
          <w:bCs/>
          <w:iCs/>
          <w:color w:val="000000"/>
          <w:sz w:val="22"/>
          <w:szCs w:val="22"/>
          <w:lang w:val="x-none" w:eastAsia="en-US"/>
        </w:rPr>
        <w:t xml:space="preserve"> que</w:t>
      </w:r>
      <w:r w:rsidRPr="005C00A2">
        <w:rPr>
          <w:rFonts w:ascii="Palatino Linotype" w:eastAsia="Calibri" w:hAnsi="Palatino Linotype" w:cs="Tahoma"/>
          <w:bCs/>
          <w:iCs/>
          <w:color w:val="000000"/>
          <w:sz w:val="22"/>
          <w:szCs w:val="22"/>
          <w:lang w:val="es-US" w:eastAsia="en-US"/>
        </w:rPr>
        <w:t xml:space="preserve"> estos se</w:t>
      </w:r>
      <w:r w:rsidRPr="005C00A2">
        <w:rPr>
          <w:rFonts w:ascii="Palatino Linotype" w:eastAsia="Calibri" w:hAnsi="Palatino Linotype" w:cs="Tahoma"/>
          <w:bCs/>
          <w:iCs/>
          <w:color w:val="000000"/>
          <w:sz w:val="22"/>
          <w:szCs w:val="22"/>
          <w:lang w:val="x-none" w:eastAsia="en-US"/>
        </w:rPr>
        <w:t xml:space="preserve"> entregaron</w:t>
      </w:r>
      <w:r w:rsidRPr="005C00A2">
        <w:rPr>
          <w:rFonts w:ascii="Palatino Linotype" w:eastAsia="Calibri" w:hAnsi="Palatino Linotype" w:cs="Tahoma"/>
          <w:bCs/>
          <w:iCs/>
          <w:color w:val="000000"/>
          <w:sz w:val="22"/>
          <w:szCs w:val="22"/>
          <w:lang w:val="es-US" w:eastAsia="en-US"/>
        </w:rPr>
        <w:t xml:space="preserve"> en una versión pública incorrecta</w:t>
      </w:r>
      <w:r w:rsidRPr="005C00A2">
        <w:rPr>
          <w:rFonts w:ascii="Palatino Linotype" w:eastAsia="Calibri" w:hAnsi="Palatino Linotype" w:cs="Tahoma"/>
          <w:bCs/>
          <w:iCs/>
          <w:color w:val="000000"/>
          <w:sz w:val="22"/>
          <w:szCs w:val="22"/>
          <w:lang w:val="x-none" w:eastAsia="en-US"/>
        </w:rPr>
        <w:t>; por lo que, para atender de manera correcta la solicitud, deberá entregar</w:t>
      </w:r>
      <w:r w:rsidRPr="005C00A2">
        <w:rPr>
          <w:rFonts w:ascii="Palatino Linotype" w:eastAsia="Calibri" w:hAnsi="Palatino Linotype" w:cs="Tahoma"/>
          <w:bCs/>
          <w:iCs/>
          <w:color w:val="000000"/>
          <w:sz w:val="22"/>
          <w:szCs w:val="22"/>
          <w:lang w:val="es-US" w:eastAsia="en-US"/>
        </w:rPr>
        <w:t xml:space="preserve"> los documentos remitidos en Informe Justificado junto al acuerdo emitido por el Comité de Transparencia en el que de manera fundada y motivada señales los datos confidenciales en los documentos.</w:t>
      </w:r>
    </w:p>
    <w:p w14:paraId="0F994B5D" w14:textId="77777777" w:rsidR="006B5870" w:rsidRPr="005C00A2" w:rsidRDefault="006B5870" w:rsidP="00F6431D">
      <w:pPr>
        <w:spacing w:line="360" w:lineRule="auto"/>
        <w:jc w:val="both"/>
        <w:rPr>
          <w:rFonts w:ascii="Palatino Linotype" w:eastAsia="Calibri" w:hAnsi="Palatino Linotype" w:cs="Tahoma"/>
          <w:bCs/>
          <w:iCs/>
          <w:color w:val="000000"/>
          <w:sz w:val="22"/>
          <w:szCs w:val="22"/>
          <w:lang w:val="x-none" w:eastAsia="en-US"/>
        </w:rPr>
      </w:pPr>
    </w:p>
    <w:p w14:paraId="06ECDEF8" w14:textId="77777777" w:rsidR="006B5870" w:rsidRPr="005C00A2" w:rsidRDefault="006B5870" w:rsidP="00F6431D">
      <w:pPr>
        <w:spacing w:line="360" w:lineRule="auto"/>
        <w:jc w:val="both"/>
        <w:rPr>
          <w:rFonts w:ascii="Palatino Linotype" w:eastAsia="Calibri" w:hAnsi="Palatino Linotype" w:cs="Tahoma"/>
          <w:bCs/>
          <w:iCs/>
          <w:color w:val="000000"/>
          <w:sz w:val="22"/>
          <w:szCs w:val="22"/>
          <w:lang w:val="x-none" w:eastAsia="en-US"/>
        </w:rPr>
      </w:pPr>
      <w:r w:rsidRPr="005C00A2">
        <w:rPr>
          <w:rFonts w:ascii="Palatino Linotype" w:hAnsi="Palatino Linotype" w:cs="Tahoma"/>
          <w:sz w:val="22"/>
          <w:szCs w:val="22"/>
        </w:rPr>
        <w:t>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correcta en la que se testen las partes o secciones clasificadas, indicando su contenido de manera genérica y fundando y motivando su clasificación.</w:t>
      </w:r>
    </w:p>
    <w:p w14:paraId="48327BB4" w14:textId="77777777" w:rsidR="006B5870" w:rsidRPr="005C00A2" w:rsidRDefault="006B5870" w:rsidP="00F6431D">
      <w:pPr>
        <w:spacing w:line="360" w:lineRule="auto"/>
        <w:ind w:right="-93"/>
        <w:jc w:val="both"/>
        <w:rPr>
          <w:rFonts w:ascii="Palatino Linotype" w:hAnsi="Palatino Linotype" w:cs="Tahoma"/>
          <w:sz w:val="22"/>
          <w:szCs w:val="22"/>
        </w:rPr>
      </w:pPr>
    </w:p>
    <w:p w14:paraId="2CFA920B" w14:textId="53C0774A" w:rsidR="006B5870" w:rsidRPr="00F6431D" w:rsidRDefault="006B5870" w:rsidP="00F6431D">
      <w:pPr>
        <w:tabs>
          <w:tab w:val="left" w:pos="4962"/>
        </w:tabs>
        <w:spacing w:line="360" w:lineRule="auto"/>
        <w:contextualSpacing/>
        <w:jc w:val="both"/>
        <w:rPr>
          <w:rFonts w:ascii="Palatino Linotype" w:eastAsia="Calibri" w:hAnsi="Palatino Linotype"/>
          <w:color w:val="000000"/>
          <w:sz w:val="22"/>
          <w:szCs w:val="22"/>
          <w:lang w:eastAsia="en-US"/>
        </w:rPr>
      </w:pPr>
      <w:r w:rsidRPr="005C00A2">
        <w:rPr>
          <w:rFonts w:ascii="Palatino Linotype" w:hAnsi="Palatino Linotype" w:cs="Tahoma"/>
          <w:sz w:val="22"/>
          <w:szCs w:val="22"/>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01BA4CD6" w14:textId="63224C16" w:rsidR="006C5A59" w:rsidRPr="00F6431D" w:rsidRDefault="006C5A59" w:rsidP="00F6431D">
      <w:pPr>
        <w:tabs>
          <w:tab w:val="left" w:pos="4962"/>
        </w:tabs>
        <w:spacing w:line="360" w:lineRule="auto"/>
        <w:contextualSpacing/>
        <w:jc w:val="both"/>
        <w:rPr>
          <w:rFonts w:ascii="Palatino Linotype" w:hAnsi="Palatino Linotype" w:cs="Tahoma"/>
          <w:sz w:val="22"/>
          <w:szCs w:val="22"/>
        </w:rPr>
      </w:pPr>
    </w:p>
    <w:p w14:paraId="52B83C03" w14:textId="7CD8E927" w:rsidR="00FA2C4B" w:rsidRPr="00F6431D" w:rsidRDefault="00FA2C4B" w:rsidP="00F6431D">
      <w:pPr>
        <w:spacing w:line="360" w:lineRule="auto"/>
        <w:contextualSpacing/>
        <w:rPr>
          <w:rFonts w:ascii="Palatino Linotype" w:hAnsi="Palatino Linotype" w:cs="Tahoma"/>
          <w:b/>
          <w:sz w:val="22"/>
          <w:szCs w:val="22"/>
        </w:rPr>
      </w:pPr>
      <w:r w:rsidRPr="00F6431D">
        <w:rPr>
          <w:rFonts w:ascii="Palatino Linotype" w:hAnsi="Palatino Linotype" w:cs="Tahoma"/>
          <w:b/>
          <w:sz w:val="22"/>
          <w:szCs w:val="22"/>
        </w:rPr>
        <w:t>SEXTO. Decisión</w:t>
      </w:r>
    </w:p>
    <w:p w14:paraId="00E3254C" w14:textId="77777777" w:rsidR="00FA2C4B" w:rsidRPr="00F6431D" w:rsidRDefault="00FA2C4B" w:rsidP="00F6431D">
      <w:pPr>
        <w:spacing w:line="360" w:lineRule="auto"/>
        <w:contextualSpacing/>
        <w:rPr>
          <w:rFonts w:ascii="Palatino Linotype" w:hAnsi="Palatino Linotype" w:cs="Tahoma"/>
          <w:b/>
        </w:rPr>
      </w:pPr>
    </w:p>
    <w:p w14:paraId="251A7ECC" w14:textId="486D3E38" w:rsidR="00FA2C4B" w:rsidRPr="00F6431D" w:rsidRDefault="00F6431D" w:rsidP="00F6431D">
      <w:pPr>
        <w:tabs>
          <w:tab w:val="left" w:pos="4962"/>
        </w:tabs>
        <w:spacing w:line="360" w:lineRule="auto"/>
        <w:contextualSpacing/>
        <w:jc w:val="both"/>
        <w:rPr>
          <w:rFonts w:ascii="Palatino Linotype" w:hAnsi="Palatino Linotype" w:cs="Tahoma"/>
          <w:sz w:val="22"/>
          <w:szCs w:val="22"/>
        </w:rPr>
      </w:pPr>
      <w:r w:rsidRPr="00F6431D">
        <w:rPr>
          <w:rFonts w:ascii="Palatino Linotype" w:eastAsia="Calibri" w:hAnsi="Palatino Linotype" w:cs="Tahoma"/>
          <w:color w:val="000000"/>
          <w:sz w:val="22"/>
          <w:szCs w:val="22"/>
          <w:lang w:eastAsia="en-US"/>
        </w:rPr>
        <w:t xml:space="preserve">Con fundamento en el artículo 186, fracción III, de la Ley de Transparencia y Acceso a la Información Pública del Estado de México y Municipios, este Instituto considera procedente </w:t>
      </w:r>
      <w:r w:rsidRPr="00F6431D">
        <w:rPr>
          <w:rFonts w:ascii="Palatino Linotype" w:eastAsia="Calibri" w:hAnsi="Palatino Linotype" w:cs="Tahoma"/>
          <w:b/>
          <w:color w:val="000000"/>
          <w:sz w:val="22"/>
          <w:szCs w:val="22"/>
          <w:lang w:eastAsia="en-US"/>
        </w:rPr>
        <w:t xml:space="preserve">REVOCAR </w:t>
      </w:r>
      <w:r w:rsidRPr="00F6431D">
        <w:rPr>
          <w:rFonts w:ascii="Palatino Linotype" w:eastAsia="Calibri" w:hAnsi="Palatino Linotype" w:cs="Tahoma"/>
          <w:bCs/>
          <w:color w:val="000000"/>
          <w:sz w:val="22"/>
          <w:szCs w:val="22"/>
          <w:lang w:eastAsia="en-US"/>
        </w:rPr>
        <w:t>la</w:t>
      </w:r>
      <w:r>
        <w:rPr>
          <w:rFonts w:ascii="Palatino Linotype" w:eastAsia="Calibri" w:hAnsi="Palatino Linotype" w:cs="Tahoma"/>
          <w:color w:val="000000"/>
          <w:sz w:val="22"/>
          <w:szCs w:val="22"/>
          <w:lang w:eastAsia="en-US"/>
        </w:rPr>
        <w:t xml:space="preserve"> respuesta otorgada por la</w:t>
      </w:r>
      <w:r w:rsidRPr="00F6431D">
        <w:rPr>
          <w:rFonts w:ascii="Palatino Linotype" w:eastAsia="Calibri" w:hAnsi="Palatino Linotype" w:cs="Tahoma"/>
          <w:color w:val="000000"/>
          <w:sz w:val="22"/>
          <w:szCs w:val="22"/>
          <w:lang w:eastAsia="en-US"/>
        </w:rPr>
        <w:t xml:space="preserve"> Secretaría </w:t>
      </w:r>
      <w:r w:rsidR="00164BA2">
        <w:rPr>
          <w:rFonts w:ascii="Palatino Linotype" w:eastAsia="Calibri" w:hAnsi="Palatino Linotype" w:cs="Tahoma"/>
          <w:color w:val="000000"/>
          <w:sz w:val="22"/>
          <w:szCs w:val="22"/>
          <w:lang w:eastAsia="en-US"/>
        </w:rPr>
        <w:t>de Finanzas</w:t>
      </w:r>
      <w:r w:rsidRPr="00F6431D">
        <w:rPr>
          <w:rFonts w:ascii="Palatino Linotype" w:eastAsia="Calibri" w:hAnsi="Palatino Linotype" w:cs="Tahoma"/>
          <w:color w:val="000000"/>
          <w:sz w:val="22"/>
          <w:szCs w:val="22"/>
          <w:lang w:eastAsia="en-US"/>
        </w:rPr>
        <w:t xml:space="preserve">, e instruye al Sujeto Obligado a efecto de que, entregue, </w:t>
      </w:r>
      <w:r w:rsidRPr="00F6431D">
        <w:rPr>
          <w:rFonts w:ascii="Palatino Linotype" w:eastAsia="Calibri" w:hAnsi="Palatino Linotype" w:cs="Tahoma"/>
          <w:iCs/>
          <w:color w:val="000000"/>
          <w:sz w:val="22"/>
          <w:szCs w:val="22"/>
          <w:lang w:eastAsia="es-ES_tradnl"/>
        </w:rPr>
        <w:t xml:space="preserve">a través del SAIMEX, en versión pública correcta, </w:t>
      </w:r>
      <w:r w:rsidRPr="00F6431D">
        <w:rPr>
          <w:rFonts w:ascii="Palatino Linotype" w:hAnsi="Palatino Linotype" w:cs="Tahoma"/>
          <w:bCs/>
          <w:iCs/>
          <w:sz w:val="22"/>
          <w:szCs w:val="22"/>
          <w:lang w:val="es-ES"/>
        </w:rPr>
        <w:t>los documentos entregados en informe justificado.</w:t>
      </w:r>
    </w:p>
    <w:p w14:paraId="047F15B5" w14:textId="77777777" w:rsidR="00FA2C4B" w:rsidRPr="00F6431D" w:rsidRDefault="00FA2C4B" w:rsidP="00F6431D">
      <w:pPr>
        <w:tabs>
          <w:tab w:val="left" w:pos="4962"/>
        </w:tabs>
        <w:spacing w:line="360" w:lineRule="auto"/>
        <w:contextualSpacing/>
        <w:jc w:val="both"/>
        <w:rPr>
          <w:rFonts w:ascii="Palatino Linotype" w:hAnsi="Palatino Linotype" w:cs="Tahoma"/>
          <w:sz w:val="22"/>
          <w:szCs w:val="22"/>
        </w:rPr>
      </w:pPr>
    </w:p>
    <w:p w14:paraId="1A706536" w14:textId="6AE690FB" w:rsidR="00FA2C4B" w:rsidRPr="00F6431D" w:rsidRDefault="00FA2C4B" w:rsidP="00F6431D">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F6431D">
        <w:rPr>
          <w:rFonts w:ascii="Palatino Linotype" w:eastAsia="Calibri" w:hAnsi="Palatino Linotype" w:cs="Tahoma"/>
          <w:b/>
          <w:bCs/>
          <w:iCs/>
          <w:sz w:val="22"/>
          <w:szCs w:val="22"/>
          <w:lang w:val="es-ES" w:eastAsia="en-US"/>
        </w:rPr>
        <w:t>Términos de la Resolución para conocimiento del Particular</w:t>
      </w:r>
    </w:p>
    <w:p w14:paraId="64E77709" w14:textId="37DBD93D" w:rsidR="00FA2C4B" w:rsidRPr="00F6431D" w:rsidRDefault="00EE6E4F" w:rsidP="00EE6E4F">
      <w:pPr>
        <w:tabs>
          <w:tab w:val="left" w:pos="938"/>
        </w:tabs>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Pr>
          <w:rFonts w:ascii="Palatino Linotype" w:eastAsia="Calibri" w:hAnsi="Palatino Linotype" w:cs="Tahoma"/>
          <w:b/>
          <w:bCs/>
          <w:iCs/>
          <w:sz w:val="22"/>
          <w:szCs w:val="22"/>
          <w:lang w:val="es-ES" w:eastAsia="en-US"/>
        </w:rPr>
        <w:tab/>
      </w:r>
    </w:p>
    <w:p w14:paraId="456FE571" w14:textId="7D118222" w:rsidR="00F6431D" w:rsidRPr="00F6431D" w:rsidRDefault="00F6431D" w:rsidP="00F6431D">
      <w:pPr>
        <w:spacing w:line="360" w:lineRule="auto"/>
        <w:ind w:right="-28"/>
        <w:jc w:val="both"/>
        <w:rPr>
          <w:rFonts w:ascii="Palatino Linotype" w:eastAsia="Calibri" w:hAnsi="Palatino Linotype" w:cs="Tahoma"/>
          <w:color w:val="000000"/>
          <w:sz w:val="22"/>
          <w:szCs w:val="22"/>
          <w:lang w:eastAsia="en-US"/>
        </w:rPr>
      </w:pPr>
      <w:r w:rsidRPr="00F6431D">
        <w:rPr>
          <w:rFonts w:ascii="Palatino Linotype" w:hAnsi="Palatino Linotype"/>
          <w:color w:val="000000"/>
          <w:sz w:val="22"/>
          <w:szCs w:val="22"/>
          <w:lang w:eastAsia="es-MX"/>
        </w:rPr>
        <w:t xml:space="preserve">Se le hace del conocimiento al Particular, que, en el presente caso, se le concede la razón, pues </w:t>
      </w:r>
      <w:r>
        <w:rPr>
          <w:rFonts w:ascii="Palatino Linotype" w:hAnsi="Palatino Linotype"/>
          <w:color w:val="000000"/>
          <w:sz w:val="22"/>
          <w:szCs w:val="22"/>
          <w:lang w:eastAsia="es-MX"/>
        </w:rPr>
        <w:t xml:space="preserve">la </w:t>
      </w:r>
      <w:r w:rsidRPr="00F6431D">
        <w:rPr>
          <w:rFonts w:ascii="Palatino Linotype" w:hAnsi="Palatino Linotype"/>
          <w:color w:val="000000"/>
          <w:sz w:val="22"/>
          <w:szCs w:val="22"/>
        </w:rPr>
        <w:t xml:space="preserve">Secretaría </w:t>
      </w:r>
      <w:r w:rsidR="00164BA2">
        <w:rPr>
          <w:rFonts w:ascii="Palatino Linotype" w:hAnsi="Palatino Linotype"/>
          <w:color w:val="000000"/>
          <w:sz w:val="22"/>
          <w:szCs w:val="22"/>
        </w:rPr>
        <w:t>de Finanzas</w:t>
      </w:r>
      <w:r w:rsidRPr="00F6431D">
        <w:rPr>
          <w:rFonts w:ascii="Palatino Linotype" w:eastAsia="Calibri" w:hAnsi="Palatino Linotype" w:cs="Tahoma"/>
          <w:color w:val="000000"/>
          <w:sz w:val="22"/>
          <w:szCs w:val="22"/>
          <w:lang w:eastAsia="en-US"/>
        </w:rPr>
        <w:t xml:space="preserve">, en un principio señaló </w:t>
      </w:r>
      <w:r w:rsidR="00164BA2">
        <w:rPr>
          <w:rFonts w:ascii="Palatino Linotype" w:eastAsia="Calibri" w:hAnsi="Palatino Linotype" w:cs="Tahoma"/>
          <w:color w:val="000000"/>
          <w:sz w:val="22"/>
          <w:szCs w:val="22"/>
          <w:lang w:eastAsia="en-US"/>
        </w:rPr>
        <w:t>que no podía hacer entrega de la información solicitada, al considerarse en su totalidad como confidencial. D</w:t>
      </w:r>
      <w:r w:rsidRPr="00F6431D">
        <w:rPr>
          <w:rFonts w:ascii="Palatino Linotype" w:eastAsia="Calibri" w:hAnsi="Palatino Linotype" w:cs="Tahoma"/>
          <w:color w:val="000000"/>
          <w:sz w:val="22"/>
          <w:szCs w:val="22"/>
          <w:lang w:eastAsia="en-US"/>
        </w:rPr>
        <w:t xml:space="preserve">erivado de ello, </w:t>
      </w:r>
      <w:r w:rsidRPr="00F6431D">
        <w:rPr>
          <w:rFonts w:ascii="Palatino Linotype" w:eastAsia="Calibri" w:hAnsi="Palatino Linotype" w:cs="Tahoma"/>
          <w:color w:val="000000"/>
          <w:sz w:val="22"/>
          <w:szCs w:val="22"/>
          <w:lang w:eastAsia="en-US"/>
        </w:rPr>
        <w:lastRenderedPageBreak/>
        <w:t xml:space="preserve">en un acto posterior, a través de la presentación de su Informe Justificado, remitió la información que </w:t>
      </w:r>
      <w:r w:rsidR="00164BA2">
        <w:rPr>
          <w:rFonts w:ascii="Palatino Linotype" w:eastAsia="Calibri" w:hAnsi="Palatino Linotype" w:cs="Tahoma"/>
          <w:color w:val="000000"/>
          <w:sz w:val="22"/>
          <w:szCs w:val="22"/>
          <w:lang w:eastAsia="en-US"/>
        </w:rPr>
        <w:t>es de interés del solicitante; s</w:t>
      </w:r>
      <w:r w:rsidRPr="00F6431D">
        <w:rPr>
          <w:rFonts w:ascii="Palatino Linotype" w:eastAsia="Calibri" w:hAnsi="Palatino Linotype" w:cs="Tahoma"/>
          <w:color w:val="000000"/>
          <w:sz w:val="22"/>
          <w:szCs w:val="22"/>
          <w:lang w:eastAsia="en-US"/>
        </w:rPr>
        <w:t xml:space="preserve">in embargo, esta se encuentra en una versión pública incorrecta, por lo que deberá realizar la versión pública correcta de la misma, la cual deberá acompañar con su respectiva Acta del Comité de Transparencia, en la que funde y motivé la clasificación de la información. </w:t>
      </w:r>
      <w:r>
        <w:rPr>
          <w:rFonts w:ascii="Palatino Linotype" w:eastAsia="Calibri" w:hAnsi="Palatino Linotype" w:cs="Tahoma"/>
          <w:color w:val="000000"/>
          <w:sz w:val="22"/>
          <w:szCs w:val="22"/>
          <w:lang w:eastAsia="en-US"/>
        </w:rPr>
        <w:t xml:space="preserve"> </w:t>
      </w:r>
    </w:p>
    <w:p w14:paraId="70C201FB" w14:textId="77777777" w:rsidR="00F6431D" w:rsidRPr="00F6431D" w:rsidRDefault="00F6431D" w:rsidP="00F6431D">
      <w:pPr>
        <w:spacing w:line="360" w:lineRule="auto"/>
        <w:ind w:right="-28"/>
        <w:jc w:val="both"/>
        <w:rPr>
          <w:rFonts w:ascii="Palatino Linotype" w:eastAsia="Calibri" w:hAnsi="Palatino Linotype" w:cs="Tahoma"/>
          <w:bCs/>
          <w:iCs/>
          <w:sz w:val="22"/>
          <w:szCs w:val="22"/>
          <w:lang w:eastAsia="en-US"/>
        </w:rPr>
      </w:pPr>
    </w:p>
    <w:p w14:paraId="70CFB251" w14:textId="5DD2EEFF" w:rsidR="00FA2C4B" w:rsidRDefault="00F6431D" w:rsidP="00F6431D">
      <w:pPr>
        <w:spacing w:line="360" w:lineRule="auto"/>
        <w:contextualSpacing/>
        <w:jc w:val="both"/>
        <w:rPr>
          <w:rFonts w:ascii="Palatino Linotype" w:eastAsia="Calibri" w:hAnsi="Palatino Linotype" w:cs="Tahoma"/>
          <w:bCs/>
          <w:iCs/>
          <w:sz w:val="22"/>
          <w:szCs w:val="22"/>
          <w:lang w:eastAsia="en-US"/>
        </w:rPr>
      </w:pPr>
      <w:r w:rsidRPr="00F6431D">
        <w:rPr>
          <w:rFonts w:ascii="Palatino Linotype" w:eastAsia="Calibri" w:hAnsi="Palatino Linotype" w:cs="Tahoma"/>
          <w:bCs/>
          <w:iCs/>
          <w:sz w:val="22"/>
          <w:szCs w:val="22"/>
          <w:lang w:eastAsia="en-US"/>
        </w:rPr>
        <w:t>Finalmente, se le informa que la labor de este Instituto de Transparencia, Acceso a la Información Pública y Protección de Datos Personales, es apoyar a la población a acceder a la información pública y garantizar la protección de los datos personales.</w:t>
      </w:r>
    </w:p>
    <w:p w14:paraId="7B79429A" w14:textId="77777777" w:rsidR="00F6431D" w:rsidRDefault="00F6431D" w:rsidP="00F6431D">
      <w:pPr>
        <w:spacing w:line="360" w:lineRule="auto"/>
        <w:contextualSpacing/>
        <w:jc w:val="both"/>
        <w:rPr>
          <w:rFonts w:ascii="Palatino Linotype" w:eastAsia="Calibri" w:hAnsi="Palatino Linotype" w:cs="Tahoma"/>
          <w:bCs/>
          <w:iCs/>
          <w:sz w:val="22"/>
          <w:szCs w:val="22"/>
          <w:lang w:eastAsia="en-US"/>
        </w:rPr>
      </w:pPr>
    </w:p>
    <w:p w14:paraId="453C8ACB" w14:textId="5F4DCAE4" w:rsidR="00F6431D" w:rsidRDefault="00F6431D" w:rsidP="00B836B2">
      <w:pPr>
        <w:tabs>
          <w:tab w:val="center" w:pos="4419"/>
        </w:tabs>
        <w:spacing w:line="360" w:lineRule="auto"/>
        <w:jc w:val="both"/>
        <w:rPr>
          <w:rFonts w:ascii="Palatino Linotype" w:eastAsia="Calibri" w:hAnsi="Palatino Linotype" w:cs="Tahoma"/>
          <w:bCs/>
          <w:sz w:val="22"/>
          <w:szCs w:val="22"/>
          <w:lang w:eastAsia="en-US"/>
        </w:rPr>
      </w:pPr>
      <w:r w:rsidRPr="00F6431D">
        <w:rPr>
          <w:rFonts w:ascii="Palatino Linotype" w:eastAsia="Calibri" w:hAnsi="Palatino Linotype"/>
          <w:color w:val="000000"/>
          <w:sz w:val="22"/>
          <w:szCs w:val="22"/>
          <w:lang w:eastAsia="en-US"/>
        </w:rPr>
        <w:t>Por</w:t>
      </w:r>
      <w:r w:rsidRPr="00F6431D">
        <w:rPr>
          <w:rFonts w:ascii="Palatino Linotype" w:eastAsia="Calibri" w:hAnsi="Palatino Linotype" w:cs="Tahoma"/>
          <w:bCs/>
          <w:sz w:val="22"/>
          <w:szCs w:val="22"/>
          <w:lang w:eastAsia="en-US"/>
        </w:rPr>
        <w:t xml:space="preserve"> lo expuesto y fundado, este Pleno:</w:t>
      </w:r>
      <w:r w:rsidR="00B836B2">
        <w:rPr>
          <w:rFonts w:ascii="Palatino Linotype" w:eastAsia="Calibri" w:hAnsi="Palatino Linotype" w:cs="Tahoma"/>
          <w:bCs/>
          <w:sz w:val="22"/>
          <w:szCs w:val="22"/>
          <w:lang w:eastAsia="en-US"/>
        </w:rPr>
        <w:tab/>
      </w:r>
    </w:p>
    <w:p w14:paraId="3EA56D5B" w14:textId="7A71A886" w:rsidR="00F6431D" w:rsidRPr="00F6431D" w:rsidRDefault="00F6431D" w:rsidP="00F6431D">
      <w:pPr>
        <w:tabs>
          <w:tab w:val="left" w:pos="2227"/>
        </w:tabs>
        <w:spacing w:line="360" w:lineRule="auto"/>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ab/>
      </w:r>
    </w:p>
    <w:p w14:paraId="61CDDB15" w14:textId="77777777" w:rsidR="00FA2C4B" w:rsidRPr="00F6431D" w:rsidRDefault="00FA2C4B" w:rsidP="00F6431D">
      <w:pPr>
        <w:spacing w:line="360" w:lineRule="auto"/>
        <w:contextualSpacing/>
        <w:jc w:val="center"/>
        <w:rPr>
          <w:rFonts w:ascii="Palatino Linotype" w:eastAsia="Calibri" w:hAnsi="Palatino Linotype"/>
          <w:b/>
          <w:bCs/>
          <w:sz w:val="22"/>
          <w:szCs w:val="22"/>
        </w:rPr>
      </w:pPr>
      <w:r w:rsidRPr="00F6431D">
        <w:rPr>
          <w:rFonts w:ascii="Palatino Linotype" w:eastAsia="Calibri" w:hAnsi="Palatino Linotype"/>
          <w:b/>
          <w:bCs/>
          <w:sz w:val="22"/>
          <w:szCs w:val="22"/>
        </w:rPr>
        <w:t>R E S U E L V E</w:t>
      </w:r>
    </w:p>
    <w:p w14:paraId="315AB1AF" w14:textId="77777777" w:rsidR="00FA2C4B" w:rsidRPr="00F6431D" w:rsidRDefault="00FA2C4B" w:rsidP="00F6431D">
      <w:pPr>
        <w:spacing w:line="360" w:lineRule="auto"/>
        <w:ind w:right="-28"/>
        <w:contextualSpacing/>
        <w:jc w:val="both"/>
        <w:rPr>
          <w:rFonts w:ascii="Palatino Linotype" w:hAnsi="Palatino Linotype" w:cs="Tahoma"/>
          <w:b/>
          <w:bCs/>
          <w:sz w:val="22"/>
          <w:szCs w:val="22"/>
        </w:rPr>
      </w:pPr>
    </w:p>
    <w:p w14:paraId="26191850" w14:textId="12398E9C" w:rsidR="00F6431D" w:rsidRPr="00F6431D" w:rsidRDefault="00F6431D" w:rsidP="00F6431D">
      <w:pPr>
        <w:spacing w:line="360" w:lineRule="auto"/>
        <w:contextualSpacing/>
        <w:jc w:val="both"/>
        <w:rPr>
          <w:rFonts w:ascii="Palatino Linotype" w:eastAsia="Calibri" w:hAnsi="Palatino Linotype" w:cs="Tahoma"/>
          <w:color w:val="000000"/>
          <w:sz w:val="22"/>
          <w:szCs w:val="22"/>
          <w:lang w:eastAsia="en-US"/>
        </w:rPr>
      </w:pPr>
      <w:r w:rsidRPr="00F6431D">
        <w:rPr>
          <w:rFonts w:ascii="Palatino Linotype" w:eastAsia="Calibri" w:hAnsi="Palatino Linotype" w:cs="Tahoma"/>
          <w:b/>
          <w:bCs/>
          <w:color w:val="000000"/>
          <w:sz w:val="22"/>
          <w:szCs w:val="22"/>
          <w:lang w:eastAsia="en-US"/>
        </w:rPr>
        <w:t xml:space="preserve">PRIMERO. </w:t>
      </w:r>
      <w:r w:rsidRPr="00F6431D">
        <w:rPr>
          <w:rFonts w:ascii="Palatino Linotype" w:eastAsia="Calibri" w:hAnsi="Palatino Linotype" w:cs="Tahoma"/>
          <w:bCs/>
          <w:color w:val="000000"/>
          <w:sz w:val="22"/>
          <w:szCs w:val="22"/>
          <w:lang w:eastAsia="en-US"/>
        </w:rPr>
        <w:t xml:space="preserve">Se </w:t>
      </w:r>
      <w:r w:rsidRPr="00F6431D">
        <w:rPr>
          <w:rFonts w:ascii="Palatino Linotype" w:eastAsia="Calibri" w:hAnsi="Palatino Linotype" w:cs="Tahoma"/>
          <w:b/>
          <w:bCs/>
          <w:color w:val="000000"/>
          <w:sz w:val="22"/>
          <w:szCs w:val="22"/>
          <w:lang w:eastAsia="en-US"/>
        </w:rPr>
        <w:t>REVOCA</w:t>
      </w:r>
      <w:r w:rsidRPr="00F6431D">
        <w:rPr>
          <w:rFonts w:ascii="Palatino Linotype" w:eastAsia="Calibri" w:hAnsi="Palatino Linotype" w:cs="Tahoma"/>
          <w:bCs/>
          <w:color w:val="000000"/>
          <w:sz w:val="22"/>
          <w:szCs w:val="22"/>
          <w:lang w:eastAsia="en-US"/>
        </w:rPr>
        <w:t xml:space="preserve"> la respuesta entregada por </w:t>
      </w:r>
      <w:r>
        <w:rPr>
          <w:rFonts w:ascii="Palatino Linotype" w:eastAsia="Calibri" w:hAnsi="Palatino Linotype" w:cs="Tahoma"/>
          <w:bCs/>
          <w:color w:val="000000"/>
          <w:sz w:val="22"/>
          <w:szCs w:val="22"/>
          <w:lang w:eastAsia="en-US"/>
        </w:rPr>
        <w:t xml:space="preserve">la </w:t>
      </w:r>
      <w:r w:rsidRPr="00F6431D">
        <w:rPr>
          <w:rFonts w:ascii="Palatino Linotype" w:hAnsi="Palatino Linotype"/>
          <w:color w:val="000000"/>
          <w:sz w:val="22"/>
          <w:szCs w:val="22"/>
        </w:rPr>
        <w:t xml:space="preserve">Secretaría </w:t>
      </w:r>
      <w:r w:rsidR="00164BA2">
        <w:rPr>
          <w:rFonts w:ascii="Palatino Linotype" w:hAnsi="Palatino Linotype"/>
          <w:color w:val="000000"/>
          <w:sz w:val="22"/>
          <w:szCs w:val="22"/>
        </w:rPr>
        <w:t>de Finanzas</w:t>
      </w:r>
      <w:r w:rsidRPr="00F6431D">
        <w:rPr>
          <w:rFonts w:ascii="Palatino Linotype" w:eastAsia="Calibri" w:hAnsi="Palatino Linotype" w:cs="Tahoma"/>
          <w:color w:val="000000"/>
          <w:sz w:val="22"/>
          <w:szCs w:val="22"/>
          <w:lang w:eastAsia="en-US"/>
        </w:rPr>
        <w:t>,</w:t>
      </w:r>
      <w:r w:rsidRPr="00F6431D">
        <w:rPr>
          <w:rFonts w:ascii="Palatino Linotype" w:eastAsia="Calibri" w:hAnsi="Palatino Linotype" w:cs="Tahoma"/>
          <w:bCs/>
          <w:color w:val="000000"/>
          <w:sz w:val="22"/>
          <w:szCs w:val="22"/>
          <w:lang w:eastAsia="en-US"/>
        </w:rPr>
        <w:t xml:space="preserve"> a la solicitud de </w:t>
      </w:r>
      <w:r w:rsidRPr="00F6431D">
        <w:rPr>
          <w:rFonts w:ascii="Palatino Linotype" w:eastAsia="Calibri" w:hAnsi="Palatino Linotype" w:cs="Tahoma"/>
          <w:color w:val="000000"/>
          <w:sz w:val="22"/>
          <w:szCs w:val="22"/>
          <w:lang w:eastAsia="en-US"/>
        </w:rPr>
        <w:t xml:space="preserve">información </w:t>
      </w:r>
      <w:r w:rsidR="00164BA2" w:rsidRPr="00164BA2">
        <w:rPr>
          <w:rFonts w:ascii="Palatino Linotype" w:eastAsia="Calibri" w:hAnsi="Palatino Linotype" w:cs="Tahoma"/>
          <w:color w:val="000000"/>
          <w:sz w:val="22"/>
          <w:szCs w:val="22"/>
          <w:lang w:eastAsia="en-US"/>
        </w:rPr>
        <w:t>00685/SF/IP/2024</w:t>
      </w:r>
      <w:r>
        <w:rPr>
          <w:rFonts w:ascii="Palatino Linotype" w:eastAsia="Calibri" w:hAnsi="Palatino Linotype" w:cs="Tahoma"/>
          <w:color w:val="000000"/>
          <w:sz w:val="22"/>
          <w:szCs w:val="22"/>
          <w:lang w:eastAsia="en-US"/>
        </w:rPr>
        <w:t xml:space="preserve"> </w:t>
      </w:r>
      <w:r w:rsidRPr="00F6431D">
        <w:rPr>
          <w:rFonts w:ascii="Palatino Linotype" w:eastAsia="Calibri" w:hAnsi="Palatino Linotype"/>
          <w:color w:val="000000"/>
          <w:sz w:val="22"/>
          <w:szCs w:val="22"/>
          <w:lang w:eastAsia="en-US"/>
        </w:rPr>
        <w:t xml:space="preserve">por resultar </w:t>
      </w:r>
      <w:r w:rsidRPr="00F6431D">
        <w:rPr>
          <w:rFonts w:ascii="Palatino Linotype" w:eastAsia="Calibri" w:hAnsi="Palatino Linotype"/>
          <w:b/>
          <w:color w:val="000000"/>
          <w:sz w:val="22"/>
          <w:szCs w:val="22"/>
          <w:lang w:eastAsia="en-US"/>
        </w:rPr>
        <w:t>FUNDADAS</w:t>
      </w:r>
      <w:r w:rsidRPr="00F6431D">
        <w:rPr>
          <w:rFonts w:ascii="Palatino Linotype" w:eastAsia="Calibri" w:hAnsi="Palatino Linotype" w:cs="Tahoma"/>
          <w:color w:val="000000"/>
          <w:sz w:val="22"/>
          <w:szCs w:val="22"/>
          <w:lang w:eastAsia="en-US"/>
        </w:rPr>
        <w:t xml:space="preserve"> las razones o motivos de inconformidad hechos valer por el Particular, en</w:t>
      </w:r>
      <w:r w:rsidRPr="00F6431D">
        <w:rPr>
          <w:rFonts w:ascii="Palatino Linotype" w:eastAsia="Calibri" w:hAnsi="Palatino Linotype" w:cs="Tahoma"/>
          <w:bCs/>
          <w:color w:val="000000"/>
          <w:sz w:val="22"/>
          <w:szCs w:val="22"/>
          <w:lang w:eastAsia="en-US"/>
        </w:rPr>
        <w:t xml:space="preserve"> términos de los </w:t>
      </w:r>
      <w:r w:rsidR="00453670">
        <w:rPr>
          <w:rFonts w:ascii="Palatino Linotype" w:eastAsia="Calibri" w:hAnsi="Palatino Linotype" w:cs="Tahoma"/>
          <w:bCs/>
          <w:color w:val="000000"/>
          <w:sz w:val="22"/>
          <w:szCs w:val="22"/>
          <w:lang w:eastAsia="en-US"/>
        </w:rPr>
        <w:t>C</w:t>
      </w:r>
      <w:r w:rsidRPr="00F6431D">
        <w:rPr>
          <w:rFonts w:ascii="Palatino Linotype" w:eastAsia="Calibri" w:hAnsi="Palatino Linotype" w:cs="Tahoma"/>
          <w:bCs/>
          <w:color w:val="000000"/>
          <w:sz w:val="22"/>
          <w:szCs w:val="22"/>
          <w:lang w:eastAsia="en-US"/>
        </w:rPr>
        <w:t xml:space="preserve">onsiderandos </w:t>
      </w:r>
      <w:r w:rsidRPr="00F6431D">
        <w:rPr>
          <w:rFonts w:ascii="Palatino Linotype" w:eastAsia="Calibri" w:hAnsi="Palatino Linotype" w:cs="Tahoma"/>
          <w:color w:val="000000"/>
          <w:sz w:val="22"/>
          <w:szCs w:val="22"/>
          <w:lang w:eastAsia="en-US"/>
        </w:rPr>
        <w:t xml:space="preserve">QUINTO y SEXTO de la presente Resolución.  </w:t>
      </w:r>
    </w:p>
    <w:p w14:paraId="2BC66937" w14:textId="77777777" w:rsidR="00F6431D" w:rsidRPr="00F6431D" w:rsidRDefault="00F6431D" w:rsidP="00F6431D">
      <w:pPr>
        <w:spacing w:line="360" w:lineRule="auto"/>
        <w:contextualSpacing/>
        <w:jc w:val="both"/>
        <w:rPr>
          <w:rFonts w:ascii="Palatino Linotype" w:eastAsia="Calibri" w:hAnsi="Palatino Linotype" w:cs="Tahoma"/>
          <w:bCs/>
          <w:color w:val="000000"/>
          <w:sz w:val="22"/>
          <w:szCs w:val="22"/>
          <w:lang w:eastAsia="en-US"/>
        </w:rPr>
      </w:pPr>
    </w:p>
    <w:p w14:paraId="75BF26A3" w14:textId="45209FA8" w:rsidR="00F6431D" w:rsidRPr="00F6431D" w:rsidRDefault="00F6431D" w:rsidP="00F6431D">
      <w:pPr>
        <w:spacing w:line="360" w:lineRule="auto"/>
        <w:contextualSpacing/>
        <w:jc w:val="both"/>
        <w:rPr>
          <w:rFonts w:ascii="Palatino Linotype" w:eastAsia="Calibri" w:hAnsi="Palatino Linotype" w:cs="Tahoma"/>
          <w:iCs/>
          <w:color w:val="000000"/>
          <w:sz w:val="22"/>
          <w:szCs w:val="22"/>
          <w:lang w:eastAsia="es-ES_tradnl"/>
        </w:rPr>
      </w:pPr>
      <w:r w:rsidRPr="00F6431D">
        <w:rPr>
          <w:rFonts w:ascii="Palatino Linotype" w:eastAsia="Calibri" w:hAnsi="Palatino Linotype" w:cs="Tahoma"/>
          <w:b/>
          <w:bCs/>
          <w:color w:val="000000"/>
          <w:sz w:val="22"/>
          <w:szCs w:val="22"/>
          <w:lang w:eastAsia="en-US"/>
        </w:rPr>
        <w:t xml:space="preserve">SEGUNDO. </w:t>
      </w:r>
      <w:r w:rsidRPr="00F6431D">
        <w:rPr>
          <w:rFonts w:ascii="Palatino Linotype" w:eastAsia="Calibri" w:hAnsi="Palatino Linotype" w:cs="Tahoma"/>
          <w:color w:val="000000"/>
          <w:sz w:val="22"/>
          <w:szCs w:val="22"/>
          <w:lang w:eastAsia="en-US"/>
        </w:rPr>
        <w:t xml:space="preserve">Se </w:t>
      </w:r>
      <w:r w:rsidRPr="00F6431D">
        <w:rPr>
          <w:rFonts w:ascii="Palatino Linotype" w:eastAsia="Calibri" w:hAnsi="Palatino Linotype" w:cs="Tahoma"/>
          <w:b/>
          <w:color w:val="000000"/>
          <w:sz w:val="22"/>
          <w:szCs w:val="22"/>
          <w:lang w:eastAsia="en-US"/>
        </w:rPr>
        <w:t xml:space="preserve">ORDENA </w:t>
      </w:r>
      <w:r w:rsidRPr="00F6431D">
        <w:rPr>
          <w:rFonts w:ascii="Palatino Linotype" w:eastAsia="Calibri" w:hAnsi="Palatino Linotype" w:cs="Tahoma"/>
          <w:bCs/>
          <w:color w:val="000000"/>
          <w:sz w:val="22"/>
          <w:szCs w:val="22"/>
          <w:lang w:eastAsia="en-US"/>
        </w:rPr>
        <w:t xml:space="preserve">al </w:t>
      </w:r>
      <w:r w:rsidRPr="00F6431D">
        <w:rPr>
          <w:rFonts w:ascii="Palatino Linotype" w:eastAsia="Calibri" w:hAnsi="Palatino Linotype" w:cs="Tahoma"/>
          <w:color w:val="000000"/>
          <w:sz w:val="22"/>
          <w:szCs w:val="22"/>
          <w:lang w:eastAsia="en-US"/>
        </w:rPr>
        <w:t>Ente Recurrido, a efecto de</w:t>
      </w:r>
      <w:r w:rsidRPr="00F6431D">
        <w:rPr>
          <w:rFonts w:ascii="Palatino Linotype" w:eastAsia="Calibri" w:hAnsi="Palatino Linotype" w:cs="Tahoma"/>
          <w:color w:val="000000"/>
          <w:sz w:val="22"/>
          <w:szCs w:val="22"/>
          <w:lang w:eastAsia="es-MX"/>
        </w:rPr>
        <w:t xml:space="preserve"> que, entregue</w:t>
      </w:r>
      <w:r w:rsidRPr="00F6431D">
        <w:rPr>
          <w:rFonts w:ascii="Palatino Linotype" w:eastAsia="Calibri" w:hAnsi="Palatino Linotype" w:cs="Tahoma"/>
          <w:color w:val="000000"/>
          <w:sz w:val="22"/>
          <w:szCs w:val="22"/>
          <w:lang w:eastAsia="en-US"/>
        </w:rPr>
        <w:t xml:space="preserve"> a través del SAIMEX, </w:t>
      </w:r>
      <w:r w:rsidRPr="00F6431D">
        <w:rPr>
          <w:rFonts w:ascii="Palatino Linotype" w:eastAsia="Calibri" w:hAnsi="Palatino Linotype" w:cs="Tahoma"/>
          <w:iCs/>
          <w:color w:val="000000"/>
          <w:sz w:val="22"/>
          <w:szCs w:val="22"/>
          <w:lang w:eastAsia="es-ES_tradnl"/>
        </w:rPr>
        <w:t xml:space="preserve">en versión pública correcta, </w:t>
      </w:r>
      <w:r w:rsidR="001906D7">
        <w:rPr>
          <w:rFonts w:ascii="Palatino Linotype" w:eastAsia="Calibri" w:hAnsi="Palatino Linotype" w:cs="Tahoma"/>
          <w:iCs/>
          <w:color w:val="000000"/>
          <w:sz w:val="22"/>
          <w:szCs w:val="22"/>
          <w:lang w:eastAsia="es-ES_tradnl"/>
        </w:rPr>
        <w:t xml:space="preserve">el </w:t>
      </w:r>
      <w:r w:rsidR="001906D7" w:rsidRPr="001906D7">
        <w:rPr>
          <w:rFonts w:ascii="Palatino Linotype" w:eastAsia="Calibri" w:hAnsi="Palatino Linotype" w:cs="Tahoma"/>
          <w:iCs/>
          <w:color w:val="000000"/>
          <w:sz w:val="22"/>
          <w:szCs w:val="22"/>
          <w:lang w:eastAsia="es-ES_tradnl"/>
        </w:rPr>
        <w:t>oficio 20703001050100L/4221/2024 y sus anexos, emitido por la Subdirección de Coordinación Operativa</w:t>
      </w:r>
      <w:r w:rsidR="001906D7">
        <w:rPr>
          <w:rFonts w:ascii="Palatino Linotype" w:eastAsia="Calibri" w:hAnsi="Palatino Linotype" w:cs="Tahoma"/>
          <w:iCs/>
          <w:color w:val="000000"/>
          <w:sz w:val="22"/>
          <w:szCs w:val="22"/>
          <w:lang w:eastAsia="es-ES_tradnl"/>
        </w:rPr>
        <w:t>, entregados en Informe Justificado</w:t>
      </w:r>
    </w:p>
    <w:p w14:paraId="413A3C3E" w14:textId="77777777" w:rsidR="00F6431D" w:rsidRPr="00F6431D" w:rsidRDefault="00F6431D" w:rsidP="00F6431D">
      <w:pPr>
        <w:spacing w:line="360" w:lineRule="auto"/>
        <w:contextualSpacing/>
        <w:jc w:val="both"/>
        <w:rPr>
          <w:rFonts w:ascii="Palatino Linotype" w:eastAsia="Calibri" w:hAnsi="Palatino Linotype" w:cs="Tahoma"/>
          <w:iCs/>
          <w:color w:val="000000"/>
          <w:sz w:val="22"/>
          <w:szCs w:val="22"/>
          <w:lang w:eastAsia="es-ES_tradnl"/>
        </w:rPr>
      </w:pPr>
    </w:p>
    <w:p w14:paraId="7225E844" w14:textId="77777777" w:rsidR="00F6431D" w:rsidRPr="00F6431D" w:rsidRDefault="00F6431D" w:rsidP="00F6431D">
      <w:pPr>
        <w:tabs>
          <w:tab w:val="left" w:pos="4962"/>
        </w:tabs>
        <w:spacing w:line="360" w:lineRule="auto"/>
        <w:jc w:val="both"/>
        <w:rPr>
          <w:rFonts w:ascii="Palatino Linotype" w:eastAsia="Calibri" w:hAnsi="Palatino Linotype" w:cs="Tahoma"/>
          <w:bCs/>
          <w:iCs/>
          <w:sz w:val="22"/>
          <w:szCs w:val="22"/>
          <w:lang w:val="es-ES" w:eastAsia="en-US"/>
        </w:rPr>
      </w:pPr>
      <w:r w:rsidRPr="00F6431D">
        <w:rPr>
          <w:rFonts w:ascii="Palatino Linotype" w:eastAsia="Calibri" w:hAnsi="Palatino Linotype" w:cs="Tahoma"/>
          <w:bCs/>
          <w:iCs/>
          <w:sz w:val="22"/>
          <w:szCs w:val="22"/>
          <w:lang w:val="es-ES" w:eastAsia="en-US"/>
        </w:rPr>
        <w:t xml:space="preserve">Además, deberá proporcionar el Acuerdo de Clasificación donde el Comité de Transparencia, confirme la eliminación de los datos o información clasificada, en la versión pública, de conformidad con los artículos 49, fracciones II y VIII, 132, fracción II, 143, </w:t>
      </w:r>
      <w:r w:rsidRPr="00F6431D">
        <w:rPr>
          <w:rFonts w:ascii="Palatino Linotype" w:eastAsia="Calibri" w:hAnsi="Palatino Linotype" w:cs="Tahoma"/>
          <w:bCs/>
          <w:iCs/>
          <w:sz w:val="22"/>
          <w:szCs w:val="22"/>
          <w:lang w:val="es-ES" w:eastAsia="en-US"/>
        </w:rPr>
        <w:lastRenderedPageBreak/>
        <w:t>fracción I y 149, de la Ley de Transparencia y Acceso a la Información Pública del Estado de México y Municipios.</w:t>
      </w:r>
    </w:p>
    <w:p w14:paraId="334C7F6D" w14:textId="77777777" w:rsidR="00F6431D" w:rsidRPr="00F6431D" w:rsidRDefault="00F6431D" w:rsidP="00F6431D">
      <w:pPr>
        <w:spacing w:line="360" w:lineRule="auto"/>
        <w:jc w:val="both"/>
        <w:rPr>
          <w:rFonts w:ascii="Palatino Linotype" w:eastAsia="Calibri" w:hAnsi="Palatino Linotype" w:cs="Arial"/>
          <w:b/>
          <w:color w:val="000000"/>
          <w:sz w:val="22"/>
          <w:szCs w:val="22"/>
          <w:lang w:val="es-ES_tradnl" w:eastAsia="en-US"/>
        </w:rPr>
      </w:pPr>
    </w:p>
    <w:p w14:paraId="18C142DB" w14:textId="77777777" w:rsidR="00F6431D" w:rsidRPr="00F6431D" w:rsidRDefault="00F6431D" w:rsidP="00F6431D">
      <w:pPr>
        <w:spacing w:line="360" w:lineRule="auto"/>
        <w:jc w:val="both"/>
        <w:rPr>
          <w:rFonts w:ascii="Palatino Linotype" w:hAnsi="Palatino Linotype" w:cs="Tahoma"/>
          <w:sz w:val="22"/>
          <w:szCs w:val="22"/>
        </w:rPr>
      </w:pPr>
      <w:r w:rsidRPr="00F6431D">
        <w:rPr>
          <w:rFonts w:ascii="Palatino Linotype" w:eastAsia="Calibri" w:hAnsi="Palatino Linotype" w:cs="Arial"/>
          <w:b/>
          <w:color w:val="000000"/>
          <w:sz w:val="22"/>
          <w:szCs w:val="22"/>
          <w:lang w:val="es-ES_tradnl" w:eastAsia="en-US"/>
        </w:rPr>
        <w:t>TERCERO.</w:t>
      </w:r>
      <w:r w:rsidRPr="00F6431D">
        <w:rPr>
          <w:rFonts w:ascii="Palatino Linotype" w:eastAsia="Calibri" w:hAnsi="Palatino Linotype" w:cs="Tahoma"/>
          <w:b/>
          <w:color w:val="000000"/>
          <w:sz w:val="22"/>
          <w:szCs w:val="22"/>
          <w:lang w:eastAsia="en-US"/>
        </w:rPr>
        <w:t xml:space="preserve"> NOTIFÍQUESE POR SAIMEX </w:t>
      </w:r>
      <w:r w:rsidRPr="00F6431D">
        <w:rPr>
          <w:rFonts w:ascii="Palatino Linotype" w:eastAsia="Calibri" w:hAnsi="Palatino Linotype" w:cs="Tahoma"/>
          <w:color w:val="000000"/>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F6431D">
        <w:rPr>
          <w:rFonts w:ascii="Palatino Linotype" w:hAnsi="Palatino Linotype" w:cs="Tahoma"/>
          <w:sz w:val="22"/>
          <w:szCs w:val="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2E7F42" w14:textId="77777777" w:rsidR="00F6431D" w:rsidRPr="00F6431D" w:rsidRDefault="00F6431D" w:rsidP="00F6431D">
      <w:pPr>
        <w:spacing w:line="360" w:lineRule="auto"/>
        <w:jc w:val="both"/>
        <w:rPr>
          <w:rFonts w:ascii="Palatino Linotype" w:hAnsi="Palatino Linotype" w:cs="Tahoma"/>
          <w:sz w:val="22"/>
          <w:szCs w:val="22"/>
        </w:rPr>
      </w:pPr>
    </w:p>
    <w:p w14:paraId="17D4ED8E" w14:textId="77777777" w:rsidR="00F6431D" w:rsidRPr="00F6431D" w:rsidRDefault="00F6431D" w:rsidP="00F6431D">
      <w:pPr>
        <w:spacing w:line="360" w:lineRule="auto"/>
        <w:jc w:val="both"/>
        <w:rPr>
          <w:rFonts w:ascii="Palatino Linotype" w:hAnsi="Palatino Linotype" w:cs="Tahoma"/>
          <w:sz w:val="22"/>
          <w:szCs w:val="22"/>
        </w:rPr>
      </w:pPr>
      <w:r w:rsidRPr="00F6431D">
        <w:rPr>
          <w:rFonts w:ascii="Palatino Linotype" w:hAnsi="Palatino Linotype" w:cs="Tahoma"/>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AA2D9C" w14:textId="77777777" w:rsidR="00F6431D" w:rsidRPr="00F6431D" w:rsidRDefault="00F6431D" w:rsidP="00F6431D">
      <w:pPr>
        <w:spacing w:line="360" w:lineRule="auto"/>
        <w:jc w:val="both"/>
        <w:rPr>
          <w:rFonts w:ascii="Palatino Linotype" w:eastAsia="Calibri" w:hAnsi="Palatino Linotype" w:cs="Tahoma"/>
          <w:color w:val="000000"/>
          <w:sz w:val="22"/>
          <w:szCs w:val="22"/>
          <w:lang w:eastAsia="en-US"/>
        </w:rPr>
      </w:pPr>
    </w:p>
    <w:p w14:paraId="1324F09F" w14:textId="41A4AF62" w:rsidR="00947B59" w:rsidRPr="00F6431D" w:rsidRDefault="00F6431D" w:rsidP="00F6431D">
      <w:pPr>
        <w:spacing w:line="360" w:lineRule="auto"/>
        <w:jc w:val="both"/>
        <w:rPr>
          <w:rFonts w:ascii="Palatino Linotype" w:hAnsi="Palatino Linotype" w:cs="Tahoma"/>
          <w:bCs/>
          <w:sz w:val="22"/>
          <w:szCs w:val="22"/>
        </w:rPr>
      </w:pPr>
      <w:r w:rsidRPr="00F6431D">
        <w:rPr>
          <w:rFonts w:ascii="Palatino Linotype" w:eastAsia="Calibri" w:hAnsi="Palatino Linotype" w:cs="Tahoma"/>
          <w:b/>
          <w:color w:val="000000"/>
          <w:sz w:val="22"/>
          <w:szCs w:val="22"/>
          <w:lang w:eastAsia="en-US"/>
        </w:rPr>
        <w:t>CUARTO. NOTIFÍQUESE POR SAIMEX</w:t>
      </w:r>
      <w:r w:rsidRPr="00F6431D">
        <w:rPr>
          <w:rFonts w:ascii="Palatino Linotype" w:eastAsia="Calibri" w:hAnsi="Palatino Linotype" w:cs="Tahoma"/>
          <w:color w:val="000000"/>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D6F1546" w14:textId="77777777" w:rsidR="00FA2C4B" w:rsidRPr="00F6431D" w:rsidRDefault="00FA2C4B" w:rsidP="00F6431D">
      <w:pPr>
        <w:spacing w:line="360" w:lineRule="auto"/>
        <w:contextualSpacing/>
        <w:jc w:val="both"/>
        <w:rPr>
          <w:rFonts w:ascii="Palatino Linotype" w:hAnsi="Palatino Linotype" w:cs="Tahoma"/>
        </w:rPr>
      </w:pPr>
    </w:p>
    <w:p w14:paraId="598FFFE9" w14:textId="38F22372" w:rsidR="00FA2C4B" w:rsidRPr="00F2058B" w:rsidRDefault="00FA2C4B" w:rsidP="00F6431D">
      <w:pPr>
        <w:spacing w:line="360" w:lineRule="auto"/>
        <w:contextualSpacing/>
        <w:jc w:val="both"/>
        <w:rPr>
          <w:rFonts w:ascii="Palatino Linotype" w:eastAsia="Calibri" w:hAnsi="Palatino Linotype" w:cs="Tahoma"/>
          <w:sz w:val="22"/>
          <w:szCs w:val="22"/>
          <w:lang w:val="es-ES" w:eastAsia="es-ES_tradnl"/>
        </w:rPr>
      </w:pPr>
      <w:r w:rsidRPr="00F6431D">
        <w:rPr>
          <w:rFonts w:ascii="Palatino Linotype" w:eastAsia="Calibri" w:hAnsi="Palatino Linotype" w:cs="Tahoma"/>
          <w:sz w:val="22"/>
          <w:szCs w:val="22"/>
          <w:lang w:val="es-ES" w:eastAsia="es-ES_tradnl"/>
        </w:rPr>
        <w:t xml:space="preserve">ASÍ LO RESUELVE, </w:t>
      </w:r>
      <w:r w:rsidRPr="00CD5EE8">
        <w:rPr>
          <w:rFonts w:ascii="Palatino Linotype" w:eastAsia="Calibri" w:hAnsi="Palatino Linotype" w:cs="Tahoma"/>
          <w:sz w:val="22"/>
          <w:szCs w:val="22"/>
          <w:lang w:val="es-ES" w:eastAsia="es-ES_tradnl"/>
        </w:rPr>
        <w:t>POR</w:t>
      </w:r>
      <w:r w:rsidRPr="00F6431D">
        <w:rPr>
          <w:rFonts w:ascii="Palatino Linotype" w:eastAsia="Calibri" w:hAnsi="Palatino Linotype" w:cs="Tahoma"/>
          <w:b/>
          <w:bCs/>
          <w:sz w:val="22"/>
          <w:szCs w:val="22"/>
          <w:lang w:val="es-ES" w:eastAsia="es-ES_tradnl"/>
        </w:rPr>
        <w:t xml:space="preserve"> UNANIMIDAD</w:t>
      </w:r>
      <w:r w:rsidRPr="00F6431D">
        <w:rPr>
          <w:rFonts w:ascii="Palatino Linotype" w:eastAsia="Calibri" w:hAnsi="Palatino Linotype" w:cs="Tahoma"/>
          <w:sz w:val="22"/>
          <w:szCs w:val="22"/>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w:t>
      </w:r>
      <w:r w:rsidRPr="00F6431D">
        <w:rPr>
          <w:rFonts w:ascii="Palatino Linotype" w:eastAsia="Calibri" w:hAnsi="Palatino Linotype" w:cs="Tahoma"/>
          <w:sz w:val="22"/>
          <w:szCs w:val="22"/>
          <w:lang w:val="es-ES" w:eastAsia="es-ES_tradnl"/>
        </w:rPr>
        <w:lastRenderedPageBreak/>
        <w:t xml:space="preserve">AYALA, SHARON CRISTINA MORALES MARTÍNEZ, LUIS GUSTAVO PARRA NORIEGA Y GUADALUPE RAMÍREZ PEÑA, EN LA </w:t>
      </w:r>
      <w:r w:rsidR="002E3EFB" w:rsidRPr="00F6431D">
        <w:rPr>
          <w:rFonts w:ascii="Palatino Linotype" w:eastAsia="Calibri" w:hAnsi="Palatino Linotype" w:cs="Tahoma"/>
          <w:sz w:val="22"/>
          <w:szCs w:val="22"/>
          <w:lang w:val="es-ES" w:eastAsia="es-ES_tradnl"/>
        </w:rPr>
        <w:t>TRI</w:t>
      </w:r>
      <w:r w:rsidR="00947B59" w:rsidRPr="00F6431D">
        <w:rPr>
          <w:rFonts w:ascii="Palatino Linotype" w:eastAsia="Calibri" w:hAnsi="Palatino Linotype" w:cs="Tahoma"/>
          <w:sz w:val="22"/>
          <w:szCs w:val="22"/>
          <w:lang w:val="es-ES" w:eastAsia="es-ES_tradnl"/>
        </w:rPr>
        <w:t xml:space="preserve">GÉSIMA </w:t>
      </w:r>
      <w:r w:rsidR="00473F5D">
        <w:rPr>
          <w:rFonts w:ascii="Palatino Linotype" w:eastAsia="Calibri" w:hAnsi="Palatino Linotype" w:cs="Tahoma"/>
          <w:sz w:val="22"/>
          <w:szCs w:val="22"/>
          <w:lang w:val="es-ES" w:eastAsia="es-ES_tradnl"/>
        </w:rPr>
        <w:t>NOVEN</w:t>
      </w:r>
      <w:r w:rsidR="002E3EFB" w:rsidRPr="00F6431D">
        <w:rPr>
          <w:rFonts w:ascii="Palatino Linotype" w:eastAsia="Calibri" w:hAnsi="Palatino Linotype" w:cs="Tahoma"/>
          <w:sz w:val="22"/>
          <w:szCs w:val="22"/>
          <w:lang w:val="es-ES" w:eastAsia="es-ES_tradnl"/>
        </w:rPr>
        <w:t>A</w:t>
      </w:r>
      <w:r w:rsidRPr="00F6431D">
        <w:rPr>
          <w:rFonts w:ascii="Palatino Linotype" w:eastAsia="Calibri" w:hAnsi="Palatino Linotype" w:cs="Tahoma"/>
          <w:sz w:val="22"/>
          <w:szCs w:val="22"/>
          <w:lang w:val="es-ES" w:eastAsia="es-ES_tradnl"/>
        </w:rPr>
        <w:t xml:space="preserve"> SESIÓN ORDINARIA, CELEBRADA EL </w:t>
      </w:r>
      <w:r w:rsidR="00473F5D">
        <w:rPr>
          <w:rFonts w:ascii="Palatino Linotype" w:eastAsia="Calibri" w:hAnsi="Palatino Linotype" w:cs="Tahoma"/>
          <w:sz w:val="22"/>
          <w:szCs w:val="22"/>
          <w:lang w:val="es-ES" w:eastAsia="es-ES_tradnl"/>
        </w:rPr>
        <w:t>TRECE DE NOVIEMBRE</w:t>
      </w:r>
      <w:r w:rsidRPr="00F6431D">
        <w:rPr>
          <w:rFonts w:ascii="Palatino Linotype" w:eastAsia="Calibri" w:hAnsi="Palatino Linotype" w:cs="Tahoma"/>
          <w:sz w:val="22"/>
          <w:szCs w:val="22"/>
          <w:lang w:val="es-ES" w:eastAsia="es-ES_tradnl"/>
        </w:rPr>
        <w:t xml:space="preserve"> DE DOS MIL VEINTICUATRO, ANTE EL SECRETARIO TÉCNICO DEL PLENO, ALEXIS TAPIA RAMÍREZ.</w:t>
      </w:r>
    </w:p>
    <w:p w14:paraId="045973A0" w14:textId="77777777" w:rsidR="00FA2C4B" w:rsidRPr="00F2058B" w:rsidRDefault="00FA2C4B" w:rsidP="00F6431D">
      <w:pPr>
        <w:spacing w:line="360" w:lineRule="auto"/>
        <w:contextualSpacing/>
        <w:rPr>
          <w:rFonts w:ascii="Palatino Linotype" w:hAnsi="Palatino Linotype"/>
        </w:rPr>
      </w:pPr>
    </w:p>
    <w:p w14:paraId="76B57CC4" w14:textId="77777777" w:rsidR="00FA2C4B" w:rsidRPr="00F2058B" w:rsidRDefault="00FA2C4B" w:rsidP="00F6431D">
      <w:pPr>
        <w:spacing w:line="360" w:lineRule="auto"/>
        <w:contextualSpacing/>
        <w:rPr>
          <w:rFonts w:ascii="Palatino Linotype" w:hAnsi="Palatino Linotype"/>
        </w:rPr>
      </w:pPr>
    </w:p>
    <w:p w14:paraId="2B805B86" w14:textId="77777777" w:rsidR="00FA2C4B" w:rsidRPr="00F2058B" w:rsidRDefault="00FA2C4B" w:rsidP="00F6431D">
      <w:pPr>
        <w:spacing w:line="360" w:lineRule="auto"/>
        <w:contextualSpacing/>
        <w:rPr>
          <w:rFonts w:ascii="Palatino Linotype" w:hAnsi="Palatino Linotype"/>
        </w:rPr>
      </w:pPr>
    </w:p>
    <w:p w14:paraId="7643E1F1" w14:textId="77777777" w:rsidR="00FA2C4B" w:rsidRPr="00F2058B" w:rsidRDefault="00FA2C4B" w:rsidP="00F6431D">
      <w:pPr>
        <w:spacing w:line="360" w:lineRule="auto"/>
        <w:contextualSpacing/>
        <w:rPr>
          <w:rFonts w:ascii="Palatino Linotype" w:hAnsi="Palatino Linotype"/>
        </w:rPr>
      </w:pPr>
    </w:p>
    <w:p w14:paraId="253FD895" w14:textId="77777777" w:rsidR="00FA2C4B" w:rsidRPr="00F2058B" w:rsidRDefault="00FA2C4B" w:rsidP="00F6431D">
      <w:pPr>
        <w:spacing w:line="360" w:lineRule="auto"/>
        <w:contextualSpacing/>
        <w:rPr>
          <w:rFonts w:ascii="Palatino Linotype" w:hAnsi="Palatino Linotype"/>
        </w:rPr>
      </w:pPr>
    </w:p>
    <w:p w14:paraId="1D6493B0" w14:textId="77777777" w:rsidR="00FA2C4B" w:rsidRPr="00F2058B" w:rsidRDefault="00FA2C4B" w:rsidP="00F6431D">
      <w:pPr>
        <w:spacing w:line="360" w:lineRule="auto"/>
        <w:contextualSpacing/>
        <w:rPr>
          <w:rFonts w:ascii="Palatino Linotype" w:hAnsi="Palatino Linotype"/>
        </w:rPr>
      </w:pPr>
    </w:p>
    <w:p w14:paraId="36828C52" w14:textId="77777777" w:rsidR="00FA2C4B" w:rsidRPr="00F2058B" w:rsidRDefault="00FA2C4B" w:rsidP="00F6431D">
      <w:pPr>
        <w:spacing w:line="360" w:lineRule="auto"/>
        <w:contextualSpacing/>
        <w:rPr>
          <w:rFonts w:ascii="Palatino Linotype" w:hAnsi="Palatino Linotype"/>
        </w:rPr>
      </w:pPr>
    </w:p>
    <w:p w14:paraId="494E0745" w14:textId="77777777" w:rsidR="00FA2C4B" w:rsidRPr="00F2058B" w:rsidRDefault="00FA2C4B" w:rsidP="00F6431D">
      <w:pPr>
        <w:spacing w:line="360" w:lineRule="auto"/>
        <w:contextualSpacing/>
        <w:rPr>
          <w:rFonts w:ascii="Palatino Linotype" w:hAnsi="Palatino Linotype"/>
        </w:rPr>
      </w:pPr>
    </w:p>
    <w:p w14:paraId="5179C7F8" w14:textId="77777777" w:rsidR="00FA2C4B" w:rsidRPr="00F2058B" w:rsidRDefault="00FA2C4B" w:rsidP="00F6431D">
      <w:pPr>
        <w:spacing w:line="360" w:lineRule="auto"/>
        <w:contextualSpacing/>
        <w:rPr>
          <w:rFonts w:ascii="Palatino Linotype" w:hAnsi="Palatino Linotype"/>
        </w:rPr>
      </w:pPr>
    </w:p>
    <w:p w14:paraId="47F95022" w14:textId="77777777" w:rsidR="00FA2C4B" w:rsidRPr="00F2058B" w:rsidRDefault="00FA2C4B" w:rsidP="00F6431D">
      <w:pPr>
        <w:spacing w:line="360" w:lineRule="auto"/>
        <w:contextualSpacing/>
        <w:rPr>
          <w:rFonts w:ascii="Palatino Linotype" w:hAnsi="Palatino Linotype"/>
        </w:rPr>
      </w:pPr>
    </w:p>
    <w:p w14:paraId="4283F66D" w14:textId="77777777" w:rsidR="00FA2C4B" w:rsidRPr="00F2058B" w:rsidRDefault="00FA2C4B" w:rsidP="00F6431D">
      <w:pPr>
        <w:spacing w:line="360" w:lineRule="auto"/>
        <w:contextualSpacing/>
        <w:rPr>
          <w:rFonts w:ascii="Palatino Linotype" w:hAnsi="Palatino Linotype"/>
        </w:rPr>
      </w:pPr>
    </w:p>
    <w:p w14:paraId="5B9197C7" w14:textId="77777777" w:rsidR="00FA2C4B" w:rsidRPr="00F2058B" w:rsidRDefault="00FA2C4B" w:rsidP="00F6431D">
      <w:pPr>
        <w:spacing w:line="360" w:lineRule="auto"/>
        <w:contextualSpacing/>
        <w:rPr>
          <w:rFonts w:ascii="Palatino Linotype" w:hAnsi="Palatino Linotype"/>
        </w:rPr>
      </w:pPr>
    </w:p>
    <w:p w14:paraId="7B788182" w14:textId="77777777" w:rsidR="00FA2C4B" w:rsidRPr="00F2058B" w:rsidRDefault="00FA2C4B" w:rsidP="00F6431D">
      <w:pPr>
        <w:spacing w:line="360" w:lineRule="auto"/>
        <w:contextualSpacing/>
        <w:rPr>
          <w:rFonts w:ascii="Palatino Linotype" w:hAnsi="Palatino Linotype"/>
        </w:rPr>
      </w:pPr>
    </w:p>
    <w:p w14:paraId="590D5EB9" w14:textId="77777777" w:rsidR="00FA2C4B" w:rsidRPr="00F2058B" w:rsidRDefault="00FA2C4B" w:rsidP="00F6431D">
      <w:pPr>
        <w:spacing w:line="360" w:lineRule="auto"/>
        <w:contextualSpacing/>
        <w:rPr>
          <w:rFonts w:ascii="Palatino Linotype" w:hAnsi="Palatino Linotype"/>
        </w:rPr>
      </w:pPr>
    </w:p>
    <w:p w14:paraId="70F7BAD7" w14:textId="77777777" w:rsidR="00FA2C4B" w:rsidRPr="00F2058B" w:rsidRDefault="00FA2C4B" w:rsidP="00F6431D">
      <w:pPr>
        <w:spacing w:line="360" w:lineRule="auto"/>
        <w:contextualSpacing/>
        <w:rPr>
          <w:rFonts w:ascii="Palatino Linotype" w:hAnsi="Palatino Linotype"/>
        </w:rPr>
      </w:pPr>
    </w:p>
    <w:p w14:paraId="6AC7CFED" w14:textId="77777777" w:rsidR="00FA2C4B" w:rsidRPr="00F2058B" w:rsidRDefault="00FA2C4B" w:rsidP="00F6431D">
      <w:pPr>
        <w:spacing w:line="360" w:lineRule="auto"/>
        <w:contextualSpacing/>
        <w:rPr>
          <w:rFonts w:ascii="Palatino Linotype" w:hAnsi="Palatino Linotype"/>
        </w:rPr>
      </w:pPr>
    </w:p>
    <w:p w14:paraId="0E80A0D3" w14:textId="77777777" w:rsidR="00FA2C4B" w:rsidRPr="00F2058B" w:rsidRDefault="00FA2C4B" w:rsidP="00F6431D">
      <w:pPr>
        <w:spacing w:line="360" w:lineRule="auto"/>
        <w:contextualSpacing/>
        <w:rPr>
          <w:rFonts w:ascii="Palatino Linotype" w:hAnsi="Palatino Linotype"/>
        </w:rPr>
      </w:pPr>
    </w:p>
    <w:p w14:paraId="77A67D84" w14:textId="77777777" w:rsidR="00FA2C4B" w:rsidRPr="00F2058B" w:rsidRDefault="00FA2C4B" w:rsidP="00F6431D">
      <w:pPr>
        <w:spacing w:line="360" w:lineRule="auto"/>
        <w:contextualSpacing/>
        <w:rPr>
          <w:rFonts w:ascii="Palatino Linotype" w:hAnsi="Palatino Linotype"/>
        </w:rPr>
      </w:pPr>
    </w:p>
    <w:p w14:paraId="492A1A01" w14:textId="77777777" w:rsidR="00FA2C4B" w:rsidRPr="00F2058B" w:rsidRDefault="00FA2C4B" w:rsidP="00F6431D">
      <w:pPr>
        <w:spacing w:line="360" w:lineRule="auto"/>
        <w:contextualSpacing/>
        <w:rPr>
          <w:rFonts w:ascii="Palatino Linotype" w:hAnsi="Palatino Linotype"/>
        </w:rPr>
      </w:pPr>
    </w:p>
    <w:p w14:paraId="6F346550" w14:textId="77777777" w:rsidR="00FA2C4B" w:rsidRPr="00F2058B" w:rsidRDefault="00FA2C4B" w:rsidP="00F6431D">
      <w:pPr>
        <w:spacing w:line="360" w:lineRule="auto"/>
        <w:contextualSpacing/>
        <w:rPr>
          <w:rFonts w:ascii="Palatino Linotype" w:hAnsi="Palatino Linotype"/>
        </w:rPr>
      </w:pPr>
    </w:p>
    <w:p w14:paraId="481F9CCE" w14:textId="77777777" w:rsidR="00FA2C4B" w:rsidRPr="00F2058B" w:rsidRDefault="00FA2C4B" w:rsidP="00F6431D">
      <w:pPr>
        <w:spacing w:line="360" w:lineRule="auto"/>
        <w:contextualSpacing/>
        <w:rPr>
          <w:rFonts w:ascii="Palatino Linotype" w:hAnsi="Palatino Linotype"/>
        </w:rPr>
      </w:pPr>
    </w:p>
    <w:p w14:paraId="7FCF76A7" w14:textId="77777777" w:rsidR="00FA2C4B" w:rsidRPr="00F2058B" w:rsidRDefault="00FA2C4B" w:rsidP="00F6431D">
      <w:pPr>
        <w:spacing w:line="360" w:lineRule="auto"/>
        <w:contextualSpacing/>
        <w:rPr>
          <w:rFonts w:ascii="Palatino Linotype" w:hAnsi="Palatino Linotype"/>
        </w:rPr>
      </w:pPr>
    </w:p>
    <w:p w14:paraId="5507F37B" w14:textId="77777777" w:rsidR="00FA2C4B" w:rsidRPr="00F2058B" w:rsidRDefault="00FA2C4B" w:rsidP="00F6431D">
      <w:pPr>
        <w:spacing w:line="360" w:lineRule="auto"/>
        <w:contextualSpacing/>
        <w:rPr>
          <w:rFonts w:ascii="Palatino Linotype" w:hAnsi="Palatino Linotype"/>
        </w:rPr>
      </w:pPr>
    </w:p>
    <w:p w14:paraId="2D14979E" w14:textId="77777777" w:rsidR="00FA2C4B" w:rsidRPr="00F2058B" w:rsidRDefault="00FA2C4B" w:rsidP="00F6431D">
      <w:pPr>
        <w:spacing w:line="360" w:lineRule="auto"/>
        <w:contextualSpacing/>
        <w:rPr>
          <w:rFonts w:ascii="Palatino Linotype" w:hAnsi="Palatino Linotype"/>
        </w:rPr>
      </w:pPr>
    </w:p>
    <w:p w14:paraId="0A094B63" w14:textId="77777777" w:rsidR="00FA2C4B" w:rsidRPr="00F2058B" w:rsidRDefault="00FA2C4B" w:rsidP="00F6431D">
      <w:pPr>
        <w:spacing w:line="360" w:lineRule="auto"/>
        <w:contextualSpacing/>
        <w:rPr>
          <w:rFonts w:ascii="Palatino Linotype" w:hAnsi="Palatino Linotype"/>
        </w:rPr>
      </w:pPr>
    </w:p>
    <w:p w14:paraId="219DD747" w14:textId="77777777" w:rsidR="00FA2C4B" w:rsidRPr="00F2058B" w:rsidRDefault="00FA2C4B" w:rsidP="00F6431D">
      <w:pPr>
        <w:spacing w:line="360" w:lineRule="auto"/>
        <w:contextualSpacing/>
        <w:rPr>
          <w:rFonts w:ascii="Palatino Linotype" w:hAnsi="Palatino Linotype"/>
        </w:rPr>
      </w:pPr>
    </w:p>
    <w:p w14:paraId="3F588F1E" w14:textId="77777777" w:rsidR="00FA2C4B" w:rsidRPr="00F2058B" w:rsidRDefault="00FA2C4B" w:rsidP="00F6431D">
      <w:pPr>
        <w:spacing w:line="360" w:lineRule="auto"/>
        <w:contextualSpacing/>
        <w:rPr>
          <w:rFonts w:ascii="Palatino Linotype" w:hAnsi="Palatino Linotype"/>
        </w:rPr>
      </w:pPr>
    </w:p>
    <w:p w14:paraId="437740F3" w14:textId="77777777" w:rsidR="000A4CB8" w:rsidRDefault="000A4CB8" w:rsidP="00F6431D"/>
    <w:sectPr w:rsidR="000A4CB8" w:rsidSect="003A37A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EF68C" w14:textId="77777777" w:rsidR="00203265" w:rsidRDefault="00203265" w:rsidP="00FA2C4B">
      <w:r>
        <w:separator/>
      </w:r>
    </w:p>
  </w:endnote>
  <w:endnote w:type="continuationSeparator" w:id="0">
    <w:p w14:paraId="6C885A8A" w14:textId="77777777" w:rsidR="00203265" w:rsidRDefault="00203265" w:rsidP="00F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65779"/>
      <w:docPartObj>
        <w:docPartGallery w:val="Page Numbers (Bottom of Page)"/>
        <w:docPartUnique/>
      </w:docPartObj>
    </w:sdtPr>
    <w:sdtEndPr/>
    <w:sdtContent>
      <w:sdt>
        <w:sdtPr>
          <w:id w:val="40187052"/>
          <w:docPartObj>
            <w:docPartGallery w:val="Page Numbers (Top of Page)"/>
            <w:docPartUnique/>
          </w:docPartObj>
        </w:sdtPr>
        <w:sdtEndPr/>
        <w:sdtContent>
          <w:p w14:paraId="08865B69" w14:textId="77777777" w:rsidR="00164BA2" w:rsidRDefault="00164BA2">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Pr="00AA25BA">
              <w:rPr>
                <w:rFonts w:ascii="Palatino Linotype" w:hAnsi="Palatino Linotype"/>
                <w:b/>
                <w:bCs/>
                <w:sz w:val="22"/>
                <w:szCs w:val="22"/>
                <w:lang w:val="es-ES"/>
              </w:rPr>
              <w:t>2</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Pr="00AA25BA">
              <w:rPr>
                <w:rFonts w:ascii="Palatino Linotype" w:hAnsi="Palatino Linotype"/>
                <w:b/>
                <w:bCs/>
                <w:sz w:val="22"/>
                <w:szCs w:val="22"/>
                <w:lang w:val="es-ES"/>
              </w:rPr>
              <w:t>2</w:t>
            </w:r>
            <w:r w:rsidRPr="00AA25BA">
              <w:rPr>
                <w:rFonts w:ascii="Palatino Linotype" w:hAnsi="Palatino Linotype"/>
                <w:b/>
                <w:bCs/>
                <w:sz w:val="22"/>
                <w:szCs w:val="22"/>
              </w:rPr>
              <w:fldChar w:fldCharType="end"/>
            </w:r>
          </w:p>
        </w:sdtContent>
      </w:sdt>
    </w:sdtContent>
  </w:sdt>
  <w:p w14:paraId="256D8B0F" w14:textId="77777777" w:rsidR="00164BA2" w:rsidRDefault="00164B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576908"/>
      <w:docPartObj>
        <w:docPartGallery w:val="Page Numbers (Bottom of Page)"/>
        <w:docPartUnique/>
      </w:docPartObj>
    </w:sdtPr>
    <w:sdtEndPr/>
    <w:sdtContent>
      <w:sdt>
        <w:sdtPr>
          <w:id w:val="736206068"/>
          <w:docPartObj>
            <w:docPartGallery w:val="Page Numbers (Top of Page)"/>
            <w:docPartUnique/>
          </w:docPartObj>
        </w:sdtPr>
        <w:sdtEndPr/>
        <w:sdtContent>
          <w:p w14:paraId="24920491" w14:textId="77777777" w:rsidR="00164BA2" w:rsidRDefault="00164BA2">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614134">
              <w:rPr>
                <w:rFonts w:ascii="Palatino Linotype" w:hAnsi="Palatino Linotype"/>
                <w:b/>
                <w:bCs/>
                <w:noProof/>
                <w:sz w:val="22"/>
                <w:szCs w:val="22"/>
              </w:rPr>
              <w:t>34</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614134">
              <w:rPr>
                <w:rFonts w:ascii="Palatino Linotype" w:hAnsi="Palatino Linotype"/>
                <w:b/>
                <w:bCs/>
                <w:noProof/>
                <w:sz w:val="22"/>
                <w:szCs w:val="22"/>
              </w:rPr>
              <w:t>34</w:t>
            </w:r>
            <w:r w:rsidRPr="00AA25BA">
              <w:rPr>
                <w:rFonts w:ascii="Palatino Linotype" w:hAnsi="Palatino Linotype"/>
                <w:b/>
                <w:bCs/>
                <w:sz w:val="22"/>
                <w:szCs w:val="22"/>
              </w:rPr>
              <w:fldChar w:fldCharType="end"/>
            </w:r>
          </w:p>
        </w:sdtContent>
      </w:sdt>
    </w:sdtContent>
  </w:sdt>
  <w:p w14:paraId="10C5EE71" w14:textId="77777777" w:rsidR="00164BA2" w:rsidRDefault="00164B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2"/>
        <w:szCs w:val="22"/>
      </w:rPr>
      <w:id w:val="-974364972"/>
      <w:docPartObj>
        <w:docPartGallery w:val="Page Numbers (Bottom of Page)"/>
        <w:docPartUnique/>
      </w:docPartObj>
    </w:sdtPr>
    <w:sdtEndPr/>
    <w:sdtContent>
      <w:sdt>
        <w:sdtPr>
          <w:rPr>
            <w:rFonts w:ascii="Palatino Linotype" w:hAnsi="Palatino Linotype"/>
            <w:sz w:val="22"/>
            <w:szCs w:val="22"/>
          </w:rPr>
          <w:id w:val="-1769616900"/>
          <w:docPartObj>
            <w:docPartGallery w:val="Page Numbers (Top of Page)"/>
            <w:docPartUnique/>
          </w:docPartObj>
        </w:sdtPr>
        <w:sdtEndPr/>
        <w:sdtContent>
          <w:p w14:paraId="62A59E4D" w14:textId="77777777" w:rsidR="00164BA2" w:rsidRPr="00AA25BA" w:rsidRDefault="00164BA2">
            <w:pPr>
              <w:pStyle w:val="Piedepgina"/>
              <w:jc w:val="right"/>
              <w:rPr>
                <w:rFonts w:ascii="Palatino Linotype" w:hAnsi="Palatino Linotype"/>
                <w:sz w:val="22"/>
                <w:szCs w:val="22"/>
              </w:rPr>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614134">
              <w:rPr>
                <w:rFonts w:ascii="Palatino Linotype" w:hAnsi="Palatino Linotype"/>
                <w:b/>
                <w:bCs/>
                <w:noProof/>
                <w:sz w:val="22"/>
                <w:szCs w:val="22"/>
              </w:rPr>
              <w:t>1</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614134">
              <w:rPr>
                <w:rFonts w:ascii="Palatino Linotype" w:hAnsi="Palatino Linotype"/>
                <w:b/>
                <w:bCs/>
                <w:noProof/>
                <w:sz w:val="22"/>
                <w:szCs w:val="22"/>
              </w:rPr>
              <w:t>34</w:t>
            </w:r>
            <w:r w:rsidRPr="00AA25BA">
              <w:rPr>
                <w:rFonts w:ascii="Palatino Linotype" w:hAnsi="Palatino Linotype"/>
                <w:b/>
                <w:bCs/>
                <w:sz w:val="22"/>
                <w:szCs w:val="22"/>
              </w:rPr>
              <w:fldChar w:fldCharType="end"/>
            </w:r>
          </w:p>
        </w:sdtContent>
      </w:sdt>
    </w:sdtContent>
  </w:sdt>
  <w:p w14:paraId="06B6DEB8" w14:textId="77777777" w:rsidR="00164BA2" w:rsidRDefault="00164B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2CA1C" w14:textId="77777777" w:rsidR="00203265" w:rsidRDefault="00203265" w:rsidP="00FA2C4B">
      <w:r>
        <w:separator/>
      </w:r>
    </w:p>
  </w:footnote>
  <w:footnote w:type="continuationSeparator" w:id="0">
    <w:p w14:paraId="2D00D551" w14:textId="77777777" w:rsidR="00203265" w:rsidRDefault="00203265" w:rsidP="00FA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5" w:type="dxa"/>
      <w:tblLayout w:type="fixed"/>
      <w:tblLook w:val="04A0" w:firstRow="1" w:lastRow="0" w:firstColumn="1" w:lastColumn="0" w:noHBand="0" w:noVBand="1"/>
    </w:tblPr>
    <w:tblGrid>
      <w:gridCol w:w="2972"/>
      <w:gridCol w:w="6733"/>
    </w:tblGrid>
    <w:tr w:rsidR="00164BA2" w14:paraId="4B462393" w14:textId="77777777" w:rsidTr="00FA2C4B">
      <w:trPr>
        <w:trHeight w:val="1435"/>
      </w:trPr>
      <w:tc>
        <w:tcPr>
          <w:tcW w:w="2972" w:type="dxa"/>
        </w:tcPr>
        <w:p w14:paraId="7DD6ECCF" w14:textId="77777777" w:rsidR="00164BA2" w:rsidRDefault="00164BA2" w:rsidP="00FA2C4B">
          <w:pPr>
            <w:tabs>
              <w:tab w:val="right" w:pos="4273"/>
            </w:tabs>
            <w:spacing w:line="256" w:lineRule="auto"/>
            <w:rPr>
              <w:rFonts w:ascii="Garamond" w:eastAsia="Calibri" w:hAnsi="Garamond"/>
              <w:sz w:val="22"/>
              <w:szCs w:val="22"/>
              <w:lang w:eastAsia="en-US"/>
            </w:rPr>
          </w:pPr>
        </w:p>
      </w:tc>
      <w:tc>
        <w:tcPr>
          <w:tcW w:w="6733" w:type="dxa"/>
          <w:hideMark/>
        </w:tcPr>
        <w:tbl>
          <w:tblPr>
            <w:tblStyle w:val="Tablaconcuadrcula"/>
            <w:tblW w:w="5535"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7"/>
            <w:gridCol w:w="3088"/>
          </w:tblGrid>
          <w:tr w:rsidR="00164BA2" w14:paraId="62C2AC65" w14:textId="77777777" w:rsidTr="00FA2C4B">
            <w:trPr>
              <w:trHeight w:val="144"/>
            </w:trPr>
            <w:tc>
              <w:tcPr>
                <w:tcW w:w="2447" w:type="dxa"/>
                <w:hideMark/>
              </w:tcPr>
              <w:p w14:paraId="3947BCC2" w14:textId="77777777" w:rsidR="00164BA2" w:rsidRPr="008A245E" w:rsidRDefault="00164BA2" w:rsidP="00FA2C4B">
                <w:pPr>
                  <w:tabs>
                    <w:tab w:val="right" w:pos="8838"/>
                  </w:tabs>
                  <w:ind w:left="-69"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3088" w:type="dxa"/>
                <w:hideMark/>
              </w:tcPr>
              <w:p w14:paraId="10212630" w14:textId="77777777" w:rsidR="00164BA2" w:rsidRPr="008A245E" w:rsidRDefault="00164BA2" w:rsidP="00FA2C4B">
                <w:pPr>
                  <w:tabs>
                    <w:tab w:val="right" w:pos="8838"/>
                  </w:tabs>
                  <w:ind w:left="-74" w:right="-105"/>
                  <w:jc w:val="both"/>
                  <w:rPr>
                    <w:rFonts w:ascii="Palatino Linotype" w:eastAsia="Calibri" w:hAnsi="Palatino Linotype" w:cs="Tahoma"/>
                    <w:bCs/>
                    <w:sz w:val="22"/>
                    <w:szCs w:val="22"/>
                    <w:lang w:eastAsia="en-US"/>
                  </w:rPr>
                </w:pPr>
                <w:r w:rsidRPr="008A245E">
                  <w:rPr>
                    <w:rFonts w:ascii="Palatino Linotype" w:eastAsia="Calibri" w:hAnsi="Palatino Linotype" w:cs="Tahoma"/>
                    <w:bCs/>
                    <w:sz w:val="22"/>
                    <w:szCs w:val="22"/>
                    <w:lang w:val="es-MX" w:eastAsia="en-US"/>
                  </w:rPr>
                  <w:t>02946/INFOEM/IP/RR/2021</w:t>
                </w:r>
              </w:p>
            </w:tc>
          </w:tr>
          <w:tr w:rsidR="00164BA2" w14:paraId="2FB04888" w14:textId="77777777" w:rsidTr="00FA2C4B">
            <w:trPr>
              <w:trHeight w:val="283"/>
            </w:trPr>
            <w:tc>
              <w:tcPr>
                <w:tcW w:w="2447" w:type="dxa"/>
                <w:hideMark/>
              </w:tcPr>
              <w:p w14:paraId="615C77EE" w14:textId="77777777" w:rsidR="00164BA2" w:rsidRPr="008A245E" w:rsidRDefault="00164BA2" w:rsidP="00FA2C4B">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3088" w:type="dxa"/>
                <w:hideMark/>
              </w:tcPr>
              <w:p w14:paraId="3371CC1D" w14:textId="77777777" w:rsidR="00164BA2" w:rsidRPr="008A245E" w:rsidRDefault="00164BA2" w:rsidP="00FA2C4B">
                <w:pPr>
                  <w:tabs>
                    <w:tab w:val="left" w:pos="2834"/>
                    <w:tab w:val="right" w:pos="8838"/>
                  </w:tabs>
                  <w:ind w:left="-74" w:right="-105"/>
                  <w:jc w:val="both"/>
                  <w:rPr>
                    <w:rFonts w:ascii="Palatino Linotype" w:eastAsia="Calibri" w:hAnsi="Palatino Linotype" w:cs="Tahoma"/>
                    <w:b/>
                    <w:sz w:val="22"/>
                    <w:szCs w:val="22"/>
                    <w:lang w:eastAsia="en-US"/>
                  </w:rPr>
                </w:pPr>
                <w:r w:rsidRPr="008A245E">
                  <w:rPr>
                    <w:rFonts w:ascii="Palatino Linotype" w:eastAsia="Calibri" w:hAnsi="Palatino Linotype" w:cs="Tahoma"/>
                    <w:sz w:val="22"/>
                    <w:szCs w:val="22"/>
                    <w:lang w:val="es-MX" w:eastAsia="en-US"/>
                  </w:rPr>
                  <w:t>Ayuntamiento de San Antonio la Isla</w:t>
                </w:r>
              </w:p>
            </w:tc>
          </w:tr>
          <w:tr w:rsidR="00164BA2" w14:paraId="75CB4C4A" w14:textId="77777777" w:rsidTr="00FA2C4B">
            <w:trPr>
              <w:trHeight w:val="283"/>
            </w:trPr>
            <w:tc>
              <w:tcPr>
                <w:tcW w:w="2447" w:type="dxa"/>
                <w:hideMark/>
              </w:tcPr>
              <w:p w14:paraId="18DB54A3" w14:textId="77777777" w:rsidR="00164BA2" w:rsidRPr="008A245E" w:rsidRDefault="00164BA2" w:rsidP="00FA2C4B">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3088" w:type="dxa"/>
              </w:tcPr>
              <w:p w14:paraId="314AB2C7" w14:textId="77777777" w:rsidR="00164BA2" w:rsidRPr="008A245E" w:rsidRDefault="00164BA2" w:rsidP="00FA2C4B">
                <w:pPr>
                  <w:tabs>
                    <w:tab w:val="right" w:pos="8838"/>
                  </w:tabs>
                  <w:ind w:left="-7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p w14:paraId="19B953A9" w14:textId="77777777" w:rsidR="00164BA2" w:rsidRPr="008A245E" w:rsidRDefault="00164BA2" w:rsidP="00FA2C4B">
                <w:pPr>
                  <w:tabs>
                    <w:tab w:val="right" w:pos="8838"/>
                  </w:tabs>
                  <w:ind w:left="-74" w:right="-105"/>
                  <w:jc w:val="both"/>
                  <w:rPr>
                    <w:rFonts w:ascii="Palatino Linotype" w:eastAsia="Calibri" w:hAnsi="Palatino Linotype" w:cs="Tahoma"/>
                    <w:b/>
                    <w:sz w:val="22"/>
                    <w:szCs w:val="22"/>
                    <w:lang w:eastAsia="en-US"/>
                  </w:rPr>
                </w:pPr>
              </w:p>
            </w:tc>
          </w:tr>
        </w:tbl>
        <w:p w14:paraId="133AA12E" w14:textId="77777777" w:rsidR="00164BA2" w:rsidRDefault="00164BA2" w:rsidP="00FA2C4B">
          <w:pPr>
            <w:tabs>
              <w:tab w:val="right" w:pos="8838"/>
            </w:tabs>
            <w:spacing w:line="256" w:lineRule="auto"/>
            <w:ind w:left="-28"/>
            <w:jc w:val="both"/>
            <w:rPr>
              <w:rFonts w:ascii="Arial" w:eastAsia="Calibri" w:hAnsi="Arial" w:cs="Arial"/>
              <w:b/>
              <w:sz w:val="22"/>
              <w:szCs w:val="22"/>
              <w:lang w:eastAsia="en-US"/>
            </w:rPr>
          </w:pPr>
        </w:p>
      </w:tc>
    </w:tr>
  </w:tbl>
  <w:p w14:paraId="5CCF8B47" w14:textId="77777777" w:rsidR="00164BA2" w:rsidRDefault="00164BA2">
    <w:pPr>
      <w:pStyle w:val="Encabezado"/>
    </w:pPr>
    <w:r>
      <w:rPr>
        <w:rFonts w:ascii="Garamond" w:eastAsia="Calibri" w:hAnsi="Garamond"/>
        <w:noProof/>
        <w:sz w:val="22"/>
        <w:szCs w:val="22"/>
        <w:lang w:eastAsia="es-MX"/>
      </w:rPr>
      <w:drawing>
        <wp:anchor distT="0" distB="0" distL="114300" distR="114300" simplePos="0" relativeHeight="251656704" behindDoc="1" locked="0" layoutInCell="0" allowOverlap="1" wp14:anchorId="7405153B" wp14:editId="020C7977">
          <wp:simplePos x="0" y="0"/>
          <wp:positionH relativeFrom="margin">
            <wp:posOffset>-1381125</wp:posOffset>
          </wp:positionH>
          <wp:positionV relativeFrom="margin">
            <wp:posOffset>-1611630</wp:posOffset>
          </wp:positionV>
          <wp:extent cx="5612130" cy="7308215"/>
          <wp:effectExtent l="0" t="0" r="762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08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985"/>
      <w:gridCol w:w="7371"/>
    </w:tblGrid>
    <w:tr w:rsidR="00164BA2" w14:paraId="4C4FA907" w14:textId="77777777" w:rsidTr="00FA2C4B">
      <w:trPr>
        <w:trHeight w:val="1435"/>
      </w:trPr>
      <w:tc>
        <w:tcPr>
          <w:tcW w:w="1985" w:type="dxa"/>
        </w:tcPr>
        <w:p w14:paraId="3EE54C78" w14:textId="77777777" w:rsidR="00164BA2" w:rsidRDefault="00164BA2" w:rsidP="00FA2C4B">
          <w:pPr>
            <w:tabs>
              <w:tab w:val="right" w:pos="4273"/>
            </w:tabs>
            <w:spacing w:line="256" w:lineRule="auto"/>
            <w:rPr>
              <w:rFonts w:ascii="Garamond" w:eastAsia="Calibri" w:hAnsi="Garamond"/>
              <w:sz w:val="22"/>
              <w:szCs w:val="22"/>
              <w:lang w:eastAsia="en-US"/>
            </w:rPr>
          </w:pPr>
        </w:p>
      </w:tc>
      <w:tc>
        <w:tcPr>
          <w:tcW w:w="7371" w:type="dxa"/>
          <w:hideMark/>
        </w:tcPr>
        <w:p w14:paraId="7DB371BB" w14:textId="77777777" w:rsidR="00164BA2" w:rsidRPr="007D2BD0" w:rsidRDefault="00164BA2">
          <w:pPr>
            <w:rPr>
              <w:sz w:val="28"/>
              <w:szCs w:val="28"/>
            </w:rPr>
          </w:pPr>
        </w:p>
        <w:tbl>
          <w:tblPr>
            <w:tblStyle w:val="Tablaconcuadrcula"/>
            <w:tblW w:w="8639" w:type="dxa"/>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685"/>
            <w:gridCol w:w="2544"/>
          </w:tblGrid>
          <w:tr w:rsidR="00164BA2" w14:paraId="36E7C494" w14:textId="77777777" w:rsidTr="00FA2C4B">
            <w:trPr>
              <w:trHeight w:val="194"/>
            </w:trPr>
            <w:tc>
              <w:tcPr>
                <w:tcW w:w="2410" w:type="dxa"/>
                <w:hideMark/>
              </w:tcPr>
              <w:p w14:paraId="681F007A" w14:textId="77777777" w:rsidR="00164BA2" w:rsidRPr="008A245E" w:rsidRDefault="00164BA2" w:rsidP="00FA2C4B">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3685" w:type="dxa"/>
                <w:hideMark/>
              </w:tcPr>
              <w:p w14:paraId="086237BE" w14:textId="2A13B84A" w:rsidR="00164BA2" w:rsidRPr="008A245E" w:rsidRDefault="00164BA2" w:rsidP="00473F5D">
                <w:pPr>
                  <w:tabs>
                    <w:tab w:val="right" w:pos="8838"/>
                  </w:tabs>
                  <w:ind w:left="-114" w:right="-105"/>
                  <w:jc w:val="both"/>
                  <w:rPr>
                    <w:rFonts w:ascii="Palatino Linotype" w:eastAsia="Calibri" w:hAnsi="Palatino Linotype" w:cs="Tahoma"/>
                    <w:bCs/>
                    <w:sz w:val="22"/>
                    <w:szCs w:val="22"/>
                    <w:lang w:eastAsia="en-US"/>
                  </w:rPr>
                </w:pPr>
                <w:r w:rsidRPr="00651621">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6331</w:t>
                </w:r>
                <w:r w:rsidRPr="0065162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c>
              <w:tcPr>
                <w:tcW w:w="2544" w:type="dxa"/>
              </w:tcPr>
              <w:p w14:paraId="3B012B52" w14:textId="77777777" w:rsidR="00164BA2" w:rsidRDefault="00164BA2" w:rsidP="00FA2C4B">
                <w:pPr>
                  <w:tabs>
                    <w:tab w:val="right" w:pos="8838"/>
                  </w:tabs>
                  <w:ind w:left="-114" w:right="-105"/>
                  <w:jc w:val="both"/>
                  <w:rPr>
                    <w:rFonts w:ascii="Palatino Linotype" w:eastAsia="Calibri" w:hAnsi="Palatino Linotype" w:cs="Tahoma"/>
                    <w:bCs/>
                    <w:sz w:val="22"/>
                    <w:szCs w:val="22"/>
                    <w:lang w:eastAsia="en-US"/>
                  </w:rPr>
                </w:pPr>
              </w:p>
            </w:tc>
          </w:tr>
          <w:tr w:rsidR="00164BA2" w14:paraId="1BD1BA9B" w14:textId="77777777" w:rsidTr="00FA2C4B">
            <w:trPr>
              <w:trHeight w:val="88"/>
            </w:trPr>
            <w:tc>
              <w:tcPr>
                <w:tcW w:w="2410" w:type="dxa"/>
                <w:hideMark/>
              </w:tcPr>
              <w:p w14:paraId="746D28CB" w14:textId="77777777" w:rsidR="00164BA2" w:rsidRPr="008A245E" w:rsidRDefault="00164BA2" w:rsidP="00FF0C85">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3685" w:type="dxa"/>
                <w:hideMark/>
              </w:tcPr>
              <w:p w14:paraId="1AC2FB72" w14:textId="5B7BFF1D" w:rsidR="00164BA2" w:rsidRPr="008A4AB2" w:rsidRDefault="00164BA2" w:rsidP="00473F5D">
                <w:pPr>
                  <w:tabs>
                    <w:tab w:val="left" w:pos="2834"/>
                    <w:tab w:val="right" w:pos="8838"/>
                  </w:tabs>
                  <w:ind w:left="-114"/>
                  <w:jc w:val="both"/>
                  <w:rPr>
                    <w:rFonts w:ascii="Palatino Linotype" w:hAnsi="Palatino Linotype"/>
                    <w:color w:val="000000"/>
                    <w:sz w:val="22"/>
                    <w:szCs w:val="22"/>
                  </w:rPr>
                </w:pPr>
                <w:r>
                  <w:rPr>
                    <w:rFonts w:ascii="Palatino Linotype" w:hAnsi="Palatino Linotype"/>
                    <w:color w:val="000000"/>
                    <w:sz w:val="22"/>
                    <w:szCs w:val="22"/>
                  </w:rPr>
                  <w:t>Secretaría de Finanzas</w:t>
                </w:r>
              </w:p>
            </w:tc>
            <w:tc>
              <w:tcPr>
                <w:tcW w:w="2544" w:type="dxa"/>
              </w:tcPr>
              <w:p w14:paraId="4534F617" w14:textId="77777777" w:rsidR="00164BA2" w:rsidRPr="00326F31" w:rsidRDefault="00164BA2" w:rsidP="00FF0C85">
                <w:pPr>
                  <w:tabs>
                    <w:tab w:val="left" w:pos="2834"/>
                    <w:tab w:val="right" w:pos="8838"/>
                  </w:tabs>
                  <w:ind w:left="-114"/>
                  <w:jc w:val="both"/>
                  <w:rPr>
                    <w:rFonts w:ascii="Palatino Linotype" w:eastAsia="Calibri" w:hAnsi="Palatino Linotype" w:cs="Tahoma"/>
                    <w:sz w:val="22"/>
                    <w:szCs w:val="22"/>
                    <w:lang w:eastAsia="en-US"/>
                  </w:rPr>
                </w:pPr>
              </w:p>
            </w:tc>
          </w:tr>
          <w:tr w:rsidR="00164BA2" w14:paraId="6CD29D53" w14:textId="77777777" w:rsidTr="00FA2C4B">
            <w:trPr>
              <w:trHeight w:val="383"/>
            </w:trPr>
            <w:tc>
              <w:tcPr>
                <w:tcW w:w="2410" w:type="dxa"/>
                <w:hideMark/>
              </w:tcPr>
              <w:p w14:paraId="57F09583" w14:textId="77777777" w:rsidR="00164BA2" w:rsidRPr="008A245E" w:rsidRDefault="00164BA2" w:rsidP="00FA2C4B">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3685" w:type="dxa"/>
              </w:tcPr>
              <w:p w14:paraId="43A4AE30" w14:textId="77777777" w:rsidR="00164BA2" w:rsidRPr="007D2BD0" w:rsidRDefault="00164BA2" w:rsidP="00FA2C4B">
                <w:pPr>
                  <w:tabs>
                    <w:tab w:val="right" w:pos="8838"/>
                  </w:tabs>
                  <w:ind w:left="-11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tc>
            <w:tc>
              <w:tcPr>
                <w:tcW w:w="2544" w:type="dxa"/>
              </w:tcPr>
              <w:p w14:paraId="1FBB3AFC" w14:textId="77777777" w:rsidR="00164BA2" w:rsidRPr="008A245E" w:rsidRDefault="00164BA2" w:rsidP="00FA2C4B">
                <w:pPr>
                  <w:tabs>
                    <w:tab w:val="right" w:pos="8838"/>
                  </w:tabs>
                  <w:ind w:left="-114" w:right="-105"/>
                  <w:jc w:val="both"/>
                  <w:rPr>
                    <w:rFonts w:ascii="Palatino Linotype" w:eastAsia="Calibri" w:hAnsi="Palatino Linotype" w:cs="Tahoma"/>
                    <w:sz w:val="22"/>
                    <w:szCs w:val="22"/>
                    <w:lang w:eastAsia="en-US"/>
                  </w:rPr>
                </w:pPr>
              </w:p>
            </w:tc>
          </w:tr>
        </w:tbl>
        <w:p w14:paraId="66EA79CD" w14:textId="77777777" w:rsidR="00164BA2" w:rsidRDefault="00164BA2" w:rsidP="00FA2C4B">
          <w:pPr>
            <w:tabs>
              <w:tab w:val="right" w:pos="8838"/>
            </w:tabs>
            <w:spacing w:line="256" w:lineRule="auto"/>
            <w:ind w:left="-28"/>
            <w:jc w:val="both"/>
            <w:rPr>
              <w:rFonts w:ascii="Arial" w:eastAsia="Calibri" w:hAnsi="Arial" w:cs="Arial"/>
              <w:b/>
              <w:sz w:val="22"/>
              <w:szCs w:val="22"/>
              <w:lang w:eastAsia="en-US"/>
            </w:rPr>
          </w:pPr>
        </w:p>
      </w:tc>
    </w:tr>
  </w:tbl>
  <w:p w14:paraId="27145F8A" w14:textId="77777777" w:rsidR="00164BA2" w:rsidRDefault="00164BA2">
    <w:pPr>
      <w:pStyle w:val="Encabezado"/>
    </w:pPr>
    <w:r>
      <w:rPr>
        <w:rFonts w:ascii="Garamond" w:eastAsia="Calibri" w:hAnsi="Garamond"/>
        <w:noProof/>
        <w:sz w:val="22"/>
        <w:szCs w:val="22"/>
        <w:lang w:eastAsia="es-MX"/>
      </w:rPr>
      <w:drawing>
        <wp:anchor distT="0" distB="0" distL="114300" distR="114300" simplePos="0" relativeHeight="251657728" behindDoc="1" locked="0" layoutInCell="0" allowOverlap="1" wp14:anchorId="339C759D" wp14:editId="1458E866">
          <wp:simplePos x="0" y="0"/>
          <wp:positionH relativeFrom="margin">
            <wp:posOffset>-1153160</wp:posOffset>
          </wp:positionH>
          <wp:positionV relativeFrom="margin">
            <wp:posOffset>-1539240</wp:posOffset>
          </wp:positionV>
          <wp:extent cx="7835900" cy="10203815"/>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0" cy="10203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1" w:type="dxa"/>
      <w:tblLayout w:type="fixed"/>
      <w:tblLook w:val="04A0" w:firstRow="1" w:lastRow="0" w:firstColumn="1" w:lastColumn="0" w:noHBand="0" w:noVBand="1"/>
    </w:tblPr>
    <w:tblGrid>
      <w:gridCol w:w="2268"/>
      <w:gridCol w:w="6733"/>
    </w:tblGrid>
    <w:tr w:rsidR="00164BA2" w14:paraId="44D11258" w14:textId="77777777" w:rsidTr="00FA2C4B">
      <w:trPr>
        <w:trHeight w:val="1435"/>
      </w:trPr>
      <w:tc>
        <w:tcPr>
          <w:tcW w:w="2268" w:type="dxa"/>
        </w:tcPr>
        <w:p w14:paraId="3C5EBE90" w14:textId="10DBEDC5" w:rsidR="00164BA2" w:rsidRDefault="00164BA2" w:rsidP="00FA2C4B">
          <w:pPr>
            <w:tabs>
              <w:tab w:val="right" w:pos="4273"/>
            </w:tabs>
            <w:spacing w:line="256" w:lineRule="auto"/>
            <w:rPr>
              <w:rFonts w:ascii="Garamond" w:eastAsia="Calibri" w:hAnsi="Garamond"/>
              <w:sz w:val="22"/>
              <w:szCs w:val="22"/>
              <w:lang w:eastAsia="en-US"/>
            </w:rPr>
          </w:pPr>
        </w:p>
      </w:tc>
      <w:tc>
        <w:tcPr>
          <w:tcW w:w="6733" w:type="dxa"/>
          <w:hideMark/>
        </w:tcPr>
        <w:tbl>
          <w:tblPr>
            <w:tblStyle w:val="Tablaconcuadrcula"/>
            <w:tblW w:w="6702" w:type="dxa"/>
            <w:tblInd w:w="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4292"/>
          </w:tblGrid>
          <w:tr w:rsidR="00164BA2" w:rsidRPr="0095634C" w14:paraId="35A7D3C4" w14:textId="77777777" w:rsidTr="00FA2C4B">
            <w:trPr>
              <w:trHeight w:val="138"/>
            </w:trPr>
            <w:tc>
              <w:tcPr>
                <w:tcW w:w="2410" w:type="dxa"/>
                <w:hideMark/>
              </w:tcPr>
              <w:p w14:paraId="19C17F9E" w14:textId="77777777" w:rsidR="00164BA2" w:rsidRPr="0095634C" w:rsidRDefault="00164BA2" w:rsidP="00FA2C4B">
                <w:pPr>
                  <w:tabs>
                    <w:tab w:val="right" w:pos="8838"/>
                  </w:tabs>
                  <w:ind w:left="-69" w:right="-105"/>
                  <w:rPr>
                    <w:rFonts w:ascii="Palatino Linotype" w:eastAsia="Calibri" w:hAnsi="Palatino Linotype" w:cs="Tahoma"/>
                    <w:b/>
                    <w:sz w:val="22"/>
                    <w:szCs w:val="22"/>
                    <w:lang w:eastAsia="en-US"/>
                  </w:rPr>
                </w:pPr>
                <w:r w:rsidRPr="0095634C">
                  <w:rPr>
                    <w:rFonts w:ascii="Palatino Linotype" w:eastAsia="Calibri" w:hAnsi="Palatino Linotype" w:cs="Tahoma"/>
                    <w:b/>
                    <w:sz w:val="22"/>
                    <w:szCs w:val="22"/>
                    <w:lang w:eastAsia="en-US"/>
                  </w:rPr>
                  <w:t>Recurso de Revisión:</w:t>
                </w:r>
              </w:p>
            </w:tc>
            <w:tc>
              <w:tcPr>
                <w:tcW w:w="4292" w:type="dxa"/>
                <w:hideMark/>
              </w:tcPr>
              <w:p w14:paraId="2F499A0E" w14:textId="71C0572E" w:rsidR="00164BA2" w:rsidRPr="0095634C" w:rsidRDefault="00164BA2" w:rsidP="00473F5D">
                <w:pPr>
                  <w:tabs>
                    <w:tab w:val="right" w:pos="8838"/>
                  </w:tabs>
                  <w:ind w:left="-74" w:right="-105"/>
                  <w:jc w:val="both"/>
                  <w:rPr>
                    <w:rFonts w:ascii="Palatino Linotype" w:eastAsia="Calibri" w:hAnsi="Palatino Linotype" w:cs="Tahoma"/>
                    <w:sz w:val="22"/>
                    <w:szCs w:val="22"/>
                    <w:lang w:eastAsia="en-US"/>
                  </w:rPr>
                </w:pPr>
                <w:r w:rsidRPr="00651621">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6331</w:t>
                </w:r>
                <w:r w:rsidRPr="0065162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164BA2" w:rsidRPr="0095634C" w14:paraId="65611DCC" w14:textId="77777777" w:rsidTr="00FA2C4B">
            <w:trPr>
              <w:trHeight w:val="138"/>
            </w:trPr>
            <w:tc>
              <w:tcPr>
                <w:tcW w:w="2410" w:type="dxa"/>
                <w:hideMark/>
              </w:tcPr>
              <w:p w14:paraId="0273E764" w14:textId="77777777" w:rsidR="00164BA2" w:rsidRPr="0095634C" w:rsidRDefault="00164BA2" w:rsidP="00FA2C4B">
                <w:pPr>
                  <w:tabs>
                    <w:tab w:val="right" w:pos="8838"/>
                  </w:tabs>
                  <w:ind w:left="-74" w:right="-105"/>
                  <w:rPr>
                    <w:rFonts w:ascii="Palatino Linotype" w:eastAsia="Calibri" w:hAnsi="Palatino Linotype" w:cs="Tahoma"/>
                    <w:b/>
                    <w:sz w:val="22"/>
                    <w:szCs w:val="22"/>
                    <w:lang w:eastAsia="en-US"/>
                  </w:rPr>
                </w:pPr>
                <w:r w:rsidRPr="0095634C">
                  <w:rPr>
                    <w:rFonts w:ascii="Palatino Linotype" w:eastAsia="Calibri" w:hAnsi="Palatino Linotype" w:cs="Tahoma"/>
                    <w:b/>
                    <w:sz w:val="22"/>
                    <w:szCs w:val="22"/>
                    <w:lang w:eastAsia="en-US"/>
                  </w:rPr>
                  <w:t>Recurrente:</w:t>
                </w:r>
              </w:p>
            </w:tc>
            <w:tc>
              <w:tcPr>
                <w:tcW w:w="4292" w:type="dxa"/>
              </w:tcPr>
              <w:p w14:paraId="33808AFF" w14:textId="1C06C99E" w:rsidR="00164BA2" w:rsidRPr="0095634C" w:rsidRDefault="00EF5747" w:rsidP="00FA2C4B">
                <w:pPr>
                  <w:tabs>
                    <w:tab w:val="left" w:pos="3122"/>
                    <w:tab w:val="right" w:pos="8838"/>
                  </w:tabs>
                  <w:ind w:left="-74" w:right="-105"/>
                  <w:jc w:val="both"/>
                  <w:rPr>
                    <w:rFonts w:ascii="Palatino Linotype" w:eastAsia="Calibri" w:hAnsi="Palatino Linotype" w:cs="Tahoma"/>
                    <w:sz w:val="22"/>
                    <w:szCs w:val="22"/>
                    <w:lang w:eastAsia="en-US"/>
                  </w:rPr>
                </w:pPr>
                <w:r w:rsidRPr="005265E5">
                  <w:rPr>
                    <w:rFonts w:ascii="Palatino Linotype" w:eastAsia="Palatino Linotype" w:hAnsi="Palatino Linotype" w:cs="Palatino Linotype"/>
                    <w:sz w:val="22"/>
                    <w:szCs w:val="22"/>
                    <w:highlight w:val="black"/>
                  </w:rPr>
                  <w:t>****</w:t>
                </w:r>
                <w:r>
                  <w:rPr>
                    <w:highlight w:val="black"/>
                  </w:rPr>
                  <w:t>**************</w:t>
                </w:r>
                <w:r w:rsidRPr="005265E5">
                  <w:rPr>
                    <w:rFonts w:ascii="Palatino Linotype" w:eastAsia="Palatino Linotype" w:hAnsi="Palatino Linotype" w:cs="Palatino Linotype"/>
                    <w:sz w:val="22"/>
                    <w:szCs w:val="22"/>
                    <w:highlight w:val="black"/>
                  </w:rPr>
                  <w:t>**********</w:t>
                </w:r>
              </w:p>
            </w:tc>
          </w:tr>
          <w:tr w:rsidR="00164BA2" w:rsidRPr="0095634C" w14:paraId="433B0C74" w14:textId="77777777" w:rsidTr="00FA2C4B">
            <w:trPr>
              <w:trHeight w:val="275"/>
            </w:trPr>
            <w:tc>
              <w:tcPr>
                <w:tcW w:w="2410" w:type="dxa"/>
                <w:hideMark/>
              </w:tcPr>
              <w:p w14:paraId="59C0FEB0" w14:textId="77777777" w:rsidR="00164BA2" w:rsidRPr="0095634C" w:rsidRDefault="00164BA2" w:rsidP="00FA2C4B">
                <w:pPr>
                  <w:tabs>
                    <w:tab w:val="right" w:pos="8838"/>
                  </w:tabs>
                  <w:ind w:left="-74" w:right="-105"/>
                  <w:rPr>
                    <w:rFonts w:ascii="Palatino Linotype" w:eastAsia="Calibri" w:hAnsi="Palatino Linotype" w:cs="Tahoma"/>
                    <w:b/>
                    <w:sz w:val="22"/>
                    <w:szCs w:val="22"/>
                    <w:lang w:eastAsia="en-US"/>
                  </w:rPr>
                </w:pPr>
                <w:r w:rsidRPr="0095634C">
                  <w:rPr>
                    <w:rFonts w:ascii="Palatino Linotype" w:eastAsia="Calibri" w:hAnsi="Palatino Linotype" w:cs="Tahoma"/>
                    <w:b/>
                    <w:sz w:val="22"/>
                    <w:szCs w:val="22"/>
                    <w:lang w:eastAsia="en-US"/>
                  </w:rPr>
                  <w:t>Sujeto Obligado:</w:t>
                </w:r>
              </w:p>
            </w:tc>
            <w:tc>
              <w:tcPr>
                <w:tcW w:w="4292" w:type="dxa"/>
                <w:hideMark/>
              </w:tcPr>
              <w:p w14:paraId="5BF78F23" w14:textId="3C201426" w:rsidR="00164BA2" w:rsidRPr="00590F33" w:rsidRDefault="00164BA2" w:rsidP="00473F5D">
                <w:pPr>
                  <w:tabs>
                    <w:tab w:val="left" w:pos="2834"/>
                    <w:tab w:val="right" w:pos="8838"/>
                  </w:tabs>
                  <w:ind w:left="-74" w:right="690"/>
                  <w:jc w:val="both"/>
                  <w:rPr>
                    <w:rFonts w:ascii="Palatino Linotype" w:eastAsia="Calibri" w:hAnsi="Palatino Linotype" w:cs="Tahoma"/>
                    <w:sz w:val="22"/>
                    <w:szCs w:val="22"/>
                    <w:lang w:eastAsia="en-US"/>
                  </w:rPr>
                </w:pPr>
                <w:r>
                  <w:rPr>
                    <w:rFonts w:ascii="Palatino Linotype" w:hAnsi="Palatino Linotype"/>
                    <w:color w:val="000000"/>
                    <w:sz w:val="22"/>
                    <w:szCs w:val="22"/>
                  </w:rPr>
                  <w:t>Secretaría de Finanzas</w:t>
                </w:r>
              </w:p>
            </w:tc>
          </w:tr>
          <w:tr w:rsidR="00164BA2" w:rsidRPr="0095634C" w14:paraId="1CF927CF" w14:textId="77777777" w:rsidTr="00FA2C4B">
            <w:trPr>
              <w:trHeight w:val="275"/>
            </w:trPr>
            <w:tc>
              <w:tcPr>
                <w:tcW w:w="2410" w:type="dxa"/>
                <w:hideMark/>
              </w:tcPr>
              <w:p w14:paraId="4B5996B5" w14:textId="77777777" w:rsidR="00164BA2" w:rsidRPr="0095634C" w:rsidRDefault="00164BA2" w:rsidP="00FA2C4B">
                <w:pPr>
                  <w:tabs>
                    <w:tab w:val="right" w:pos="8838"/>
                  </w:tabs>
                  <w:ind w:left="-74" w:right="-105"/>
                  <w:rPr>
                    <w:rFonts w:ascii="Palatino Linotype" w:eastAsia="Calibri" w:hAnsi="Palatino Linotype" w:cs="Tahoma"/>
                    <w:b/>
                    <w:sz w:val="22"/>
                    <w:szCs w:val="22"/>
                    <w:lang w:eastAsia="en-US"/>
                  </w:rPr>
                </w:pPr>
                <w:r w:rsidRPr="0095634C">
                  <w:rPr>
                    <w:rFonts w:ascii="Palatino Linotype" w:eastAsia="Calibri" w:hAnsi="Palatino Linotype" w:cs="Tahoma"/>
                    <w:b/>
                    <w:sz w:val="22"/>
                    <w:szCs w:val="22"/>
                    <w:lang w:eastAsia="en-US"/>
                  </w:rPr>
                  <w:t>Comisionado Ponente:</w:t>
                </w:r>
              </w:p>
            </w:tc>
            <w:tc>
              <w:tcPr>
                <w:tcW w:w="4292" w:type="dxa"/>
              </w:tcPr>
              <w:p w14:paraId="46F76C0E" w14:textId="77777777" w:rsidR="00164BA2" w:rsidRPr="0057023C" w:rsidRDefault="00164BA2" w:rsidP="00FA2C4B">
                <w:pPr>
                  <w:tabs>
                    <w:tab w:val="right" w:pos="8838"/>
                  </w:tabs>
                  <w:ind w:left="-74" w:right="-105"/>
                  <w:jc w:val="both"/>
                  <w:rPr>
                    <w:rFonts w:ascii="Palatino Linotype" w:eastAsia="Calibri" w:hAnsi="Palatino Linotype" w:cs="Tahoma"/>
                    <w:sz w:val="22"/>
                    <w:szCs w:val="22"/>
                    <w:lang w:eastAsia="en-US"/>
                  </w:rPr>
                </w:pPr>
                <w:r w:rsidRPr="0095634C">
                  <w:rPr>
                    <w:rFonts w:ascii="Palatino Linotype" w:eastAsia="Calibri" w:hAnsi="Palatino Linotype" w:cs="Tahoma"/>
                    <w:sz w:val="22"/>
                    <w:szCs w:val="22"/>
                    <w:lang w:eastAsia="en-US"/>
                  </w:rPr>
                  <w:t>Luis Gustavo Parra Noriega</w:t>
                </w:r>
              </w:p>
            </w:tc>
          </w:tr>
        </w:tbl>
        <w:p w14:paraId="1D78F80F" w14:textId="77777777" w:rsidR="00164BA2" w:rsidRDefault="00164BA2" w:rsidP="00FA2C4B">
          <w:pPr>
            <w:tabs>
              <w:tab w:val="right" w:pos="8838"/>
            </w:tabs>
            <w:spacing w:line="256" w:lineRule="auto"/>
            <w:ind w:left="-28"/>
            <w:jc w:val="both"/>
            <w:rPr>
              <w:rFonts w:ascii="Arial" w:eastAsia="Calibri" w:hAnsi="Arial" w:cs="Arial"/>
              <w:b/>
              <w:sz w:val="22"/>
              <w:szCs w:val="22"/>
              <w:lang w:eastAsia="en-US"/>
            </w:rPr>
          </w:pPr>
        </w:p>
      </w:tc>
    </w:tr>
  </w:tbl>
  <w:p w14:paraId="23B98AF8" w14:textId="77777777" w:rsidR="00164BA2" w:rsidRDefault="00203265" w:rsidP="00FA2C4B">
    <w:pPr>
      <w:pStyle w:val="Encabezado"/>
    </w:pPr>
    <w:r>
      <w:rPr>
        <w:rFonts w:ascii="Garamond" w:eastAsia="Calibri" w:hAnsi="Garamond"/>
        <w:noProof/>
        <w:sz w:val="22"/>
        <w:szCs w:val="22"/>
        <w:lang w:eastAsia="en-US"/>
      </w:rPr>
      <w:pict w14:anchorId="31D84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margin-left:-85.05pt;margin-top:-121.55pt;width:663.5pt;height:12in;z-index:-25165772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E2855B3"/>
    <w:multiLevelType w:val="hybridMultilevel"/>
    <w:tmpl w:val="BF06EBBA"/>
    <w:lvl w:ilvl="0" w:tplc="9394260A">
      <w:numFmt w:val="bullet"/>
      <w:lvlText w:val="-"/>
      <w:lvlJc w:val="left"/>
      <w:pPr>
        <w:ind w:left="720" w:hanging="360"/>
      </w:pPr>
      <w:rPr>
        <w:rFonts w:ascii="Palatino Linotype" w:eastAsia="Calibri" w:hAnsi="Palatino Linotype"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F3907"/>
    <w:multiLevelType w:val="hybridMultilevel"/>
    <w:tmpl w:val="EB5EF854"/>
    <w:lvl w:ilvl="0" w:tplc="72C2129A">
      <w:start w:val="2"/>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9D1D1E"/>
    <w:multiLevelType w:val="hybridMultilevel"/>
    <w:tmpl w:val="12385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8D3650E"/>
    <w:multiLevelType w:val="hybridMultilevel"/>
    <w:tmpl w:val="412A6B5E"/>
    <w:lvl w:ilvl="0" w:tplc="080A0017">
      <w:start w:val="1"/>
      <w:numFmt w:val="lowerLetter"/>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7" w15:restartNumberingAfterBreak="0">
    <w:nsid w:val="714A70C2"/>
    <w:multiLevelType w:val="hybridMultilevel"/>
    <w:tmpl w:val="03EE1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955974"/>
    <w:multiLevelType w:val="hybridMultilevel"/>
    <w:tmpl w:val="2916B584"/>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E4028FC"/>
    <w:multiLevelType w:val="hybridMultilevel"/>
    <w:tmpl w:val="8DF0A72C"/>
    <w:lvl w:ilvl="0" w:tplc="D1204DF2">
      <w:numFmt w:val="bullet"/>
      <w:lvlText w:val="-"/>
      <w:lvlJc w:val="left"/>
      <w:pPr>
        <w:ind w:left="720" w:hanging="360"/>
      </w:pPr>
      <w:rPr>
        <w:rFonts w:ascii="Palatino Linotype" w:eastAsia="Times New Roman" w:hAnsi="Palatino Linotype"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 w:numId="7">
    <w:abstractNumId w:val="5"/>
  </w:num>
  <w:num w:numId="8">
    <w:abstractNumId w:val="6"/>
  </w:num>
  <w:num w:numId="9">
    <w:abstractNumId w:val="7"/>
  </w:num>
  <w:num w:numId="10">
    <w:abstractNumId w:val="1"/>
  </w:num>
  <w:num w:numId="11">
    <w:abstractNumId w:val="8"/>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4B"/>
    <w:rsid w:val="000036B6"/>
    <w:rsid w:val="00003F22"/>
    <w:rsid w:val="000106A3"/>
    <w:rsid w:val="00026E77"/>
    <w:rsid w:val="000407D2"/>
    <w:rsid w:val="00046A3A"/>
    <w:rsid w:val="00080EF0"/>
    <w:rsid w:val="0008692B"/>
    <w:rsid w:val="000A4CB8"/>
    <w:rsid w:val="000B11D3"/>
    <w:rsid w:val="000C5877"/>
    <w:rsid w:val="000E5096"/>
    <w:rsid w:val="000E6C4D"/>
    <w:rsid w:val="000F0859"/>
    <w:rsid w:val="000F69DF"/>
    <w:rsid w:val="00101F1E"/>
    <w:rsid w:val="0011071F"/>
    <w:rsid w:val="00110A0C"/>
    <w:rsid w:val="00115EA6"/>
    <w:rsid w:val="001162DA"/>
    <w:rsid w:val="0013472B"/>
    <w:rsid w:val="00136A40"/>
    <w:rsid w:val="00154535"/>
    <w:rsid w:val="00162DED"/>
    <w:rsid w:val="00164BA2"/>
    <w:rsid w:val="0018264D"/>
    <w:rsid w:val="001906D7"/>
    <w:rsid w:val="00194D7E"/>
    <w:rsid w:val="00194FA6"/>
    <w:rsid w:val="001A1B4F"/>
    <w:rsid w:val="001A4F7B"/>
    <w:rsid w:val="001C4A82"/>
    <w:rsid w:val="001D3FBA"/>
    <w:rsid w:val="001E5E73"/>
    <w:rsid w:val="001E6B14"/>
    <w:rsid w:val="001E7709"/>
    <w:rsid w:val="001F07C5"/>
    <w:rsid w:val="001F31DF"/>
    <w:rsid w:val="001F467A"/>
    <w:rsid w:val="001F4DC6"/>
    <w:rsid w:val="00203265"/>
    <w:rsid w:val="00211040"/>
    <w:rsid w:val="00220268"/>
    <w:rsid w:val="00220907"/>
    <w:rsid w:val="002405F2"/>
    <w:rsid w:val="002841BA"/>
    <w:rsid w:val="00291385"/>
    <w:rsid w:val="002A289D"/>
    <w:rsid w:val="002A3B96"/>
    <w:rsid w:val="002A571A"/>
    <w:rsid w:val="002A77C9"/>
    <w:rsid w:val="002A7A1D"/>
    <w:rsid w:val="002C205E"/>
    <w:rsid w:val="002E3EFB"/>
    <w:rsid w:val="002F3DE9"/>
    <w:rsid w:val="002F6E9E"/>
    <w:rsid w:val="002F782B"/>
    <w:rsid w:val="003021B2"/>
    <w:rsid w:val="00306A16"/>
    <w:rsid w:val="0032033E"/>
    <w:rsid w:val="00321786"/>
    <w:rsid w:val="00325072"/>
    <w:rsid w:val="00333319"/>
    <w:rsid w:val="003374F2"/>
    <w:rsid w:val="00337829"/>
    <w:rsid w:val="003446C7"/>
    <w:rsid w:val="00380F48"/>
    <w:rsid w:val="00384D82"/>
    <w:rsid w:val="003A0767"/>
    <w:rsid w:val="003A37A9"/>
    <w:rsid w:val="003A4AAB"/>
    <w:rsid w:val="003B1CBD"/>
    <w:rsid w:val="003D2B58"/>
    <w:rsid w:val="003E14B8"/>
    <w:rsid w:val="003E3A55"/>
    <w:rsid w:val="003E689D"/>
    <w:rsid w:val="0040395A"/>
    <w:rsid w:val="00403E88"/>
    <w:rsid w:val="00413F98"/>
    <w:rsid w:val="00422744"/>
    <w:rsid w:val="00426FC6"/>
    <w:rsid w:val="00453670"/>
    <w:rsid w:val="00463DF7"/>
    <w:rsid w:val="00464F4A"/>
    <w:rsid w:val="00471CB4"/>
    <w:rsid w:val="00473F5D"/>
    <w:rsid w:val="00492DAE"/>
    <w:rsid w:val="004D5E54"/>
    <w:rsid w:val="004E2FD0"/>
    <w:rsid w:val="004E37F1"/>
    <w:rsid w:val="004E71AD"/>
    <w:rsid w:val="004F02B5"/>
    <w:rsid w:val="00507B15"/>
    <w:rsid w:val="00515A8F"/>
    <w:rsid w:val="005164C8"/>
    <w:rsid w:val="005314B4"/>
    <w:rsid w:val="00542BC1"/>
    <w:rsid w:val="00565284"/>
    <w:rsid w:val="00581EFA"/>
    <w:rsid w:val="00591620"/>
    <w:rsid w:val="00596BE8"/>
    <w:rsid w:val="005C00A2"/>
    <w:rsid w:val="005C5630"/>
    <w:rsid w:val="005C77B0"/>
    <w:rsid w:val="005D3136"/>
    <w:rsid w:val="005D7C20"/>
    <w:rsid w:val="005E0748"/>
    <w:rsid w:val="005E39E1"/>
    <w:rsid w:val="005F1AB6"/>
    <w:rsid w:val="00614134"/>
    <w:rsid w:val="00635D5F"/>
    <w:rsid w:val="006429CF"/>
    <w:rsid w:val="00651621"/>
    <w:rsid w:val="00662DD2"/>
    <w:rsid w:val="00666BB4"/>
    <w:rsid w:val="00673E1F"/>
    <w:rsid w:val="006756FB"/>
    <w:rsid w:val="00694799"/>
    <w:rsid w:val="00694A85"/>
    <w:rsid w:val="00696B35"/>
    <w:rsid w:val="0069788F"/>
    <w:rsid w:val="006A74DC"/>
    <w:rsid w:val="006B352D"/>
    <w:rsid w:val="006B5870"/>
    <w:rsid w:val="006C5A59"/>
    <w:rsid w:val="006D2388"/>
    <w:rsid w:val="006D7059"/>
    <w:rsid w:val="006E05A1"/>
    <w:rsid w:val="00700174"/>
    <w:rsid w:val="007102C9"/>
    <w:rsid w:val="00736AF2"/>
    <w:rsid w:val="00737761"/>
    <w:rsid w:val="00742E55"/>
    <w:rsid w:val="007728BB"/>
    <w:rsid w:val="0079627B"/>
    <w:rsid w:val="007D1C3F"/>
    <w:rsid w:val="008154F3"/>
    <w:rsid w:val="00817575"/>
    <w:rsid w:val="00823B9D"/>
    <w:rsid w:val="0085328D"/>
    <w:rsid w:val="00855ADA"/>
    <w:rsid w:val="00865756"/>
    <w:rsid w:val="00870F31"/>
    <w:rsid w:val="00885E5C"/>
    <w:rsid w:val="0089220D"/>
    <w:rsid w:val="008A4AB2"/>
    <w:rsid w:val="008A79C9"/>
    <w:rsid w:val="008D3F91"/>
    <w:rsid w:val="008E01FA"/>
    <w:rsid w:val="008E59F8"/>
    <w:rsid w:val="008E5E33"/>
    <w:rsid w:val="008E6E97"/>
    <w:rsid w:val="008F0677"/>
    <w:rsid w:val="009066F2"/>
    <w:rsid w:val="00915B8B"/>
    <w:rsid w:val="00937B1C"/>
    <w:rsid w:val="00945DDF"/>
    <w:rsid w:val="00947B59"/>
    <w:rsid w:val="00961BE2"/>
    <w:rsid w:val="00993787"/>
    <w:rsid w:val="009965DA"/>
    <w:rsid w:val="009A666F"/>
    <w:rsid w:val="009A6FA6"/>
    <w:rsid w:val="009B2BAC"/>
    <w:rsid w:val="009B7409"/>
    <w:rsid w:val="009C7299"/>
    <w:rsid w:val="009D6B20"/>
    <w:rsid w:val="009E7575"/>
    <w:rsid w:val="009F0D17"/>
    <w:rsid w:val="00A00D38"/>
    <w:rsid w:val="00A16417"/>
    <w:rsid w:val="00A22E9E"/>
    <w:rsid w:val="00A37CBA"/>
    <w:rsid w:val="00A54053"/>
    <w:rsid w:val="00A76231"/>
    <w:rsid w:val="00A81F04"/>
    <w:rsid w:val="00A859B2"/>
    <w:rsid w:val="00A93810"/>
    <w:rsid w:val="00A96D29"/>
    <w:rsid w:val="00A97D7B"/>
    <w:rsid w:val="00AA5B98"/>
    <w:rsid w:val="00AB24AA"/>
    <w:rsid w:val="00AB55AC"/>
    <w:rsid w:val="00AB60DB"/>
    <w:rsid w:val="00AC193B"/>
    <w:rsid w:val="00AC4BCA"/>
    <w:rsid w:val="00AC59A9"/>
    <w:rsid w:val="00AD7DBC"/>
    <w:rsid w:val="00AE7815"/>
    <w:rsid w:val="00B10508"/>
    <w:rsid w:val="00B13836"/>
    <w:rsid w:val="00B2466E"/>
    <w:rsid w:val="00B35AC2"/>
    <w:rsid w:val="00B46CBC"/>
    <w:rsid w:val="00B51946"/>
    <w:rsid w:val="00B56390"/>
    <w:rsid w:val="00B72397"/>
    <w:rsid w:val="00B836B2"/>
    <w:rsid w:val="00B92157"/>
    <w:rsid w:val="00BA1399"/>
    <w:rsid w:val="00BA551F"/>
    <w:rsid w:val="00BA6ADD"/>
    <w:rsid w:val="00BB6FF1"/>
    <w:rsid w:val="00BC6F7D"/>
    <w:rsid w:val="00BD0843"/>
    <w:rsid w:val="00BD345B"/>
    <w:rsid w:val="00C03A05"/>
    <w:rsid w:val="00C134DB"/>
    <w:rsid w:val="00C1797B"/>
    <w:rsid w:val="00C276A1"/>
    <w:rsid w:val="00C41F19"/>
    <w:rsid w:val="00C601F1"/>
    <w:rsid w:val="00C62DB3"/>
    <w:rsid w:val="00C80E08"/>
    <w:rsid w:val="00C875A9"/>
    <w:rsid w:val="00C90682"/>
    <w:rsid w:val="00C90F5D"/>
    <w:rsid w:val="00CA331F"/>
    <w:rsid w:val="00CA3DA3"/>
    <w:rsid w:val="00CD3D6F"/>
    <w:rsid w:val="00CD5EE8"/>
    <w:rsid w:val="00D03E5B"/>
    <w:rsid w:val="00D052B8"/>
    <w:rsid w:val="00D21A96"/>
    <w:rsid w:val="00D22C9A"/>
    <w:rsid w:val="00D30CF0"/>
    <w:rsid w:val="00D324D2"/>
    <w:rsid w:val="00D34CD1"/>
    <w:rsid w:val="00D434D1"/>
    <w:rsid w:val="00D57A85"/>
    <w:rsid w:val="00D6522A"/>
    <w:rsid w:val="00D7337F"/>
    <w:rsid w:val="00D86FC0"/>
    <w:rsid w:val="00D90ABC"/>
    <w:rsid w:val="00D95552"/>
    <w:rsid w:val="00DA039C"/>
    <w:rsid w:val="00DA484C"/>
    <w:rsid w:val="00DC340E"/>
    <w:rsid w:val="00DC45BD"/>
    <w:rsid w:val="00DE247B"/>
    <w:rsid w:val="00DF0B92"/>
    <w:rsid w:val="00DF1B87"/>
    <w:rsid w:val="00DF747B"/>
    <w:rsid w:val="00E03F46"/>
    <w:rsid w:val="00E048CB"/>
    <w:rsid w:val="00E26AB2"/>
    <w:rsid w:val="00E32141"/>
    <w:rsid w:val="00E33A99"/>
    <w:rsid w:val="00E65010"/>
    <w:rsid w:val="00E81927"/>
    <w:rsid w:val="00E908EF"/>
    <w:rsid w:val="00E91A2E"/>
    <w:rsid w:val="00E95157"/>
    <w:rsid w:val="00ED7341"/>
    <w:rsid w:val="00ED7719"/>
    <w:rsid w:val="00EE6E4F"/>
    <w:rsid w:val="00EF5747"/>
    <w:rsid w:val="00F118A8"/>
    <w:rsid w:val="00F14E32"/>
    <w:rsid w:val="00F6431D"/>
    <w:rsid w:val="00F95C41"/>
    <w:rsid w:val="00FA2C4B"/>
    <w:rsid w:val="00FA3DA0"/>
    <w:rsid w:val="00FA4949"/>
    <w:rsid w:val="00FA5ACE"/>
    <w:rsid w:val="00FD29D8"/>
    <w:rsid w:val="00FD2DA2"/>
    <w:rsid w:val="00FF05B9"/>
    <w:rsid w:val="00FF0C85"/>
    <w:rsid w:val="00FF3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60E30D"/>
  <w15:chartTrackingRefBased/>
  <w15:docId w15:val="{3EDD7E45-94EE-49FB-9A72-D7F6693A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4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855A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A2C4B"/>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A2C4B"/>
    <w:pPr>
      <w:ind w:left="720"/>
      <w:contextualSpacing/>
    </w:pPr>
    <w:rPr>
      <w:rFonts w:ascii="Century Gothic" w:hAnsi="Century Gothic"/>
      <w:sz w:val="22"/>
      <w:szCs w:val="24"/>
    </w:rPr>
  </w:style>
  <w:style w:type="table" w:styleId="Tablaconcuadrcula">
    <w:name w:val="Table Grid"/>
    <w:basedOn w:val="Tablanormal"/>
    <w:uiPriority w:val="39"/>
    <w:rsid w:val="00FA2C4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2C4B"/>
    <w:pPr>
      <w:tabs>
        <w:tab w:val="center" w:pos="4419"/>
        <w:tab w:val="right" w:pos="8838"/>
      </w:tabs>
    </w:pPr>
  </w:style>
  <w:style w:type="character" w:customStyle="1" w:styleId="EncabezadoCar">
    <w:name w:val="Encabezado Car"/>
    <w:basedOn w:val="Fuentedeprrafopredeter"/>
    <w:link w:val="Encabezado"/>
    <w:uiPriority w:val="99"/>
    <w:rsid w:val="00FA2C4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A2C4B"/>
    <w:pPr>
      <w:tabs>
        <w:tab w:val="center" w:pos="4419"/>
        <w:tab w:val="right" w:pos="8838"/>
      </w:tabs>
    </w:pPr>
  </w:style>
  <w:style w:type="character" w:customStyle="1" w:styleId="PiedepginaCar">
    <w:name w:val="Pie de página Car"/>
    <w:basedOn w:val="Fuentedeprrafopredeter"/>
    <w:link w:val="Piedepgina"/>
    <w:uiPriority w:val="99"/>
    <w:rsid w:val="00FA2C4B"/>
    <w:rPr>
      <w:rFonts w:ascii="Times New Roman" w:eastAsia="Times New Roman" w:hAnsi="Times New Roman" w:cs="Times New Roman"/>
      <w:sz w:val="20"/>
      <w:szCs w:val="20"/>
      <w:lang w:eastAsia="es-ES"/>
    </w:rPr>
  </w:style>
  <w:style w:type="character" w:customStyle="1" w:styleId="normaltextrun">
    <w:name w:val="normaltextrun"/>
    <w:basedOn w:val="Fuentedeprrafopredeter"/>
    <w:rsid w:val="00FA2C4B"/>
  </w:style>
  <w:style w:type="paragraph" w:customStyle="1" w:styleId="paragraph">
    <w:name w:val="paragraph"/>
    <w:basedOn w:val="Normal"/>
    <w:rsid w:val="00FA2C4B"/>
    <w:pPr>
      <w:spacing w:before="100" w:beforeAutospacing="1" w:after="100" w:afterAutospacing="1"/>
    </w:pPr>
    <w:rPr>
      <w:sz w:val="24"/>
      <w:szCs w:val="24"/>
      <w:lang w:eastAsia="es-MX"/>
    </w:rPr>
  </w:style>
  <w:style w:type="character" w:customStyle="1" w:styleId="eop">
    <w:name w:val="eop"/>
    <w:basedOn w:val="Fuentedeprrafopredeter"/>
    <w:rsid w:val="00FA2C4B"/>
  </w:style>
  <w:style w:type="character" w:styleId="Hipervnculo">
    <w:name w:val="Hyperlink"/>
    <w:aliases w:val="Hipervínculo1,Hipervínculo11,Hipervínculo12,Hipervínculo13,Hipervínculo14,Hipervínculo15"/>
    <w:basedOn w:val="Fuentedeprrafopredeter"/>
    <w:uiPriority w:val="99"/>
    <w:unhideWhenUsed/>
    <w:rsid w:val="00FA2C4B"/>
    <w:rPr>
      <w:color w:val="0563C1" w:themeColor="hyperlink"/>
      <w:u w:val="single"/>
    </w:rPr>
  </w:style>
  <w:style w:type="character" w:customStyle="1" w:styleId="Mencinsinresolver1">
    <w:name w:val="Mención sin resolver1"/>
    <w:basedOn w:val="Fuentedeprrafopredeter"/>
    <w:uiPriority w:val="99"/>
    <w:semiHidden/>
    <w:unhideWhenUsed/>
    <w:rsid w:val="00325072"/>
    <w:rPr>
      <w:color w:val="605E5C"/>
      <w:shd w:val="clear" w:color="auto" w:fill="E1DFDD"/>
    </w:rPr>
  </w:style>
  <w:style w:type="character" w:customStyle="1" w:styleId="Ttulo1Car">
    <w:name w:val="Título 1 Car"/>
    <w:basedOn w:val="Fuentedeprrafopredeter"/>
    <w:link w:val="Ttulo1"/>
    <w:uiPriority w:val="9"/>
    <w:rsid w:val="00855ADA"/>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0096">
      <w:bodyDiv w:val="1"/>
      <w:marLeft w:val="0"/>
      <w:marRight w:val="0"/>
      <w:marTop w:val="0"/>
      <w:marBottom w:val="0"/>
      <w:divBdr>
        <w:top w:val="none" w:sz="0" w:space="0" w:color="auto"/>
        <w:left w:val="none" w:sz="0" w:space="0" w:color="auto"/>
        <w:bottom w:val="none" w:sz="0" w:space="0" w:color="auto"/>
        <w:right w:val="none" w:sz="0" w:space="0" w:color="auto"/>
      </w:divBdr>
    </w:div>
    <w:div w:id="58989797">
      <w:bodyDiv w:val="1"/>
      <w:marLeft w:val="0"/>
      <w:marRight w:val="0"/>
      <w:marTop w:val="0"/>
      <w:marBottom w:val="0"/>
      <w:divBdr>
        <w:top w:val="none" w:sz="0" w:space="0" w:color="auto"/>
        <w:left w:val="none" w:sz="0" w:space="0" w:color="auto"/>
        <w:bottom w:val="none" w:sz="0" w:space="0" w:color="auto"/>
        <w:right w:val="none" w:sz="0" w:space="0" w:color="auto"/>
      </w:divBdr>
    </w:div>
    <w:div w:id="78252790">
      <w:bodyDiv w:val="1"/>
      <w:marLeft w:val="0"/>
      <w:marRight w:val="0"/>
      <w:marTop w:val="0"/>
      <w:marBottom w:val="0"/>
      <w:divBdr>
        <w:top w:val="none" w:sz="0" w:space="0" w:color="auto"/>
        <w:left w:val="none" w:sz="0" w:space="0" w:color="auto"/>
        <w:bottom w:val="none" w:sz="0" w:space="0" w:color="auto"/>
        <w:right w:val="none" w:sz="0" w:space="0" w:color="auto"/>
      </w:divBdr>
    </w:div>
    <w:div w:id="140773851">
      <w:bodyDiv w:val="1"/>
      <w:marLeft w:val="0"/>
      <w:marRight w:val="0"/>
      <w:marTop w:val="0"/>
      <w:marBottom w:val="0"/>
      <w:divBdr>
        <w:top w:val="none" w:sz="0" w:space="0" w:color="auto"/>
        <w:left w:val="none" w:sz="0" w:space="0" w:color="auto"/>
        <w:bottom w:val="none" w:sz="0" w:space="0" w:color="auto"/>
        <w:right w:val="none" w:sz="0" w:space="0" w:color="auto"/>
      </w:divBdr>
    </w:div>
    <w:div w:id="155221624">
      <w:bodyDiv w:val="1"/>
      <w:marLeft w:val="0"/>
      <w:marRight w:val="0"/>
      <w:marTop w:val="0"/>
      <w:marBottom w:val="0"/>
      <w:divBdr>
        <w:top w:val="none" w:sz="0" w:space="0" w:color="auto"/>
        <w:left w:val="none" w:sz="0" w:space="0" w:color="auto"/>
        <w:bottom w:val="none" w:sz="0" w:space="0" w:color="auto"/>
        <w:right w:val="none" w:sz="0" w:space="0" w:color="auto"/>
      </w:divBdr>
    </w:div>
    <w:div w:id="220557677">
      <w:bodyDiv w:val="1"/>
      <w:marLeft w:val="0"/>
      <w:marRight w:val="0"/>
      <w:marTop w:val="0"/>
      <w:marBottom w:val="0"/>
      <w:divBdr>
        <w:top w:val="none" w:sz="0" w:space="0" w:color="auto"/>
        <w:left w:val="none" w:sz="0" w:space="0" w:color="auto"/>
        <w:bottom w:val="none" w:sz="0" w:space="0" w:color="auto"/>
        <w:right w:val="none" w:sz="0" w:space="0" w:color="auto"/>
      </w:divBdr>
    </w:div>
    <w:div w:id="270481365">
      <w:bodyDiv w:val="1"/>
      <w:marLeft w:val="0"/>
      <w:marRight w:val="0"/>
      <w:marTop w:val="0"/>
      <w:marBottom w:val="0"/>
      <w:divBdr>
        <w:top w:val="none" w:sz="0" w:space="0" w:color="auto"/>
        <w:left w:val="none" w:sz="0" w:space="0" w:color="auto"/>
        <w:bottom w:val="none" w:sz="0" w:space="0" w:color="auto"/>
        <w:right w:val="none" w:sz="0" w:space="0" w:color="auto"/>
      </w:divBdr>
    </w:div>
    <w:div w:id="417754789">
      <w:bodyDiv w:val="1"/>
      <w:marLeft w:val="0"/>
      <w:marRight w:val="0"/>
      <w:marTop w:val="0"/>
      <w:marBottom w:val="0"/>
      <w:divBdr>
        <w:top w:val="none" w:sz="0" w:space="0" w:color="auto"/>
        <w:left w:val="none" w:sz="0" w:space="0" w:color="auto"/>
        <w:bottom w:val="none" w:sz="0" w:space="0" w:color="auto"/>
        <w:right w:val="none" w:sz="0" w:space="0" w:color="auto"/>
      </w:divBdr>
    </w:div>
    <w:div w:id="466169712">
      <w:bodyDiv w:val="1"/>
      <w:marLeft w:val="0"/>
      <w:marRight w:val="0"/>
      <w:marTop w:val="0"/>
      <w:marBottom w:val="0"/>
      <w:divBdr>
        <w:top w:val="none" w:sz="0" w:space="0" w:color="auto"/>
        <w:left w:val="none" w:sz="0" w:space="0" w:color="auto"/>
        <w:bottom w:val="none" w:sz="0" w:space="0" w:color="auto"/>
        <w:right w:val="none" w:sz="0" w:space="0" w:color="auto"/>
      </w:divBdr>
    </w:div>
    <w:div w:id="485168788">
      <w:bodyDiv w:val="1"/>
      <w:marLeft w:val="0"/>
      <w:marRight w:val="0"/>
      <w:marTop w:val="0"/>
      <w:marBottom w:val="0"/>
      <w:divBdr>
        <w:top w:val="none" w:sz="0" w:space="0" w:color="auto"/>
        <w:left w:val="none" w:sz="0" w:space="0" w:color="auto"/>
        <w:bottom w:val="none" w:sz="0" w:space="0" w:color="auto"/>
        <w:right w:val="none" w:sz="0" w:space="0" w:color="auto"/>
      </w:divBdr>
      <w:divsChild>
        <w:div w:id="185094377">
          <w:marLeft w:val="0"/>
          <w:marRight w:val="0"/>
          <w:marTop w:val="0"/>
          <w:marBottom w:val="0"/>
          <w:divBdr>
            <w:top w:val="none" w:sz="0" w:space="0" w:color="auto"/>
            <w:left w:val="none" w:sz="0" w:space="0" w:color="auto"/>
            <w:bottom w:val="none" w:sz="0" w:space="0" w:color="auto"/>
            <w:right w:val="none" w:sz="0" w:space="0" w:color="auto"/>
          </w:divBdr>
        </w:div>
      </w:divsChild>
    </w:div>
    <w:div w:id="673805851">
      <w:bodyDiv w:val="1"/>
      <w:marLeft w:val="0"/>
      <w:marRight w:val="0"/>
      <w:marTop w:val="0"/>
      <w:marBottom w:val="0"/>
      <w:divBdr>
        <w:top w:val="none" w:sz="0" w:space="0" w:color="auto"/>
        <w:left w:val="none" w:sz="0" w:space="0" w:color="auto"/>
        <w:bottom w:val="none" w:sz="0" w:space="0" w:color="auto"/>
        <w:right w:val="none" w:sz="0" w:space="0" w:color="auto"/>
      </w:divBdr>
    </w:div>
    <w:div w:id="688482238">
      <w:bodyDiv w:val="1"/>
      <w:marLeft w:val="0"/>
      <w:marRight w:val="0"/>
      <w:marTop w:val="0"/>
      <w:marBottom w:val="0"/>
      <w:divBdr>
        <w:top w:val="none" w:sz="0" w:space="0" w:color="auto"/>
        <w:left w:val="none" w:sz="0" w:space="0" w:color="auto"/>
        <w:bottom w:val="none" w:sz="0" w:space="0" w:color="auto"/>
        <w:right w:val="none" w:sz="0" w:space="0" w:color="auto"/>
      </w:divBdr>
    </w:div>
    <w:div w:id="785201531">
      <w:bodyDiv w:val="1"/>
      <w:marLeft w:val="0"/>
      <w:marRight w:val="0"/>
      <w:marTop w:val="0"/>
      <w:marBottom w:val="0"/>
      <w:divBdr>
        <w:top w:val="none" w:sz="0" w:space="0" w:color="auto"/>
        <w:left w:val="none" w:sz="0" w:space="0" w:color="auto"/>
        <w:bottom w:val="none" w:sz="0" w:space="0" w:color="auto"/>
        <w:right w:val="none" w:sz="0" w:space="0" w:color="auto"/>
      </w:divBdr>
    </w:div>
    <w:div w:id="887836229">
      <w:bodyDiv w:val="1"/>
      <w:marLeft w:val="0"/>
      <w:marRight w:val="0"/>
      <w:marTop w:val="0"/>
      <w:marBottom w:val="0"/>
      <w:divBdr>
        <w:top w:val="none" w:sz="0" w:space="0" w:color="auto"/>
        <w:left w:val="none" w:sz="0" w:space="0" w:color="auto"/>
        <w:bottom w:val="none" w:sz="0" w:space="0" w:color="auto"/>
        <w:right w:val="none" w:sz="0" w:space="0" w:color="auto"/>
      </w:divBdr>
    </w:div>
    <w:div w:id="897017003">
      <w:bodyDiv w:val="1"/>
      <w:marLeft w:val="0"/>
      <w:marRight w:val="0"/>
      <w:marTop w:val="0"/>
      <w:marBottom w:val="0"/>
      <w:divBdr>
        <w:top w:val="none" w:sz="0" w:space="0" w:color="auto"/>
        <w:left w:val="none" w:sz="0" w:space="0" w:color="auto"/>
        <w:bottom w:val="none" w:sz="0" w:space="0" w:color="auto"/>
        <w:right w:val="none" w:sz="0" w:space="0" w:color="auto"/>
      </w:divBdr>
    </w:div>
    <w:div w:id="969820358">
      <w:bodyDiv w:val="1"/>
      <w:marLeft w:val="0"/>
      <w:marRight w:val="0"/>
      <w:marTop w:val="0"/>
      <w:marBottom w:val="0"/>
      <w:divBdr>
        <w:top w:val="none" w:sz="0" w:space="0" w:color="auto"/>
        <w:left w:val="none" w:sz="0" w:space="0" w:color="auto"/>
        <w:bottom w:val="none" w:sz="0" w:space="0" w:color="auto"/>
        <w:right w:val="none" w:sz="0" w:space="0" w:color="auto"/>
      </w:divBdr>
    </w:div>
    <w:div w:id="1050229965">
      <w:bodyDiv w:val="1"/>
      <w:marLeft w:val="0"/>
      <w:marRight w:val="0"/>
      <w:marTop w:val="0"/>
      <w:marBottom w:val="0"/>
      <w:divBdr>
        <w:top w:val="none" w:sz="0" w:space="0" w:color="auto"/>
        <w:left w:val="none" w:sz="0" w:space="0" w:color="auto"/>
        <w:bottom w:val="none" w:sz="0" w:space="0" w:color="auto"/>
        <w:right w:val="none" w:sz="0" w:space="0" w:color="auto"/>
      </w:divBdr>
    </w:div>
    <w:div w:id="1068382165">
      <w:bodyDiv w:val="1"/>
      <w:marLeft w:val="0"/>
      <w:marRight w:val="0"/>
      <w:marTop w:val="0"/>
      <w:marBottom w:val="0"/>
      <w:divBdr>
        <w:top w:val="none" w:sz="0" w:space="0" w:color="auto"/>
        <w:left w:val="none" w:sz="0" w:space="0" w:color="auto"/>
        <w:bottom w:val="none" w:sz="0" w:space="0" w:color="auto"/>
        <w:right w:val="none" w:sz="0" w:space="0" w:color="auto"/>
      </w:divBdr>
    </w:div>
    <w:div w:id="1170171385">
      <w:bodyDiv w:val="1"/>
      <w:marLeft w:val="0"/>
      <w:marRight w:val="0"/>
      <w:marTop w:val="0"/>
      <w:marBottom w:val="0"/>
      <w:divBdr>
        <w:top w:val="none" w:sz="0" w:space="0" w:color="auto"/>
        <w:left w:val="none" w:sz="0" w:space="0" w:color="auto"/>
        <w:bottom w:val="none" w:sz="0" w:space="0" w:color="auto"/>
        <w:right w:val="none" w:sz="0" w:space="0" w:color="auto"/>
      </w:divBdr>
    </w:div>
    <w:div w:id="1291400295">
      <w:bodyDiv w:val="1"/>
      <w:marLeft w:val="0"/>
      <w:marRight w:val="0"/>
      <w:marTop w:val="0"/>
      <w:marBottom w:val="0"/>
      <w:divBdr>
        <w:top w:val="none" w:sz="0" w:space="0" w:color="auto"/>
        <w:left w:val="none" w:sz="0" w:space="0" w:color="auto"/>
        <w:bottom w:val="none" w:sz="0" w:space="0" w:color="auto"/>
        <w:right w:val="none" w:sz="0" w:space="0" w:color="auto"/>
      </w:divBdr>
    </w:div>
    <w:div w:id="1314066733">
      <w:bodyDiv w:val="1"/>
      <w:marLeft w:val="0"/>
      <w:marRight w:val="0"/>
      <w:marTop w:val="0"/>
      <w:marBottom w:val="0"/>
      <w:divBdr>
        <w:top w:val="none" w:sz="0" w:space="0" w:color="auto"/>
        <w:left w:val="none" w:sz="0" w:space="0" w:color="auto"/>
        <w:bottom w:val="none" w:sz="0" w:space="0" w:color="auto"/>
        <w:right w:val="none" w:sz="0" w:space="0" w:color="auto"/>
      </w:divBdr>
    </w:div>
    <w:div w:id="1369331326">
      <w:bodyDiv w:val="1"/>
      <w:marLeft w:val="0"/>
      <w:marRight w:val="0"/>
      <w:marTop w:val="0"/>
      <w:marBottom w:val="0"/>
      <w:divBdr>
        <w:top w:val="none" w:sz="0" w:space="0" w:color="auto"/>
        <w:left w:val="none" w:sz="0" w:space="0" w:color="auto"/>
        <w:bottom w:val="none" w:sz="0" w:space="0" w:color="auto"/>
        <w:right w:val="none" w:sz="0" w:space="0" w:color="auto"/>
      </w:divBdr>
    </w:div>
    <w:div w:id="1530223217">
      <w:bodyDiv w:val="1"/>
      <w:marLeft w:val="0"/>
      <w:marRight w:val="0"/>
      <w:marTop w:val="0"/>
      <w:marBottom w:val="0"/>
      <w:divBdr>
        <w:top w:val="none" w:sz="0" w:space="0" w:color="auto"/>
        <w:left w:val="none" w:sz="0" w:space="0" w:color="auto"/>
        <w:bottom w:val="none" w:sz="0" w:space="0" w:color="auto"/>
        <w:right w:val="none" w:sz="0" w:space="0" w:color="auto"/>
      </w:divBdr>
    </w:div>
    <w:div w:id="1856532804">
      <w:bodyDiv w:val="1"/>
      <w:marLeft w:val="0"/>
      <w:marRight w:val="0"/>
      <w:marTop w:val="0"/>
      <w:marBottom w:val="0"/>
      <w:divBdr>
        <w:top w:val="none" w:sz="0" w:space="0" w:color="auto"/>
        <w:left w:val="none" w:sz="0" w:space="0" w:color="auto"/>
        <w:bottom w:val="none" w:sz="0" w:space="0" w:color="auto"/>
        <w:right w:val="none" w:sz="0" w:space="0" w:color="auto"/>
      </w:divBdr>
    </w:div>
    <w:div w:id="1981302473">
      <w:bodyDiv w:val="1"/>
      <w:marLeft w:val="0"/>
      <w:marRight w:val="0"/>
      <w:marTop w:val="0"/>
      <w:marBottom w:val="0"/>
      <w:divBdr>
        <w:top w:val="none" w:sz="0" w:space="0" w:color="auto"/>
        <w:left w:val="none" w:sz="0" w:space="0" w:color="auto"/>
        <w:bottom w:val="none" w:sz="0" w:space="0" w:color="auto"/>
        <w:right w:val="none" w:sz="0" w:space="0" w:color="auto"/>
      </w:divBdr>
    </w:div>
    <w:div w:id="21135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fpya.edomexico.gob.mx/controlv/faces/ControlVehicular/Consultas/tarjetaCirculacion.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FDA61-F9FA-4985-99E7-D29816B7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8582</Words>
  <Characters>47204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cp:lastModifiedBy>
  <cp:revision>5</cp:revision>
  <cp:lastPrinted>2024-11-15T05:15:00Z</cp:lastPrinted>
  <dcterms:created xsi:type="dcterms:W3CDTF">2024-11-15T05:15:00Z</dcterms:created>
  <dcterms:modified xsi:type="dcterms:W3CDTF">2025-02-06T17:05:00Z</dcterms:modified>
</cp:coreProperties>
</file>