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bookmarkStart w:colFirst="0" w:colLast="0" w:name="_heading=h.3dy6vkm" w:id="0"/>
      <w:bookmarkEnd w:id="0"/>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w:t>
      </w:r>
      <w:r w:rsidDel="00000000" w:rsidR="00000000" w:rsidRPr="00000000">
        <w:rPr>
          <w:rFonts w:ascii="Palatino Linotype" w:cs="Palatino Linotype" w:eastAsia="Palatino Linotype" w:hAnsi="Palatino Linotype"/>
          <w:b w:val="1"/>
          <w:rtl w:val="0"/>
        </w:rPr>
        <w:t xml:space="preserve">veintiocho de agosto de dos mil veinticuatro</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03419/INFOEM/IP/RR/2024</w:t>
      </w:r>
      <w:r w:rsidDel="00000000" w:rsidR="00000000" w:rsidRPr="00000000">
        <w:rPr>
          <w:rFonts w:ascii="Palatino Linotype" w:cs="Palatino Linotype" w:eastAsia="Palatino Linotype" w:hAnsi="Palatino Linotype"/>
          <w:rtl w:val="0"/>
        </w:rPr>
        <w:t xml:space="preserve">, interpuesto por</w:t>
      </w:r>
      <w:r w:rsidDel="00000000" w:rsidR="00000000" w:rsidRPr="00000000">
        <w:rPr>
          <w:rFonts w:ascii="Palatino Linotype" w:cs="Palatino Linotype" w:eastAsia="Palatino Linotype" w:hAnsi="Palatino Linotype"/>
          <w:b w:val="1"/>
          <w:rtl w:val="0"/>
        </w:rPr>
        <w:t xml:space="preserve"> XXXX XXXXXXXX XXXXXXX</w:t>
      </w:r>
      <w:r w:rsidDel="00000000" w:rsidR="00000000" w:rsidRPr="00000000">
        <w:rPr>
          <w:rFonts w:ascii="Palatino Linotype" w:cs="Palatino Linotype" w:eastAsia="Palatino Linotype" w:hAnsi="Palatino Linotype"/>
          <w:rtl w:val="0"/>
        </w:rPr>
        <w:t xml:space="preserve">, en lo sucesivo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de información con número de folio</w:t>
      </w:r>
      <w:r w:rsidDel="00000000" w:rsidR="00000000" w:rsidRPr="00000000">
        <w:rPr>
          <w:rFonts w:ascii="Verdana" w:cs="Verdana" w:eastAsia="Verdana" w:hAnsi="Verdana"/>
          <w:b w:val="1"/>
          <w:rtl w:val="0"/>
        </w:rPr>
        <w:t xml:space="preserve"> </w:t>
      </w:r>
      <w:r w:rsidDel="00000000" w:rsidR="00000000" w:rsidRPr="00000000">
        <w:rPr>
          <w:rFonts w:ascii="Palatino Linotype" w:cs="Palatino Linotype" w:eastAsia="Palatino Linotype" w:hAnsi="Palatino Linotype"/>
          <w:b w:val="1"/>
          <w:rtl w:val="0"/>
        </w:rPr>
        <w:t xml:space="preserve">00901/SESEA/IP/2024, </w:t>
      </w:r>
      <w:r w:rsidDel="00000000" w:rsidR="00000000" w:rsidRPr="00000000">
        <w:rPr>
          <w:rFonts w:ascii="Palatino Linotype" w:cs="Palatino Linotype" w:eastAsia="Palatino Linotype" w:hAnsi="Palatino Linotype"/>
          <w:rtl w:val="0"/>
        </w:rPr>
        <w:t xml:space="preserve">por parte de la </w:t>
      </w:r>
      <w:r w:rsidDel="00000000" w:rsidR="00000000" w:rsidRPr="00000000">
        <w:rPr>
          <w:rFonts w:ascii="Palatino Linotype" w:cs="Palatino Linotype" w:eastAsia="Palatino Linotype" w:hAnsi="Palatino Linotype"/>
          <w:b w:val="1"/>
          <w:rtl w:val="0"/>
        </w:rPr>
        <w:t xml:space="preserve">Secretaría Ejecutiva del Sistema Estatal Anticorrupción,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veinticuatro de mayo de dos mil veinticuatro,</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a través del Sistema de Acceso a la Información Mexiquense, en lo subsecuente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rtl w:val="0"/>
        </w:rPr>
        <w:t xml:space="preserve"> 00901/SESEA/IP/2024, </w:t>
      </w:r>
      <w:r w:rsidDel="00000000" w:rsidR="00000000" w:rsidRPr="00000000">
        <w:rPr>
          <w:rFonts w:ascii="Palatino Linotype" w:cs="Palatino Linotype" w:eastAsia="Palatino Linotype" w:hAnsi="Palatino Linotype"/>
          <w:rtl w:val="0"/>
        </w:rPr>
        <w:t xml:space="preserve">mediante la cual requirió la información siguiente: </w:t>
      </w:r>
    </w:p>
    <w:p w:rsidR="00000000" w:rsidDel="00000000" w:rsidP="00000000" w:rsidRDefault="00000000" w:rsidRPr="00000000" w14:paraId="00000005">
      <w:pPr>
        <w:spacing w:before="240" w:lineRule="auto"/>
        <w:ind w:left="851" w:right="902" w:firstLine="0"/>
        <w:jc w:val="both"/>
        <w:rPr>
          <w:rFonts w:ascii="Palatino Linotype" w:cs="Palatino Linotype" w:eastAsia="Palatino Linotype" w:hAnsi="Palatino Linotype"/>
          <w:i w:val="1"/>
          <w:sz w:val="22"/>
          <w:szCs w:val="22"/>
        </w:rPr>
      </w:pPr>
      <w:bookmarkStart w:colFirst="0" w:colLast="0" w:name="_heading=h.gjdgxs" w:id="1"/>
      <w:bookmarkEnd w:id="1"/>
      <w:r w:rsidDel="00000000" w:rsidR="00000000" w:rsidRPr="00000000">
        <w:rPr>
          <w:rFonts w:ascii="Palatino Linotype" w:cs="Palatino Linotype" w:eastAsia="Palatino Linotype" w:hAnsi="Palatino Linotype"/>
          <w:i w:val="1"/>
          <w:sz w:val="22"/>
          <w:szCs w:val="22"/>
          <w:rtl w:val="0"/>
        </w:rPr>
        <w:t xml:space="preserve">“con fundamento en el artículo 57 de la LEY DE TRANSPARENCIA Y ACCESO A LA INFORMACIÓN PÚBLICA DEL ESTADO DE MÉXICO Y MUNICIPIOS, solicito la certificación de competencia que debe tener el titular de la unidad de transparencia, asi como los documentos oficiales procesados en dicho sujeto obligado que acrediten su sueldo neto, grado de estudios, fecha de ingreso y curriculum” (Sic)</w:t>
      </w:r>
    </w:p>
    <w:p w:rsidR="00000000" w:rsidDel="00000000" w:rsidP="00000000" w:rsidRDefault="00000000" w:rsidRPr="00000000" w14:paraId="00000006">
      <w:pPr>
        <w:spacing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A través de SAIMEX.</w:t>
      </w:r>
    </w:p>
    <w:p w:rsidR="00000000" w:rsidDel="00000000" w:rsidP="00000000" w:rsidRDefault="00000000" w:rsidRPr="00000000" w14:paraId="0000000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9">
      <w:pPr>
        <w:spacing w:after="240" w:line="360"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Con fecha </w:t>
      </w:r>
      <w:r w:rsidDel="00000000" w:rsidR="00000000" w:rsidRPr="00000000">
        <w:rPr>
          <w:rFonts w:ascii="Palatino Linotype" w:cs="Palatino Linotype" w:eastAsia="Palatino Linotype" w:hAnsi="Palatino Linotype"/>
          <w:b w:val="1"/>
          <w:rtl w:val="0"/>
        </w:rPr>
        <w:t xml:space="preserve">veintinueve de mayo de dos mil veinticuatro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envió su respuesta a la solicitud de acceso a la información a través de SAIMEX, sustancialmente en los términos siguientes: </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0A">
      <w:pPr>
        <w:spacing w:before="240" w:lineRule="auto"/>
        <w:ind w:left="860"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“…Toluca, Estado de México; a 29 de mayo del 2024 Ciudadano (a) solicitante de información pública con folio 00901/SESEA/IP/2024 Presente. Con fundamento en los artículos 50, 51, 52, 53 fracciones II, IV, V, VI y XIV, 156, 160, 161, 163, 164, 166 y 168 de la Ley de Transparencia y Acceso a la Información Pública del Estado de México y Municipios, se otorga respuesta a la solicitud de información pública 00901/SESEA/IP/2024. Atentamente Ivan Medina Arcos Suplente en la Titularidad de la Unidad de Planeación y Transparencia de la Secretaría Ejecutiva del Sistema Estatal Anticorrupción....” (Sic)</w:t>
      </w:r>
    </w:p>
    <w:p w:rsidR="00000000" w:rsidDel="00000000" w:rsidP="00000000" w:rsidRDefault="00000000" w:rsidRPr="00000000" w14:paraId="0000000B">
      <w:pPr>
        <w:spacing w:after="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C">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SUJETO OBLIGADO, adjuntó a su respuesta los siguientes archivos electrónicos:</w:t>
      </w:r>
    </w:p>
    <w:p w:rsidR="00000000" w:rsidDel="00000000" w:rsidP="00000000" w:rsidRDefault="00000000" w:rsidRPr="00000000" w14:paraId="0000000D">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hyperlink r:id="rId7">
        <w:r w:rsidDel="00000000" w:rsidR="00000000" w:rsidRPr="00000000">
          <w:rPr>
            <w:rFonts w:ascii="Palatino Linotype" w:cs="Palatino Linotype" w:eastAsia="Palatino Linotype" w:hAnsi="Palatino Linotype"/>
            <w:rtl w:val="0"/>
          </w:rPr>
          <w:t xml:space="preserve">OFIC DE RESP A SOL 901.docx</w:t>
        </w:r>
      </w:hyperlink>
      <w:r w:rsidDel="00000000" w:rsidR="00000000" w:rsidRPr="00000000">
        <w:rPr>
          <w:rFonts w:ascii="Palatino Linotype" w:cs="Palatino Linotype" w:eastAsia="Palatino Linotype" w:hAnsi="Palatino Linotype"/>
          <w:rtl w:val="0"/>
        </w:rPr>
        <w:t xml:space="preserve">” y “</w:t>
      </w:r>
      <w:hyperlink r:id="rId8">
        <w:r w:rsidDel="00000000" w:rsidR="00000000" w:rsidRPr="00000000">
          <w:rPr>
            <w:rFonts w:ascii="Palatino Linotype" w:cs="Palatino Linotype" w:eastAsia="Palatino Linotype" w:hAnsi="Palatino Linotype"/>
            <w:rtl w:val="0"/>
          </w:rPr>
          <w:t xml:space="preserve">resp a sol 901.pdf</w:t>
        </w:r>
      </w:hyperlink>
      <w:r w:rsidDel="00000000" w:rsidR="00000000" w:rsidRPr="00000000">
        <w:rPr>
          <w:rFonts w:ascii="Palatino Linotype" w:cs="Palatino Linotype" w:eastAsia="Palatino Linotype" w:hAnsi="Palatino Linotype"/>
          <w:rtl w:val="0"/>
        </w:rPr>
        <w:t xml:space="preserve">”, los cuales contienen el oficio número 41100100030000S/659/2024, con la diferencia que uno es en formato PDF y otro en documento WORD, por medio del cual el Suplente del Titular de la Unidad de Transparencia, informó al solicitante la respuesta entregada por la Coordinación de Administración y Finanzas mediante el oficio núm. 411001000400000S/356/2024 el cual anexó en formato pdf.</w:t>
      </w:r>
    </w:p>
    <w:p w:rsidR="00000000" w:rsidDel="00000000" w:rsidP="00000000" w:rsidRDefault="00000000" w:rsidRPr="00000000" w14:paraId="0000000E">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informó en términos de lo dispuesto por el artículo 14 fracción V del Estatuto Orgánico de la Secretaría Ejecutiva del Sistema Estatal Anticorrupción, es facultad del Órgano de Gobierno nombrar y remover a los servidores públicos de la Secretaría Ejecutiva que ocupen cargos con las dos jerarquías administrativas inferiores al Secretario Técnico, con excepción del Órgano Interno de Control.</w:t>
      </w:r>
    </w:p>
    <w:p w:rsidR="00000000" w:rsidDel="00000000" w:rsidP="00000000" w:rsidRDefault="00000000" w:rsidRPr="00000000" w14:paraId="0000000F">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indicó que a la fecha no se cuenta con persona Titular de la Unidad de Planeación y Transparencia, ya que desde octubre de 2023 se cuenta con suplencia en términos del artículo 32 del Estatuto Orgánico de la Secretaria Ejecutiva del Sistema Estatal Anticorrupción.</w:t>
      </w:r>
    </w:p>
    <w:p w:rsidR="00000000" w:rsidDel="00000000" w:rsidP="00000000" w:rsidRDefault="00000000" w:rsidRPr="00000000" w14:paraId="00000010">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hyperlink r:id="rId9">
        <w:r w:rsidDel="00000000" w:rsidR="00000000" w:rsidRPr="00000000">
          <w:rPr>
            <w:rFonts w:ascii="Palatino Linotype" w:cs="Palatino Linotype" w:eastAsia="Palatino Linotype" w:hAnsi="Palatino Linotype"/>
            <w:rtl w:val="0"/>
          </w:rPr>
          <w:t xml:space="preserve">LSAEMYM.pdf</w:t>
        </w:r>
      </w:hyperlink>
      <w:r w:rsidDel="00000000" w:rsidR="00000000" w:rsidRPr="00000000">
        <w:rPr>
          <w:rFonts w:ascii="Palatino Linotype" w:cs="Palatino Linotype" w:eastAsia="Palatino Linotype" w:hAnsi="Palatino Linotype"/>
          <w:rtl w:val="0"/>
        </w:rPr>
        <w:t xml:space="preserve">”, el cual contiene la Ley del Sistema Anticorrupción del Estado de México y Municipios, constante de 49 fojas. </w:t>
      </w:r>
    </w:p>
    <w:p w:rsidR="00000000" w:rsidDel="00000000" w:rsidP="00000000" w:rsidRDefault="00000000" w:rsidRPr="00000000" w14:paraId="00000011">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hyperlink r:id="rId10">
        <w:r w:rsidDel="00000000" w:rsidR="00000000" w:rsidRPr="00000000">
          <w:rPr>
            <w:rFonts w:ascii="Palatino Linotype" w:cs="Palatino Linotype" w:eastAsia="Palatino Linotype" w:hAnsi="Palatino Linotype"/>
            <w:rtl w:val="0"/>
          </w:rPr>
          <w:t xml:space="preserve">RESP A SOL UNI 901.pdf</w:t>
        </w:r>
      </w:hyperlink>
      <w:r w:rsidDel="00000000" w:rsidR="00000000" w:rsidRPr="00000000">
        <w:rPr>
          <w:rFonts w:ascii="Palatino Linotype" w:cs="Palatino Linotype" w:eastAsia="Palatino Linotype" w:hAnsi="Palatino Linotype"/>
          <w:rtl w:val="0"/>
        </w:rPr>
        <w:t xml:space="preserve">”, el cual contiene el oficio número 41100100040000S/0356/2024, por medio del cual el Suplente de la Titular de la Coordinación de Administración y Finanzas, informó al suplente del Titular de la Unidad de Planeación y Transparencia, que la Unidad de Planeación y Transparencia en términos de lo dispuesto por el Manual General de Organización de la Secretaría Ejecutiva, es la responsable de la funciones y atribuciones referidas en la Ley de Transparencia y Acceso a la Información Pública del Estado de México y Municipios para la Unidad de Transparencia, ante su dicho, señaló que la Unidad de Planeación y Transparencia a la fecha no cuenta con titular nombrado, ya que se encuentra vacante la plaza de dicha unidad de administrativa desde el pasado mes de octubre del año 2023; por tanto, no es posible la entrega de información alguna por no contar con figura de titular, ya que el propio fundamento referido por el particular establece diversos requisitos que deben cumplirse para el nombramiento del titular de la Unidad de Transparencia. </w:t>
      </w:r>
    </w:p>
    <w:p w:rsidR="00000000" w:rsidDel="00000000" w:rsidP="00000000" w:rsidRDefault="00000000" w:rsidRPr="00000000" w14:paraId="00000012">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señalado anteriormente, indicó que no se encuentra expediente de persona Titular de la Unidad de Planeación y Transparencia, por no haber nombramiento aún. </w:t>
      </w:r>
    </w:p>
    <w:p w:rsidR="00000000" w:rsidDel="00000000" w:rsidP="00000000" w:rsidRDefault="00000000" w:rsidRPr="00000000" w14:paraId="00000013">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en cuanto al sueldo neto, como ha sido referido, al encontrase vacante la plaza, no hay documento generado por esta unidad administrativa, en virtud de que no se ha realizado erogación por concepto de sueldo de titular de esa Unidad de Planeación y Transparencia, sin embargo, bajo el principio de máxima publicidad, conforme al tabular de sueldos vigentes, la remuneración neta mensual es de $29,814.50. </w:t>
      </w:r>
    </w:p>
    <w:p w:rsidR="00000000" w:rsidDel="00000000" w:rsidP="00000000" w:rsidRDefault="00000000" w:rsidRPr="00000000" w14:paraId="00000014">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hyperlink r:id="rId11">
        <w:r w:rsidDel="00000000" w:rsidR="00000000" w:rsidRPr="00000000">
          <w:rPr>
            <w:rFonts w:ascii="Palatino Linotype" w:cs="Palatino Linotype" w:eastAsia="Palatino Linotype" w:hAnsi="Palatino Linotype"/>
            <w:rtl w:val="0"/>
          </w:rPr>
          <w:t xml:space="preserve">LTAIPEMYM.pdf</w:t>
        </w:r>
      </w:hyperlink>
      <w:r w:rsidDel="00000000" w:rsidR="00000000" w:rsidRPr="00000000">
        <w:rPr>
          <w:rFonts w:ascii="Palatino Linotype" w:cs="Palatino Linotype" w:eastAsia="Palatino Linotype" w:hAnsi="Palatino Linotype"/>
          <w:rtl w:val="0"/>
        </w:rPr>
        <w:t xml:space="preserve">”, el cual contiene la Ley de Transparencia y Acceso a la Información Pública del Estado de México y Municipios, constante de 90 fojas, </w:t>
      </w:r>
    </w:p>
    <w:p w:rsidR="00000000" w:rsidDel="00000000" w:rsidP="00000000" w:rsidRDefault="00000000" w:rsidRPr="00000000" w14:paraId="00000015">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Interposición del recurso de revisión. </w:t>
      </w:r>
      <w:r w:rsidDel="00000000" w:rsidR="00000000" w:rsidRPr="00000000">
        <w:rPr>
          <w:rFonts w:ascii="Palatino Linotype" w:cs="Palatino Linotype" w:eastAsia="Palatino Linotype" w:hAnsi="Palatino Linotype"/>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tres de junio del dos mil veinticuatro,</w:t>
      </w:r>
      <w:r w:rsidDel="00000000" w:rsidR="00000000" w:rsidRPr="00000000">
        <w:rPr>
          <w:rFonts w:ascii="Palatino Linotype" w:cs="Palatino Linotype" w:eastAsia="Palatino Linotype" w:hAnsi="Palatino Linotype"/>
          <w:rtl w:val="0"/>
        </w:rPr>
        <w:t xml:space="preserve"> la parte recurrente interpuso el recurso de revisión a través de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en donde se manifestó de la siguiente manera:</w:t>
      </w:r>
    </w:p>
    <w:p w:rsidR="00000000" w:rsidDel="00000000" w:rsidP="00000000" w:rsidRDefault="00000000" w:rsidRPr="00000000" w14:paraId="00000016">
      <w:pPr>
        <w:tabs>
          <w:tab w:val="left" w:leader="none" w:pos="2745"/>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tab/>
      </w:r>
    </w:p>
    <w:p w:rsidR="00000000" w:rsidDel="00000000" w:rsidP="00000000" w:rsidRDefault="00000000" w:rsidRPr="00000000" w14:paraId="00000017">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respuesta” (Sic)</w:t>
      </w:r>
    </w:p>
    <w:p w:rsidR="00000000" w:rsidDel="00000000" w:rsidP="00000000" w:rsidRDefault="00000000" w:rsidRPr="00000000" w14:paraId="00000018">
      <w:pPr>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19">
      <w:pPr>
        <w:spacing w:line="360" w:lineRule="auto"/>
        <w:jc w:val="both"/>
        <w:rPr>
          <w:rFonts w:ascii="Palatino Linotype" w:cs="Palatino Linotype" w:eastAsia="Palatino Linotype" w:hAnsi="Palatino Linotype"/>
        </w:rPr>
      </w:pPr>
      <w:bookmarkStart w:colFirst="0" w:colLast="0" w:name="_heading=h.30j0zll" w:id="2"/>
      <w:bookmarkEnd w:id="2"/>
      <w:r w:rsidDel="00000000" w:rsidR="00000000" w:rsidRPr="00000000">
        <w:rPr>
          <w:rFonts w:ascii="Palatino Linotype" w:cs="Palatino Linotype" w:eastAsia="Palatino Linotype" w:hAnsi="Palatino Linotype"/>
          <w:b w:val="1"/>
          <w:rtl w:val="0"/>
        </w:rPr>
        <w:t xml:space="preserve">Y Razones o motivos de inconformidad</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1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B">
      <w:pPr>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me entregan lo solicitado” (Sic)</w:t>
      </w:r>
    </w:p>
    <w:p w:rsidR="00000000" w:rsidDel="00000000" w:rsidP="00000000" w:rsidRDefault="00000000" w:rsidRPr="00000000" w14:paraId="0000001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D">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1E">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F">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del Recurso de revisión.</w:t>
      </w:r>
      <w:r w:rsidDel="00000000" w:rsidR="00000000" w:rsidRPr="00000000">
        <w:rPr>
          <w:rFonts w:ascii="Palatino Linotype" w:cs="Palatino Linotype" w:eastAsia="Palatino Linotype" w:hAnsi="Palatino Linotype"/>
          <w:rtl w:val="0"/>
        </w:rPr>
        <w:t xml:space="preserve"> Con fecha</w:t>
      </w:r>
      <w:r w:rsidDel="00000000" w:rsidR="00000000" w:rsidRPr="00000000">
        <w:rPr>
          <w:rFonts w:ascii="Palatino Linotype" w:cs="Palatino Linotype" w:eastAsia="Palatino Linotype" w:hAnsi="Palatino Linotype"/>
          <w:b w:val="1"/>
          <w:rtl w:val="0"/>
        </w:rPr>
        <w:t xml:space="preserve"> seis de junio de dos mil veinticuatro,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presentara su informe justificado.</w:t>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tabs>
          <w:tab w:val="left" w:leader="none" w:pos="709"/>
        </w:tabs>
        <w:spacing w:after="24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Manifestaciones</w:t>
      </w:r>
      <w:r w:rsidDel="00000000" w:rsidR="00000000" w:rsidRPr="00000000">
        <w:rPr>
          <w:rFonts w:ascii="Palatino Linotype" w:cs="Palatino Linotype" w:eastAsia="Palatino Linotype" w:hAnsi="Palatino Linotype"/>
          <w:rtl w:val="0"/>
        </w:rPr>
        <w:t xml:space="preserve">. De las constancias que obran en el expediente electrónico del SAIMEX se desprende que la parte</w:t>
      </w:r>
      <w:r w:rsidDel="00000000" w:rsidR="00000000" w:rsidRPr="00000000">
        <w:rPr>
          <w:rFonts w:ascii="Palatino Linotype" w:cs="Palatino Linotype" w:eastAsia="Palatino Linotype" w:hAnsi="Palatino Linotype"/>
          <w:b w:val="1"/>
          <w:rtl w:val="0"/>
        </w:rPr>
        <w:t xml:space="preserve"> RECURRENTE</w:t>
      </w:r>
      <w:r w:rsidDel="00000000" w:rsidR="00000000" w:rsidRPr="00000000">
        <w:rPr>
          <w:rFonts w:ascii="Palatino Linotype" w:cs="Palatino Linotype" w:eastAsia="Palatino Linotype" w:hAnsi="Palatino Linotype"/>
          <w:rtl w:val="0"/>
        </w:rPr>
        <w:t xml:space="preserve"> omitió realizar manifestaciones.</w:t>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tabs>
          <w:tab w:val="left" w:leader="none" w:pos="709"/>
        </w:tabs>
        <w:spacing w:after="24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fecha catorce de junio del año en curso, adjuntó los siguientes archivos electrónicos:</w:t>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tabs>
          <w:tab w:val="left" w:leader="none" w:pos="709"/>
        </w:tabs>
        <w:spacing w:after="240"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hyperlink r:id="rId12">
        <w:r w:rsidDel="00000000" w:rsidR="00000000" w:rsidRPr="00000000">
          <w:rPr>
            <w:rFonts w:ascii="Palatino Linotype" w:cs="Palatino Linotype" w:eastAsia="Palatino Linotype" w:hAnsi="Palatino Linotype"/>
            <w:rtl w:val="0"/>
          </w:rPr>
          <w:t xml:space="preserve">Informe justificado RR 3419.2024-901 OK.docx</w:t>
        </w:r>
      </w:hyperlink>
      <w:r w:rsidDel="00000000" w:rsidR="00000000" w:rsidRPr="00000000">
        <w:rPr>
          <w:rFonts w:ascii="Palatino Linotype" w:cs="Palatino Linotype" w:eastAsia="Palatino Linotype" w:hAnsi="Palatino Linotype"/>
          <w:rtl w:val="0"/>
        </w:rPr>
        <w:t xml:space="preserve">” y “</w:t>
      </w:r>
      <w:hyperlink r:id="rId13">
        <w:r w:rsidDel="00000000" w:rsidR="00000000" w:rsidRPr="00000000">
          <w:rPr>
            <w:rFonts w:ascii="Palatino Linotype" w:cs="Palatino Linotype" w:eastAsia="Palatino Linotype" w:hAnsi="Palatino Linotype"/>
            <w:rtl w:val="0"/>
          </w:rPr>
          <w:t xml:space="preserve">RR3419 OK_043178.pdf</w:t>
        </w:r>
      </w:hyperlink>
      <w:r w:rsidDel="00000000" w:rsidR="00000000" w:rsidRPr="00000000">
        <w:rPr>
          <w:rFonts w:ascii="Palatino Linotype" w:cs="Palatino Linotype" w:eastAsia="Palatino Linotype" w:hAnsi="Palatino Linotype"/>
          <w:rtl w:val="0"/>
        </w:rPr>
        <w:t xml:space="preserve">”, lo cuales contiene el informe justificado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con la diferencia que uno es en formato PDF y otro en documento WORD, mediante el cual Secretaría Ejecutiva del Sistema Estatal Anticorrupción en lo medular ratificó su respuesta primigenia.</w:t>
      </w:r>
    </w:p>
    <w:p w:rsidR="00000000" w:rsidDel="00000000" w:rsidP="00000000" w:rsidRDefault="00000000" w:rsidRPr="00000000" w14:paraId="00000023">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Documentos que, una vez analizados, se hizo del conocimiento 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 efecto de que manifestara lo que a su derecho estimara conveniente; sin embargo, fue omiso en ejercer dicha prerrogativa en el plazo establecido para tal efecto.</w:t>
      </w:r>
    </w:p>
    <w:p w:rsidR="00000000" w:rsidDel="00000000" w:rsidP="00000000" w:rsidRDefault="00000000" w:rsidRPr="00000000" w14:paraId="00000024">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7. Ampliación del plazo.</w:t>
      </w:r>
      <w:r w:rsidDel="00000000" w:rsidR="00000000" w:rsidRPr="00000000">
        <w:rPr>
          <w:rFonts w:ascii="Palatino Linotype" w:cs="Palatino Linotype" w:eastAsia="Palatino Linotype" w:hAnsi="Palatino Linotype"/>
          <w:rtl w:val="0"/>
        </w:rPr>
        <w:t xml:space="preserve"> Mediante acuerdo de fecha veinte de agosto del año dos mil veinticuatro, con fundamento en el artículo 181, párrafo tercero de la Ley de Transparencia y Acceso a la Información Pública del Estado de México y Municipios, se acordó la ampliación del plazo para su resolución.</w:t>
      </w:r>
    </w:p>
    <w:p w:rsidR="00000000" w:rsidDel="00000000" w:rsidP="00000000" w:rsidRDefault="00000000" w:rsidRPr="00000000" w14:paraId="00000025">
      <w:pPr>
        <w:widowControl w:val="0"/>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6">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2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2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2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E">
      <w:pPr>
        <w:spacing w:line="360" w:lineRule="auto"/>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2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0">
      <w:pPr>
        <w:numPr>
          <w:ilvl w:val="0"/>
          <w:numId w:val="4"/>
        </w:numPr>
        <w:ind w:left="851"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31">
      <w:pPr>
        <w:ind w:left="851" w:hanging="36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2">
      <w:pPr>
        <w:numPr>
          <w:ilvl w:val="0"/>
          <w:numId w:val="4"/>
        </w:numPr>
        <w:ind w:left="851"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Actividad Procesal del interesado. Acciones u omisiones del interesado.</w:t>
      </w:r>
    </w:p>
    <w:p w:rsidR="00000000" w:rsidDel="00000000" w:rsidP="00000000" w:rsidRDefault="00000000" w:rsidRPr="00000000" w14:paraId="00000033">
      <w:pPr>
        <w:ind w:left="851" w:hanging="36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4">
      <w:pPr>
        <w:numPr>
          <w:ilvl w:val="0"/>
          <w:numId w:val="4"/>
        </w:numPr>
        <w:ind w:left="851"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35">
      <w:pPr>
        <w:ind w:left="851" w:hanging="36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6">
      <w:pPr>
        <w:ind w:left="851"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La afectación generada en la situación jurídica de la persona involucrada en el proceso: Violación a sus derechos humanos.</w:t>
      </w:r>
    </w:p>
    <w:p w:rsidR="00000000" w:rsidDel="00000000" w:rsidP="00000000" w:rsidRDefault="00000000" w:rsidRPr="00000000" w14:paraId="0000003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3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A">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3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3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3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rtl w:val="0"/>
        </w:rPr>
        <w:t xml:space="preserve"> consultable en el Seminario Judicial de la Federación y su gaceta, con el registro digital 2002351.</w:t>
      </w:r>
    </w:p>
    <w:p w:rsidR="00000000" w:rsidDel="00000000" w:rsidP="00000000" w:rsidRDefault="00000000" w:rsidRPr="00000000" w14:paraId="00000041">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4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rtl w:val="0"/>
        </w:rPr>
        <w:t xml:space="preserve">, visible en el Seminario Judicial de la Federación y su gaceta, con el registro digital 2002350.</w:t>
      </w:r>
    </w:p>
    <w:p w:rsidR="00000000" w:rsidDel="00000000" w:rsidP="00000000" w:rsidRDefault="00000000" w:rsidRPr="00000000" w14:paraId="0000004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 plazo legal para resolver el presente asunto, resulta de carácter excepcional.</w:t>
      </w:r>
    </w:p>
    <w:p w:rsidR="00000000" w:rsidDel="00000000" w:rsidP="00000000" w:rsidRDefault="00000000" w:rsidRPr="00000000" w14:paraId="0000004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rtl w:val="0"/>
        </w:rPr>
        <w:t xml:space="preserve">veintisiete de agosto de dos mil veinticuatro</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  </w:t>
      </w:r>
    </w:p>
    <w:p w:rsidR="00000000" w:rsidDel="00000000" w:rsidP="00000000" w:rsidRDefault="00000000" w:rsidRPr="00000000" w14:paraId="0000004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47">
      <w:pPr>
        <w:widowControl w:val="0"/>
        <w:spacing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48">
      <w:pPr>
        <w:widowControl w:val="0"/>
        <w:spacing w:line="360" w:lineRule="auto"/>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4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4A">
      <w:pPr>
        <w:spacing w:after="240" w:before="240" w:line="360" w:lineRule="auto"/>
        <w:ind w:right="49"/>
        <w:jc w:val="both"/>
        <w:rPr>
          <w:rFonts w:ascii="Palatino Linotype" w:cs="Palatino Linotype" w:eastAsia="Palatino Linotype" w:hAnsi="Palatino Linotype"/>
        </w:rPr>
      </w:pPr>
      <w:bookmarkStart w:colFirst="0" w:colLast="0" w:name="_heading=h.tyjcwt" w:id="3"/>
      <w:bookmarkEnd w:id="3"/>
      <w:r w:rsidDel="00000000" w:rsidR="00000000" w:rsidRPr="00000000">
        <w:rPr>
          <w:rFonts w:ascii="Palatino Linotype" w:cs="Palatino Linotype" w:eastAsia="Palatino Linotype" w:hAnsi="Palatino Linotype"/>
          <w:b w:val="1"/>
          <w:rtl w:val="0"/>
        </w:rPr>
        <w:t xml:space="preserve">Segundo. Oportunidad y Procedibilidad del Recurso de Revisión. </w:t>
      </w:r>
      <w:r w:rsidDel="00000000" w:rsidR="00000000" w:rsidRPr="00000000">
        <w:rPr>
          <w:rFonts w:ascii="Palatino Linotype" w:cs="Palatino Linotype" w:eastAsia="Palatino Linotype" w:hAnsi="Palatino Linotype"/>
          <w:rtl w:val="0"/>
        </w:rPr>
        <w:t xml:space="preserve">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emitió su respuesta a la solicitud planteada por la parte solicitante el veintinueve de mayo del año dos mil veinticuatro y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presentó su recurso de revisión el tres de junio del mismo año, esto es, al tercer día hábil siguiente del conocimiento de la respuesta. </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360" w:lineRule="auto"/>
        <w:ind w:right="-14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por cuanto hace a la procedibilidad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Del="00000000" w:rsidR="00000000" w:rsidRPr="00000000">
        <w:rPr>
          <w:rFonts w:ascii="Palatino Linotype" w:cs="Palatino Linotype" w:eastAsia="Palatino Linotype" w:hAnsi="Palatino Linotype"/>
          <w:b w:val="1"/>
          <w:rtl w:val="0"/>
        </w:rPr>
        <w:t xml:space="preserve">EL</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line="360" w:lineRule="auto"/>
        <w:ind w:right="-14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D">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resulta procedente la interposición del recurso de revisión al rubro anotado, toda vez que se actualiza las hipótesis previstas en el artículo 179, fracción I de la ley de la materia, que a la letra dice:</w:t>
      </w:r>
    </w:p>
    <w:p w:rsidR="00000000" w:rsidDel="00000000" w:rsidP="00000000" w:rsidRDefault="00000000" w:rsidRPr="00000000" w14:paraId="0000004E">
      <w:pPr>
        <w:ind w:left="1276" w:right="175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4F">
      <w:pPr>
        <w:numPr>
          <w:ilvl w:val="0"/>
          <w:numId w:val="7"/>
        </w:numPr>
        <w:pBdr>
          <w:top w:space="0" w:sz="0" w:val="nil"/>
          <w:left w:space="0" w:sz="0" w:val="nil"/>
          <w:bottom w:space="0" w:sz="0" w:val="nil"/>
          <w:right w:space="0" w:sz="0" w:val="nil"/>
          <w:between w:space="0" w:sz="0" w:val="nil"/>
        </w:pBdr>
        <w:ind w:left="1996" w:right="1752" w:hanging="72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negativa de la información solicitada…” (Sic)</w:t>
      </w:r>
    </w:p>
    <w:p w:rsidR="00000000" w:rsidDel="00000000" w:rsidP="00000000" w:rsidRDefault="00000000" w:rsidRPr="00000000" w14:paraId="00000050">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Revisión</w:t>
      </w:r>
      <w:r w:rsidDel="00000000" w:rsidR="00000000" w:rsidRPr="00000000">
        <w:rPr>
          <w:rFonts w:ascii="Palatino Linotype" w:cs="Palatino Linotype" w:eastAsia="Palatino Linotype" w:hAnsi="Palatino Linotype"/>
          <w:rtl w:val="0"/>
        </w:rPr>
        <w:t xml:space="preserve">: De las constancias que integran el expediente electrónico se advierte que el tema sobre el que este Instituto se pronunciará será: </w:t>
      </w:r>
      <w:r w:rsidDel="00000000" w:rsidR="00000000" w:rsidRPr="00000000">
        <w:rPr>
          <w:rFonts w:ascii="Palatino Linotype" w:cs="Palatino Linotype" w:eastAsia="Palatino Linotype" w:hAnsi="Palatino Linotype"/>
          <w:b w:val="1"/>
          <w:rtl w:val="0"/>
        </w:rPr>
        <w:t xml:space="preserve">verificar si la respuesta e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w:t>
      </w:r>
    </w:p>
    <w:p w:rsidR="00000000" w:rsidDel="00000000" w:rsidP="00000000" w:rsidRDefault="00000000" w:rsidRPr="00000000" w14:paraId="0000005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Estudio de fondo del asunto. </w:t>
      </w:r>
      <w:r w:rsidDel="00000000" w:rsidR="00000000" w:rsidRPr="00000000">
        <w:rPr>
          <w:rFonts w:ascii="Palatino Linotype" w:cs="Palatino Linotype" w:eastAsia="Palatino Linotype" w:hAnsi="Palatino Linotype"/>
          <w:rtl w:val="0"/>
        </w:rPr>
        <w:t xml:space="preserve">es conveniente analizar si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000000" w:rsidDel="00000000" w:rsidP="00000000" w:rsidRDefault="00000000" w:rsidRPr="00000000" w14:paraId="00000052">
      <w:pPr>
        <w:spacing w:before="240" w:lineRule="auto"/>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53">
      <w:pPr>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54">
      <w:pPr>
        <w:ind w:left="709" w:right="76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5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000000" w:rsidDel="00000000" w:rsidP="00000000" w:rsidRDefault="00000000" w:rsidRPr="00000000" w14:paraId="00000056">
      <w:pPr>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57">
      <w:pPr>
        <w:ind w:left="567" w:right="75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(Sic)</w:t>
      </w:r>
      <w:r w:rsidDel="00000000" w:rsidR="00000000" w:rsidRPr="00000000">
        <w:rPr>
          <w:rtl w:val="0"/>
        </w:rPr>
      </w:r>
    </w:p>
    <w:p w:rsidR="00000000" w:rsidDel="00000000" w:rsidP="00000000" w:rsidRDefault="00000000" w:rsidRPr="00000000" w14:paraId="00000058">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rsidR="00000000" w:rsidDel="00000000" w:rsidP="00000000" w:rsidRDefault="00000000" w:rsidRPr="00000000" w14:paraId="00000059">
      <w:pPr>
        <w:spacing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A">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Sirve de apoyo a lo anterior, el criterio 03-17, expuesto por el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5B">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5C">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00000" w:rsidDel="00000000" w:rsidP="00000000" w:rsidRDefault="00000000" w:rsidRPr="00000000" w14:paraId="0000005D">
      <w:pPr>
        <w:ind w:left="851" w:right="90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Resoluciones: </w:t>
      </w:r>
    </w:p>
    <w:p w:rsidR="00000000" w:rsidDel="00000000" w:rsidP="00000000" w:rsidRDefault="00000000" w:rsidRPr="00000000" w14:paraId="0000005E">
      <w:pPr>
        <w:ind w:left="851" w:right="901" w:firstLine="0"/>
        <w:jc w:val="both"/>
        <w:rPr>
          <w:rFonts w:ascii="Palatino Linotype" w:cs="Palatino Linotype" w:eastAsia="Palatino Linotype" w:hAnsi="Palatino Linotype"/>
          <w:i w:val="1"/>
          <w:sz w:val="22"/>
          <w:szCs w:val="22"/>
        </w:rPr>
      </w:pPr>
      <w:r w:rsidDel="00000000" w:rsidR="00000000" w:rsidRPr="00000000">
        <w:rPr>
          <w:rFonts w:ascii="Noto Sans Symbols" w:cs="Noto Sans Symbols" w:eastAsia="Noto Sans Symbols" w:hAnsi="Noto Sans Symbols"/>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RRA 0050/16. Instituto Nacional para la Evaluación de la Educación. 13 julio de 2016. Por unanimidad. Comisionado Ponente: Francisco Javier Acuña Llamas.</w:t>
      </w:r>
    </w:p>
    <w:p w:rsidR="00000000" w:rsidDel="00000000" w:rsidP="00000000" w:rsidRDefault="00000000" w:rsidRPr="00000000" w14:paraId="0000005F">
      <w:pPr>
        <w:ind w:left="851" w:right="901" w:firstLine="0"/>
        <w:jc w:val="both"/>
        <w:rPr>
          <w:rFonts w:ascii="Palatino Linotype" w:cs="Palatino Linotype" w:eastAsia="Palatino Linotype" w:hAnsi="Palatino Linotype"/>
          <w:i w:val="1"/>
          <w:sz w:val="22"/>
          <w:szCs w:val="22"/>
        </w:rPr>
      </w:pPr>
      <w:r w:rsidDel="00000000" w:rsidR="00000000" w:rsidRPr="00000000">
        <w:rPr>
          <w:rFonts w:ascii="Noto Sans Symbols" w:cs="Noto Sans Symbols" w:eastAsia="Noto Sans Symbols" w:hAnsi="Noto Sans Symbols"/>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RRA 0310/16. Instituto Nacional de Transparencia, Acceso a la Información y Protección de Datos Personales. 10 de agosto de 2016. Por unanimidad. Comisionada Ponente. Areli Cano Guadiana. </w:t>
      </w:r>
    </w:p>
    <w:p w:rsidR="00000000" w:rsidDel="00000000" w:rsidP="00000000" w:rsidRDefault="00000000" w:rsidRPr="00000000" w14:paraId="00000060">
      <w:pPr>
        <w:ind w:left="851" w:right="901" w:firstLine="0"/>
        <w:jc w:val="both"/>
        <w:rPr>
          <w:rFonts w:ascii="Palatino Linotype" w:cs="Palatino Linotype" w:eastAsia="Palatino Linotype" w:hAnsi="Palatino Linotype"/>
          <w:i w:val="1"/>
          <w:sz w:val="22"/>
          <w:szCs w:val="22"/>
        </w:rPr>
      </w:pPr>
      <w:r w:rsidDel="00000000" w:rsidR="00000000" w:rsidRPr="00000000">
        <w:rPr>
          <w:rFonts w:ascii="Noto Sans Symbols" w:cs="Noto Sans Symbols" w:eastAsia="Noto Sans Symbols" w:hAnsi="Noto Sans Symbols"/>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RRA 1889/16. Secretaría de Hacienda y Crédito Público. 05 de octubre de 2016. Por unanimidad. Comisionada Ponente. Ximena Puente de la Mora.”(Sic)</w:t>
      </w:r>
    </w:p>
    <w:p w:rsidR="00000000" w:rsidDel="00000000" w:rsidP="00000000" w:rsidRDefault="00000000" w:rsidRPr="00000000" w14:paraId="0000006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000000" w:rsidDel="00000000" w:rsidP="00000000" w:rsidRDefault="00000000" w:rsidRPr="00000000" w14:paraId="0000006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3">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64">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66">
      <w:pPr>
        <w:ind w:left="851"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7">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68">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9">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00000" w:rsidDel="00000000" w:rsidP="00000000" w:rsidRDefault="00000000" w:rsidRPr="00000000" w14:paraId="0000006A">
      <w:pPr>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6C">
      <w:pPr>
        <w:ind w:left="851" w:right="899" w:firstLine="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6D">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w:t>
      </w:r>
    </w:p>
    <w:p w:rsidR="00000000" w:rsidDel="00000000" w:rsidP="00000000" w:rsidRDefault="00000000" w:rsidRPr="00000000" w14:paraId="0000006E">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6F">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70">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71">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72">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Obligados.”(Sic)</w:t>
      </w:r>
    </w:p>
    <w:p w:rsidR="00000000" w:rsidDel="00000000" w:rsidP="00000000" w:rsidRDefault="00000000" w:rsidRPr="00000000" w14:paraId="0000007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del análisis de la solicitud de información pública que motivó el recurso de revisión que ahora se resuelve, se advierte que el particular requirió a la  </w:t>
      </w:r>
      <w:r w:rsidDel="00000000" w:rsidR="00000000" w:rsidRPr="00000000">
        <w:rPr>
          <w:rFonts w:ascii="Palatino Linotype" w:cs="Palatino Linotype" w:eastAsia="Palatino Linotype" w:hAnsi="Palatino Linotype"/>
          <w:b w:val="1"/>
          <w:rtl w:val="0"/>
        </w:rPr>
        <w:t xml:space="preserve">Secretaría Ejecutiva del Sistema Estatal Anticorrupción</w:t>
      </w:r>
      <w:r w:rsidDel="00000000" w:rsidR="00000000" w:rsidRPr="00000000">
        <w:rPr>
          <w:rFonts w:ascii="Palatino Linotype" w:cs="Palatino Linotype" w:eastAsia="Palatino Linotype" w:hAnsi="Palatino Linotype"/>
          <w:rtl w:val="0"/>
        </w:rPr>
        <w:t xml:space="preserve">, de su Titular de la Unidad de Transparencia, lo siguiente:</w:t>
      </w:r>
    </w:p>
    <w:p w:rsidR="00000000" w:rsidDel="00000000" w:rsidP="00000000" w:rsidRDefault="00000000" w:rsidRPr="00000000" w14:paraId="00000074">
      <w:pPr>
        <w:numPr>
          <w:ilvl w:val="0"/>
          <w:numId w:val="1"/>
        </w:numPr>
        <w:pBdr>
          <w:top w:space="0" w:sz="0" w:val="nil"/>
          <w:left w:space="0" w:sz="0" w:val="nil"/>
          <w:bottom w:space="0" w:sz="0" w:val="nil"/>
          <w:right w:space="0" w:sz="0" w:val="nil"/>
          <w:between w:space="0" w:sz="0" w:val="nil"/>
        </w:pBdr>
        <w:spacing w:before="24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Certificación de competencia.</w:t>
      </w:r>
    </w:p>
    <w:p w:rsidR="00000000" w:rsidDel="00000000" w:rsidP="00000000" w:rsidRDefault="00000000" w:rsidRPr="00000000" w14:paraId="00000075">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Sueldo neto.</w:t>
      </w:r>
    </w:p>
    <w:p w:rsidR="00000000" w:rsidDel="00000000" w:rsidP="00000000" w:rsidRDefault="00000000" w:rsidRPr="00000000" w14:paraId="00000076">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Grado de estudios.</w:t>
      </w:r>
    </w:p>
    <w:p w:rsidR="00000000" w:rsidDel="00000000" w:rsidP="00000000" w:rsidRDefault="00000000" w:rsidRPr="00000000" w14:paraId="00000077">
      <w:pPr>
        <w:numPr>
          <w:ilvl w:val="0"/>
          <w:numId w:val="1"/>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Fecha de ingreso. </w:t>
      </w:r>
    </w:p>
    <w:p w:rsidR="00000000" w:rsidDel="00000000" w:rsidP="00000000" w:rsidRDefault="00000000" w:rsidRPr="00000000" w14:paraId="00000078">
      <w:pPr>
        <w:numPr>
          <w:ilvl w:val="0"/>
          <w:numId w:val="1"/>
        </w:numPr>
        <w:pBdr>
          <w:top w:space="0" w:sz="0" w:val="nil"/>
          <w:left w:space="0" w:sz="0" w:val="nil"/>
          <w:bottom w:space="0" w:sz="0" w:val="nil"/>
          <w:right w:space="0" w:sz="0" w:val="nil"/>
          <w:between w:space="0" w:sz="0" w:val="nil"/>
        </w:pBdr>
        <w:spacing w:after="240"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Curriculum.</w:t>
      </w:r>
    </w:p>
    <w:p w:rsidR="00000000" w:rsidDel="00000000" w:rsidP="00000000" w:rsidRDefault="00000000" w:rsidRPr="00000000" w14:paraId="0000007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su Coordinación de Administración y Finanzas, informó que la Unidad de Planeación y Transparencia en términos de lo dispuesto por el Manual General de Organización de la Secretaría Ejecutiva, es la responsable de la funciones y atribuciones referidas en la Ley de Transparencia y Acceso a la Información Pública del Estado de México y Municipios para la Unidad de Transparencia, ante ello, señaló que la Unidad de Planeación y Transparencia a la fecha no cuenta con titular nombrado, ya que se encuentra vacante la plaza de dicha unidad de administrativa desde el pasado mes de octubre del año 2023; por tanto, no es posible la entrega de información alguna por no contar con figura de titular, ya que el propio fundamento referido por el particular establece diversos requisitos que deben cumplirse para el nombramiento del titular de la Unidad de Transparencia. </w:t>
      </w:r>
    </w:p>
    <w:p w:rsidR="00000000" w:rsidDel="00000000" w:rsidP="00000000" w:rsidRDefault="00000000" w:rsidRPr="00000000" w14:paraId="0000007A">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señalado anteriormente, indicó que no se encuentra expediente de persona Titular de la Unidad de Planeación y Transparencia, por no haber nombramiento aún. </w:t>
      </w:r>
    </w:p>
    <w:p w:rsidR="00000000" w:rsidDel="00000000" w:rsidP="00000000" w:rsidRDefault="00000000" w:rsidRPr="00000000" w14:paraId="0000007B">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en cuanto al sueldo neto, como ha sido referido, al encontrase vacante la plaza, no hay documento generado por esta unidad administrativa, en virtud de que no se ha realizado erogación por concepto de sueldo de titular de esa Unidad de Planeación y Transparencia, sin embargo, bajo el principio de máxima publicidad, conforme al tabular de sueldos vigentes, la remuneración neta mensual es de $29,814.50. </w:t>
      </w:r>
    </w:p>
    <w:p w:rsidR="00000000" w:rsidDel="00000000" w:rsidP="00000000" w:rsidRDefault="00000000" w:rsidRPr="00000000" w14:paraId="0000007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conocida la respuesta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inconformó en lo medular por la negativa de la información solicitada.</w:t>
      </w:r>
    </w:p>
    <w:p w:rsidR="00000000" w:rsidDel="00000000" w:rsidP="00000000" w:rsidRDefault="00000000" w:rsidRPr="00000000" w14:paraId="0000007D">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Ante la interposición del recurso de revisión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rindió su informe justificado mediante el cual en lo medular ratificó su respuesta inicial. </w:t>
      </w:r>
    </w:p>
    <w:p w:rsidR="00000000" w:rsidDel="00000000" w:rsidP="00000000" w:rsidRDefault="00000000" w:rsidRPr="00000000" w14:paraId="0000007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 base en lo precedente, se determina que la información proporcionada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su respuesta, no cumple con lo establecido por los artículos 4, 12 y 24 último párrafo de la Ley de Transparencia y Acceso a la Información Pública del Estado de México y Municipios; por ello, los motivos de inconformidad acontecen fundados para revocar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razón de las consideraciones de derecho que a continuación se exponen:</w:t>
      </w:r>
    </w:p>
    <w:p w:rsidR="00000000" w:rsidDel="00000000" w:rsidP="00000000" w:rsidRDefault="00000000" w:rsidRPr="00000000" w14:paraId="0000007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 bien es cierto que de la respuesta se desprende que la Coordinación de Administración y Finanzas, informó que la Unidad de Planeación y Transparencia a la fecha no cuenta con titular nombrado, por tanto, no es posible la entrega de información alguna por no contar con figura de titular, siendo que dicha Coordinación es área competente para conocer de la información solicitada en términos de lo señalado por el artículo 25 fracción II y XVII del Estatuto Orgánico de la Secretaría Ejecutiva del Sistema Estatal Anticorrupción, que señalan:</w:t>
      </w:r>
    </w:p>
    <w:p w:rsidR="00000000" w:rsidDel="00000000" w:rsidP="00000000" w:rsidRDefault="00000000" w:rsidRPr="00000000" w14:paraId="0000008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2">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25.- Corresponde a la Coordinación de Administración y Finanzas, el ejercicio de las atribuciones siguientes:</w:t>
      </w:r>
    </w:p>
    <w:p w:rsidR="00000000" w:rsidDel="00000000" w:rsidP="00000000" w:rsidRDefault="00000000" w:rsidRPr="00000000" w14:paraId="00000083">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4">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Programar, organizar, coordinar y controlar el suministro, administración, aplicación y aprovechamiento de los recursos humanos, materiales, financieros y técnicos, a fin de que se manejen en forma racional, así como los servicios generales necesarios para el funcionamiento de las unidades administrativas de la Secretaría Ejecutiva, de conformidad con la normatividad aplicable;</w:t>
      </w:r>
    </w:p>
    <w:p w:rsidR="00000000" w:rsidDel="00000000" w:rsidP="00000000" w:rsidRDefault="00000000" w:rsidRPr="00000000" w14:paraId="00000085">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86">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XVII. Tramitar los movimientos de alta, baja, cambios, permisos y licencias del personal…”  </w:t>
      </w:r>
    </w:p>
    <w:p w:rsidR="00000000" w:rsidDel="00000000" w:rsidP="00000000" w:rsidRDefault="00000000" w:rsidRPr="00000000" w14:paraId="0000008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8">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cual le corresponde el de conocer todo lo relacionado con el personal o servidores públicos adscritos a la Secretaría Ejecutiva del Sistema Estatal Anticorrupción.</w:t>
      </w:r>
    </w:p>
    <w:p w:rsidR="00000000" w:rsidDel="00000000" w:rsidP="00000000" w:rsidRDefault="00000000" w:rsidRPr="00000000" w14:paraId="00000089">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embargo, si bien de la solicitud se desprende que el particular requiere información relacionada con el Titular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y que a la fecha de la solicitud que fue el veinticuatro de mayo del año dos mil veinticuatro, efectivamente no contaba con un titular, pero sí con un suplente del Titular de dicha Unidad y que de acuerdo al pronunciamiento de la Coordinación de Administración y Finanzas, la Unidad de Planeación y Transparencia es la responsable de las funciones y atribuciones referidas Ley de Transparencia y Acceso a la Información Pública del Estado de México y Municipios.</w:t>
      </w:r>
    </w:p>
    <w:p w:rsidR="00000000" w:rsidDel="00000000" w:rsidP="00000000" w:rsidRDefault="00000000" w:rsidRPr="00000000" w14:paraId="0000008A">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Luego entonces, dicho suplente debió cumplir con las obligaciones establecidas en el artículo 53 de la Ley de la Materia, que señala:</w:t>
      </w:r>
    </w:p>
    <w:p w:rsidR="00000000" w:rsidDel="00000000" w:rsidP="00000000" w:rsidRDefault="00000000" w:rsidRPr="00000000" w14:paraId="0000008B">
      <w:pPr>
        <w:spacing w:line="276" w:lineRule="auto"/>
        <w:ind w:left="851"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53. Las Unidades de Transparencia tendrán las siguientes funciones: </w:t>
      </w:r>
    </w:p>
    <w:p w:rsidR="00000000" w:rsidDel="00000000" w:rsidP="00000000" w:rsidRDefault="00000000" w:rsidRPr="00000000" w14:paraId="0000008C">
      <w:pPr>
        <w:spacing w:line="276" w:lineRule="auto"/>
        <w:ind w:left="851"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rsidR="00000000" w:rsidDel="00000000" w:rsidP="00000000" w:rsidRDefault="00000000" w:rsidRPr="00000000" w14:paraId="0000008D">
      <w:pPr>
        <w:spacing w:line="276" w:lineRule="auto"/>
        <w:ind w:left="851"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Recibir, tramitar y dar respuesta a las solicitudes de acceso a la información; </w:t>
      </w:r>
    </w:p>
    <w:p w:rsidR="00000000" w:rsidDel="00000000" w:rsidP="00000000" w:rsidRDefault="00000000" w:rsidRPr="00000000" w14:paraId="0000008E">
      <w:pPr>
        <w:spacing w:line="276" w:lineRule="auto"/>
        <w:ind w:left="851"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Auxiliar a los particulares en la elaboración de solicitudes de acceso a la información y, en su caso, orientarlos sobre los sujetos obligados competentes conforme a la normatividad aplicable; </w:t>
      </w:r>
    </w:p>
    <w:p w:rsidR="00000000" w:rsidDel="00000000" w:rsidP="00000000" w:rsidRDefault="00000000" w:rsidRPr="00000000" w14:paraId="0000008F">
      <w:pPr>
        <w:spacing w:line="276" w:lineRule="auto"/>
        <w:ind w:left="851"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Realizar, con efectividad, los trámites internos necesarios para la atención de las solicitudes de acceso a la información; </w:t>
      </w:r>
    </w:p>
    <w:p w:rsidR="00000000" w:rsidDel="00000000" w:rsidP="00000000" w:rsidRDefault="00000000" w:rsidRPr="00000000" w14:paraId="00000090">
      <w:pPr>
        <w:spacing w:line="276" w:lineRule="auto"/>
        <w:ind w:left="851"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Entregar, en su caso, a los particulares la información solicitada; </w:t>
      </w:r>
    </w:p>
    <w:p w:rsidR="00000000" w:rsidDel="00000000" w:rsidP="00000000" w:rsidRDefault="00000000" w:rsidRPr="00000000" w14:paraId="00000091">
      <w:pPr>
        <w:spacing w:line="276" w:lineRule="auto"/>
        <w:ind w:left="851"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Efectuar las notificaciones a los solicitantes; </w:t>
      </w:r>
    </w:p>
    <w:p w:rsidR="00000000" w:rsidDel="00000000" w:rsidP="00000000" w:rsidRDefault="00000000" w:rsidRPr="00000000" w14:paraId="00000092">
      <w:pPr>
        <w:spacing w:line="276" w:lineRule="auto"/>
        <w:ind w:left="851"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 Proponer al Comité de Transparencia, los procedimientos internos que aseguren la mayor eficiencia en la gestión de las solicitudes de acceso a la información, conforme a la normatividad aplicable; </w:t>
      </w:r>
    </w:p>
    <w:p w:rsidR="00000000" w:rsidDel="00000000" w:rsidP="00000000" w:rsidRDefault="00000000" w:rsidRPr="00000000" w14:paraId="00000093">
      <w:pPr>
        <w:spacing w:line="276" w:lineRule="auto"/>
        <w:ind w:left="851"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VIII. Proponer a quien preside el Comité de Transparencia, personal habilitado que sea necesario para recibir y dar trámite a las solicitudes de acceso a la información; </w:t>
      </w:r>
    </w:p>
    <w:p w:rsidR="00000000" w:rsidDel="00000000" w:rsidP="00000000" w:rsidRDefault="00000000" w:rsidRPr="00000000" w14:paraId="00000094">
      <w:pPr>
        <w:spacing w:line="276" w:lineRule="auto"/>
        <w:ind w:left="851"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000000" w:rsidDel="00000000" w:rsidP="00000000" w:rsidRDefault="00000000" w:rsidRPr="00000000" w14:paraId="00000095">
      <w:pPr>
        <w:spacing w:line="276" w:lineRule="auto"/>
        <w:ind w:left="851"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 Presentar ante el Comité, el proyecto de clasificación de información; XI. Promover e implementar políticas de transparencia proactiva procurando su accesibilidad; </w:t>
      </w:r>
    </w:p>
    <w:p w:rsidR="00000000" w:rsidDel="00000000" w:rsidP="00000000" w:rsidRDefault="00000000" w:rsidRPr="00000000" w14:paraId="00000096">
      <w:pPr>
        <w:spacing w:line="276" w:lineRule="auto"/>
        <w:ind w:left="851"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XII. Fomentar la transparencia y accesibilidad al interior del sujeto obligado; </w:t>
      </w:r>
    </w:p>
    <w:p w:rsidR="00000000" w:rsidDel="00000000" w:rsidP="00000000" w:rsidRDefault="00000000" w:rsidRPr="00000000" w14:paraId="00000097">
      <w:pPr>
        <w:spacing w:line="276" w:lineRule="auto"/>
        <w:ind w:left="851"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XIII. Hacer del conocimiento de la instancia competente la probable responsabilidad por el incumplimiento de las obligaciones previstas en la presente Ley; y </w:t>
      </w:r>
    </w:p>
    <w:p w:rsidR="00000000" w:rsidDel="00000000" w:rsidP="00000000" w:rsidRDefault="00000000" w:rsidRPr="00000000" w14:paraId="00000098">
      <w:pPr>
        <w:spacing w:line="276" w:lineRule="auto"/>
        <w:ind w:left="851"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XIV. Las demás que resulten necesarias para facilitar el acceso a la información y aquellas que se desprenden de la presente Ley y demás disposiciones jurídicas aplicables. Los sujetos obligados promoverán acuerdos con instituciones públicas especializadas que pudieran auxiliarse a entregar las respuestas a solicitudes de información, en la lengua indígena, braille o cualquier formato accesible correspondiente, en forma más eficiente. </w:t>
      </w:r>
    </w:p>
    <w:p w:rsidR="00000000" w:rsidDel="00000000" w:rsidP="00000000" w:rsidRDefault="00000000" w:rsidRPr="00000000" w14:paraId="00000099">
      <w:pPr>
        <w:spacing w:line="276" w:lineRule="auto"/>
        <w:ind w:left="851"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rsidR="00000000" w:rsidDel="00000000" w:rsidP="00000000" w:rsidRDefault="00000000" w:rsidRPr="00000000" w14:paraId="0000009A">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Ante ello, es conveniente a traer lo señalado por el artículo 2 fracción IV, 14 fracción V, 18 y 32 de los Estatuto Orgánico de la Secretaría Ejecutiva del Sistema Estatal Anticorrupción, que señalan:</w:t>
      </w:r>
    </w:p>
    <w:p w:rsidR="00000000" w:rsidDel="00000000" w:rsidP="00000000" w:rsidRDefault="00000000" w:rsidRPr="00000000" w14:paraId="0000009B">
      <w:pPr>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2.- De manera adicional a lo dispuesto por el artículo 3 de la Ley del Sistema Anticorrupción del Estado de México y Municipios, para los efectos de este Estatuto Orgánico se entenderá por:</w:t>
      </w:r>
    </w:p>
    <w:p w:rsidR="00000000" w:rsidDel="00000000" w:rsidP="00000000" w:rsidRDefault="00000000" w:rsidRPr="00000000" w14:paraId="0000009C">
      <w:pPr>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9D">
      <w:pPr>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Secretario Técnico: A la o al titular de la Secretaría Ejecutiva;</w:t>
      </w:r>
    </w:p>
    <w:p w:rsidR="00000000" w:rsidDel="00000000" w:rsidP="00000000" w:rsidRDefault="00000000" w:rsidRPr="00000000" w14:paraId="0000009E">
      <w:pPr>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9F">
      <w:pPr>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14.- </w:t>
      </w:r>
      <w:r w:rsidDel="00000000" w:rsidR="00000000" w:rsidRPr="00000000">
        <w:rPr>
          <w:rFonts w:ascii="Palatino Linotype" w:cs="Palatino Linotype" w:eastAsia="Palatino Linotype" w:hAnsi="Palatino Linotype"/>
          <w:b w:val="1"/>
          <w:i w:val="1"/>
          <w:rtl w:val="0"/>
        </w:rPr>
        <w:t xml:space="preserve">El Órgano de Gobierno</w:t>
      </w:r>
      <w:r w:rsidDel="00000000" w:rsidR="00000000" w:rsidRPr="00000000">
        <w:rPr>
          <w:rFonts w:ascii="Palatino Linotype" w:cs="Palatino Linotype" w:eastAsia="Palatino Linotype" w:hAnsi="Palatino Linotype"/>
          <w:i w:val="1"/>
          <w:rtl w:val="0"/>
        </w:rPr>
        <w:t xml:space="preserve">, además de las señaladas en el artículo 29 de la Ley para la Coordinación y Control de Organismos Auxiliares del Estado de México, </w:t>
      </w:r>
      <w:r w:rsidDel="00000000" w:rsidR="00000000" w:rsidRPr="00000000">
        <w:rPr>
          <w:rFonts w:ascii="Palatino Linotype" w:cs="Palatino Linotype" w:eastAsia="Palatino Linotype" w:hAnsi="Palatino Linotype"/>
          <w:b w:val="1"/>
          <w:i w:val="1"/>
          <w:rtl w:val="0"/>
        </w:rPr>
        <w:t xml:space="preserve">contará con las atribuciones siguientes</w:t>
      </w: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A0">
      <w:pPr>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A1">
      <w:pPr>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Previa propuesta del Secretario Técnico, nombrar y remover a los servidores públicos de la Secretaría Ejecutiva que ocupen cargos con las dos jerarquías administrativas inferiores al Secretario Técnico, con excepción del Órgano Interno de Control;</w:t>
      </w:r>
    </w:p>
    <w:p w:rsidR="00000000" w:rsidDel="00000000" w:rsidP="00000000" w:rsidRDefault="00000000" w:rsidRPr="00000000" w14:paraId="000000A2">
      <w:pPr>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A3">
      <w:pPr>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18.- Para el desahogo de los asuntos de su competencia, además de las previstas por la Ley, el Secretario Técnico contará con las atribuciones siguientes:</w:t>
      </w:r>
    </w:p>
    <w:p w:rsidR="00000000" w:rsidDel="00000000" w:rsidP="00000000" w:rsidRDefault="00000000" w:rsidRPr="00000000" w14:paraId="000000A4">
      <w:pPr>
        <w:ind w:left="851" w:right="902" w:firstLine="0"/>
        <w:jc w:val="both"/>
        <w:rPr>
          <w:rFonts w:ascii="Palatino Linotype" w:cs="Palatino Linotype" w:eastAsia="Palatino Linotype" w:hAnsi="Palatino Linotype"/>
          <w:b w:val="1"/>
          <w:i w:val="1"/>
          <w:u w:val="single"/>
        </w:rPr>
      </w:pPr>
      <w:r w:rsidDel="00000000" w:rsidR="00000000" w:rsidRPr="00000000">
        <w:rPr>
          <w:rFonts w:ascii="Palatino Linotype" w:cs="Palatino Linotype" w:eastAsia="Palatino Linotype" w:hAnsi="Palatino Linotype"/>
          <w:b w:val="1"/>
          <w:i w:val="1"/>
          <w:rtl w:val="0"/>
        </w:rPr>
        <w:t xml:space="preserve">I. Proponer al Órgano de Gobierno la estructura orgánica de la Secretaría Ejecutiva y sus modificaciones, </w:t>
      </w:r>
      <w:r w:rsidDel="00000000" w:rsidR="00000000" w:rsidRPr="00000000">
        <w:rPr>
          <w:rFonts w:ascii="Palatino Linotype" w:cs="Palatino Linotype" w:eastAsia="Palatino Linotype" w:hAnsi="Palatino Linotype"/>
          <w:b w:val="1"/>
          <w:i w:val="1"/>
          <w:u w:val="single"/>
          <w:rtl w:val="0"/>
        </w:rPr>
        <w:t xml:space="preserve">así como los perfiles profesionales que deberán cubrir los servidores públicos adscritos a la misma ante el Órgano de Gobierno, previa opinión de la Secretaría de Finanzas; </w:t>
      </w:r>
    </w:p>
    <w:p w:rsidR="00000000" w:rsidDel="00000000" w:rsidP="00000000" w:rsidRDefault="00000000" w:rsidRPr="00000000" w14:paraId="000000A5">
      <w:pPr>
        <w:ind w:left="851"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II. Nombrar y remover a los servidores públicos de la Secretaría Ejecutiva en los términos previstos por la Ley; </w:t>
      </w:r>
    </w:p>
    <w:p w:rsidR="00000000" w:rsidDel="00000000" w:rsidP="00000000" w:rsidRDefault="00000000" w:rsidRPr="00000000" w14:paraId="000000A6">
      <w:pPr>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Expedir y certificar, en su caso, copia de los documentos o constancias relativas a la Secretaría Ejecutiva, de oficio o a petición de autoridad competente; </w:t>
      </w:r>
    </w:p>
    <w:p w:rsidR="00000000" w:rsidDel="00000000" w:rsidP="00000000" w:rsidRDefault="00000000" w:rsidRPr="00000000" w14:paraId="000000A7">
      <w:pPr>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Proponer ante el Comité Coordinador, la celebración de convenios de Coordinación, Colaboración y Concertación necesarios para el cumplimiento de los fines del Sistema Estatal y Municipal Anticorrupción; </w:t>
      </w:r>
    </w:p>
    <w:p w:rsidR="00000000" w:rsidDel="00000000" w:rsidP="00000000" w:rsidRDefault="00000000" w:rsidRPr="00000000" w14:paraId="000000A8">
      <w:pPr>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 Notificar las convocatorias para las sesiones del Comité Coordinador y del Sistema Estatal Anticorrupción; </w:t>
      </w:r>
    </w:p>
    <w:p w:rsidR="00000000" w:rsidDel="00000000" w:rsidP="00000000" w:rsidRDefault="00000000" w:rsidRPr="00000000" w14:paraId="000000A9">
      <w:pPr>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 Proporcionar al Comité de Participación Ciudadana a través de los medios de comunicación aprobados, sin ninguna restricción, la información que genere el Sistema Estatal Anticorrupción, así como los insumos técnicos que se requieran para el cumplimiento de sus atribuciones, de conformidad con los mecanismos propuestos por la Secretaría Ejecutiva; </w:t>
      </w:r>
    </w:p>
    <w:p w:rsidR="00000000" w:rsidDel="00000000" w:rsidP="00000000" w:rsidRDefault="00000000" w:rsidRPr="00000000" w14:paraId="000000AA">
      <w:pPr>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 Solicitar a las y los integrantes del Comité Coordinador, toda la información que estime necesaria para la integración del contenido del informe anual que deberá rendir dicho Comité, incluidos los proyectos de recomendaciones; </w:t>
      </w:r>
    </w:p>
    <w:p w:rsidR="00000000" w:rsidDel="00000000" w:rsidP="00000000" w:rsidRDefault="00000000" w:rsidRPr="00000000" w14:paraId="000000AB">
      <w:pPr>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VIII. Notificar y dar seguimiento a las recomendaciones que se desprendan del informe anual a las autoridades a las que se dirijan, por instrucción de la o del Presidente del Comité Coordinador, así como atender las aclaraciones que se deriven de las recomendaciones; </w:t>
      </w:r>
    </w:p>
    <w:p w:rsidR="00000000" w:rsidDel="00000000" w:rsidP="00000000" w:rsidRDefault="00000000" w:rsidRPr="00000000" w14:paraId="000000AC">
      <w:pPr>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IX. Auxiliar a la o al Presidente del Comité Coordinador en sus funciones dentro del Sistema Estatal Anticorrupción y las derivadas de su participación en el Sistema Nacional; </w:t>
      </w:r>
    </w:p>
    <w:p w:rsidR="00000000" w:rsidDel="00000000" w:rsidP="00000000" w:rsidRDefault="00000000" w:rsidRPr="00000000" w14:paraId="000000AD">
      <w:pPr>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 Coordinar las acciones institucionales relativas al fomento de cultura de la legalidad, en materia de gobierno digital; para el pleno goce, respeto, protección y promoción de los derechos de niñas, niños y adolescentes; la participación en el Programa de Derechos Humanos del Estado de México; para la protección, integración y desarrollo de las personas con discapacidad del Estado de México; igualdad de trato y oportunidades entre mujeres y hombres, y para prevenir, atender, sancionar y erradicar la violencia contra las mujeres; y demás obligaciones que resulten exigibles en términos de las legislaciones de las materias, por parte de la Secretaría Ejecutiva; </w:t>
      </w:r>
    </w:p>
    <w:p w:rsidR="00000000" w:rsidDel="00000000" w:rsidP="00000000" w:rsidRDefault="00000000" w:rsidRPr="00000000" w14:paraId="000000AE">
      <w:pPr>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 Implementar políticas de imagen y comunicación institucional de la Secretaría Ejecutiva en los términos previstos por las disposiciones aplicables; </w:t>
      </w:r>
    </w:p>
    <w:p w:rsidR="00000000" w:rsidDel="00000000" w:rsidP="00000000" w:rsidRDefault="00000000" w:rsidRPr="00000000" w14:paraId="000000AF">
      <w:pPr>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XII. Presidir el Comité Interno de Obra Pública de la Secretaría Ejecutiva; XIII. Resolver en el ámbito administrativo, las dudas que se susciten con motivo de la interpretación y aplicación de este Reglamento, así como los casos no previstos en el mismo; </w:t>
      </w:r>
    </w:p>
    <w:p w:rsidR="00000000" w:rsidDel="00000000" w:rsidP="00000000" w:rsidRDefault="00000000" w:rsidRPr="00000000" w14:paraId="000000B0">
      <w:pPr>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XIV. Promover que los planes y programas de la Secretaría Ejecutiva sean realizados con perspectiva de género y respeto a los derechos humanos, y XV. Las demás que le confiera la Ley y otras disposiciones legales, reglamentarias y normativas aplicables; y aquellas que le encomiende el Órgano de Gobierno.</w:t>
      </w:r>
    </w:p>
    <w:p w:rsidR="00000000" w:rsidDel="00000000" w:rsidP="00000000" w:rsidRDefault="00000000" w:rsidRPr="00000000" w14:paraId="000000B1">
      <w:pPr>
        <w:spacing w:line="276" w:lineRule="auto"/>
        <w:ind w:left="851" w:right="89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B2">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donde se establece que el Secretario Técnico será el Titular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el cual tendrá la facultad de proponer los nombramientos y remociones de los servidores públicos de la Secretaría Ejecutiva que ocupen cargos con las dos jerarquías administrativas inferiores al Secretario Técnico, ante el Órgano de Gobierno así como de la elaboración de los perfiles profesionales que deberán cubrir los servidores públicos adscritos a la mencionada Secretaría Ejecutiva.</w:t>
      </w:r>
    </w:p>
    <w:p w:rsidR="00000000" w:rsidDel="00000000" w:rsidP="00000000" w:rsidRDefault="00000000" w:rsidRPr="00000000" w14:paraId="000000B3">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tiene entonces que para que haya sido asignado como Suplente del Titular la Unidad de Planeación y Transparencia, dicha propuesta la debió haber hecho el Secretario Técnico al Órgano de Gobierno para su aprobación, previa verificación que debió haber hecho dicho Secretario Técnico que dicho servidor público cumplió con los requisitos requeridos en el perfil de puestos para dicho cargo, en razón de que todos los nombramientos y remociones se debieron aprobar por el Órgano de Gobierno Secretaría Ejecutiva del Sistema Estatal Anticorrupción.</w:t>
      </w:r>
    </w:p>
    <w:p w:rsidR="00000000" w:rsidDel="00000000" w:rsidP="00000000" w:rsidRDefault="00000000" w:rsidRPr="00000000" w14:paraId="000000B4">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consecuencia, el Suplente del Titular de la Unidad de Planeación y Transparencia al ser el responsable de cumplir con las obligaciones señaladas en la Ley de Transparencia y Acceso a la Información Pública del Estado de México y Municipios, es que debe obrar dentro de los archivos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información requerida en la solicitud de acceso a la información pública y en especificó la señalada en el artículo 57 de la Ley de la Materia.</w:t>
      </w:r>
    </w:p>
    <w:p w:rsidR="00000000" w:rsidDel="00000000" w:rsidP="00000000" w:rsidRDefault="00000000" w:rsidRPr="00000000" w14:paraId="000000B5">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y en atención a que el particular solicitó documentos en específico, se procede analizar cada tema, conforme a lo siguiente: </w:t>
      </w:r>
    </w:p>
    <w:p w:rsidR="00000000" w:rsidDel="00000000" w:rsidP="00000000" w:rsidRDefault="00000000" w:rsidRPr="00000000" w14:paraId="000000B6">
      <w:pPr>
        <w:spacing w:after="240" w:before="240" w:line="360" w:lineRule="auto"/>
        <w:ind w:right="49"/>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Sobre la Certificación de Competencia:</w:t>
      </w:r>
    </w:p>
    <w:p w:rsidR="00000000" w:rsidDel="00000000" w:rsidP="00000000" w:rsidRDefault="00000000" w:rsidRPr="00000000" w14:paraId="000000B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conveniente a traer lo señalado por el artículo 57 de la Ley de la Materia, señala lo siguiente:</w:t>
      </w:r>
    </w:p>
    <w:p w:rsidR="00000000" w:rsidDel="00000000" w:rsidP="00000000" w:rsidRDefault="00000000" w:rsidRPr="00000000" w14:paraId="000000B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B9">
      <w:pPr>
        <w:spacing w:line="276" w:lineRule="auto"/>
        <w:ind w:left="851"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BA">
      <w:pPr>
        <w:spacing w:line="276" w:lineRule="auto"/>
        <w:ind w:left="851"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57. El responsable de la Unidad de Transparencia deberá tener el perfil adecuado para el cumplimiento de las obligaciones que se derivan de la presente Ley. Para ser nombrado titular de la Unidad de Transparencia, deberá cumplir, por lo menos, con los siguientes requisitos: </w:t>
      </w:r>
    </w:p>
    <w:p w:rsidR="00000000" w:rsidDel="00000000" w:rsidP="00000000" w:rsidRDefault="00000000" w:rsidRPr="00000000" w14:paraId="000000BB">
      <w:pPr>
        <w:spacing w:line="276" w:lineRule="auto"/>
        <w:ind w:left="851"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Contar con conocimiento o, tratándose de las entidades gubernamentales estatales y los municipios </w:t>
      </w:r>
      <w:r w:rsidDel="00000000" w:rsidR="00000000" w:rsidRPr="00000000">
        <w:rPr>
          <w:rFonts w:ascii="Palatino Linotype" w:cs="Palatino Linotype" w:eastAsia="Palatino Linotype" w:hAnsi="Palatino Linotype"/>
          <w:b w:val="1"/>
          <w:i w:val="1"/>
          <w:u w:val="single"/>
          <w:rtl w:val="0"/>
        </w:rPr>
        <w:t xml:space="preserve">certificación en materia de acceso a la información, transparencia y protección de datos personales</w:t>
      </w:r>
      <w:r w:rsidDel="00000000" w:rsidR="00000000" w:rsidRPr="00000000">
        <w:rPr>
          <w:rFonts w:ascii="Palatino Linotype" w:cs="Palatino Linotype" w:eastAsia="Palatino Linotype" w:hAnsi="Palatino Linotype"/>
          <w:i w:val="1"/>
          <w:rtl w:val="0"/>
        </w:rPr>
        <w:t xml:space="preserve">, que para tal efecto emita el Instituto;</w:t>
      </w:r>
    </w:p>
    <w:p w:rsidR="00000000" w:rsidDel="00000000" w:rsidP="00000000" w:rsidRDefault="00000000" w:rsidRPr="00000000" w14:paraId="000000BC">
      <w:pPr>
        <w:spacing w:line="276" w:lineRule="auto"/>
        <w:ind w:left="851"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LEY ORGÁNICA MUNICIPAL DEL ESTADO DE MÉXICO</w:t>
      </w:r>
      <w:r w:rsidDel="00000000" w:rsidR="00000000" w:rsidRPr="00000000">
        <w:rPr>
          <w:rtl w:val="0"/>
        </w:rPr>
      </w:r>
    </w:p>
    <w:p w:rsidR="00000000" w:rsidDel="00000000" w:rsidP="00000000" w:rsidRDefault="00000000" w:rsidRPr="00000000" w14:paraId="000000BD">
      <w:pPr>
        <w:spacing w:line="276" w:lineRule="auto"/>
        <w:ind w:left="851"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32.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w:t>
      </w:r>
      <w:r w:rsidDel="00000000" w:rsidR="00000000" w:rsidRPr="00000000">
        <w:rPr>
          <w:rFonts w:ascii="Palatino Linotype" w:cs="Palatino Linotype" w:eastAsia="Palatino Linotype" w:hAnsi="Palatino Linotype"/>
          <w:b w:val="1"/>
          <w:i w:val="1"/>
          <w:u w:val="single"/>
          <w:rtl w:val="0"/>
        </w:rPr>
        <w:t xml:space="preserve">de las unidades administrativa</w:t>
      </w:r>
      <w:r w:rsidDel="00000000" w:rsidR="00000000" w:rsidRPr="00000000">
        <w:rPr>
          <w:rFonts w:ascii="Palatino Linotype" w:cs="Palatino Linotype" w:eastAsia="Palatino Linotype" w:hAnsi="Palatino Linotype"/>
          <w:i w:val="1"/>
          <w:rtl w:val="0"/>
        </w:rPr>
        <w:t xml:space="preserve">s y de los organismos auxiliares, se deberán satisfacer los siguientes requisitos: </w:t>
      </w:r>
    </w:p>
    <w:p w:rsidR="00000000" w:rsidDel="00000000" w:rsidP="00000000" w:rsidRDefault="00000000" w:rsidRPr="00000000" w14:paraId="000000BE">
      <w:pPr>
        <w:spacing w:line="276" w:lineRule="auto"/>
        <w:ind w:left="851"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r>
    </w:p>
    <w:p w:rsidR="00000000" w:rsidDel="00000000" w:rsidP="00000000" w:rsidRDefault="00000000" w:rsidRPr="00000000" w14:paraId="000000BF">
      <w:pPr>
        <w:spacing w:line="276" w:lineRule="auto"/>
        <w:ind w:left="851" w:right="899"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w:t>
      </w:r>
      <w:r w:rsidDel="00000000" w:rsidR="00000000" w:rsidRPr="00000000">
        <w:rPr>
          <w:rFonts w:ascii="Palatino Linotype" w:cs="Palatino Linotype" w:eastAsia="Palatino Linotype" w:hAnsi="Palatino Linotype"/>
          <w:b w:val="1"/>
          <w:i w:val="1"/>
          <w:rtl w:val="0"/>
        </w:rPr>
        <w:t xml:space="preserve">Contar con certificación de competencia laboral en la materia del cargo que se desempeñará, expedida por institución con reconocimiento de validez oficial</w:t>
      </w:r>
      <w:r w:rsidDel="00000000" w:rsidR="00000000" w:rsidRPr="00000000">
        <w:rPr>
          <w:rFonts w:ascii="Palatino Linotype" w:cs="Palatino Linotype" w:eastAsia="Palatino Linotype" w:hAnsi="Palatino Linotype"/>
          <w:i w:val="1"/>
          <w:rtl w:val="0"/>
        </w:rPr>
        <w:t xml:space="preserve">. Este requisito deberá acreditarse dentro de los seis meses siguientes a la fecha en que inicien sus funciones;</w:t>
      </w:r>
    </w:p>
    <w:p w:rsidR="00000000" w:rsidDel="00000000" w:rsidP="00000000" w:rsidRDefault="00000000" w:rsidRPr="00000000" w14:paraId="000000C0">
      <w:pPr>
        <w:spacing w:line="276" w:lineRule="auto"/>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C1">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ello, para ser nombrado Titular de la Unidad de Transparencia, deberá contar con una certificación en materia de acceso a la información, transparencia y protección de datos personales, dicha certificación deberá acreditarse dentro de los seis meses siguientes a la fecha en que inicia sus funciones. </w:t>
      </w:r>
    </w:p>
    <w:p w:rsidR="00000000" w:rsidDel="00000000" w:rsidP="00000000" w:rsidRDefault="00000000" w:rsidRPr="00000000" w14:paraId="000000C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ahí que,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careció de los principios de congruencia y exhaustividad, como refuerzo de lo anterior, resulta crucial el Criterio 02/17, emitido por el Pleno del Instituto Nacional de Transparencia y Acceso a la Información y Protección de Datos Personales, de título y texto siguientes:</w:t>
      </w:r>
    </w:p>
    <w:p w:rsidR="00000000" w:rsidDel="00000000" w:rsidP="00000000" w:rsidRDefault="00000000" w:rsidRPr="00000000" w14:paraId="000000C3">
      <w:pPr>
        <w:spacing w:after="240" w:before="8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“Congruencia y exhaustividad. Sus alcances para garantizar el derecho de acceso a la información. </w:t>
      </w:r>
      <w:r w:rsidDel="00000000" w:rsidR="00000000" w:rsidRPr="00000000">
        <w:rPr>
          <w:rFonts w:ascii="Palatino Linotype" w:cs="Palatino Linotype" w:eastAsia="Palatino Linotype" w:hAnsi="Palatino Linotype"/>
          <w:i w:val="1"/>
          <w:sz w:val="22"/>
          <w:szCs w:val="22"/>
          <w:rtl w:val="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Del="00000000" w:rsidR="00000000" w:rsidRPr="00000000">
        <w:rPr>
          <w:rFonts w:ascii="Palatino Linotype" w:cs="Palatino Linotype" w:eastAsia="Palatino Linotype" w:hAnsi="Palatino Linotype"/>
          <w:b w:val="1"/>
          <w:i w:val="1"/>
          <w:sz w:val="22"/>
          <w:szCs w:val="22"/>
          <w:rtl w:val="0"/>
        </w:rPr>
        <w:t xml:space="preserve">la congruencia implica que exista concordancia entre el requerimiento formulado por el particular y la respuesta proporcionada por el sujeto obligado</w:t>
      </w:r>
      <w:r w:rsidDel="00000000" w:rsidR="00000000" w:rsidRPr="00000000">
        <w:rPr>
          <w:rFonts w:ascii="Palatino Linotype" w:cs="Palatino Linotype" w:eastAsia="Palatino Linotype" w:hAnsi="Palatino Linotype"/>
          <w:i w:val="1"/>
          <w:sz w:val="22"/>
          <w:szCs w:val="22"/>
          <w:rtl w:val="0"/>
        </w:rPr>
        <w:t xml:space="preserve">; mientras que </w:t>
      </w:r>
      <w:r w:rsidDel="00000000" w:rsidR="00000000" w:rsidRPr="00000000">
        <w:rPr>
          <w:rFonts w:ascii="Palatino Linotype" w:cs="Palatino Linotype" w:eastAsia="Palatino Linotype" w:hAnsi="Palatino Linotype"/>
          <w:b w:val="1"/>
          <w:i w:val="1"/>
          <w:sz w:val="22"/>
          <w:szCs w:val="22"/>
          <w:rtl w:val="0"/>
        </w:rPr>
        <w:t xml:space="preserve">la exhaustividad significa que dicha respuesta se refiera expresamente a cada uno de los puntos solicitados</w:t>
      </w:r>
      <w:r w:rsidDel="00000000" w:rsidR="00000000" w:rsidRPr="00000000">
        <w:rPr>
          <w:rFonts w:ascii="Palatino Linotype" w:cs="Palatino Linotype" w:eastAsia="Palatino Linotype" w:hAnsi="Palatino Linotype"/>
          <w:i w:val="1"/>
          <w:sz w:val="22"/>
          <w:szCs w:val="22"/>
          <w:rtl w:val="0"/>
        </w:rPr>
        <w:t xml:space="preserve">. Por lo anterior, los sujetos obligados cumplirán con los principios de congruencia y exhaustividad, cuando las respuestas que emitan guarden una relación lógica con lo solicitado y atiendan de manera puntual y expresa, cada uno de los contenidos de información.” (Sic)</w:t>
      </w:r>
    </w:p>
    <w:p w:rsidR="00000000" w:rsidDel="00000000" w:rsidP="00000000" w:rsidRDefault="00000000" w:rsidRPr="00000000" w14:paraId="000000C4">
      <w:pPr>
        <w:spacing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lo procedente es ordenar el documento que contenga la certificación de competencia laboral del Suplente en la Titularidad de la Unidad de Planeación y Transparencia, en funciones al veinticuatro del mayo del año dos mil veinticuatro, en versión pública conforme a lo señalado en el considerando quinto</w:t>
      </w:r>
    </w:p>
    <w:p w:rsidR="00000000" w:rsidDel="00000000" w:rsidP="00000000" w:rsidRDefault="00000000" w:rsidRPr="00000000" w14:paraId="000000C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No se omite comentar, que a raíz de que no se tiene la certeza la fecha exacta en que asigno como súplete de dicha Unidad, se deberá estar a lo siguiente:</w:t>
      </w:r>
    </w:p>
    <w:p w:rsidR="00000000" w:rsidDel="00000000" w:rsidP="00000000" w:rsidRDefault="00000000" w:rsidRPr="00000000" w14:paraId="000000C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el caso de que al no haber transcurrido los seis meses siguientes a la fecha en que inició funciones, bastará que así se lo haga saber 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términos de lo señalado por el segundo párrafo del artículo 19 de la Ley de Transparencia y Acceso a la Información Pública del Estado de México y Municipios, para tener por colmado su derecho de acceso a la información, que dispone lo siguiente:</w:t>
      </w:r>
    </w:p>
    <w:p w:rsidR="00000000" w:rsidDel="00000000" w:rsidP="00000000" w:rsidRDefault="00000000" w:rsidRPr="00000000" w14:paraId="000000C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B">
      <w:pPr>
        <w:spacing w:line="276"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19…</w:t>
      </w:r>
    </w:p>
    <w:p w:rsidR="00000000" w:rsidDel="00000000" w:rsidP="00000000" w:rsidRDefault="00000000" w:rsidRPr="00000000" w14:paraId="000000CC">
      <w:pPr>
        <w:spacing w:line="276"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en que ciertas facultades, competencias o funciones no se hayan ejercido, se debe motivar la respuesta en función de las causas que motiven tal circunstancia.”</w:t>
      </w:r>
    </w:p>
    <w:p w:rsidR="00000000" w:rsidDel="00000000" w:rsidP="00000000" w:rsidRDefault="00000000" w:rsidRPr="00000000" w14:paraId="000000CD">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improcedente, en tal supuesto, la entrega de documento alguno, o en su caso, el Acuerdo de Inexistencia, toda vez que el pronunciamiento del Sujeto Obligado 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p>
    <w:p w:rsidR="00000000" w:rsidDel="00000000" w:rsidP="00000000" w:rsidRDefault="00000000" w:rsidRPr="00000000" w14:paraId="000000CE">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caso de no contar con la certificación ordenada y que ya tengan más de seis meses en el encargo, su Comité de Transparencia deberá emitir el Acuerdo de Inexistencia, en términos de los artículos 49 fracción II y XIII, 169 y 170 de la Ley de Transparencia y Acceso a la Información Pública del Estado de México, debiendo observar lo siguiente: </w:t>
      </w:r>
    </w:p>
    <w:p w:rsidR="00000000" w:rsidDel="00000000" w:rsidP="00000000" w:rsidRDefault="00000000" w:rsidRPr="00000000" w14:paraId="000000C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Según Trujillo, Humberto (2019), en el “Diccionario de Transparencia y Acceso a la Información Pública” (p. 201), </w:t>
      </w:r>
      <w:r w:rsidDel="00000000" w:rsidR="00000000" w:rsidRPr="00000000">
        <w:rPr>
          <w:rFonts w:ascii="Palatino Linotype" w:cs="Palatino Linotype" w:eastAsia="Palatino Linotype" w:hAnsi="Palatino Linotype"/>
          <w:b w:val="1"/>
          <w:rtl w:val="0"/>
        </w:rPr>
        <w:t xml:space="preserve">la negativa de acceso a la información </w:t>
      </w:r>
      <w:r w:rsidDel="00000000" w:rsidR="00000000" w:rsidRPr="00000000">
        <w:rPr>
          <w:rFonts w:ascii="Palatino Linotype" w:cs="Palatino Linotype" w:eastAsia="Palatino Linotype" w:hAnsi="Palatino Linotype"/>
          <w:rtl w:val="0"/>
        </w:rPr>
        <w:t xml:space="preserve">ocurre cuando de manera fundada y motivada, una autoridad la niega o la limita, por alguna de las siguientes razones: </w:t>
      </w:r>
    </w:p>
    <w:p w:rsidR="00000000" w:rsidDel="00000000" w:rsidP="00000000" w:rsidRDefault="00000000" w:rsidRPr="00000000" w14:paraId="000000D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1">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La inexistencia de la información (p. 171): Sucede cuando la información solicitada no se encuentra en los archivos públicos o clasificados de los entes sujetos a las Leyes de Transparencia.</w:t>
      </w:r>
    </w:p>
    <w:p w:rsidR="00000000" w:rsidDel="00000000" w:rsidP="00000000" w:rsidRDefault="00000000" w:rsidRPr="00000000" w14:paraId="000000D2">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La incompetencia del Sujeto Obligado (p. 171): </w:t>
      </w:r>
      <w:r w:rsidDel="00000000" w:rsidR="00000000" w:rsidRPr="00000000">
        <w:rPr>
          <w:rFonts w:ascii="Palatino Linotype" w:cs="Palatino Linotype" w:eastAsia="Palatino Linotype" w:hAnsi="Palatino Linotype"/>
          <w:rtl w:val="0"/>
        </w:rPr>
        <w:t xml:space="preserve">Ocurre cuando el Sujeto Obligado carece de atribuciones para poseer la información peticionada.</w:t>
      </w:r>
      <w:r w:rsidDel="00000000" w:rsidR="00000000" w:rsidRPr="00000000">
        <w:rPr>
          <w:rtl w:val="0"/>
        </w:rPr>
      </w:r>
    </w:p>
    <w:p w:rsidR="00000000" w:rsidDel="00000000" w:rsidP="00000000" w:rsidRDefault="00000000" w:rsidRPr="00000000" w14:paraId="000000D3">
      <w:pPr>
        <w:numPr>
          <w:ilvl w:val="0"/>
          <w:numId w:val="3"/>
        </w:numPr>
        <w:pBdr>
          <w:top w:space="0" w:sz="0" w:val="nil"/>
          <w:left w:space="0" w:sz="0" w:val="nil"/>
          <w:bottom w:space="0" w:sz="0" w:val="nil"/>
          <w:right w:space="0" w:sz="0" w:val="nil"/>
          <w:between w:space="0" w:sz="0" w:val="nil"/>
        </w:pBdr>
        <w:spacing w:line="360" w:lineRule="auto"/>
        <w:ind w:left="72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La clasificación de la información (p. 70): </w:t>
      </w:r>
      <w:r w:rsidDel="00000000" w:rsidR="00000000" w:rsidRPr="00000000">
        <w:rPr>
          <w:rFonts w:ascii="Palatino Linotype" w:cs="Palatino Linotype" w:eastAsia="Palatino Linotype" w:hAnsi="Palatino Linotype"/>
          <w:rtl w:val="0"/>
        </w:rPr>
        <w:t xml:space="preserve">Es el proceso o conjunto de acciones que realizan los sujetos obligados para establecer que determinada información se encuentra en alguno de los supuestos de reserva o confidencialidad establecidos en la legislación en materia de transparencia.</w:t>
      </w:r>
      <w:r w:rsidDel="00000000" w:rsidR="00000000" w:rsidRPr="00000000">
        <w:rPr>
          <w:rtl w:val="0"/>
        </w:rPr>
      </w:r>
    </w:p>
    <w:p w:rsidR="00000000" w:rsidDel="00000000" w:rsidP="00000000" w:rsidRDefault="00000000" w:rsidRPr="00000000" w14:paraId="000000D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orden de ideas, es de señalar que las excepciones al derecho de acceso a la información consisten en que la documentación sea </w:t>
      </w:r>
      <w:r w:rsidDel="00000000" w:rsidR="00000000" w:rsidRPr="00000000">
        <w:rPr>
          <w:rFonts w:ascii="Palatino Linotype" w:cs="Palatino Linotype" w:eastAsia="Palatino Linotype" w:hAnsi="Palatino Linotype"/>
          <w:b w:val="1"/>
          <w:u w:val="single"/>
          <w:rtl w:val="0"/>
        </w:rPr>
        <w:t xml:space="preserve">inexistente</w:t>
      </w:r>
      <w:r w:rsidDel="00000000" w:rsidR="00000000" w:rsidRPr="00000000">
        <w:rPr>
          <w:rFonts w:ascii="Palatino Linotype" w:cs="Palatino Linotype" w:eastAsia="Palatino Linotype" w:hAnsi="Palatino Linotype"/>
          <w:rtl w:val="0"/>
        </w:rPr>
        <w:t xml:space="preserve">, se encuentre clasificada, o bien, el Sujeto Obligado sea incompetente para contar con esta; esto es, la negativa de acceso a la información </w:t>
      </w:r>
      <w:r w:rsidDel="00000000" w:rsidR="00000000" w:rsidRPr="00000000">
        <w:rPr>
          <w:rFonts w:ascii="Palatino Linotype" w:cs="Palatino Linotype" w:eastAsia="Palatino Linotype" w:hAnsi="Palatino Linotype"/>
          <w:b w:val="1"/>
          <w:u w:val="single"/>
          <w:rtl w:val="0"/>
        </w:rPr>
        <w:t xml:space="preserve">recae cuando la documentación no se encuentre en los archivos del sujeto obligado</w:t>
      </w:r>
      <w:r w:rsidDel="00000000" w:rsidR="00000000" w:rsidRPr="00000000">
        <w:rPr>
          <w:rFonts w:ascii="Palatino Linotype" w:cs="Palatino Linotype" w:eastAsia="Palatino Linotype" w:hAnsi="Palatino Linotype"/>
          <w:rtl w:val="0"/>
        </w:rPr>
        <w:t xml:space="preserve">, o bien exista, pero no pueda proporcionarse por contener datos confidenciales o reservados.</w:t>
      </w:r>
    </w:p>
    <w:p w:rsidR="00000000" w:rsidDel="00000000" w:rsidP="00000000" w:rsidRDefault="00000000" w:rsidRPr="00000000" w14:paraId="000000D5">
      <w:pPr>
        <w:tabs>
          <w:tab w:val="left" w:leader="none" w:pos="7938"/>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6">
      <w:pPr>
        <w:spacing w:line="360" w:lineRule="auto"/>
        <w:ind w:right="14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orden de ideas, es de destacar que las actas que sustenten la inexistencia de la información, deberán observar ciertas formalidades exigidas por la Ley de Transparencia y Acceso a la Información Pública del Estado de México y Municipios</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rtl w:val="0"/>
        </w:rPr>
        <w:t xml:space="preserve">la Ley General de Transparencia y Acceso a la Información Pública, y el numeral trigésimo fracción I de los Lineamientos Generales en Materia de Clasificación y Desclasificación de la Información así como por los criterios orientadores aprobados por el Pleno de este Instituto, que establecen el criterio de inexistencia y en qué circunstancia debe emitirse la declaratoria de la misma:</w:t>
      </w:r>
    </w:p>
    <w:p w:rsidR="00000000" w:rsidDel="00000000" w:rsidP="00000000" w:rsidRDefault="00000000" w:rsidRPr="00000000" w14:paraId="000000D7">
      <w:pPr>
        <w:spacing w:line="360" w:lineRule="auto"/>
        <w:ind w:left="567" w:right="567"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D8">
      <w:pPr>
        <w:spacing w:line="276" w:lineRule="auto"/>
        <w:ind w:left="567"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INEXISTENCIA, CONCEPTO DE, EN MATERIA DE TRANSPARENCIA</w:t>
      </w:r>
      <w:r w:rsidDel="00000000" w:rsidR="00000000" w:rsidRPr="00000000">
        <w:rPr>
          <w:rFonts w:ascii="Palatino Linotype" w:cs="Palatino Linotype" w:eastAsia="Palatino Linotype" w:hAnsi="Palatino Linotype"/>
          <w:i w:val="1"/>
          <w:sz w:val="22"/>
          <w:szCs w:val="22"/>
          <w:rtl w:val="0"/>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000000" w:rsidDel="00000000" w:rsidP="00000000" w:rsidRDefault="00000000" w:rsidRPr="00000000" w14:paraId="000000D9">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A">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000000" w:rsidDel="00000000" w:rsidP="00000000" w:rsidRDefault="00000000" w:rsidRPr="00000000" w14:paraId="000000DB">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En los casos en que por las atribuciones conferidas al Sujeto Obligado éste debió generar, administrar o poseer la información, pero en incumplimiento a la normatividad respectiva no llevó a cabo ninguna de esas acciones.</w:t>
      </w:r>
    </w:p>
    <w:p w:rsidR="00000000" w:rsidDel="00000000" w:rsidP="00000000" w:rsidRDefault="00000000" w:rsidRPr="00000000" w14:paraId="000000DC">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D">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000000" w:rsidDel="00000000" w:rsidP="00000000" w:rsidRDefault="00000000" w:rsidRPr="00000000" w14:paraId="000000DE">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DF">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0">
      <w:pPr>
        <w:spacing w:line="276" w:lineRule="auto"/>
        <w:ind w:left="567" w:right="567"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CRITERIO 0004-11</w:t>
      </w:r>
    </w:p>
    <w:p w:rsidR="00000000" w:rsidDel="00000000" w:rsidP="00000000" w:rsidRDefault="00000000" w:rsidRPr="00000000" w14:paraId="000000E1">
      <w:pPr>
        <w:spacing w:line="276" w:lineRule="auto"/>
        <w:ind w:left="567" w:right="567"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E2">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INEXISTENCIA. DECLARATORIA DE LA. ALCANCES Y PROCEDIMIENTOS</w:t>
      </w:r>
      <w:r w:rsidDel="00000000" w:rsidR="00000000" w:rsidRPr="00000000">
        <w:rPr>
          <w:rFonts w:ascii="Palatino Linotype" w:cs="Palatino Linotype" w:eastAsia="Palatino Linotype" w:hAnsi="Palatino Linotype"/>
          <w:i w:val="1"/>
          <w:sz w:val="22"/>
          <w:szCs w:val="22"/>
          <w:rtl w:val="0"/>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000000" w:rsidDel="00000000" w:rsidP="00000000" w:rsidRDefault="00000000" w:rsidRPr="00000000" w14:paraId="000000E3">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4">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Bajo el entendido de que dicha búsqueda exhaustiva permitirá dos determinaciones:</w:t>
      </w:r>
    </w:p>
    <w:p w:rsidR="00000000" w:rsidDel="00000000" w:rsidP="00000000" w:rsidRDefault="00000000" w:rsidRPr="00000000" w14:paraId="000000E5">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6">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1ª) Que se localice la documentación que contenga la información solicitada y de ser así la información pueda entregarse al solicitante en la forma en que se encuentra disponible, o</w:t>
      </w:r>
    </w:p>
    <w:p w:rsidR="00000000" w:rsidDel="00000000" w:rsidP="00000000" w:rsidRDefault="00000000" w:rsidRPr="00000000" w14:paraId="000000E7">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000000" w:rsidDel="00000000" w:rsidP="00000000" w:rsidRDefault="00000000" w:rsidRPr="00000000" w14:paraId="000000E8">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9">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000000" w:rsidDel="00000000" w:rsidP="00000000" w:rsidRDefault="00000000" w:rsidRPr="00000000" w14:paraId="000000E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que, se establece que el Comité de Transparencia deberá emitir el correspondiente Acuerdo de Inexistencia de la Información y notificarlo al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E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aquellas circunstancias de modo, tiempo y lugar que se tomaron en cuenta para llegar a determinar que no obra en sus archivos la información requerida. </w:t>
      </w:r>
    </w:p>
    <w:p w:rsidR="00000000" w:rsidDel="00000000" w:rsidP="00000000" w:rsidRDefault="00000000" w:rsidRPr="00000000" w14:paraId="000000E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Sujeto Obligado correspondiente, de acuerdo con los artículos 47 y 49, fracciones II y XIII, de la Ley en estudio:</w:t>
      </w:r>
    </w:p>
    <w:p w:rsidR="00000000" w:rsidDel="00000000" w:rsidP="00000000" w:rsidRDefault="00000000" w:rsidRPr="00000000" w14:paraId="000000F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F1">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47.</w:t>
      </w:r>
      <w:r w:rsidDel="00000000" w:rsidR="00000000" w:rsidRPr="00000000">
        <w:rPr>
          <w:rFonts w:ascii="Palatino Linotype" w:cs="Palatino Linotype" w:eastAsia="Palatino Linotype" w:hAnsi="Palatino Linotype"/>
          <w:i w:val="1"/>
          <w:sz w:val="22"/>
          <w:szCs w:val="22"/>
          <w:rtl w:val="0"/>
        </w:rPr>
        <w:t xml:space="preserve"> El Comité de Transparencia será la autoridad máxima al interior del sujeto obligado en materia del derecho de acceso a la información.</w:t>
      </w:r>
    </w:p>
    <w:p w:rsidR="00000000" w:rsidDel="00000000" w:rsidP="00000000" w:rsidRDefault="00000000" w:rsidRPr="00000000" w14:paraId="000000F2">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3">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rsidR="00000000" w:rsidDel="00000000" w:rsidP="00000000" w:rsidRDefault="00000000" w:rsidRPr="00000000" w14:paraId="000000F4">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5">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Comité se reunirá en sesión ordinaria o extraordinaria las veces que estime necesario. El tipo de sesión se precisará en la convocatoria emitida.</w:t>
      </w:r>
    </w:p>
    <w:p w:rsidR="00000000" w:rsidDel="00000000" w:rsidP="00000000" w:rsidRDefault="00000000" w:rsidRPr="00000000" w14:paraId="000000F6">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7">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integrantes del Comité de Transparencia tendrán acceso a la información para determinar su clasificación, conforme a la normatividad aplicable previamente establecida por los sujetos obligados para el resguardo o salvaguarda de la información.</w:t>
      </w:r>
    </w:p>
    <w:p w:rsidR="00000000" w:rsidDel="00000000" w:rsidP="00000000" w:rsidRDefault="00000000" w:rsidRPr="00000000" w14:paraId="000000F8">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9">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las sesiones y trabajos del Comité, podrán participar como invitados permanentes, los representantes de las áreas que decida el Comité, y contará con derecho de voz, pero no voto.</w:t>
      </w:r>
    </w:p>
    <w:p w:rsidR="00000000" w:rsidDel="00000000" w:rsidP="00000000" w:rsidRDefault="00000000" w:rsidRPr="00000000" w14:paraId="000000FA">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B">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titulares de las unidades administrativas que propongan la reserva, confidencialidad o declaren la </w:t>
      </w:r>
      <w:r w:rsidDel="00000000" w:rsidR="00000000" w:rsidRPr="00000000">
        <w:rPr>
          <w:rFonts w:ascii="Palatino Linotype" w:cs="Palatino Linotype" w:eastAsia="Palatino Linotype" w:hAnsi="Palatino Linotype"/>
          <w:i w:val="1"/>
          <w:sz w:val="22"/>
          <w:szCs w:val="22"/>
          <w:u w:val="single"/>
          <w:rtl w:val="0"/>
        </w:rPr>
        <w:t xml:space="preserve">inexistencia</w:t>
      </w:r>
      <w:r w:rsidDel="00000000" w:rsidR="00000000" w:rsidRPr="00000000">
        <w:rPr>
          <w:rFonts w:ascii="Palatino Linotype" w:cs="Palatino Linotype" w:eastAsia="Palatino Linotype" w:hAnsi="Palatino Linotype"/>
          <w:i w:val="1"/>
          <w:sz w:val="22"/>
          <w:szCs w:val="22"/>
          <w:rtl w:val="0"/>
        </w:rPr>
        <w:t xml:space="preserve"> de información, acudirán a las sesiones de dicho Comité donde se discuta la propuesta correspondiente.”</w:t>
      </w:r>
    </w:p>
    <w:p w:rsidR="00000000" w:rsidDel="00000000" w:rsidP="00000000" w:rsidRDefault="00000000" w:rsidRPr="00000000" w14:paraId="000000FC">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D">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Los Comités de Transparencia tendrán las siguientes atribuciones:</w:t>
      </w:r>
    </w:p>
    <w:p w:rsidR="00000000" w:rsidDel="00000000" w:rsidP="00000000" w:rsidRDefault="00000000" w:rsidRPr="00000000" w14:paraId="000000FE">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F">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Confirmar, modificar o revocar las determinaciones que en materia de ampliación del plazo de respuesta, clasificación de la información y </w:t>
      </w:r>
      <w:r w:rsidDel="00000000" w:rsidR="00000000" w:rsidRPr="00000000">
        <w:rPr>
          <w:rFonts w:ascii="Palatino Linotype" w:cs="Palatino Linotype" w:eastAsia="Palatino Linotype" w:hAnsi="Palatino Linotype"/>
          <w:i w:val="1"/>
          <w:sz w:val="22"/>
          <w:szCs w:val="22"/>
          <w:u w:val="single"/>
          <w:rtl w:val="0"/>
        </w:rPr>
        <w:t xml:space="preserve">declaración de inexistencia </w:t>
      </w:r>
      <w:r w:rsidDel="00000000" w:rsidR="00000000" w:rsidRPr="00000000">
        <w:rPr>
          <w:rFonts w:ascii="Palatino Linotype" w:cs="Palatino Linotype" w:eastAsia="Palatino Linotype" w:hAnsi="Palatino Linotype"/>
          <w:i w:val="1"/>
          <w:sz w:val="22"/>
          <w:szCs w:val="22"/>
          <w:rtl w:val="0"/>
        </w:rPr>
        <w:t xml:space="preserve">o de incompetencia realicen los titulares de las áreas de los sujetos obligados;</w:t>
      </w:r>
    </w:p>
    <w:p w:rsidR="00000000" w:rsidDel="00000000" w:rsidP="00000000" w:rsidRDefault="00000000" w:rsidRPr="00000000" w14:paraId="00000100">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01">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XIII. Dictaminar las declaratorias de inexistencia de la información que les remitan las unidades administrativas y resolver en consecuencia;</w:t>
      </w:r>
    </w:p>
    <w:p w:rsidR="00000000" w:rsidDel="00000000" w:rsidP="00000000" w:rsidRDefault="00000000" w:rsidRPr="00000000" w14:paraId="00000102">
      <w:pPr>
        <w:spacing w:line="360" w:lineRule="auto"/>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0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el acuerdo de inexistencia deberá apegarse a lo dispuesto por los artículos 169 y 170, de la Ley de la materia que ordenan: </w:t>
      </w:r>
    </w:p>
    <w:p w:rsidR="00000000" w:rsidDel="00000000" w:rsidP="00000000" w:rsidRDefault="00000000" w:rsidRPr="00000000" w14:paraId="00000104">
      <w:pPr>
        <w:spacing w:line="276"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05">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169.</w:t>
      </w:r>
      <w:r w:rsidDel="00000000" w:rsidR="00000000" w:rsidRPr="00000000">
        <w:rPr>
          <w:rFonts w:ascii="Palatino Linotype" w:cs="Palatino Linotype" w:eastAsia="Palatino Linotype" w:hAnsi="Palatino Linotype"/>
          <w:i w:val="1"/>
          <w:sz w:val="22"/>
          <w:szCs w:val="22"/>
          <w:rtl w:val="0"/>
        </w:rPr>
        <w:t xml:space="preserve"> Cuando la información no se encuentre en los archivos del sujeto obligado, el Comité de Transparencia:</w:t>
      </w:r>
    </w:p>
    <w:p w:rsidR="00000000" w:rsidDel="00000000" w:rsidP="00000000" w:rsidRDefault="00000000" w:rsidRPr="00000000" w14:paraId="00000106">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7">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Analizará el caso y tomará las medidas necesarias para localizar la información;</w:t>
      </w:r>
    </w:p>
    <w:p w:rsidR="00000000" w:rsidDel="00000000" w:rsidP="00000000" w:rsidRDefault="00000000" w:rsidRPr="00000000" w14:paraId="00000108">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9">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Expedirá una resolución que confirme la inexistencia del documento;</w:t>
      </w:r>
    </w:p>
    <w:p w:rsidR="00000000" w:rsidDel="00000000" w:rsidP="00000000" w:rsidRDefault="00000000" w:rsidRPr="00000000" w14:paraId="0000010A">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B">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000000" w:rsidDel="00000000" w:rsidP="00000000" w:rsidRDefault="00000000" w:rsidRPr="00000000" w14:paraId="0000010C">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D">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Notificará al órgano interno de control o equivalente del sujeto obligado quien, en su caso, deberá iniciar el procedimiento de responsabilidad administrativa que corresponda</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0E">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F">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Unidad de Transparencia deberá notificarlo al solicitante por escrito, en un plazo que no exceda de quince días hábiles contados a partir del día siguiente a la presentación de la solicitud.</w:t>
      </w:r>
    </w:p>
    <w:p w:rsidR="00000000" w:rsidDel="00000000" w:rsidP="00000000" w:rsidRDefault="00000000" w:rsidRPr="00000000" w14:paraId="00000110">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11">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Este plazo podrá ampliarse hasta por otros siete días hábiles, siempre que existan razones para ello, debiendo notificarse por escrito al solicitante.</w:t>
      </w:r>
    </w:p>
    <w:p w:rsidR="00000000" w:rsidDel="00000000" w:rsidP="00000000" w:rsidRDefault="00000000" w:rsidRPr="00000000" w14:paraId="00000112">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13">
      <w:pPr>
        <w:spacing w:line="276" w:lineRule="auto"/>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170.</w:t>
      </w:r>
      <w:r w:rsidDel="00000000" w:rsidR="00000000" w:rsidRPr="00000000">
        <w:rPr>
          <w:rFonts w:ascii="Palatino Linotype" w:cs="Palatino Linotype" w:eastAsia="Palatino Linotype" w:hAnsi="Palatino Linotype"/>
          <w:i w:val="1"/>
          <w:sz w:val="22"/>
          <w:szCs w:val="22"/>
          <w:rtl w:val="0"/>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rsidR="00000000" w:rsidDel="00000000" w:rsidP="00000000" w:rsidRDefault="00000000" w:rsidRPr="00000000" w14:paraId="00000114">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115">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rsidR="00000000" w:rsidDel="00000000" w:rsidP="00000000" w:rsidRDefault="00000000" w:rsidRPr="00000000" w14:paraId="00000116">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de conformidad con los </w:t>
      </w:r>
      <w:r w:rsidDel="00000000" w:rsidR="00000000" w:rsidRPr="00000000">
        <w:rPr>
          <w:rFonts w:ascii="Palatino Linotype" w:cs="Palatino Linotype" w:eastAsia="Palatino Linotype" w:hAnsi="Palatino Linotype"/>
          <w:b w:val="1"/>
          <w:rtl w:val="0"/>
        </w:rPr>
        <w:t xml:space="preserve">criterios 12/10 y 04/19</w:t>
      </w:r>
      <w:r w:rsidDel="00000000" w:rsidR="00000000" w:rsidRPr="00000000">
        <w:rPr>
          <w:rFonts w:ascii="Palatino Linotype" w:cs="Palatino Linotype" w:eastAsia="Palatino Linotype" w:hAnsi="Palatino Linotype"/>
          <w:rtl w:val="0"/>
        </w:rPr>
        <w:t xml:space="preserve">,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rsidR="00000000" w:rsidDel="00000000" w:rsidP="00000000" w:rsidRDefault="00000000" w:rsidRPr="00000000" w14:paraId="0000011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9">
      <w:pPr>
        <w:numPr>
          <w:ilvl w:val="0"/>
          <w:numId w:val="5"/>
        </w:numPr>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Motivación por las que se buscó la información, en determinadas unidades administrativas;</w:t>
      </w:r>
    </w:p>
    <w:p w:rsidR="00000000" w:rsidDel="00000000" w:rsidP="00000000" w:rsidRDefault="00000000" w:rsidRPr="00000000" w14:paraId="0000011A">
      <w:pPr>
        <w:numPr>
          <w:ilvl w:val="0"/>
          <w:numId w:val="5"/>
        </w:numPr>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criterios de búsqueda utilizados, y</w:t>
      </w:r>
    </w:p>
    <w:p w:rsidR="00000000" w:rsidDel="00000000" w:rsidP="00000000" w:rsidRDefault="00000000" w:rsidRPr="00000000" w14:paraId="0000011B">
      <w:pPr>
        <w:numPr>
          <w:ilvl w:val="0"/>
          <w:numId w:val="5"/>
        </w:numPr>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circunstancias que fueron tomadas en cuenta.</w:t>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line="360" w:lineRule="auto"/>
        <w:rPr/>
      </w:pPr>
      <w:r w:rsidDel="00000000" w:rsidR="00000000" w:rsidRPr="00000000">
        <w:rPr>
          <w:rtl w:val="0"/>
        </w:rPr>
      </w:r>
    </w:p>
    <w:p w:rsidR="00000000" w:rsidDel="00000000" w:rsidP="00000000" w:rsidRDefault="00000000" w:rsidRPr="00000000" w14:paraId="0000011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tales circunstancias, se considera que para que los Sujetos Obligados justifiquen que realizaron una búsqueda exhaustiva y razonable, deben indicar de manera clara, lo siguiente:</w:t>
      </w:r>
    </w:p>
    <w:p w:rsidR="00000000" w:rsidDel="00000000" w:rsidP="00000000" w:rsidRDefault="00000000" w:rsidRPr="00000000" w14:paraId="0000011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1F">
      <w:pPr>
        <w:numPr>
          <w:ilvl w:val="0"/>
          <w:numId w:val="2"/>
        </w:numPr>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áreas donde se buscó la información;</w:t>
      </w:r>
    </w:p>
    <w:p w:rsidR="00000000" w:rsidDel="00000000" w:rsidP="00000000" w:rsidRDefault="00000000" w:rsidRPr="00000000" w14:paraId="00000120">
      <w:pPr>
        <w:numPr>
          <w:ilvl w:val="0"/>
          <w:numId w:val="2"/>
        </w:numPr>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Tipo de archivos buscados (físicos o electrónicos);</w:t>
      </w:r>
    </w:p>
    <w:p w:rsidR="00000000" w:rsidDel="00000000" w:rsidP="00000000" w:rsidRDefault="00000000" w:rsidRPr="00000000" w14:paraId="00000121">
      <w:pPr>
        <w:numPr>
          <w:ilvl w:val="0"/>
          <w:numId w:val="2"/>
        </w:numPr>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criterios de búsqueda utilizados, y </w:t>
      </w:r>
    </w:p>
    <w:p w:rsidR="00000000" w:rsidDel="00000000" w:rsidP="00000000" w:rsidRDefault="00000000" w:rsidRPr="00000000" w14:paraId="00000122">
      <w:pPr>
        <w:numPr>
          <w:ilvl w:val="0"/>
          <w:numId w:val="2"/>
        </w:numPr>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circunstancias que fueron tomadas en cuenta.</w:t>
      </w:r>
    </w:p>
    <w:p w:rsidR="00000000" w:rsidDel="00000000" w:rsidP="00000000" w:rsidRDefault="00000000" w:rsidRPr="00000000" w14:paraId="0000012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4">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Fecha de ingreso:</w:t>
      </w:r>
    </w:p>
    <w:p w:rsidR="00000000" w:rsidDel="00000000" w:rsidP="00000000" w:rsidRDefault="00000000" w:rsidRPr="00000000" w14:paraId="00000125">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2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términos de lo señalado por el artículo 5 de la Ley del Trabajo de los Servidores Públicos del Estado y Municipios</w:t>
      </w:r>
    </w:p>
    <w:p w:rsidR="00000000" w:rsidDel="00000000" w:rsidP="00000000" w:rsidRDefault="00000000" w:rsidRPr="00000000" w14:paraId="0000012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8">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5.- La relación de trabajo entre las instituciones públicas y sus servidores públicos se entiende establecida mediante nombramiento, formato único de movimiento de personal, contrato o por cualquier otro acto que tenga como consecuencia la prestación personal subordinada del servicio y la percepción de un sueldo. Para los efectos de esta ley, las instituciones públicas estarán representadas por sus titulares.” (Sic)</w:t>
      </w:r>
    </w:p>
    <w:p w:rsidR="00000000" w:rsidDel="00000000" w:rsidP="00000000" w:rsidRDefault="00000000" w:rsidRPr="00000000" w14:paraId="0000012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Que indica que las Instituciones Públicas entre ellas Secretaría Ejecutiva del Sistema Estatal Anticorrupción, que para acreditar su relación laborar con sus Servidores Públicos, se establecerá mediante nombramiento, formato único de movimiento de personal, contrato o por cualquier otro acto que tenga como consecuencia la prestación personal subordinada del servicio y la percepción de un sueldo, en donde pudiera constar de manera enunciativa mas no limitada la fecha de ingreso. </w:t>
      </w:r>
    </w:p>
    <w:p w:rsidR="00000000" w:rsidDel="00000000" w:rsidP="00000000" w:rsidRDefault="00000000" w:rsidRPr="00000000" w14:paraId="0000012B">
      <w:pPr>
        <w:spacing w:after="240" w:before="240" w:line="360"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De ahí que,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careció de los principios de congruencia y exhaustividad, como refuerzo de lo anterior, resulta crucial el Criterio 02/17, emitido por el Pleno del Instituto Nacional de Transparencia y Acceso a la Información y Protección de Datos Personales, ya referido.</w:t>
      </w:r>
      <w:r w:rsidDel="00000000" w:rsidR="00000000" w:rsidRPr="00000000">
        <w:rPr>
          <w:rtl w:val="0"/>
        </w:rPr>
      </w:r>
    </w:p>
    <w:p w:rsidR="00000000" w:rsidDel="00000000" w:rsidP="00000000" w:rsidRDefault="00000000" w:rsidRPr="00000000" w14:paraId="0000012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lo procedente es ordenar el documento que contenga la fecha de ingreso del Suplente en la Titularidad de la Unidad de Planeación y Transparencia, en funciones al veinticuatro del mayo del año dos mil veinticuatro, en versión pública conforme a lo señalado en el considerando quinto</w:t>
      </w:r>
    </w:p>
    <w:p w:rsidR="00000000" w:rsidDel="00000000" w:rsidP="00000000" w:rsidRDefault="00000000" w:rsidRPr="00000000" w14:paraId="0000012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2E">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Sueldo:</w:t>
      </w:r>
    </w:p>
    <w:p w:rsidR="00000000" w:rsidDel="00000000" w:rsidP="00000000" w:rsidRDefault="00000000" w:rsidRPr="00000000" w14:paraId="0000012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0">
      <w:pPr>
        <w:pBdr>
          <w:top w:space="0" w:sz="0" w:val="nil"/>
          <w:left w:space="0" w:sz="0" w:val="nil"/>
          <w:bottom w:space="0" w:sz="0" w:val="nil"/>
          <w:right w:space="0" w:sz="0" w:val="nil"/>
          <w:between w:space="0" w:sz="0" w:val="nil"/>
        </w:pBdr>
        <w:tabs>
          <w:tab w:val="left" w:leader="none" w:pos="426"/>
        </w:tabs>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Relativo al tema, debemos traer a colación que el artículo 147 de la Constitución Política del Estado Libre y Soberano de México, establece que los trabajadores al servicio del Estado, recibirán una remuneración adecuada e irrenunciable por el desempeño de su empleo, cargo o comisión, que será determinada en el presupuesto de egresos que corresponda.</w:t>
      </w:r>
    </w:p>
    <w:p w:rsidR="00000000" w:rsidDel="00000000" w:rsidP="00000000" w:rsidRDefault="00000000" w:rsidRPr="00000000" w14:paraId="00000131">
      <w:pPr>
        <w:pBdr>
          <w:top w:space="0" w:sz="0" w:val="nil"/>
          <w:left w:space="0" w:sz="0" w:val="nil"/>
          <w:bottom w:space="0" w:sz="0" w:val="nil"/>
          <w:right w:space="0" w:sz="0" w:val="nil"/>
          <w:between w:space="0" w:sz="0" w:val="nil"/>
        </w:pBdr>
        <w:tabs>
          <w:tab w:val="left" w:leader="none" w:pos="426"/>
        </w:tabs>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2">
      <w:pPr>
        <w:pBdr>
          <w:top w:space="0" w:sz="0" w:val="nil"/>
          <w:left w:space="0" w:sz="0" w:val="nil"/>
          <w:bottom w:space="0" w:sz="0" w:val="nil"/>
          <w:right w:space="0" w:sz="0" w:val="nil"/>
          <w:between w:space="0" w:sz="0" w:val="nil"/>
        </w:pBdr>
        <w:tabs>
          <w:tab w:val="left" w:leader="none" w:pos="426"/>
        </w:tabs>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sentido, el Código Financiero del Estado de México y Municipios, en su artículo 3° fracción XXXXII estipula lo siguiente:</w:t>
      </w:r>
    </w:p>
    <w:p w:rsidR="00000000" w:rsidDel="00000000" w:rsidP="00000000" w:rsidRDefault="00000000" w:rsidRPr="00000000" w14:paraId="00000133">
      <w:pPr>
        <w:pBdr>
          <w:top w:space="0" w:sz="0" w:val="nil"/>
          <w:left w:space="0" w:sz="0" w:val="nil"/>
          <w:bottom w:space="0" w:sz="0" w:val="nil"/>
          <w:right w:space="0" w:sz="0" w:val="nil"/>
          <w:between w:space="0" w:sz="0" w:val="nil"/>
        </w:pBdr>
        <w:tabs>
          <w:tab w:val="left" w:leader="none" w:pos="426"/>
        </w:tabs>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4">
      <w:pPr>
        <w:pBdr>
          <w:top w:space="0" w:sz="0" w:val="nil"/>
          <w:left w:space="0" w:sz="0" w:val="nil"/>
          <w:bottom w:space="0" w:sz="0" w:val="nil"/>
          <w:right w:space="0" w:sz="0" w:val="nil"/>
          <w:between w:space="0" w:sz="0" w:val="nil"/>
        </w:pBd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35">
      <w:pPr>
        <w:pBdr>
          <w:top w:space="0" w:sz="0" w:val="nil"/>
          <w:left w:space="0" w:sz="0" w:val="nil"/>
          <w:bottom w:space="0" w:sz="0" w:val="nil"/>
          <w:right w:space="0" w:sz="0" w:val="nil"/>
          <w:between w:space="0" w:sz="0" w:val="nil"/>
        </w:pBd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36">
      <w:pPr>
        <w:pBdr>
          <w:top w:space="0" w:sz="0" w:val="nil"/>
          <w:left w:space="0" w:sz="0" w:val="nil"/>
          <w:bottom w:space="0" w:sz="0" w:val="nil"/>
          <w:right w:space="0" w:sz="0" w:val="nil"/>
          <w:between w:space="0" w:sz="0" w:val="nil"/>
        </w:pBd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XXXII. Remuneración:</w:t>
      </w:r>
      <w:r w:rsidDel="00000000" w:rsidR="00000000" w:rsidRPr="00000000">
        <w:rPr>
          <w:rFonts w:ascii="Palatino Linotype" w:cs="Palatino Linotype" w:eastAsia="Palatino Linotype" w:hAnsi="Palatino Linotype"/>
          <w:i w:val="1"/>
          <w:sz w:val="22"/>
          <w:szCs w:val="22"/>
          <w:rtl w:val="0"/>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000000" w:rsidDel="00000000" w:rsidP="00000000" w:rsidRDefault="00000000" w:rsidRPr="00000000" w14:paraId="00000137">
      <w:pPr>
        <w:pBdr>
          <w:top w:space="0" w:sz="0" w:val="nil"/>
          <w:left w:space="0" w:sz="0" w:val="nil"/>
          <w:bottom w:space="0" w:sz="0" w:val="nil"/>
          <w:right w:space="0" w:sz="0" w:val="nil"/>
          <w:between w:space="0" w:sz="0" w:val="nil"/>
        </w:pBdr>
        <w:tabs>
          <w:tab w:val="left" w:leader="none" w:pos="426"/>
        </w:tabs>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tabs>
          <w:tab w:val="left" w:leader="none" w:pos="426"/>
        </w:tabs>
        <w:spacing w:after="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tratándose de servidores públicos al servicio del Estado, la Ley del Trabajo de los Servidores Públicos del Estado y Municipios, en sus artículos 71 y 220-K fracciones II y IV y su penúltimo párrafo establecen:</w:t>
      </w:r>
    </w:p>
    <w:p w:rsidR="00000000" w:rsidDel="00000000" w:rsidP="00000000" w:rsidRDefault="00000000" w:rsidRPr="00000000" w14:paraId="00000139">
      <w:pPr>
        <w:tabs>
          <w:tab w:val="left" w:leader="none" w:pos="4962"/>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71.</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El sueldo es la retribución que la institución pública debe pagar al servidor público por los servicios prestados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3A">
      <w:pPr>
        <w:tabs>
          <w:tab w:val="left" w:leader="none" w:pos="4962"/>
        </w:tabs>
        <w:ind w:left="567" w:right="567" w:firstLine="0"/>
        <w:jc w:val="both"/>
        <w:rPr>
          <w:rFonts w:ascii="Palatino Linotype" w:cs="Palatino Linotype" w:eastAsia="Palatino Linotype" w:hAnsi="Palatino Linotype"/>
          <w:i w:val="1"/>
          <w:sz w:val="8"/>
          <w:szCs w:val="8"/>
        </w:rPr>
      </w:pPr>
      <w:r w:rsidDel="00000000" w:rsidR="00000000" w:rsidRPr="00000000">
        <w:rPr>
          <w:rtl w:val="0"/>
        </w:rPr>
      </w:r>
    </w:p>
    <w:p w:rsidR="00000000" w:rsidDel="00000000" w:rsidP="00000000" w:rsidRDefault="00000000" w:rsidRPr="00000000" w14:paraId="0000013B">
      <w:pPr>
        <w:tabs>
          <w:tab w:val="left" w:leader="none" w:pos="4962"/>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220 K.-</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u w:val="single"/>
          <w:rtl w:val="0"/>
        </w:rPr>
        <w:t xml:space="preserve">La institución o dependencia pública tiene la obligación de conservar y exhibir</w:t>
      </w:r>
      <w:r w:rsidDel="00000000" w:rsidR="00000000" w:rsidRPr="00000000">
        <w:rPr>
          <w:rFonts w:ascii="Palatino Linotype" w:cs="Palatino Linotype" w:eastAsia="Palatino Linotype" w:hAnsi="Palatino Linotype"/>
          <w:i w:val="1"/>
          <w:sz w:val="22"/>
          <w:szCs w:val="22"/>
          <w:rtl w:val="0"/>
        </w:rPr>
        <w:t xml:space="preserve"> en el proceso los documentos que a continuación se precisan:</w:t>
      </w:r>
    </w:p>
    <w:p w:rsidR="00000000" w:rsidDel="00000000" w:rsidP="00000000" w:rsidRDefault="00000000" w:rsidRPr="00000000" w14:paraId="0000013C">
      <w:pPr>
        <w:tabs>
          <w:tab w:val="left" w:leader="none" w:pos="4962"/>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Contratos, Nombramientos o Formato Único de Movimientos de Personal, cuando no exista Convenio de condiciones generales de trabajo aplicable;</w:t>
      </w:r>
    </w:p>
    <w:p w:rsidR="00000000" w:rsidDel="00000000" w:rsidP="00000000" w:rsidRDefault="00000000" w:rsidRPr="00000000" w14:paraId="0000013D">
      <w:pPr>
        <w:tabs>
          <w:tab w:val="left" w:leader="none" w:pos="4962"/>
        </w:tabs>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Recibos de pagos de salarios o las constancias documentales del pago de salario cuando sea por depósito o mediante información electrónica;</w:t>
      </w:r>
    </w:p>
    <w:p w:rsidR="00000000" w:rsidDel="00000000" w:rsidP="00000000" w:rsidRDefault="00000000" w:rsidRPr="00000000" w14:paraId="0000013E">
      <w:pPr>
        <w:tabs>
          <w:tab w:val="left" w:leader="none" w:pos="4962"/>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Controles de asistencia o la información magnética o electrónica de asistencia de los servidores públicos;</w:t>
      </w:r>
    </w:p>
    <w:p w:rsidR="00000000" w:rsidDel="00000000" w:rsidP="00000000" w:rsidRDefault="00000000" w:rsidRPr="00000000" w14:paraId="0000013F">
      <w:pPr>
        <w:tabs>
          <w:tab w:val="left" w:leader="none" w:pos="4962"/>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 Recibos o las constancias de depósito o del medio de información magnética o electrónica que sean utilizadas para el pago de salarios, prima vacacional, aguinaldo y demás prestaciones establecidas en la presente ley;</w:t>
      </w:r>
      <w:r w:rsidDel="00000000" w:rsidR="00000000" w:rsidRPr="00000000">
        <w:rPr>
          <w:rFonts w:ascii="Palatino Linotype" w:cs="Palatino Linotype" w:eastAsia="Palatino Linotype" w:hAnsi="Palatino Linotype"/>
          <w:i w:val="1"/>
          <w:sz w:val="22"/>
          <w:szCs w:val="22"/>
          <w:rtl w:val="0"/>
        </w:rPr>
        <w:t xml:space="preserve"> y</w:t>
      </w:r>
    </w:p>
    <w:p w:rsidR="00000000" w:rsidDel="00000000" w:rsidP="00000000" w:rsidRDefault="00000000" w:rsidRPr="00000000" w14:paraId="00000140">
      <w:pPr>
        <w:tabs>
          <w:tab w:val="left" w:leader="none" w:pos="4962"/>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Los demás que señalen las leyes…”</w:t>
      </w:r>
    </w:p>
    <w:p w:rsidR="00000000" w:rsidDel="00000000" w:rsidP="00000000" w:rsidRDefault="00000000" w:rsidRPr="00000000" w14:paraId="00000141">
      <w:pPr>
        <w:pBdr>
          <w:top w:space="0" w:sz="0" w:val="nil"/>
          <w:left w:space="0" w:sz="0" w:val="nil"/>
          <w:bottom w:space="0" w:sz="0" w:val="nil"/>
          <w:right w:space="0" w:sz="0" w:val="nil"/>
          <w:between w:space="0" w:sz="0" w:val="nil"/>
        </w:pBdr>
        <w:tabs>
          <w:tab w:val="left" w:leader="none" w:pos="426"/>
        </w:tabs>
        <w:spacing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advierte que </w:t>
      </w:r>
      <w:r w:rsidDel="00000000" w:rsidR="00000000" w:rsidRPr="00000000">
        <w:rPr>
          <w:rFonts w:ascii="Palatino Linotype" w:cs="Palatino Linotype" w:eastAsia="Palatino Linotype" w:hAnsi="Palatino Linotype"/>
          <w:b w:val="1"/>
          <w:rtl w:val="0"/>
        </w:rPr>
        <w:t xml:space="preserve">toda institución pública o dependencia del Estado de México</w:t>
      </w:r>
      <w:r w:rsidDel="00000000" w:rsidR="00000000" w:rsidRPr="00000000">
        <w:rPr>
          <w:rFonts w:ascii="Palatino Linotype" w:cs="Palatino Linotype" w:eastAsia="Palatino Linotype" w:hAnsi="Palatino Linotype"/>
          <w:rtl w:val="0"/>
        </w:rPr>
        <w:t xml:space="preserve"> debe conservar las constancias documentales del </w:t>
      </w:r>
      <w:r w:rsidDel="00000000" w:rsidR="00000000" w:rsidRPr="00000000">
        <w:rPr>
          <w:rFonts w:ascii="Palatino Linotype" w:cs="Palatino Linotype" w:eastAsia="Palatino Linotype" w:hAnsi="Palatino Linotype"/>
          <w:b w:val="1"/>
          <w:rtl w:val="0"/>
        </w:rPr>
        <w:t xml:space="preserve">pago de salario</w:t>
      </w:r>
      <w:r w:rsidDel="00000000" w:rsidR="00000000" w:rsidRPr="00000000">
        <w:rPr>
          <w:rFonts w:ascii="Palatino Linotype" w:cs="Palatino Linotype" w:eastAsia="Palatino Linotype" w:hAnsi="Palatino Linotype"/>
          <w:rtl w:val="0"/>
        </w:rPr>
        <w:t xml:space="preserve">, prima vacacional, aguinaldo y demás prestaciones legales de acuerdo con la forma en que se haya realizado, es decir, en efectivo, cheque, depósito, transferencia u otra.</w:t>
      </w:r>
    </w:p>
    <w:p w:rsidR="00000000" w:rsidDel="00000000" w:rsidP="00000000" w:rsidRDefault="00000000" w:rsidRPr="00000000" w14:paraId="00000142">
      <w:pPr>
        <w:pBdr>
          <w:top w:space="0" w:sz="0" w:val="nil"/>
          <w:left w:space="0" w:sz="0" w:val="nil"/>
          <w:bottom w:space="0" w:sz="0" w:val="nil"/>
          <w:right w:space="0" w:sz="0" w:val="nil"/>
          <w:between w:space="0" w:sz="0" w:val="nil"/>
        </w:pBdr>
        <w:tabs>
          <w:tab w:val="left" w:leader="none" w:pos="426"/>
        </w:tabs>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tabs>
          <w:tab w:val="left" w:leader="none" w:pos="426"/>
        </w:tabs>
        <w:spacing w:after="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sentido, la Ley del Trabajo de los Servidores Públicos del Estado y Municipios, al referirse a los comprobantes que las instituciones públicas realizan para documentar el pago de salarios, la prima vacacional, el aguinaldo o las demás prestaciones, son denominados </w:t>
      </w:r>
      <w:r w:rsidDel="00000000" w:rsidR="00000000" w:rsidRPr="00000000">
        <w:rPr>
          <w:rFonts w:ascii="Palatino Linotype" w:cs="Palatino Linotype" w:eastAsia="Palatino Linotype" w:hAnsi="Palatino Linotype"/>
          <w:u w:val="single"/>
          <w:rtl w:val="0"/>
        </w:rPr>
        <w:t xml:space="preserve">“recibos o comprobantes de pago”,</w:t>
      </w:r>
      <w:r w:rsidDel="00000000" w:rsidR="00000000" w:rsidRPr="00000000">
        <w:rPr>
          <w:rFonts w:ascii="Palatino Linotype" w:cs="Palatino Linotype" w:eastAsia="Palatino Linotype" w:hAnsi="Palatino Linotype"/>
          <w:rtl w:val="0"/>
        </w:rPr>
        <w:t xml:space="preserve"> los cuales constituyen un instrumento mediante el cual el</w:t>
      </w:r>
      <w:r w:rsidDel="00000000" w:rsidR="00000000" w:rsidRPr="00000000">
        <w:rPr>
          <w:rFonts w:ascii="Palatino Linotype" w:cs="Palatino Linotype" w:eastAsia="Palatino Linotype" w:hAnsi="Palatino Linotype"/>
          <w:b w:val="1"/>
          <w:rtl w:val="0"/>
        </w:rPr>
        <w:t xml:space="preserve"> SUJETO OBLIGADO </w:t>
      </w:r>
      <w:r w:rsidDel="00000000" w:rsidR="00000000" w:rsidRPr="00000000">
        <w:rPr>
          <w:rFonts w:ascii="Palatino Linotype" w:cs="Palatino Linotype" w:eastAsia="Palatino Linotype" w:hAnsi="Palatino Linotype"/>
          <w:rtl w:val="0"/>
        </w:rPr>
        <w:t xml:space="preserve">acredita las remuneraciones al personal.</w:t>
      </w:r>
    </w:p>
    <w:p w:rsidR="00000000" w:rsidDel="00000000" w:rsidP="00000000" w:rsidRDefault="00000000" w:rsidRPr="00000000" w14:paraId="0000014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respecto a los datos que componen el Comprobante Fiscal Digital por Internet, en principio es de mencionar que este es una factura electrónica emitida a los trabajadores dentro de una relación laboral para hacer constar sus ingresos percibidos, así como las retenciones de impuestos u otros descuentos laborales aplicados. </w:t>
      </w:r>
    </w:p>
    <w:p w:rsidR="00000000" w:rsidDel="00000000" w:rsidP="00000000" w:rsidRDefault="00000000" w:rsidRPr="00000000" w14:paraId="0000014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de acuerdo con el Sistema de Administración Tributaria, los comprobantes fiscales digitales por internet deben emitirse por los actos o actividades que realicen, por los ingresos que perciban o por las retenciones de contribuciones que efectúen los contribuyentes ya sean personas físicas o personas morales. De tal forma que, expedir comprobantes fiscales digitales por internet (CFDI) por concepto de nómina es una </w:t>
      </w:r>
      <w:r w:rsidDel="00000000" w:rsidR="00000000" w:rsidRPr="00000000">
        <w:rPr>
          <w:rFonts w:ascii="Palatino Linotype" w:cs="Palatino Linotype" w:eastAsia="Palatino Linotype" w:hAnsi="Palatino Linotype"/>
          <w:b w:val="1"/>
          <w:rtl w:val="0"/>
        </w:rPr>
        <w:t xml:space="preserve">obligación de los contribuyentes personas físicas o morales que en la realización de una actividad económica efectúen pagos a sus trabajadores por concepto de salarios y en general por la prestación de un servicio personal subordinado o a contribuyentes asimilados a salarios</w:t>
      </w:r>
      <w:r w:rsidDel="00000000" w:rsidR="00000000" w:rsidRPr="00000000">
        <w:rPr>
          <w:rFonts w:ascii="Palatino Linotype" w:cs="Palatino Linotype" w:eastAsia="Palatino Linotype" w:hAnsi="Palatino Linotype"/>
          <w:rtl w:val="0"/>
        </w:rPr>
        <w:t xml:space="preserve">, conforme a lo establecido en los artículos 27, fracciones V, segundo párrafo y XVIII y 99, fracción III de la Ley del Impuesto sobre la Renta (LISR) y artículo 54 del Reglamento de dicha Ley, en relación con los artículos 29, segundo párrafo, fracción IV del CFF y 39 del Reglamento del CFF y las reglas 2.7.5.1., 2.7.5.2. y 2.7.5.3., de la Resolución Miscelánea Fiscal vigente.</w:t>
      </w:r>
    </w:p>
    <w:p w:rsidR="00000000" w:rsidDel="00000000" w:rsidP="00000000" w:rsidRDefault="00000000" w:rsidRPr="00000000" w14:paraId="0000014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este comprobante electrónico se utiliza como constancia o recibo de pago para efectos de la legislación laboral a que se refieren en los artículos 132 fracciones VII y VIII y 804, primer párrafo, fracciones II y IV de la Ley Federal de Trabajo, por lo que, en efecto deben contener datos como, </w:t>
      </w:r>
      <w:r w:rsidDel="00000000" w:rsidR="00000000" w:rsidRPr="00000000">
        <w:rPr>
          <w:rFonts w:ascii="Palatino Linotype" w:cs="Palatino Linotype" w:eastAsia="Palatino Linotype" w:hAnsi="Palatino Linotype"/>
          <w:b w:val="1"/>
          <w:rtl w:val="0"/>
        </w:rPr>
        <w:t xml:space="preserve">el nombre del servidor público, su cargo, monto de percepciones netas y brutas, por mencionar algunas.</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14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lo que hace a nuestra materia,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 tal como se aprecia a continuación: </w:t>
      </w:r>
    </w:p>
    <w:p w:rsidR="00000000" w:rsidDel="00000000" w:rsidP="00000000" w:rsidRDefault="00000000" w:rsidRPr="00000000" w14:paraId="0000014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C">
      <w:pPr>
        <w:ind w:left="567" w:right="845"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Ley General de Transparencia y Acceso a la Información Pública</w:t>
      </w:r>
    </w:p>
    <w:p w:rsidR="00000000" w:rsidDel="00000000" w:rsidP="00000000" w:rsidRDefault="00000000" w:rsidRPr="00000000" w14:paraId="0000014D">
      <w:pPr>
        <w:ind w:left="567" w:right="845"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4E">
      <w:pPr>
        <w:ind w:left="567" w:right="84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70.</w:t>
      </w:r>
      <w:r w:rsidDel="00000000" w:rsidR="00000000" w:rsidRPr="00000000">
        <w:rPr>
          <w:rFonts w:ascii="Palatino Linotype" w:cs="Palatino Linotype" w:eastAsia="Palatino Linotype" w:hAnsi="Palatino Linotype"/>
          <w:i w:val="1"/>
          <w:sz w:val="22"/>
          <w:szCs w:val="22"/>
          <w:rtl w:val="0"/>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14F">
      <w:pPr>
        <w:ind w:left="567" w:right="84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50">
      <w:pPr>
        <w:ind w:left="567" w:right="84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000000" w:rsidDel="00000000" w:rsidP="00000000" w:rsidRDefault="00000000" w:rsidRPr="00000000" w14:paraId="00000151">
      <w:pPr>
        <w:ind w:left="567" w:right="84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52">
      <w:pPr>
        <w:ind w:left="567" w:right="845"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Ley de Transparencia y Acceso a la Información Pública del Estado de México y Municipios</w:t>
      </w:r>
    </w:p>
    <w:p w:rsidR="00000000" w:rsidDel="00000000" w:rsidP="00000000" w:rsidRDefault="00000000" w:rsidRPr="00000000" w14:paraId="00000153">
      <w:pPr>
        <w:ind w:left="567" w:right="845"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54">
      <w:pPr>
        <w:ind w:left="567" w:right="84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92.</w:t>
      </w:r>
      <w:r w:rsidDel="00000000" w:rsidR="00000000" w:rsidRPr="00000000">
        <w:rPr>
          <w:rFonts w:ascii="Palatino Linotype" w:cs="Palatino Linotype" w:eastAsia="Palatino Linotype" w:hAnsi="Palatino Linotype"/>
          <w:i w:val="1"/>
          <w:sz w:val="22"/>
          <w:szCs w:val="22"/>
          <w:rtl w:val="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155">
      <w:pPr>
        <w:ind w:left="567" w:right="84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56">
      <w:pPr>
        <w:ind w:left="567" w:right="84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remuneración…(Sic)</w:t>
      </w:r>
    </w:p>
    <w:p w:rsidR="00000000" w:rsidDel="00000000" w:rsidP="00000000" w:rsidRDefault="00000000" w:rsidRPr="00000000" w14:paraId="00000157">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colige que la Ley de la materia reconoce a </w:t>
      </w:r>
      <w:r w:rsidDel="00000000" w:rsidR="00000000" w:rsidRPr="00000000">
        <w:rPr>
          <w:rFonts w:ascii="Palatino Linotype" w:cs="Palatino Linotype" w:eastAsia="Palatino Linotype" w:hAnsi="Palatino Linotype"/>
          <w:b w:val="1"/>
          <w:rtl w:val="0"/>
        </w:rPr>
        <w:t xml:space="preserve">las remuneraciones que reciben los servidores públicos por la prestación de sus servicios</w:t>
      </w:r>
      <w:r w:rsidDel="00000000" w:rsidR="00000000" w:rsidRPr="00000000">
        <w:rPr>
          <w:rFonts w:ascii="Palatino Linotype" w:cs="Palatino Linotype" w:eastAsia="Palatino Linotype" w:hAnsi="Palatino Linotype"/>
          <w:rtl w:val="0"/>
        </w:rPr>
        <w:t xml:space="preserve"> ante una Institución Pública </w:t>
      </w:r>
      <w:r w:rsidDel="00000000" w:rsidR="00000000" w:rsidRPr="00000000">
        <w:rPr>
          <w:rFonts w:ascii="Palatino Linotype" w:cs="Palatino Linotype" w:eastAsia="Palatino Linotype" w:hAnsi="Palatino Linotype"/>
          <w:b w:val="1"/>
          <w:rtl w:val="0"/>
        </w:rPr>
        <w:t xml:space="preserve">como información de carácter pública</w:t>
      </w:r>
      <w:r w:rsidDel="00000000" w:rsidR="00000000" w:rsidRPr="00000000">
        <w:rPr>
          <w:rFonts w:ascii="Palatino Linotype" w:cs="Palatino Linotype" w:eastAsia="Palatino Linotype" w:hAnsi="Palatino Linotype"/>
          <w:rtl w:val="0"/>
        </w:rPr>
        <w:t xml:space="preserve">, aún y cuando pudiera tratarse de datos personales. Si bien es cierto, las personas físicas tienen derecho a la protección de sus datos personales, también lo es que, los servidores públicos al establecer una relación laboral con un ente público sujeto a la transparencia y rendición de cuentas que su último fin es servir a la ciudadanía, implica que la esfera de protección a sus datos personales sea reducida, en comparación a una persona ajena al quehacer gubernamental, ya que es imperante la obligación de la transparencia y rendición de cuentas en el Estado Mexicano y las percepciones reflejan el ejercicio de los recursos del erario público.</w:t>
      </w:r>
    </w:p>
    <w:p w:rsidR="00000000" w:rsidDel="00000000" w:rsidP="00000000" w:rsidRDefault="00000000" w:rsidRPr="00000000" w14:paraId="00000159">
      <w:pPr>
        <w:tabs>
          <w:tab w:val="left" w:leader="none" w:pos="426"/>
        </w:tabs>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A">
      <w:pPr>
        <w:tabs>
          <w:tab w:val="left" w:leader="none" w:pos="426"/>
        </w:tabs>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Sirve de apoyo a lo anterior por analogía, los criterios 01/2003 y 02/2003 emitidos por el Comité de Acceso a la Información y Protección de Datos Personales de la Suprema Corte de Justicia de la Nación que a continuación se citan:</w:t>
      </w:r>
    </w:p>
    <w:p w:rsidR="00000000" w:rsidDel="00000000" w:rsidP="00000000" w:rsidRDefault="00000000" w:rsidRPr="00000000" w14:paraId="0000015B">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C">
      <w:pPr>
        <w:tabs>
          <w:tab w:val="left" w:leader="none" w:pos="851"/>
        </w:tabs>
        <w:ind w:left="567" w:right="567"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Criterio 01/2003.</w:t>
      </w:r>
    </w:p>
    <w:p w:rsidR="00000000" w:rsidDel="00000000" w:rsidP="00000000" w:rsidRDefault="00000000" w:rsidRPr="00000000" w14:paraId="0000015D">
      <w:pPr>
        <w:tabs>
          <w:tab w:val="left" w:leader="none" w:pos="851"/>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INGRESOS DE LOS SERVIDORES PÚBLICOS. CONSTITUYEN INFORMACIÓN PÚBLICA AÚN CUANDO SU DIFUSIÓN PUEDE AFECTAR LA VIDA O LA SEGURIDAD DE AQUELLOS</w:t>
      </w:r>
      <w:r w:rsidDel="00000000" w:rsidR="00000000" w:rsidRPr="00000000">
        <w:rPr>
          <w:rFonts w:ascii="Palatino Linotype" w:cs="Palatino Linotype" w:eastAsia="Palatino Linotype" w:hAnsi="Palatino Linotype"/>
          <w:i w:val="1"/>
          <w:sz w:val="22"/>
          <w:szCs w:val="22"/>
          <w:rtl w:val="0"/>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rsidR="00000000" w:rsidDel="00000000" w:rsidP="00000000" w:rsidRDefault="00000000" w:rsidRPr="00000000" w14:paraId="0000015E">
      <w:pPr>
        <w:tabs>
          <w:tab w:val="left" w:leader="none" w:pos="851"/>
        </w:tabs>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5F">
      <w:pPr>
        <w:tabs>
          <w:tab w:val="left" w:leader="none" w:pos="851"/>
        </w:tabs>
        <w:ind w:left="567" w:right="567"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Criterio 02/2003.</w:t>
      </w:r>
    </w:p>
    <w:p w:rsidR="00000000" w:rsidDel="00000000" w:rsidP="00000000" w:rsidRDefault="00000000" w:rsidRPr="00000000" w14:paraId="00000160">
      <w:pPr>
        <w:tabs>
          <w:tab w:val="left" w:leader="none" w:pos="851"/>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INGRESOS DE LOS SERVIDORES PÚBLICOS, SON INFORMACIÓN PÚBLICA AÚN CUANDO CONSTITUYEN DATOS PERSONALES QUE SE REFIEREN AL PATRIMONIO DE AQUÉLLOS.</w:t>
      </w:r>
      <w:r w:rsidDel="00000000" w:rsidR="00000000" w:rsidRPr="00000000">
        <w:rPr>
          <w:rFonts w:ascii="Palatino Linotype" w:cs="Palatino Linotype" w:eastAsia="Palatino Linotype" w:hAnsi="Palatino Linotype"/>
          <w:i w:val="1"/>
          <w:sz w:val="22"/>
          <w:szCs w:val="22"/>
          <w:rtl w:val="0"/>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rsidR="00000000" w:rsidDel="00000000" w:rsidP="00000000" w:rsidRDefault="00000000" w:rsidRPr="00000000" w14:paraId="00000161">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tabs>
          <w:tab w:val="left" w:leader="none" w:pos="426"/>
        </w:tabs>
        <w:spacing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al ser una erogación que realiza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y al ser a cargo de fondos públicos, las mismas son fiscalizadas por la Legislatura, a través del Órgano Superior de Fiscalización. Bajo dicha tesitura es que resulta que dicha información debe ser </w:t>
      </w:r>
      <w:r w:rsidDel="00000000" w:rsidR="00000000" w:rsidRPr="00000000">
        <w:rPr>
          <w:rFonts w:ascii="Palatino Linotype" w:cs="Palatino Linotype" w:eastAsia="Palatino Linotype" w:hAnsi="Palatino Linotype"/>
          <w:b w:val="1"/>
          <w:rtl w:val="0"/>
        </w:rPr>
        <w:t xml:space="preserve">pública</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63">
      <w:pPr>
        <w:pBdr>
          <w:top w:space="0" w:sz="0" w:val="nil"/>
          <w:left w:space="0" w:sz="0" w:val="nil"/>
          <w:bottom w:space="0" w:sz="0" w:val="nil"/>
          <w:right w:space="0" w:sz="0" w:val="nil"/>
          <w:between w:space="0" w:sz="0" w:val="nil"/>
        </w:pBdr>
        <w:tabs>
          <w:tab w:val="left" w:leader="none" w:pos="426"/>
        </w:tabs>
        <w:spacing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Precisado lo anterior, regresando con la respuesta se advierte que la Coordinación Administrativa y Finanzas informó en cuanto al sueldo neto, como ha sido referido, al encontrase vacante la plaza, no hay documento generado por esta unidad administrativa, en virtud de que no se ha realizado erogación por concepto de sueldo de titular de esa Unidad de Planeación y Transparencia, sin embargo, bajo el principio de máxima publicidad, conforme al tabular de sueldos vigentes, la remuneración neta mensual es de $29,814.50, lo que daría por colmando el requerimiento del particular; no obstante y en atención a las consideraciones precisadas en los párrafos anteriores, así como de la revisión a la solicitud se advierte que el particular requiere el documento procesado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donde conste el sueldo neto, no así el indicado en el tabulador de sueldos. </w:t>
      </w:r>
    </w:p>
    <w:p w:rsidR="00000000" w:rsidDel="00000000" w:rsidP="00000000" w:rsidRDefault="00000000" w:rsidRPr="00000000" w14:paraId="00000164">
      <w:pPr>
        <w:spacing w:after="240" w:before="240" w:line="360"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De ahí que,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careció de los principios de congruencia y exhaustividad, como refuerzo de lo anterior, resulta crucial el Criterio 02/17, emitido por el Pleno del Instituto Nacional de Transparencia y Acceso a la Información y Protección de Datos Personales, ya referido.</w:t>
      </w:r>
      <w:r w:rsidDel="00000000" w:rsidR="00000000" w:rsidRPr="00000000">
        <w:rPr>
          <w:rtl w:val="0"/>
        </w:rPr>
      </w:r>
    </w:p>
    <w:p w:rsidR="00000000" w:rsidDel="00000000" w:rsidP="00000000" w:rsidRDefault="00000000" w:rsidRPr="00000000" w14:paraId="0000016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lo procedente es ordenar el documento que contenga el sueldo neto del Suplente en la Titularidad de la Unidad de Planeación y Transparencia, en funciones al veinticuatro del mayo del año dos mil veinticuatro, en versión pública conforme a lo señalado en el considerando quinto</w:t>
      </w:r>
    </w:p>
    <w:p w:rsidR="00000000" w:rsidDel="00000000" w:rsidP="00000000" w:rsidRDefault="00000000" w:rsidRPr="00000000" w14:paraId="0000016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7">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Grado de estudios:</w:t>
      </w:r>
    </w:p>
    <w:p w:rsidR="00000000" w:rsidDel="00000000" w:rsidP="00000000" w:rsidRDefault="00000000" w:rsidRPr="00000000" w14:paraId="00000168">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6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documento que acreditaría dicha información de manera enunciativa más no limitada serían los certificados, diplomas, constancias, títulos o grados académicos que amparen estudios realizados; de acuerdo a lo establecido por el artículo 171 de la Ley de Educación del Estado de México, que señala:</w:t>
      </w:r>
    </w:p>
    <w:p w:rsidR="00000000" w:rsidDel="00000000" w:rsidP="00000000" w:rsidRDefault="00000000" w:rsidRPr="00000000" w14:paraId="0000016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B">
      <w:pPr>
        <w:ind w:left="567" w:right="61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171. Las instituciones del Sistema Educativo expedirán certificados y otorgarán constancias, diplomas, títulos o grados académicos a las personas que hayan concluido estudios, de conformidad con los requisitos establecidos en los planes y programas correspondientes. Dichos certificados, constancias, diplomas, títulos y grados deberán registrarse en el Sistema de Información y Gestión Educativa y tendrán validez en toda la República, en términos de lo dispuesto en la Ley General” (Sic)</w:t>
      </w:r>
    </w:p>
    <w:p w:rsidR="00000000" w:rsidDel="00000000" w:rsidP="00000000" w:rsidRDefault="00000000" w:rsidRPr="00000000" w14:paraId="0000016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convine citar los artículos 47, 98 fracción XVII de la Ley de Trabajo Ley del Trabajo de los Servidores Públicos del Estado y Municipios, que señala:</w:t>
      </w:r>
    </w:p>
    <w:p w:rsidR="00000000" w:rsidDel="00000000" w:rsidP="00000000" w:rsidRDefault="00000000" w:rsidRPr="00000000" w14:paraId="0000016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F">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47. Para ingresar al servicio público se requiere: </w:t>
      </w:r>
    </w:p>
    <w:p w:rsidR="00000000" w:rsidDel="00000000" w:rsidP="00000000" w:rsidRDefault="00000000" w:rsidRPr="00000000" w14:paraId="00000170">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71">
      <w:pPr>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Cumplir con los requisitos que se establezcan para los diferentes puestos; </w:t>
      </w:r>
    </w:p>
    <w:p w:rsidR="00000000" w:rsidDel="00000000" w:rsidP="00000000" w:rsidRDefault="00000000" w:rsidRPr="00000000" w14:paraId="00000172">
      <w:pPr>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Acreditar por medio de los exámenes correspondientes los conocimientos y aptitudes necesarios para el desempeño del puesto; </w:t>
      </w:r>
    </w:p>
    <w:p w:rsidR="00000000" w:rsidDel="00000000" w:rsidP="00000000" w:rsidRDefault="00000000" w:rsidRPr="00000000" w14:paraId="00000173">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74">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98. Son obligaciones de las instituciones públicas:</w:t>
      </w:r>
    </w:p>
    <w:p w:rsidR="00000000" w:rsidDel="00000000" w:rsidP="00000000" w:rsidRDefault="00000000" w:rsidRPr="00000000" w14:paraId="00000175">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76">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XVII. Integrar los expedientes de los servidores público</w:t>
      </w:r>
      <w:r w:rsidDel="00000000" w:rsidR="00000000" w:rsidRPr="00000000">
        <w:rPr>
          <w:rFonts w:ascii="Palatino Linotype" w:cs="Palatino Linotype" w:eastAsia="Palatino Linotype" w:hAnsi="Palatino Linotype"/>
          <w:i w:val="1"/>
          <w:sz w:val="22"/>
          <w:szCs w:val="22"/>
          <w:rtl w:val="0"/>
        </w:rPr>
        <w:t xml:space="preserve">s y proporcionar las constancias que éstos soliciten para el trámite de los asuntos de su interés en los términos que señalen los ordenamientos respectivos…” (Sic)</w:t>
      </w:r>
    </w:p>
    <w:p w:rsidR="00000000" w:rsidDel="00000000" w:rsidP="00000000" w:rsidRDefault="00000000" w:rsidRPr="00000000" w14:paraId="00000177">
      <w:pPr>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7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donde se advierte la atribución de la </w:t>
      </w:r>
      <w:r w:rsidDel="00000000" w:rsidR="00000000" w:rsidRPr="00000000">
        <w:rPr>
          <w:rFonts w:ascii="Palatino Linotype" w:cs="Palatino Linotype" w:eastAsia="Palatino Linotype" w:hAnsi="Palatino Linotype"/>
          <w:b w:val="1"/>
          <w:rtl w:val="0"/>
        </w:rPr>
        <w:t xml:space="preserve">Secretaría Ejecutiva del Sistema Estatal Anticorrupción</w:t>
      </w:r>
      <w:r w:rsidDel="00000000" w:rsidR="00000000" w:rsidRPr="00000000">
        <w:rPr>
          <w:rFonts w:ascii="Palatino Linotype" w:cs="Palatino Linotype" w:eastAsia="Palatino Linotype" w:hAnsi="Palatino Linotype"/>
          <w:rtl w:val="0"/>
        </w:rPr>
        <w:t xml:space="preserve"> de integrar los expedientes de todos los servidores públicos que laboran dentro de la Secretaría, en el que se deban incluir los documentos de su último grado de estudios.</w:t>
      </w:r>
    </w:p>
    <w:p w:rsidR="00000000" w:rsidDel="00000000" w:rsidP="00000000" w:rsidRDefault="00000000" w:rsidRPr="00000000" w14:paraId="0000017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que la publicidad de dichos documentos abona a la transparencia en razón de que 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puede identificar y conocer el nivel de conocimiento de los servidores públicos, como valorar las capacidades, conocimientos y experiencia de los mismos, en el ejercicio de sus funciones.</w:t>
      </w:r>
    </w:p>
    <w:p w:rsidR="00000000" w:rsidDel="00000000" w:rsidP="00000000" w:rsidRDefault="00000000" w:rsidRPr="00000000" w14:paraId="0000017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C">
      <w:pPr>
        <w:spacing w:after="240" w:line="360" w:lineRule="auto"/>
        <w:ind w:right="-2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También, que puede evaluar las aptitudes, capacidad, habilidades y pericia de los servidores públicos su para ocupar el puesto público, favoreciendo con ello, la rendición de cuentas, pues la publicidad de lo anterior tiene como fin verificar el correcto desempeño de los sujetos obligados.</w:t>
      </w:r>
    </w:p>
    <w:p w:rsidR="00000000" w:rsidDel="00000000" w:rsidP="00000000" w:rsidRDefault="00000000" w:rsidRPr="00000000" w14:paraId="0000017D">
      <w:pPr>
        <w:spacing w:after="240" w:before="240" w:line="360"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En consecuencia,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careció de los principios de congruencia y exhaustividad, como refuerzo de lo anterior, resulta crucial el Criterio 02/17, emitido por el Pleno del Instituto Nacional de Transparencia y Acceso a la Información y Protección de Datos Personales, alusivo.</w:t>
      </w:r>
      <w:r w:rsidDel="00000000" w:rsidR="00000000" w:rsidRPr="00000000">
        <w:rPr>
          <w:rtl w:val="0"/>
        </w:rPr>
      </w:r>
    </w:p>
    <w:p w:rsidR="00000000" w:rsidDel="00000000" w:rsidP="00000000" w:rsidRDefault="00000000" w:rsidRPr="00000000" w14:paraId="0000017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lo procedente es ordenar el documento que contenga el grado de estudios del Suplente en la Titularidad de la Unidad de Planeación y Transparencia, en funciones al veinticuatro de mayo del año dos mil veinticuatro, en versión pública conforme a lo señalado en el considerando quinto.</w:t>
      </w:r>
    </w:p>
    <w:p w:rsidR="00000000" w:rsidDel="00000000" w:rsidP="00000000" w:rsidRDefault="00000000" w:rsidRPr="00000000" w14:paraId="0000017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0">
      <w:pPr>
        <w:spacing w:after="240" w:line="360" w:lineRule="auto"/>
        <w:ind w:right="-234"/>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Sin embargo y en atención al artículo 57 de la Ley de la Materia, no establece como requisito contar con un grado de estudios para ser responsable de la Unidad de Transparencia, de ahí que, para el caso que, posterior a la búsqueda exhaustiva y razonable de la información que se ordena no obre en los archivos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por no haberse generado, poseído y/o administrado, bastará con que así lo haga del conocimiento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de manera fundada y motivada en términos de lo señalado por el segundo párrafo del artículo 19 de la Ley de Transparencia y Acceso a la Información Pública del Estado de México y Municipios, para tener por colmado su derecho de acceso a la información, que dispone lo siguiente:</w:t>
      </w:r>
    </w:p>
    <w:p w:rsidR="00000000" w:rsidDel="00000000" w:rsidP="00000000" w:rsidRDefault="00000000" w:rsidRPr="00000000" w14:paraId="00000181">
      <w:pPr>
        <w:spacing w:line="276"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19…</w:t>
      </w:r>
    </w:p>
    <w:p w:rsidR="00000000" w:rsidDel="00000000" w:rsidP="00000000" w:rsidRDefault="00000000" w:rsidRPr="00000000" w14:paraId="00000182">
      <w:pPr>
        <w:spacing w:line="276" w:lineRule="auto"/>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En los casos en que ciertas facultades, competencias o funciones no se hayan ejercido, se debe motivar la respuesta en función de las causas que motiven tal circunstancia.”</w:t>
      </w:r>
    </w:p>
    <w:p w:rsidR="00000000" w:rsidDel="00000000" w:rsidP="00000000" w:rsidRDefault="00000000" w:rsidRPr="00000000" w14:paraId="00000183">
      <w:pPr>
        <w:spacing w:line="360" w:lineRule="auto"/>
        <w:ind w:right="-23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4">
      <w:pPr>
        <w:spacing w:line="360" w:lineRule="auto"/>
        <w:ind w:right="-232"/>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improcedente, en tal supuesto, la entrega de documento alguno, o en su caso, el Acuerdo de Inexistencia, toda vez que el pronunciamiento del Sujeto Obligado 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p>
    <w:p w:rsidR="00000000" w:rsidDel="00000000" w:rsidP="00000000" w:rsidRDefault="00000000" w:rsidRPr="00000000" w14:paraId="0000018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6">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Curriculum vitae:</w:t>
      </w:r>
    </w:p>
    <w:p w:rsidR="00000000" w:rsidDel="00000000" w:rsidP="00000000" w:rsidRDefault="00000000" w:rsidRPr="00000000" w14:paraId="00000187">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88">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Debe precisarse en primer lugar, que el concepto “curriculum” corresponde a una locución latina cuyo significado es “carrera de vida”, por su lado, la Real Academia Española, lo define como a continuación se cita: </w:t>
      </w:r>
    </w:p>
    <w:p w:rsidR="00000000" w:rsidDel="00000000" w:rsidP="00000000" w:rsidRDefault="00000000" w:rsidRPr="00000000" w14:paraId="00000189">
      <w:pPr>
        <w:spacing w:after="240" w:before="240" w:line="276" w:lineRule="auto"/>
        <w:ind w:left="567" w:right="758"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Relación de los títulos, honores, cargos, trabajos realizados, datos biográficos, etc, que califican a una persona</w:t>
      </w:r>
      <w:r w:rsidDel="00000000" w:rsidR="00000000" w:rsidRPr="00000000">
        <w:rPr>
          <w:rFonts w:ascii="Palatino Linotype" w:cs="Palatino Linotype" w:eastAsia="Palatino Linotype" w:hAnsi="Palatino Linotype"/>
          <w:sz w:val="22"/>
          <w:szCs w:val="22"/>
          <w:rtl w:val="0"/>
        </w:rPr>
        <w:t xml:space="preserve">” (Sic)</w:t>
      </w:r>
    </w:p>
    <w:p w:rsidR="00000000" w:rsidDel="00000000" w:rsidP="00000000" w:rsidRDefault="00000000" w:rsidRPr="00000000" w14:paraId="0000018A">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es posible determinar que, el currículum vítae contienen información relacionada con la trayectoria académica, profesional y laboral,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w:t>
      </w:r>
    </w:p>
    <w:p w:rsidR="00000000" w:rsidDel="00000000" w:rsidP="00000000" w:rsidRDefault="00000000" w:rsidRPr="00000000" w14:paraId="0000018B">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Desde esta perspectiva, a través del currículum vite la particular puede advertir los estudios realizados o bien el nivel académico, así como la experiencia laboral de los servidores públicos que se encuentran adscritos al sujeto obligado, información que es de carácter público de conformidad con el criterio 03/2009, emitido por el entonces Instituto Federal de Acceso a la Información y Protección de Datos (IFAI), ahora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es mediante la publicidad de ciertos datos contenidos en los currículos, o bien en las solicitudes de empleo, el cual, para mayor ilustración se transcribe a continuación:</w:t>
      </w:r>
    </w:p>
    <w:p w:rsidR="00000000" w:rsidDel="00000000" w:rsidP="00000000" w:rsidRDefault="00000000" w:rsidRPr="00000000" w14:paraId="0000018C">
      <w:pPr>
        <w:spacing w:after="240" w:before="240" w:line="276" w:lineRule="auto"/>
        <w:ind w:left="567" w:right="900"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Curriculum Vitae de servidores públicos. Es obligación de los sujetos obligados otorgar acceso a versiones públicas de los mismos ante una solicitud de acceso</w:t>
      </w:r>
      <w:r w:rsidDel="00000000" w:rsidR="00000000" w:rsidRPr="00000000">
        <w:rPr>
          <w:rFonts w:ascii="Palatino Linotype" w:cs="Palatino Linotype" w:eastAsia="Palatino Linotype" w:hAnsi="Palatino Linotype"/>
          <w:i w:val="1"/>
          <w:sz w:val="22"/>
          <w:szCs w:val="22"/>
          <w:rtl w:val="0"/>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18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de acuerdo a su nivel profesional y laboral, para el desempeño de sus funciones en el cargo que ostenten, razón que resulta suficiente para que sean de conocimiento público. Y, si bien es cierto que no existe disposición legal que ordene de manera expresa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deba contar en sus archivos con un documento denominado “currículum vitae” de sus servidores públicos, también lo es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rsidR="00000000" w:rsidDel="00000000" w:rsidP="00000000" w:rsidRDefault="00000000" w:rsidRPr="00000000" w14:paraId="0000018E">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000000" w:rsidDel="00000000" w:rsidP="00000000" w:rsidRDefault="00000000" w:rsidRPr="00000000" w14:paraId="0000018F">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90">
      <w:pPr>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La información curricular, desde el nivel de jefe de departamento o equivalente, hasta el titular del sujeto obligado</w:t>
      </w:r>
      <w:r w:rsidDel="00000000" w:rsidR="00000000" w:rsidRPr="00000000">
        <w:rPr>
          <w:rFonts w:ascii="Palatino Linotype" w:cs="Palatino Linotype" w:eastAsia="Palatino Linotype" w:hAnsi="Palatino Linotype"/>
          <w:i w:val="1"/>
          <w:sz w:val="22"/>
          <w:szCs w:val="22"/>
          <w:rtl w:val="0"/>
        </w:rPr>
        <w:t xml:space="preserve">, así como, en su caso, las sanciones administrativas de que haya sido objeto;”(Sic)</w:t>
      </w:r>
    </w:p>
    <w:p w:rsidR="00000000" w:rsidDel="00000000" w:rsidP="00000000" w:rsidRDefault="00000000" w:rsidRPr="00000000" w14:paraId="00000191">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92">
      <w:pPr>
        <w:spacing w:after="240" w:before="240" w:line="360" w:lineRule="auto"/>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rtl w:val="0"/>
        </w:rPr>
        <w:t xml:space="preserve">En consecuencia, la respuesta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careció de los principios de congruencia y exhaustividad, como refuerzo de lo anterior, resulta crucial el Criterio 02/17, emitido por el Pleno del Instituto Nacional de Transparencia y Acceso a la Información y Protección de Datos Personales, alusivo.</w:t>
      </w:r>
      <w:r w:rsidDel="00000000" w:rsidR="00000000" w:rsidRPr="00000000">
        <w:rPr>
          <w:rtl w:val="0"/>
        </w:rPr>
      </w:r>
    </w:p>
    <w:p w:rsidR="00000000" w:rsidDel="00000000" w:rsidP="00000000" w:rsidRDefault="00000000" w:rsidRPr="00000000" w14:paraId="0000019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lo procedente es ordenar el documento que contenga la información curricular del Suplente en la Titularidad de la Unidad de Planeación y Transparencia, en funciones al veinticuatro del mayo del año dos mil veinticuatro, en versión pública conforme a lo señalado en el considerando quinto</w:t>
      </w:r>
    </w:p>
    <w:p w:rsidR="00000000" w:rsidDel="00000000" w:rsidP="00000000" w:rsidRDefault="00000000" w:rsidRPr="00000000" w14:paraId="0000019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5">
      <w:pPr>
        <w:tabs>
          <w:tab w:val="left" w:leader="none" w:pos="709"/>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 </w:t>
      </w:r>
      <w:r w:rsidDel="00000000" w:rsidR="00000000" w:rsidRPr="00000000">
        <w:rPr>
          <w:rFonts w:ascii="Palatino Linotype" w:cs="Palatino Linotype" w:eastAsia="Palatino Linotype" w:hAnsi="Palatino Linotype"/>
          <w:rtl w:val="0"/>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rsidR="00000000" w:rsidDel="00000000" w:rsidP="00000000" w:rsidRDefault="00000000" w:rsidRPr="00000000" w14:paraId="00000196">
      <w:pPr>
        <w:tabs>
          <w:tab w:val="left" w:leader="none" w:pos="709"/>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7">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198">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w:t>
      </w:r>
      <w:r w:rsidDel="00000000" w:rsidR="00000000" w:rsidRPr="00000000">
        <w:rPr>
          <w:rFonts w:ascii="Palatino Linotype" w:cs="Palatino Linotype" w:eastAsia="Palatino Linotype" w:hAnsi="Palatino Linotype"/>
          <w:i w:val="1"/>
          <w:sz w:val="22"/>
          <w:szCs w:val="22"/>
          <w:rtl w:val="0"/>
        </w:rPr>
        <w:t xml:space="preserve"> Información clasificada: Aquella considerada por la presente Ley como reservada o confidencial; </w:t>
      </w:r>
    </w:p>
    <w:p w:rsidR="00000000" w:rsidDel="00000000" w:rsidP="00000000" w:rsidRDefault="00000000" w:rsidRPr="00000000" w14:paraId="00000199">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w:t>
      </w:r>
      <w:r w:rsidDel="00000000" w:rsidR="00000000" w:rsidRPr="00000000">
        <w:rPr>
          <w:rFonts w:ascii="Palatino Linotype" w:cs="Palatino Linotype" w:eastAsia="Palatino Linotype" w:hAnsi="Palatino Linotype"/>
          <w:i w:val="1"/>
          <w:sz w:val="22"/>
          <w:szCs w:val="22"/>
          <w:rtl w:val="0"/>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19A">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9B">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XXXIV</w:t>
      </w:r>
      <w:r w:rsidDel="00000000" w:rsidR="00000000" w:rsidRPr="00000000">
        <w:rPr>
          <w:rFonts w:ascii="Palatino Linotype" w:cs="Palatino Linotype" w:eastAsia="Palatino Linotype" w:hAnsi="Palatino Linotype"/>
          <w:i w:val="1"/>
          <w:sz w:val="22"/>
          <w:szCs w:val="22"/>
          <w:rtl w:val="0"/>
        </w:rPr>
        <w:t xml:space="preserve">.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rsidR="00000000" w:rsidDel="00000000" w:rsidP="00000000" w:rsidRDefault="00000000" w:rsidRPr="00000000" w14:paraId="0000019C">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9D">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w:t>
      </w:r>
      <w:r w:rsidDel="00000000" w:rsidR="00000000" w:rsidRPr="00000000">
        <w:rPr>
          <w:rFonts w:ascii="Palatino Linotype" w:cs="Palatino Linotype" w:eastAsia="Palatino Linotype" w:hAnsi="Palatino Linotype"/>
          <w:i w:val="1"/>
          <w:sz w:val="22"/>
          <w:szCs w:val="22"/>
          <w:rtl w:val="0"/>
        </w:rPr>
        <w:t xml:space="preserve"> Versión pública: Documento en el que se elimine, suprime o borra la información clasificada como reservada o confidencial para permitir su acceso</w:t>
      </w:r>
    </w:p>
    <w:p w:rsidR="00000000" w:rsidDel="00000000" w:rsidP="00000000" w:rsidRDefault="00000000" w:rsidRPr="00000000" w14:paraId="0000019E">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19F">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122.</w:t>
      </w:r>
      <w:r w:rsidDel="00000000" w:rsidR="00000000" w:rsidRPr="00000000">
        <w:rPr>
          <w:rFonts w:ascii="Palatino Linotype" w:cs="Palatino Linotype" w:eastAsia="Palatino Linotype" w:hAnsi="Palatino Linotype"/>
          <w:i w:val="1"/>
          <w:sz w:val="22"/>
          <w:szCs w:val="22"/>
          <w:rtl w:val="0"/>
        </w:rPr>
        <w:t xml:space="preserve"> La clasificación es el proceso mediante el cual el sujeto obligado determina que la información en su poder actualiza alguno de los supuestos de reserva o confidencialidad, de conformidad con lo dispuesto en el presente título.</w:t>
      </w:r>
    </w:p>
    <w:p w:rsidR="00000000" w:rsidDel="00000000" w:rsidP="00000000" w:rsidRDefault="00000000" w:rsidRPr="00000000" w14:paraId="000001A0">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supuestos de reserva o confidencialidad previstos en las leyes deberán ser acordes con las bases, principios y disposiciones establecidos en la Ley General y, en ningún caso, podrán contravenirla.</w:t>
      </w:r>
    </w:p>
    <w:p w:rsidR="00000000" w:rsidDel="00000000" w:rsidP="00000000" w:rsidRDefault="00000000" w:rsidRPr="00000000" w14:paraId="000001A1">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titulares de las áreas de los sujetos obligados serán los responsables de clasificar la información, de conformidad con lo dispuesto en la presente Ley y demás disposiciones jurídicas aplicables</w:t>
      </w:r>
    </w:p>
    <w:p w:rsidR="00000000" w:rsidDel="00000000" w:rsidP="00000000" w:rsidRDefault="00000000" w:rsidRPr="00000000" w14:paraId="000001A2">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135.</w:t>
      </w:r>
      <w:r w:rsidDel="00000000" w:rsidR="00000000" w:rsidRPr="00000000">
        <w:rPr>
          <w:rFonts w:ascii="Palatino Linotype" w:cs="Palatino Linotype" w:eastAsia="Palatino Linotype" w:hAnsi="Palatino Linotype"/>
          <w:i w:val="1"/>
          <w:sz w:val="22"/>
          <w:szCs w:val="22"/>
          <w:rtl w:val="0"/>
        </w:rPr>
        <w:t xml:space="preserve"> Los lineamientos generales que se emitan al respecto en materia de clasificación de la información reservada y confidencial y, para la elaboración de versiones públicas, serán de observancia obligatoria para los sujetos obligados.</w:t>
      </w:r>
    </w:p>
    <w:p w:rsidR="00000000" w:rsidDel="00000000" w:rsidP="00000000" w:rsidRDefault="00000000" w:rsidRPr="00000000" w14:paraId="000001A3">
      <w:pPr>
        <w:tabs>
          <w:tab w:val="left" w:leader="none" w:pos="709"/>
        </w:tabs>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000000" w:rsidDel="00000000" w:rsidP="00000000" w:rsidRDefault="00000000" w:rsidRPr="00000000" w14:paraId="000001A4">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1A5">
      <w:pPr>
        <w:tabs>
          <w:tab w:val="left" w:leader="none" w:pos="709"/>
        </w:tabs>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Se refiera a la información privada y los datos personales concernientes a una persona física o jurídica colectiva identificada o identificable; </w:t>
      </w:r>
    </w:p>
    <w:p w:rsidR="00000000" w:rsidDel="00000000" w:rsidP="00000000" w:rsidRDefault="00000000" w:rsidRPr="00000000" w14:paraId="000001A6">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secretos bancario, fiduciario, industrial, comercial, fiscal, bursátil y postal, cuya titularidad corresponda a particulares, sujetos de derecho internacional o a sujetos obligados cuando no involucren el ejercicio de recursos públicos; y </w:t>
      </w:r>
    </w:p>
    <w:p w:rsidR="00000000" w:rsidDel="00000000" w:rsidP="00000000" w:rsidRDefault="00000000" w:rsidRPr="00000000" w14:paraId="000001A7">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1A8">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1A9">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1AA">
      <w:pPr>
        <w:tabs>
          <w:tab w:val="left" w:leader="none" w:pos="709"/>
        </w:tabs>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147. Para que los sujetos obligados puedan permitir el acceso a información confidencial requieren obtener el consentimiento de los particulares titulares de la información.</w:t>
      </w:r>
    </w:p>
    <w:p w:rsidR="00000000" w:rsidDel="00000000" w:rsidP="00000000" w:rsidRDefault="00000000" w:rsidRPr="00000000" w14:paraId="000001AB">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148.</w:t>
      </w:r>
      <w:r w:rsidDel="00000000" w:rsidR="00000000" w:rsidRPr="00000000">
        <w:rPr>
          <w:rFonts w:ascii="Palatino Linotype" w:cs="Palatino Linotype" w:eastAsia="Palatino Linotype" w:hAnsi="Palatino Linotype"/>
          <w:i w:val="1"/>
          <w:sz w:val="22"/>
          <w:szCs w:val="22"/>
          <w:rtl w:val="0"/>
        </w:rPr>
        <w:t xml:space="preserve"> No se requerirá el consentimiento del titular de la información confidencial cuando:</w:t>
      </w:r>
    </w:p>
    <w:p w:rsidR="00000000" w:rsidDel="00000000" w:rsidP="00000000" w:rsidRDefault="00000000" w:rsidRPr="00000000" w14:paraId="000001AC">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información se encuentre en registros públicos o fuentes de acceso público;</w:t>
      </w:r>
    </w:p>
    <w:p w:rsidR="00000000" w:rsidDel="00000000" w:rsidP="00000000" w:rsidRDefault="00000000" w:rsidRPr="00000000" w14:paraId="000001AD">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Por Ley tenga el carácter de pública;</w:t>
      </w:r>
    </w:p>
    <w:p w:rsidR="00000000" w:rsidDel="00000000" w:rsidP="00000000" w:rsidRDefault="00000000" w:rsidRPr="00000000" w14:paraId="000001AE">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Exista una orden judicial;</w:t>
      </w:r>
    </w:p>
    <w:p w:rsidR="00000000" w:rsidDel="00000000" w:rsidP="00000000" w:rsidRDefault="00000000" w:rsidRPr="00000000" w14:paraId="000001AF">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Por razones de seguridad pública, o para proteger los derechos de terceros, se requiera su publicación; o</w:t>
      </w:r>
    </w:p>
    <w:p w:rsidR="00000000" w:rsidDel="00000000" w:rsidP="00000000" w:rsidRDefault="00000000" w:rsidRPr="00000000" w14:paraId="000001B0">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rsidR="00000000" w:rsidDel="00000000" w:rsidP="00000000" w:rsidRDefault="00000000" w:rsidRPr="00000000" w14:paraId="000001B1">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rsidR="00000000" w:rsidDel="00000000" w:rsidP="00000000" w:rsidRDefault="00000000" w:rsidRPr="00000000" w14:paraId="000001B2">
      <w:pPr>
        <w:tabs>
          <w:tab w:val="left" w:leader="none" w:pos="709"/>
        </w:tabs>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149.</w:t>
      </w:r>
      <w:r w:rsidDel="00000000" w:rsidR="00000000" w:rsidRPr="00000000">
        <w:rPr>
          <w:rFonts w:ascii="Palatino Linotype" w:cs="Palatino Linotype" w:eastAsia="Palatino Linotype" w:hAnsi="Palatino Linotype"/>
          <w:i w:val="1"/>
          <w:sz w:val="22"/>
          <w:szCs w:val="22"/>
          <w:rtl w:val="0"/>
        </w:rPr>
        <w:t xml:space="preserve"> El acuerdo que clasifique la información como confidencial deberá contener un razonamiento lógico en el que demuestre que la información se encuentra en alguna o algunas de las hipótesis previstas en la presente Ley.” (Sic)</w:t>
      </w:r>
    </w:p>
    <w:p w:rsidR="00000000" w:rsidDel="00000000" w:rsidP="00000000" w:rsidRDefault="00000000" w:rsidRPr="00000000" w14:paraId="000001B3">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artículos transcritos anteriormente, se observan las excepciones que tiene el derecho de acceso a la información pública, respecto a algunos tipos de información, lo cual restringe su acceso, precisando de manera clara las hipótesis que dan lugar a clasificar la información, la cual puede ser de dos maneras: Reservada o Confidencial.</w:t>
      </w:r>
    </w:p>
    <w:p w:rsidR="00000000" w:rsidDel="00000000" w:rsidP="00000000" w:rsidRDefault="00000000" w:rsidRPr="00000000" w14:paraId="000001B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rsidR="00000000" w:rsidDel="00000000" w:rsidP="00000000" w:rsidRDefault="00000000" w:rsidRPr="00000000" w14:paraId="000001B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rsidR="00000000" w:rsidDel="00000000" w:rsidP="00000000" w:rsidRDefault="00000000" w:rsidRPr="00000000" w14:paraId="000001B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A">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168</w:t>
      </w:r>
      <w:r w:rsidDel="00000000" w:rsidR="00000000" w:rsidRPr="00000000">
        <w:rPr>
          <w:rFonts w:ascii="Palatino Linotype" w:cs="Palatino Linotype" w:eastAsia="Palatino Linotype" w:hAnsi="Palatino Linotype"/>
          <w:i w:val="1"/>
          <w:sz w:val="22"/>
          <w:szCs w:val="22"/>
          <w:rtl w:val="0"/>
        </w:rPr>
        <w:t xml:space="preserve">. En caso de que los sujetos obligados consideren que los documentos o la información deban ser clasificados, se sujetará a lo siguiente:</w:t>
      </w:r>
    </w:p>
    <w:p w:rsidR="00000000" w:rsidDel="00000000" w:rsidP="00000000" w:rsidRDefault="00000000" w:rsidRPr="00000000" w14:paraId="000001BB">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El Área deberá remitir la solicitud, así como un escrito en el que </w:t>
      </w:r>
      <w:r w:rsidDel="00000000" w:rsidR="00000000" w:rsidRPr="00000000">
        <w:rPr>
          <w:rFonts w:ascii="Palatino Linotype" w:cs="Palatino Linotype" w:eastAsia="Palatino Linotype" w:hAnsi="Palatino Linotype"/>
          <w:b w:val="1"/>
          <w:i w:val="1"/>
          <w:sz w:val="22"/>
          <w:szCs w:val="22"/>
          <w:rtl w:val="0"/>
        </w:rPr>
        <w:t xml:space="preserve">funde y motive la clasificación al Comité de Transparencia</w:t>
      </w:r>
      <w:r w:rsidDel="00000000" w:rsidR="00000000" w:rsidRPr="00000000">
        <w:rPr>
          <w:rFonts w:ascii="Palatino Linotype" w:cs="Palatino Linotype" w:eastAsia="Palatino Linotype" w:hAnsi="Palatino Linotype"/>
          <w:i w:val="1"/>
          <w:sz w:val="22"/>
          <w:szCs w:val="22"/>
          <w:rtl w:val="0"/>
        </w:rPr>
        <w:t xml:space="preserve">, mismo que deberá resolver para:</w:t>
      </w:r>
    </w:p>
    <w:p w:rsidR="00000000" w:rsidDel="00000000" w:rsidP="00000000" w:rsidRDefault="00000000" w:rsidRPr="00000000" w14:paraId="000001BC">
      <w:pPr>
        <w:ind w:left="567"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a</w:t>
      </w:r>
      <w:r w:rsidDel="00000000" w:rsidR="00000000" w:rsidRPr="00000000">
        <w:rPr>
          <w:rFonts w:ascii="Palatino Linotype" w:cs="Palatino Linotype" w:eastAsia="Palatino Linotype" w:hAnsi="Palatino Linotype"/>
          <w:b w:val="1"/>
          <w:i w:val="1"/>
          <w:sz w:val="22"/>
          <w:szCs w:val="22"/>
          <w:rtl w:val="0"/>
        </w:rPr>
        <w:t xml:space="preserve">) Confirmar la clasificación;</w:t>
      </w:r>
    </w:p>
    <w:p w:rsidR="00000000" w:rsidDel="00000000" w:rsidP="00000000" w:rsidRDefault="00000000" w:rsidRPr="00000000" w14:paraId="000001BD">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b) Modificar la clasificación y otorgar total o parcialmente el acceso a la información; y c) Revocar la clasificación y conceder el acceso a la información.</w:t>
      </w:r>
    </w:p>
    <w:p w:rsidR="00000000" w:rsidDel="00000000" w:rsidP="00000000" w:rsidRDefault="00000000" w:rsidRPr="00000000" w14:paraId="000001BE">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Comité de Transparencia podrá tener acceso a la información que esté en poder del Área correspondiente, de la cual se haya solicitado su clasificación; y</w:t>
      </w:r>
    </w:p>
    <w:p w:rsidR="00000000" w:rsidDel="00000000" w:rsidP="00000000" w:rsidRDefault="00000000" w:rsidRPr="00000000" w14:paraId="000001BF">
      <w:pP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resolución del Comité de Transparencia será notificada al interesado en el plazo de respuesta a la solicitud que establece esta Ley.</w:t>
      </w:r>
    </w:p>
    <w:p w:rsidR="00000000" w:rsidDel="00000000" w:rsidP="00000000" w:rsidRDefault="00000000" w:rsidRPr="00000000" w14:paraId="000001C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C1">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proceder a testar los datos personales que se encuentren contenidos en los documentos a entregar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rsidR="00000000" w:rsidDel="00000000" w:rsidP="00000000" w:rsidRDefault="00000000" w:rsidRPr="00000000" w14:paraId="000001C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Del="00000000" w:rsidR="00000000" w:rsidRPr="00000000">
        <w:rPr>
          <w:rFonts w:ascii="Palatino Linotype" w:cs="Palatino Linotype" w:eastAsia="Palatino Linotype" w:hAnsi="Palatino Linotype"/>
          <w:b w:val="1"/>
          <w:rtl w:val="0"/>
        </w:rPr>
        <w:t xml:space="preserve">Registro Federal de Contribuyentes</w:t>
      </w:r>
      <w:r w:rsidDel="00000000" w:rsidR="00000000" w:rsidRPr="00000000">
        <w:rPr>
          <w:rFonts w:ascii="Palatino Linotype" w:cs="Palatino Linotype" w:eastAsia="Palatino Linotype" w:hAnsi="Palatino Linotype"/>
          <w:rtl w:val="0"/>
        </w:rPr>
        <w:t xml:space="preserve"> (RFC), la </w:t>
      </w:r>
      <w:r w:rsidDel="00000000" w:rsidR="00000000" w:rsidRPr="00000000">
        <w:rPr>
          <w:rFonts w:ascii="Palatino Linotype" w:cs="Palatino Linotype" w:eastAsia="Palatino Linotype" w:hAnsi="Palatino Linotype"/>
          <w:b w:val="1"/>
          <w:rtl w:val="0"/>
        </w:rPr>
        <w:t xml:space="preserve">Clave Única de Registro de Población</w:t>
      </w:r>
      <w:r w:rsidDel="00000000" w:rsidR="00000000" w:rsidRPr="00000000">
        <w:rPr>
          <w:rFonts w:ascii="Palatino Linotype" w:cs="Palatino Linotype" w:eastAsia="Palatino Linotype" w:hAnsi="Palatino Linotype"/>
          <w:rtl w:val="0"/>
        </w:rPr>
        <w:t xml:space="preserve"> (CURP) y la </w:t>
      </w:r>
      <w:r w:rsidDel="00000000" w:rsidR="00000000" w:rsidRPr="00000000">
        <w:rPr>
          <w:rFonts w:ascii="Palatino Linotype" w:cs="Palatino Linotype" w:eastAsia="Palatino Linotype" w:hAnsi="Palatino Linotype"/>
          <w:b w:val="1"/>
          <w:rtl w:val="0"/>
        </w:rPr>
        <w:t xml:space="preserve">Clave de cualquier tipo de seguridad social</w:t>
      </w:r>
      <w:r w:rsidDel="00000000" w:rsidR="00000000" w:rsidRPr="00000000">
        <w:rPr>
          <w:rFonts w:ascii="Palatino Linotype" w:cs="Palatino Linotype" w:eastAsia="Palatino Linotype" w:hAnsi="Palatino Linotype"/>
          <w:rtl w:val="0"/>
        </w:rPr>
        <w:t xml:space="preserve"> (ISSEMYM, u otros), así como, los </w:t>
      </w:r>
      <w:r w:rsidDel="00000000" w:rsidR="00000000" w:rsidRPr="00000000">
        <w:rPr>
          <w:rFonts w:ascii="Palatino Linotype" w:cs="Palatino Linotype" w:eastAsia="Palatino Linotype" w:hAnsi="Palatino Linotype"/>
          <w:b w:val="1"/>
          <w:rtl w:val="0"/>
        </w:rPr>
        <w:t xml:space="preserve">préstamos o descuentos</w:t>
      </w:r>
      <w:r w:rsidDel="00000000" w:rsidR="00000000" w:rsidRPr="00000000">
        <w:rPr>
          <w:rFonts w:ascii="Palatino Linotype" w:cs="Palatino Linotype" w:eastAsia="Palatino Linotype" w:hAnsi="Palatino Linotype"/>
          <w:rtl w:val="0"/>
        </w:rPr>
        <w:t xml:space="preserve"> que se le hagan a la persona y que no tengan relación con los impuestos o la cuota por seguridad social, así el</w:t>
      </w:r>
      <w:r w:rsidDel="00000000" w:rsidR="00000000" w:rsidRPr="00000000">
        <w:rPr>
          <w:rFonts w:ascii="Palatino Linotype" w:cs="Palatino Linotype" w:eastAsia="Palatino Linotype" w:hAnsi="Palatino Linotype"/>
          <w:b w:val="1"/>
          <w:rtl w:val="0"/>
        </w:rPr>
        <w:t xml:space="preserve"> número de empleado, </w:t>
      </w:r>
      <w:r w:rsidDel="00000000" w:rsidR="00000000" w:rsidRPr="00000000">
        <w:rPr>
          <w:rFonts w:ascii="Palatino Linotype" w:cs="Palatino Linotype" w:eastAsia="Palatino Linotype" w:hAnsi="Palatino Linotype"/>
          <w:rtl w:val="0"/>
        </w:rPr>
        <w:t xml:space="preserve">así como de ser el caso, el </w:t>
      </w:r>
      <w:r w:rsidDel="00000000" w:rsidR="00000000" w:rsidRPr="00000000">
        <w:rPr>
          <w:rFonts w:ascii="Palatino Linotype" w:cs="Palatino Linotype" w:eastAsia="Palatino Linotype" w:hAnsi="Palatino Linotype"/>
          <w:b w:val="1"/>
          <w:rtl w:val="0"/>
        </w:rPr>
        <w:t xml:space="preserve">folio fiscal</w:t>
      </w:r>
      <w:r w:rsidDel="00000000" w:rsidR="00000000" w:rsidRPr="00000000">
        <w:rPr>
          <w:rFonts w:ascii="Palatino Linotype" w:cs="Palatino Linotype" w:eastAsia="Palatino Linotype" w:hAnsi="Palatino Linotype"/>
          <w:rtl w:val="0"/>
        </w:rPr>
        <w:t xml:space="preserve">, la  </w:t>
      </w:r>
      <w:r w:rsidDel="00000000" w:rsidR="00000000" w:rsidRPr="00000000">
        <w:rPr>
          <w:rFonts w:ascii="Palatino Linotype" w:cs="Palatino Linotype" w:eastAsia="Palatino Linotype" w:hAnsi="Palatino Linotype"/>
          <w:b w:val="1"/>
          <w:rtl w:val="0"/>
        </w:rPr>
        <w:t xml:space="preserve">cadena original, </w:t>
      </w:r>
      <w:r w:rsidDel="00000000" w:rsidR="00000000" w:rsidRPr="00000000">
        <w:rPr>
          <w:rFonts w:ascii="Palatino Linotype" w:cs="Palatino Linotype" w:eastAsia="Palatino Linotype" w:hAnsi="Palatino Linotype"/>
          <w:rtl w:val="0"/>
        </w:rPr>
        <w:t xml:space="preserve">los</w:t>
      </w:r>
      <w:r w:rsidDel="00000000" w:rsidR="00000000" w:rsidRPr="00000000">
        <w:rPr>
          <w:rFonts w:ascii="Palatino Linotype" w:cs="Palatino Linotype" w:eastAsia="Palatino Linotype" w:hAnsi="Palatino Linotype"/>
          <w:b w:val="1"/>
          <w:rtl w:val="0"/>
        </w:rPr>
        <w:t xml:space="preserve"> códigos bidimensionales o códigos QR,</w:t>
      </w:r>
      <w:r w:rsidDel="00000000" w:rsidR="00000000" w:rsidRPr="00000000">
        <w:rPr>
          <w:rFonts w:ascii="Palatino Linotype" w:cs="Palatino Linotype" w:eastAsia="Palatino Linotype" w:hAnsi="Palatino Linotype"/>
          <w:rtl w:val="0"/>
        </w:rPr>
        <w:t xml:space="preserve"> y cualquier información de carácter fiscal, bajo las siguientes consideraciones. </w:t>
      </w:r>
    </w:p>
    <w:p w:rsidR="00000000" w:rsidDel="00000000" w:rsidP="00000000" w:rsidRDefault="00000000" w:rsidRPr="00000000" w14:paraId="000001C3">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cuanto al RFC, este constituye un dato personal, ya que para su obtención es necesario acreditar ante la autoridad fiscal previamente la identidad de la persona, su fecha de nacimiento, entre otros aspectos.</w:t>
      </w:r>
    </w:p>
    <w:p w:rsidR="00000000" w:rsidDel="00000000" w:rsidP="00000000" w:rsidRDefault="00000000" w:rsidRPr="00000000" w14:paraId="000001C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000000" w:rsidDel="00000000" w:rsidP="00000000" w:rsidRDefault="00000000" w:rsidRPr="00000000" w14:paraId="000001C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es compartido por el Instituto Nacional de Transparencia, Acceso a la Información y Protección de Datos (INAI) a través del Criterio 19/17, el cual es del tenor literal siguiente:</w:t>
      </w:r>
    </w:p>
    <w:p w:rsidR="00000000" w:rsidDel="00000000" w:rsidP="00000000" w:rsidRDefault="00000000" w:rsidRPr="00000000" w14:paraId="000001C6">
      <w:pPr>
        <w:spacing w:after="120" w:lineRule="auto"/>
        <w:ind w:left="851" w:right="902" w:firstLine="0"/>
        <w:jc w:val="both"/>
        <w:rPr>
          <w:rFonts w:ascii="Arial" w:cs="Arial" w:eastAsia="Arial" w:hAnsi="Arial"/>
        </w:rPr>
      </w:pPr>
      <w:r w:rsidDel="00000000" w:rsidR="00000000" w:rsidRPr="00000000">
        <w:rPr>
          <w:rFonts w:ascii="Palatino Linotype" w:cs="Palatino Linotype" w:eastAsia="Palatino Linotype" w:hAnsi="Palatino Linotype"/>
          <w:b w:val="1"/>
          <w:i w:val="1"/>
          <w:sz w:val="20"/>
          <w:szCs w:val="20"/>
          <w:rtl w:val="0"/>
        </w:rPr>
        <w:t xml:space="preserve">“Registro Federal de Contribuyentes (RFC) de personas físicas. </w:t>
      </w:r>
      <w:r w:rsidDel="00000000" w:rsidR="00000000" w:rsidRPr="00000000">
        <w:rPr>
          <w:rFonts w:ascii="Palatino Linotype" w:cs="Palatino Linotype" w:eastAsia="Palatino Linotype" w:hAnsi="Palatino Linotype"/>
          <w:i w:val="1"/>
          <w:sz w:val="20"/>
          <w:szCs w:val="20"/>
          <w:rtl w:val="0"/>
        </w:rPr>
        <w:t xml:space="preserve">El RFC es una clave de carácter fiscal, única e irrepetible, que permite identificar al titular, su edad y fecha de nacimiento, por lo que es un dato personal de carácter confidencial.” (Sic)</w:t>
      </w:r>
      <w:r w:rsidDel="00000000" w:rsidR="00000000" w:rsidRPr="00000000">
        <w:rPr>
          <w:rtl w:val="0"/>
        </w:rPr>
      </w:r>
    </w:p>
    <w:p w:rsidR="00000000" w:rsidDel="00000000" w:rsidP="00000000" w:rsidRDefault="00000000" w:rsidRPr="00000000" w14:paraId="000001C7">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000000" w:rsidDel="00000000" w:rsidP="00000000" w:rsidRDefault="00000000" w:rsidRPr="00000000" w14:paraId="000001C8">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000000" w:rsidDel="00000000" w:rsidP="00000000" w:rsidRDefault="00000000" w:rsidRPr="00000000" w14:paraId="000001C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Argumento que es compartido por el Instituto Nacional de Transparencia, Acceso a la Información y Protección de Datos (INAI)</w:t>
      </w:r>
      <w:r w:rsidDel="00000000" w:rsidR="00000000" w:rsidRPr="00000000">
        <w:rPr>
          <w:rFonts w:ascii="Palatino Linotype" w:cs="Palatino Linotype" w:eastAsia="Palatino Linotype" w:hAnsi="Palatino Linotype"/>
          <w:b w:val="1"/>
          <w:rtl w:val="0"/>
        </w:rPr>
        <w:t xml:space="preserve">, conforme al </w:t>
      </w:r>
      <w:r w:rsidDel="00000000" w:rsidR="00000000" w:rsidRPr="00000000">
        <w:rPr>
          <w:rFonts w:ascii="Palatino Linotype" w:cs="Palatino Linotype" w:eastAsia="Palatino Linotype" w:hAnsi="Palatino Linotype"/>
          <w:rtl w:val="0"/>
        </w:rPr>
        <w:t xml:space="preserve">criterio número 18/17, el cual refiere: </w:t>
      </w:r>
    </w:p>
    <w:p w:rsidR="00000000" w:rsidDel="00000000" w:rsidP="00000000" w:rsidRDefault="00000000" w:rsidRPr="00000000" w14:paraId="000001CA">
      <w:pPr>
        <w:pBdr>
          <w:top w:space="0" w:sz="0" w:val="nil"/>
          <w:left w:space="0" w:sz="0" w:val="nil"/>
          <w:bottom w:space="0" w:sz="0" w:val="nil"/>
          <w:right w:space="0" w:sz="0" w:val="nil"/>
          <w:between w:space="0" w:sz="0" w:val="nil"/>
        </w:pBdr>
        <w:spacing w:after="120" w:lineRule="auto"/>
        <w:ind w:left="851" w:right="902" w:firstLine="0"/>
        <w:jc w:val="both"/>
        <w:rPr>
          <w:rFonts w:ascii="Arial" w:cs="Arial" w:eastAsia="Arial" w:hAnsi="Arial"/>
          <w:b w:val="1"/>
        </w:rPr>
      </w:pPr>
      <w:r w:rsidDel="00000000" w:rsidR="00000000" w:rsidRPr="00000000">
        <w:rPr>
          <w:rFonts w:ascii="Palatino Linotype" w:cs="Palatino Linotype" w:eastAsia="Palatino Linotype" w:hAnsi="Palatino Linotype"/>
          <w:b w:val="1"/>
          <w:i w:val="1"/>
          <w:sz w:val="20"/>
          <w:szCs w:val="20"/>
          <w:rtl w:val="0"/>
        </w:rPr>
        <w:t xml:space="preserve">“Clave Única de Registro de Población (CURP). </w:t>
      </w:r>
      <w:r w:rsidDel="00000000" w:rsidR="00000000" w:rsidRPr="00000000">
        <w:rPr>
          <w:rFonts w:ascii="Palatino Linotype" w:cs="Palatino Linotype" w:eastAsia="Palatino Linotype" w:hAnsi="Palatino Linotype"/>
          <w:i w:val="1"/>
          <w:sz w:val="20"/>
          <w:szCs w:val="20"/>
          <w:rtl w:val="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r w:rsidDel="00000000" w:rsidR="00000000" w:rsidRPr="00000000">
        <w:rPr>
          <w:rtl w:val="0"/>
        </w:rPr>
      </w:r>
    </w:p>
    <w:p w:rsidR="00000000" w:rsidDel="00000000" w:rsidP="00000000" w:rsidRDefault="00000000" w:rsidRPr="00000000" w14:paraId="000001C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rsidR="00000000" w:rsidDel="00000000" w:rsidP="00000000" w:rsidRDefault="00000000" w:rsidRPr="00000000" w14:paraId="000001CC">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“El número de ficha de identificación única de los trabajadores es información de carácter confidencial.</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i w:val="1"/>
          <w:sz w:val="22"/>
          <w:szCs w:val="22"/>
          <w:u w:val="single"/>
          <w:rtl w:val="0"/>
        </w:rPr>
        <w:t xml:space="preserve">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i w:val="1"/>
          <w:sz w:val="22"/>
          <w:szCs w:val="22"/>
          <w:u w:val="single"/>
          <w:rtl w:val="0"/>
        </w:rPr>
        <w:t xml:space="preserve">dicha información es susceptible de clasificarse con el carácter de confidencial</w:t>
      </w:r>
      <w:r w:rsidDel="00000000" w:rsidR="00000000" w:rsidRPr="00000000">
        <w:rPr>
          <w:rFonts w:ascii="Palatino Linotype" w:cs="Palatino Linotype" w:eastAsia="Palatino Linotype" w:hAnsi="Palatino Linotype"/>
          <w:i w:val="1"/>
          <w:sz w:val="22"/>
          <w:szCs w:val="22"/>
          <w:rtl w:val="0"/>
        </w:rPr>
        <w:t xml:space="preserve">, en términos de lo establecido en el artículo 18, fracción II de la Ley Federal de Transparencia y Acceso a la Información Pública Gubernamental, en virtud de que a través de la misma es posible conocer información personal de su titular.” (Sic)</w:t>
      </w:r>
    </w:p>
    <w:p w:rsidR="00000000" w:rsidDel="00000000" w:rsidP="00000000" w:rsidRDefault="00000000" w:rsidRPr="00000000" w14:paraId="000001C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Respecto de los </w:t>
      </w:r>
      <w:r w:rsidDel="00000000" w:rsidR="00000000" w:rsidRPr="00000000">
        <w:rPr>
          <w:rFonts w:ascii="Palatino Linotype" w:cs="Palatino Linotype" w:eastAsia="Palatino Linotype" w:hAnsi="Palatino Linotype"/>
          <w:b w:val="1"/>
          <w:rtl w:val="0"/>
        </w:rPr>
        <w:t xml:space="preserve">préstamos o descuentos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de carácter personal</w:t>
      </w:r>
      <w:r w:rsidDel="00000000" w:rsidR="00000000" w:rsidRPr="00000000">
        <w:rPr>
          <w:rFonts w:ascii="Palatino Linotype" w:cs="Palatino Linotype" w:eastAsia="Palatino Linotype" w:hAnsi="Palatino Linotype"/>
          <w:rtl w:val="0"/>
        </w:rPr>
        <w:t xml:space="preserve">,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 las deducciones, para entender los límites y alcances de esta restricción, es oportuno recurrir al artículo 84 de la Ley del Trabajo de los Servidores Públicos del Estado y Municipios:</w:t>
      </w:r>
    </w:p>
    <w:p w:rsidR="00000000" w:rsidDel="00000000" w:rsidP="00000000" w:rsidRDefault="00000000" w:rsidRPr="00000000" w14:paraId="000001CF">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84. </w:t>
      </w:r>
      <w:r w:rsidDel="00000000" w:rsidR="00000000" w:rsidRPr="00000000">
        <w:rPr>
          <w:rFonts w:ascii="Palatino Linotype" w:cs="Palatino Linotype" w:eastAsia="Palatino Linotype" w:hAnsi="Palatino Linotype"/>
          <w:i w:val="1"/>
          <w:sz w:val="22"/>
          <w:szCs w:val="22"/>
          <w:rtl w:val="0"/>
        </w:rPr>
        <w:t xml:space="preserve">Sólo podrán hacerse retenciones, descuentos o deducciones al sueldo de los servidores públicos por concepto de:</w:t>
      </w:r>
      <w:r w:rsidDel="00000000" w:rsidR="00000000" w:rsidRPr="00000000">
        <w:rPr>
          <w:rtl w:val="0"/>
        </w:rPr>
      </w:r>
    </w:p>
    <w:p w:rsidR="00000000" w:rsidDel="00000000" w:rsidP="00000000" w:rsidRDefault="00000000" w:rsidRPr="00000000" w14:paraId="000001D0">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Gravámenes fiscales relacionados con el sueldo;</w:t>
      </w:r>
    </w:p>
    <w:p w:rsidR="00000000" w:rsidDel="00000000" w:rsidP="00000000" w:rsidRDefault="00000000" w:rsidRPr="00000000" w14:paraId="000001D1">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Deudas contraídas con las instituciones públicas o dependencias por concepto de anticipos de sueldo, pagos hechos con exceso, errores o pérdidas debidamente comprobados;</w:t>
      </w:r>
    </w:p>
    <w:p w:rsidR="00000000" w:rsidDel="00000000" w:rsidP="00000000" w:rsidRDefault="00000000" w:rsidRPr="00000000" w14:paraId="000001D2">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Cuotas sindicales;</w:t>
      </w:r>
    </w:p>
    <w:p w:rsidR="00000000" w:rsidDel="00000000" w:rsidP="00000000" w:rsidRDefault="00000000" w:rsidRPr="00000000" w14:paraId="000001D3">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Cuotas de aportación a fondos para la constitución de cooperativas y de cajas de ahorro, siempre que el servidor público hubiese manifestado previamente, de manera expresa, su conformidad;</w:t>
      </w:r>
    </w:p>
    <w:p w:rsidR="00000000" w:rsidDel="00000000" w:rsidP="00000000" w:rsidRDefault="00000000" w:rsidRPr="00000000" w14:paraId="000001D4">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Descuentos ordenados por el Instituto de Seguridad Social del Estado de México y Municipios, con motivo de cuotas y obligaciones contraídas con éste por los servidores públicos;</w:t>
      </w:r>
    </w:p>
    <w:p w:rsidR="00000000" w:rsidDel="00000000" w:rsidP="00000000" w:rsidRDefault="00000000" w:rsidRPr="00000000" w14:paraId="000001D5">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Obligaciones a cargo del servidor público con las que haya consentido, derivadas de la adquisición o del uso de habitaciones consideradas como de interés social;</w:t>
      </w:r>
    </w:p>
    <w:p w:rsidR="00000000" w:rsidDel="00000000" w:rsidP="00000000" w:rsidRDefault="00000000" w:rsidRPr="00000000" w14:paraId="000001D6">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Faltas de puntualidad o de asistencia injustificadas;</w:t>
      </w:r>
    </w:p>
    <w:p w:rsidR="00000000" w:rsidDel="00000000" w:rsidP="00000000" w:rsidRDefault="00000000" w:rsidRPr="00000000" w14:paraId="000001D7">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Pensiones alimenticias ordenadas por la autoridad judicial;</w:t>
      </w:r>
      <w:r w:rsidDel="00000000" w:rsidR="00000000" w:rsidRPr="00000000">
        <w:rPr>
          <w:rFonts w:ascii="Palatino Linotype" w:cs="Palatino Linotype" w:eastAsia="Palatino Linotype" w:hAnsi="Palatino Linotype"/>
          <w:i w:val="1"/>
          <w:sz w:val="22"/>
          <w:szCs w:val="22"/>
          <w:rtl w:val="0"/>
        </w:rPr>
        <w:t xml:space="preserve"> o</w:t>
      </w:r>
    </w:p>
    <w:p w:rsidR="00000000" w:rsidDel="00000000" w:rsidP="00000000" w:rsidRDefault="00000000" w:rsidRPr="00000000" w14:paraId="000001D8">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Cualquier otro convenido con instituciones de servicios y aceptado por el servidor público.</w:t>
      </w:r>
    </w:p>
    <w:p w:rsidR="00000000" w:rsidDel="00000000" w:rsidP="00000000" w:rsidRDefault="00000000" w:rsidRPr="00000000" w14:paraId="000001D9">
      <w:pPr>
        <w:spacing w:after="120" w:lineRule="auto"/>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000000" w:rsidDel="00000000" w:rsidP="00000000" w:rsidRDefault="00000000" w:rsidRPr="00000000" w14:paraId="000001DA">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000000" w:rsidDel="00000000" w:rsidP="00000000" w:rsidRDefault="00000000" w:rsidRPr="00000000" w14:paraId="000001DB">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conclusión, los préstamos o descuentos de carácter personal, en virtud de no tener relación con la prestación del servicio y al no involucrar instituciones públicas, se consideran datos confidenciales.</w:t>
      </w:r>
    </w:p>
    <w:p w:rsidR="00000000" w:rsidDel="00000000" w:rsidP="00000000" w:rsidRDefault="00000000" w:rsidRPr="00000000" w14:paraId="000001D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De la información fiscal</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1D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w:t>
      </w:r>
      <w:r w:rsidDel="00000000" w:rsidR="00000000" w:rsidRPr="00000000">
        <w:rPr>
          <w:rFonts w:ascii="Palatino Linotype" w:cs="Palatino Linotype" w:eastAsia="Palatino Linotype" w:hAnsi="Palatino Linotype"/>
          <w:b w:val="1"/>
          <w:rtl w:val="0"/>
        </w:rPr>
        <w:t xml:space="preserve">Cadena Original</w:t>
      </w:r>
      <w:r w:rsidDel="00000000" w:rsidR="00000000" w:rsidRPr="00000000">
        <w:rPr>
          <w:rFonts w:ascii="Palatino Linotype" w:cs="Palatino Linotype" w:eastAsia="Palatino Linotype" w:hAnsi="Palatino Linotype"/>
          <w:rtl w:val="0"/>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analizar dicha circunstancia con la finalidad de proteger, de ser el caso, la información a través de su clasificación por actualizarse el supuesto de confidencialidad.</w:t>
      </w:r>
    </w:p>
    <w:p w:rsidR="00000000" w:rsidDel="00000000" w:rsidP="00000000" w:rsidRDefault="00000000" w:rsidRPr="00000000" w14:paraId="000001D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w:t>
      </w:r>
      <w:r w:rsidDel="00000000" w:rsidR="00000000" w:rsidRPr="00000000">
        <w:rPr>
          <w:rFonts w:ascii="Palatino Linotype" w:cs="Palatino Linotype" w:eastAsia="Palatino Linotype" w:hAnsi="Palatino Linotype"/>
          <w:b w:val="1"/>
          <w:rtl w:val="0"/>
        </w:rPr>
        <w:t xml:space="preserve">códigos bidimensionales</w:t>
      </w:r>
      <w:r w:rsidDel="00000000" w:rsidR="00000000" w:rsidRPr="00000000">
        <w:rPr>
          <w:rFonts w:ascii="Palatino Linotype" w:cs="Palatino Linotype" w:eastAsia="Palatino Linotype" w:hAnsi="Palatino Linotype"/>
          <w:rtl w:val="0"/>
        </w:rPr>
        <w:t xml:space="preserve"> o </w:t>
      </w:r>
      <w:r w:rsidDel="00000000" w:rsidR="00000000" w:rsidRPr="00000000">
        <w:rPr>
          <w:rFonts w:ascii="Palatino Linotype" w:cs="Palatino Linotype" w:eastAsia="Palatino Linotype" w:hAnsi="Palatino Linotype"/>
          <w:b w:val="1"/>
          <w:rtl w:val="0"/>
        </w:rPr>
        <w:t xml:space="preserve">códigos QR, </w:t>
      </w:r>
      <w:r w:rsidDel="00000000" w:rsidR="00000000" w:rsidRPr="00000000">
        <w:rPr>
          <w:rFonts w:ascii="Palatino Linotype" w:cs="Palatino Linotype" w:eastAsia="Palatino Linotype" w:hAnsi="Palatino Linotype"/>
          <w:rtl w:val="0"/>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analizar dicha circunstancia con la finalidad de determinar si se actualiza algún supuesto de confidencialidad.</w:t>
      </w:r>
    </w:p>
    <w:p w:rsidR="00000000" w:rsidDel="00000000" w:rsidP="00000000" w:rsidRDefault="00000000" w:rsidRPr="00000000" w14:paraId="000001D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si derivado del análisis efectuado por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rsidR="00000000" w:rsidDel="00000000" w:rsidP="00000000" w:rsidRDefault="00000000" w:rsidRPr="00000000" w14:paraId="000001E0">
      <w:pPr>
        <w:widowControl w:val="0"/>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Fotografías de los servidores públicos. </w:t>
      </w:r>
    </w:p>
    <w:p w:rsidR="00000000" w:rsidDel="00000000" w:rsidP="00000000" w:rsidRDefault="00000000" w:rsidRPr="00000000" w14:paraId="000001E1">
      <w:pPr>
        <w:widowControl w:val="0"/>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E2">
      <w:pPr>
        <w:widowControl w:val="0"/>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Fotografía en documento que acredite el último grado de estudios. 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rsidR="00000000" w:rsidDel="00000000" w:rsidP="00000000" w:rsidRDefault="00000000" w:rsidRPr="00000000" w14:paraId="000001E3">
      <w:pPr>
        <w:widowControl w:val="0"/>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4">
      <w:pPr>
        <w:widowControl w:val="0"/>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rsidR="00000000" w:rsidDel="00000000" w:rsidP="00000000" w:rsidRDefault="00000000" w:rsidRPr="00000000" w14:paraId="000001E5">
      <w:pPr>
        <w:widowControl w:val="0"/>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6">
      <w:pPr>
        <w:widowControl w:val="0"/>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rsidR="00000000" w:rsidDel="00000000" w:rsidP="00000000" w:rsidRDefault="00000000" w:rsidRPr="00000000" w14:paraId="000001E7">
      <w:pPr>
        <w:widowControl w:val="0"/>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8">
      <w:pPr>
        <w:widowControl w:val="0"/>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rsidR="00000000" w:rsidDel="00000000" w:rsidP="00000000" w:rsidRDefault="00000000" w:rsidRPr="00000000" w14:paraId="000001E9">
      <w:pPr>
        <w:widowControl w:val="0"/>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A">
      <w:pPr>
        <w:widowControl w:val="0"/>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 </w:t>
      </w:r>
    </w:p>
    <w:p w:rsidR="00000000" w:rsidDel="00000000" w:rsidP="00000000" w:rsidRDefault="00000000" w:rsidRPr="00000000" w14:paraId="000001EB">
      <w:pPr>
        <w:widowControl w:val="0"/>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C">
      <w:pPr>
        <w:widowControl w:val="0"/>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rsidR="00000000" w:rsidDel="00000000" w:rsidP="00000000" w:rsidRDefault="00000000" w:rsidRPr="00000000" w14:paraId="000001ED">
      <w:pPr>
        <w:widowControl w:val="0"/>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EE">
      <w:pPr>
        <w:widowControl w:val="0"/>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acuerdo con el argumento planteado, la determinación de esta resolución deja sin efectos el criterio adoptado anteriormente por el Pleno de este Instituto, con número 03/2019, en el que solo se consideraban como públicas las fotografías de mandos medios y/o superiores.</w:t>
      </w:r>
    </w:p>
    <w:p w:rsidR="00000000" w:rsidDel="00000000" w:rsidP="00000000" w:rsidRDefault="00000000" w:rsidRPr="00000000" w14:paraId="000001EF">
      <w:pPr>
        <w:widowControl w:val="0"/>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0">
      <w:pPr>
        <w:widowControl w:val="0"/>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 versión pública que se ordena, no podrá clasificarse esa información. Cabe hacer la aclaración que aquellos documentos que sean clasificados en su totalidad por no revestir de interés público, como lo es la credencial de elector, la fotografía correrá la misma suerte que el documento en cuestión, únicamente para dicha expresión documental. </w:t>
      </w:r>
    </w:p>
    <w:p w:rsidR="00000000" w:rsidDel="00000000" w:rsidP="00000000" w:rsidRDefault="00000000" w:rsidRPr="00000000" w14:paraId="000001F1">
      <w:pPr>
        <w:widowControl w:val="0"/>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Firma de servidores públicos.</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1F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Tocante al tema de la firma, al tratarse de la escritura gráfica o grafo manuscrito que representa al nombre y apellido(s), o título, que una persona escribe de su propia mano, que tiene fines de identificación, jurídicos, representativos y diplomáticos, a través de los cuales es posible identificar o hacer identificable a su titular, constituye un dato personal que debe ser protegido, sin embargo, en el caso de los servidores públicos, dicho dato es público cuando, en ejercicio de las atribuciones que les fueron conferidas, emiten un acto de autoridad, siendo la firma el medio por el cual se le da validez a dicho acto.</w:t>
      </w:r>
    </w:p>
    <w:p w:rsidR="00000000" w:rsidDel="00000000" w:rsidP="00000000" w:rsidRDefault="00000000" w:rsidRPr="00000000" w14:paraId="000001F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Robustece lo anterior el criterio orientador 02-19 emitido por el Instituto Nacional de Transparencia, Acceso a la Información y Protección de Datos Personales, INAI, el cual refiere:</w:t>
      </w:r>
    </w:p>
    <w:p w:rsidR="00000000" w:rsidDel="00000000" w:rsidP="00000000" w:rsidRDefault="00000000" w:rsidRPr="00000000" w14:paraId="000001F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7">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Firma y rúbrica de servidores públicos.</w:t>
      </w:r>
      <w:r w:rsidDel="00000000" w:rsidR="00000000" w:rsidRPr="00000000">
        <w:rPr>
          <w:rFonts w:ascii="Palatino Linotype" w:cs="Palatino Linotype" w:eastAsia="Palatino Linotype" w:hAnsi="Palatino Linotype"/>
          <w:i w:val="1"/>
          <w:sz w:val="22"/>
          <w:szCs w:val="22"/>
          <w:rtl w:val="0"/>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rsidR="00000000" w:rsidDel="00000000" w:rsidP="00000000" w:rsidRDefault="00000000" w:rsidRPr="00000000" w14:paraId="000001F8">
      <w:pPr>
        <w:pBdr>
          <w:top w:space="0" w:sz="0" w:val="nil"/>
          <w:left w:space="0" w:sz="0" w:val="nil"/>
          <w:bottom w:space="0" w:sz="0" w:val="nil"/>
          <w:right w:space="0" w:sz="0" w:val="nil"/>
          <w:between w:space="0" w:sz="0" w:val="nil"/>
        </w:pBdr>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F9">
      <w:pPr>
        <w:spacing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Contexto que en el presente asunto no se actualiza por no realizarse en ejercicio de sus funciones de derecho público; toda vez que el título profesional o el certificado de estudios corresponden a documentos emitidos por instituciones del Estado, Autónomas, Descentralizadas y Particulares, que tengan reconocimiento de validez oficial de estudios, a favor de una persona que haya concluido sus estudios correspondientes o demostrado tener determinados conocimientos, en términos de los artículos 1° y 8° de la Ley Reglamentaria del Artículo 5° Constitucional, Relativo al Ejercicio de las Profesiones en la Ciudad de México.</w:t>
      </w:r>
    </w:p>
    <w:p w:rsidR="00000000" w:rsidDel="00000000" w:rsidP="00000000" w:rsidRDefault="00000000" w:rsidRPr="00000000" w14:paraId="000001FA">
      <w:pPr>
        <w:spacing w:line="360" w:lineRule="auto"/>
        <w:ind w:right="-7"/>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B">
      <w:pPr>
        <w:spacing w:line="360" w:lineRule="auto"/>
        <w:ind w:right="-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la cédula profesional, es el documento que toda persona a quien legalmente se le haya expedido título profesional o grado académico equivalente, podrá obtener con</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efectos de patente; esta es otorgada por la Dirección General de Profesiones, para identidad en todas las actividades profesionales, de conformidad con los artículos 3° y 23, fracción IV de la Ley Reglamentaria del Artículo 5° Constitucional, Relativo al Ejercicio de las Profesiones en la Ciudad de México. Así, los documentos que dan cuenta de la preparación académica sirven como medios de identificación, para que a su titular lo relacionen con el nivel de estudios con que cuenta independientemente de que estos sean o no medios de identificación oficiales. Luego entonces, no es necesario que el ciudadano acceda a dicho dato personal, ya que actualiza la fracción I, del artículo 143 de la Ley de Transparencia y Acceso a la Información Pública del Estado de México y Municipios.</w:t>
      </w:r>
    </w:p>
    <w:p w:rsidR="00000000" w:rsidDel="00000000" w:rsidP="00000000" w:rsidRDefault="00000000" w:rsidRPr="00000000" w14:paraId="000001FC">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D">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000000" w:rsidDel="00000000" w:rsidP="00000000" w:rsidRDefault="00000000" w:rsidRPr="00000000" w14:paraId="000001FE">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FF">
      <w:pPr>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Comités de Transparencia</w:t>
      </w:r>
      <w:r w:rsidDel="00000000" w:rsidR="00000000" w:rsidRPr="00000000">
        <w:rPr>
          <w:rFonts w:ascii="Palatino Linotype" w:cs="Palatino Linotype" w:eastAsia="Palatino Linotype" w:hAnsi="Palatino Linotype"/>
          <w:i w:val="1"/>
          <w:sz w:val="22"/>
          <w:szCs w:val="22"/>
          <w:rtl w:val="0"/>
        </w:rPr>
        <w:t xml:space="preserve"> tendrán las siguientes atribuciones:</w:t>
      </w:r>
    </w:p>
    <w:p w:rsidR="00000000" w:rsidDel="00000000" w:rsidP="00000000" w:rsidRDefault="00000000" w:rsidRPr="00000000" w14:paraId="00000200">
      <w:pPr>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Aprobar, modificar o revocar la clasificación de la información</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01">
      <w:pPr>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53.</w:t>
      </w:r>
      <w:r w:rsidDel="00000000" w:rsidR="00000000" w:rsidRPr="00000000">
        <w:rPr>
          <w:rFonts w:ascii="Palatino Linotype" w:cs="Palatino Linotype" w:eastAsia="Palatino Linotype" w:hAnsi="Palatino Linotype"/>
          <w:i w:val="1"/>
          <w:sz w:val="22"/>
          <w:szCs w:val="22"/>
          <w:rtl w:val="0"/>
        </w:rPr>
        <w:t xml:space="preserve"> Las </w:t>
      </w:r>
      <w:r w:rsidDel="00000000" w:rsidR="00000000" w:rsidRPr="00000000">
        <w:rPr>
          <w:rFonts w:ascii="Palatino Linotype" w:cs="Palatino Linotype" w:eastAsia="Palatino Linotype" w:hAnsi="Palatino Linotype"/>
          <w:b w:val="1"/>
          <w:i w:val="1"/>
          <w:sz w:val="22"/>
          <w:szCs w:val="22"/>
          <w:rtl w:val="0"/>
        </w:rPr>
        <w:t xml:space="preserve">Unidades de Transparencia</w:t>
      </w:r>
      <w:r w:rsidDel="00000000" w:rsidR="00000000" w:rsidRPr="00000000">
        <w:rPr>
          <w:rFonts w:ascii="Palatino Linotype" w:cs="Palatino Linotype" w:eastAsia="Palatino Linotype" w:hAnsi="Palatino Linotype"/>
          <w:i w:val="1"/>
          <w:sz w:val="22"/>
          <w:szCs w:val="22"/>
          <w:rtl w:val="0"/>
        </w:rPr>
        <w:t xml:space="preserve"> tendrán las siguientes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02">
      <w:pPr>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 Presentar ante el Comité, el proyecto de clasificación de información</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203">
      <w:pPr>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59.</w:t>
      </w:r>
      <w:r w:rsidDel="00000000" w:rsidR="00000000" w:rsidRPr="00000000">
        <w:rPr>
          <w:rFonts w:ascii="Palatino Linotype" w:cs="Palatino Linotype" w:eastAsia="Palatino Linotype" w:hAnsi="Palatino Linotype"/>
          <w:i w:val="1"/>
          <w:sz w:val="22"/>
          <w:szCs w:val="22"/>
          <w:rtl w:val="0"/>
        </w:rPr>
        <w:t xml:space="preserve"> Los </w:t>
      </w:r>
      <w:r w:rsidDel="00000000" w:rsidR="00000000" w:rsidRPr="00000000">
        <w:rPr>
          <w:rFonts w:ascii="Palatino Linotype" w:cs="Palatino Linotype" w:eastAsia="Palatino Linotype" w:hAnsi="Palatino Linotype"/>
          <w:b w:val="1"/>
          <w:i w:val="1"/>
          <w:sz w:val="22"/>
          <w:szCs w:val="22"/>
          <w:rtl w:val="0"/>
        </w:rPr>
        <w:t xml:space="preserve">servidores públicos habilitados</w:t>
      </w:r>
      <w:r w:rsidDel="00000000" w:rsidR="00000000" w:rsidRPr="00000000">
        <w:rPr>
          <w:rFonts w:ascii="Palatino Linotype" w:cs="Palatino Linotype" w:eastAsia="Palatino Linotype" w:hAnsi="Palatino Linotype"/>
          <w:i w:val="1"/>
          <w:sz w:val="22"/>
          <w:szCs w:val="22"/>
          <w:rtl w:val="0"/>
        </w:rPr>
        <w:t xml:space="preserve"> tendrán las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 siguientes:</w:t>
      </w:r>
    </w:p>
    <w:p w:rsidR="00000000" w:rsidDel="00000000" w:rsidP="00000000" w:rsidRDefault="00000000" w:rsidRPr="00000000" w14:paraId="00000204">
      <w:pPr>
        <w:ind w:left="992" w:right="1043"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Integrar y presentar al responsable de la Unidad de Transparencia la propuesta de clasificación de información</w:t>
      </w:r>
      <w:r w:rsidDel="00000000" w:rsidR="00000000" w:rsidRPr="00000000">
        <w:rPr>
          <w:rFonts w:ascii="Palatino Linotype" w:cs="Palatino Linotype" w:eastAsia="Palatino Linotype" w:hAnsi="Palatino Linotype"/>
          <w:i w:val="1"/>
          <w:sz w:val="22"/>
          <w:szCs w:val="22"/>
          <w:rtl w:val="0"/>
        </w:rPr>
        <w:t xml:space="preserve">, la cual tendrá los fundamentos y argumentos en que se basa dicha propuesta…”(Sic)</w:t>
      </w:r>
    </w:p>
    <w:p w:rsidR="00000000" w:rsidDel="00000000" w:rsidP="00000000" w:rsidRDefault="00000000" w:rsidRPr="00000000" w14:paraId="00000205">
      <w:pPr>
        <w:ind w:left="992" w:right="1043"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0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Denotándose de dichos elementos normativos que el determinar la clasificación de la información es un trabajo en conjunto tanto de los Servidores Públicos Habilitados, de las Unidades de Transparencia y del Comité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000000" w:rsidDel="00000000" w:rsidP="00000000" w:rsidRDefault="00000000" w:rsidRPr="00000000" w14:paraId="0000020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lo cual, a su vez en el caso de información de carácter confidencial, se debe atender a lo que señala el artículo 149 de la Ley de Transparencia Local vigente, que se lee como sigue:</w:t>
      </w:r>
    </w:p>
    <w:p w:rsidR="00000000" w:rsidDel="00000000" w:rsidP="00000000" w:rsidRDefault="00000000" w:rsidRPr="00000000" w14:paraId="0000020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A">
      <w:pPr>
        <w:spacing w:after="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149.</w:t>
      </w:r>
      <w:r w:rsidDel="00000000" w:rsidR="00000000" w:rsidRPr="00000000">
        <w:rPr>
          <w:rFonts w:ascii="Palatino Linotype" w:cs="Palatino Linotype" w:eastAsia="Palatino Linotype" w:hAnsi="Palatino Linotype"/>
          <w:i w:val="1"/>
          <w:sz w:val="22"/>
          <w:szCs w:val="22"/>
          <w:rtl w:val="0"/>
        </w:rPr>
        <w:t xml:space="preserve"> El </w:t>
      </w:r>
      <w:r w:rsidDel="00000000" w:rsidR="00000000" w:rsidRPr="00000000">
        <w:rPr>
          <w:rFonts w:ascii="Palatino Linotype" w:cs="Palatino Linotype" w:eastAsia="Palatino Linotype" w:hAnsi="Palatino Linotype"/>
          <w:b w:val="1"/>
          <w:i w:val="1"/>
          <w:sz w:val="22"/>
          <w:szCs w:val="22"/>
          <w:rtl w:val="0"/>
        </w:rPr>
        <w:t xml:space="preserve">acuerdo que clasifique la información como confidencial</w:t>
      </w:r>
      <w:r w:rsidDel="00000000" w:rsidR="00000000" w:rsidRPr="00000000">
        <w:rPr>
          <w:rFonts w:ascii="Palatino Linotype" w:cs="Palatino Linotype" w:eastAsia="Palatino Linotype" w:hAnsi="Palatino Linotype"/>
          <w:i w:val="1"/>
          <w:sz w:val="22"/>
          <w:szCs w:val="22"/>
          <w:rtl w:val="0"/>
        </w:rPr>
        <w:t xml:space="preserve"> deberá contener un razonamiento lógico en el que demuestre que la información se encuentra en alguna o algunas de las hipótesis previstas en la presente Ley.” </w:t>
      </w:r>
    </w:p>
    <w:p w:rsidR="00000000" w:rsidDel="00000000" w:rsidP="00000000" w:rsidRDefault="00000000" w:rsidRPr="00000000" w14:paraId="0000020B">
      <w:pPr>
        <w:spacing w:before="24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C">
      <w:pP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 decir,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000000" w:rsidDel="00000000" w:rsidP="00000000" w:rsidRDefault="00000000" w:rsidRPr="00000000" w14:paraId="0000020D">
      <w:pPr>
        <w:spacing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0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se destaca que la versión pública que elabore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Del="00000000" w:rsidR="00000000" w:rsidRPr="00000000">
        <w:rPr>
          <w:rFonts w:ascii="Palatino Linotype" w:cs="Palatino Linotype" w:eastAsia="Palatino Linotype" w:hAnsi="Palatino Linotype"/>
          <w:b w:val="1"/>
          <w:rtl w:val="0"/>
        </w:rPr>
        <w:t xml:space="preserve">LINEAMIENTOS GENERALES EN MATERIA DE CLASIFICACIÓN Y DESCLASIFICACIÓN DE LA INFORMACIÓN, ASÍ COMO PARA LA ELABORACIÓN DE VERSIONES PÚBLICAS</w:t>
      </w:r>
      <w:r w:rsidDel="00000000" w:rsidR="00000000" w:rsidRPr="00000000">
        <w:rPr>
          <w:rFonts w:ascii="Palatino Linotype" w:cs="Palatino Linotype" w:eastAsia="Palatino Linotype" w:hAnsi="Palatino Linotype"/>
          <w:rtl w:val="0"/>
        </w:rPr>
        <w:t xml:space="preserve">,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rsidR="00000000" w:rsidDel="00000000" w:rsidP="00000000" w:rsidRDefault="00000000" w:rsidRPr="00000000" w14:paraId="0000020F">
      <w:pPr>
        <w:ind w:left="709" w:right="709"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210">
      <w:pPr>
        <w:pBdr>
          <w:top w:space="0" w:sz="0" w:val="nil"/>
          <w:left w:space="0" w:sz="0" w:val="nil"/>
          <w:bottom w:space="0" w:sz="0" w:val="nil"/>
          <w:right w:space="0" w:sz="0" w:val="nil"/>
          <w:between w:space="0" w:sz="0" w:val="nil"/>
        </w:pBdr>
        <w:ind w:left="709" w:right="709" w:firstLine="0"/>
        <w:jc w:val="both"/>
        <w:rPr/>
      </w:pPr>
      <w:r w:rsidDel="00000000" w:rsidR="00000000" w:rsidRPr="00000000">
        <w:rPr>
          <w:rFonts w:ascii="Palatino Linotype" w:cs="Palatino Linotype" w:eastAsia="Palatino Linotype" w:hAnsi="Palatino Linotype"/>
          <w:b w:val="1"/>
          <w:i w:val="1"/>
          <w:sz w:val="22"/>
          <w:szCs w:val="22"/>
          <w:rtl w:val="0"/>
        </w:rPr>
        <w:t xml:space="preserve">“Lineamientos Generales en materia de Clasificación y Desclasificación de la Información, así como para la elaboración de Versiones Públicas</w:t>
      </w:r>
      <w:r w:rsidDel="00000000" w:rsidR="00000000" w:rsidRPr="00000000">
        <w:rPr>
          <w:rtl w:val="0"/>
        </w:rPr>
      </w:r>
    </w:p>
    <w:p w:rsidR="00000000" w:rsidDel="00000000" w:rsidP="00000000" w:rsidRDefault="00000000" w:rsidRPr="00000000" w14:paraId="00000211">
      <w:pPr>
        <w:pBdr>
          <w:top w:space="0" w:sz="0" w:val="nil"/>
          <w:left w:space="0" w:sz="0" w:val="nil"/>
          <w:bottom w:space="0" w:sz="0" w:val="nil"/>
          <w:right w:space="0" w:sz="0" w:val="nil"/>
          <w:between w:space="0" w:sz="0" w:val="nil"/>
        </w:pBdr>
        <w:ind w:left="709" w:right="709" w:firstLine="0"/>
        <w:jc w:val="both"/>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Segundo.-</w:t>
      </w:r>
      <w:r w:rsidDel="00000000" w:rsidR="00000000" w:rsidRPr="00000000">
        <w:rPr>
          <w:rFonts w:ascii="Palatino Linotype" w:cs="Palatino Linotype" w:eastAsia="Palatino Linotype" w:hAnsi="Palatino Linotype"/>
          <w:i w:val="1"/>
          <w:sz w:val="22"/>
          <w:szCs w:val="22"/>
          <w:rtl w:val="0"/>
        </w:rPr>
        <w:t xml:space="preserve"> Para efectos de los presentes Lineamientos Generales, se entenderá por:</w:t>
      </w:r>
      <w:r w:rsidDel="00000000" w:rsidR="00000000" w:rsidRPr="00000000">
        <w:rPr>
          <w:rtl w:val="0"/>
        </w:rPr>
      </w:r>
    </w:p>
    <w:p w:rsidR="00000000" w:rsidDel="00000000" w:rsidP="00000000" w:rsidRDefault="00000000" w:rsidRPr="00000000" w14:paraId="00000212">
      <w:pPr>
        <w:pBdr>
          <w:top w:space="0" w:sz="0" w:val="nil"/>
          <w:left w:space="0" w:sz="0" w:val="nil"/>
          <w:bottom w:space="0" w:sz="0" w:val="nil"/>
          <w:right w:space="0" w:sz="0" w:val="nil"/>
          <w:between w:space="0" w:sz="0" w:val="nil"/>
        </w:pBdr>
        <w:ind w:left="709" w:right="709" w:firstLine="0"/>
        <w:jc w:val="both"/>
        <w:rPr/>
      </w:pPr>
      <w:r w:rsidDel="00000000" w:rsidR="00000000" w:rsidRPr="00000000">
        <w:rPr>
          <w:rFonts w:ascii="Palatino Linotype" w:cs="Palatino Linotype" w:eastAsia="Palatino Linotype" w:hAnsi="Palatino Linotype"/>
          <w:b w:val="1"/>
          <w:i w:val="1"/>
          <w:sz w:val="22"/>
          <w:szCs w:val="22"/>
          <w:rtl w:val="0"/>
        </w:rPr>
        <w:t xml:space="preserve">XVIII.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Versión pública:</w:t>
      </w:r>
      <w:r w:rsidDel="00000000" w:rsidR="00000000" w:rsidRPr="00000000">
        <w:rPr>
          <w:rFonts w:ascii="Palatino Linotype" w:cs="Palatino Linotype" w:eastAsia="Palatino Linotype" w:hAnsi="Palatino Linotype"/>
          <w:i w:val="1"/>
          <w:sz w:val="22"/>
          <w:szCs w:val="22"/>
          <w:rtl w:val="0"/>
        </w:rPr>
        <w:t xml:space="preserve"> El documento a partir del que se otorga acceso a la información, en el que se testan partes o secciones clasificadas, indicando el contenido de éstas de manera genérica, </w:t>
      </w:r>
      <w:r w:rsidDel="00000000" w:rsidR="00000000" w:rsidRPr="00000000">
        <w:rPr>
          <w:rFonts w:ascii="Palatino Linotype" w:cs="Palatino Linotype" w:eastAsia="Palatino Linotype" w:hAnsi="Palatino Linotype"/>
          <w:b w:val="1"/>
          <w:i w:val="1"/>
          <w:sz w:val="22"/>
          <w:szCs w:val="22"/>
          <w:u w:val="single"/>
          <w:rtl w:val="0"/>
        </w:rPr>
        <w:t xml:space="preserve">fundando y motivando la</w:t>
      </w:r>
      <w:r w:rsidDel="00000000" w:rsidR="00000000" w:rsidRPr="00000000">
        <w:rPr>
          <w:rFonts w:ascii="Palatino Linotype" w:cs="Palatino Linotype" w:eastAsia="Palatino Linotype" w:hAnsi="Palatino Linotype"/>
          <w:i w:val="1"/>
          <w:sz w:val="22"/>
          <w:szCs w:val="22"/>
          <w:rtl w:val="0"/>
        </w:rPr>
        <w:t xml:space="preserve"> reserva o </w:t>
      </w:r>
      <w:r w:rsidDel="00000000" w:rsidR="00000000" w:rsidRPr="00000000">
        <w:rPr>
          <w:rFonts w:ascii="Palatino Linotype" w:cs="Palatino Linotype" w:eastAsia="Palatino Linotype" w:hAnsi="Palatino Linotype"/>
          <w:b w:val="1"/>
          <w:i w:val="1"/>
          <w:sz w:val="22"/>
          <w:szCs w:val="22"/>
          <w:u w:val="single"/>
          <w:rtl w:val="0"/>
        </w:rPr>
        <w:t xml:space="preserve">confidencialidad</w:t>
      </w:r>
      <w:r w:rsidDel="00000000" w:rsidR="00000000" w:rsidRPr="00000000">
        <w:rPr>
          <w:rFonts w:ascii="Palatino Linotype" w:cs="Palatino Linotype" w:eastAsia="Palatino Linotype" w:hAnsi="Palatino Linotype"/>
          <w:i w:val="1"/>
          <w:sz w:val="22"/>
          <w:szCs w:val="22"/>
          <w:rtl w:val="0"/>
        </w:rPr>
        <w:t xml:space="preserve">, a través de la resolución que para tal efecto emita el Comité de Transparencia.</w:t>
      </w:r>
      <w:r w:rsidDel="00000000" w:rsidR="00000000" w:rsidRPr="00000000">
        <w:rPr>
          <w:rtl w:val="0"/>
        </w:rPr>
      </w:r>
    </w:p>
    <w:p w:rsidR="00000000" w:rsidDel="00000000" w:rsidP="00000000" w:rsidRDefault="00000000" w:rsidRPr="00000000" w14:paraId="00000213">
      <w:pPr>
        <w:pBdr>
          <w:top w:space="0" w:sz="0" w:val="nil"/>
          <w:left w:space="0" w:sz="0" w:val="nil"/>
          <w:bottom w:space="0" w:sz="0" w:val="nil"/>
          <w:right w:space="0" w:sz="0" w:val="nil"/>
          <w:between w:space="0" w:sz="0" w:val="nil"/>
        </w:pBdr>
        <w:ind w:left="709" w:right="709" w:firstLine="0"/>
        <w:jc w:val="both"/>
        <w:rPr/>
      </w:pPr>
      <w:r w:rsidDel="00000000" w:rsidR="00000000" w:rsidRPr="00000000">
        <w:rPr>
          <w:rFonts w:ascii="Palatino Linotype" w:cs="Palatino Linotype" w:eastAsia="Palatino Linotype" w:hAnsi="Palatino Linotype"/>
          <w:b w:val="1"/>
          <w:i w:val="1"/>
          <w:sz w:val="22"/>
          <w:szCs w:val="22"/>
          <w:rtl w:val="0"/>
        </w:rPr>
        <w:t xml:space="preserve">Cuarto.</w:t>
      </w:r>
      <w:r w:rsidDel="00000000" w:rsidR="00000000" w:rsidRPr="00000000">
        <w:rPr>
          <w:rFonts w:ascii="Palatino Linotype" w:cs="Palatino Linotype" w:eastAsia="Palatino Linotype" w:hAnsi="Palatino Linotype"/>
          <w:i w:val="1"/>
          <w:sz w:val="22"/>
          <w:szCs w:val="22"/>
          <w:rtl w:val="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r w:rsidDel="00000000" w:rsidR="00000000" w:rsidRPr="00000000">
        <w:rPr>
          <w:rtl w:val="0"/>
        </w:rPr>
      </w:r>
    </w:p>
    <w:p w:rsidR="00000000" w:rsidDel="00000000" w:rsidP="00000000" w:rsidRDefault="00000000" w:rsidRPr="00000000" w14:paraId="00000214">
      <w:pPr>
        <w:pBdr>
          <w:top w:space="0" w:sz="0" w:val="nil"/>
          <w:left w:space="0" w:sz="0" w:val="nil"/>
          <w:bottom w:space="0" w:sz="0" w:val="nil"/>
          <w:right w:space="0" w:sz="0" w:val="nil"/>
          <w:between w:space="0" w:sz="0" w:val="nil"/>
        </w:pBdr>
        <w:ind w:left="709" w:right="709" w:firstLine="0"/>
        <w:jc w:val="both"/>
        <w:rPr/>
      </w:pPr>
      <w:r w:rsidDel="00000000" w:rsidR="00000000" w:rsidRPr="00000000">
        <w:rPr>
          <w:rFonts w:ascii="Palatino Linotype" w:cs="Palatino Linotype" w:eastAsia="Palatino Linotype" w:hAnsi="Palatino Linotype"/>
          <w:i w:val="1"/>
          <w:sz w:val="22"/>
          <w:szCs w:val="22"/>
          <w:rtl w:val="0"/>
        </w:rPr>
        <w:t xml:space="preserve">Los sujetos obligados deberán aplicar, de manera estricta, las excepciones al derecho de acceso a la información y sólo podrán invocarlas cuando acrediten su procedencia.</w:t>
      </w:r>
      <w:r w:rsidDel="00000000" w:rsidR="00000000" w:rsidRPr="00000000">
        <w:rPr>
          <w:rtl w:val="0"/>
        </w:rPr>
      </w:r>
    </w:p>
    <w:p w:rsidR="00000000" w:rsidDel="00000000" w:rsidP="00000000" w:rsidRDefault="00000000" w:rsidRPr="00000000" w14:paraId="00000215">
      <w:pPr>
        <w:pBdr>
          <w:top w:space="0" w:sz="0" w:val="nil"/>
          <w:left w:space="0" w:sz="0" w:val="nil"/>
          <w:bottom w:space="0" w:sz="0" w:val="nil"/>
          <w:right w:space="0" w:sz="0" w:val="nil"/>
          <w:between w:space="0" w:sz="0" w:val="nil"/>
        </w:pBdr>
        <w:ind w:left="709" w:right="709" w:firstLine="0"/>
        <w:jc w:val="both"/>
        <w:rPr/>
      </w:pPr>
      <w:r w:rsidDel="00000000" w:rsidR="00000000" w:rsidRPr="00000000">
        <w:rPr>
          <w:rFonts w:ascii="Palatino Linotype" w:cs="Palatino Linotype" w:eastAsia="Palatino Linotype" w:hAnsi="Palatino Linotype"/>
          <w:b w:val="1"/>
          <w:i w:val="1"/>
          <w:sz w:val="22"/>
          <w:szCs w:val="22"/>
          <w:rtl w:val="0"/>
        </w:rPr>
        <w:t xml:space="preserve">Quinto.</w:t>
      </w:r>
      <w:r w:rsidDel="00000000" w:rsidR="00000000" w:rsidRPr="00000000">
        <w:rPr>
          <w:rFonts w:ascii="Palatino Linotype" w:cs="Palatino Linotype" w:eastAsia="Palatino Linotype" w:hAnsi="Palatino Linotype"/>
          <w:i w:val="1"/>
          <w:sz w:val="22"/>
          <w:szCs w:val="22"/>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r w:rsidDel="00000000" w:rsidR="00000000" w:rsidRPr="00000000">
        <w:rPr>
          <w:rtl w:val="0"/>
        </w:rPr>
      </w:r>
    </w:p>
    <w:p w:rsidR="00000000" w:rsidDel="00000000" w:rsidP="00000000" w:rsidRDefault="00000000" w:rsidRPr="00000000" w14:paraId="00000216">
      <w:pPr>
        <w:pBdr>
          <w:top w:space="0" w:sz="0" w:val="nil"/>
          <w:left w:space="0" w:sz="0" w:val="nil"/>
          <w:bottom w:space="0" w:sz="0" w:val="nil"/>
          <w:right w:space="0" w:sz="0" w:val="nil"/>
          <w:between w:space="0" w:sz="0" w:val="nil"/>
        </w:pBdr>
        <w:ind w:left="709" w:right="709" w:firstLine="0"/>
        <w:jc w:val="both"/>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217">
      <w:pPr>
        <w:pBdr>
          <w:top w:space="0" w:sz="0" w:val="nil"/>
          <w:left w:space="0" w:sz="0" w:val="nil"/>
          <w:bottom w:space="0" w:sz="0" w:val="nil"/>
          <w:right w:space="0" w:sz="0" w:val="nil"/>
          <w:between w:space="0" w:sz="0" w:val="nil"/>
        </w:pBdr>
        <w:ind w:left="709" w:right="709" w:firstLine="0"/>
        <w:jc w:val="both"/>
        <w:rPr/>
      </w:pPr>
      <w:r w:rsidDel="00000000" w:rsidR="00000000" w:rsidRPr="00000000">
        <w:rPr>
          <w:rFonts w:ascii="Palatino Linotype" w:cs="Palatino Linotype" w:eastAsia="Palatino Linotype" w:hAnsi="Palatino Linotype"/>
          <w:b w:val="1"/>
          <w:i w:val="1"/>
          <w:sz w:val="22"/>
          <w:szCs w:val="22"/>
          <w:rtl w:val="0"/>
        </w:rPr>
        <w:t xml:space="preserve">Séptimo.</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r w:rsidDel="00000000" w:rsidR="00000000" w:rsidRPr="00000000">
        <w:rPr>
          <w:rtl w:val="0"/>
        </w:rPr>
      </w:r>
    </w:p>
    <w:p w:rsidR="00000000" w:rsidDel="00000000" w:rsidP="00000000" w:rsidRDefault="00000000" w:rsidRPr="00000000" w14:paraId="00000218">
      <w:pPr>
        <w:pBdr>
          <w:top w:space="0" w:sz="0" w:val="nil"/>
          <w:left w:space="0" w:sz="0" w:val="nil"/>
          <w:bottom w:space="0" w:sz="0" w:val="nil"/>
          <w:right w:space="0" w:sz="0" w:val="nil"/>
          <w:between w:space="0" w:sz="0" w:val="nil"/>
        </w:pBdr>
        <w:ind w:left="709" w:right="709" w:firstLine="0"/>
        <w:jc w:val="both"/>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r w:rsidDel="00000000" w:rsidR="00000000" w:rsidRPr="00000000">
        <w:rPr>
          <w:rtl w:val="0"/>
        </w:rPr>
      </w:r>
    </w:p>
    <w:p w:rsidR="00000000" w:rsidDel="00000000" w:rsidP="00000000" w:rsidRDefault="00000000" w:rsidRPr="00000000" w14:paraId="00000219">
      <w:pPr>
        <w:pBdr>
          <w:top w:space="0" w:sz="0" w:val="nil"/>
          <w:left w:space="0" w:sz="0" w:val="nil"/>
          <w:bottom w:space="0" w:sz="0" w:val="nil"/>
          <w:right w:space="0" w:sz="0" w:val="nil"/>
          <w:between w:space="0" w:sz="0" w:val="nil"/>
        </w:pBd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del Comité de Transparencia, el órgano garante </w:t>
      </w:r>
    </w:p>
    <w:p w:rsidR="00000000" w:rsidDel="00000000" w:rsidP="00000000" w:rsidRDefault="00000000" w:rsidRPr="00000000" w14:paraId="0000021A">
      <w:pPr>
        <w:pBdr>
          <w:top w:space="0" w:sz="0" w:val="nil"/>
          <w:left w:space="0" w:sz="0" w:val="nil"/>
          <w:bottom w:space="0" w:sz="0" w:val="nil"/>
          <w:right w:space="0" w:sz="0" w:val="nil"/>
          <w:between w:space="0" w:sz="0" w:val="nil"/>
        </w:pBdr>
        <w:ind w:left="709" w:right="709" w:firstLine="0"/>
        <w:jc w:val="both"/>
        <w:rPr/>
      </w:pPr>
      <w:r w:rsidDel="00000000" w:rsidR="00000000" w:rsidRPr="00000000">
        <w:rPr>
          <w:rFonts w:ascii="Palatino Linotype" w:cs="Palatino Linotype" w:eastAsia="Palatino Linotype" w:hAnsi="Palatino Linotype"/>
          <w:i w:val="1"/>
          <w:sz w:val="22"/>
          <w:szCs w:val="22"/>
          <w:rtl w:val="0"/>
        </w:rPr>
        <w:t xml:space="preserve">competente, o en cumplimiento a una sentencia del Poder Judicial; o</w:t>
      </w:r>
      <w:r w:rsidDel="00000000" w:rsidR="00000000" w:rsidRPr="00000000">
        <w:rPr>
          <w:rtl w:val="0"/>
        </w:rPr>
      </w:r>
    </w:p>
    <w:p w:rsidR="00000000" w:rsidDel="00000000" w:rsidP="00000000" w:rsidRDefault="00000000" w:rsidRPr="00000000" w14:paraId="0000021B">
      <w:pPr>
        <w:pBdr>
          <w:top w:space="0" w:sz="0" w:val="nil"/>
          <w:left w:space="0" w:sz="0" w:val="nil"/>
          <w:bottom w:space="0" w:sz="0" w:val="nil"/>
          <w:right w:space="0" w:sz="0" w:val="nil"/>
          <w:between w:space="0" w:sz="0" w:val="nil"/>
        </w:pBdr>
        <w:ind w:left="709" w:right="709" w:firstLine="0"/>
        <w:jc w:val="both"/>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la Ley General, la Ley Federal y las correspondientes de las entidades federativas.</w:t>
      </w:r>
      <w:r w:rsidDel="00000000" w:rsidR="00000000" w:rsidRPr="00000000">
        <w:rPr>
          <w:rtl w:val="0"/>
        </w:rPr>
      </w:r>
    </w:p>
    <w:p w:rsidR="00000000" w:rsidDel="00000000" w:rsidP="00000000" w:rsidRDefault="00000000" w:rsidRPr="00000000" w14:paraId="0000021C">
      <w:pPr>
        <w:pBdr>
          <w:top w:space="0" w:sz="0" w:val="nil"/>
          <w:left w:space="0" w:sz="0" w:val="nil"/>
          <w:bottom w:space="0" w:sz="0" w:val="nil"/>
          <w:right w:space="0" w:sz="0" w:val="nil"/>
          <w:between w:space="0" w:sz="0" w:val="nil"/>
        </w:pBdr>
        <w:ind w:left="709" w:right="709" w:firstLine="0"/>
        <w:jc w:val="both"/>
        <w:rPr/>
      </w:pPr>
      <w:r w:rsidDel="00000000" w:rsidR="00000000" w:rsidRPr="00000000">
        <w:rPr>
          <w:rFonts w:ascii="Palatino Linotype" w:cs="Palatino Linotype" w:eastAsia="Palatino Linotype" w:hAnsi="Palatino Linotype"/>
          <w:i w:val="1"/>
          <w:sz w:val="22"/>
          <w:szCs w:val="22"/>
          <w:rtl w:val="0"/>
        </w:rPr>
        <w:t xml:space="preserve">Los titulares de las áreas deberán revisar la clasificación al momento de la recepción de una solicitud de acceso a la información, para verificar si encuadra en una causal de reserva o de confidencialidad.</w:t>
      </w:r>
      <w:r w:rsidDel="00000000" w:rsidR="00000000" w:rsidRPr="00000000">
        <w:rPr>
          <w:rtl w:val="0"/>
        </w:rPr>
      </w:r>
    </w:p>
    <w:p w:rsidR="00000000" w:rsidDel="00000000" w:rsidP="00000000" w:rsidRDefault="00000000" w:rsidRPr="00000000" w14:paraId="0000021D">
      <w:pPr>
        <w:pBdr>
          <w:top w:space="0" w:sz="0" w:val="nil"/>
          <w:left w:space="0" w:sz="0" w:val="nil"/>
          <w:bottom w:space="0" w:sz="0" w:val="nil"/>
          <w:right w:space="0" w:sz="0" w:val="nil"/>
          <w:between w:space="0" w:sz="0" w:val="nil"/>
        </w:pBdr>
        <w:ind w:left="709" w:right="709" w:firstLine="0"/>
        <w:jc w:val="both"/>
        <w:rPr/>
      </w:pPr>
      <w:r w:rsidDel="00000000" w:rsidR="00000000" w:rsidRPr="00000000">
        <w:rPr>
          <w:rFonts w:ascii="Palatino Linotype" w:cs="Palatino Linotype" w:eastAsia="Palatino Linotype" w:hAnsi="Palatino Linotype"/>
          <w:b w:val="1"/>
          <w:i w:val="1"/>
          <w:sz w:val="22"/>
          <w:szCs w:val="22"/>
          <w:rtl w:val="0"/>
        </w:rPr>
        <w:t xml:space="preserve">Octavo.</w:t>
      </w:r>
      <w:r w:rsidDel="00000000" w:rsidR="00000000" w:rsidRPr="00000000">
        <w:rPr>
          <w:rFonts w:ascii="Palatino Linotype" w:cs="Palatino Linotype" w:eastAsia="Palatino Linotype" w:hAnsi="Palatino Linotype"/>
          <w:i w:val="1"/>
          <w:sz w:val="22"/>
          <w:szCs w:val="22"/>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r w:rsidDel="00000000" w:rsidR="00000000" w:rsidRPr="00000000">
        <w:rPr>
          <w:rtl w:val="0"/>
        </w:rPr>
      </w:r>
    </w:p>
    <w:p w:rsidR="00000000" w:rsidDel="00000000" w:rsidP="00000000" w:rsidRDefault="00000000" w:rsidRPr="00000000" w14:paraId="0000021E">
      <w:pPr>
        <w:pBdr>
          <w:top w:space="0" w:sz="0" w:val="nil"/>
          <w:left w:space="0" w:sz="0" w:val="nil"/>
          <w:bottom w:space="0" w:sz="0" w:val="nil"/>
          <w:right w:space="0" w:sz="0" w:val="nil"/>
          <w:between w:space="0" w:sz="0" w:val="nil"/>
        </w:pBdr>
        <w:ind w:left="709" w:right="709" w:firstLine="0"/>
        <w:jc w:val="both"/>
        <w:rPr/>
      </w:pPr>
      <w:r w:rsidDel="00000000" w:rsidR="00000000" w:rsidRPr="00000000">
        <w:rPr>
          <w:rFonts w:ascii="Palatino Linotype" w:cs="Palatino Linotype" w:eastAsia="Palatino Linotype" w:hAnsi="Palatino Linotype"/>
          <w:i w:val="1"/>
          <w:sz w:val="22"/>
          <w:szCs w:val="22"/>
          <w:rtl w:val="0"/>
        </w:rPr>
        <w:t xml:space="preserve">Para motivar la clasificación se deberán señalar las razones o circunstancias especiales que lo llevaron a concluir que el caso particular se ajusta al supuesto previsto por la norma legal invocada como fundamento.</w:t>
      </w:r>
      <w:r w:rsidDel="00000000" w:rsidR="00000000" w:rsidRPr="00000000">
        <w:rPr>
          <w:rtl w:val="0"/>
        </w:rPr>
      </w:r>
    </w:p>
    <w:p w:rsidR="00000000" w:rsidDel="00000000" w:rsidP="00000000" w:rsidRDefault="00000000" w:rsidRPr="00000000" w14:paraId="0000021F">
      <w:pPr>
        <w:pBdr>
          <w:top w:space="0" w:sz="0" w:val="nil"/>
          <w:left w:space="0" w:sz="0" w:val="nil"/>
          <w:bottom w:space="0" w:sz="0" w:val="nil"/>
          <w:right w:space="0" w:sz="0" w:val="nil"/>
          <w:between w:space="0" w:sz="0" w:val="nil"/>
        </w:pBd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rsidR="00000000" w:rsidDel="00000000" w:rsidP="00000000" w:rsidRDefault="00000000" w:rsidRPr="00000000" w14:paraId="00000220">
      <w:pPr>
        <w:pBdr>
          <w:top w:space="0" w:sz="0" w:val="nil"/>
          <w:left w:space="0" w:sz="0" w:val="nil"/>
          <w:bottom w:space="0" w:sz="0" w:val="nil"/>
          <w:right w:space="0" w:sz="0" w:val="nil"/>
          <w:between w:space="0" w:sz="0" w:val="nil"/>
        </w:pBdr>
        <w:ind w:left="709" w:right="709" w:firstLine="0"/>
        <w:jc w:val="both"/>
        <w:rPr/>
      </w:pPr>
      <w:r w:rsidDel="00000000" w:rsidR="00000000" w:rsidRPr="00000000">
        <w:rPr>
          <w:rFonts w:ascii="Palatino Linotype" w:cs="Palatino Linotype" w:eastAsia="Palatino Linotype" w:hAnsi="Palatino Linotype"/>
          <w:b w:val="1"/>
          <w:i w:val="1"/>
          <w:sz w:val="22"/>
          <w:szCs w:val="22"/>
          <w:rtl w:val="0"/>
        </w:rPr>
        <w:t xml:space="preserve">Noveno.</w:t>
      </w:r>
      <w:r w:rsidDel="00000000" w:rsidR="00000000" w:rsidRPr="00000000">
        <w:rPr>
          <w:rFonts w:ascii="Palatino Linotype" w:cs="Palatino Linotype" w:eastAsia="Palatino Linotype" w:hAnsi="Palatino Linotype"/>
          <w:i w:val="1"/>
          <w:sz w:val="22"/>
          <w:szCs w:val="22"/>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r w:rsidDel="00000000" w:rsidR="00000000" w:rsidRPr="00000000">
        <w:rPr>
          <w:rtl w:val="0"/>
        </w:rPr>
      </w:r>
    </w:p>
    <w:p w:rsidR="00000000" w:rsidDel="00000000" w:rsidP="00000000" w:rsidRDefault="00000000" w:rsidRPr="00000000" w14:paraId="00000221">
      <w:pPr>
        <w:pBdr>
          <w:top w:space="0" w:sz="0" w:val="nil"/>
          <w:left w:space="0" w:sz="0" w:val="nil"/>
          <w:bottom w:space="0" w:sz="0" w:val="nil"/>
          <w:right w:space="0" w:sz="0" w:val="nil"/>
          <w:between w:space="0" w:sz="0" w:val="nil"/>
        </w:pBdr>
        <w:ind w:left="709" w:right="709" w:firstLine="0"/>
        <w:jc w:val="both"/>
        <w:rPr/>
      </w:pPr>
      <w:r w:rsidDel="00000000" w:rsidR="00000000" w:rsidRPr="00000000">
        <w:rPr>
          <w:rFonts w:ascii="Palatino Linotype" w:cs="Palatino Linotype" w:eastAsia="Palatino Linotype" w:hAnsi="Palatino Linotype"/>
          <w:b w:val="1"/>
          <w:i w:val="1"/>
          <w:sz w:val="22"/>
          <w:szCs w:val="22"/>
          <w:rtl w:val="0"/>
        </w:rPr>
        <w:t xml:space="preserve">Décimo.</w:t>
      </w:r>
      <w:r w:rsidDel="00000000" w:rsidR="00000000" w:rsidRPr="00000000">
        <w:rPr>
          <w:rFonts w:ascii="Palatino Linotype" w:cs="Palatino Linotype" w:eastAsia="Palatino Linotype" w:hAnsi="Palatino Linotype"/>
          <w:i w:val="1"/>
          <w:sz w:val="22"/>
          <w:szCs w:val="22"/>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r w:rsidDel="00000000" w:rsidR="00000000" w:rsidRPr="00000000">
        <w:rPr>
          <w:rtl w:val="0"/>
        </w:rPr>
      </w:r>
    </w:p>
    <w:p w:rsidR="00000000" w:rsidDel="00000000" w:rsidP="00000000" w:rsidRDefault="00000000" w:rsidRPr="00000000" w14:paraId="00000222">
      <w:pPr>
        <w:pBdr>
          <w:top w:space="0" w:sz="0" w:val="nil"/>
          <w:left w:space="0" w:sz="0" w:val="nil"/>
          <w:bottom w:space="0" w:sz="0" w:val="nil"/>
          <w:right w:space="0" w:sz="0" w:val="nil"/>
          <w:between w:space="0" w:sz="0" w:val="nil"/>
        </w:pBdr>
        <w:ind w:left="709" w:right="709" w:firstLine="0"/>
        <w:jc w:val="both"/>
        <w:rPr/>
      </w:pPr>
      <w:r w:rsidDel="00000000" w:rsidR="00000000" w:rsidRPr="00000000">
        <w:rPr>
          <w:rFonts w:ascii="Palatino Linotype" w:cs="Palatino Linotype" w:eastAsia="Palatino Linotype" w:hAnsi="Palatino Linotype"/>
          <w:i w:val="1"/>
          <w:sz w:val="22"/>
          <w:szCs w:val="22"/>
          <w:rtl w:val="0"/>
        </w:rPr>
        <w:t xml:space="preserve">En ausencia de los titulares de las áreas, la información será clasificada o desclasificada por la persona que lo supla, en términos de la normativa que rija la actuación del sujeto obligado.</w:t>
      </w:r>
      <w:r w:rsidDel="00000000" w:rsidR="00000000" w:rsidRPr="00000000">
        <w:rPr>
          <w:rtl w:val="0"/>
        </w:rPr>
      </w:r>
    </w:p>
    <w:p w:rsidR="00000000" w:rsidDel="00000000" w:rsidP="00000000" w:rsidRDefault="00000000" w:rsidRPr="00000000" w14:paraId="00000223">
      <w:pPr>
        <w:pBdr>
          <w:top w:space="0" w:sz="0" w:val="nil"/>
          <w:left w:space="0" w:sz="0" w:val="nil"/>
          <w:bottom w:space="0" w:sz="0" w:val="nil"/>
          <w:right w:space="0" w:sz="0" w:val="nil"/>
          <w:between w:space="0" w:sz="0" w:val="nil"/>
        </w:pBdr>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 primero.</w:t>
      </w:r>
      <w:r w:rsidDel="00000000" w:rsidR="00000000" w:rsidRPr="00000000">
        <w:rPr>
          <w:rFonts w:ascii="Palatino Linotype" w:cs="Palatino Linotype" w:eastAsia="Palatino Linotype" w:hAnsi="Palatino Linotype"/>
          <w:i w:val="1"/>
          <w:sz w:val="22"/>
          <w:szCs w:val="22"/>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00000" w:rsidDel="00000000" w:rsidP="00000000" w:rsidRDefault="00000000" w:rsidRPr="00000000" w14:paraId="00000224">
      <w:pPr>
        <w:pBdr>
          <w:top w:space="0" w:sz="0" w:val="nil"/>
          <w:left w:space="0" w:sz="0" w:val="nil"/>
          <w:bottom w:space="0" w:sz="0" w:val="nil"/>
          <w:right w:space="0" w:sz="0" w:val="nil"/>
          <w:between w:space="0" w:sz="0" w:val="nil"/>
        </w:pBdr>
        <w:ind w:right="709"/>
        <w:jc w:val="both"/>
        <w:rPr/>
      </w:pPr>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ind w:left="709" w:right="709" w:firstLine="0"/>
        <w:jc w:val="both"/>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226">
      <w:pPr>
        <w:pBdr>
          <w:top w:space="0" w:sz="0" w:val="nil"/>
          <w:left w:space="0" w:sz="0" w:val="nil"/>
          <w:bottom w:space="0" w:sz="0" w:val="nil"/>
          <w:right w:space="0" w:sz="0" w:val="nil"/>
          <w:between w:space="0" w:sz="0" w:val="nil"/>
        </w:pBdr>
        <w:ind w:left="709" w:right="709" w:firstLine="0"/>
        <w:jc w:val="center"/>
        <w:rPr/>
      </w:pPr>
      <w:r w:rsidDel="00000000" w:rsidR="00000000" w:rsidRPr="00000000">
        <w:rPr>
          <w:rFonts w:ascii="Palatino Linotype" w:cs="Palatino Linotype" w:eastAsia="Palatino Linotype" w:hAnsi="Palatino Linotype"/>
          <w:b w:val="1"/>
          <w:i w:val="1"/>
          <w:sz w:val="22"/>
          <w:szCs w:val="22"/>
          <w:rtl w:val="0"/>
        </w:rPr>
        <w:t xml:space="preserve">CAPÍTULO VIII</w:t>
      </w:r>
      <w:r w:rsidDel="00000000" w:rsidR="00000000" w:rsidRPr="00000000">
        <w:rPr>
          <w:rtl w:val="0"/>
        </w:rPr>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after="160" w:lineRule="auto"/>
        <w:ind w:left="709" w:right="709" w:firstLine="0"/>
        <w:jc w:val="center"/>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DE LOS ELEMENTOS PARA LA CLASIFICACIÓN</w:t>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w:t>
      </w:r>
      <w:r w:rsidDel="00000000" w:rsidR="00000000" w:rsidRPr="00000000">
        <w:rPr>
          <w:rFonts w:ascii="Palatino Linotype" w:cs="Palatino Linotype" w:eastAsia="Palatino Linotype" w:hAnsi="Palatino Linotype"/>
          <w:i w:val="1"/>
          <w:sz w:val="22"/>
          <w:szCs w:val="22"/>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w:t>
      </w:r>
      <w:r w:rsidDel="00000000" w:rsidR="00000000" w:rsidRPr="00000000">
        <w:rPr>
          <w:rFonts w:ascii="Palatino Linotype" w:cs="Palatino Linotype" w:eastAsia="Palatino Linotype" w:hAnsi="Palatino Linotype"/>
          <w:i w:val="1"/>
          <w:sz w:val="22"/>
          <w:szCs w:val="22"/>
          <w:rtl w:val="0"/>
        </w:rPr>
        <w:t xml:space="preserve">. Toda acta del Comité de Transparencia deberá contener:</w:t>
      </w:r>
    </w:p>
    <w:p w:rsidR="00000000" w:rsidDel="00000000" w:rsidP="00000000" w:rsidRDefault="00000000" w:rsidRPr="00000000" w14:paraId="0000022A">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número de sesión y fecha; </w:t>
      </w:r>
    </w:p>
    <w:p w:rsidR="00000000" w:rsidDel="00000000" w:rsidP="00000000" w:rsidRDefault="00000000" w:rsidRPr="00000000" w14:paraId="0000022B">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nombre del área que solicitó la clasificación de información;</w:t>
      </w:r>
    </w:p>
    <w:p w:rsidR="00000000" w:rsidDel="00000000" w:rsidP="00000000" w:rsidRDefault="00000000" w:rsidRPr="00000000" w14:paraId="0000022C">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fundamentación legal y motivación correspondiente;</w:t>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La resolución o resoluciones aprobadas; y</w:t>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rúbrica o firma digital de cada integrante del Comité de Transparencia. </w:t>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Las resoluciones del Comité en las que se haya determinado confirmar o modificar la clasificación de información pública como reservada, deberán incluir, cuando menos:</w:t>
      </w:r>
    </w:p>
    <w:p w:rsidR="00000000" w:rsidDel="00000000" w:rsidP="00000000" w:rsidRDefault="00000000" w:rsidRPr="00000000" w14:paraId="00000230">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Los motivos y razonamientos que sustenten la confirmación o modificación de la prueba de daño;</w:t>
      </w:r>
    </w:p>
    <w:p w:rsidR="00000000" w:rsidDel="00000000" w:rsidP="00000000" w:rsidRDefault="00000000" w:rsidRPr="00000000" w14:paraId="00000231">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Descripción de las partes o secciones reservadas, en caso de clasificación parcial;</w:t>
      </w:r>
    </w:p>
    <w:p w:rsidR="00000000" w:rsidDel="00000000" w:rsidP="00000000" w:rsidRDefault="00000000" w:rsidRPr="00000000" w14:paraId="00000232">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El periodo por el que mantendrá su clasificación y fecha de expiración; y</w:t>
      </w:r>
    </w:p>
    <w:p w:rsidR="00000000" w:rsidDel="00000000" w:rsidP="00000000" w:rsidRDefault="00000000" w:rsidRPr="00000000" w14:paraId="00000233">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El nombre del titular y área encargada de realizar la versión pública del documento, en su caso.</w:t>
      </w:r>
    </w:p>
    <w:p w:rsidR="00000000" w:rsidDel="00000000" w:rsidP="00000000" w:rsidRDefault="00000000" w:rsidRPr="00000000" w14:paraId="00000234">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235">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236">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w:t>
      </w:r>
      <w:r w:rsidDel="00000000" w:rsidR="00000000" w:rsidRPr="00000000">
        <w:rPr>
          <w:rFonts w:ascii="Palatino Linotype" w:cs="Palatino Linotype" w:eastAsia="Palatino Linotype" w:hAnsi="Palatino Linotype"/>
          <w:i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237">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específico de la clasificación y elaboración de versiones públicas de documentos que contengan información confidencial, las áreas de los sujetos obligados deberán:</w:t>
      </w:r>
    </w:p>
    <w:p w:rsidR="00000000" w:rsidDel="00000000" w:rsidP="00000000" w:rsidRDefault="00000000" w:rsidRPr="00000000" w14:paraId="00000238">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Fijar la fecha en que se elaboró la versión pública y la fecha en la cual el Comité de Transparencia confirmó dicha versión;</w:t>
      </w:r>
    </w:p>
    <w:p w:rsidR="00000000" w:rsidDel="00000000" w:rsidP="00000000" w:rsidRDefault="00000000" w:rsidRPr="00000000" w14:paraId="00000239">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23A">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Señalar las personas o instancias autorizadas a acceder a la información clasificada.</w:t>
      </w:r>
    </w:p>
    <w:p w:rsidR="00000000" w:rsidDel="00000000" w:rsidP="00000000" w:rsidRDefault="00000000" w:rsidRPr="00000000" w14:paraId="0000023B">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23C">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23D">
      <w:pPr>
        <w:pBdr>
          <w:top w:space="0" w:sz="0" w:val="nil"/>
          <w:left w:space="0" w:sz="0" w:val="nil"/>
          <w:bottom w:space="0" w:sz="0" w:val="nil"/>
          <w:right w:space="0" w:sz="0" w:val="nil"/>
          <w:between w:space="0" w:sz="0" w:val="nil"/>
        </w:pBdr>
        <w:spacing w:after="160"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000000" w:rsidDel="00000000" w:rsidP="00000000" w:rsidRDefault="00000000" w:rsidRPr="00000000" w14:paraId="0000023E">
      <w:pPr>
        <w:pBdr>
          <w:top w:space="0" w:sz="0" w:val="nil"/>
          <w:left w:space="0" w:sz="0" w:val="nil"/>
          <w:bottom w:space="0" w:sz="0" w:val="nil"/>
          <w:right w:space="0" w:sz="0" w:val="nil"/>
          <w:between w:space="0" w:sz="0" w:val="nil"/>
        </w:pBdr>
        <w:spacing w:after="160" w:lineRule="auto"/>
        <w:ind w:left="709" w:right="709" w:firstLine="0"/>
        <w:jc w:val="both"/>
        <w:rPr/>
      </w:pPr>
      <w:r w:rsidDel="00000000" w:rsidR="00000000" w:rsidRPr="00000000">
        <w:rPr>
          <w:rFonts w:ascii="Palatino Linotype" w:cs="Palatino Linotype" w:eastAsia="Palatino Linotype" w:hAnsi="Palatino Linotype"/>
          <w:i w:val="1"/>
          <w:sz w:val="22"/>
          <w:szCs w:val="22"/>
          <w:rtl w:val="0"/>
        </w:rPr>
        <w:t xml:space="preserve">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r w:rsidDel="00000000" w:rsidR="00000000" w:rsidRPr="00000000">
        <w:rPr>
          <w:rtl w:val="0"/>
        </w:rPr>
      </w:r>
    </w:p>
    <w:p w:rsidR="00000000" w:rsidDel="00000000" w:rsidP="00000000" w:rsidRDefault="00000000" w:rsidRPr="00000000" w14:paraId="0000023F">
      <w:pPr>
        <w:spacing w:before="240" w:line="360" w:lineRule="auto"/>
        <w:ind w:right="5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4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Efectivamente, cuando se clasifica información como confidencial es importante someterlo al Comité de Transparencia, quien debe confirmar, modificar o revocar la clasificación.</w:t>
      </w:r>
    </w:p>
    <w:p w:rsidR="00000000" w:rsidDel="00000000" w:rsidP="00000000" w:rsidRDefault="00000000" w:rsidRPr="00000000" w14:paraId="0000024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42">
      <w:pPr>
        <w:shd w:fill="ffffff" w:val="clear"/>
        <w:spacing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la entrega de documentos en su versión pública debe acompañarse necesariamente del Acuerdo del Comité de Transparencia que la sustente, en el que se expongan los fundamentos y razonamientos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24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4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000000" w:rsidDel="00000000" w:rsidP="00000000" w:rsidRDefault="00000000" w:rsidRPr="00000000" w14:paraId="0000024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46">
      <w:pPr>
        <w:pBdr>
          <w:top w:space="0" w:sz="0" w:val="nil"/>
          <w:left w:space="0" w:sz="0" w:val="nil"/>
          <w:bottom w:space="0" w:sz="0" w:val="nil"/>
          <w:right w:space="0" w:sz="0" w:val="nil"/>
          <w:between w:space="0" w:sz="0" w:val="nil"/>
        </w:pBdr>
        <w:shd w:fill="ffffff" w:val="clear"/>
        <w:spacing w:after="20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247">
      <w:pPr>
        <w:widowControl w:val="0"/>
        <w:spacing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24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4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Se</w:t>
      </w:r>
      <w:r w:rsidDel="00000000" w:rsidR="00000000" w:rsidRPr="00000000">
        <w:rPr>
          <w:rtl w:val="0"/>
        </w:rPr>
        <w:t xml:space="preserve"> </w:t>
      </w:r>
      <w:r w:rsidDel="00000000" w:rsidR="00000000" w:rsidRPr="00000000">
        <w:rPr>
          <w:rFonts w:ascii="Palatino Linotype" w:cs="Palatino Linotype" w:eastAsia="Palatino Linotype" w:hAnsi="Palatino Linotype"/>
          <w:b w:val="1"/>
          <w:rtl w:val="0"/>
        </w:rPr>
        <w:t xml:space="preserve">REVOCA </w:t>
      </w:r>
      <w:r w:rsidDel="00000000" w:rsidR="00000000" w:rsidRPr="00000000">
        <w:rPr>
          <w:rFonts w:ascii="Palatino Linotype" w:cs="Palatino Linotype" w:eastAsia="Palatino Linotype" w:hAnsi="Palatino Linotype"/>
          <w:rtl w:val="0"/>
        </w:rPr>
        <w:t xml:space="preserve">la respuesta entregada por </w:t>
      </w:r>
      <w:r w:rsidDel="00000000" w:rsidR="00000000" w:rsidRPr="00000000">
        <w:rPr>
          <w:rFonts w:ascii="Palatino Linotype" w:cs="Palatino Linotype" w:eastAsia="Palatino Linotype" w:hAnsi="Palatino Linotype"/>
          <w:b w:val="1"/>
          <w:rtl w:val="0"/>
        </w:rPr>
        <w:t xml:space="preserve">EL SUJETO OBLIGADO </w:t>
      </w:r>
      <w:r w:rsidDel="00000000" w:rsidR="00000000" w:rsidRPr="00000000">
        <w:rPr>
          <w:rFonts w:ascii="Palatino Linotype" w:cs="Palatino Linotype" w:eastAsia="Palatino Linotype" w:hAnsi="Palatino Linotype"/>
          <w:rtl w:val="0"/>
        </w:rPr>
        <w:t xml:space="preserve">a la solicitud de información </w:t>
      </w:r>
      <w:r w:rsidDel="00000000" w:rsidR="00000000" w:rsidRPr="00000000">
        <w:rPr>
          <w:rFonts w:ascii="Palatino Linotype" w:cs="Palatino Linotype" w:eastAsia="Palatino Linotype" w:hAnsi="Palatino Linotype"/>
          <w:b w:val="1"/>
          <w:rtl w:val="0"/>
        </w:rPr>
        <w:t xml:space="preserve">00901/SESEA/IP/2024, </w:t>
      </w:r>
      <w:r w:rsidDel="00000000" w:rsidR="00000000" w:rsidRPr="00000000">
        <w:rPr>
          <w:rFonts w:ascii="Palatino Linotype" w:cs="Palatino Linotype" w:eastAsia="Palatino Linotype" w:hAnsi="Palatino Linotype"/>
          <w:rtl w:val="0"/>
        </w:rPr>
        <w:t xml:space="preserve">por resultar fundadas las razones o motivos de inconformidad hechos valer por </w:t>
      </w:r>
      <w:r w:rsidDel="00000000" w:rsidR="00000000" w:rsidRPr="00000000">
        <w:rPr>
          <w:rFonts w:ascii="Palatino Linotype" w:cs="Palatino Linotype" w:eastAsia="Palatino Linotype" w:hAnsi="Palatino Linotype"/>
          <w:b w:val="1"/>
          <w:rtl w:val="0"/>
        </w:rPr>
        <w:t xml:space="preserve">la parte RECURRENTE, </w:t>
      </w:r>
      <w:r w:rsidDel="00000000" w:rsidR="00000000" w:rsidRPr="00000000">
        <w:rPr>
          <w:rFonts w:ascii="Palatino Linotype" w:cs="Palatino Linotype" w:eastAsia="Palatino Linotype" w:hAnsi="Palatino Linotype"/>
          <w:rtl w:val="0"/>
        </w:rPr>
        <w:t xml:space="preserve">en el recurso de revisión </w:t>
      </w:r>
      <w:r w:rsidDel="00000000" w:rsidR="00000000" w:rsidRPr="00000000">
        <w:rPr>
          <w:rFonts w:ascii="Palatino Linotype" w:cs="Palatino Linotype" w:eastAsia="Palatino Linotype" w:hAnsi="Palatino Linotype"/>
          <w:b w:val="1"/>
          <w:rtl w:val="0"/>
        </w:rPr>
        <w:t xml:space="preserve">03419/INFOEM/IP/RR/2024,</w:t>
      </w:r>
      <w:r w:rsidDel="00000000" w:rsidR="00000000" w:rsidRPr="00000000">
        <w:rPr>
          <w:rFonts w:ascii="Palatino Linotype" w:cs="Palatino Linotype" w:eastAsia="Palatino Linotype" w:hAnsi="Palatino Linotype"/>
          <w:rtl w:val="0"/>
        </w:rPr>
        <w:t xml:space="preserve"> en términos del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de la presente Resolución.</w:t>
      </w:r>
    </w:p>
    <w:p w:rsidR="00000000" w:rsidDel="00000000" w:rsidP="00000000" w:rsidRDefault="00000000" w:rsidRPr="00000000" w14:paraId="0000024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4B">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w:t>
      </w:r>
      <w:r w:rsidDel="00000000" w:rsidR="00000000" w:rsidRPr="00000000">
        <w:rPr>
          <w:rFonts w:ascii="Palatino Linotype" w:cs="Palatino Linotype" w:eastAsia="Palatino Linotype" w:hAnsi="Palatino Linotype"/>
          <w:b w:val="1"/>
          <w:rtl w:val="0"/>
        </w:rPr>
        <w:t xml:space="preserve"> ORDENA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que,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en términos del Considerando Cuarto y Quinto, haga entrega previa búsqueda exhaustiva y razonable, vía Sistema de Acceso a la Información Mexiquense (SAIMEX) y en versión pública de ser procedente, del Suplente en la Titularidad de la Unidad de Planeación y Transparencia, en funciones al veinticuatro de mayo del año dos mil veinticuatro, del documento o documentos en donde conste lo siguiente:</w:t>
      </w:r>
    </w:p>
    <w:p w:rsidR="00000000" w:rsidDel="00000000" w:rsidP="00000000" w:rsidRDefault="00000000" w:rsidRPr="00000000" w14:paraId="0000024C">
      <w:pPr>
        <w:numPr>
          <w:ilvl w:val="0"/>
          <w:numId w:val="6"/>
        </w:numPr>
        <w:pBdr>
          <w:top w:space="0" w:sz="0" w:val="nil"/>
          <w:left w:space="0" w:sz="0" w:val="nil"/>
          <w:bottom w:space="0" w:sz="0" w:val="nil"/>
          <w:right w:space="0" w:sz="0" w:val="nil"/>
          <w:between w:space="0" w:sz="0" w:val="nil"/>
        </w:pBdr>
        <w:spacing w:line="360" w:lineRule="auto"/>
        <w:ind w:left="1276" w:right="49" w:hanging="720"/>
        <w:jc w:val="both"/>
        <w:rPr>
          <w:rFonts w:ascii="Palatino Linotype" w:cs="Palatino Linotype" w:eastAsia="Palatino Linotype" w:hAnsi="Palatino Linotype"/>
        </w:rPr>
      </w:pPr>
      <w:bookmarkStart w:colFirst="0" w:colLast="0" w:name="_heading=h.1fob9te" w:id="4"/>
      <w:bookmarkEnd w:id="4"/>
      <w:r w:rsidDel="00000000" w:rsidR="00000000" w:rsidRPr="00000000">
        <w:rPr>
          <w:rFonts w:ascii="Palatino Linotype" w:cs="Palatino Linotype" w:eastAsia="Palatino Linotype" w:hAnsi="Palatino Linotype"/>
          <w:rtl w:val="0"/>
        </w:rPr>
        <w:t xml:space="preserve">El certificado de competencia laboral.</w:t>
      </w:r>
    </w:p>
    <w:p w:rsidR="00000000" w:rsidDel="00000000" w:rsidP="00000000" w:rsidRDefault="00000000" w:rsidRPr="00000000" w14:paraId="0000024D">
      <w:pPr>
        <w:numPr>
          <w:ilvl w:val="0"/>
          <w:numId w:val="6"/>
        </w:numPr>
        <w:pBdr>
          <w:top w:space="0" w:sz="0" w:val="nil"/>
          <w:left w:space="0" w:sz="0" w:val="nil"/>
          <w:bottom w:space="0" w:sz="0" w:val="nil"/>
          <w:right w:space="0" w:sz="0" w:val="nil"/>
          <w:between w:space="0" w:sz="0" w:val="nil"/>
        </w:pBdr>
        <w:spacing w:line="360" w:lineRule="auto"/>
        <w:ind w:left="1276" w:right="49" w:hanging="72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sueldo neto.</w:t>
      </w:r>
    </w:p>
    <w:p w:rsidR="00000000" w:rsidDel="00000000" w:rsidP="00000000" w:rsidRDefault="00000000" w:rsidRPr="00000000" w14:paraId="0000024E">
      <w:pPr>
        <w:numPr>
          <w:ilvl w:val="0"/>
          <w:numId w:val="6"/>
        </w:numPr>
        <w:pBdr>
          <w:top w:space="0" w:sz="0" w:val="nil"/>
          <w:left w:space="0" w:sz="0" w:val="nil"/>
          <w:bottom w:space="0" w:sz="0" w:val="nil"/>
          <w:right w:space="0" w:sz="0" w:val="nil"/>
          <w:between w:space="0" w:sz="0" w:val="nil"/>
        </w:pBdr>
        <w:spacing w:line="360" w:lineRule="auto"/>
        <w:ind w:left="1276" w:right="49" w:hanging="72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grado de estudios.</w:t>
      </w:r>
    </w:p>
    <w:p w:rsidR="00000000" w:rsidDel="00000000" w:rsidP="00000000" w:rsidRDefault="00000000" w:rsidRPr="00000000" w14:paraId="0000024F">
      <w:pPr>
        <w:numPr>
          <w:ilvl w:val="0"/>
          <w:numId w:val="6"/>
        </w:numPr>
        <w:pBdr>
          <w:top w:space="0" w:sz="0" w:val="nil"/>
          <w:left w:space="0" w:sz="0" w:val="nil"/>
          <w:bottom w:space="0" w:sz="0" w:val="nil"/>
          <w:right w:space="0" w:sz="0" w:val="nil"/>
          <w:between w:space="0" w:sz="0" w:val="nil"/>
        </w:pBdr>
        <w:spacing w:line="360" w:lineRule="auto"/>
        <w:ind w:left="1276" w:right="49" w:hanging="72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fecha de ingreso.</w:t>
      </w:r>
    </w:p>
    <w:p w:rsidR="00000000" w:rsidDel="00000000" w:rsidP="00000000" w:rsidRDefault="00000000" w:rsidRPr="00000000" w14:paraId="00000250">
      <w:pPr>
        <w:numPr>
          <w:ilvl w:val="0"/>
          <w:numId w:val="6"/>
        </w:numPr>
        <w:pBdr>
          <w:top w:space="0" w:sz="0" w:val="nil"/>
          <w:left w:space="0" w:sz="0" w:val="nil"/>
          <w:bottom w:space="0" w:sz="0" w:val="nil"/>
          <w:right w:space="0" w:sz="0" w:val="nil"/>
          <w:between w:space="0" w:sz="0" w:val="nil"/>
        </w:pBdr>
        <w:spacing w:after="240" w:line="360" w:lineRule="auto"/>
        <w:ind w:left="1276" w:right="49" w:hanging="72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información curricular.</w:t>
      </w:r>
    </w:p>
    <w:p w:rsidR="00000000" w:rsidDel="00000000" w:rsidP="00000000" w:rsidRDefault="00000000" w:rsidRPr="00000000" w14:paraId="00000251">
      <w:pPr>
        <w:pBdr>
          <w:top w:space="0" w:sz="0" w:val="nil"/>
          <w:left w:space="0" w:sz="0" w:val="nil"/>
          <w:bottom w:space="0" w:sz="0" w:val="nil"/>
          <w:right w:space="0" w:sz="0" w:val="nil"/>
          <w:between w:space="0" w:sz="0" w:val="nil"/>
        </w:pBdr>
        <w:ind w:right="51"/>
        <w:jc w:val="both"/>
        <w:rPr>
          <w:rFonts w:ascii="Palatino Linotype" w:cs="Palatino Linotype" w:eastAsia="Palatino Linotype" w:hAnsi="Palatino Linotype"/>
          <w:i w:val="1"/>
          <w:sz w:val="21"/>
          <w:szCs w:val="21"/>
        </w:rPr>
      </w:pPr>
      <w:r w:rsidDel="00000000" w:rsidR="00000000" w:rsidRPr="00000000">
        <w:rPr>
          <w:rFonts w:ascii="Palatino Linotype" w:cs="Palatino Linotype" w:eastAsia="Palatino Linotype" w:hAnsi="Palatino Linotype"/>
          <w:i w:val="1"/>
          <w:sz w:val="21"/>
          <w:szCs w:val="21"/>
          <w:rtl w:val="0"/>
        </w:rPr>
        <w:t xml:space="preserve">De ser procedente 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w:t>
      </w:r>
      <w:r w:rsidDel="00000000" w:rsidR="00000000" w:rsidRPr="00000000">
        <w:rPr>
          <w:rFonts w:ascii="Palatino Linotype" w:cs="Palatino Linotype" w:eastAsia="Palatino Linotype" w:hAnsi="Palatino Linotype"/>
          <w:b w:val="1"/>
          <w:i w:val="1"/>
          <w:sz w:val="21"/>
          <w:szCs w:val="21"/>
          <w:rtl w:val="0"/>
        </w:rPr>
        <w:t xml:space="preserve">RECURRENTE</w:t>
      </w:r>
      <w:r w:rsidDel="00000000" w:rsidR="00000000" w:rsidRPr="00000000">
        <w:rPr>
          <w:rFonts w:ascii="Palatino Linotype" w:cs="Palatino Linotype" w:eastAsia="Palatino Linotype" w:hAnsi="Palatino Linotype"/>
          <w:i w:val="1"/>
          <w:sz w:val="21"/>
          <w:szCs w:val="21"/>
          <w:rtl w:val="0"/>
        </w:rPr>
        <w:t xml:space="preserve">, mismo que igualmente hará de su conocimiento.</w:t>
      </w:r>
    </w:p>
    <w:p w:rsidR="00000000" w:rsidDel="00000000" w:rsidP="00000000" w:rsidRDefault="00000000" w:rsidRPr="00000000" w14:paraId="00000252">
      <w:pPr>
        <w:pBdr>
          <w:top w:space="0" w:sz="0" w:val="nil"/>
          <w:left w:space="0" w:sz="0" w:val="nil"/>
          <w:bottom w:space="0" w:sz="0" w:val="nil"/>
          <w:right w:space="0" w:sz="0" w:val="nil"/>
          <w:between w:space="0" w:sz="0" w:val="nil"/>
        </w:pBdr>
        <w:ind w:left="567" w:right="51" w:firstLine="0"/>
        <w:jc w:val="both"/>
        <w:rPr>
          <w:rFonts w:ascii="Palatino Linotype" w:cs="Palatino Linotype" w:eastAsia="Palatino Linotype" w:hAnsi="Palatino Linotype"/>
          <w:i w:val="1"/>
          <w:sz w:val="21"/>
          <w:szCs w:val="21"/>
        </w:rPr>
      </w:pPr>
      <w:r w:rsidDel="00000000" w:rsidR="00000000" w:rsidRPr="00000000">
        <w:rPr>
          <w:rtl w:val="0"/>
        </w:rPr>
      </w:r>
    </w:p>
    <w:p w:rsidR="00000000" w:rsidDel="00000000" w:rsidP="00000000" w:rsidRDefault="00000000" w:rsidRPr="00000000" w14:paraId="00000253">
      <w:pPr>
        <w:pBdr>
          <w:top w:space="0" w:sz="0" w:val="nil"/>
          <w:left w:space="0" w:sz="0" w:val="nil"/>
          <w:bottom w:space="0" w:sz="0" w:val="nil"/>
          <w:right w:space="0" w:sz="0" w:val="nil"/>
          <w:between w:space="0" w:sz="0" w:val="nil"/>
        </w:pBdr>
        <w:ind w:right="49"/>
        <w:jc w:val="both"/>
        <w:rPr>
          <w:rFonts w:ascii="Palatino Linotype" w:cs="Palatino Linotype" w:eastAsia="Palatino Linotype" w:hAnsi="Palatino Linotype"/>
          <w:i w:val="1"/>
          <w:sz w:val="28"/>
          <w:szCs w:val="28"/>
        </w:rPr>
      </w:pPr>
      <w:r w:rsidDel="00000000" w:rsidR="00000000" w:rsidRPr="00000000">
        <w:rPr>
          <w:rFonts w:ascii="Palatino Linotype" w:cs="Palatino Linotype" w:eastAsia="Palatino Linotype" w:hAnsi="Palatino Linotype"/>
          <w:i w:val="1"/>
          <w:sz w:val="21"/>
          <w:szCs w:val="21"/>
          <w:rtl w:val="0"/>
        </w:rPr>
        <w:t xml:space="preserve">En el caso de que no se cuente con la certificación de competencia laboral, al no haber transcurrido los seis meses siguientes a la fecha en que inició funciones el Suplente en la Titularidad de la Unidad de Planeación y Transparencia, el Sujeto Obligado deberá hacerlo del conocimiento de manera clara y precisa, en términos de lo señalado por el segundo párrafo del artículo 19 de la Ley de la Materia</w:t>
      </w:r>
      <w:r w:rsidDel="00000000" w:rsidR="00000000" w:rsidRPr="00000000">
        <w:rPr>
          <w:rFonts w:ascii="Palatino Linotype" w:cs="Palatino Linotype" w:eastAsia="Palatino Linotype" w:hAnsi="Palatino Linotype"/>
          <w:i w:val="1"/>
          <w:sz w:val="28"/>
          <w:szCs w:val="28"/>
          <w:rtl w:val="0"/>
        </w:rPr>
        <w:t xml:space="preserve">.</w:t>
      </w:r>
    </w:p>
    <w:p w:rsidR="00000000" w:rsidDel="00000000" w:rsidP="00000000" w:rsidRDefault="00000000" w:rsidRPr="00000000" w14:paraId="00000254">
      <w:pPr>
        <w:pBdr>
          <w:top w:space="0" w:sz="0" w:val="nil"/>
          <w:left w:space="0" w:sz="0" w:val="nil"/>
          <w:bottom w:space="0" w:sz="0" w:val="nil"/>
          <w:right w:space="0" w:sz="0" w:val="nil"/>
          <w:between w:space="0" w:sz="0" w:val="nil"/>
        </w:pBdr>
        <w:ind w:left="567" w:right="4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55">
      <w:pPr>
        <w:ind w:right="49"/>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En caso, de no contar con la certificación del Suplente en la Titularidad de la Unidad de Planeación y Transparencia, que tengan más de seis meses en el encargo</w:t>
      </w:r>
      <w:r w:rsidDel="00000000" w:rsidR="00000000" w:rsidRPr="00000000">
        <w:rPr>
          <w:rFonts w:ascii="Palatino Linotype" w:cs="Palatino Linotype" w:eastAsia="Palatino Linotype" w:hAnsi="Palatino Linotype"/>
          <w:b w:val="1"/>
          <w:i w:val="1"/>
          <w:sz w:val="20"/>
          <w:szCs w:val="20"/>
          <w:rtl w:val="0"/>
        </w:rPr>
        <w:t xml:space="preserve">, </w:t>
      </w:r>
      <w:r w:rsidDel="00000000" w:rsidR="00000000" w:rsidRPr="00000000">
        <w:rPr>
          <w:rFonts w:ascii="Palatino Linotype" w:cs="Palatino Linotype" w:eastAsia="Palatino Linotype" w:hAnsi="Palatino Linotype"/>
          <w:i w:val="1"/>
          <w:sz w:val="20"/>
          <w:szCs w:val="20"/>
          <w:rtl w:val="0"/>
        </w:rPr>
        <w:t xml:space="preserve">su Comité de Transparencia deberá emitir el Acuerdo de Inexistencia, en términos de los artículos 49 fracción II y XIII, 169 y 170 de la Ley de Transparencia y Acceso a la Información Pública del Estado de México.</w:t>
      </w:r>
    </w:p>
    <w:p w:rsidR="00000000" w:rsidDel="00000000" w:rsidP="00000000" w:rsidRDefault="00000000" w:rsidRPr="00000000" w14:paraId="00000256">
      <w:pPr>
        <w:ind w:left="567" w:right="49" w:firstLine="0"/>
        <w:jc w:val="both"/>
        <w:rPr>
          <w:rFonts w:ascii="Palatino Linotype" w:cs="Palatino Linotype" w:eastAsia="Palatino Linotype" w:hAnsi="Palatino Linotype"/>
          <w:i w:val="1"/>
          <w:sz w:val="20"/>
          <w:szCs w:val="20"/>
        </w:rPr>
      </w:pPr>
      <w:r w:rsidDel="00000000" w:rsidR="00000000" w:rsidRPr="00000000">
        <w:rPr>
          <w:rtl w:val="0"/>
        </w:rPr>
      </w:r>
    </w:p>
    <w:p w:rsidR="00000000" w:rsidDel="00000000" w:rsidP="00000000" w:rsidRDefault="00000000" w:rsidRPr="00000000" w14:paraId="00000257">
      <w:pPr>
        <w:ind w:right="49"/>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Para el caso de que derivado de la búsqueda exhaustiva y razonable de la información que se ordena en el número “3”, no obre en los archivos del Sujeto Obligado por no haberse generado, poseído y/o administrado, bastará con que así lo haga del conocimiento de la parte Recurrente de manera fundada y motivada en términos de lo señalado por el segundo párrafo del artículo 19 de la Ley de Transparencia y Acceso a la Información Pública del Estado de México y Municipios.</w:t>
      </w:r>
    </w:p>
    <w:p w:rsidR="00000000" w:rsidDel="00000000" w:rsidP="00000000" w:rsidRDefault="00000000" w:rsidRPr="00000000" w14:paraId="00000258">
      <w:pPr>
        <w:pBdr>
          <w:top w:space="0" w:sz="0" w:val="nil"/>
          <w:left w:space="0" w:sz="0" w:val="nil"/>
          <w:bottom w:space="0" w:sz="0" w:val="nil"/>
          <w:right w:space="0" w:sz="0" w:val="nil"/>
          <w:between w:space="0" w:sz="0" w:val="nil"/>
        </w:pBdr>
        <w:ind w:left="567" w:right="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259">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Notifíquese vía SAIMEX </w:t>
      </w:r>
      <w:r w:rsidDel="00000000" w:rsidR="00000000" w:rsidRPr="00000000">
        <w:rPr>
          <w:rFonts w:ascii="Palatino Linotype" w:cs="Palatino Linotype" w:eastAsia="Palatino Linotype" w:hAnsi="Palatino Linotype"/>
          <w:rtl w:val="0"/>
        </w:rPr>
        <w:t xml:space="preserve">la presente resolución al T</w:t>
      </w:r>
      <w:r w:rsidDel="00000000" w:rsidR="00000000" w:rsidRPr="00000000">
        <w:rPr>
          <w:rFonts w:ascii="Palatino Linotype" w:cs="Palatino Linotype" w:eastAsia="Palatino Linotype" w:hAnsi="Palatino Linotype"/>
          <w:b w:val="1"/>
          <w:rtl w:val="0"/>
        </w:rPr>
        <w:t xml:space="preserve">itular de la Unidad de Transparencia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25A">
      <w:pPr>
        <w:spacing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25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w:t>
      </w:r>
      <w:r w:rsidDel="00000000" w:rsidR="00000000" w:rsidRPr="00000000">
        <w:rPr>
          <w:rFonts w:ascii="Palatino Linotype" w:cs="Palatino Linotype" w:eastAsia="Palatino Linotype" w:hAnsi="Palatino Linotype"/>
          <w:b w:val="1"/>
          <w:rtl w:val="0"/>
        </w:rPr>
        <w:t xml:space="preserve">EL 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25C">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25D">
      <w:pPr>
        <w:spacing w:line="360" w:lineRule="auto"/>
        <w:ind w:right="49"/>
        <w:jc w:val="both"/>
        <w:rPr>
          <w:rFonts w:ascii="Palatino Linotype" w:cs="Palatino Linotype" w:eastAsia="Palatino Linotype" w:hAnsi="Palatino Linotype"/>
        </w:rPr>
      </w:pPr>
      <w:bookmarkStart w:colFirst="0" w:colLast="0" w:name="_heading=h.2et92p0" w:id="5"/>
      <w:bookmarkEnd w:id="5"/>
      <w:r w:rsidDel="00000000" w:rsidR="00000000" w:rsidRPr="00000000">
        <w:rPr>
          <w:rFonts w:ascii="Palatino Linotype" w:cs="Palatino Linotype" w:eastAsia="Palatino Linotype" w:hAnsi="Palatino Linotype"/>
          <w:b w:val="1"/>
          <w:rtl w:val="0"/>
        </w:rPr>
        <w:t xml:space="preserve">QUINTO. Notifíquese vía SAIMEX</w:t>
      </w:r>
      <w:r w:rsidDel="00000000" w:rsidR="00000000" w:rsidRPr="00000000">
        <w:rPr>
          <w:rFonts w:ascii="Palatino Linotype" w:cs="Palatino Linotype" w:eastAsia="Palatino Linotype" w:hAnsi="Palatino Linotype"/>
          <w:rtl w:val="0"/>
        </w:rPr>
        <w:t xml:space="preserve">, 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rsidR="00000000" w:rsidDel="00000000" w:rsidP="00000000" w:rsidRDefault="00000000" w:rsidRPr="00000000" w14:paraId="0000025E">
      <w:pPr>
        <w:spacing w:after="240" w:before="240" w:line="360" w:lineRule="auto"/>
        <w:jc w:val="both"/>
        <w:rPr>
          <w:rFonts w:ascii="Palatino Linotype" w:cs="Palatino Linotype" w:eastAsia="Palatino Linotype" w:hAnsi="Palatino Linotype"/>
        </w:rPr>
        <w:sectPr>
          <w:headerReference r:id="rId14" w:type="default"/>
          <w:headerReference r:id="rId15" w:type="first"/>
          <w:footerReference r:id="rId16" w:type="default"/>
          <w:footerReference r:id="rId17" w:type="first"/>
          <w:pgSz w:h="15840" w:w="12240" w:orient="portrait"/>
          <w:pgMar w:bottom="1418" w:top="1985" w:left="1701" w:right="1701" w:header="709" w:footer="709"/>
          <w:pgNumType w:start="1"/>
          <w:titlePg w:val="1"/>
        </w:sectPr>
      </w:pPr>
      <w:bookmarkStart w:colFirst="0" w:colLast="0" w:name="_heading=h.3znysh7" w:id="6"/>
      <w:bookmarkEnd w:id="6"/>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(EMITIENDO VOTO  PARTICULAR), MARÍA DEL ROSARIO MEJÍA AYALA (EMITIENDO VOTO PARTICULAR), SHARON CRISTINA MORALES MARTÍNEZ, LUIS GUSTAVO PARRA NORIEGA (EMITIENDO VOTO PARTICULAR) Y GUADALUPE RAMÍREZ PEÑA (EMITIENDO VOTO PARTICULAR); EN LA TRIGÉSIMA SESIÓN ORDINARIA CELEBRADA EL VEINTIOCHO DE AGOSTO DE DOS MIL VEINTICUATRO, ANTE EL SECRETARIO TÉCNICO DEL PLENO ALEXIS TAPIA RAMÍREZ.</w:t>
      </w:r>
    </w:p>
    <w:p w:rsidR="00000000" w:rsidDel="00000000" w:rsidP="00000000" w:rsidRDefault="00000000" w:rsidRPr="00000000" w14:paraId="0000025F">
      <w:pPr>
        <w:spacing w:after="240" w:before="240" w:line="360" w:lineRule="auto"/>
        <w:jc w:val="both"/>
        <w:rPr>
          <w:rFonts w:ascii="Palatino Linotype" w:cs="Palatino Linotype" w:eastAsia="Palatino Linotype" w:hAnsi="Palatino Linotype"/>
        </w:rPr>
      </w:pPr>
      <w:r w:rsidDel="00000000" w:rsidR="00000000" w:rsidRPr="00000000">
        <w:rPr>
          <w:rtl w:val="0"/>
        </w:rPr>
      </w:r>
    </w:p>
    <w:sectPr>
      <w:headerReference r:id="rId18" w:type="first"/>
      <w:footerReference r:id="rId19" w:type="first"/>
      <w:type w:val="nextPage"/>
      <w:pgSz w:h="15840" w:w="12240" w:orient="portrait"/>
      <w:pgMar w:bottom="1418"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Verdana"/>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Página </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de </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73</w:t>
    </w:r>
    <w:r w:rsidDel="00000000" w:rsidR="00000000" w:rsidRPr="00000000">
      <w:rPr>
        <w:rtl w:val="0"/>
      </w:rPr>
    </w:r>
  </w:p>
  <w:p w:rsidR="00000000" w:rsidDel="00000000" w:rsidP="00000000" w:rsidRDefault="00000000" w:rsidRPr="00000000" w14:paraId="00000275">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6">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Página 1 de 74</w:t>
    </w:r>
    <w:r w:rsidDel="00000000" w:rsidR="00000000" w:rsidRPr="00000000">
      <w:rPr>
        <w:rtl w:val="0"/>
      </w:rPr>
    </w:r>
  </w:p>
  <w:p w:rsidR="00000000" w:rsidDel="00000000" w:rsidP="00000000" w:rsidRDefault="00000000" w:rsidRPr="00000000" w14:paraId="00000277">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ff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8">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Página 73 de 73</w:t>
    </w:r>
    <w:r w:rsidDel="00000000" w:rsidR="00000000" w:rsidRPr="00000000">
      <w:rPr>
        <w:rtl w:val="0"/>
      </w:rPr>
    </w:r>
  </w:p>
  <w:p w:rsidR="00000000" w:rsidDel="00000000" w:rsidP="00000000" w:rsidRDefault="00000000" w:rsidRPr="00000000" w14:paraId="00000279">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ff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0">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-1080127</wp:posOffset>
          </wp:positionH>
          <wp:positionV relativeFrom="paragraph">
            <wp:posOffset>-488307</wp:posOffset>
          </wp:positionV>
          <wp:extent cx="7809865" cy="10165715"/>
          <wp:effectExtent b="0" l="0" r="0" t="0"/>
          <wp:wrapNone/>
          <wp:docPr id="1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1"/>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26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262">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03419/INFOEM/IP/RR/2024</w:t>
          </w:r>
        </w:p>
      </w:tc>
    </w:tr>
    <w:tr>
      <w:trPr>
        <w:cantSplit w:val="0"/>
        <w:trHeight w:val="228" w:hRule="atLeast"/>
        <w:tblHeader w:val="0"/>
      </w:trPr>
      <w:tc>
        <w:tcPr>
          <w:shd w:fill="auto" w:val="clear"/>
          <w:vAlign w:val="center"/>
        </w:tcPr>
        <w:p w:rsidR="00000000" w:rsidDel="00000000" w:rsidP="00000000" w:rsidRDefault="00000000" w:rsidRPr="00000000" w14:paraId="0000026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264">
          <w:pPr>
            <w:ind w:right="175"/>
            <w:jc w:val="both"/>
            <w:rPr/>
          </w:pPr>
          <w:r w:rsidDel="00000000" w:rsidR="00000000" w:rsidRPr="00000000">
            <w:rPr>
              <w:rFonts w:ascii="Palatino Linotype" w:cs="Palatino Linotype" w:eastAsia="Palatino Linotype" w:hAnsi="Palatino Linotype"/>
              <w:b w:val="1"/>
              <w:sz w:val="22"/>
              <w:szCs w:val="22"/>
              <w:rtl w:val="0"/>
            </w:rPr>
            <w:t xml:space="preserve">Secretaría Ejecutiva del Sistema Estatal Anticorrupción.</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265">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266">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267">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8">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-1085846</wp:posOffset>
          </wp:positionH>
          <wp:positionV relativeFrom="paragraph">
            <wp:posOffset>-445450</wp:posOffset>
          </wp:positionV>
          <wp:extent cx="7810500" cy="10801717"/>
          <wp:effectExtent b="0" l="0" r="0" t="0"/>
          <wp:wrapNone/>
          <wp:docPr id="1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10500" cy="10801717"/>
                  </a:xfrm>
                  <a:prstGeom prst="rect"/>
                  <a:ln/>
                </pic:spPr>
              </pic:pic>
            </a:graphicData>
          </a:graphic>
        </wp:anchor>
      </w:drawing>
    </w:r>
  </w:p>
  <w:tbl>
    <w:tblPr>
      <w:tblStyle w:val="Table2"/>
      <w:tblW w:w="5670.0" w:type="dxa"/>
      <w:jc w:val="left"/>
      <w:tblInd w:w="3261.0" w:type="dxa"/>
      <w:tblLayout w:type="fixed"/>
      <w:tblLook w:val="0400"/>
    </w:tblPr>
    <w:tblGrid>
      <w:gridCol w:w="2551"/>
      <w:gridCol w:w="3119"/>
      <w:tblGridChange w:id="0">
        <w:tblGrid>
          <w:gridCol w:w="2551"/>
          <w:gridCol w:w="3119"/>
        </w:tblGrid>
      </w:tblGridChange>
    </w:tblGrid>
    <w:tr>
      <w:trPr>
        <w:cantSplit w:val="0"/>
        <w:tblHeader w:val="0"/>
      </w:trPr>
      <w:tc>
        <w:tcPr>
          <w:shd w:fill="auto" w:val="clear"/>
          <w:vAlign w:val="center"/>
        </w:tcPr>
        <w:p w:rsidR="00000000" w:rsidDel="00000000" w:rsidP="00000000" w:rsidRDefault="00000000" w:rsidRPr="00000000" w14:paraId="0000026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26A">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03419/INFOEM/IP/RR/2024</w:t>
          </w:r>
        </w:p>
      </w:tc>
    </w:tr>
    <w:tr>
      <w:trPr>
        <w:cantSplit w:val="0"/>
        <w:trHeight w:val="130" w:hRule="atLeast"/>
        <w:tblHeader w:val="0"/>
      </w:trPr>
      <w:tc>
        <w:tcPr>
          <w:shd w:fill="auto" w:val="clear"/>
          <w:vAlign w:val="center"/>
        </w:tcPr>
        <w:p w:rsidR="00000000" w:rsidDel="00000000" w:rsidP="00000000" w:rsidRDefault="00000000" w:rsidRPr="00000000" w14:paraId="0000026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26C">
          <w:pPr>
            <w:tabs>
              <w:tab w:val="left" w:leader="none" w:pos="3153"/>
            </w:tabs>
            <w:ind w:left="-45" w:firstLine="0"/>
            <w:jc w:val="both"/>
            <w:rPr>
              <w:rFonts w:ascii="Palatino Linotype" w:cs="Palatino Linotype" w:eastAsia="Palatino Linotype" w:hAnsi="Palatino Linotype"/>
              <w:b w:val="1"/>
              <w:sz w:val="22"/>
              <w:szCs w:val="22"/>
            </w:rPr>
          </w:pPr>
          <w:bookmarkStart w:colFirst="0" w:colLast="0" w:name="_heading=h.1t3h5sf" w:id="7"/>
          <w:bookmarkEnd w:id="7"/>
          <w:r w:rsidDel="00000000" w:rsidR="00000000" w:rsidRPr="00000000">
            <w:rPr>
              <w:rFonts w:ascii="Palatino Linotype" w:cs="Palatino Linotype" w:eastAsia="Palatino Linotype" w:hAnsi="Palatino Linotype"/>
              <w:b w:val="1"/>
              <w:sz w:val="22"/>
              <w:szCs w:val="22"/>
              <w:rtl w:val="0"/>
            </w:rPr>
            <w:t xml:space="preserve">XXXX XXXXXXXX XXXXXXX </w:t>
          </w:r>
        </w:p>
      </w:tc>
    </w:tr>
    <w:tr>
      <w:trPr>
        <w:cantSplit w:val="0"/>
        <w:trHeight w:val="228" w:hRule="atLeast"/>
        <w:tblHeader w:val="0"/>
      </w:trPr>
      <w:tc>
        <w:tcPr>
          <w:shd w:fill="auto" w:val="clear"/>
          <w:vAlign w:val="center"/>
        </w:tcPr>
        <w:p w:rsidR="00000000" w:rsidDel="00000000" w:rsidP="00000000" w:rsidRDefault="00000000" w:rsidRPr="00000000" w14:paraId="0000026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26E">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Secretaría Ejecutiva del Sistema Estatal Anticorrupción.</w:t>
          </w:r>
        </w:p>
      </w:tc>
    </w:tr>
    <w:tr>
      <w:trPr>
        <w:cantSplit w:val="0"/>
        <w:tblHeader w:val="0"/>
      </w:trPr>
      <w:tc>
        <w:tcPr>
          <w:shd w:fill="auto" w:val="clear"/>
          <w:vAlign w:val="center"/>
        </w:tcPr>
        <w:p w:rsidR="00000000" w:rsidDel="00000000" w:rsidP="00000000" w:rsidRDefault="00000000" w:rsidRPr="00000000" w14:paraId="0000026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270">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271">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2">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p>
  <w:p w:rsidR="00000000" w:rsidDel="00000000" w:rsidP="00000000" w:rsidRDefault="00000000" w:rsidRPr="00000000" w14:paraId="00000273">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1996" w:hanging="720"/>
      </w:pPr>
      <w:rPr/>
    </w:lvl>
    <w:lvl w:ilvl="1">
      <w:start w:val="1"/>
      <w:numFmt w:val="lowerLetter"/>
      <w:lvlText w:val="%2."/>
      <w:lvlJc w:val="left"/>
      <w:pPr>
        <w:ind w:left="2356" w:hanging="360"/>
      </w:pPr>
      <w:rPr/>
    </w:lvl>
    <w:lvl w:ilvl="2">
      <w:start w:val="1"/>
      <w:numFmt w:val="lowerRoman"/>
      <w:lvlText w:val="%3."/>
      <w:lvlJc w:val="right"/>
      <w:pPr>
        <w:ind w:left="3076" w:hanging="180"/>
      </w:pPr>
      <w:rPr/>
    </w:lvl>
    <w:lvl w:ilvl="3">
      <w:start w:val="1"/>
      <w:numFmt w:val="decimal"/>
      <w:lvlText w:val="%4."/>
      <w:lvlJc w:val="left"/>
      <w:pPr>
        <w:ind w:left="3796" w:hanging="360"/>
      </w:pPr>
      <w:rPr/>
    </w:lvl>
    <w:lvl w:ilvl="4">
      <w:start w:val="1"/>
      <w:numFmt w:val="lowerLetter"/>
      <w:lvlText w:val="%5."/>
      <w:lvlJc w:val="left"/>
      <w:pPr>
        <w:ind w:left="4516" w:hanging="360"/>
      </w:pPr>
      <w:rPr/>
    </w:lvl>
    <w:lvl w:ilvl="5">
      <w:start w:val="1"/>
      <w:numFmt w:val="lowerRoman"/>
      <w:lvlText w:val="%6."/>
      <w:lvlJc w:val="right"/>
      <w:pPr>
        <w:ind w:left="5236" w:hanging="180"/>
      </w:pPr>
      <w:rPr/>
    </w:lvl>
    <w:lvl w:ilvl="6">
      <w:start w:val="1"/>
      <w:numFmt w:val="decimal"/>
      <w:lvlText w:val="%7."/>
      <w:lvlJc w:val="left"/>
      <w:pPr>
        <w:ind w:left="5956" w:hanging="360"/>
      </w:pPr>
      <w:rPr/>
    </w:lvl>
    <w:lvl w:ilvl="7">
      <w:start w:val="1"/>
      <w:numFmt w:val="lowerLetter"/>
      <w:lvlText w:val="%8."/>
      <w:lvlJc w:val="left"/>
      <w:pPr>
        <w:ind w:left="6676" w:hanging="360"/>
      </w:pPr>
      <w:rPr/>
    </w:lvl>
    <w:lvl w:ilvl="8">
      <w:start w:val="1"/>
      <w:numFmt w:val="lowerRoman"/>
      <w:lvlText w:val="%9."/>
      <w:lvlJc w:val="right"/>
      <w:pPr>
        <w:ind w:left="7396" w:hanging="180"/>
      </w:pPr>
      <w:rPr/>
    </w:lvl>
  </w:abstractNum>
  <w:abstractNum w:abstractNumId="7">
    <w:lvl w:ilvl="0">
      <w:start w:val="1"/>
      <w:numFmt w:val="upperRoman"/>
      <w:lvlText w:val="%1."/>
      <w:lvlJc w:val="left"/>
      <w:pPr>
        <w:ind w:left="1996" w:hanging="720"/>
      </w:pPr>
      <w:rPr/>
    </w:lvl>
    <w:lvl w:ilvl="1">
      <w:start w:val="1"/>
      <w:numFmt w:val="lowerLetter"/>
      <w:lvlText w:val="%2."/>
      <w:lvlJc w:val="left"/>
      <w:pPr>
        <w:ind w:left="2356" w:hanging="360"/>
      </w:pPr>
      <w:rPr/>
    </w:lvl>
    <w:lvl w:ilvl="2">
      <w:start w:val="1"/>
      <w:numFmt w:val="lowerRoman"/>
      <w:lvlText w:val="%3."/>
      <w:lvlJc w:val="right"/>
      <w:pPr>
        <w:ind w:left="3076" w:hanging="180"/>
      </w:pPr>
      <w:rPr/>
    </w:lvl>
    <w:lvl w:ilvl="3">
      <w:start w:val="1"/>
      <w:numFmt w:val="decimal"/>
      <w:lvlText w:val="%4."/>
      <w:lvlJc w:val="left"/>
      <w:pPr>
        <w:ind w:left="3796" w:hanging="360"/>
      </w:pPr>
      <w:rPr/>
    </w:lvl>
    <w:lvl w:ilvl="4">
      <w:start w:val="1"/>
      <w:numFmt w:val="lowerLetter"/>
      <w:lvlText w:val="%5."/>
      <w:lvlJc w:val="left"/>
      <w:pPr>
        <w:ind w:left="4516" w:hanging="360"/>
      </w:pPr>
      <w:rPr/>
    </w:lvl>
    <w:lvl w:ilvl="5">
      <w:start w:val="1"/>
      <w:numFmt w:val="lowerRoman"/>
      <w:lvlText w:val="%6."/>
      <w:lvlJc w:val="right"/>
      <w:pPr>
        <w:ind w:left="5236" w:hanging="180"/>
      </w:pPr>
      <w:rPr/>
    </w:lvl>
    <w:lvl w:ilvl="6">
      <w:start w:val="1"/>
      <w:numFmt w:val="decimal"/>
      <w:lvlText w:val="%7."/>
      <w:lvlJc w:val="left"/>
      <w:pPr>
        <w:ind w:left="5956" w:hanging="360"/>
      </w:pPr>
      <w:rPr/>
    </w:lvl>
    <w:lvl w:ilvl="7">
      <w:start w:val="1"/>
      <w:numFmt w:val="lowerLetter"/>
      <w:lvlText w:val="%8."/>
      <w:lvlJc w:val="left"/>
      <w:pPr>
        <w:ind w:left="6676" w:hanging="360"/>
      </w:pPr>
      <w:rPr/>
    </w:lvl>
    <w:lvl w:ilvl="8">
      <w:start w:val="1"/>
      <w:numFmt w:val="lowerRoman"/>
      <w:lvlText w:val="%9."/>
      <w:lvlJc w:val="right"/>
      <w:pPr>
        <w:ind w:left="7396"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B2902"/>
  </w:style>
  <w:style w:type="paragraph" w:styleId="Ttulo1">
    <w:name w:val="heading 1"/>
    <w:basedOn w:val="Normal"/>
    <w:next w:val="Normal"/>
    <w:link w:val="Ttulo1Car"/>
    <w:uiPriority w:val="9"/>
    <w:qFormat w:val="1"/>
    <w:rsid w:val="00603D72"/>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unhideWhenUsed w:val="1"/>
    <w:qFormat w:val="1"/>
    <w:rsid w:val="00603D72"/>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semiHidden w:val="1"/>
    <w:unhideWhenUsed w:val="1"/>
    <w:qFormat w:val="1"/>
    <w:rsid w:val="003B73CD"/>
    <w:pPr>
      <w:keepNext w:val="1"/>
      <w:tabs>
        <w:tab w:val="num" w:pos="2160"/>
      </w:tabs>
      <w:spacing w:after="60" w:before="240"/>
      <w:ind w:left="2160" w:hanging="720"/>
      <w:outlineLvl w:val="2"/>
    </w:pPr>
    <w:rPr>
      <w:rFonts w:asciiTheme="majorHAnsi" w:cstheme="majorBidi" w:eastAsiaTheme="majorEastAsia" w:hAnsiTheme="majorHAnsi"/>
      <w:b w:val="1"/>
      <w:bCs w:val="1"/>
      <w:sz w:val="26"/>
      <w:szCs w:val="26"/>
      <w:lang w:eastAsia="en-US" w:val="en-US"/>
    </w:rPr>
  </w:style>
  <w:style w:type="paragraph" w:styleId="Ttulo4">
    <w:name w:val="heading 4"/>
    <w:basedOn w:val="Normal"/>
    <w:next w:val="Normal"/>
    <w:link w:val="Ttulo4Car"/>
    <w:uiPriority w:val="9"/>
    <w:semiHidden w:val="1"/>
    <w:unhideWhenUsed w:val="1"/>
    <w:qFormat w:val="1"/>
    <w:rsid w:val="003B73CD"/>
    <w:pPr>
      <w:keepNext w:val="1"/>
      <w:tabs>
        <w:tab w:val="num" w:pos="2880"/>
      </w:tabs>
      <w:spacing w:after="60" w:before="240"/>
      <w:ind w:left="2880" w:hanging="720"/>
      <w:outlineLvl w:val="3"/>
    </w:pPr>
    <w:rPr>
      <w:rFonts w:asciiTheme="minorHAnsi" w:cstheme="minorBidi" w:eastAsiaTheme="minorEastAsia" w:hAnsiTheme="minorHAnsi"/>
      <w:b w:val="1"/>
      <w:bCs w:val="1"/>
      <w:sz w:val="28"/>
      <w:szCs w:val="28"/>
      <w:lang w:eastAsia="en-US" w:val="en-US"/>
    </w:rPr>
  </w:style>
  <w:style w:type="paragraph" w:styleId="Ttulo5">
    <w:name w:val="heading 5"/>
    <w:basedOn w:val="Normal"/>
    <w:next w:val="Normal"/>
    <w:link w:val="Ttulo5Car"/>
    <w:uiPriority w:val="9"/>
    <w:semiHidden w:val="1"/>
    <w:unhideWhenUsed w:val="1"/>
    <w:qFormat w:val="1"/>
    <w:rsid w:val="003B73CD"/>
    <w:pPr>
      <w:tabs>
        <w:tab w:val="num" w:pos="3600"/>
      </w:tabs>
      <w:spacing w:after="60" w:before="240"/>
      <w:ind w:left="3600" w:hanging="720"/>
      <w:outlineLvl w:val="4"/>
    </w:pPr>
    <w:rPr>
      <w:rFonts w:asciiTheme="minorHAnsi" w:cstheme="minorBidi" w:eastAsiaTheme="minorEastAsia" w:hAnsiTheme="minorHAnsi"/>
      <w:b w:val="1"/>
      <w:bCs w:val="1"/>
      <w:i w:val="1"/>
      <w:iCs w:val="1"/>
      <w:sz w:val="26"/>
      <w:szCs w:val="26"/>
      <w:lang w:eastAsia="en-US" w:val="en-US"/>
    </w:rPr>
  </w:style>
  <w:style w:type="paragraph" w:styleId="Ttulo6">
    <w:name w:val="heading 6"/>
    <w:basedOn w:val="Normal"/>
    <w:next w:val="Normal"/>
    <w:link w:val="Ttulo6Car"/>
    <w:semiHidden w:val="1"/>
    <w:unhideWhenUsed w:val="1"/>
    <w:qFormat w:val="1"/>
    <w:rsid w:val="003B73CD"/>
    <w:pPr>
      <w:tabs>
        <w:tab w:val="num" w:pos="4320"/>
      </w:tabs>
      <w:spacing w:after="60" w:before="240"/>
      <w:ind w:left="4320" w:hanging="720"/>
      <w:outlineLvl w:val="5"/>
    </w:pPr>
    <w:rPr>
      <w:b w:val="1"/>
      <w:bCs w:val="1"/>
      <w:sz w:val="22"/>
      <w:szCs w:val="22"/>
      <w:lang w:eastAsia="en-US" w:val="en-US"/>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70703E"/>
    <w:pPr>
      <w:ind w:left="720"/>
      <w:contextualSpacing w:val="1"/>
    </w:p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lang w:val="es-MX"/>
    </w:rPr>
  </w:style>
  <w:style w:type="paragraph" w:styleId="NormalWeb">
    <w:name w:val="Normal (Web)"/>
    <w:basedOn w:val="Normal"/>
    <w:uiPriority w:val="99"/>
    <w:rsid w:val="000470FE"/>
    <w:pPr>
      <w:spacing w:after="100" w:afterAutospacing="1" w:before="100" w:beforeAutospacing="1"/>
    </w:p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2944C8"/>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2944C8"/>
    <w:rPr>
      <w:vertAlign w:val="superscript"/>
    </w:rPr>
  </w:style>
  <w:style w:type="paragraph" w:styleId="Sinespaciado">
    <w:name w:val="No Spacing"/>
    <w:aliases w:val="Francesa,Fundamentos,INAI"/>
    <w:link w:val="SinespaciadoCar"/>
    <w:uiPriority w:val="1"/>
    <w:qFormat w:val="1"/>
    <w:rsid w:val="002944C8"/>
    <w:rPr>
      <w:lang w:val="es-MX"/>
    </w:rPr>
  </w:style>
  <w:style w:type="paragraph" w:styleId="Textoindependiente2">
    <w:name w:val="Body Text 2"/>
    <w:basedOn w:val="Normal"/>
    <w:link w:val="Textoindependiente2Car"/>
    <w:uiPriority w:val="99"/>
    <w:unhideWhenUsed w:val="1"/>
    <w:rsid w:val="002944C8"/>
    <w:pPr>
      <w:spacing w:after="120" w:line="480" w:lineRule="auto"/>
    </w:p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val="es-MX"/>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val="es-MX"/>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rPr>
      <w:lang w:val="es-MX"/>
    </w:r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Fundamentos Car,INAI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59"/>
    <w:rsid w:val="00BB3AE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val="es-MX"/>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val="es-MX"/>
    </w:rPr>
  </w:style>
  <w:style w:type="paragraph" w:styleId="m5127500252372250437gmail-paragraph" w:customStyle="1">
    <w:name w:val="m_5127500252372250437gmail-paragraph"/>
    <w:basedOn w:val="Normal"/>
    <w:rsid w:val="00980B7E"/>
    <w:pPr>
      <w:spacing w:after="100" w:afterAutospacing="1" w:before="100" w:beforeAutospacing="1"/>
    </w:pPr>
    <w:rPr>
      <w:lang w:val="es-MX"/>
    </w:r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rPr>
      <w:lang w:val="es-MX"/>
    </w:rPr>
  </w:style>
  <w:style w:type="paragraph" w:styleId="ANOTACION" w:customStyle="1">
    <w:name w:val="ANOTACION"/>
    <w:basedOn w:val="Normal"/>
    <w:link w:val="ANOTACIONCar"/>
    <w:rsid w:val="001B5A73"/>
    <w:pPr>
      <w:spacing w:after="101" w:before="101" w:line="216" w:lineRule="atLeast"/>
      <w:jc w:val="center"/>
    </w:pPr>
    <w:rPr>
      <w:b w:val="1"/>
      <w:sz w:val="18"/>
      <w:szCs w:val="20"/>
      <w:lang w:val="es-ES_tradnl"/>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rPr>
      <w:lang w:val="es-MX"/>
    </w:r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rPr>
      <w:lang w:val="es-MX"/>
    </w:rPr>
  </w:style>
  <w:style w:type="paragraph" w:styleId="m" w:customStyle="1">
    <w:name w:val="m"/>
    <w:basedOn w:val="Normal"/>
    <w:rsid w:val="007B00BD"/>
    <w:pPr>
      <w:spacing w:after="100" w:afterAutospacing="1" w:before="100" w:beforeAutospacing="1"/>
    </w:pPr>
    <w:rPr>
      <w:lang w:val="es-MX"/>
    </w:r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iPriority w:val="99"/>
    <w:unhideWhenUsed w:val="1"/>
    <w:rsid w:val="00A403D3"/>
    <w:rPr>
      <w:rFonts w:eastAsia="Cambria" w:asciiTheme="minorHAnsi" w:cstheme="minorBidi" w:hAnsiTheme="minorHAnsi"/>
      <w:sz w:val="20"/>
      <w:szCs w:val="20"/>
      <w:lang w:eastAsia="en-US" w:val="es-MX"/>
    </w:rPr>
  </w:style>
  <w:style w:type="character" w:styleId="Ttulo1Car" w:customStyle="1">
    <w:name w:val="Título 1 Car"/>
    <w:basedOn w:val="Fuentedeprrafopredeter"/>
    <w:link w:val="Ttulo1"/>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link w:val="Ttulo2"/>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style>
  <w:style w:type="paragraph" w:styleId="Lista2">
    <w:name w:val="List 2"/>
    <w:basedOn w:val="Normal"/>
    <w:uiPriority w:val="99"/>
    <w:unhideWhenUsed w:val="1"/>
    <w:rsid w:val="00603D72"/>
    <w:pPr>
      <w:ind w:left="566" w:hanging="283"/>
      <w:contextualSpacing w:val="1"/>
    </w:pPr>
  </w:style>
  <w:style w:type="paragraph" w:styleId="Lista3">
    <w:name w:val="List 3"/>
    <w:basedOn w:val="Normal"/>
    <w:uiPriority w:val="99"/>
    <w:unhideWhenUsed w:val="1"/>
    <w:rsid w:val="00603D72"/>
    <w:pPr>
      <w:ind w:left="849" w:hanging="283"/>
      <w:contextualSpacing w:val="1"/>
    </w:pPr>
  </w:style>
  <w:style w:type="paragraph" w:styleId="Listaconvietas3">
    <w:name w:val="List Bullet 3"/>
    <w:basedOn w:val="Normal"/>
    <w:uiPriority w:val="99"/>
    <w:unhideWhenUsed w:val="1"/>
    <w:rsid w:val="00603D72"/>
    <w:pPr>
      <w:numPr>
        <w:numId w:val="2"/>
      </w:numPr>
      <w:contextualSpacing w:val="1"/>
    </w:pPr>
  </w:style>
  <w:style w:type="paragraph" w:styleId="Continuarlista">
    <w:name w:val="List Continue"/>
    <w:basedOn w:val="Normal"/>
    <w:uiPriority w:val="99"/>
    <w:unhideWhenUsed w:val="1"/>
    <w:rsid w:val="00603D72"/>
    <w:pPr>
      <w:spacing w:after="120"/>
      <w:ind w:left="283"/>
      <w:contextualSpacing w:val="1"/>
    </w:pPr>
  </w:style>
  <w:style w:type="paragraph" w:styleId="Continuarlista2">
    <w:name w:val="List Continue 2"/>
    <w:basedOn w:val="Normal"/>
    <w:uiPriority w:val="99"/>
    <w:unhideWhenUsed w:val="1"/>
    <w:rsid w:val="00603D72"/>
    <w:pPr>
      <w:spacing w:after="120"/>
      <w:ind w:left="566"/>
      <w:contextualSpacing w:val="1"/>
    </w:pPr>
  </w:style>
  <w:style w:type="paragraph" w:styleId="Textoindependiente">
    <w:name w:val="Body Text"/>
    <w:basedOn w:val="Normal"/>
    <w:link w:val="TextoindependienteCar"/>
    <w:uiPriority w:val="99"/>
    <w:unhideWhenUsed w:val="1"/>
    <w:rsid w:val="00603D72"/>
    <w:pPr>
      <w:spacing w:after="120"/>
    </w:p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semiHidden w:val="1"/>
    <w:unhideWhenUsed w:val="1"/>
    <w:rsid w:val="00603D72"/>
    <w:pPr>
      <w:spacing w:after="120"/>
      <w:ind w:left="283"/>
    </w:pPr>
  </w:style>
  <w:style w:type="character" w:styleId="SangradetextonormalCar" w:customStyle="1">
    <w:name w:val="Sangría de texto normal Car"/>
    <w:basedOn w:val="Fuentedeprrafopredeter"/>
    <w:link w:val="Sangradetextonormal"/>
    <w:uiPriority w:val="99"/>
    <w:semiHidden w:val="1"/>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rPr>
      <w:lang w:val="es-MX"/>
    </w:rPr>
  </w:style>
  <w:style w:type="paragraph" w:styleId="n2" w:customStyle="1">
    <w:name w:val="n2"/>
    <w:basedOn w:val="Normal"/>
    <w:rsid w:val="009D307C"/>
    <w:pPr>
      <w:spacing w:after="100" w:afterAutospacing="1" w:before="100" w:beforeAutospacing="1"/>
    </w:pPr>
    <w:rPr>
      <w:lang w:val="es-MX"/>
    </w:r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rPr>
      <w:lang w:val="es-MX"/>
    </w:rPr>
  </w:style>
  <w:style w:type="paragraph" w:styleId="j2" w:customStyle="1">
    <w:name w:val="j2"/>
    <w:basedOn w:val="Normal"/>
    <w:rsid w:val="009D307C"/>
    <w:pPr>
      <w:spacing w:after="100" w:afterAutospacing="1" w:before="100" w:before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link w:val="Ttulo3"/>
    <w:uiPriority w:val="9"/>
    <w:semiHidden w:val="1"/>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link w:val="Ttulo4"/>
    <w:uiPriority w:val="9"/>
    <w:semiHidden w:val="1"/>
    <w:rsid w:val="003B73CD"/>
    <w:rPr>
      <w:b w:val="1"/>
      <w:bCs w:val="1"/>
      <w:sz w:val="28"/>
      <w:szCs w:val="28"/>
      <w:lang w:eastAsia="en-US" w:val="en-US"/>
    </w:rPr>
  </w:style>
  <w:style w:type="character" w:styleId="Ttulo5Car" w:customStyle="1">
    <w:name w:val="Título 5 Car"/>
    <w:basedOn w:val="Fuentedeprrafopredeter"/>
    <w:link w:val="Ttulo5"/>
    <w:uiPriority w:val="9"/>
    <w:semiHidden w:val="1"/>
    <w:rsid w:val="003B73CD"/>
    <w:rPr>
      <w:b w:val="1"/>
      <w:bCs w:val="1"/>
      <w:i w:val="1"/>
      <w:iCs w:val="1"/>
      <w:sz w:val="26"/>
      <w:szCs w:val="26"/>
      <w:lang w:eastAsia="en-US" w:val="en-US"/>
    </w:rPr>
  </w:style>
  <w:style w:type="character" w:styleId="Ttulo6Car" w:customStyle="1">
    <w:name w:val="Título 6 Car"/>
    <w:basedOn w:val="Fuentedeprrafopredeter"/>
    <w:link w:val="Ttulo6"/>
    <w:semiHidden w:val="1"/>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5"/>
    <w:tblPr>
      <w:tblStyleRowBandSize w:val="1"/>
      <w:tblStyleColBandSize w:val="1"/>
      <w:tblCellMar>
        <w:left w:w="108.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0" w:customStyle="1">
    <w:basedOn w:val="TableNormal5"/>
    <w:tblPr>
      <w:tblStyleRowBandSize w:val="1"/>
      <w:tblStyleColBandSize w:val="1"/>
      <w:tblCellMar>
        <w:left w:w="115.0" w:type="dxa"/>
        <w:right w:w="115.0" w:type="dxa"/>
      </w:tblCellMar>
    </w:tblPr>
  </w:style>
  <w:style w:type="table" w:styleId="a2" w:customStyle="1">
    <w:basedOn w:val="TableNormal5"/>
    <w:tblPr>
      <w:tblStyleRowBandSize w:val="1"/>
      <w:tblStyleColBandSize w:val="1"/>
      <w:tblCellMar>
        <w:left w:w="115.0" w:type="dxa"/>
        <w:right w:w="115.0" w:type="dxa"/>
      </w:tblCellMar>
    </w:tblPr>
  </w:style>
  <w:style w:type="table" w:styleId="a3" w:customStyle="1">
    <w:basedOn w:val="TableNormal5"/>
    <w:tblPr>
      <w:tblStyleRowBandSize w:val="1"/>
      <w:tblStyleColBandSize w:val="1"/>
      <w:tblCellMar>
        <w:left w:w="115.0" w:type="dxa"/>
        <w:right w:w="115.0" w:type="dxa"/>
      </w:tblCellMar>
    </w:tblPr>
  </w:style>
  <w:style w:type="table" w:styleId="a4" w:customStyle="1">
    <w:basedOn w:val="TableNormal5"/>
    <w:tblPr>
      <w:tblStyleRowBandSize w:val="1"/>
      <w:tblStyleColBandSize w:val="1"/>
      <w:tblCellMar>
        <w:left w:w="115.0" w:type="dxa"/>
        <w:right w:w="115.0" w:type="dxa"/>
      </w:tblCellMar>
    </w:tblPr>
  </w:style>
  <w:style w:type="table" w:styleId="a5" w:customStyle="1">
    <w:basedOn w:val="TableNormal4"/>
    <w:tblPr>
      <w:tblStyleRowBandSize w:val="1"/>
      <w:tblStyleColBandSize w:val="1"/>
      <w:tblCellMar>
        <w:left w:w="115.0" w:type="dxa"/>
        <w:right w:w="115.0" w:type="dxa"/>
      </w:tblCellMar>
    </w:tblPr>
  </w:style>
  <w:style w:type="table" w:styleId="a6" w:customStyle="1">
    <w:basedOn w:val="TableNormal4"/>
    <w:tblPr>
      <w:tblStyleRowBandSize w:val="1"/>
      <w:tblStyleColBandSize w:val="1"/>
      <w:tblCellMar>
        <w:left w:w="115.0" w:type="dxa"/>
        <w:right w:w="115.0" w:type="dxa"/>
      </w:tblCellMar>
    </w:tblPr>
  </w:style>
  <w:style w:type="table" w:styleId="a7" w:customStyle="1">
    <w:basedOn w:val="TableNormal3"/>
    <w:tblPr>
      <w:tblStyleRowBandSize w:val="1"/>
      <w:tblStyleColBandSize w:val="1"/>
      <w:tblCellMar>
        <w:left w:w="108.0" w:type="dxa"/>
        <w:right w:w="108.0" w:type="dxa"/>
      </w:tblCellMar>
    </w:tblPr>
  </w:style>
  <w:style w:type="table" w:styleId="a8" w:customStyle="1">
    <w:basedOn w:val="TableNormal3"/>
    <w:tblPr>
      <w:tblStyleRowBandSize w:val="1"/>
      <w:tblStyleColBandSize w:val="1"/>
      <w:tblCellMar>
        <w:left w:w="108.0" w:type="dxa"/>
        <w:right w:w="108.0" w:type="dxa"/>
      </w:tblCellMar>
    </w:tblPr>
  </w:style>
  <w:style w:type="table" w:styleId="a9" w:customStyle="1">
    <w:basedOn w:val="TableNormal3"/>
    <w:tblPr>
      <w:tblStyleRowBandSize w:val="1"/>
      <w:tblStyleColBandSize w:val="1"/>
      <w:tblCellMar>
        <w:left w:w="108.0" w:type="dxa"/>
        <w:right w:w="108.0" w:type="dxa"/>
      </w:tblCellMar>
    </w:tblPr>
  </w:style>
  <w:style w:type="table" w:styleId="aa" w:customStyle="1">
    <w:basedOn w:val="TableNormal3"/>
    <w:tblPr>
      <w:tblStyleRowBandSize w:val="1"/>
      <w:tblStyleColBandSize w:val="1"/>
      <w:tblCellMar>
        <w:top w:w="15.0" w:type="dxa"/>
        <w:left w:w="15.0" w:type="dxa"/>
        <w:bottom w:w="15.0" w:type="dxa"/>
        <w:right w:w="15.0" w:type="dxa"/>
      </w:tblCellMar>
    </w:tblPr>
  </w:style>
  <w:style w:type="table" w:styleId="ab" w:customStyle="1">
    <w:basedOn w:val="TableNormal3"/>
    <w:tblPr>
      <w:tblStyleRowBandSize w:val="1"/>
      <w:tblStyleColBandSize w:val="1"/>
      <w:tblCellMar>
        <w:left w:w="115.0" w:type="dxa"/>
        <w:right w:w="115.0" w:type="dxa"/>
      </w:tblCellMar>
    </w:tblPr>
  </w:style>
  <w:style w:type="table" w:styleId="ac" w:customStyle="1">
    <w:basedOn w:val="TableNormal3"/>
    <w:tblPr>
      <w:tblStyleRowBandSize w:val="1"/>
      <w:tblStyleColBandSize w:val="1"/>
      <w:tblCellMar>
        <w:left w:w="115.0" w:type="dxa"/>
        <w:right w:w="115.0" w:type="dxa"/>
      </w:tblCellMar>
    </w:tblPr>
  </w:style>
  <w:style w:type="table" w:styleId="Tablaconcuadrcula1" w:customStyle="1">
    <w:name w:val="Tabla con cuadrícula1"/>
    <w:basedOn w:val="Tablanormal"/>
    <w:next w:val="Tablaconcuadrcula"/>
    <w:uiPriority w:val="59"/>
    <w:rsid w:val="002232D5"/>
    <w:rPr>
      <w:rFonts w:asciiTheme="minorHAnsi" w:cstheme="minorBidi" w:eastAsiaTheme="minorEastAsia" w:hAnsiTheme="minorHAnsi"/>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ad" w:customStyle="1">
    <w:basedOn w:val="TableNormal2"/>
    <w:tblPr>
      <w:tblStyleRowBandSize w:val="1"/>
      <w:tblStyleColBandSize w:val="1"/>
      <w:tblCellMar>
        <w:top w:w="15.0" w:type="dxa"/>
        <w:left w:w="115.0" w:type="dxa"/>
        <w:bottom w:w="15.0" w:type="dxa"/>
        <w:right w:w="115.0" w:type="dxa"/>
      </w:tblCellMar>
    </w:tblPr>
  </w:style>
  <w:style w:type="table" w:styleId="ae" w:customStyle="1">
    <w:basedOn w:val="TableNormal2"/>
    <w:tblPr>
      <w:tblStyleRowBandSize w:val="1"/>
      <w:tblStyleColBandSize w:val="1"/>
      <w:tblCellMar>
        <w:top w:w="15.0" w:type="dxa"/>
        <w:left w:w="115.0" w:type="dxa"/>
        <w:bottom w:w="15.0" w:type="dxa"/>
        <w:right w:w="115.0" w:type="dxa"/>
      </w:tblCellMar>
    </w:tblPr>
  </w:style>
  <w:style w:type="paragraph" w:styleId="INFOEM" w:customStyle="1">
    <w:name w:val="INFOEM"/>
    <w:basedOn w:val="Normal"/>
    <w:qFormat w:val="1"/>
    <w:rsid w:val="00F9178E"/>
    <w:pPr>
      <w:spacing w:after="160" w:before="240" w:line="360" w:lineRule="auto"/>
      <w:ind w:left="851" w:right="851"/>
      <w:jc w:val="both"/>
    </w:pPr>
    <w:rPr>
      <w:rFonts w:ascii="Palatino Linotype" w:hAnsi="Palatino Linotype" w:cstheme="minorBidi" w:eastAsiaTheme="minorHAnsi"/>
      <w:i w:val="1"/>
      <w:sz w:val="22"/>
      <w:szCs w:val="14"/>
      <w:lang w:eastAsia="en-US" w:val="es-MX"/>
    </w:rPr>
  </w:style>
  <w:style w:type="table" w:styleId="af" w:customStyle="1">
    <w:basedOn w:val="TableNormal1"/>
    <w:tblPr>
      <w:tblStyleRowBandSize w:val="1"/>
      <w:tblStyleColBandSize w:val="1"/>
      <w:tblCellMar>
        <w:top w:w="15.0" w:type="dxa"/>
        <w:left w:w="115.0" w:type="dxa"/>
        <w:bottom w:w="15.0" w:type="dxa"/>
        <w:right w:w="115.0" w:type="dxa"/>
      </w:tblCellMar>
    </w:tblPr>
  </w:style>
  <w:style w:type="table" w:styleId="af0" w:customStyle="1">
    <w:basedOn w:val="TableNormal1"/>
    <w:tblPr>
      <w:tblStyleRowBandSize w:val="1"/>
      <w:tblStyleColBandSize w:val="1"/>
      <w:tblCellMar>
        <w:top w:w="15.0" w:type="dxa"/>
        <w:left w:w="115.0" w:type="dxa"/>
        <w:bottom w:w="15.0" w:type="dxa"/>
        <w:right w:w="115.0" w:type="dxa"/>
      </w:tblCellMar>
    </w:tblPr>
  </w:style>
  <w:style w:type="table" w:styleId="af1" w:customStyle="1">
    <w:basedOn w:val="TableNormal0"/>
    <w:tblPr>
      <w:tblStyleRowBandSize w:val="1"/>
      <w:tblStyleColBandSize w:val="1"/>
      <w:tblCellMar>
        <w:top w:w="15.0" w:type="dxa"/>
        <w:left w:w="115.0" w:type="dxa"/>
        <w:bottom w:w="15.0" w:type="dxa"/>
        <w:right w:w="115.0" w:type="dxa"/>
      </w:tblCellMar>
    </w:tblPr>
  </w:style>
  <w:style w:type="table" w:styleId="af2" w:customStyle="1">
    <w:basedOn w:val="TableNormal0"/>
    <w:tblPr>
      <w:tblStyleRowBandSize w:val="1"/>
      <w:tblStyleColBandSize w:val="1"/>
      <w:tblCellMar>
        <w:top w:w="15.0" w:type="dxa"/>
        <w:left w:w="115.0" w:type="dxa"/>
        <w:bottom w:w="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15.0" w:type="dxa"/>
        <w:bottom w:w="15.0" w:type="dxa"/>
        <w:right w:w="115.0" w:type="dxa"/>
      </w:tblCellMar>
    </w:tblPr>
  </w:style>
  <w:style w:type="table" w:styleId="Table2">
    <w:basedOn w:val="TableNormal"/>
    <w:tblPr>
      <w:tblStyleRowBandSize w:val="1"/>
      <w:tblStyleColBandSize w:val="1"/>
      <w:tblCellMar>
        <w:top w:w="15.0" w:type="dxa"/>
        <w:left w:w="115.0" w:type="dxa"/>
        <w:bottom w:w="15.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saimex.org.mx/saimex/solicitud/downloadAttach/2119008.page" TargetMode="External"/><Relationship Id="rId10" Type="http://schemas.openxmlformats.org/officeDocument/2006/relationships/hyperlink" Target="https://saimex.org.mx/saimex/solicitud/downloadAttach/2119007.page" TargetMode="External"/><Relationship Id="rId13" Type="http://schemas.openxmlformats.org/officeDocument/2006/relationships/hyperlink" Target="https://saimex.org.mx/saimex/solicitud/downloadAttach/2139845.page" TargetMode="External"/><Relationship Id="rId12" Type="http://schemas.openxmlformats.org/officeDocument/2006/relationships/hyperlink" Target="https://saimex.org.mx/saimex/solicitud/downloadAttach/2139836.pag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aimex.org.mx/saimex/solicitud/downloadAttach/2119006.page" TargetMode="External"/><Relationship Id="rId15" Type="http://schemas.openxmlformats.org/officeDocument/2006/relationships/header" Target="header2.xml"/><Relationship Id="rId14" Type="http://schemas.openxmlformats.org/officeDocument/2006/relationships/header" Target="header1.xml"/><Relationship Id="rId17"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customXml" Target="../customXML/item1.xml"/><Relationship Id="rId18" Type="http://schemas.openxmlformats.org/officeDocument/2006/relationships/header" Target="header3.xml"/><Relationship Id="rId7" Type="http://schemas.openxmlformats.org/officeDocument/2006/relationships/hyperlink" Target="https://saimex.org.mx/saimex/solicitud/downloadAttach/2119004.page" TargetMode="External"/><Relationship Id="rId8" Type="http://schemas.openxmlformats.org/officeDocument/2006/relationships/hyperlink" Target="https://saimex.org.mx/saimex/solicitud/downloadAttach/2119005.pag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0VqQ1RfP9AGugaOMCjR3i02Psg==">CgMxLjAyCWguM2R5NnZrbTIIaC5namRneHMyCWguMzBqMHpsbDIIaC50eWpjd3QyCWguMWZvYjl0ZTIJaC4yZXQ5MnAwMgloLjN6bnlzaDcyCWguMXQzaDVzZjgAciExQzZ1dEJNSi05WVE5N0NGZHBDanEzS2R6TnFzOGRtRzQ=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2024-09-04T17:17:00Z</dcterms:created>
  <dc:creator>iMac</dc:creator>
</cp:coreProperties>
</file>