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F2F47" w14:textId="77777777" w:rsidR="00B71AF3" w:rsidRPr="005B5134" w:rsidRDefault="00B71AF3">
      <w:pPr>
        <w:widowControl w:val="0"/>
        <w:pBdr>
          <w:top w:val="nil"/>
          <w:left w:val="nil"/>
          <w:bottom w:val="nil"/>
          <w:right w:val="nil"/>
          <w:between w:val="nil"/>
        </w:pBdr>
        <w:spacing w:line="276" w:lineRule="auto"/>
      </w:pPr>
    </w:p>
    <w:p w14:paraId="0B2568C6" w14:textId="77777777" w:rsidR="00B71AF3" w:rsidRPr="005B5134" w:rsidRDefault="00112D67">
      <w:pPr>
        <w:shd w:val="clear" w:color="auto" w:fill="FFFFFF"/>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septiembre dos mil veinticuatro. </w:t>
      </w:r>
    </w:p>
    <w:p w14:paraId="35312D53" w14:textId="77777777" w:rsidR="00B71AF3" w:rsidRPr="005B5134" w:rsidRDefault="00B71AF3">
      <w:pPr>
        <w:tabs>
          <w:tab w:val="left" w:pos="1701"/>
        </w:tabs>
        <w:spacing w:line="360" w:lineRule="auto"/>
        <w:jc w:val="both"/>
        <w:rPr>
          <w:rFonts w:ascii="Palatino Linotype" w:eastAsia="Palatino Linotype" w:hAnsi="Palatino Linotype" w:cs="Palatino Linotype"/>
        </w:rPr>
      </w:pPr>
    </w:p>
    <w:p w14:paraId="3AA4A83D" w14:textId="77777777" w:rsidR="00B71AF3" w:rsidRPr="005B5134" w:rsidRDefault="00112D67">
      <w:pPr>
        <w:tabs>
          <w:tab w:val="left" w:pos="1701"/>
        </w:tabs>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VISTO</w:t>
      </w:r>
      <w:r w:rsidRPr="005B5134">
        <w:rPr>
          <w:rFonts w:ascii="Palatino Linotype" w:eastAsia="Palatino Linotype" w:hAnsi="Palatino Linotype" w:cs="Palatino Linotype"/>
        </w:rPr>
        <w:t xml:space="preserve"> los expedientes electrónicos formados con motivo de los recursos de revisión números </w:t>
      </w:r>
      <w:r w:rsidRPr="005B5134">
        <w:rPr>
          <w:rFonts w:ascii="Palatino Linotype" w:eastAsia="Palatino Linotype" w:hAnsi="Palatino Linotype" w:cs="Palatino Linotype"/>
          <w:b/>
        </w:rPr>
        <w:t>03664/INFOEM/IP/RR/2024, 03665/INFOEM/IP/RR/2024 y 04085/INFOEM/IP/RR/2024; acumulados</w:t>
      </w:r>
      <w:r w:rsidRPr="005B5134">
        <w:rPr>
          <w:rFonts w:ascii="Palatino Linotype" w:eastAsia="Palatino Linotype" w:hAnsi="Palatino Linotype" w:cs="Palatino Linotype"/>
        </w:rPr>
        <w:t xml:space="preserve">, interpuestos por un particular que no proporciono su nombre, en lo sucesivo se le denominara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en contra de las respuestas a las solicitudes de información con números de folio </w:t>
      </w:r>
      <w:r w:rsidRPr="005B5134">
        <w:rPr>
          <w:rFonts w:ascii="Palatino Linotype" w:eastAsia="Palatino Linotype" w:hAnsi="Palatino Linotype" w:cs="Palatino Linotype"/>
          <w:b/>
        </w:rPr>
        <w:t xml:space="preserve">00617/ECATEPEC/IP/2024, 00615/ECATEPEC/IP/2024 y 00883/ECATEPEC/IP/2024, </w:t>
      </w:r>
      <w:r w:rsidRPr="005B5134">
        <w:rPr>
          <w:rFonts w:ascii="Palatino Linotype" w:eastAsia="Palatino Linotype" w:hAnsi="Palatino Linotype" w:cs="Palatino Linotype"/>
        </w:rPr>
        <w:t>por parte del Ayuntamiento de Ecatepec de Morelos,</w:t>
      </w:r>
      <w:r w:rsidRPr="005B5134">
        <w:rPr>
          <w:rFonts w:ascii="Palatino Linotype" w:eastAsia="Palatino Linotype" w:hAnsi="Palatino Linotype" w:cs="Palatino Linotype"/>
          <w:b/>
        </w:rPr>
        <w:t xml:space="preserve"> </w:t>
      </w:r>
      <w:r w:rsidRPr="005B5134">
        <w:rPr>
          <w:rFonts w:ascii="Palatino Linotype" w:eastAsia="Palatino Linotype" w:hAnsi="Palatino Linotype" w:cs="Palatino Linotype"/>
        </w:rPr>
        <w:t>en lo subsecuente</w:t>
      </w:r>
      <w:r w:rsidRPr="005B5134">
        <w:rPr>
          <w:rFonts w:ascii="Palatino Linotype" w:eastAsia="Palatino Linotype" w:hAnsi="Palatino Linotype" w:cs="Palatino Linotype"/>
          <w:b/>
        </w:rPr>
        <w:t xml:space="preserve"> el SUJETO OBLIGADO, </w:t>
      </w:r>
      <w:r w:rsidRPr="005B5134">
        <w:rPr>
          <w:rFonts w:ascii="Palatino Linotype" w:eastAsia="Palatino Linotype" w:hAnsi="Palatino Linotype" w:cs="Palatino Linotype"/>
        </w:rPr>
        <w:t>se procede a dictar la presente resolución con base en lo siguiente.</w:t>
      </w:r>
    </w:p>
    <w:p w14:paraId="59D6F2E4" w14:textId="77777777" w:rsidR="00B71AF3" w:rsidRPr="005B5134" w:rsidRDefault="00B71AF3">
      <w:pPr>
        <w:tabs>
          <w:tab w:val="left" w:pos="1701"/>
        </w:tabs>
        <w:spacing w:line="360" w:lineRule="auto"/>
        <w:jc w:val="both"/>
        <w:rPr>
          <w:rFonts w:ascii="Palatino Linotype" w:eastAsia="Palatino Linotype" w:hAnsi="Palatino Linotype" w:cs="Palatino Linotype"/>
          <w:b/>
        </w:rPr>
      </w:pPr>
    </w:p>
    <w:p w14:paraId="263100A7" w14:textId="77777777" w:rsidR="00B71AF3" w:rsidRPr="005B5134" w:rsidRDefault="00112D67">
      <w:pPr>
        <w:spacing w:line="360" w:lineRule="auto"/>
        <w:jc w:val="center"/>
        <w:rPr>
          <w:rFonts w:ascii="Palatino Linotype" w:eastAsia="Palatino Linotype" w:hAnsi="Palatino Linotype" w:cs="Palatino Linotype"/>
          <w:b/>
        </w:rPr>
      </w:pPr>
      <w:r w:rsidRPr="005B5134">
        <w:rPr>
          <w:rFonts w:ascii="Palatino Linotype" w:eastAsia="Palatino Linotype" w:hAnsi="Palatino Linotype" w:cs="Palatino Linotype"/>
          <w:b/>
        </w:rPr>
        <w:t>A N T E C E D E N T E S</w:t>
      </w:r>
    </w:p>
    <w:p w14:paraId="40F2C8C1" w14:textId="77777777" w:rsidR="00B71AF3" w:rsidRPr="005B5134" w:rsidRDefault="00B71AF3">
      <w:pPr>
        <w:spacing w:line="360" w:lineRule="auto"/>
        <w:jc w:val="center"/>
        <w:rPr>
          <w:rFonts w:ascii="Palatino Linotype" w:eastAsia="Palatino Linotype" w:hAnsi="Palatino Linotype" w:cs="Palatino Linotype"/>
          <w:b/>
        </w:rPr>
      </w:pPr>
    </w:p>
    <w:p w14:paraId="3D0C75E5"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b/>
        </w:rPr>
        <w:t xml:space="preserve">1. Solicitudes de acceso a la información. </w:t>
      </w:r>
      <w:r w:rsidRPr="005B5134">
        <w:rPr>
          <w:rFonts w:ascii="Palatino Linotype" w:eastAsia="Palatino Linotype" w:hAnsi="Palatino Linotype" w:cs="Palatino Linotype"/>
        </w:rPr>
        <w:t xml:space="preserve">En fechas </w:t>
      </w:r>
      <w:r w:rsidRPr="005B5134">
        <w:rPr>
          <w:rFonts w:ascii="Palatino Linotype" w:eastAsia="Palatino Linotype" w:hAnsi="Palatino Linotype" w:cs="Palatino Linotype"/>
          <w:b/>
        </w:rPr>
        <w:t>treinta de mayo y veinticinco de junio, ambas fechas del año dos mil veinticuatro,</w:t>
      </w:r>
      <w:r w:rsidRPr="005B5134">
        <w:rPr>
          <w:rFonts w:ascii="Palatino Linotype" w:eastAsia="Palatino Linotype" w:hAnsi="Palatino Linotype" w:cs="Palatino Linotype"/>
        </w:rPr>
        <w:t xml:space="preserv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presentó a través del Sistema de Acceso a la Información Mexiquense </w:t>
      </w:r>
      <w:r w:rsidRPr="005B5134">
        <w:rPr>
          <w:rFonts w:ascii="Palatino Linotype" w:eastAsia="Palatino Linotype" w:hAnsi="Palatino Linotype" w:cs="Palatino Linotype"/>
          <w:b/>
        </w:rPr>
        <w:t>(SAIMEX),</w:t>
      </w:r>
      <w:r w:rsidRPr="005B5134">
        <w:rPr>
          <w:rFonts w:ascii="Palatino Linotype" w:eastAsia="Palatino Linotype" w:hAnsi="Palatino Linotype" w:cs="Palatino Linotype"/>
        </w:rPr>
        <w:t xml:space="preserve"> ante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las solicitudes de acceso a la información pública mediante las cuales solicitó lo siguiente:</w:t>
      </w:r>
    </w:p>
    <w:tbl>
      <w:tblPr>
        <w:tblStyle w:val="af0"/>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5B5134" w:rsidRPr="005B5134" w14:paraId="2B0736DC" w14:textId="77777777">
        <w:trPr>
          <w:trHeight w:val="1352"/>
        </w:trPr>
        <w:tc>
          <w:tcPr>
            <w:tcW w:w="4446" w:type="dxa"/>
          </w:tcPr>
          <w:p w14:paraId="2213AD9B"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t>00617/ECATEPEC/IP/2024</w:t>
            </w:r>
          </w:p>
        </w:tc>
        <w:tc>
          <w:tcPr>
            <w:tcW w:w="4447" w:type="dxa"/>
          </w:tcPr>
          <w:p w14:paraId="67F7DDDC"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2"/>
                <w:szCs w:val="22"/>
              </w:rPr>
              <w:t xml:space="preserve">En relación con el Comité Municipal Contra las Adicciones, previsto en Numeral 14.7 de la Norma Oficial Mexicana NOM-028-SSA2-2009 para la prevención, control y tratamiento de las adicciones, solicito la </w:t>
            </w:r>
            <w:r w:rsidRPr="005B5134">
              <w:rPr>
                <w:rFonts w:ascii="Palatino Linotype" w:eastAsia="Palatino Linotype" w:hAnsi="Palatino Linotype" w:cs="Palatino Linotype"/>
                <w:sz w:val="22"/>
                <w:szCs w:val="22"/>
              </w:rPr>
              <w:lastRenderedPageBreak/>
              <w:t>siguiente información del periodo del 1 de enero al 31 de diciembre de 2024: 1.- Productos elaborados por el Comité Municipal Contra las Adicciones (por ejemplo, propuestas, programas, recomendaciones, opiniones, posicionamientos, observaciones, denuncias) 2.- Informes de actividades y/o resultados elaborados por el Comité Municipal Contra las Adicciones</w:t>
            </w:r>
          </w:p>
        </w:tc>
      </w:tr>
      <w:tr w:rsidR="005B5134" w:rsidRPr="005B5134" w14:paraId="41BB9572" w14:textId="77777777">
        <w:trPr>
          <w:trHeight w:val="1379"/>
        </w:trPr>
        <w:tc>
          <w:tcPr>
            <w:tcW w:w="4446" w:type="dxa"/>
          </w:tcPr>
          <w:p w14:paraId="4ED06C04" w14:textId="77777777" w:rsidR="00B71AF3" w:rsidRPr="005B5134" w:rsidRDefault="00112D67">
            <w:pPr>
              <w:pBdr>
                <w:top w:val="nil"/>
                <w:left w:val="nil"/>
                <w:bottom w:val="nil"/>
                <w:right w:val="nil"/>
                <w:between w:val="nil"/>
              </w:pBdr>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lastRenderedPageBreak/>
              <w:t xml:space="preserve">00615/ECATEPEC/IP/2024 </w:t>
            </w:r>
          </w:p>
        </w:tc>
        <w:tc>
          <w:tcPr>
            <w:tcW w:w="4447" w:type="dxa"/>
          </w:tcPr>
          <w:p w14:paraId="2CCCA3FB"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2"/>
                <w:szCs w:val="22"/>
              </w:rPr>
              <w:t>En relación con el Comité Municipal Contra las Adicciones, previsto en Numeral 14.7 de la Norma Oficial Mexicana NOM-028-SSA2-2009 para la prevención, control y tratamiento de las adicciones, solicito la siguiente información del periodo del 1 de enero al 31 de diciembre de 2024: 1.- Última convocatoria emitida para la integración del Comité Municipal Contra las Adicciones 2.- Si aplica, documento con los resultados del proceso de selección de los integrantes del Comité Municipal Contra las Adicciones 3.- Lista de integrantes actuales con nombre y organización/institución/territorio que representa 4.- Acta de instalación vigente del Comité Municipal Contra las Adicciones</w:t>
            </w:r>
          </w:p>
        </w:tc>
      </w:tr>
      <w:tr w:rsidR="00B71AF3" w:rsidRPr="005B5134" w14:paraId="3BF78F36" w14:textId="77777777">
        <w:trPr>
          <w:trHeight w:val="1379"/>
        </w:trPr>
        <w:tc>
          <w:tcPr>
            <w:tcW w:w="4446" w:type="dxa"/>
          </w:tcPr>
          <w:p w14:paraId="54611845" w14:textId="77777777" w:rsidR="00B71AF3" w:rsidRPr="005B5134" w:rsidRDefault="00112D67">
            <w:pPr>
              <w:pBdr>
                <w:top w:val="nil"/>
                <w:left w:val="nil"/>
                <w:bottom w:val="nil"/>
                <w:right w:val="nil"/>
                <w:between w:val="nil"/>
              </w:pBdr>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t>00883/ECATEPEC/IP/2024</w:t>
            </w:r>
          </w:p>
        </w:tc>
        <w:tc>
          <w:tcPr>
            <w:tcW w:w="4447" w:type="dxa"/>
          </w:tcPr>
          <w:p w14:paraId="2BECF173"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2"/>
                <w:szCs w:val="22"/>
              </w:rPr>
              <w:t xml:space="preserve">En relación con el Comité Municipal Contra las Adicciones, previsto en Numeral 14.7 de la Norma Oficial Mexicana NOM-028-SSA2-2009 para la prevención, control y tratamiento de las adicciones, solicito la siguiente información del periodo del 1 de enero al 31 de diciembre de 2018: 1.- Última convocatoria emitida para la integración del Comité Municipal Contra las Adicciones 2.- Si aplica, documento con los resultados del proceso de selección de los integrantes del Comité Municipal Contra las Adicciones 3.- Lista de integrantes actuales con nombre y </w:t>
            </w:r>
            <w:r w:rsidRPr="005B5134">
              <w:rPr>
                <w:rFonts w:ascii="Palatino Linotype" w:eastAsia="Palatino Linotype" w:hAnsi="Palatino Linotype" w:cs="Palatino Linotype"/>
                <w:sz w:val="22"/>
                <w:szCs w:val="22"/>
              </w:rPr>
              <w:lastRenderedPageBreak/>
              <w:t>organización/institución/territorio que representa 4.- Acta de instalación vigente del Comité Municipal Contra las Adicciones</w:t>
            </w:r>
          </w:p>
        </w:tc>
      </w:tr>
    </w:tbl>
    <w:p w14:paraId="233DDA91" w14:textId="77777777" w:rsidR="00B71AF3" w:rsidRPr="005B5134" w:rsidRDefault="00B71AF3">
      <w:pPr>
        <w:pBdr>
          <w:top w:val="nil"/>
          <w:left w:val="nil"/>
          <w:bottom w:val="nil"/>
          <w:right w:val="nil"/>
          <w:between w:val="nil"/>
        </w:pBdr>
        <w:rPr>
          <w:sz w:val="16"/>
          <w:szCs w:val="16"/>
        </w:rPr>
      </w:pPr>
    </w:p>
    <w:p w14:paraId="16F6BF40" w14:textId="77777777" w:rsidR="00B71AF3" w:rsidRPr="005B5134" w:rsidRDefault="00B71AF3">
      <w:pPr>
        <w:pBdr>
          <w:top w:val="nil"/>
          <w:left w:val="nil"/>
          <w:bottom w:val="nil"/>
          <w:right w:val="nil"/>
          <w:between w:val="nil"/>
        </w:pBdr>
        <w:rPr>
          <w:sz w:val="16"/>
          <w:szCs w:val="16"/>
        </w:rPr>
      </w:pPr>
    </w:p>
    <w:p w14:paraId="1313B42C" w14:textId="77777777" w:rsidR="00B71AF3" w:rsidRPr="005B5134" w:rsidRDefault="00112D67">
      <w:pPr>
        <w:tabs>
          <w:tab w:val="left" w:pos="5647"/>
        </w:tabs>
        <w:spacing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b/>
        </w:rPr>
        <w:t>MODALIDAD DE ENTREGA EN TODAS LAS SOLICITUDES:</w:t>
      </w:r>
      <w:r w:rsidRPr="005B5134">
        <w:rPr>
          <w:rFonts w:ascii="Palatino Linotype" w:eastAsia="Palatino Linotype" w:hAnsi="Palatino Linotype" w:cs="Palatino Linotype"/>
        </w:rPr>
        <w:t xml:space="preserve"> A través del </w:t>
      </w:r>
      <w:r w:rsidRPr="005B5134">
        <w:rPr>
          <w:rFonts w:ascii="Palatino Linotype" w:eastAsia="Palatino Linotype" w:hAnsi="Palatino Linotype" w:cs="Palatino Linotype"/>
          <w:b/>
        </w:rPr>
        <w:t>SAIMEX</w:t>
      </w:r>
      <w:r w:rsidRPr="005B5134">
        <w:rPr>
          <w:rFonts w:ascii="Palatino Linotype" w:eastAsia="Palatino Linotype" w:hAnsi="Palatino Linotype" w:cs="Palatino Linotype"/>
        </w:rPr>
        <w:t>.</w:t>
      </w:r>
    </w:p>
    <w:p w14:paraId="75F3BF1E" w14:textId="77777777" w:rsidR="00B71AF3" w:rsidRPr="005B5134" w:rsidRDefault="00B71AF3">
      <w:pPr>
        <w:tabs>
          <w:tab w:val="left" w:pos="5647"/>
        </w:tabs>
        <w:spacing w:line="360" w:lineRule="auto"/>
        <w:ind w:right="49"/>
        <w:jc w:val="both"/>
        <w:rPr>
          <w:rFonts w:ascii="Palatino Linotype" w:eastAsia="Palatino Linotype" w:hAnsi="Palatino Linotype" w:cs="Palatino Linotype"/>
        </w:rPr>
      </w:pPr>
    </w:p>
    <w:p w14:paraId="22F7D883"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2.  Respuestas. </w:t>
      </w:r>
      <w:r w:rsidRPr="005B5134">
        <w:rPr>
          <w:rFonts w:ascii="Palatino Linotype" w:eastAsia="Palatino Linotype" w:hAnsi="Palatino Linotype" w:cs="Palatino Linotype"/>
        </w:rPr>
        <w:t xml:space="preserve">De las constancias que obran en el sistema </w:t>
      </w:r>
      <w:r w:rsidRPr="005B5134">
        <w:rPr>
          <w:rFonts w:ascii="Palatino Linotype" w:eastAsia="Palatino Linotype" w:hAnsi="Palatino Linotype" w:cs="Palatino Linotype"/>
          <w:b/>
        </w:rPr>
        <w:t>SAIMEX,</w:t>
      </w:r>
      <w:r w:rsidRPr="005B5134">
        <w:rPr>
          <w:rFonts w:ascii="Palatino Linotype" w:eastAsia="Palatino Linotype" w:hAnsi="Palatino Linotype" w:cs="Palatino Linotype"/>
        </w:rPr>
        <w:t xml:space="preserve"> se advierte que en fechas </w:t>
      </w:r>
      <w:r w:rsidRPr="005B5134">
        <w:rPr>
          <w:rFonts w:ascii="Palatino Linotype" w:eastAsia="Palatino Linotype" w:hAnsi="Palatino Linotype" w:cs="Palatino Linotype"/>
          <w:b/>
        </w:rPr>
        <w:t>tres y veintisiete de junio del año dos mil veinticuatro</w:t>
      </w: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b/>
        </w:rPr>
        <w:t>El SUJETO OBLIGADO</w:t>
      </w:r>
      <w:r w:rsidRPr="005B5134">
        <w:rPr>
          <w:rFonts w:ascii="Palatino Linotype" w:eastAsia="Palatino Linotype" w:hAnsi="Palatino Linotype" w:cs="Palatino Linotype"/>
        </w:rPr>
        <w:t xml:space="preserve"> emitió las respuestas, en los mismos términos en cada solicitud de acceso a la información pública:</w:t>
      </w:r>
    </w:p>
    <w:p w14:paraId="1939E1C0" w14:textId="77777777" w:rsidR="00B71AF3" w:rsidRPr="005B5134" w:rsidRDefault="00B71AF3">
      <w:pPr>
        <w:spacing w:line="360" w:lineRule="auto"/>
        <w:jc w:val="both"/>
        <w:rPr>
          <w:rFonts w:ascii="Palatino Linotype" w:eastAsia="Palatino Linotype" w:hAnsi="Palatino Linotype" w:cs="Palatino Linotype"/>
        </w:rPr>
      </w:pPr>
    </w:p>
    <w:tbl>
      <w:tblPr>
        <w:tblStyle w:val="af1"/>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B71AF3" w:rsidRPr="005B5134" w14:paraId="42BFCFB5" w14:textId="77777777">
        <w:trPr>
          <w:trHeight w:val="1352"/>
        </w:trPr>
        <w:tc>
          <w:tcPr>
            <w:tcW w:w="4446" w:type="dxa"/>
          </w:tcPr>
          <w:p w14:paraId="5C963327" w14:textId="77777777" w:rsidR="00B71AF3" w:rsidRPr="005B5134" w:rsidRDefault="00112D67">
            <w:pPr>
              <w:pBdr>
                <w:top w:val="nil"/>
                <w:left w:val="nil"/>
                <w:bottom w:val="nil"/>
                <w:right w:val="nil"/>
                <w:between w:val="nil"/>
              </w:pBdr>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t xml:space="preserve">00617/ECATEPEC/IP/2024 </w:t>
            </w:r>
          </w:p>
          <w:p w14:paraId="0935460C" w14:textId="77777777" w:rsidR="00B71AF3" w:rsidRPr="005B5134" w:rsidRDefault="00112D67">
            <w:pPr>
              <w:pBdr>
                <w:top w:val="nil"/>
                <w:left w:val="nil"/>
                <w:bottom w:val="nil"/>
                <w:right w:val="nil"/>
                <w:between w:val="nil"/>
              </w:pBdr>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t>00615/ECATEPEC/IP/2024</w:t>
            </w:r>
          </w:p>
          <w:p w14:paraId="5BCCFCE5" w14:textId="77777777" w:rsidR="00B71AF3" w:rsidRPr="005B5134" w:rsidRDefault="00112D67">
            <w:pPr>
              <w:pBdr>
                <w:top w:val="nil"/>
                <w:left w:val="nil"/>
                <w:bottom w:val="nil"/>
                <w:right w:val="nil"/>
                <w:between w:val="nil"/>
              </w:pBdr>
              <w:rPr>
                <w:rFonts w:ascii="Palatino Linotype" w:eastAsia="Palatino Linotype" w:hAnsi="Palatino Linotype" w:cs="Palatino Linotype"/>
                <w:b/>
                <w:sz w:val="22"/>
                <w:szCs w:val="22"/>
              </w:rPr>
            </w:pPr>
            <w:r w:rsidRPr="005B5134">
              <w:rPr>
                <w:rFonts w:ascii="Palatino Linotype" w:eastAsia="Palatino Linotype" w:hAnsi="Palatino Linotype" w:cs="Palatino Linotype"/>
                <w:b/>
                <w:sz w:val="22"/>
                <w:szCs w:val="22"/>
              </w:rPr>
              <w:t>00883/ECATEPEC/IP/2024</w:t>
            </w:r>
          </w:p>
        </w:tc>
        <w:tc>
          <w:tcPr>
            <w:tcW w:w="4447" w:type="dxa"/>
          </w:tcPr>
          <w:p w14:paraId="620EC26B" w14:textId="77777777" w:rsidR="00B71AF3" w:rsidRPr="005B5134" w:rsidRDefault="00B71AF3">
            <w:pPr>
              <w:pBdr>
                <w:top w:val="nil"/>
                <w:left w:val="nil"/>
                <w:bottom w:val="nil"/>
                <w:right w:val="nil"/>
                <w:between w:val="nil"/>
              </w:pBdr>
              <w:jc w:val="both"/>
              <w:rPr>
                <w:rFonts w:ascii="Palatino Linotype" w:eastAsia="Palatino Linotype" w:hAnsi="Palatino Linotype" w:cs="Palatino Linotype"/>
                <w:sz w:val="22"/>
                <w:szCs w:val="22"/>
              </w:rPr>
            </w:pPr>
          </w:p>
          <w:p w14:paraId="6B456BEB"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2"/>
                <w:szCs w:val="22"/>
              </w:rPr>
              <w:t>Por medio del presente escrito informo a usted que este H. Ayuntamiento Constitucional de Ecatepec de Morelos, no es Sujeto Obligado para dar atención a su requerimiento, por lo que le sugerimos ingrese nuevamente su solicitud; en el apartado “El sujeto obligado del cual requiere la información”, deberá seleccionar la opción de “Municipios”, y del listado que el sistema despliega con las dependencia seleccionar al Sistema para el Desarrollo Integral de la Familia de Ecatepec de Morelos.</w:t>
            </w:r>
          </w:p>
          <w:p w14:paraId="614A0989" w14:textId="77777777" w:rsidR="00B71AF3" w:rsidRPr="005B5134" w:rsidRDefault="00B71AF3">
            <w:pPr>
              <w:pBdr>
                <w:top w:val="nil"/>
                <w:left w:val="nil"/>
                <w:bottom w:val="nil"/>
                <w:right w:val="nil"/>
                <w:between w:val="nil"/>
              </w:pBdr>
              <w:jc w:val="both"/>
              <w:rPr>
                <w:rFonts w:ascii="Palatino Linotype" w:eastAsia="Palatino Linotype" w:hAnsi="Palatino Linotype" w:cs="Palatino Linotype"/>
                <w:sz w:val="22"/>
                <w:szCs w:val="22"/>
              </w:rPr>
            </w:pPr>
          </w:p>
          <w:p w14:paraId="705CADA6" w14:textId="77777777" w:rsidR="00B71AF3" w:rsidRPr="005B5134" w:rsidRDefault="00112D67">
            <w:pPr>
              <w:pBdr>
                <w:top w:val="nil"/>
                <w:left w:val="nil"/>
                <w:bottom w:val="nil"/>
                <w:right w:val="nil"/>
                <w:between w:val="nil"/>
              </w:pBd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2"/>
                <w:szCs w:val="22"/>
              </w:rPr>
              <w:t xml:space="preserve">El </w:t>
            </w:r>
            <w:r w:rsidRPr="005B5134">
              <w:rPr>
                <w:rFonts w:ascii="Palatino Linotype" w:eastAsia="Palatino Linotype" w:hAnsi="Palatino Linotype" w:cs="Palatino Linotype"/>
                <w:b/>
                <w:sz w:val="22"/>
                <w:szCs w:val="22"/>
              </w:rPr>
              <w:t>SUJETO OBLIGADO</w:t>
            </w:r>
            <w:r w:rsidRPr="005B5134">
              <w:rPr>
                <w:rFonts w:ascii="Palatino Linotype" w:eastAsia="Palatino Linotype" w:hAnsi="Palatino Linotype" w:cs="Palatino Linotype"/>
                <w:sz w:val="22"/>
                <w:szCs w:val="22"/>
              </w:rPr>
              <w:t>, adjuntó a sus respuestas los siguientes archivos electrónicos:</w:t>
            </w:r>
          </w:p>
          <w:p w14:paraId="2E7EB430" w14:textId="77777777" w:rsidR="00B71AF3" w:rsidRPr="005B5134" w:rsidRDefault="00B71AF3">
            <w:pPr>
              <w:pBdr>
                <w:top w:val="nil"/>
                <w:left w:val="nil"/>
                <w:bottom w:val="nil"/>
                <w:right w:val="nil"/>
                <w:between w:val="nil"/>
              </w:pBdr>
              <w:jc w:val="both"/>
              <w:rPr>
                <w:rFonts w:ascii="Palatino Linotype" w:eastAsia="Palatino Linotype" w:hAnsi="Palatino Linotype" w:cs="Palatino Linotype"/>
                <w:sz w:val="22"/>
                <w:szCs w:val="22"/>
              </w:rPr>
            </w:pPr>
          </w:p>
          <w:p w14:paraId="4DD36B14" w14:textId="77777777" w:rsidR="00B71AF3" w:rsidRPr="005B5134" w:rsidRDefault="00E065F7">
            <w:pPr>
              <w:pBdr>
                <w:top w:val="nil"/>
                <w:left w:val="nil"/>
                <w:bottom w:val="nil"/>
                <w:right w:val="nil"/>
                <w:between w:val="nil"/>
              </w:pBdr>
              <w:jc w:val="both"/>
              <w:rPr>
                <w:rFonts w:ascii="Palatino Linotype" w:eastAsia="Palatino Linotype" w:hAnsi="Palatino Linotype" w:cs="Palatino Linotype"/>
                <w:sz w:val="22"/>
                <w:szCs w:val="22"/>
              </w:rPr>
            </w:pPr>
            <w:hyperlink r:id="rId8">
              <w:r w:rsidR="00112D67" w:rsidRPr="005B5134">
                <w:rPr>
                  <w:rFonts w:ascii="Palatino Linotype" w:eastAsia="Palatino Linotype" w:hAnsi="Palatino Linotype" w:cs="Palatino Linotype"/>
                  <w:sz w:val="22"/>
                  <w:szCs w:val="22"/>
                </w:rPr>
                <w:t>617-2024.pdf</w:t>
              </w:r>
            </w:hyperlink>
            <w:r w:rsidR="00112D67" w:rsidRPr="005B5134">
              <w:rPr>
                <w:rFonts w:ascii="Palatino Linotype" w:eastAsia="Palatino Linotype" w:hAnsi="Palatino Linotype" w:cs="Palatino Linotype"/>
                <w:sz w:val="22"/>
                <w:szCs w:val="22"/>
              </w:rPr>
              <w:t xml:space="preserve">, </w:t>
            </w:r>
            <w:hyperlink r:id="rId9">
              <w:r w:rsidR="00112D67" w:rsidRPr="005B5134">
                <w:rPr>
                  <w:rFonts w:ascii="Palatino Linotype" w:eastAsia="Palatino Linotype" w:hAnsi="Palatino Linotype" w:cs="Palatino Linotype"/>
                  <w:sz w:val="22"/>
                  <w:szCs w:val="22"/>
                </w:rPr>
                <w:t>615-2024.pdf</w:t>
              </w:r>
            </w:hyperlink>
            <w:r w:rsidR="00112D67" w:rsidRPr="005B5134">
              <w:rPr>
                <w:rFonts w:ascii="Palatino Linotype" w:eastAsia="Palatino Linotype" w:hAnsi="Palatino Linotype" w:cs="Palatino Linotype"/>
                <w:sz w:val="22"/>
                <w:szCs w:val="22"/>
              </w:rPr>
              <w:t xml:space="preserve"> y </w:t>
            </w:r>
            <w:hyperlink r:id="rId10">
              <w:r w:rsidR="00112D67" w:rsidRPr="005B5134">
                <w:rPr>
                  <w:rFonts w:ascii="Palatino Linotype" w:eastAsia="Palatino Linotype" w:hAnsi="Palatino Linotype" w:cs="Palatino Linotype"/>
                  <w:sz w:val="22"/>
                  <w:szCs w:val="22"/>
                </w:rPr>
                <w:t>883.pdf</w:t>
              </w:r>
            </w:hyperlink>
            <w:r w:rsidR="00112D67" w:rsidRPr="005B5134">
              <w:rPr>
                <w:rFonts w:ascii="Palatino Linotype" w:eastAsia="Palatino Linotype" w:hAnsi="Palatino Linotype" w:cs="Palatino Linotype"/>
                <w:sz w:val="22"/>
                <w:szCs w:val="22"/>
              </w:rPr>
              <w:t>, a través de los cuales el SUJETO OBLIGADO, se declara incompetente para conocer de la información solicitada, orientando al particular para que interponga sus solicitudes ante el Sistema para el Desarrollo Integral de la Familia de Ecatepec de Morelos.</w:t>
            </w:r>
          </w:p>
        </w:tc>
      </w:tr>
    </w:tbl>
    <w:p w14:paraId="53902CBE" w14:textId="77777777" w:rsidR="00B71AF3" w:rsidRPr="005B5134" w:rsidRDefault="00B71AF3">
      <w:pPr>
        <w:spacing w:line="360" w:lineRule="auto"/>
        <w:jc w:val="both"/>
        <w:rPr>
          <w:rFonts w:ascii="Palatino Linotype" w:eastAsia="Palatino Linotype" w:hAnsi="Palatino Linotype" w:cs="Palatino Linotype"/>
          <w:b/>
        </w:rPr>
      </w:pPr>
    </w:p>
    <w:p w14:paraId="5D1154A1"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b/>
        </w:rPr>
        <w:t xml:space="preserve">3. Interposición de los recursos de revisión. </w:t>
      </w:r>
      <w:r w:rsidRPr="005B5134">
        <w:rPr>
          <w:rFonts w:ascii="Palatino Linotype" w:eastAsia="Palatino Linotype" w:hAnsi="Palatino Linotype" w:cs="Palatino Linotype"/>
        </w:rPr>
        <w:t xml:space="preserve">Inconforme la persona solicitante con las respuestas por parte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con fechas </w:t>
      </w:r>
      <w:r w:rsidRPr="005B5134">
        <w:rPr>
          <w:rFonts w:ascii="Palatino Linotype" w:eastAsia="Palatino Linotype" w:hAnsi="Palatino Linotype" w:cs="Palatino Linotype"/>
          <w:b/>
        </w:rPr>
        <w:t>diecisiete de junio y tres de julio, ambas fechas de dos mil veinticuatro interpuso los recursos de revisión,</w:t>
      </w:r>
      <w:r w:rsidRPr="005B5134">
        <w:rPr>
          <w:rFonts w:ascii="Palatino Linotype" w:eastAsia="Palatino Linotype" w:hAnsi="Palatino Linotype" w:cs="Palatino Linotype"/>
        </w:rPr>
        <w:t xml:space="preserve"> los cuales fueron registrados</w:t>
      </w:r>
      <w:r w:rsidRPr="005B5134">
        <w:rPr>
          <w:rFonts w:ascii="Palatino Linotype" w:eastAsia="Palatino Linotype" w:hAnsi="Palatino Linotype" w:cs="Palatino Linotype"/>
          <w:b/>
        </w:rPr>
        <w:t xml:space="preserve"> </w:t>
      </w:r>
      <w:r w:rsidRPr="005B5134">
        <w:rPr>
          <w:rFonts w:ascii="Palatino Linotype" w:eastAsia="Palatino Linotype" w:hAnsi="Palatino Linotype" w:cs="Palatino Linotype"/>
        </w:rPr>
        <w:t xml:space="preserve">en el sistema electrónico con el expediente número </w:t>
      </w:r>
      <w:r w:rsidRPr="005B5134">
        <w:rPr>
          <w:rFonts w:ascii="Palatino Linotype" w:eastAsia="Palatino Linotype" w:hAnsi="Palatino Linotype" w:cs="Palatino Linotype"/>
          <w:b/>
        </w:rPr>
        <w:t>03664/INFOEM/IP/RR/2024, 03665/INFOEM/IP/RR/2024 y 04085/INFOEM/IP/RR/2024</w:t>
      </w:r>
      <w:r w:rsidRPr="005B5134">
        <w:rPr>
          <w:rFonts w:ascii="Palatino Linotype" w:eastAsia="Palatino Linotype" w:hAnsi="Palatino Linotype" w:cs="Palatino Linotype"/>
        </w:rPr>
        <w:t>, en los cual aduce, en cada recurso las siguientes manifestaciones:</w:t>
      </w:r>
    </w:p>
    <w:p w14:paraId="7CE89BFF" w14:textId="77777777" w:rsidR="00B71AF3" w:rsidRPr="005B5134" w:rsidRDefault="00B71AF3">
      <w:pPr>
        <w:pBdr>
          <w:top w:val="nil"/>
          <w:left w:val="nil"/>
          <w:bottom w:val="nil"/>
          <w:right w:val="nil"/>
          <w:between w:val="nil"/>
        </w:pBdr>
      </w:pPr>
    </w:p>
    <w:p w14:paraId="02B57AFA" w14:textId="77777777" w:rsidR="00B71AF3" w:rsidRPr="005B5134" w:rsidRDefault="00B71AF3">
      <w:pPr>
        <w:rPr>
          <w:sz w:val="4"/>
          <w:szCs w:val="4"/>
        </w:rPr>
      </w:pPr>
    </w:p>
    <w:tbl>
      <w:tblPr>
        <w:tblStyle w:val="af2"/>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5B5134" w:rsidRPr="005B5134" w14:paraId="7018340A" w14:textId="77777777">
        <w:tc>
          <w:tcPr>
            <w:tcW w:w="3119" w:type="dxa"/>
            <w:shd w:val="clear" w:color="auto" w:fill="D9D9D9"/>
          </w:tcPr>
          <w:p w14:paraId="073B8D89"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 xml:space="preserve">Número de solicitud y Recurso de Revisión </w:t>
            </w:r>
          </w:p>
        </w:tc>
        <w:tc>
          <w:tcPr>
            <w:tcW w:w="3119" w:type="dxa"/>
            <w:shd w:val="clear" w:color="auto" w:fill="D9D9D9"/>
            <w:vAlign w:val="center"/>
          </w:tcPr>
          <w:p w14:paraId="12B1638B"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Acto impugnado.</w:t>
            </w:r>
          </w:p>
        </w:tc>
        <w:tc>
          <w:tcPr>
            <w:tcW w:w="3021" w:type="dxa"/>
            <w:shd w:val="clear" w:color="auto" w:fill="D9D9D9"/>
            <w:vAlign w:val="center"/>
          </w:tcPr>
          <w:p w14:paraId="3A447A64"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Motivos de inconformidad.</w:t>
            </w:r>
          </w:p>
        </w:tc>
      </w:tr>
      <w:tr w:rsidR="00B71AF3" w:rsidRPr="005B5134" w14:paraId="1A57FA22" w14:textId="77777777">
        <w:tc>
          <w:tcPr>
            <w:tcW w:w="3119" w:type="dxa"/>
            <w:vAlign w:val="center"/>
          </w:tcPr>
          <w:p w14:paraId="6B9166D4"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00617/ECATEPEC/IP/2024</w:t>
            </w:r>
          </w:p>
          <w:p w14:paraId="4422D551"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03664/INFOEM/IP/RR/2024</w:t>
            </w:r>
          </w:p>
          <w:p w14:paraId="075E5979" w14:textId="77777777" w:rsidR="00B71AF3" w:rsidRPr="005B5134" w:rsidRDefault="00B71AF3">
            <w:pPr>
              <w:jc w:val="center"/>
              <w:rPr>
                <w:rFonts w:ascii="Palatino Linotype" w:eastAsia="Palatino Linotype" w:hAnsi="Palatino Linotype" w:cs="Palatino Linotype"/>
                <w:b/>
                <w:sz w:val="20"/>
                <w:szCs w:val="20"/>
              </w:rPr>
            </w:pPr>
          </w:p>
          <w:p w14:paraId="499B30A7"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00615/ECATEPEC/IP/2024</w:t>
            </w:r>
          </w:p>
          <w:p w14:paraId="61A64B43"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03665/INFOEM/IP/RR/2024</w:t>
            </w:r>
          </w:p>
          <w:p w14:paraId="43A225F4" w14:textId="77777777" w:rsidR="00B71AF3" w:rsidRPr="005B5134" w:rsidRDefault="00B71AF3">
            <w:pPr>
              <w:jc w:val="center"/>
              <w:rPr>
                <w:rFonts w:ascii="Palatino Linotype" w:eastAsia="Palatino Linotype" w:hAnsi="Palatino Linotype" w:cs="Palatino Linotype"/>
                <w:b/>
                <w:sz w:val="20"/>
                <w:szCs w:val="20"/>
              </w:rPr>
            </w:pPr>
          </w:p>
          <w:p w14:paraId="3E96C899"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00883/ECATEPEC/IP/2024</w:t>
            </w:r>
          </w:p>
          <w:p w14:paraId="399A6FF2"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04085/INFOEM/IP/RR/2024</w:t>
            </w:r>
          </w:p>
        </w:tc>
        <w:tc>
          <w:tcPr>
            <w:tcW w:w="3119" w:type="dxa"/>
            <w:shd w:val="clear" w:color="auto" w:fill="auto"/>
          </w:tcPr>
          <w:p w14:paraId="74C572FF" w14:textId="77777777" w:rsidR="00B71AF3" w:rsidRPr="005B5134" w:rsidRDefault="00112D67">
            <w:pPr>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No dan la declaratoria de incompetencia</w:t>
            </w:r>
          </w:p>
        </w:tc>
        <w:tc>
          <w:tcPr>
            <w:tcW w:w="3021" w:type="dxa"/>
            <w:shd w:val="clear" w:color="auto" w:fill="auto"/>
          </w:tcPr>
          <w:p w14:paraId="55D9A9E8" w14:textId="77777777" w:rsidR="00B71AF3" w:rsidRPr="005B5134" w:rsidRDefault="00112D67">
            <w:pPr>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No dan la declaratoria de incompetencia</w:t>
            </w:r>
          </w:p>
        </w:tc>
      </w:tr>
    </w:tbl>
    <w:p w14:paraId="3C239D74" w14:textId="77777777" w:rsidR="00B71AF3" w:rsidRPr="005B5134" w:rsidRDefault="00B71AF3">
      <w:pPr>
        <w:spacing w:line="360" w:lineRule="auto"/>
        <w:jc w:val="both"/>
        <w:rPr>
          <w:rFonts w:ascii="Palatino Linotype" w:eastAsia="Palatino Linotype" w:hAnsi="Palatino Linotype" w:cs="Palatino Linotype"/>
          <w:b/>
        </w:rPr>
      </w:pPr>
    </w:p>
    <w:p w14:paraId="3D5C4056"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4. Turno. </w:t>
      </w:r>
      <w:r w:rsidRPr="005B513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w:t>
      </w:r>
      <w:r w:rsidRPr="005B5134">
        <w:rPr>
          <w:rFonts w:ascii="Palatino Linotype" w:eastAsia="Palatino Linotype" w:hAnsi="Palatino Linotype" w:cs="Palatino Linotype"/>
          <w:b/>
        </w:rPr>
        <w:t xml:space="preserve">03664/INFOEM/IP/RR/2024 </w:t>
      </w:r>
      <w:r w:rsidRPr="005B5134">
        <w:rPr>
          <w:rFonts w:ascii="Palatino Linotype" w:eastAsia="Palatino Linotype" w:hAnsi="Palatino Linotype" w:cs="Palatino Linotype"/>
        </w:rPr>
        <w:t xml:space="preserve">se turnó por el sistema electrónico del Instituto de Transparencia, Acceso a la Información Pública y Protección de Datos Personales </w:t>
      </w:r>
      <w:r w:rsidRPr="005B5134">
        <w:rPr>
          <w:rFonts w:ascii="Palatino Linotype" w:eastAsia="Palatino Linotype" w:hAnsi="Palatino Linotype" w:cs="Palatino Linotype"/>
        </w:rPr>
        <w:lastRenderedPageBreak/>
        <w:t xml:space="preserve">del Estado de México y Municipios, a la </w:t>
      </w:r>
      <w:r w:rsidRPr="005B5134">
        <w:rPr>
          <w:rFonts w:ascii="Palatino Linotype" w:eastAsia="Palatino Linotype" w:hAnsi="Palatino Linotype" w:cs="Palatino Linotype"/>
          <w:b/>
        </w:rPr>
        <w:t xml:space="preserve">Comisionada Guadalupe Ramírez Peña, </w:t>
      </w:r>
      <w:r w:rsidRPr="005B5134">
        <w:rPr>
          <w:rFonts w:ascii="Palatino Linotype" w:eastAsia="Palatino Linotype" w:hAnsi="Palatino Linotype" w:cs="Palatino Linotype"/>
        </w:rPr>
        <w:t xml:space="preserve">por lo que hace a los recursos </w:t>
      </w:r>
      <w:r w:rsidRPr="005B5134">
        <w:rPr>
          <w:rFonts w:ascii="Palatino Linotype" w:eastAsia="Palatino Linotype" w:hAnsi="Palatino Linotype" w:cs="Palatino Linotype"/>
          <w:b/>
        </w:rPr>
        <w:t xml:space="preserve">03665/INFOEM/IP/RR/2024 y 04085/INFOEM/IP/RR/2024  </w:t>
      </w:r>
      <w:r w:rsidRPr="005B5134">
        <w:rPr>
          <w:rFonts w:ascii="Palatino Linotype" w:eastAsia="Palatino Linotype" w:hAnsi="Palatino Linotype" w:cs="Palatino Linotype"/>
        </w:rPr>
        <w:t xml:space="preserve">se turnaron al </w:t>
      </w:r>
      <w:r w:rsidRPr="005B5134">
        <w:rPr>
          <w:rFonts w:ascii="Palatino Linotype" w:eastAsia="Palatino Linotype" w:hAnsi="Palatino Linotype" w:cs="Palatino Linotype"/>
          <w:b/>
        </w:rPr>
        <w:t xml:space="preserve">Comisionado José Vilchis Martínez, </w:t>
      </w:r>
      <w:r w:rsidRPr="005B5134">
        <w:rPr>
          <w:rFonts w:ascii="Palatino Linotype" w:eastAsia="Palatino Linotype" w:hAnsi="Palatino Linotype" w:cs="Palatino Linotype"/>
        </w:rPr>
        <w:t>para su análisis, estudio, elaboración del proyecto y presentación ante el Pleno de este Instituto.</w:t>
      </w:r>
    </w:p>
    <w:p w14:paraId="171CEAE0" w14:textId="77777777" w:rsidR="00B71AF3" w:rsidRPr="005B5134" w:rsidRDefault="00B71AF3">
      <w:pPr>
        <w:spacing w:line="360" w:lineRule="auto"/>
        <w:jc w:val="both"/>
        <w:rPr>
          <w:rFonts w:ascii="Palatino Linotype" w:eastAsia="Palatino Linotype" w:hAnsi="Palatino Linotype" w:cs="Palatino Linotype"/>
          <w:b/>
        </w:rPr>
      </w:pPr>
    </w:p>
    <w:p w14:paraId="4B6B5FBA"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5. Admisión de los recursos de revisión.</w:t>
      </w:r>
      <w:r w:rsidRPr="005B5134">
        <w:rPr>
          <w:rFonts w:ascii="Palatino Linotype" w:eastAsia="Palatino Linotype" w:hAnsi="Palatino Linotype" w:cs="Palatino Linotype"/>
        </w:rPr>
        <w:t xml:space="preserve"> Con </w:t>
      </w:r>
      <w:r w:rsidRPr="005B5134">
        <w:rPr>
          <w:rFonts w:ascii="Palatino Linotype" w:eastAsia="Palatino Linotype" w:hAnsi="Palatino Linotype" w:cs="Palatino Linotype"/>
          <w:b/>
        </w:rPr>
        <w:t xml:space="preserve">fechas veinte y veintiuno de junio, y nueve de julio, todas las fechas del dos mil veinticuatro, </w:t>
      </w:r>
      <w:r w:rsidRPr="005B513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w:t>
      </w:r>
      <w:r w:rsidRPr="005B5134">
        <w:rPr>
          <w:rFonts w:ascii="Palatino Linotype" w:eastAsia="Palatino Linotype" w:hAnsi="Palatino Linotype" w:cs="Palatino Linotype"/>
          <w:b/>
        </w:rPr>
        <w:t xml:space="preserve">el SUJETO OBLIGADO </w:t>
      </w:r>
      <w:r w:rsidRPr="005B5134">
        <w:rPr>
          <w:rFonts w:ascii="Palatino Linotype" w:eastAsia="Palatino Linotype" w:hAnsi="Palatino Linotype" w:cs="Palatino Linotype"/>
        </w:rPr>
        <w:t>presentara su informe justificado.</w:t>
      </w:r>
    </w:p>
    <w:p w14:paraId="71443FEE"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6. Manifestaciones.</w:t>
      </w:r>
      <w:r w:rsidRPr="005B5134">
        <w:rPr>
          <w:rFonts w:ascii="Palatino Linotype" w:eastAsia="Palatino Linotype" w:hAnsi="Palatino Linotype" w:cs="Palatino Linotype"/>
          <w:b/>
          <w:sz w:val="22"/>
          <w:szCs w:val="22"/>
        </w:rPr>
        <w:t xml:space="preserve"> </w:t>
      </w:r>
      <w:r w:rsidRPr="005B5134">
        <w:rPr>
          <w:rFonts w:ascii="Palatino Linotype" w:eastAsia="Palatino Linotype" w:hAnsi="Palatino Linotype" w:cs="Palatino Linotype"/>
        </w:rPr>
        <w:t>De las constancias que obran en los expedientes electrónicos del SAIMEX se desprende que la parte</w:t>
      </w:r>
      <w:r w:rsidRPr="005B5134">
        <w:rPr>
          <w:rFonts w:ascii="Palatino Linotype" w:eastAsia="Palatino Linotype" w:hAnsi="Palatino Linotype" w:cs="Palatino Linotype"/>
          <w:b/>
        </w:rPr>
        <w:t xml:space="preserve"> RECURRENTE</w:t>
      </w:r>
      <w:r w:rsidRPr="005B5134">
        <w:rPr>
          <w:rFonts w:ascii="Palatino Linotype" w:eastAsia="Palatino Linotype" w:hAnsi="Palatino Linotype" w:cs="Palatino Linotype"/>
        </w:rPr>
        <w:t xml:space="preserve"> omitió realizar manifestaciones. </w:t>
      </w:r>
    </w:p>
    <w:p w14:paraId="625573BC"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Por su parte el </w:t>
      </w:r>
      <w:r w:rsidRPr="005B5134">
        <w:rPr>
          <w:rFonts w:ascii="Palatino Linotype" w:eastAsia="Palatino Linotype" w:hAnsi="Palatino Linotype" w:cs="Palatino Linotype"/>
          <w:b/>
        </w:rPr>
        <w:t xml:space="preserve">SUJETO OBLIGADO </w:t>
      </w:r>
      <w:r w:rsidRPr="005B5134">
        <w:rPr>
          <w:rFonts w:ascii="Palatino Linotype" w:eastAsia="Palatino Linotype" w:hAnsi="Palatino Linotype" w:cs="Palatino Linotype"/>
        </w:rPr>
        <w:t>en vía de informe justificado remitió los siguientes archivos electrónicos:</w:t>
      </w:r>
    </w:p>
    <w:tbl>
      <w:tblPr>
        <w:tblStyle w:val="af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5948"/>
      </w:tblGrid>
      <w:tr w:rsidR="005B5134" w:rsidRPr="005B5134" w14:paraId="4CC5D3A8" w14:textId="77777777">
        <w:tc>
          <w:tcPr>
            <w:tcW w:w="3119" w:type="dxa"/>
            <w:shd w:val="clear" w:color="auto" w:fill="D9D9D9"/>
          </w:tcPr>
          <w:p w14:paraId="0345F141"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 xml:space="preserve">Número de solicitud y Recurso de Revisión </w:t>
            </w:r>
          </w:p>
        </w:tc>
        <w:tc>
          <w:tcPr>
            <w:tcW w:w="5948" w:type="dxa"/>
            <w:shd w:val="clear" w:color="auto" w:fill="D9D9D9"/>
            <w:vAlign w:val="center"/>
          </w:tcPr>
          <w:p w14:paraId="2D450B0E"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Informe Justificado</w:t>
            </w:r>
          </w:p>
        </w:tc>
      </w:tr>
      <w:tr w:rsidR="005B5134" w:rsidRPr="005B5134" w14:paraId="71BD3B83" w14:textId="77777777">
        <w:tc>
          <w:tcPr>
            <w:tcW w:w="3119" w:type="dxa"/>
            <w:vAlign w:val="center"/>
          </w:tcPr>
          <w:p w14:paraId="5C55AE05"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00617/ECATEPEC/IP/2024</w:t>
            </w:r>
          </w:p>
          <w:p w14:paraId="5E01D56C"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03664/INFOEM/IP/RR/2024</w:t>
            </w:r>
          </w:p>
          <w:p w14:paraId="076587C0" w14:textId="77777777" w:rsidR="00B71AF3" w:rsidRPr="005B5134" w:rsidRDefault="00B71AF3">
            <w:pPr>
              <w:jc w:val="center"/>
              <w:rPr>
                <w:rFonts w:ascii="Palatino Linotype" w:eastAsia="Palatino Linotype" w:hAnsi="Palatino Linotype" w:cs="Palatino Linotype"/>
                <w:b/>
                <w:sz w:val="20"/>
                <w:szCs w:val="20"/>
              </w:rPr>
            </w:pPr>
          </w:p>
          <w:p w14:paraId="5D15795C"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00883/ECATEPEC/IP/2024</w:t>
            </w:r>
          </w:p>
          <w:p w14:paraId="1BDDA97F"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04085/INFOEM/IP/RR/2024</w:t>
            </w:r>
          </w:p>
        </w:tc>
        <w:tc>
          <w:tcPr>
            <w:tcW w:w="5948" w:type="dxa"/>
            <w:shd w:val="clear" w:color="auto" w:fill="auto"/>
          </w:tcPr>
          <w:p w14:paraId="21BC3645" w14:textId="77777777" w:rsidR="00B71AF3" w:rsidRPr="005B5134" w:rsidRDefault="00112D67">
            <w:pPr>
              <w:jc w:val="both"/>
              <w:rPr>
                <w:rFonts w:ascii="Palatino Linotype" w:eastAsia="Palatino Linotype" w:hAnsi="Palatino Linotype" w:cs="Palatino Linotype"/>
                <w:sz w:val="20"/>
                <w:szCs w:val="20"/>
              </w:rPr>
            </w:pPr>
            <w:r w:rsidRPr="005B5134">
              <w:rPr>
                <w:rFonts w:ascii="Palatino Linotype" w:eastAsia="Palatino Linotype" w:hAnsi="Palatino Linotype" w:cs="Palatino Linotype"/>
                <w:b/>
                <w:sz w:val="20"/>
                <w:szCs w:val="20"/>
              </w:rPr>
              <w:t>“</w:t>
            </w:r>
            <w:hyperlink r:id="rId11">
              <w:r w:rsidRPr="005B5134">
                <w:rPr>
                  <w:rFonts w:ascii="Palatino Linotype" w:eastAsia="Palatino Linotype" w:hAnsi="Palatino Linotype" w:cs="Palatino Linotype"/>
                  <w:sz w:val="20"/>
                  <w:szCs w:val="20"/>
                </w:rPr>
                <w:t>ACTA 44 INCOMPETENCIA.pdf</w:t>
              </w:r>
            </w:hyperlink>
            <w:r w:rsidRPr="005B5134">
              <w:rPr>
                <w:rFonts w:ascii="Palatino Linotype" w:eastAsia="Palatino Linotype" w:hAnsi="Palatino Linotype" w:cs="Palatino Linotype"/>
                <w:sz w:val="20"/>
                <w:szCs w:val="20"/>
              </w:rPr>
              <w:t>”, el cual contiene el acuerdo número ACUERDO ACT/CT/ECA/EXT/42/2024 del Comité de Transparencia del Ayuntamiento de Ecatepec de Morelos por medio del cual realiza la declaratoria de incompetencia de las solicitudes de información 00615/ECATEPEC/IP/2024, 00616/ECATEPEC/2024, 00617/ECATEPEC/2024</w:t>
            </w:r>
          </w:p>
          <w:p w14:paraId="4C7AB355" w14:textId="77777777" w:rsidR="00B71AF3" w:rsidRPr="005B5134" w:rsidRDefault="00B71AF3">
            <w:pPr>
              <w:rPr>
                <w:rFonts w:ascii="Palatino Linotype" w:eastAsia="Palatino Linotype" w:hAnsi="Palatino Linotype" w:cs="Palatino Linotype"/>
                <w:sz w:val="20"/>
                <w:szCs w:val="20"/>
              </w:rPr>
            </w:pPr>
          </w:p>
          <w:p w14:paraId="1A3E9B8C" w14:textId="77777777" w:rsidR="00B71AF3" w:rsidRPr="005B5134" w:rsidRDefault="00B71AF3">
            <w:pPr>
              <w:rPr>
                <w:rFonts w:ascii="Palatino Linotype" w:eastAsia="Palatino Linotype" w:hAnsi="Palatino Linotype" w:cs="Palatino Linotype"/>
                <w:b/>
                <w:sz w:val="20"/>
                <w:szCs w:val="20"/>
              </w:rPr>
            </w:pPr>
          </w:p>
          <w:p w14:paraId="6EE21143" w14:textId="77777777" w:rsidR="00B71AF3" w:rsidRPr="005B5134" w:rsidRDefault="00112D67">
            <w:pPr>
              <w:jc w:val="both"/>
              <w:rPr>
                <w:rFonts w:ascii="Palatino Linotype" w:eastAsia="Palatino Linotype" w:hAnsi="Palatino Linotype" w:cs="Palatino Linotype"/>
                <w:sz w:val="22"/>
                <w:szCs w:val="22"/>
              </w:rPr>
            </w:pPr>
            <w:r w:rsidRPr="005B5134">
              <w:rPr>
                <w:rFonts w:ascii="Palatino Linotype" w:eastAsia="Palatino Linotype" w:hAnsi="Palatino Linotype" w:cs="Palatino Linotype"/>
                <w:sz w:val="20"/>
                <w:szCs w:val="20"/>
              </w:rPr>
              <w:t>“</w:t>
            </w:r>
            <w:hyperlink r:id="rId12">
              <w:r w:rsidRPr="005B5134">
                <w:rPr>
                  <w:rFonts w:ascii="Palatino Linotype" w:eastAsia="Palatino Linotype" w:hAnsi="Palatino Linotype" w:cs="Palatino Linotype"/>
                  <w:sz w:val="20"/>
                  <w:szCs w:val="20"/>
                </w:rPr>
                <w:t>ACTA 51 INCOMPETENCIA DIF.pdf</w:t>
              </w:r>
            </w:hyperlink>
            <w:r w:rsidRPr="005B5134">
              <w:rPr>
                <w:rFonts w:ascii="Palatino Linotype" w:eastAsia="Palatino Linotype" w:hAnsi="Palatino Linotype" w:cs="Palatino Linotype"/>
                <w:sz w:val="20"/>
                <w:szCs w:val="20"/>
              </w:rPr>
              <w:t xml:space="preserve">”,  el cual contiene el acuerdo número información ACUERDO </w:t>
            </w:r>
            <w:r w:rsidRPr="005B5134">
              <w:rPr>
                <w:rFonts w:ascii="Palatino Linotype" w:eastAsia="Palatino Linotype" w:hAnsi="Palatino Linotype" w:cs="Palatino Linotype"/>
                <w:sz w:val="20"/>
                <w:szCs w:val="20"/>
              </w:rPr>
              <w:lastRenderedPageBreak/>
              <w:t>ACT/CT/ECA/EXT/51/2024 del Comité de Transparencia del Ayuntamiento de Ecatepec de Morelos por medio del cual realiza la declaratoria de incompetencia de las solicitudes de información 01024/ECATEPEC/IP/2024, 01022/ECATEPEC/IP/2024, 01020/ECATEPEC/IP/2024, 01019/ECATEPEC/IP/2024, 00989/ECATEPEC/IP/2024, 00986/ECATEPEC/IP/2024, 00983/ECATEPEC/IP/2024, 00981/ECATEPEC/IP/2024, 00952/ECATEPEC/IP/2024, 00951/ECATEPEC/IP/2024, 00949/ECATEPEC/IP/2024, 00947/ECATEPEC/IP/2024, 00894/ECATEPEC/IP/2024, 00893/ECATEPEC/IP/2024, 00892/ECATEPEC/IP/2024, 00891/ECATEPEC/IP/2024, 00890/ECATEPEC/IP/2024, 00889/ECATEPEC/IP/2024, 00888/ECATEPEC/IP/2024, 00886/ECATEPEC/IP/2024, 00885/ECATEPEC/IP/2024, 00883/ECATEPEC/IP/2024 y 00884/ECATEPEC/IP/2024</w:t>
            </w:r>
          </w:p>
        </w:tc>
      </w:tr>
      <w:tr w:rsidR="00B71AF3" w:rsidRPr="005B5134" w14:paraId="25920460" w14:textId="77777777">
        <w:tc>
          <w:tcPr>
            <w:tcW w:w="3119" w:type="dxa"/>
            <w:vAlign w:val="center"/>
          </w:tcPr>
          <w:p w14:paraId="03A0FA51"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lastRenderedPageBreak/>
              <w:t>00615/ECATEPEC/IP/2024</w:t>
            </w:r>
          </w:p>
          <w:p w14:paraId="51AFB44A" w14:textId="77777777" w:rsidR="00B71AF3" w:rsidRPr="005B5134" w:rsidRDefault="00112D67">
            <w:pPr>
              <w:jc w:val="center"/>
              <w:rPr>
                <w:rFonts w:ascii="Palatino Linotype" w:eastAsia="Palatino Linotype" w:hAnsi="Palatino Linotype" w:cs="Palatino Linotype"/>
                <w:b/>
                <w:sz w:val="20"/>
                <w:szCs w:val="20"/>
              </w:rPr>
            </w:pPr>
            <w:r w:rsidRPr="005B5134">
              <w:rPr>
                <w:rFonts w:ascii="Palatino Linotype" w:eastAsia="Palatino Linotype" w:hAnsi="Palatino Linotype" w:cs="Palatino Linotype"/>
                <w:b/>
                <w:sz w:val="20"/>
                <w:szCs w:val="20"/>
              </w:rPr>
              <w:t>03665/INFOEM/IP/RR/2024</w:t>
            </w:r>
          </w:p>
          <w:p w14:paraId="5CA463EE" w14:textId="77777777" w:rsidR="00B71AF3" w:rsidRPr="005B5134" w:rsidRDefault="00B71AF3">
            <w:pPr>
              <w:jc w:val="center"/>
              <w:rPr>
                <w:rFonts w:ascii="Palatino Linotype" w:eastAsia="Palatino Linotype" w:hAnsi="Palatino Linotype" w:cs="Palatino Linotype"/>
                <w:b/>
                <w:sz w:val="20"/>
                <w:szCs w:val="20"/>
              </w:rPr>
            </w:pPr>
          </w:p>
        </w:tc>
        <w:tc>
          <w:tcPr>
            <w:tcW w:w="5948" w:type="dxa"/>
            <w:shd w:val="clear" w:color="auto" w:fill="auto"/>
          </w:tcPr>
          <w:p w14:paraId="299A94A1" w14:textId="77777777" w:rsidR="00B71AF3" w:rsidRPr="005B5134" w:rsidRDefault="00112D67">
            <w:pPr>
              <w:jc w:val="both"/>
              <w:rPr>
                <w:rFonts w:ascii="Palatino Linotype" w:eastAsia="Palatino Linotype" w:hAnsi="Palatino Linotype" w:cs="Palatino Linotype"/>
                <w:sz w:val="20"/>
                <w:szCs w:val="20"/>
              </w:rPr>
            </w:pPr>
            <w:r w:rsidRPr="005B5134">
              <w:rPr>
                <w:rFonts w:ascii="Palatino Linotype" w:eastAsia="Palatino Linotype" w:hAnsi="Palatino Linotype" w:cs="Palatino Linotype"/>
                <w:sz w:val="20"/>
                <w:szCs w:val="20"/>
              </w:rPr>
              <w:t>En el presente recurso de revisión el SUJETO OBLIGADO no rindió su informe justificado:</w:t>
            </w:r>
          </w:p>
          <w:p w14:paraId="2A449EEF" w14:textId="77777777" w:rsidR="00B71AF3" w:rsidRPr="005B5134" w:rsidRDefault="00112D67">
            <w:pPr>
              <w:jc w:val="both"/>
              <w:rPr>
                <w:rFonts w:ascii="Palatino Linotype" w:eastAsia="Palatino Linotype" w:hAnsi="Palatino Linotype" w:cs="Palatino Linotype"/>
                <w:sz w:val="20"/>
                <w:szCs w:val="20"/>
              </w:rPr>
            </w:pPr>
            <w:r w:rsidRPr="005B5134">
              <w:rPr>
                <w:rFonts w:ascii="Palatino Linotype" w:eastAsia="Palatino Linotype" w:hAnsi="Palatino Linotype" w:cs="Palatino Linotype"/>
                <w:noProof/>
                <w:sz w:val="20"/>
                <w:szCs w:val="20"/>
              </w:rPr>
              <w:drawing>
                <wp:inline distT="0" distB="0" distL="0" distR="0" wp14:anchorId="4F6F0D20" wp14:editId="725752EC">
                  <wp:extent cx="3630930" cy="1028700"/>
                  <wp:effectExtent l="0" t="0" r="0" b="0"/>
                  <wp:docPr id="19702993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630930" cy="1028700"/>
                          </a:xfrm>
                          <a:prstGeom prst="rect">
                            <a:avLst/>
                          </a:prstGeom>
                          <a:ln/>
                        </pic:spPr>
                      </pic:pic>
                    </a:graphicData>
                  </a:graphic>
                </wp:inline>
              </w:drawing>
            </w:r>
          </w:p>
        </w:tc>
      </w:tr>
    </w:tbl>
    <w:p w14:paraId="6DBEB0A3" w14:textId="77777777" w:rsidR="00B71AF3" w:rsidRPr="005B5134" w:rsidRDefault="00B71AF3">
      <w:pPr>
        <w:spacing w:line="360" w:lineRule="auto"/>
        <w:jc w:val="both"/>
        <w:rPr>
          <w:rFonts w:ascii="Palatino Linotype" w:eastAsia="Palatino Linotype" w:hAnsi="Palatino Linotype" w:cs="Palatino Linotype"/>
        </w:rPr>
      </w:pPr>
    </w:p>
    <w:p w14:paraId="478B4E48"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Archivos que se pusieron a la vista de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4646FDBE" w14:textId="77777777" w:rsidR="00B71AF3" w:rsidRPr="005B5134" w:rsidRDefault="00112D67">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b/>
        </w:rPr>
        <w:t>7. Acumulación de los recursos de revisión.</w:t>
      </w:r>
      <w:r w:rsidRPr="005B5134">
        <w:rPr>
          <w:rFonts w:ascii="Palatino Linotype" w:eastAsia="Palatino Linotype" w:hAnsi="Palatino Linotype" w:cs="Palatino Linotype"/>
        </w:rPr>
        <w:t xml:space="preserve"> Al respecto cabe señalar, que el Pleno de este Instituto, en la </w:t>
      </w:r>
      <w:r w:rsidRPr="005B5134">
        <w:rPr>
          <w:rFonts w:ascii="Palatino Linotype" w:eastAsia="Palatino Linotype" w:hAnsi="Palatino Linotype" w:cs="Palatino Linotype"/>
          <w:b/>
        </w:rPr>
        <w:t>Vigésima Sexta Sesión Ordinaria, celebrada el diecisiete de julio de dos mil veinticuatro;</w:t>
      </w:r>
      <w:r w:rsidRPr="005B5134">
        <w:rPr>
          <w:rFonts w:ascii="Palatino Linotype" w:eastAsia="Palatino Linotype" w:hAnsi="Palatino Linotype" w:cs="Palatino Linotype"/>
        </w:rPr>
        <w:t xml:space="preserve"> respectivamente, ordenó la acumulación de los expedientes citados, a efecto de que la </w:t>
      </w:r>
      <w:r w:rsidRPr="005B5134">
        <w:rPr>
          <w:rFonts w:ascii="Palatino Linotype" w:eastAsia="Palatino Linotype" w:hAnsi="Palatino Linotype" w:cs="Palatino Linotype"/>
          <w:b/>
        </w:rPr>
        <w:t xml:space="preserve">Comisionada Guadalupe Ramírez Peña </w:t>
      </w:r>
      <w:r w:rsidRPr="005B5134">
        <w:rPr>
          <w:rFonts w:ascii="Palatino Linotype" w:eastAsia="Palatino Linotype" w:hAnsi="Palatino Linotype" w:cs="Palatino Linotype"/>
        </w:rPr>
        <w:t xml:space="preserve">formulara y presentara el proyecto de resolución correspondiente, de conformidad con lo dispuesto en el artículo 18 del Código de Procedimientos Administrativos del Estado de México, </w:t>
      </w:r>
      <w:r w:rsidRPr="005B5134">
        <w:rPr>
          <w:rFonts w:ascii="Palatino Linotype" w:eastAsia="Palatino Linotype" w:hAnsi="Palatino Linotype" w:cs="Palatino Linotype"/>
        </w:rPr>
        <w:lastRenderedPageBreak/>
        <w:t>de aplicación supletoria en términos del artículo 195 de la Ley de Transparencia y Acceso a la Información Pública del Estado de México y Municipios, que a la letra señalan:  </w:t>
      </w:r>
    </w:p>
    <w:p w14:paraId="2C8136D8" w14:textId="77777777" w:rsidR="00B71AF3" w:rsidRPr="005B5134" w:rsidRDefault="00112D67">
      <w:pPr>
        <w:spacing w:before="120" w:after="120"/>
        <w:ind w:left="851" w:right="902"/>
        <w:jc w:val="both"/>
      </w:pPr>
      <w:r w:rsidRPr="005B5134">
        <w:rPr>
          <w:rFonts w:ascii="Palatino Linotype" w:eastAsia="Palatino Linotype" w:hAnsi="Palatino Linotype" w:cs="Palatino Linotype"/>
          <w:b/>
          <w:i/>
          <w:sz w:val="22"/>
          <w:szCs w:val="22"/>
        </w:rPr>
        <w:t>Código de Procedimientos Administrativos del Estado de México</w:t>
      </w:r>
    </w:p>
    <w:p w14:paraId="7421C79E" w14:textId="77777777" w:rsidR="00B71AF3" w:rsidRPr="005B5134" w:rsidRDefault="00112D67">
      <w:pPr>
        <w:spacing w:before="120" w:after="120"/>
        <w:ind w:left="851" w:right="902"/>
        <w:jc w:val="both"/>
      </w:pPr>
      <w:r w:rsidRPr="005B5134">
        <w:rPr>
          <w:rFonts w:ascii="Palatino Linotype" w:eastAsia="Palatino Linotype" w:hAnsi="Palatino Linotype" w:cs="Palatino Linotype"/>
          <w:b/>
          <w:i/>
          <w:sz w:val="22"/>
          <w:szCs w:val="22"/>
        </w:rPr>
        <w:t>“Artículo 18.-</w:t>
      </w:r>
      <w:r w:rsidRPr="005B5134">
        <w:rPr>
          <w:rFonts w:ascii="Palatino Linotype" w:eastAsia="Palatino Linotype" w:hAnsi="Palatino Linotype" w:cs="Palatino Linotype"/>
          <w:i/>
          <w:sz w:val="22"/>
          <w:szCs w:val="22"/>
        </w:rPr>
        <w:t xml:space="preserve"> </w:t>
      </w:r>
      <w:r w:rsidRPr="005B5134">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5B5134">
        <w:rPr>
          <w:rFonts w:ascii="Palatino Linotype" w:eastAsia="Palatino Linotype" w:hAnsi="Palatino Linotype" w:cs="Palatino Linotype"/>
          <w:i/>
          <w:sz w:val="22"/>
          <w:szCs w:val="22"/>
        </w:rPr>
        <w:t xml:space="preserve"> o a petición de parte, </w:t>
      </w:r>
      <w:r w:rsidRPr="005B5134">
        <w:rPr>
          <w:rFonts w:ascii="Palatino Linotype" w:eastAsia="Palatino Linotype" w:hAnsi="Palatino Linotype" w:cs="Palatino Linotype"/>
          <w:b/>
          <w:i/>
          <w:sz w:val="22"/>
          <w:szCs w:val="22"/>
        </w:rPr>
        <w:t>cuando las partes</w:t>
      </w:r>
      <w:r w:rsidRPr="005B5134">
        <w:rPr>
          <w:rFonts w:ascii="Palatino Linotype" w:eastAsia="Palatino Linotype" w:hAnsi="Palatino Linotype" w:cs="Palatino Linotype"/>
          <w:i/>
          <w:sz w:val="22"/>
          <w:szCs w:val="22"/>
        </w:rPr>
        <w:t xml:space="preserve"> o los actos administrativos sean iguales, se trate de actos conexos o </w:t>
      </w:r>
      <w:r w:rsidRPr="005B5134">
        <w:rPr>
          <w:rFonts w:ascii="Palatino Linotype" w:eastAsia="Palatino Linotype" w:hAnsi="Palatino Linotype" w:cs="Palatino Linotype"/>
          <w:b/>
          <w:i/>
          <w:sz w:val="22"/>
          <w:szCs w:val="22"/>
        </w:rPr>
        <w:t>resulte conveniente el trámite unificado de los asuntos, para evitar la emisión de resoluciones contradictorias</w:t>
      </w:r>
      <w:r w:rsidRPr="005B5134">
        <w:rPr>
          <w:rFonts w:ascii="Palatino Linotype" w:eastAsia="Palatino Linotype" w:hAnsi="Palatino Linotype" w:cs="Palatino Linotype"/>
          <w:i/>
          <w:sz w:val="22"/>
          <w:szCs w:val="22"/>
        </w:rPr>
        <w:t>. La misma regla se aplicará, en lo conducente, para la separación de los expedientes.”</w:t>
      </w:r>
    </w:p>
    <w:p w14:paraId="4EF3FFB8" w14:textId="77777777" w:rsidR="00B71AF3" w:rsidRPr="005B5134" w:rsidRDefault="00112D67">
      <w:pPr>
        <w:spacing w:before="120" w:after="120"/>
        <w:ind w:left="851" w:right="902"/>
        <w:jc w:val="both"/>
      </w:pPr>
      <w:r w:rsidRPr="005B5134">
        <w:rPr>
          <w:rFonts w:ascii="Palatino Linotype" w:eastAsia="Palatino Linotype" w:hAnsi="Palatino Linotype" w:cs="Palatino Linotype"/>
          <w:b/>
          <w:i/>
          <w:sz w:val="22"/>
          <w:szCs w:val="22"/>
        </w:rPr>
        <w:t>Ley de Transparencia y Acceso a la Información Pública del Estado de México y Municipios</w:t>
      </w:r>
    </w:p>
    <w:p w14:paraId="01A61156" w14:textId="77777777" w:rsidR="00B71AF3" w:rsidRPr="005B5134" w:rsidRDefault="00112D67">
      <w:pPr>
        <w:spacing w:before="120" w:after="120"/>
        <w:ind w:left="851" w:right="902"/>
        <w:jc w:val="both"/>
      </w:pPr>
      <w:r w:rsidRPr="005B5134">
        <w:rPr>
          <w:rFonts w:ascii="Palatino Linotype" w:eastAsia="Palatino Linotype" w:hAnsi="Palatino Linotype" w:cs="Palatino Linotype"/>
          <w:b/>
          <w:i/>
          <w:sz w:val="22"/>
          <w:szCs w:val="22"/>
        </w:rPr>
        <w:t>“Artículo 195.-</w:t>
      </w:r>
      <w:r w:rsidRPr="005B5134">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5AF3BB66" w14:textId="77777777" w:rsidR="00B71AF3" w:rsidRPr="005B5134" w:rsidRDefault="00B71AF3">
      <w:pPr>
        <w:spacing w:line="360" w:lineRule="auto"/>
        <w:jc w:val="both"/>
        <w:rPr>
          <w:rFonts w:ascii="Palatino Linotype" w:eastAsia="Palatino Linotype" w:hAnsi="Palatino Linotype" w:cs="Palatino Linotype"/>
          <w:b/>
        </w:rPr>
      </w:pPr>
    </w:p>
    <w:p w14:paraId="536929DF" w14:textId="77777777" w:rsidR="00B71AF3" w:rsidRPr="005B5134" w:rsidRDefault="00112D6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5B5134">
        <w:rPr>
          <w:rFonts w:ascii="Palatino Linotype" w:eastAsia="Palatino Linotype" w:hAnsi="Palatino Linotype" w:cs="Palatino Linotype"/>
          <w:b/>
        </w:rPr>
        <w:t xml:space="preserve">8. Cierre de instrucción. </w:t>
      </w:r>
      <w:r w:rsidRPr="005B5134">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Pr="005B5134">
        <w:rPr>
          <w:rFonts w:ascii="Palatino Linotype" w:eastAsia="Palatino Linotype" w:hAnsi="Palatino Linotype" w:cs="Palatino Linotype"/>
          <w:b/>
        </w:rPr>
        <w:t>tres de julio y</w:t>
      </w: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b/>
        </w:rPr>
        <w:t>nueve de septiembre</w:t>
      </w: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b/>
        </w:rPr>
        <w:t>de dos mil veinticuatro</w:t>
      </w:r>
      <w:r w:rsidRPr="005B5134">
        <w:rPr>
          <w:rFonts w:ascii="Palatino Linotype" w:eastAsia="Palatino Linotype" w:hAnsi="Palatino Linotype" w:cs="Palatino Linotype"/>
        </w:rPr>
        <w:t xml:space="preserve">, la </w:t>
      </w:r>
      <w:r w:rsidRPr="005B5134">
        <w:rPr>
          <w:rFonts w:ascii="Palatino Linotype" w:eastAsia="Palatino Linotype" w:hAnsi="Palatino Linotype" w:cs="Palatino Linotype"/>
          <w:b/>
        </w:rPr>
        <w:t>Comisionada Ponente</w:t>
      </w:r>
      <w:r w:rsidRPr="005B5134">
        <w:rPr>
          <w:rFonts w:ascii="Palatino Linotype" w:eastAsia="Palatino Linotype" w:hAnsi="Palatino Linotype" w:cs="Palatino Linotype"/>
        </w:rPr>
        <w:t xml:space="preserve"> determinó los cierres de instrucción en términos de la fracción VI del artículo 185 de la Ley de Transparencia y Acceso a la Información Pública del Estado de México y Municipios.</w:t>
      </w:r>
    </w:p>
    <w:p w14:paraId="047831F2" w14:textId="77777777" w:rsidR="00B71AF3" w:rsidRPr="005B5134" w:rsidRDefault="00112D6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978jfmghlryk" w:colFirst="0" w:colLast="0"/>
      <w:bookmarkEnd w:id="1"/>
      <w:r w:rsidRPr="005B5134">
        <w:rPr>
          <w:rFonts w:ascii="Palatino Linotype" w:eastAsia="Palatino Linotype" w:hAnsi="Palatino Linotype" w:cs="Palatino Linotype"/>
          <w:b/>
        </w:rPr>
        <w:t>9</w:t>
      </w: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b/>
        </w:rPr>
        <w:t xml:space="preserve">Ampliación del término para resolver los recursos de revisión. </w:t>
      </w:r>
      <w:r w:rsidRPr="005B5134">
        <w:rPr>
          <w:rFonts w:ascii="Palatino Linotype" w:eastAsia="Palatino Linotype" w:hAnsi="Palatino Linotype" w:cs="Palatino Linotype"/>
        </w:rPr>
        <w:t>En fecha diez de septiembre del año dos mil veinticuatro, con fundamento en el artículo 181, párrafo tercero de la Ley de Transparencia y Acceso a la Información Pública del Estado de México y Municipios, se acordó la ampliación del plazo para su resolución.</w:t>
      </w:r>
    </w:p>
    <w:p w14:paraId="1220D3E7" w14:textId="77777777" w:rsidR="00B71AF3" w:rsidRPr="005B5134" w:rsidRDefault="00112D67">
      <w:pPr>
        <w:widowControl w:val="0"/>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6E073C" w14:textId="77777777" w:rsidR="00B71AF3" w:rsidRPr="005B5134" w:rsidRDefault="00B71AF3">
      <w:pPr>
        <w:spacing w:line="360" w:lineRule="auto"/>
        <w:jc w:val="both"/>
        <w:rPr>
          <w:rFonts w:ascii="Palatino Linotype" w:eastAsia="Palatino Linotype" w:hAnsi="Palatino Linotype" w:cs="Palatino Linotype"/>
        </w:rPr>
      </w:pPr>
    </w:p>
    <w:p w14:paraId="681832C1"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600B88" w14:textId="77777777" w:rsidR="00B71AF3" w:rsidRPr="005B5134" w:rsidRDefault="00B71AF3">
      <w:pPr>
        <w:spacing w:line="360" w:lineRule="auto"/>
        <w:jc w:val="both"/>
        <w:rPr>
          <w:rFonts w:ascii="Palatino Linotype" w:eastAsia="Palatino Linotype" w:hAnsi="Palatino Linotype" w:cs="Palatino Linotype"/>
        </w:rPr>
      </w:pPr>
    </w:p>
    <w:p w14:paraId="16A705B9"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934F38" w14:textId="77777777" w:rsidR="00B71AF3" w:rsidRPr="005B5134" w:rsidRDefault="00B71AF3">
      <w:pPr>
        <w:spacing w:line="360" w:lineRule="auto"/>
        <w:jc w:val="both"/>
        <w:rPr>
          <w:rFonts w:ascii="Palatino Linotype" w:eastAsia="Palatino Linotype" w:hAnsi="Palatino Linotype" w:cs="Palatino Linotype"/>
        </w:rPr>
      </w:pPr>
    </w:p>
    <w:p w14:paraId="4E52D5FC"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AE7F8B1" w14:textId="77777777" w:rsidR="00B71AF3" w:rsidRPr="005B5134" w:rsidRDefault="00B71AF3">
      <w:pPr>
        <w:spacing w:line="360" w:lineRule="auto"/>
        <w:jc w:val="both"/>
        <w:rPr>
          <w:rFonts w:ascii="Palatino Linotype" w:eastAsia="Palatino Linotype" w:hAnsi="Palatino Linotype" w:cs="Palatino Linotype"/>
        </w:rPr>
      </w:pPr>
    </w:p>
    <w:p w14:paraId="103C7778" w14:textId="77777777" w:rsidR="00B71AF3" w:rsidRPr="005B5134" w:rsidRDefault="00112D67">
      <w:pPr>
        <w:spacing w:line="360" w:lineRule="auto"/>
        <w:jc w:val="both"/>
        <w:rPr>
          <w:rFonts w:ascii="Palatino Linotype" w:eastAsia="Palatino Linotype" w:hAnsi="Palatino Linotype" w:cs="Palatino Linotype"/>
          <w:strike/>
        </w:rPr>
      </w:pPr>
      <w:r w:rsidRPr="005B5134">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ABFEFE9" w14:textId="77777777" w:rsidR="00B71AF3" w:rsidRPr="005B5134" w:rsidRDefault="00B71AF3">
      <w:pPr>
        <w:spacing w:line="360" w:lineRule="auto"/>
        <w:jc w:val="both"/>
        <w:rPr>
          <w:rFonts w:ascii="Palatino Linotype" w:eastAsia="Palatino Linotype" w:hAnsi="Palatino Linotype" w:cs="Palatino Linotype"/>
        </w:rPr>
      </w:pPr>
    </w:p>
    <w:p w14:paraId="3063BC20" w14:textId="77777777" w:rsidR="00B71AF3" w:rsidRPr="005B5134" w:rsidRDefault="00112D67">
      <w:pPr>
        <w:numPr>
          <w:ilvl w:val="0"/>
          <w:numId w:val="4"/>
        </w:numPr>
        <w:ind w:left="851"/>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D34E27A" w14:textId="77777777" w:rsidR="00B71AF3" w:rsidRPr="005B5134" w:rsidRDefault="00B71AF3">
      <w:pPr>
        <w:ind w:left="851" w:hanging="360"/>
        <w:jc w:val="both"/>
        <w:rPr>
          <w:rFonts w:ascii="Palatino Linotype" w:eastAsia="Palatino Linotype" w:hAnsi="Palatino Linotype" w:cs="Palatino Linotype"/>
        </w:rPr>
      </w:pPr>
    </w:p>
    <w:p w14:paraId="70E14DC4" w14:textId="77777777" w:rsidR="00B71AF3" w:rsidRPr="005B5134" w:rsidRDefault="00112D67">
      <w:pPr>
        <w:numPr>
          <w:ilvl w:val="0"/>
          <w:numId w:val="4"/>
        </w:numPr>
        <w:ind w:left="851"/>
        <w:jc w:val="both"/>
        <w:rPr>
          <w:rFonts w:ascii="Palatino Linotype" w:eastAsia="Palatino Linotype" w:hAnsi="Palatino Linotype" w:cs="Palatino Linotype"/>
        </w:rPr>
      </w:pPr>
      <w:r w:rsidRPr="005B5134">
        <w:rPr>
          <w:rFonts w:ascii="Palatino Linotype" w:eastAsia="Palatino Linotype" w:hAnsi="Palatino Linotype" w:cs="Palatino Linotype"/>
        </w:rPr>
        <w:t>Actividad Procesal del interesado. Acciones u omisiones del interesado.</w:t>
      </w:r>
    </w:p>
    <w:p w14:paraId="0E71442E" w14:textId="77777777" w:rsidR="00B71AF3" w:rsidRPr="005B5134" w:rsidRDefault="00B71AF3">
      <w:pPr>
        <w:ind w:left="851" w:hanging="360"/>
        <w:jc w:val="both"/>
        <w:rPr>
          <w:rFonts w:ascii="Palatino Linotype" w:eastAsia="Palatino Linotype" w:hAnsi="Palatino Linotype" w:cs="Palatino Linotype"/>
        </w:rPr>
      </w:pPr>
    </w:p>
    <w:p w14:paraId="2A514273" w14:textId="77777777" w:rsidR="00B71AF3" w:rsidRPr="005B5134" w:rsidRDefault="00112D67">
      <w:pPr>
        <w:numPr>
          <w:ilvl w:val="0"/>
          <w:numId w:val="4"/>
        </w:numPr>
        <w:ind w:left="851"/>
        <w:jc w:val="both"/>
        <w:rPr>
          <w:rFonts w:ascii="Palatino Linotype" w:eastAsia="Palatino Linotype" w:hAnsi="Palatino Linotype" w:cs="Palatino Linotype"/>
        </w:rPr>
      </w:pPr>
      <w:r w:rsidRPr="005B5134">
        <w:rPr>
          <w:rFonts w:ascii="Palatino Linotype" w:eastAsia="Palatino Linotype" w:hAnsi="Palatino Linotype" w:cs="Palatino Linotype"/>
        </w:rPr>
        <w:t>Conducta de la Autoridad: Las Acciones u omisiones realizadas en el procedimiento. Así como si la autoridad actuó con la debida diligencia.</w:t>
      </w:r>
    </w:p>
    <w:p w14:paraId="0A6EEFED" w14:textId="77777777" w:rsidR="00B71AF3" w:rsidRPr="005B5134" w:rsidRDefault="00B71AF3">
      <w:pPr>
        <w:ind w:left="851" w:hanging="360"/>
        <w:rPr>
          <w:rFonts w:ascii="Palatino Linotype" w:eastAsia="Palatino Linotype" w:hAnsi="Palatino Linotype" w:cs="Palatino Linotype"/>
        </w:rPr>
      </w:pPr>
    </w:p>
    <w:p w14:paraId="5CF708C6" w14:textId="77777777" w:rsidR="00B71AF3" w:rsidRPr="005B5134" w:rsidRDefault="00112D67">
      <w:pPr>
        <w:ind w:left="851" w:hanging="360"/>
        <w:jc w:val="both"/>
        <w:rPr>
          <w:rFonts w:ascii="Palatino Linotype" w:eastAsia="Palatino Linotype" w:hAnsi="Palatino Linotype" w:cs="Palatino Linotype"/>
        </w:rPr>
      </w:pPr>
      <w:r w:rsidRPr="005B5134">
        <w:rPr>
          <w:rFonts w:ascii="Palatino Linotype" w:eastAsia="Palatino Linotype" w:hAnsi="Palatino Linotype" w:cs="Palatino Linotype"/>
        </w:rPr>
        <w:t>d) La afectación generada en la situación jurídica de la persona involucrada en el proceso: Violación a sus derechos humanos.</w:t>
      </w:r>
    </w:p>
    <w:p w14:paraId="0C187E2E" w14:textId="77777777" w:rsidR="00B71AF3" w:rsidRPr="005B5134" w:rsidRDefault="00B71AF3">
      <w:pPr>
        <w:spacing w:line="360" w:lineRule="auto"/>
        <w:jc w:val="both"/>
        <w:rPr>
          <w:rFonts w:ascii="Palatino Linotype" w:eastAsia="Palatino Linotype" w:hAnsi="Palatino Linotype" w:cs="Palatino Linotype"/>
        </w:rPr>
      </w:pPr>
    </w:p>
    <w:p w14:paraId="22AD73EB"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44C39A" w14:textId="77777777" w:rsidR="00B71AF3" w:rsidRPr="005B5134" w:rsidRDefault="00B71AF3">
      <w:pPr>
        <w:spacing w:line="360" w:lineRule="auto"/>
        <w:jc w:val="both"/>
        <w:rPr>
          <w:rFonts w:ascii="Palatino Linotype" w:eastAsia="Palatino Linotype" w:hAnsi="Palatino Linotype" w:cs="Palatino Linotype"/>
        </w:rPr>
      </w:pPr>
    </w:p>
    <w:p w14:paraId="3010E4DB"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B513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B5134">
        <w:rPr>
          <w:rFonts w:ascii="Palatino Linotype" w:eastAsia="Palatino Linotype" w:hAnsi="Palatino Linotype" w:cs="Palatino Linotype"/>
        </w:rPr>
        <w:t>, visible en la Gaceta del Seminario Judicial de la Federación con el registro digital 205635.</w:t>
      </w:r>
    </w:p>
    <w:p w14:paraId="13286D6B" w14:textId="77777777" w:rsidR="00B71AF3" w:rsidRPr="005B5134" w:rsidRDefault="00B71AF3">
      <w:pPr>
        <w:spacing w:line="360" w:lineRule="auto"/>
        <w:jc w:val="both"/>
        <w:rPr>
          <w:rFonts w:ascii="Palatino Linotype" w:eastAsia="Palatino Linotype" w:hAnsi="Palatino Linotype" w:cs="Palatino Linotype"/>
        </w:rPr>
      </w:pPr>
    </w:p>
    <w:p w14:paraId="10FA5CC5"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C59C33" w14:textId="77777777" w:rsidR="00B71AF3" w:rsidRPr="005B5134" w:rsidRDefault="00B71AF3">
      <w:pPr>
        <w:spacing w:line="360" w:lineRule="auto"/>
        <w:jc w:val="both"/>
        <w:rPr>
          <w:rFonts w:ascii="Palatino Linotype" w:eastAsia="Palatino Linotype" w:hAnsi="Palatino Linotype" w:cs="Palatino Linotype"/>
        </w:rPr>
      </w:pPr>
    </w:p>
    <w:p w14:paraId="0B0637EF"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9C726A" w14:textId="77777777" w:rsidR="00B71AF3" w:rsidRPr="005B5134" w:rsidRDefault="00B71AF3">
      <w:pPr>
        <w:spacing w:line="360" w:lineRule="auto"/>
        <w:jc w:val="both"/>
        <w:rPr>
          <w:rFonts w:ascii="Palatino Linotype" w:eastAsia="Palatino Linotype" w:hAnsi="Palatino Linotype" w:cs="Palatino Linotype"/>
        </w:rPr>
      </w:pPr>
    </w:p>
    <w:p w14:paraId="74DE14E3"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i/>
        </w:rPr>
        <w:t>“PLAZO RAZONABLE PARA RESOLVER. DIMENSIÓN Y EFECTOS DE ESTE CONCEPTO CUANDO SE ADUCE EXCESIVA CARGA DE TRABAJO.”</w:t>
      </w:r>
      <w:r w:rsidRPr="005B5134">
        <w:rPr>
          <w:rFonts w:ascii="Palatino Linotype" w:eastAsia="Palatino Linotype" w:hAnsi="Palatino Linotype" w:cs="Palatino Linotype"/>
        </w:rPr>
        <w:t xml:space="preserve"> consultable en el Seminario Judicial de la Federación y su gaceta, con el registro digital 2002351.</w:t>
      </w:r>
    </w:p>
    <w:p w14:paraId="06D43424" w14:textId="77777777" w:rsidR="00B71AF3" w:rsidRPr="005B5134" w:rsidRDefault="00B71AF3">
      <w:pPr>
        <w:spacing w:line="360" w:lineRule="auto"/>
        <w:jc w:val="both"/>
        <w:rPr>
          <w:rFonts w:ascii="Palatino Linotype" w:eastAsia="Palatino Linotype" w:hAnsi="Palatino Linotype" w:cs="Palatino Linotype"/>
          <w:b/>
        </w:rPr>
      </w:pPr>
    </w:p>
    <w:p w14:paraId="15E0FD4E"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i/>
        </w:rPr>
        <w:t>“PLAZO RAZONABLE PARA RESOLVER. CONCEPTO Y ELEMENTOS QUE LO INTEGRAN A LA LUZ DEL DERECHO INTERNACIONAL DE LOS DERECHOS HUMANOS.”</w:t>
      </w:r>
      <w:r w:rsidRPr="005B5134">
        <w:rPr>
          <w:rFonts w:ascii="Palatino Linotype" w:eastAsia="Palatino Linotype" w:hAnsi="Palatino Linotype" w:cs="Palatino Linotype"/>
        </w:rPr>
        <w:t>, visible en el Seminario Judicial de la Federación y su gaceta, con el registro digital 2002350.</w:t>
      </w:r>
    </w:p>
    <w:p w14:paraId="736263F6" w14:textId="77777777" w:rsidR="00B71AF3" w:rsidRPr="005B5134" w:rsidRDefault="00B71AF3">
      <w:pPr>
        <w:spacing w:line="360" w:lineRule="auto"/>
        <w:jc w:val="both"/>
        <w:rPr>
          <w:rFonts w:ascii="Palatino Linotype" w:eastAsia="Palatino Linotype" w:hAnsi="Palatino Linotype" w:cs="Palatino Linotype"/>
        </w:rPr>
      </w:pPr>
    </w:p>
    <w:p w14:paraId="20A1D146"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AE63C79"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6DAAEA30" w14:textId="77777777" w:rsidR="00B71AF3" w:rsidRPr="005B5134" w:rsidRDefault="00B71AF3">
      <w:pPr>
        <w:tabs>
          <w:tab w:val="left" w:pos="3206"/>
        </w:tabs>
        <w:spacing w:line="360" w:lineRule="auto"/>
        <w:jc w:val="both"/>
        <w:rPr>
          <w:rFonts w:ascii="Palatino Linotype" w:eastAsia="Palatino Linotype" w:hAnsi="Palatino Linotype" w:cs="Palatino Linotype"/>
        </w:rPr>
      </w:pPr>
    </w:p>
    <w:p w14:paraId="50E7136C" w14:textId="77777777" w:rsidR="00B71AF3" w:rsidRPr="005B5134" w:rsidRDefault="00112D67">
      <w:pPr>
        <w:spacing w:line="360" w:lineRule="auto"/>
        <w:jc w:val="center"/>
        <w:rPr>
          <w:rFonts w:ascii="Palatino Linotype" w:eastAsia="Palatino Linotype" w:hAnsi="Palatino Linotype" w:cs="Palatino Linotype"/>
          <w:b/>
          <w:sz w:val="28"/>
          <w:szCs w:val="28"/>
        </w:rPr>
      </w:pPr>
      <w:r w:rsidRPr="005B5134">
        <w:rPr>
          <w:rFonts w:ascii="Palatino Linotype" w:eastAsia="Palatino Linotype" w:hAnsi="Palatino Linotype" w:cs="Palatino Linotype"/>
          <w:b/>
          <w:sz w:val="28"/>
          <w:szCs w:val="28"/>
        </w:rPr>
        <w:t xml:space="preserve">C O N S I D E R A N D O </w:t>
      </w:r>
    </w:p>
    <w:p w14:paraId="4BE0E3EF" w14:textId="77777777" w:rsidR="00B71AF3" w:rsidRPr="005B5134" w:rsidRDefault="00B71AF3">
      <w:pPr>
        <w:spacing w:line="360" w:lineRule="auto"/>
        <w:jc w:val="center"/>
        <w:rPr>
          <w:rFonts w:ascii="Palatino Linotype" w:eastAsia="Palatino Linotype" w:hAnsi="Palatino Linotype" w:cs="Palatino Linotype"/>
          <w:b/>
          <w:sz w:val="16"/>
          <w:szCs w:val="16"/>
        </w:rPr>
      </w:pPr>
    </w:p>
    <w:p w14:paraId="0D952F87"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b/>
        </w:rPr>
        <w:t>PRIMERO. Competencia</w:t>
      </w:r>
      <w:r w:rsidRPr="005B5134">
        <w:rPr>
          <w:rFonts w:ascii="Palatino Linotype" w:eastAsia="Palatino Linotype" w:hAnsi="Palatino Linotype" w:cs="Palatino Linotype"/>
        </w:rPr>
        <w:t>.</w:t>
      </w:r>
      <w:r w:rsidRPr="005B5134">
        <w:rPr>
          <w:rFonts w:ascii="Palatino Linotype" w:eastAsia="Palatino Linotype" w:hAnsi="Palatino Linotype" w:cs="Palatino Linotype"/>
          <w:b/>
        </w:rPr>
        <w:t xml:space="preserve"> </w:t>
      </w:r>
      <w:r w:rsidRPr="005B5134">
        <w:rPr>
          <w:rFonts w:ascii="Palatino Linotype" w:eastAsia="Palatino Linotype" w:hAnsi="Palatino Linotype" w:cs="Palatino Linotype"/>
        </w:rPr>
        <w:t xml:space="preserve">El Instituto de Transparencia, Acceso a la Información Pública y Protección de Datos Personales del Estado de México, es competente para conocer y resolver el presente recurso de revisión interpuesto por </w:t>
      </w:r>
      <w:r w:rsidRPr="005B5134">
        <w:rPr>
          <w:rFonts w:ascii="Palatino Linotype" w:eastAsia="Palatino Linotype" w:hAnsi="Palatino Linotype" w:cs="Palatino Linotype"/>
          <w:b/>
        </w:rPr>
        <w:t>LA PARTE RECURRENTE</w:t>
      </w:r>
      <w:r w:rsidRPr="005B5134">
        <w:rPr>
          <w:rFonts w:ascii="Palatino Linotype" w:eastAsia="Palatino Linotype" w:hAnsi="Palatino Linotype" w:cs="Palatino Linotype"/>
        </w:rPr>
        <w:t xml:space="preserv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XXIII, XXIII y 11 del Reglamento Interior del Instituto de Transparencia, Acceso a la Información Pública y Protección de Datos Personales del Estado de México y Municipios.</w:t>
      </w:r>
    </w:p>
    <w:p w14:paraId="2F4D1081" w14:textId="77777777" w:rsidR="00B71AF3" w:rsidRPr="005B5134" w:rsidRDefault="00B71AF3">
      <w:pPr>
        <w:spacing w:line="360" w:lineRule="auto"/>
        <w:jc w:val="both"/>
        <w:rPr>
          <w:rFonts w:ascii="Palatino Linotype" w:eastAsia="Palatino Linotype" w:hAnsi="Palatino Linotype" w:cs="Palatino Linotype"/>
          <w:b/>
        </w:rPr>
      </w:pPr>
    </w:p>
    <w:p w14:paraId="3A7F0320" w14:textId="77777777" w:rsidR="00B71AF3" w:rsidRPr="005B5134" w:rsidRDefault="00112D67">
      <w:pPr>
        <w:spacing w:line="360" w:lineRule="auto"/>
        <w:ind w:right="-234"/>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SEGUNDO. OPORTUNIDAD Y PROCEDIBILIDAD DE LOS RECURSOS DE REVISIÓN.  </w:t>
      </w:r>
      <w:r w:rsidRPr="005B5134">
        <w:rPr>
          <w:rFonts w:ascii="Palatino Linotype" w:eastAsia="Palatino Linotype" w:hAnsi="Palatino Linotype" w:cs="Palatino Linotype"/>
        </w:rPr>
        <w:t xml:space="preserve">Previo al estudio del fondo del asunto, se procede a analizar los requisitos </w:t>
      </w:r>
      <w:r w:rsidRPr="005B5134">
        <w:rPr>
          <w:rFonts w:ascii="Palatino Linotype" w:eastAsia="Palatino Linotype" w:hAnsi="Palatino Linotype" w:cs="Palatino Linotype"/>
        </w:rPr>
        <w:lastRenderedPageBreak/>
        <w:t>de oportunidad y procedibilidad que deben reunir los recursos de revisión interpuestos, previstos en los artículos 178 y 180 de la Ley de Transparencia y Acceso a la Información Pública del Estado de México y Municipios.</w:t>
      </w:r>
    </w:p>
    <w:p w14:paraId="35A7A96F" w14:textId="77777777" w:rsidR="00B71AF3" w:rsidRPr="005B5134" w:rsidRDefault="00B71AF3">
      <w:pPr>
        <w:spacing w:line="360" w:lineRule="auto"/>
        <w:ind w:right="-234"/>
        <w:jc w:val="both"/>
        <w:rPr>
          <w:rFonts w:ascii="Palatino Linotype" w:eastAsia="Palatino Linotype" w:hAnsi="Palatino Linotype" w:cs="Palatino Linotype"/>
        </w:rPr>
      </w:pPr>
    </w:p>
    <w:p w14:paraId="7C1BD3BF"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Los recursos de revisión fueron interpuestos dentro del plazo de quince días hábiles previsto en el artículo 178 de la Ley de Transparencia y Acceso a la Información Pública del Estado de México y Municipios, contados a partir de la fecha en que</w:t>
      </w:r>
      <w:r w:rsidRPr="005B5134">
        <w:rPr>
          <w:rFonts w:ascii="Palatino Linotype" w:eastAsia="Palatino Linotype" w:hAnsi="Palatino Linotype" w:cs="Palatino Linotype"/>
          <w:b/>
        </w:rPr>
        <w:t xml:space="preserve"> EL SUJETO OBLIGADO </w:t>
      </w:r>
      <w:r w:rsidRPr="005B5134">
        <w:rPr>
          <w:rFonts w:ascii="Palatino Linotype" w:eastAsia="Palatino Linotype" w:hAnsi="Palatino Linotype" w:cs="Palatino Linotype"/>
        </w:rPr>
        <w:t xml:space="preserve">emitió las respuestas, toda vez que estas fueron pronunciadas el día  </w:t>
      </w:r>
      <w:r w:rsidRPr="005B5134">
        <w:rPr>
          <w:rFonts w:ascii="Palatino Linotype" w:eastAsia="Palatino Linotype" w:hAnsi="Palatino Linotype" w:cs="Palatino Linotype"/>
          <w:b/>
        </w:rPr>
        <w:t>tres y veintisiete de junio del año dos mil veinticuatro</w:t>
      </w:r>
      <w:r w:rsidRPr="005B5134">
        <w:rPr>
          <w:rFonts w:ascii="Palatino Linotype" w:eastAsia="Palatino Linotype" w:hAnsi="Palatino Linotype" w:cs="Palatino Linotype"/>
        </w:rPr>
        <w:t xml:space="preserve">, mientras que </w:t>
      </w:r>
      <w:r w:rsidRPr="005B5134">
        <w:rPr>
          <w:rFonts w:ascii="Palatino Linotype" w:eastAsia="Palatino Linotype" w:hAnsi="Palatino Linotype" w:cs="Palatino Linotype"/>
          <w:b/>
        </w:rPr>
        <w:t>la parte</w:t>
      </w: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interpuso los recursos de revisión en fecha diecisiete de junio y tres de julio de dos mil veinticuatro, esto es al décimo y cuarto día hábil siguiente de haber recibido las respuestas, respectivamente.  </w:t>
      </w:r>
    </w:p>
    <w:p w14:paraId="52975114" w14:textId="77777777" w:rsidR="00B71AF3" w:rsidRPr="005B5134" w:rsidRDefault="00112D67">
      <w:pPr>
        <w:spacing w:before="240" w:after="240"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Al mismo tiempo, por cuanto hace a la procedibilidad de los recursos de revisión, es de suma importancia señalar que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no proporciono su nombre, no obstante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0E4E80" w14:textId="77777777" w:rsidR="00B71AF3" w:rsidRPr="005B5134" w:rsidRDefault="00112D67">
      <w:pPr>
        <w:ind w:left="567" w:right="474"/>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Las solicitudes anónimas</w:t>
      </w:r>
      <w:r w:rsidRPr="005B5134">
        <w:rPr>
          <w:rFonts w:ascii="Palatino Linotype" w:eastAsia="Palatino Linotype" w:hAnsi="Palatino Linotype" w:cs="Palatino Linotype"/>
          <w:i/>
          <w:sz w:val="22"/>
          <w:szCs w:val="22"/>
        </w:rPr>
        <w:t xml:space="preserve">, con nombre incompleto o seudónimo </w:t>
      </w:r>
      <w:r w:rsidRPr="005B5134">
        <w:rPr>
          <w:rFonts w:ascii="Palatino Linotype" w:eastAsia="Palatino Linotype" w:hAnsi="Palatino Linotype" w:cs="Palatino Linotype"/>
          <w:b/>
          <w:i/>
          <w:sz w:val="22"/>
          <w:szCs w:val="22"/>
        </w:rPr>
        <w:t>serán procedentes para su trámite por parte del sujeto obligado ante quien se presente</w:t>
      </w:r>
      <w:r w:rsidRPr="005B5134">
        <w:rPr>
          <w:rFonts w:ascii="Palatino Linotype" w:eastAsia="Palatino Linotype" w:hAnsi="Palatino Linotype" w:cs="Palatino Linotype"/>
          <w:i/>
          <w:sz w:val="22"/>
          <w:szCs w:val="22"/>
        </w:rPr>
        <w:t>. No podrá requerirse información adicional con motivo del nombre proporcionado por el solicitante."</w:t>
      </w:r>
    </w:p>
    <w:p w14:paraId="49E63CFF" w14:textId="77777777" w:rsidR="00B71AF3" w:rsidRPr="005B5134" w:rsidRDefault="00B71AF3">
      <w:pPr>
        <w:spacing w:line="360" w:lineRule="auto"/>
        <w:jc w:val="both"/>
        <w:rPr>
          <w:rFonts w:ascii="Palatino Linotype" w:eastAsia="Palatino Linotype" w:hAnsi="Palatino Linotype" w:cs="Palatino Linotype"/>
        </w:rPr>
      </w:pPr>
    </w:p>
    <w:p w14:paraId="20BEDAD4"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w:t>
      </w:r>
      <w:r w:rsidRPr="005B5134">
        <w:rPr>
          <w:rFonts w:ascii="Palatino Linotype" w:eastAsia="Palatino Linotype" w:hAnsi="Palatino Linotype" w:cs="Palatino Linotype"/>
        </w:rPr>
        <w:lastRenderedPageBreak/>
        <w:t xml:space="preserve">Información Pública del Estado de México y Municipios en vigor, en atención a que fue presentado mediante el formato visible </w:t>
      </w:r>
      <w:r w:rsidRPr="005B5134">
        <w:rPr>
          <w:rFonts w:ascii="Palatino Linotype" w:eastAsia="Palatino Linotype" w:hAnsi="Palatino Linotype" w:cs="Palatino Linotype"/>
          <w:b/>
        </w:rPr>
        <w:t xml:space="preserve">EL SAIMEX.  </w:t>
      </w:r>
    </w:p>
    <w:p w14:paraId="54DDC8D6" w14:textId="77777777" w:rsidR="00B71AF3" w:rsidRPr="005B5134" w:rsidRDefault="00B71AF3">
      <w:pPr>
        <w:spacing w:line="360" w:lineRule="auto"/>
        <w:jc w:val="both"/>
        <w:rPr>
          <w:rFonts w:ascii="Palatino Linotype" w:eastAsia="Palatino Linotype" w:hAnsi="Palatino Linotype" w:cs="Palatino Linotype"/>
        </w:rPr>
      </w:pPr>
    </w:p>
    <w:p w14:paraId="5B6EA111" w14:textId="77777777" w:rsidR="00B71AF3" w:rsidRPr="005B5134" w:rsidRDefault="00112D6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Finalmente, resulta procedente la interposición de los recursos, según lo aducido por </w:t>
      </w:r>
      <w:r w:rsidRPr="005B5134">
        <w:rPr>
          <w:rFonts w:ascii="Palatino Linotype" w:eastAsia="Palatino Linotype" w:hAnsi="Palatino Linotype" w:cs="Palatino Linotype"/>
          <w:b/>
        </w:rPr>
        <w:t>la parte RECURRENTE</w:t>
      </w:r>
      <w:r w:rsidRPr="005B5134">
        <w:rPr>
          <w:rFonts w:ascii="Palatino Linotype" w:eastAsia="Palatino Linotype" w:hAnsi="Palatino Linotype" w:cs="Palatino Linotype"/>
        </w:rPr>
        <w:t xml:space="preserve"> en sus razones o motivos de inconformidad, de acuerdo al artículo 179, fracción IV de la Ley de Transparencia y Acceso a la Información Pública del Estado de México y Municipios; que a la letra dice:</w:t>
      </w:r>
    </w:p>
    <w:p w14:paraId="3E25F586" w14:textId="77777777" w:rsidR="00B71AF3" w:rsidRPr="005B5134" w:rsidRDefault="00B71AF3">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5148E22E" w14:textId="77777777" w:rsidR="00B71AF3" w:rsidRPr="005B5134" w:rsidRDefault="00112D67">
      <w:pPr>
        <w:pBdr>
          <w:top w:val="nil"/>
          <w:left w:val="nil"/>
          <w:bottom w:val="nil"/>
          <w:right w:val="nil"/>
          <w:between w:val="nil"/>
        </w:pBdr>
        <w:ind w:left="992" w:right="1043"/>
        <w:jc w:val="both"/>
        <w:rPr>
          <w:rFonts w:ascii="Palatino Linotype" w:eastAsia="Palatino Linotype" w:hAnsi="Palatino Linotype" w:cs="Palatino Linotype"/>
          <w:i/>
        </w:rPr>
      </w:pPr>
      <w:r w:rsidRPr="005B5134">
        <w:rPr>
          <w:rFonts w:ascii="Palatino Linotype" w:eastAsia="Palatino Linotype" w:hAnsi="Palatino Linotype" w:cs="Palatino Linotype"/>
          <w:b/>
          <w:i/>
        </w:rPr>
        <w:t>“Artículo 179</w:t>
      </w:r>
      <w:r w:rsidRPr="005B5134">
        <w:rPr>
          <w:rFonts w:ascii="Palatino Linotype" w:eastAsia="Palatino Linotype" w:hAnsi="Palatino Linotype" w:cs="Palatino Linotype"/>
          <w:i/>
        </w:rPr>
        <w:t xml:space="preserve">. </w:t>
      </w:r>
      <w:r w:rsidRPr="005B5134">
        <w:rPr>
          <w:rFonts w:ascii="Palatino Linotype" w:eastAsia="Palatino Linotype" w:hAnsi="Palatino Linotype" w:cs="Palatino Linotype"/>
          <w:b/>
          <w:i/>
        </w:rPr>
        <w:t>El recurso de revisión</w:t>
      </w:r>
      <w:r w:rsidRPr="005B5134">
        <w:rPr>
          <w:rFonts w:ascii="Palatino Linotype" w:eastAsia="Palatino Linotype" w:hAnsi="Palatino Linotype" w:cs="Palatino Linotype"/>
          <w:i/>
        </w:rPr>
        <w:t xml:space="preserve"> es un medio de protección que la Ley otorga a los particulares, para hacer valer su derecho de acceso a la información pública, y procederá en contra de las siguientes causas:</w:t>
      </w:r>
    </w:p>
    <w:p w14:paraId="7419EA01" w14:textId="77777777" w:rsidR="00B71AF3" w:rsidRPr="005B5134" w:rsidRDefault="00112D67">
      <w:pPr>
        <w:pBdr>
          <w:top w:val="nil"/>
          <w:left w:val="nil"/>
          <w:bottom w:val="nil"/>
          <w:right w:val="nil"/>
          <w:between w:val="nil"/>
        </w:pBdr>
        <w:ind w:left="992" w:right="1043"/>
        <w:jc w:val="both"/>
        <w:rPr>
          <w:rFonts w:ascii="Palatino Linotype" w:eastAsia="Palatino Linotype" w:hAnsi="Palatino Linotype" w:cs="Palatino Linotype"/>
          <w:i/>
        </w:rPr>
      </w:pPr>
      <w:r w:rsidRPr="005B5134">
        <w:rPr>
          <w:rFonts w:ascii="Palatino Linotype" w:eastAsia="Palatino Linotype" w:hAnsi="Palatino Linotype" w:cs="Palatino Linotype"/>
          <w:i/>
        </w:rPr>
        <w:t>…</w:t>
      </w:r>
    </w:p>
    <w:p w14:paraId="21332CC4" w14:textId="77777777" w:rsidR="00B71AF3" w:rsidRPr="005B5134" w:rsidRDefault="00112D67">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rPr>
        <w:t>IV. La declaración de incompetencia por el sujeto obligado</w:t>
      </w:r>
      <w:r w:rsidRPr="005B5134">
        <w:t>…</w:t>
      </w:r>
      <w:r w:rsidRPr="005B5134">
        <w:rPr>
          <w:rFonts w:ascii="Palatino Linotype" w:eastAsia="Palatino Linotype" w:hAnsi="Palatino Linotype" w:cs="Palatino Linotype"/>
          <w:i/>
          <w:sz w:val="22"/>
          <w:szCs w:val="22"/>
        </w:rPr>
        <w:t xml:space="preserve">” </w:t>
      </w:r>
    </w:p>
    <w:p w14:paraId="43490D2E" w14:textId="77777777" w:rsidR="00B71AF3" w:rsidRPr="005B5134" w:rsidRDefault="00B71AF3">
      <w:pPr>
        <w:pBdr>
          <w:top w:val="nil"/>
          <w:left w:val="nil"/>
          <w:bottom w:val="nil"/>
          <w:right w:val="nil"/>
          <w:between w:val="nil"/>
        </w:pBdr>
        <w:ind w:left="992" w:right="1043"/>
        <w:jc w:val="both"/>
        <w:rPr>
          <w:rFonts w:ascii="Palatino Linotype" w:eastAsia="Palatino Linotype" w:hAnsi="Palatino Linotype" w:cs="Palatino Linotype"/>
          <w:i/>
        </w:rPr>
      </w:pPr>
    </w:p>
    <w:p w14:paraId="648B7D78"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Tercero. Materia de Revisión</w:t>
      </w:r>
      <w:r w:rsidRPr="005B5134">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5B5134">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5B5134">
        <w:rPr>
          <w:rFonts w:ascii="Palatino Linotype" w:eastAsia="Palatino Linotype" w:hAnsi="Palatino Linotype" w:cs="Palatino Linotype"/>
        </w:rPr>
        <w:t xml:space="preserve">de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o en su defecto, en caso de ser procedente, ordenar la entrega de información.</w:t>
      </w:r>
    </w:p>
    <w:p w14:paraId="565943AD"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Cuarto. Estudio y resolución del  asunto. </w:t>
      </w:r>
      <w:r w:rsidRPr="005B5134">
        <w:rPr>
          <w:rFonts w:ascii="Palatino Linotype" w:eastAsia="Palatino Linotype" w:hAnsi="Palatino Linotype" w:cs="Palatino Linotype"/>
        </w:rPr>
        <w:t xml:space="preserve">es conveniente analizar si las respuestas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w:t>
      </w:r>
      <w:r w:rsidRPr="005B5134">
        <w:rPr>
          <w:rFonts w:ascii="Palatino Linotype" w:eastAsia="Palatino Linotype" w:hAnsi="Palatino Linotype" w:cs="Palatino Linotype"/>
        </w:rPr>
        <w:lastRenderedPageBreak/>
        <w:t>posesión de los sujetos obligados es pública y accesible de manera permanente a cualquier persona, privilegiando el principio de máxima publicidad, como así lo establece dicha determinación, que a continuación se trascribe para un mejor entendimiento:</w:t>
      </w:r>
    </w:p>
    <w:p w14:paraId="398630F2" w14:textId="77777777" w:rsidR="00B71AF3" w:rsidRPr="005B5134" w:rsidRDefault="00112D67">
      <w:pPr>
        <w:spacing w:before="240"/>
        <w:ind w:left="709" w:right="760"/>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Artículo 4.</w:t>
      </w:r>
      <w:r w:rsidRPr="005B513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10795F" w14:textId="77777777" w:rsidR="00B71AF3" w:rsidRPr="005B5134" w:rsidRDefault="00112D67">
      <w:pPr>
        <w:ind w:left="709" w:right="760"/>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B513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F0D19F6" w14:textId="77777777" w:rsidR="00B71AF3" w:rsidRPr="005B5134" w:rsidRDefault="00112D67">
      <w:pPr>
        <w:ind w:left="709" w:right="760"/>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B5134">
        <w:rPr>
          <w:rFonts w:ascii="Palatino Linotype" w:eastAsia="Palatino Linotype" w:hAnsi="Palatino Linotype" w:cs="Palatino Linotype"/>
          <w:i/>
          <w:sz w:val="22"/>
          <w:szCs w:val="22"/>
        </w:rPr>
        <w:t>.”</w:t>
      </w:r>
    </w:p>
    <w:p w14:paraId="44A9D426"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23C9138" w14:textId="77777777" w:rsidR="00B71AF3" w:rsidRPr="005B5134" w:rsidRDefault="00112D67">
      <w:pPr>
        <w:ind w:left="567" w:right="75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Artículo12.-</w:t>
      </w:r>
      <w:r w:rsidRPr="005B513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89BDBE6" w14:textId="77777777" w:rsidR="00B71AF3" w:rsidRPr="005B5134" w:rsidRDefault="00112D67">
      <w:pPr>
        <w:ind w:left="567" w:right="75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5B5134">
        <w:rPr>
          <w:rFonts w:ascii="Palatino Linotype" w:eastAsia="Palatino Linotype" w:hAnsi="Palatino Linotype" w:cs="Palatino Linotype"/>
          <w:i/>
          <w:sz w:val="22"/>
          <w:szCs w:val="22"/>
        </w:rPr>
        <w:t xml:space="preserve">. </w:t>
      </w:r>
      <w:r w:rsidRPr="005B513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E4FD620" w14:textId="77777777" w:rsidR="00B71AF3" w:rsidRPr="005B5134" w:rsidRDefault="00B71AF3">
      <w:pPr>
        <w:spacing w:line="360" w:lineRule="auto"/>
        <w:ind w:right="-93"/>
        <w:jc w:val="both"/>
        <w:rPr>
          <w:rFonts w:ascii="Palatino Linotype" w:eastAsia="Palatino Linotype" w:hAnsi="Palatino Linotype" w:cs="Palatino Linotype"/>
        </w:rPr>
      </w:pPr>
    </w:p>
    <w:p w14:paraId="57D68614" w14:textId="77777777" w:rsidR="00B71AF3" w:rsidRPr="005B5134" w:rsidRDefault="00112D67">
      <w:pPr>
        <w:spacing w:line="360" w:lineRule="auto"/>
        <w:ind w:right="-93"/>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BE2A23A" w14:textId="77777777" w:rsidR="00B71AF3" w:rsidRPr="005B5134" w:rsidRDefault="00B71AF3">
      <w:pPr>
        <w:spacing w:line="360" w:lineRule="auto"/>
        <w:jc w:val="both"/>
        <w:rPr>
          <w:rFonts w:ascii="Palatino Linotype" w:eastAsia="Palatino Linotype" w:hAnsi="Palatino Linotype" w:cs="Palatino Linotype"/>
        </w:rPr>
      </w:pPr>
    </w:p>
    <w:p w14:paraId="207679AB"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7C264C7D" w14:textId="77777777" w:rsidR="00B71AF3" w:rsidRPr="005B5134" w:rsidRDefault="00112D67">
      <w:pPr>
        <w:spacing w:line="360" w:lineRule="auto"/>
        <w:jc w:val="both"/>
        <w:rPr>
          <w:rFonts w:ascii="Palatino Linotype" w:eastAsia="Palatino Linotype" w:hAnsi="Palatino Linotype" w:cs="Palatino Linotype"/>
          <w:b/>
        </w:rPr>
      </w:pPr>
      <w:r w:rsidRPr="005B5134">
        <w:rPr>
          <w:rFonts w:ascii="Palatino Linotype" w:eastAsia="Palatino Linotype" w:hAnsi="Palatino Linotype" w:cs="Palatino Linotype"/>
          <w:b/>
        </w:rPr>
        <w:t xml:space="preserve"> </w:t>
      </w:r>
    </w:p>
    <w:p w14:paraId="64516087" w14:textId="77777777" w:rsidR="00B71AF3" w:rsidRPr="005B5134" w:rsidRDefault="00112D67">
      <w:pPr>
        <w:ind w:left="851" w:right="90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No existe obligación de elaborar documentos ad hoc para atender las solicitudes de acceso a la información.</w:t>
      </w:r>
      <w:r w:rsidRPr="005B513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0F10452" w14:textId="77777777" w:rsidR="00B71AF3" w:rsidRPr="005B5134" w:rsidRDefault="00112D67">
      <w:pPr>
        <w:ind w:left="851" w:right="90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Resoluciones: </w:t>
      </w:r>
    </w:p>
    <w:p w14:paraId="593F7922" w14:textId="77777777" w:rsidR="00B71AF3" w:rsidRPr="005B5134" w:rsidRDefault="00112D67">
      <w:pPr>
        <w:ind w:left="851" w:right="901"/>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316E1CB" w14:textId="77777777" w:rsidR="00B71AF3" w:rsidRPr="005B5134" w:rsidRDefault="00112D67">
      <w:pPr>
        <w:ind w:left="851" w:right="901"/>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lastRenderedPageBreak/>
        <w:t>∙</w:t>
      </w:r>
      <w:r w:rsidRPr="005B5134">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FE11DC9" w14:textId="77777777" w:rsidR="00B71AF3" w:rsidRPr="005B5134" w:rsidRDefault="00112D67">
      <w:pPr>
        <w:ind w:left="851" w:right="901"/>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
    <w:p w14:paraId="0A407739" w14:textId="77777777" w:rsidR="00B71AF3" w:rsidRPr="005B5134" w:rsidRDefault="00B71AF3">
      <w:pPr>
        <w:spacing w:line="360" w:lineRule="auto"/>
        <w:jc w:val="both"/>
        <w:rPr>
          <w:rFonts w:ascii="Palatino Linotype" w:eastAsia="Palatino Linotype" w:hAnsi="Palatino Linotype" w:cs="Palatino Linotype"/>
        </w:rPr>
      </w:pPr>
    </w:p>
    <w:p w14:paraId="662A78F5" w14:textId="77777777" w:rsidR="00B71AF3" w:rsidRPr="005B5134" w:rsidRDefault="00112D67">
      <w:pPr>
        <w:spacing w:line="360" w:lineRule="auto"/>
        <w:jc w:val="both"/>
        <w:rPr>
          <w:rFonts w:ascii="Palatino Linotype" w:eastAsia="Palatino Linotype" w:hAnsi="Palatino Linotype" w:cs="Palatino Linotype"/>
          <w:strike/>
        </w:rPr>
      </w:pPr>
      <w:r w:rsidRPr="005B5134">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066F3223" w14:textId="77777777" w:rsidR="00B71AF3" w:rsidRPr="005B5134" w:rsidRDefault="00B71AF3">
      <w:pPr>
        <w:spacing w:line="360" w:lineRule="auto"/>
        <w:jc w:val="both"/>
        <w:rPr>
          <w:rFonts w:ascii="Palatino Linotype" w:eastAsia="Palatino Linotype" w:hAnsi="Palatino Linotype" w:cs="Palatino Linotype"/>
        </w:rPr>
      </w:pPr>
    </w:p>
    <w:p w14:paraId="72E3281A" w14:textId="77777777" w:rsidR="00B71AF3" w:rsidRPr="005B5134" w:rsidRDefault="00112D67">
      <w:pPr>
        <w:spacing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8660EA" w14:textId="77777777" w:rsidR="00B71AF3" w:rsidRPr="005B5134" w:rsidRDefault="00B71AF3">
      <w:pPr>
        <w:spacing w:line="360" w:lineRule="auto"/>
        <w:ind w:right="49"/>
        <w:jc w:val="both"/>
        <w:rPr>
          <w:rFonts w:ascii="Palatino Linotype" w:eastAsia="Palatino Linotype" w:hAnsi="Palatino Linotype" w:cs="Palatino Linotype"/>
        </w:rPr>
      </w:pPr>
    </w:p>
    <w:p w14:paraId="3140A10A"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w:t>
      </w:r>
      <w:r w:rsidRPr="005B5134">
        <w:rPr>
          <w:rFonts w:ascii="Palatino Linotype" w:eastAsia="Palatino Linotype" w:hAnsi="Palatino Linotype" w:cs="Palatino Linotype"/>
        </w:rPr>
        <w:lastRenderedPageBreak/>
        <w:t xml:space="preserve">en cualquier medio, sea escrito, impreso, sonoro, visual, electrónico, informático u holográfico de conformidad con el artículo 3, fracción XI de la Ley de la materia, el cual señala lo siguiente: </w:t>
      </w:r>
    </w:p>
    <w:p w14:paraId="176EC0AC" w14:textId="77777777" w:rsidR="00B71AF3" w:rsidRPr="005B5134" w:rsidRDefault="00B71AF3">
      <w:pPr>
        <w:ind w:left="851" w:right="899"/>
        <w:jc w:val="both"/>
        <w:rPr>
          <w:rFonts w:ascii="Palatino Linotype" w:eastAsia="Palatino Linotype" w:hAnsi="Palatino Linotype" w:cs="Palatino Linotype"/>
          <w:i/>
          <w:sz w:val="22"/>
          <w:szCs w:val="22"/>
        </w:rPr>
      </w:pPr>
    </w:p>
    <w:p w14:paraId="0EE23744"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 xml:space="preserve">Artículo 3. </w:t>
      </w:r>
      <w:r w:rsidRPr="005B5134">
        <w:rPr>
          <w:rFonts w:ascii="Palatino Linotype" w:eastAsia="Palatino Linotype" w:hAnsi="Palatino Linotype" w:cs="Palatino Linotype"/>
          <w:i/>
          <w:sz w:val="22"/>
          <w:szCs w:val="22"/>
        </w:rPr>
        <w:t>Para los efectos de la presente Ley se entenderá por:</w:t>
      </w:r>
    </w:p>
    <w:p w14:paraId="176EE8B3"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14E1C8F6"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XI. Documento:</w:t>
      </w:r>
      <w:r w:rsidRPr="005B5134">
        <w:rPr>
          <w:rFonts w:ascii="Palatino Linotype" w:eastAsia="Palatino Linotype" w:hAnsi="Palatino Linotype" w:cs="Palatino Linotype"/>
          <w:i/>
          <w:sz w:val="22"/>
          <w:szCs w:val="22"/>
        </w:rPr>
        <w:t xml:space="preserve"> Los expedientes, reportes, estudios, actas</w:t>
      </w:r>
      <w:r w:rsidRPr="005B5134">
        <w:rPr>
          <w:rFonts w:ascii="Palatino Linotype" w:eastAsia="Palatino Linotype" w:hAnsi="Palatino Linotype" w:cs="Palatino Linotype"/>
          <w:b/>
          <w:i/>
          <w:sz w:val="22"/>
          <w:szCs w:val="22"/>
        </w:rPr>
        <w:t>,</w:t>
      </w:r>
      <w:r w:rsidRPr="005B513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4E7461B" w14:textId="77777777" w:rsidR="00B71AF3" w:rsidRPr="005B5134" w:rsidRDefault="00B71AF3">
      <w:pPr>
        <w:ind w:left="851" w:right="899"/>
        <w:jc w:val="both"/>
        <w:rPr>
          <w:rFonts w:ascii="Palatino Linotype" w:eastAsia="Palatino Linotype" w:hAnsi="Palatino Linotype" w:cs="Palatino Linotype"/>
          <w:sz w:val="22"/>
          <w:szCs w:val="22"/>
        </w:rPr>
      </w:pPr>
    </w:p>
    <w:p w14:paraId="27795140"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2EDD1D" w14:textId="77777777" w:rsidR="00B71AF3" w:rsidRPr="005B5134" w:rsidRDefault="00B71AF3">
      <w:pPr>
        <w:ind w:left="851" w:right="899"/>
        <w:jc w:val="both"/>
        <w:rPr>
          <w:rFonts w:ascii="Palatino Linotype" w:eastAsia="Palatino Linotype" w:hAnsi="Palatino Linotype" w:cs="Palatino Linotype"/>
        </w:rPr>
      </w:pPr>
    </w:p>
    <w:p w14:paraId="44E58BB5" w14:textId="77777777" w:rsidR="00B71AF3" w:rsidRPr="005B5134" w:rsidRDefault="00112D67">
      <w:pPr>
        <w:ind w:left="851" w:right="899"/>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sz w:val="22"/>
          <w:szCs w:val="22"/>
        </w:rPr>
        <w:t>“</w:t>
      </w:r>
      <w:r w:rsidRPr="005B5134">
        <w:rPr>
          <w:rFonts w:ascii="Palatino Linotype" w:eastAsia="Palatino Linotype" w:hAnsi="Palatino Linotype" w:cs="Palatino Linotype"/>
          <w:b/>
          <w:i/>
          <w:sz w:val="22"/>
          <w:szCs w:val="22"/>
        </w:rPr>
        <w:t>CRITERIO 0002-11</w:t>
      </w:r>
    </w:p>
    <w:p w14:paraId="352D876E"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B513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B15749"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6E5A91" w14:textId="77777777" w:rsidR="00B71AF3" w:rsidRPr="005B5134" w:rsidRDefault="00112D67">
      <w:pPr>
        <w:ind w:left="851" w:right="89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8955EB7" w14:textId="77777777" w:rsidR="00B71AF3" w:rsidRPr="005B5134" w:rsidRDefault="00112D67">
      <w:pPr>
        <w:ind w:left="851" w:right="899"/>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155F7DDB" w14:textId="77777777" w:rsidR="00B71AF3" w:rsidRPr="005B5134" w:rsidRDefault="00112D67">
      <w:pPr>
        <w:ind w:left="851" w:right="899"/>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0B6BF947"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Ahora bien, del análisis a las solicitudes de información pública que motivó los recursos de revisión que ahora se resuelven, se advierte que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requirió al Ayuntamiento de Ecatepec de Morelos, lo siguiente: </w:t>
      </w:r>
    </w:p>
    <w:p w14:paraId="4846CD8B"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 su Comité Municipal Contra las Adicciones del año 2018:</w:t>
      </w:r>
    </w:p>
    <w:p w14:paraId="5F48228A"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1.- Última convocatoria emitida para la integración. </w:t>
      </w:r>
    </w:p>
    <w:p w14:paraId="6D61E830"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2.- Si aplica, documento con los resultados del proceso de selección de los integrantes.</w:t>
      </w:r>
    </w:p>
    <w:p w14:paraId="60157465"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3.- Lista de integrantes actuales con nombre y organización/institución/territorio que representa.</w:t>
      </w:r>
    </w:p>
    <w:p w14:paraId="321F2361"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4.- Acta de instalación vigente.</w:t>
      </w:r>
    </w:p>
    <w:p w14:paraId="6F9D0E29"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 su Comité Municipal Contra las Adicciones del año 2024:</w:t>
      </w:r>
    </w:p>
    <w:p w14:paraId="7735377F"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1.- Productos elaborados por el Comité Municipal Contra las Adicciones (por ejemplo, propuestas, programas, recomendaciones, opiniones, posicionamientos, observaciones, denuncias) </w:t>
      </w:r>
    </w:p>
    <w:p w14:paraId="4F9F0609"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2.- Informes de actividades y/o resultados elaborados.</w:t>
      </w:r>
    </w:p>
    <w:p w14:paraId="22B76DB3"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3.- Última convocatoria emitida para la integración.</w:t>
      </w:r>
    </w:p>
    <w:p w14:paraId="71F82B1D"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 xml:space="preserve">4.- Si aplica, documento con los resultados del proceso de selección de los integrantes </w:t>
      </w:r>
    </w:p>
    <w:p w14:paraId="589AF57D"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5.- Lista de integrantes actuales con nombre y organización/institución/territorio que representa </w:t>
      </w:r>
    </w:p>
    <w:p w14:paraId="4BC8A349"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6.- Acta de instalación vigente</w:t>
      </w:r>
    </w:p>
    <w:p w14:paraId="6B2D106B" w14:textId="77777777" w:rsidR="00B71AF3" w:rsidRPr="005B5134" w:rsidRDefault="00112D67">
      <w:pPr>
        <w:spacing w:before="240" w:after="240"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respuestas,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a través de su Titular de la Unidad de Transparencia se declaró incompetente para conocer de la información solicitada, por lo que sugirió ingrese nuevamente su solicitud al Sistema para el Desarrollo Integral de la Familia de Ecatepec de Morelos.</w:t>
      </w:r>
    </w:p>
    <w:p w14:paraId="3ADBBE1A" w14:textId="77777777" w:rsidR="00B71AF3" w:rsidRPr="005B5134" w:rsidRDefault="00112D67">
      <w:pPr>
        <w:spacing w:before="240" w:after="240"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No conforme con las respuestas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interpuso los recursos de revisión que se analizan en el presente asunto, por medio del cual se inconformó en lo medular porque no se le entregó la declaratoria de incompetencia.</w:t>
      </w:r>
    </w:p>
    <w:p w14:paraId="1B18AE36" w14:textId="77777777" w:rsidR="00B71AF3" w:rsidRPr="005B5134" w:rsidRDefault="00112D67">
      <w:pPr>
        <w:spacing w:before="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Ante la interposición de los recursos de revisión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rindió sus informes justificados en los recursos de revisión 03664/INFOEM/IP/RR/2024 y 04085/INFOEM/IP/RR/2024, a través de los cuales remitió los acuerdos número ACT/CT/ECA/EXT/42/2024 y ACT/CT/ECA/EXT/51/2024</w:t>
      </w:r>
      <w:r w:rsidRPr="005B5134">
        <w:rPr>
          <w:rFonts w:ascii="Palatino Linotype" w:eastAsia="Palatino Linotype" w:hAnsi="Palatino Linotype" w:cs="Palatino Linotype"/>
          <w:sz w:val="20"/>
          <w:szCs w:val="20"/>
        </w:rPr>
        <w:t xml:space="preserve"> </w:t>
      </w:r>
      <w:r w:rsidRPr="005B5134">
        <w:rPr>
          <w:rFonts w:ascii="Palatino Linotype" w:eastAsia="Palatino Linotype" w:hAnsi="Palatino Linotype" w:cs="Palatino Linotype"/>
        </w:rPr>
        <w:t>del Comité de Transparencia del Ayuntamiento de Ecatepec de Morelos por medio del cual realiza la declaratoria de incompetencia.</w:t>
      </w:r>
    </w:p>
    <w:p w14:paraId="1CDFFB07" w14:textId="77777777" w:rsidR="00B71AF3" w:rsidRPr="005B5134" w:rsidRDefault="00B71AF3">
      <w:pPr>
        <w:spacing w:line="360" w:lineRule="auto"/>
        <w:jc w:val="both"/>
        <w:rPr>
          <w:rFonts w:ascii="Palatino Linotype" w:eastAsia="Palatino Linotype" w:hAnsi="Palatino Linotype" w:cs="Palatino Linotype"/>
        </w:rPr>
      </w:pPr>
    </w:p>
    <w:p w14:paraId="57ADF1DD"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Con base en lo precedente, se determina que la información proporcionada por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en sus respuestas, no cumple con lo establecido por los artículos 4, 12, 24 último párrafo y 162 de la Ley de Transparencia y Acceso a la Información Pública del Estado de México y Municipios; por ello, los motivos de inconformidad </w:t>
      </w:r>
      <w:r w:rsidRPr="005B5134">
        <w:rPr>
          <w:rFonts w:ascii="Palatino Linotype" w:eastAsia="Palatino Linotype" w:hAnsi="Palatino Linotype" w:cs="Palatino Linotype"/>
        </w:rPr>
        <w:lastRenderedPageBreak/>
        <w:t xml:space="preserve">acontecen fundados para revocar las respuestas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en razón de las consideraciones de derecho que a continuación se exponen:</w:t>
      </w:r>
    </w:p>
    <w:p w14:paraId="47249F93" w14:textId="77777777" w:rsidR="00B71AF3" w:rsidRPr="005B5134" w:rsidRDefault="00112D67">
      <w:pPr>
        <w:spacing w:before="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Antes del estudio de fondo se debe aclarar, que si bien el particular requiere en los recursos de revisión número 03664/INFOEM/IP/RR/2024 y 03665/INFOEM/IP/RR/2024 información del año 2024, en ese sentido sobre la información sobre hechos que aún no se han generado debido a la temporalidad, son hechos futuros; por lo que no es procedente que los sujetos obligados proporcionen dicha información siendo  aplicable la tesis con número de registro digital 209001 emitida por el Poder Judicial de la Federación, que dispone lo siguiente:</w:t>
      </w:r>
    </w:p>
    <w:p w14:paraId="630AA0A5" w14:textId="77777777" w:rsidR="00B71AF3" w:rsidRPr="005B5134" w:rsidRDefault="00112D67">
      <w:pPr>
        <w:ind w:left="709" w:right="476"/>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rPr>
        <w:t xml:space="preserve"> </w:t>
      </w:r>
      <w:r w:rsidRPr="005B5134">
        <w:rPr>
          <w:rFonts w:ascii="Palatino Linotype" w:eastAsia="Palatino Linotype" w:hAnsi="Palatino Linotype" w:cs="Palatino Linotype"/>
          <w:i/>
          <w:sz w:val="22"/>
          <w:szCs w:val="22"/>
        </w:rPr>
        <w:t>ACTOS FUTUROS DE REALIZACION INCIERTA. NO PROCEDE EL JUICIO DE AMPARO CONTRA LOS.</w:t>
      </w:r>
    </w:p>
    <w:p w14:paraId="29C1B668" w14:textId="77777777" w:rsidR="00B71AF3" w:rsidRPr="005B5134" w:rsidRDefault="00112D67">
      <w:pPr>
        <w:ind w:left="709" w:right="476"/>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Contra actos futuros de realización incierta no procede el juicio de garantías.</w:t>
      </w:r>
    </w:p>
    <w:p w14:paraId="077F6CCE" w14:textId="77777777" w:rsidR="00B71AF3" w:rsidRPr="005B5134" w:rsidRDefault="00112D67">
      <w:pPr>
        <w:ind w:left="709" w:right="476"/>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 </w:t>
      </w:r>
    </w:p>
    <w:p w14:paraId="3E7DD714" w14:textId="77777777" w:rsidR="00B71AF3" w:rsidRPr="005B5134" w:rsidRDefault="00112D67">
      <w:pPr>
        <w:ind w:left="709" w:right="476"/>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7CB0F59A"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En ese sentido, no es procedente la exigencia del hoy Recurrente de que el SUJETO OBLIGADO atienda su solicitud de toda la información generada en el año 2024, pues esa autoridad únicamente está constreñida a proporcionar la información pública que genere en uso de sus atribuciones de derecho público a la fecha de la solicitud de información, esto es al treinta de mayo del año 2024.</w:t>
      </w:r>
    </w:p>
    <w:p w14:paraId="2BCAFEE5" w14:textId="77777777" w:rsidR="00B71AF3" w:rsidRPr="005B5134" w:rsidRDefault="00112D67">
      <w:pPr>
        <w:spacing w:before="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Aclarado lo anterior, sobre la naturaleza de la información, se observa que la parte RECURRENTE, fundamenta sus solicitudes en lo establecido por el artículo 14.7 de la Norma Oficial Mexicana NOM-028-SSA2-2009, la cual para mayor comprensión establece lo siguiente:</w:t>
      </w:r>
    </w:p>
    <w:p w14:paraId="25A16AE3" w14:textId="77777777" w:rsidR="00B71AF3" w:rsidRPr="005B5134" w:rsidRDefault="00B71AF3"/>
    <w:p w14:paraId="3C8E5C2F" w14:textId="77777777" w:rsidR="00B71AF3" w:rsidRPr="005B5134" w:rsidRDefault="00112D67">
      <w:pPr>
        <w:ind w:left="709" w:right="476"/>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14.7 Consejo Nacional contra las Adicciones; Manual para la Integración y Organización de comités municipales contra las adicciones. El trabajo del municipio hace diferencia. Serie Planeación. Consejo Nacional contra las Adicciones, SSA. México, D.F., 2003.</w:t>
      </w:r>
    </w:p>
    <w:p w14:paraId="3C73491F" w14:textId="77777777" w:rsidR="00B71AF3" w:rsidRPr="005B5134" w:rsidRDefault="00B71AF3"/>
    <w:p w14:paraId="2DC90022" w14:textId="77777777" w:rsidR="00B71AF3" w:rsidRPr="005B5134" w:rsidRDefault="00112D67">
      <w:pPr>
        <w:spacing w:before="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Una vez analizado dicho artículo en cita, se advierte que en el mismo se aborda el Manual para la Integración y Organización de Comités Municipales Contra las Adicciones del año 2015, el cual regula todo lo concerniente a los Comités Municipales contra las Adicciones, siendo relevante para el presente estudio lo siguiente:</w:t>
      </w:r>
    </w:p>
    <w:p w14:paraId="1316D1F9" w14:textId="77777777" w:rsidR="00B71AF3" w:rsidRPr="005B5134" w:rsidRDefault="00B71AF3"/>
    <w:p w14:paraId="6D820B15"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i/>
        </w:rPr>
        <w:t>¿</w:t>
      </w:r>
      <w:r w:rsidRPr="005B5134">
        <w:rPr>
          <w:rFonts w:ascii="Palatino Linotype" w:eastAsia="Palatino Linotype" w:hAnsi="Palatino Linotype" w:cs="Palatino Linotype"/>
          <w:i/>
          <w:sz w:val="22"/>
          <w:szCs w:val="22"/>
        </w:rPr>
        <w:t xml:space="preserve">QUÉ ES UN COMITÉ MUNICIPAL CONTRA LAS ADICCIONES (COMCA)?. </w:t>
      </w:r>
    </w:p>
    <w:p w14:paraId="30F0055D" w14:textId="77777777" w:rsidR="00B71AF3" w:rsidRPr="005B5134" w:rsidRDefault="00B71AF3">
      <w:pPr>
        <w:ind w:left="567" w:right="539"/>
        <w:jc w:val="both"/>
        <w:rPr>
          <w:rFonts w:ascii="Palatino Linotype" w:eastAsia="Palatino Linotype" w:hAnsi="Palatino Linotype" w:cs="Palatino Linotype"/>
          <w:i/>
          <w:sz w:val="22"/>
          <w:szCs w:val="22"/>
        </w:rPr>
      </w:pPr>
    </w:p>
    <w:p w14:paraId="030A8772"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un órgano colegiado de coordinación y concertación que impulsa las acciones dirigidas a la prevención y combate de los problemas de salud pública causados por las adicciones, donde participan las instituciones públicas del H. Ayuntamiento Municipal, las organizaciones de la sociedad civil, así como organismos y empresas privadas relacionadas con el tema.</w:t>
      </w:r>
    </w:p>
    <w:p w14:paraId="45FADEE7" w14:textId="77777777" w:rsidR="00B71AF3" w:rsidRPr="005B5134" w:rsidRDefault="00B71AF3">
      <w:pPr>
        <w:ind w:left="567" w:right="539"/>
        <w:jc w:val="both"/>
        <w:rPr>
          <w:rFonts w:ascii="Palatino Linotype" w:eastAsia="Palatino Linotype" w:hAnsi="Palatino Linotype" w:cs="Palatino Linotype"/>
          <w:i/>
          <w:sz w:val="22"/>
          <w:szCs w:val="22"/>
        </w:rPr>
      </w:pPr>
    </w:p>
    <w:p w14:paraId="4446307E"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OBJETO: </w:t>
      </w:r>
    </w:p>
    <w:p w14:paraId="53BF23D2"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El Comité Municipal contra las Adicciones, tiene por objeto promover, apoyar y coordinar las acciones de los sectores público, social y privado tendientes a la prevención y combate de los problemas de salud pública causados por aquellas adicciones que la Ley General de Salud, Leyes Estatales y Municipales le dan competencia.</w:t>
      </w:r>
    </w:p>
    <w:p w14:paraId="66CE0528" w14:textId="77777777" w:rsidR="00B71AF3" w:rsidRPr="005B5134" w:rsidRDefault="00B71AF3">
      <w:pPr>
        <w:ind w:left="567" w:right="539"/>
        <w:jc w:val="both"/>
        <w:rPr>
          <w:rFonts w:ascii="Palatino Linotype" w:eastAsia="Palatino Linotype" w:hAnsi="Palatino Linotype" w:cs="Palatino Linotype"/>
          <w:i/>
          <w:sz w:val="22"/>
          <w:szCs w:val="22"/>
        </w:rPr>
      </w:pPr>
    </w:p>
    <w:p w14:paraId="08A8AF85"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ATRIBUCIONES DEL COMITÉ MUNICIPAL CONTRA LAS ADICCIONES </w:t>
      </w:r>
    </w:p>
    <w:p w14:paraId="4A622894"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Para el cumplimiento de su objeto, el Comité Municipal contra las Adicciones tendrá las siguientes atribuciones: </w:t>
      </w:r>
    </w:p>
    <w:p w14:paraId="32BB9680"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Aprobar y evaluar con base en estadísticas e indicadores pertinentes, los programas contra el abuso de bebidas alcohólicas, el alcoholismo, el consumo de tabaco, la farmacodependencia y la adicción a otras sustancias psicoactivas, de conformidad con los programas nacionales y estatales y promover las acciones que coadyuven al cumplimiento de todos ellos. </w:t>
      </w:r>
    </w:p>
    <w:p w14:paraId="61897315"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Promover las políticas, estrategias y programas en materia de adicciones, así como promover las adecuaciones y modificaciones necesarias. </w:t>
      </w:r>
    </w:p>
    <w:p w14:paraId="7110CA83"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Promover y acordar mecanismos de coordinación con los COMCA de los demás municipios para la eficaz ejecución de los programas a que se refiere la fracción I de este artículo. </w:t>
      </w:r>
    </w:p>
    <w:p w14:paraId="2C35F449"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Promover la ampliación de la cobertura y el mejoramiento de la calidad en la prevención y tratamiento de las adicciones, con atención preferente en las zonas geográficas y grupos poblacionales de mayor riesgo en el municipio. </w:t>
      </w:r>
    </w:p>
    <w:p w14:paraId="2CE94F31"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lastRenderedPageBreak/>
        <w:t>∙</w:t>
      </w:r>
      <w:r w:rsidRPr="005B5134">
        <w:rPr>
          <w:rFonts w:ascii="Palatino Linotype" w:eastAsia="Palatino Linotype" w:hAnsi="Palatino Linotype" w:cs="Palatino Linotype"/>
          <w:i/>
          <w:sz w:val="22"/>
          <w:szCs w:val="22"/>
        </w:rPr>
        <w:t xml:space="preserve"> Fomentar que los programas de educación para la salud y seguridad e higiene en el trabajo, incorporen conceptos que tiendan a disminuir en la población el uso y abuso de bebidas alcohólicas, así como el alcoholismo, el consumo de tabaco y la farmacodependencia. </w:t>
      </w:r>
    </w:p>
    <w:p w14:paraId="0D8FC6E6"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Planear y coordinar las actividades de las diferentes instituciones del sector salud municipal, así como de otros organismos de los sectores público, privado y social, tendientes a prevenir y abatir las conductas adictivas. </w:t>
      </w:r>
    </w:p>
    <w:p w14:paraId="5FCE0C97"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Recomendar medidas para el control de la publicidad en el municipio relativa a bebidas alcohólicas y tabaco. </w:t>
      </w:r>
    </w:p>
    <w:p w14:paraId="7EC5EF0B"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Impulsar la participación de la comunidad en la formación de hábitos y estilos de vida saludables, en la prevención de las adicciones y la reinserción social de las personas que sufran alguna adicción y en general en todas las acciones conducentes a la solución de la problemática en materia de adicciones. </w:t>
      </w:r>
    </w:p>
    <w:p w14:paraId="0A70724F"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Colaborar, con las autoridades federales y estatales e instituciones educativas, en las acciones dirigidas a definir y fortalecer los valores de la persona, propiciando el desarrollo integral del individuo, la familia y la comunidad, en beneficio de la salud pública.</w:t>
      </w:r>
    </w:p>
    <w:p w14:paraId="16DDF72D" w14:textId="77777777" w:rsidR="00B71AF3" w:rsidRPr="005B5134" w:rsidRDefault="00B71AF3">
      <w:pPr>
        <w:ind w:left="567" w:right="539"/>
        <w:jc w:val="both"/>
        <w:rPr>
          <w:rFonts w:ascii="Palatino Linotype" w:eastAsia="Palatino Linotype" w:hAnsi="Palatino Linotype" w:cs="Palatino Linotype"/>
          <w:i/>
          <w:sz w:val="22"/>
          <w:szCs w:val="22"/>
        </w:rPr>
      </w:pPr>
    </w:p>
    <w:p w14:paraId="5C602ED8"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10. MIEMBROS DEL COMITÉ MUNICIPAL CONTRA LAS ADICCIONES </w:t>
      </w:r>
    </w:p>
    <w:p w14:paraId="70F208D4"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El Comité Municipal contra las Adicciones estará integrado por: </w:t>
      </w:r>
    </w:p>
    <w:p w14:paraId="1049B098" w14:textId="77777777" w:rsidR="00B71AF3" w:rsidRPr="005B5134" w:rsidRDefault="00112D67">
      <w:pPr>
        <w:ind w:left="567" w:right="539"/>
        <w:jc w:val="both"/>
        <w:rPr>
          <w:rFonts w:ascii="Palatino Linotype" w:eastAsia="Palatino Linotype" w:hAnsi="Palatino Linotype" w:cs="Palatino Linotype"/>
          <w:b/>
          <w:i/>
          <w:sz w:val="22"/>
          <w:szCs w:val="22"/>
        </w:rPr>
      </w:pPr>
      <w:r w:rsidRPr="005B5134">
        <w:rPr>
          <w:rFonts w:ascii="Noto Sans Symbols" w:eastAsia="Noto Sans Symbols" w:hAnsi="Noto Sans Symbols" w:cs="Noto Sans Symbols"/>
          <w:b/>
          <w:i/>
          <w:sz w:val="22"/>
          <w:szCs w:val="22"/>
        </w:rPr>
        <w:t>∙</w:t>
      </w:r>
      <w:r w:rsidRPr="005B5134">
        <w:rPr>
          <w:rFonts w:ascii="Palatino Linotype" w:eastAsia="Palatino Linotype" w:hAnsi="Palatino Linotype" w:cs="Palatino Linotype"/>
          <w:b/>
          <w:i/>
          <w:sz w:val="22"/>
          <w:szCs w:val="22"/>
        </w:rPr>
        <w:t xml:space="preserve"> El Presidente Municipal, quien lo presidirá; </w:t>
      </w:r>
    </w:p>
    <w:p w14:paraId="76086931"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El Secretario de Gobierno; </w:t>
      </w:r>
    </w:p>
    <w:p w14:paraId="3BB882EC"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El Responsable de los servicios de salud, quien será el coordinador;</w:t>
      </w:r>
    </w:p>
    <w:p w14:paraId="308376D2" w14:textId="77777777" w:rsidR="00B71AF3" w:rsidRPr="005B5134" w:rsidRDefault="00B71AF3">
      <w:pPr>
        <w:ind w:left="567" w:right="539"/>
        <w:jc w:val="both"/>
        <w:rPr>
          <w:rFonts w:ascii="Palatino Linotype" w:eastAsia="Palatino Linotype" w:hAnsi="Palatino Linotype" w:cs="Palatino Linotype"/>
          <w:i/>
          <w:sz w:val="22"/>
          <w:szCs w:val="22"/>
        </w:rPr>
      </w:pPr>
    </w:p>
    <w:p w14:paraId="3E721D06"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13. LAS SESIONES DEL COMITÉ MUNICIPAL CONTRA LAS ADICCIONES (COMCA) </w:t>
      </w:r>
    </w:p>
    <w:p w14:paraId="3AD034A4"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El COMCA podrá celebrar sesiones ordinarias o extraordinarias, previa convocatoria del Coordinador. </w:t>
      </w:r>
    </w:p>
    <w:p w14:paraId="608039AA"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El Presidente, el Coordinador o dos de los miembros del COMCA podrán solicitar se convoque a sesiones extraordinarias.</w:t>
      </w:r>
    </w:p>
    <w:p w14:paraId="3231108A"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Las sesiones ordinarias deberán celebrarse como mínimo cuatro veces al año. </w:t>
      </w:r>
    </w:p>
    <w:p w14:paraId="1F54598C"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La celebración de sesiones ordinarias se llevará a cabo conforme al calendario anual que para tal efecto apruebe el Comité, en tanto que las sesiones extraordinarias se celebrarán, cuando haya asuntos que por su naturaleza e importancia así lo requiera, debiendo siempre mediar convocatoria por escrito. </w:t>
      </w:r>
    </w:p>
    <w:p w14:paraId="01FC1A6B"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La convocatoria para las sesiones ordinarias del COMCA, constará por escrito y deberá cumplir por lo menos con los siguientes requisitos: </w:t>
      </w:r>
    </w:p>
    <w:p w14:paraId="3F8E2415"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Lugar, fecha y hora en que tendrá verificativo la sesión. </w:t>
      </w:r>
    </w:p>
    <w:p w14:paraId="4B0B0FB9"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Orden del día, con los asuntos a tratar que sean materia de la sesión, así como los documentos relacionados con el desarrollo de la misma. </w:t>
      </w:r>
    </w:p>
    <w:p w14:paraId="026711BD"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Noto Sans Symbols" w:eastAsia="Noto Sans Symbols" w:hAnsi="Noto Sans Symbols" w:cs="Noto Sans Symbols"/>
          <w:i/>
          <w:sz w:val="22"/>
          <w:szCs w:val="22"/>
        </w:rPr>
        <w:t>∙</w:t>
      </w:r>
      <w:r w:rsidRPr="005B5134">
        <w:rPr>
          <w:rFonts w:ascii="Palatino Linotype" w:eastAsia="Palatino Linotype" w:hAnsi="Palatino Linotype" w:cs="Palatino Linotype"/>
          <w:i/>
          <w:sz w:val="22"/>
          <w:szCs w:val="22"/>
        </w:rPr>
        <w:t xml:space="preserve"> Notificarse a los miembros del COMCA por lo menos con siete días hábiles de anticipación. La convocatoria para las sesiones extraordinarias del COMCA se deberán notificar con una </w:t>
      </w:r>
      <w:r w:rsidRPr="005B5134">
        <w:rPr>
          <w:rFonts w:ascii="Palatino Linotype" w:eastAsia="Palatino Linotype" w:hAnsi="Palatino Linotype" w:cs="Palatino Linotype"/>
          <w:i/>
          <w:sz w:val="22"/>
          <w:szCs w:val="22"/>
        </w:rPr>
        <w:lastRenderedPageBreak/>
        <w:t>anticipación mínima de veinticuatro horas, de tal modo que la fecha, lugar y hora en que tendrá verificativo la sesión, sea conocido por todos los miembros; durante estas sesiones se atenderá únicamente los asuntos señalados en la convocatoria respectiva, por lo que el orden del día no comprenderá asuntos generales.</w:t>
      </w:r>
    </w:p>
    <w:p w14:paraId="472037DB"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Los acuerdos del COMCA se tomarán por mayoría de votos de sus miembros, sean los titulares o sus suplentes debidamente acreditados, teniendo el Presidente o su suplente, voto de calidad en caso de empate. </w:t>
      </w:r>
    </w:p>
    <w:p w14:paraId="3A0BAF3E"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Se considerará que existe quórum para la validez de las sesiones del COMCA, con la asistencia de su Secretario Técnico y la concurrencia de por lo menos 51% de sus miembros. </w:t>
      </w:r>
    </w:p>
    <w:p w14:paraId="6D4EB077"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En caso de no existir quórum, las sesiones podrán celebrarse válidamente conforme a lo señalado en el párrafo anterior, al no reunirse en la hora señalada, en ese momento se convocará a una segunda sesión que deberá celebrarse media hora después con los miembros que se encuentren presentes. </w:t>
      </w:r>
    </w:p>
    <w:p w14:paraId="7ED4C85A" w14:textId="77777777" w:rsidR="00B71AF3" w:rsidRPr="005B5134" w:rsidRDefault="00B71AF3">
      <w:pPr>
        <w:ind w:left="567" w:right="539"/>
        <w:jc w:val="both"/>
        <w:rPr>
          <w:rFonts w:ascii="Palatino Linotype" w:eastAsia="Palatino Linotype" w:hAnsi="Palatino Linotype" w:cs="Palatino Linotype"/>
          <w:i/>
          <w:sz w:val="22"/>
          <w:szCs w:val="22"/>
        </w:rPr>
      </w:pPr>
    </w:p>
    <w:p w14:paraId="44171FF4"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Los acuerdos y recomendaciones del COMCA se tomarán por el sistema de mayoría de votos de los asistentes, y en caso de empate, el Secretario Técnico del mismo resolverá con voto de calidad.</w:t>
      </w:r>
    </w:p>
    <w:p w14:paraId="4631A5D6" w14:textId="77777777" w:rsidR="00B71AF3" w:rsidRPr="005B5134" w:rsidRDefault="00B71AF3"/>
    <w:p w14:paraId="79B3E68B" w14:textId="77777777" w:rsidR="00B71AF3" w:rsidRPr="005B5134" w:rsidRDefault="00112D67">
      <w:r w:rsidRPr="005B5134">
        <w:rPr>
          <w:noProof/>
        </w:rPr>
        <w:drawing>
          <wp:inline distT="0" distB="0" distL="0" distR="0" wp14:anchorId="1B1520D2" wp14:editId="1498E026">
            <wp:extent cx="5734852" cy="3991533"/>
            <wp:effectExtent l="0" t="0" r="0" b="0"/>
            <wp:docPr id="19702993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4852" cy="3991533"/>
                    </a:xfrm>
                    <a:prstGeom prst="rect">
                      <a:avLst/>
                    </a:prstGeom>
                    <a:ln/>
                  </pic:spPr>
                </pic:pic>
              </a:graphicData>
            </a:graphic>
          </wp:inline>
        </w:drawing>
      </w:r>
    </w:p>
    <w:p w14:paraId="05A0609B" w14:textId="77777777" w:rsidR="00B71AF3" w:rsidRPr="005B5134" w:rsidRDefault="00112D67">
      <w:r w:rsidRPr="005B5134">
        <w:rPr>
          <w:noProof/>
        </w:rPr>
        <w:lastRenderedPageBreak/>
        <w:drawing>
          <wp:inline distT="0" distB="0" distL="0" distR="0" wp14:anchorId="47DBCCB3" wp14:editId="5648C006">
            <wp:extent cx="5696182" cy="6610619"/>
            <wp:effectExtent l="0" t="0" r="0" b="0"/>
            <wp:docPr id="19702993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696182" cy="6610619"/>
                    </a:xfrm>
                    <a:prstGeom prst="rect">
                      <a:avLst/>
                    </a:prstGeom>
                    <a:ln/>
                  </pic:spPr>
                </pic:pic>
              </a:graphicData>
            </a:graphic>
          </wp:inline>
        </w:drawing>
      </w:r>
    </w:p>
    <w:p w14:paraId="74A6C264" w14:textId="77777777" w:rsidR="00B71AF3" w:rsidRPr="005B5134" w:rsidRDefault="00B71AF3"/>
    <w:p w14:paraId="3C7C7D59" w14:textId="77777777" w:rsidR="00B71AF3" w:rsidRPr="005B5134" w:rsidRDefault="00B71AF3"/>
    <w:p w14:paraId="0EE1A550" w14:textId="77777777" w:rsidR="00B71AF3" w:rsidRPr="005B5134" w:rsidRDefault="00112D67">
      <w:r w:rsidRPr="005B5134">
        <w:rPr>
          <w:noProof/>
        </w:rPr>
        <w:lastRenderedPageBreak/>
        <w:drawing>
          <wp:inline distT="0" distB="0" distL="0" distR="0" wp14:anchorId="3FFB8D95" wp14:editId="30735A15">
            <wp:extent cx="5725328" cy="4534536"/>
            <wp:effectExtent l="0" t="0" r="0" b="0"/>
            <wp:docPr id="19702993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25328" cy="4534536"/>
                    </a:xfrm>
                    <a:prstGeom prst="rect">
                      <a:avLst/>
                    </a:prstGeom>
                    <a:ln/>
                  </pic:spPr>
                </pic:pic>
              </a:graphicData>
            </a:graphic>
          </wp:inline>
        </w:drawing>
      </w:r>
    </w:p>
    <w:p w14:paraId="018FA9B6" w14:textId="77777777" w:rsidR="00B71AF3" w:rsidRPr="005B5134" w:rsidRDefault="00112D67">
      <w:r w:rsidRPr="005B5134">
        <w:rPr>
          <w:noProof/>
        </w:rPr>
        <w:drawing>
          <wp:inline distT="0" distB="0" distL="0" distR="0" wp14:anchorId="5453A002" wp14:editId="272E5866">
            <wp:extent cx="5725333" cy="914529"/>
            <wp:effectExtent l="0" t="0" r="0" b="0"/>
            <wp:docPr id="19702993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25333" cy="914529"/>
                    </a:xfrm>
                    <a:prstGeom prst="rect">
                      <a:avLst/>
                    </a:prstGeom>
                    <a:ln/>
                  </pic:spPr>
                </pic:pic>
              </a:graphicData>
            </a:graphic>
          </wp:inline>
        </w:drawing>
      </w:r>
    </w:p>
    <w:p w14:paraId="7F6E4EB4" w14:textId="77777777" w:rsidR="00B71AF3" w:rsidRPr="005B5134" w:rsidRDefault="00B71AF3"/>
    <w:p w14:paraId="45CE5A4F" w14:textId="77777777" w:rsidR="00B71AF3" w:rsidRPr="005B5134" w:rsidRDefault="00B71AF3"/>
    <w:p w14:paraId="186B64F0" w14:textId="77777777" w:rsidR="00B71AF3" w:rsidRPr="005B5134" w:rsidRDefault="00B71AF3"/>
    <w:p w14:paraId="6B0C15AA" w14:textId="77777777" w:rsidR="00B71AF3" w:rsidRPr="005B5134" w:rsidRDefault="00B71AF3"/>
    <w:p w14:paraId="49A809BA" w14:textId="77777777" w:rsidR="00B71AF3" w:rsidRPr="005B5134" w:rsidRDefault="00B71AF3"/>
    <w:p w14:paraId="4E89FEDC" w14:textId="77777777" w:rsidR="00B71AF3" w:rsidRPr="005B5134" w:rsidRDefault="00112D67">
      <w:r w:rsidRPr="005B5134">
        <w:rPr>
          <w:noProof/>
        </w:rPr>
        <w:lastRenderedPageBreak/>
        <w:drawing>
          <wp:inline distT="0" distB="0" distL="0" distR="0" wp14:anchorId="38021B92" wp14:editId="43E873B3">
            <wp:extent cx="5743702" cy="6620021"/>
            <wp:effectExtent l="0" t="0" r="0" b="0"/>
            <wp:docPr id="19702993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43702" cy="6620021"/>
                    </a:xfrm>
                    <a:prstGeom prst="rect">
                      <a:avLst/>
                    </a:prstGeom>
                    <a:ln/>
                  </pic:spPr>
                </pic:pic>
              </a:graphicData>
            </a:graphic>
          </wp:inline>
        </w:drawing>
      </w:r>
    </w:p>
    <w:p w14:paraId="1F03130B" w14:textId="77777777" w:rsidR="00B71AF3" w:rsidRPr="005B5134" w:rsidRDefault="00B71AF3"/>
    <w:p w14:paraId="53FE4DA9" w14:textId="77777777" w:rsidR="00B71AF3" w:rsidRPr="005B5134" w:rsidRDefault="00B71AF3"/>
    <w:p w14:paraId="5DF61CDE" w14:textId="77777777" w:rsidR="00B71AF3" w:rsidRPr="005B5134" w:rsidRDefault="00112D67">
      <w:r w:rsidRPr="005B5134">
        <w:rPr>
          <w:noProof/>
        </w:rPr>
        <w:lastRenderedPageBreak/>
        <w:drawing>
          <wp:inline distT="0" distB="0" distL="0" distR="0" wp14:anchorId="47AB74B1" wp14:editId="17A87BE7">
            <wp:extent cx="5753309" cy="6610590"/>
            <wp:effectExtent l="0" t="0" r="0" b="0"/>
            <wp:docPr id="19702993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3309" cy="6610590"/>
                    </a:xfrm>
                    <a:prstGeom prst="rect">
                      <a:avLst/>
                    </a:prstGeom>
                    <a:ln/>
                  </pic:spPr>
                </pic:pic>
              </a:graphicData>
            </a:graphic>
          </wp:inline>
        </w:drawing>
      </w:r>
    </w:p>
    <w:p w14:paraId="45BE4DA2" w14:textId="77777777" w:rsidR="00B71AF3" w:rsidRPr="005B5134" w:rsidRDefault="00B71AF3"/>
    <w:p w14:paraId="30B529A7" w14:textId="77777777" w:rsidR="00B71AF3" w:rsidRPr="005B5134" w:rsidRDefault="00B71AF3"/>
    <w:p w14:paraId="310BB16D" w14:textId="77777777" w:rsidR="00B71AF3" w:rsidRPr="005B5134" w:rsidRDefault="00112D67">
      <w:r w:rsidRPr="005B5134">
        <w:rPr>
          <w:noProof/>
        </w:rPr>
        <w:lastRenderedPageBreak/>
        <w:drawing>
          <wp:inline distT="0" distB="0" distL="0" distR="0" wp14:anchorId="35A5F8FA" wp14:editId="3B4D612B">
            <wp:extent cx="5734235" cy="5553254"/>
            <wp:effectExtent l="0" t="0" r="0" b="0"/>
            <wp:docPr id="19702993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734235" cy="5553254"/>
                    </a:xfrm>
                    <a:prstGeom prst="rect">
                      <a:avLst/>
                    </a:prstGeom>
                    <a:ln/>
                  </pic:spPr>
                </pic:pic>
              </a:graphicData>
            </a:graphic>
          </wp:inline>
        </w:drawing>
      </w:r>
    </w:p>
    <w:p w14:paraId="28A2808F" w14:textId="77777777" w:rsidR="00B71AF3" w:rsidRPr="005B5134" w:rsidRDefault="00B71AF3"/>
    <w:p w14:paraId="7D2ABF3E"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Como podemos advertir el Manual para la Integración y Organización de comités municipales contra las adicciones regula todo lo concerniente para la integración del Comité Municipal Contra las Adicciones, desde su conformación o reinstalación hasta sus sesiones de trabajo.</w:t>
      </w:r>
    </w:p>
    <w:p w14:paraId="6BF7B0CC" w14:textId="77777777" w:rsidR="00B71AF3" w:rsidRPr="005B5134" w:rsidRDefault="00B71AF3">
      <w:pPr>
        <w:spacing w:line="360" w:lineRule="auto"/>
        <w:jc w:val="both"/>
        <w:rPr>
          <w:rFonts w:ascii="Palatino Linotype" w:eastAsia="Palatino Linotype" w:hAnsi="Palatino Linotype" w:cs="Palatino Linotype"/>
        </w:rPr>
      </w:pPr>
    </w:p>
    <w:p w14:paraId="184664F1"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 xml:space="preserve">Ahora bien, no obstante, la existencia de dicho manual, se estaba ante la incertidumbre respecto a si el Ayuntamiento de Ecatepec de Morelos contaba con dicho comité por lo cual este Órgano Garante se dio a la tarea de realizar una búsqueda en la normativa del mismo, advirtiéndose dentro del Bando Municipal vigente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lo siguiente:</w:t>
      </w:r>
    </w:p>
    <w:p w14:paraId="5F9B3B81" w14:textId="77777777" w:rsidR="00B71AF3" w:rsidRPr="005B5134" w:rsidRDefault="00B71AF3">
      <w:pPr>
        <w:spacing w:line="360" w:lineRule="auto"/>
        <w:jc w:val="both"/>
        <w:rPr>
          <w:rFonts w:ascii="Palatino Linotype" w:eastAsia="Palatino Linotype" w:hAnsi="Palatino Linotype" w:cs="Palatino Linotype"/>
        </w:rPr>
      </w:pPr>
    </w:p>
    <w:p w14:paraId="6146A86A" w14:textId="77777777" w:rsidR="00B71AF3" w:rsidRPr="005B5134" w:rsidRDefault="00112D67">
      <w:pPr>
        <w:ind w:left="567" w:right="539"/>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“Artículo 33. El H. Ayuntamiento, para el eficaz desempeño de sus funciones públicas </w:t>
      </w:r>
      <w:r w:rsidRPr="005B5134">
        <w:rPr>
          <w:rFonts w:ascii="Palatino Linotype" w:eastAsia="Palatino Linotype" w:hAnsi="Palatino Linotype" w:cs="Palatino Linotype"/>
          <w:b/>
          <w:i/>
          <w:sz w:val="22"/>
          <w:szCs w:val="22"/>
        </w:rPr>
        <w:t>podrá, sin que sea obligatorio</w:t>
      </w:r>
      <w:r w:rsidRPr="005B5134">
        <w:rPr>
          <w:rFonts w:ascii="Palatino Linotype" w:eastAsia="Palatino Linotype" w:hAnsi="Palatino Linotype" w:cs="Palatino Linotype"/>
          <w:i/>
          <w:sz w:val="22"/>
          <w:szCs w:val="22"/>
        </w:rPr>
        <w:t>, auxiliarse por:</w:t>
      </w:r>
    </w:p>
    <w:p w14:paraId="6EB7E191" w14:textId="77777777" w:rsidR="00B71AF3" w:rsidRPr="005B5134" w:rsidRDefault="00112D67">
      <w:pPr>
        <w:ind w:left="567" w:right="539"/>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1F556992" w14:textId="77777777" w:rsidR="00B71AF3" w:rsidRPr="005B5134" w:rsidRDefault="00112D67">
      <w:pPr>
        <w:ind w:left="567" w:right="539"/>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V. Los </w:t>
      </w:r>
      <w:r w:rsidRPr="005B5134">
        <w:rPr>
          <w:rFonts w:ascii="Palatino Linotype" w:eastAsia="Palatino Linotype" w:hAnsi="Palatino Linotype" w:cs="Palatino Linotype"/>
          <w:b/>
          <w:i/>
          <w:sz w:val="22"/>
          <w:szCs w:val="22"/>
        </w:rPr>
        <w:t>Comités</w:t>
      </w:r>
      <w:r w:rsidRPr="005B5134">
        <w:rPr>
          <w:rFonts w:ascii="Palatino Linotype" w:eastAsia="Palatino Linotype" w:hAnsi="Palatino Linotype" w:cs="Palatino Linotype"/>
          <w:i/>
          <w:sz w:val="22"/>
          <w:szCs w:val="22"/>
        </w:rPr>
        <w:t>, Comisiones y Consejos para el mejor desempeño del servicio público, entre los que destacan:</w:t>
      </w:r>
    </w:p>
    <w:p w14:paraId="2ABFBD1D" w14:textId="77777777" w:rsidR="00B71AF3" w:rsidRPr="005B5134" w:rsidRDefault="00112D67">
      <w:pPr>
        <w:ind w:left="567" w:right="539"/>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18C6C86C" w14:textId="77777777" w:rsidR="00B71AF3" w:rsidRPr="005B5134" w:rsidRDefault="00112D67">
      <w:pPr>
        <w:ind w:left="567" w:right="539"/>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f. Comité Municipal Contra las Adicciones…”</w:t>
      </w:r>
    </w:p>
    <w:p w14:paraId="1D038445" w14:textId="77777777" w:rsidR="00B71AF3" w:rsidRPr="005B5134" w:rsidRDefault="00B71AF3"/>
    <w:p w14:paraId="2AF604EA" w14:textId="77777777" w:rsidR="00B71AF3" w:rsidRPr="005B5134" w:rsidRDefault="00B71AF3"/>
    <w:p w14:paraId="3B27412D"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Por su parte en el bando Municipal de Ecatepec de Morelos para el año 2018, contemplaba lo siguiente:</w:t>
      </w:r>
    </w:p>
    <w:p w14:paraId="6BFC2FB7"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Artículo 36. El H. Ayuntamiento, para el eficaz desempeño de sus funciones públicas, podrá auxiliarse por: </w:t>
      </w:r>
    </w:p>
    <w:p w14:paraId="44BF6D8D"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 Las Comisiones del H. Ayuntamiento; </w:t>
      </w:r>
    </w:p>
    <w:p w14:paraId="7EDA8D9D"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II. La Comisión de Planeación para el Desarrollo Municipal; </w:t>
      </w:r>
    </w:p>
    <w:p w14:paraId="2177C69C"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III. Delegaciones, Subdelegaciones y Consejos de Participación Ciudadana; </w:t>
      </w:r>
    </w:p>
    <w:p w14:paraId="0B0B0AD8"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IV. Los Comités, Comisiones y Consejos que determine el H. Ayuntamiento para el mejor desempeño del servicio público, entre los que destacan: </w:t>
      </w:r>
    </w:p>
    <w:p w14:paraId="41ABAE7A"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a.Consejo Municipal de Protección Civil; </w:t>
      </w:r>
    </w:p>
    <w:p w14:paraId="72514606"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b.Consejo Municipal de Seguridad Pública; </w:t>
      </w:r>
    </w:p>
    <w:p w14:paraId="32F84DDD"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c.Consejo Municipal de Población en Ecatepec; </w:t>
      </w:r>
    </w:p>
    <w:p w14:paraId="7ACFF086"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d.Consejo Municipal de Prevención y Control del Crecimiento Urbano; </w:t>
      </w:r>
    </w:p>
    <w:p w14:paraId="164B2B56"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e.Comité de Planeación para el Desarrollo Municipal; </w:t>
      </w:r>
    </w:p>
    <w:p w14:paraId="5CCA2FDF"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f.Comisión Municipal para el Bienestar y la Incorporación al Desarrollo de las Personas con Discapacidad; </w:t>
      </w:r>
    </w:p>
    <w:p w14:paraId="539B6F9A"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g.Comité de Información; </w:t>
      </w:r>
    </w:p>
    <w:p w14:paraId="0D154EE0"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h.Consejo Municipal de Protección al Ambiente;</w:t>
      </w:r>
    </w:p>
    <w:p w14:paraId="057F9862"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 i.Consejo Municipal de Lucha Contra las Drogas y la Delincuencia; </w:t>
      </w:r>
    </w:p>
    <w:p w14:paraId="0B059323"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j.Consejo Municipal de Protección a la Biodiversidad y Desarrollo Sustentable; </w:t>
      </w:r>
    </w:p>
    <w:p w14:paraId="6FEA6DA5"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lastRenderedPageBreak/>
        <w:t>k.Consejo Municipal de Salud;</w:t>
      </w:r>
    </w:p>
    <w:p w14:paraId="0F7D3B2C"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 l.Consejo Municipal de Equidad y Género; </w:t>
      </w:r>
    </w:p>
    <w:p w14:paraId="5253AD92"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V. Los demás que apruebe el H. Ayuntamiento. Los consejos y comités conducirán sus actividades en forma programada, con base en las políticas y objetivos previstos. </w:t>
      </w:r>
    </w:p>
    <w:p w14:paraId="6F36A8C8" w14:textId="77777777" w:rsidR="00B71AF3" w:rsidRPr="005B5134" w:rsidRDefault="00112D67">
      <w:pPr>
        <w:ind w:left="567" w:right="53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Sus funciones deberán regirse por el reglamento municipal correspondiente y demás disposiciones legales aplicables; la cita de las comisiones, consejos y comités son de manera enunciativa y no limitativa, siempre y cuando exista el soporte legal para su creación</w:t>
      </w:r>
    </w:p>
    <w:p w14:paraId="1EF5EC55" w14:textId="77777777" w:rsidR="00B71AF3" w:rsidRPr="005B5134" w:rsidRDefault="00B71AF3">
      <w:pPr>
        <w:spacing w:line="360" w:lineRule="auto"/>
        <w:jc w:val="both"/>
        <w:rPr>
          <w:rFonts w:ascii="Palatino Linotype" w:eastAsia="Palatino Linotype" w:hAnsi="Palatino Linotype" w:cs="Palatino Linotype"/>
        </w:rPr>
      </w:pPr>
    </w:p>
    <w:p w14:paraId="5B782D1A"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Que si bien no contemplaba como tal un Comité Municipal Contra las Adicciones, sin embargo, dentro del Plan de Desarrollo Municipal del Ayuntamiento de Ecatepec de Morelos para la administración 2016-2018, estableció diversos programas presupuestarios, entre los que se localizó el denominado Comité Municipal Contra las Adicciones, como se observa a continuación:</w:t>
      </w:r>
    </w:p>
    <w:p w14:paraId="2C672F70"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noProof/>
        </w:rPr>
        <w:drawing>
          <wp:inline distT="0" distB="0" distL="0" distR="0" wp14:anchorId="22957A00" wp14:editId="5B76217F">
            <wp:extent cx="5791835" cy="3162300"/>
            <wp:effectExtent l="0" t="0" r="0" b="0"/>
            <wp:docPr id="19702993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91835" cy="3162300"/>
                    </a:xfrm>
                    <a:prstGeom prst="rect">
                      <a:avLst/>
                    </a:prstGeom>
                    <a:ln/>
                  </pic:spPr>
                </pic:pic>
              </a:graphicData>
            </a:graphic>
          </wp:inline>
        </w:drawing>
      </w:r>
      <w:r w:rsidRPr="005B5134">
        <w:rPr>
          <w:noProof/>
        </w:rPr>
        <mc:AlternateContent>
          <mc:Choice Requires="wps">
            <w:drawing>
              <wp:anchor distT="0" distB="0" distL="114300" distR="114300" simplePos="0" relativeHeight="251658240" behindDoc="0" locked="0" layoutInCell="1" hidden="0" allowOverlap="1" wp14:anchorId="5DEFFA9F" wp14:editId="5A6E9EC5">
                <wp:simplePos x="0" y="0"/>
                <wp:positionH relativeFrom="column">
                  <wp:posOffset>165100</wp:posOffset>
                </wp:positionH>
                <wp:positionV relativeFrom="paragraph">
                  <wp:posOffset>2705100</wp:posOffset>
                </wp:positionV>
                <wp:extent cx="387350" cy="482600"/>
                <wp:effectExtent l="0" t="0" r="0" b="0"/>
                <wp:wrapNone/>
                <wp:docPr id="1970299344" name="Flecha izquierda 1970299344"/>
                <wp:cNvGraphicFramePr/>
                <a:graphic xmlns:a="http://schemas.openxmlformats.org/drawingml/2006/main">
                  <a:graphicData uri="http://schemas.microsoft.com/office/word/2010/wordprocessingShape">
                    <wps:wsp>
                      <wps:cNvSpPr/>
                      <wps:spPr>
                        <a:xfrm rot="5400000">
                          <a:off x="5165025" y="3551400"/>
                          <a:ext cx="361950" cy="4572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CC24831" w14:textId="77777777" w:rsidR="00B71AF3" w:rsidRDefault="00B71AF3">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shapetype w14:anchorId="5DEFFA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70299344" o:spid="_x0000_s1026" type="#_x0000_t66" style="position:absolute;left:0;text-align:left;margin-left:13pt;margin-top:213pt;width:30.5pt;height:38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" adj="10800" fillcolor="#5b9bd5 [3204]" strokecolor="#42719b" strokeweight="1pt">
                <v:stroke startarrowwidth="narrow" startarrowlength="short" endarrowwidth="narrow" endarrowlength="short"/>
                <v:textbox inset="2.53958mm,2.53958mm,2.53958mm,2.53958mm">
                  <w:txbxContent>
                    <w:p w14:paraId="4CC24831" w14:textId="77777777" w:rsidR="00B71AF3" w:rsidRDefault="00B71AF3">
                      <w:pPr>
                        <w:textDirection w:val="btLr"/>
                      </w:pPr>
                    </w:p>
                  </w:txbxContent>
                </v:textbox>
              </v:shape>
            </w:pict>
          </mc:Fallback>
        </mc:AlternateContent>
      </w:r>
    </w:p>
    <w:p w14:paraId="0D93B23C" w14:textId="77777777" w:rsidR="00B71AF3" w:rsidRPr="005B5134" w:rsidRDefault="00B71AF3"/>
    <w:p w14:paraId="76295367"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Hasta aquí podemos arribar a las siguientes conclusiones:</w:t>
      </w:r>
    </w:p>
    <w:p w14:paraId="2A718BAF" w14:textId="77777777" w:rsidR="00B71AF3" w:rsidRPr="005B5134" w:rsidRDefault="00B71AF3">
      <w:pPr>
        <w:spacing w:line="360" w:lineRule="auto"/>
        <w:jc w:val="both"/>
        <w:rPr>
          <w:rFonts w:ascii="Palatino Linotype" w:eastAsia="Palatino Linotype" w:hAnsi="Palatino Linotype" w:cs="Palatino Linotype"/>
        </w:rPr>
      </w:pPr>
    </w:p>
    <w:p w14:paraId="61087663" w14:textId="77777777" w:rsidR="00B71AF3" w:rsidRPr="005B5134" w:rsidRDefault="00112D6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La norma invocada por la parte</w:t>
      </w:r>
      <w:r w:rsidRPr="005B5134">
        <w:rPr>
          <w:rFonts w:ascii="Palatino Linotype" w:eastAsia="Palatino Linotype" w:hAnsi="Palatino Linotype" w:cs="Palatino Linotype"/>
          <w:b/>
        </w:rPr>
        <w:t xml:space="preserve"> RECURRENTE </w:t>
      </w:r>
      <w:r w:rsidRPr="005B5134">
        <w:rPr>
          <w:rFonts w:ascii="Palatino Linotype" w:eastAsia="Palatino Linotype" w:hAnsi="Palatino Linotype" w:cs="Palatino Linotype"/>
        </w:rPr>
        <w:t>nos lleva al Manual para la Integración y Organización de comités municipales contra las adicciones.</w:t>
      </w:r>
    </w:p>
    <w:p w14:paraId="1CB2AE8D" w14:textId="77777777" w:rsidR="00B71AF3" w:rsidRPr="005B5134" w:rsidRDefault="00112D6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El Manual para la Integración y Organización de comités municipales contra las adicciones establece todo lo concerniente respecto a la conformación y forma de trabajo de dichos comités.</w:t>
      </w:r>
    </w:p>
    <w:p w14:paraId="0DDF10FF" w14:textId="77777777" w:rsidR="00B71AF3" w:rsidRPr="005B5134" w:rsidRDefault="00112D6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El bando Municipal del año 2024 otorga la posibilidad de generar el Comité en cuestión sin que sea obligatorio.</w:t>
      </w:r>
    </w:p>
    <w:p w14:paraId="419BBBD6" w14:textId="77777777" w:rsidR="00B71AF3" w:rsidRPr="005B5134" w:rsidRDefault="00112D6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Dentro de la Administración Pública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2016-2018, si contemplaba un Comité Municipal contra las Adicciones.  </w:t>
      </w:r>
    </w:p>
    <w:p w14:paraId="0E81D93C" w14:textId="77777777" w:rsidR="00B71AF3" w:rsidRPr="005B5134" w:rsidRDefault="00B71AF3">
      <w:pPr>
        <w:spacing w:line="360" w:lineRule="auto"/>
        <w:jc w:val="both"/>
        <w:rPr>
          <w:rFonts w:ascii="Palatino Linotype" w:eastAsia="Palatino Linotype" w:hAnsi="Palatino Linotype" w:cs="Palatino Linotype"/>
        </w:rPr>
      </w:pPr>
    </w:p>
    <w:p w14:paraId="26779A21"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En ese sentido, conviene a traer lo señalado por el artículo 2 fracción I y 9 fracción I de los Lineamientos para la Operación y Funcionamiento de los Comités Municipales Contra las Adicciones</w:t>
      </w:r>
      <w:r w:rsidRPr="005B5134">
        <w:t xml:space="preserve">, </w:t>
      </w:r>
      <w:r w:rsidRPr="005B5134">
        <w:rPr>
          <w:rFonts w:ascii="Palatino Linotype" w:eastAsia="Palatino Linotype" w:hAnsi="Palatino Linotype" w:cs="Palatino Linotype"/>
        </w:rPr>
        <w:t>que señala al respecto lo siguiente:</w:t>
      </w:r>
    </w:p>
    <w:p w14:paraId="5560BAD4" w14:textId="77777777" w:rsidR="00B71AF3" w:rsidRPr="005B5134" w:rsidRDefault="00B71AF3">
      <w:pPr>
        <w:ind w:left="567" w:right="618"/>
        <w:jc w:val="both"/>
        <w:rPr>
          <w:rFonts w:ascii="Palatino Linotype" w:eastAsia="Palatino Linotype" w:hAnsi="Palatino Linotype" w:cs="Palatino Linotype"/>
          <w:b/>
          <w:i/>
          <w:sz w:val="22"/>
          <w:szCs w:val="22"/>
        </w:rPr>
      </w:pPr>
    </w:p>
    <w:p w14:paraId="7AEC44DB"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Artículo 2.- Los COMCA se conformarán para su operación, de la siguiente manera</w:t>
      </w:r>
      <w:r w:rsidRPr="005B5134">
        <w:rPr>
          <w:rFonts w:ascii="Palatino Linotype" w:eastAsia="Palatino Linotype" w:hAnsi="Palatino Linotype" w:cs="Palatino Linotype"/>
          <w:i/>
          <w:sz w:val="22"/>
          <w:szCs w:val="22"/>
        </w:rPr>
        <w:t xml:space="preserve">: </w:t>
      </w:r>
    </w:p>
    <w:p w14:paraId="551A90B3" w14:textId="77777777" w:rsidR="00B71AF3" w:rsidRPr="005B5134" w:rsidRDefault="00112D67">
      <w:pPr>
        <w:ind w:left="567" w:right="618"/>
        <w:jc w:val="both"/>
        <w:rPr>
          <w:rFonts w:ascii="Palatino Linotype" w:eastAsia="Palatino Linotype" w:hAnsi="Palatino Linotype" w:cs="Palatino Linotype"/>
          <w:i/>
          <w:sz w:val="22"/>
          <w:szCs w:val="22"/>
          <w:u w:val="single"/>
        </w:rPr>
      </w:pPr>
      <w:r w:rsidRPr="005B5134">
        <w:rPr>
          <w:rFonts w:ascii="Palatino Linotype" w:eastAsia="Palatino Linotype" w:hAnsi="Palatino Linotype" w:cs="Palatino Linotype"/>
          <w:b/>
          <w:i/>
          <w:sz w:val="22"/>
          <w:szCs w:val="22"/>
          <w:u w:val="single"/>
        </w:rPr>
        <w:t>I. La o el Presidente Municipal, quien lo presidirá;</w:t>
      </w:r>
      <w:r w:rsidRPr="005B5134">
        <w:rPr>
          <w:rFonts w:ascii="Palatino Linotype" w:eastAsia="Palatino Linotype" w:hAnsi="Palatino Linotype" w:cs="Palatino Linotype"/>
          <w:i/>
          <w:sz w:val="22"/>
          <w:szCs w:val="22"/>
          <w:u w:val="single"/>
        </w:rPr>
        <w:t xml:space="preserve"> </w:t>
      </w:r>
    </w:p>
    <w:p w14:paraId="772E08B4"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II. La o el Coordinador; Regidor de Salud del H Ayuntamiento; </w:t>
      </w:r>
    </w:p>
    <w:p w14:paraId="3C10CDE3"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III. La Secretaria Técnica o el Secretario Técnico, Director del Instituto Mexiquense contra las Adicciones; y </w:t>
      </w:r>
    </w:p>
    <w:p w14:paraId="6BB757E7"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IV. Las y los Vocales con derecho a voz y voto quienes serán los titulares que se considere necesarios de acuerdo a la normatividad aplicable.</w:t>
      </w:r>
    </w:p>
    <w:p w14:paraId="73B41BF8"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5FA1FE3D" w14:textId="77777777" w:rsidR="00B71AF3" w:rsidRPr="005B5134" w:rsidRDefault="00112D67">
      <w:pPr>
        <w:ind w:left="567" w:right="618"/>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 xml:space="preserve">Artículo 9.- Corresponde al Presidente o Presidenta del COMCA: </w:t>
      </w:r>
    </w:p>
    <w:p w14:paraId="64A361D2" w14:textId="77777777" w:rsidR="00B71AF3" w:rsidRPr="005B5134" w:rsidRDefault="00112D67">
      <w:pPr>
        <w:ind w:left="567" w:right="618"/>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I. Presidir las sesiones</w:t>
      </w:r>
      <w:r w:rsidRPr="005B5134">
        <w:rPr>
          <w:rFonts w:ascii="Palatino Linotype" w:eastAsia="Palatino Linotype" w:hAnsi="Palatino Linotype" w:cs="Palatino Linotype"/>
          <w:i/>
          <w:sz w:val="22"/>
          <w:szCs w:val="22"/>
        </w:rPr>
        <w:t xml:space="preserve"> y conducir los debates y deliberaciones del Comité…” (Sic)</w:t>
      </w:r>
    </w:p>
    <w:p w14:paraId="6AEC9233" w14:textId="77777777" w:rsidR="00B71AF3" w:rsidRPr="005B5134" w:rsidRDefault="00B71AF3">
      <w:pPr>
        <w:spacing w:line="360" w:lineRule="auto"/>
        <w:jc w:val="both"/>
        <w:rPr>
          <w:rFonts w:ascii="Palatino Linotype" w:eastAsia="Palatino Linotype" w:hAnsi="Palatino Linotype" w:cs="Palatino Linotype"/>
        </w:rPr>
      </w:pPr>
    </w:p>
    <w:p w14:paraId="10B1915C"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donde el Presidente Municipal de Ecatepec de Morelos, será el que presidirá al Comité Municipal Contra las Adicciones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es decir, su fungirá </w:t>
      </w:r>
      <w:r w:rsidRPr="005B5134">
        <w:rPr>
          <w:rFonts w:ascii="Palatino Linotype" w:eastAsia="Palatino Linotype" w:hAnsi="Palatino Linotype" w:cs="Palatino Linotype"/>
        </w:rPr>
        <w:lastRenderedPageBreak/>
        <w:t xml:space="preserve">como titular de esté así como presidir las sesiones y conducir los debates y deliberaciones del Comité. </w:t>
      </w:r>
    </w:p>
    <w:p w14:paraId="07224061" w14:textId="77777777" w:rsidR="00B71AF3" w:rsidRPr="005B5134" w:rsidRDefault="00B71AF3">
      <w:pPr>
        <w:spacing w:line="360" w:lineRule="auto"/>
        <w:jc w:val="both"/>
        <w:rPr>
          <w:rFonts w:ascii="Palatino Linotype" w:eastAsia="Palatino Linotype" w:hAnsi="Palatino Linotype" w:cs="Palatino Linotype"/>
        </w:rPr>
      </w:pPr>
    </w:p>
    <w:p w14:paraId="480C876E"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ese sentido, regresando con la respuesta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solo se avocó a referir que era incompetente de conocer la información solicitada a través de un servidor público habilitado que no es competente para conocer de la misma, a saber la Titular de la Unidad de Transparencia, por lo que es necesario hacer referencia al </w:t>
      </w:r>
      <w:r w:rsidRPr="005B5134">
        <w:rPr>
          <w:rFonts w:ascii="Palatino Linotype" w:eastAsia="Palatino Linotype" w:hAnsi="Palatino Linotype" w:cs="Palatino Linotype"/>
          <w:b/>
        </w:rPr>
        <w:t>procedimiento de búsqueda que deben de seguir los Sujetos Obligados para localizar la información</w:t>
      </w:r>
      <w:r w:rsidRPr="005B5134">
        <w:rPr>
          <w:rFonts w:ascii="Palatino Linotype" w:eastAsia="Palatino Linotype" w:hAnsi="Palatino Linotype" w:cs="Palatino Linotype"/>
        </w:rPr>
        <w:t>, el cual se encuentra previsto en los artículos 160 y 162 de la Ley de Transparencia y Acceso a la Información Pública del Estado de México y Municipios, mismo que es el siguiente:</w:t>
      </w:r>
    </w:p>
    <w:p w14:paraId="23B457A9" w14:textId="77777777" w:rsidR="00B71AF3" w:rsidRPr="005B5134" w:rsidRDefault="00B71AF3">
      <w:pPr>
        <w:rPr>
          <w:rFonts w:ascii="Palatino Linotype" w:eastAsia="Palatino Linotype" w:hAnsi="Palatino Linotype" w:cs="Palatino Linotype"/>
        </w:rPr>
      </w:pPr>
    </w:p>
    <w:p w14:paraId="5893B9EC" w14:textId="77777777" w:rsidR="00B71AF3" w:rsidRPr="005B5134" w:rsidRDefault="00112D67">
      <w:pPr>
        <w:numPr>
          <w:ilvl w:val="0"/>
          <w:numId w:val="6"/>
        </w:num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650702C" w14:textId="77777777" w:rsidR="00B71AF3" w:rsidRPr="005B5134" w:rsidRDefault="00B71AF3">
      <w:pPr>
        <w:rPr>
          <w:rFonts w:ascii="Palatino Linotype" w:eastAsia="Palatino Linotype" w:hAnsi="Palatino Linotype" w:cs="Palatino Linotype"/>
        </w:rPr>
      </w:pPr>
    </w:p>
    <w:p w14:paraId="46EC0EDE" w14:textId="77777777" w:rsidR="00B71AF3" w:rsidRPr="005B5134" w:rsidRDefault="00112D67">
      <w:pPr>
        <w:numPr>
          <w:ilvl w:val="0"/>
          <w:numId w:val="6"/>
        </w:num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9032E0B" w14:textId="77777777" w:rsidR="00B71AF3" w:rsidRPr="005B5134" w:rsidRDefault="00B71AF3">
      <w:pPr>
        <w:rPr>
          <w:b/>
        </w:rPr>
      </w:pPr>
    </w:p>
    <w:p w14:paraId="3A0A3C34"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Así, este Órgano Garante considera que el Sujeto Obligado no cumplió con el procedimiento de búsqueda exhaustiva y razonable, pues no gestionó la solicitud de información en las diversas unidades en donde pudiera obrar la citada información, la </w:t>
      </w:r>
      <w:r w:rsidRPr="005B5134">
        <w:rPr>
          <w:rFonts w:ascii="Palatino Linotype" w:eastAsia="Palatino Linotype" w:hAnsi="Palatino Linotype" w:cs="Palatino Linotype"/>
        </w:rPr>
        <w:lastRenderedPageBreak/>
        <w:t>cual de manera enunciativa mas no limitativa puede ser la propia Presidencia; o cualquier área donde de acuerdo a sus facultades se cuente con la información solicitada, tal como puede advertirse en las facultades de las áreas señaladas, mismas que se insertan a continuación:</w:t>
      </w:r>
    </w:p>
    <w:p w14:paraId="35B4796C" w14:textId="77777777" w:rsidR="00B71AF3" w:rsidRPr="005B5134" w:rsidRDefault="00B71AF3">
      <w:pPr>
        <w:spacing w:line="360" w:lineRule="auto"/>
        <w:jc w:val="both"/>
        <w:rPr>
          <w:rFonts w:ascii="Palatino Linotype" w:eastAsia="Palatino Linotype" w:hAnsi="Palatino Linotype" w:cs="Palatino Linotype"/>
        </w:rPr>
      </w:pPr>
    </w:p>
    <w:p w14:paraId="67A2F89A" w14:textId="77777777" w:rsidR="00B71AF3" w:rsidRPr="005B5134" w:rsidRDefault="00112D67">
      <w:pPr>
        <w:ind w:left="567" w:right="822"/>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“REGLAMENTO INTERNO DE LA ADMINISTRACIÓN PÚBLICA MUNICIPAL DE ECATEPEC DE MORELOS VIGENTE</w:t>
      </w:r>
    </w:p>
    <w:p w14:paraId="72281A03" w14:textId="77777777" w:rsidR="00B71AF3" w:rsidRPr="005B5134" w:rsidRDefault="00B71AF3">
      <w:pPr>
        <w:ind w:left="567" w:right="822"/>
        <w:jc w:val="both"/>
        <w:rPr>
          <w:rFonts w:ascii="Palatino Linotype" w:eastAsia="Palatino Linotype" w:hAnsi="Palatino Linotype" w:cs="Palatino Linotype"/>
          <w:b/>
          <w:i/>
          <w:sz w:val="22"/>
          <w:szCs w:val="22"/>
        </w:rPr>
      </w:pPr>
    </w:p>
    <w:p w14:paraId="077ADEC7" w14:textId="77777777" w:rsidR="00B71AF3" w:rsidRPr="005B5134" w:rsidRDefault="00112D67">
      <w:pPr>
        <w:ind w:left="567" w:right="822"/>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Artículo 12. El Presidente Municipal, como responsable ejecutivo del Gobierno Municipal, además de las atribuciones que le señala la Ley Orgánica Municipal del Estado de México, tendrá las siguientes:</w:t>
      </w:r>
    </w:p>
    <w:p w14:paraId="0FC12B2C" w14:textId="77777777" w:rsidR="00B71AF3" w:rsidRPr="005B5134" w:rsidRDefault="00112D67">
      <w:pPr>
        <w:ind w:left="567" w:right="822"/>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00A1F747" w14:textId="77777777" w:rsidR="00B71AF3" w:rsidRPr="005B5134" w:rsidRDefault="00112D67">
      <w:pPr>
        <w:ind w:left="567" w:right="822"/>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VIII. Crear, previo acuerdo del H. Ayuntamiento, consejos, </w:t>
      </w:r>
      <w:r w:rsidRPr="005B5134">
        <w:rPr>
          <w:rFonts w:ascii="Palatino Linotype" w:eastAsia="Palatino Linotype" w:hAnsi="Palatino Linotype" w:cs="Palatino Linotype"/>
          <w:b/>
          <w:i/>
          <w:sz w:val="22"/>
          <w:szCs w:val="22"/>
        </w:rPr>
        <w:t>comités</w:t>
      </w:r>
      <w:r w:rsidRPr="005B5134">
        <w:rPr>
          <w:rFonts w:ascii="Palatino Linotype" w:eastAsia="Palatino Linotype" w:hAnsi="Palatino Linotype" w:cs="Palatino Linotype"/>
          <w:i/>
          <w:sz w:val="22"/>
          <w:szCs w:val="22"/>
        </w:rPr>
        <w:t xml:space="preserve"> y comisiones u otros órganos colegiados asignándoles las funciones previstas por los ordenamientos aplicables, siendo éstos auxiliares de la Administración Pública Municipal, que deberán coordinar sus acciones con las dependencias y entidades competentes; asimismo presidir los órganos colegiados que le asignen las leyes, los reglamentos, otros ordenamientos y el H. Ayuntamiento…”</w:t>
      </w:r>
    </w:p>
    <w:p w14:paraId="60980C6C" w14:textId="77777777" w:rsidR="00B71AF3" w:rsidRPr="005B5134" w:rsidRDefault="00B71AF3"/>
    <w:p w14:paraId="44217CD4" w14:textId="77777777" w:rsidR="00B71AF3" w:rsidRPr="005B5134" w:rsidRDefault="00112D67">
      <w:pPr>
        <w:spacing w:before="280" w:after="28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Por consiguiente, la respuesta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careció del principio de congruencia y exhaustividad, como refuerzo de lo anterior, resulta crucial el Criterio 02/17, emitido por el Pleno del Instituto Nacional de Transparencia y Acceso a la Información y Protección de Datos Personales, de título y texto siguientes:</w:t>
      </w:r>
    </w:p>
    <w:p w14:paraId="53BE9E0B" w14:textId="77777777" w:rsidR="00B71AF3" w:rsidRPr="005B5134" w:rsidRDefault="00112D67">
      <w:pPr>
        <w:pBdr>
          <w:top w:val="nil"/>
          <w:left w:val="nil"/>
          <w:bottom w:val="nil"/>
          <w:right w:val="nil"/>
          <w:between w:val="nil"/>
        </w:pBdr>
        <w:spacing w:before="80" w:after="240"/>
        <w:ind w:left="567" w:right="900"/>
        <w:jc w:val="both"/>
      </w:pPr>
      <w:r w:rsidRPr="005B5134">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B5134">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B5134">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B5134">
        <w:rPr>
          <w:rFonts w:ascii="Palatino Linotype" w:eastAsia="Palatino Linotype" w:hAnsi="Palatino Linotype" w:cs="Palatino Linotype"/>
          <w:i/>
          <w:sz w:val="22"/>
          <w:szCs w:val="22"/>
        </w:rPr>
        <w:t xml:space="preserve">; mientras que la exhaustividad significa que dicha respuesta se refiera expresamente a cada uno de los puntos </w:t>
      </w:r>
      <w:r w:rsidRPr="005B5134">
        <w:rPr>
          <w:rFonts w:ascii="Palatino Linotype" w:eastAsia="Palatino Linotype" w:hAnsi="Palatino Linotype" w:cs="Palatino Linotype"/>
          <w:i/>
          <w:sz w:val="22"/>
          <w:szCs w:val="22"/>
        </w:rPr>
        <w:lastRenderedPageBreak/>
        <w:t>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52C1DB58" w14:textId="77777777" w:rsidR="00B71AF3" w:rsidRPr="005B5134" w:rsidRDefault="00112D67">
      <w:pPr>
        <w:spacing w:before="280" w:after="28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En esa tesitura, se concluye que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no colmo el derecho de acceso a la información de la parte RECURRENTE, al incumplir dicho principio, pues al no turnar la solicitud de información a todas las áreas que pudieran tener la información, éstas omitieron pronunciarse respecto a la información requerida, lo cual da como resultado que el agravio sea FUNDADO.</w:t>
      </w:r>
    </w:p>
    <w:p w14:paraId="7208A684" w14:textId="77777777" w:rsidR="00B71AF3" w:rsidRPr="005B5134" w:rsidRDefault="00112D67">
      <w:pPr>
        <w:spacing w:before="280" w:after="28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Por tales circunstancias, se considera que, para atender el requerimiento de información,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deberá realizar una búsqueda exhaustiva y razonable, en todos los archivos de las áreas competentes, a efecto de que proporcionen la información solicitada por la parte R</w:t>
      </w:r>
      <w:r w:rsidRPr="005B5134">
        <w:rPr>
          <w:rFonts w:ascii="Palatino Linotype" w:eastAsia="Palatino Linotype" w:hAnsi="Palatino Linotype" w:cs="Palatino Linotype"/>
          <w:b/>
        </w:rPr>
        <w:t>ECURRENTE</w:t>
      </w:r>
      <w:r w:rsidRPr="005B5134">
        <w:rPr>
          <w:rFonts w:ascii="Palatino Linotype" w:eastAsia="Palatino Linotype" w:hAnsi="Palatino Linotype" w:cs="Palatino Linotype"/>
        </w:rPr>
        <w:t>.</w:t>
      </w:r>
    </w:p>
    <w:p w14:paraId="50E91734" w14:textId="77777777" w:rsidR="00B71AF3" w:rsidRPr="005B5134" w:rsidRDefault="00112D67">
      <w:pPr>
        <w:spacing w:before="280" w:after="28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Por último y no menos importante, no pasa desapercibido para este Órgano Garante, que de la consulta a la página del Instituto Mexiquense de la Salud Mental Contra las Adicciones, el Comité Municipal Contra las Adicciones de Ecatepec de Morelos de la administración pública 2022-2024, se instaló el diecisiete de febrero de dos mil veintidós como se observa en la siguiente imagen:</w:t>
      </w:r>
      <w:r w:rsidRPr="005B5134">
        <w:rPr>
          <w:noProof/>
        </w:rPr>
        <mc:AlternateContent>
          <mc:Choice Requires="wpg">
            <w:drawing>
              <wp:anchor distT="0" distB="0" distL="114300" distR="114300" simplePos="0" relativeHeight="251659264" behindDoc="0" locked="0" layoutInCell="1" hidden="0" allowOverlap="1" wp14:anchorId="60CDD2D1" wp14:editId="531D814E">
                <wp:simplePos x="0" y="0"/>
                <wp:positionH relativeFrom="column">
                  <wp:posOffset>38101</wp:posOffset>
                </wp:positionH>
                <wp:positionV relativeFrom="paragraph">
                  <wp:posOffset>1511300</wp:posOffset>
                </wp:positionV>
                <wp:extent cx="5905500" cy="2012950"/>
                <wp:effectExtent l="0" t="0" r="0" b="0"/>
                <wp:wrapNone/>
                <wp:docPr id="1970299343" name="Conector recto de flecha 1970299343"/>
                <wp:cNvGraphicFramePr/>
                <a:graphic xmlns:a="http://schemas.openxmlformats.org/drawingml/2006/main">
                  <a:graphicData uri="http://schemas.microsoft.com/office/word/2010/wordprocessingShape">
                    <wps:wsp>
                      <wps:cNvCnPr/>
                      <wps:spPr>
                        <a:xfrm>
                          <a:off x="2402775" y="2783050"/>
                          <a:ext cx="5886450" cy="19939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38101</wp:posOffset>
                </wp:positionH>
                <wp:positionV relativeFrom="paragraph">
                  <wp:posOffset>1511300</wp:posOffset>
                </wp:positionV>
                <wp:extent cx="5905500" cy="2012950"/>
                <wp:effectExtent b="0" l="0" r="0" t="0"/>
                <wp:wrapNone/>
                <wp:docPr id="1970299343"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5905500" cy="2012950"/>
                        </a:xfrm>
                        <a:prstGeom prst="rect"/>
                        <a:ln/>
                      </pic:spPr>
                    </pic:pic>
                  </a:graphicData>
                </a:graphic>
              </wp:anchor>
            </w:drawing>
          </mc:Fallback>
        </mc:AlternateContent>
      </w:r>
    </w:p>
    <w:p w14:paraId="192C0C78" w14:textId="77777777" w:rsidR="00B71AF3" w:rsidRPr="005B5134" w:rsidRDefault="00B71AF3">
      <w:pPr>
        <w:spacing w:before="280" w:after="280" w:line="360" w:lineRule="auto"/>
        <w:jc w:val="both"/>
        <w:rPr>
          <w:rFonts w:ascii="Palatino Linotype" w:eastAsia="Palatino Linotype" w:hAnsi="Palatino Linotype" w:cs="Palatino Linotype"/>
        </w:rPr>
      </w:pPr>
    </w:p>
    <w:p w14:paraId="49E7249F" w14:textId="77777777" w:rsidR="00B71AF3" w:rsidRPr="005B5134" w:rsidRDefault="00B71AF3">
      <w:pPr>
        <w:spacing w:before="280" w:after="280" w:line="360" w:lineRule="auto"/>
        <w:jc w:val="both"/>
        <w:rPr>
          <w:rFonts w:ascii="Palatino Linotype" w:eastAsia="Palatino Linotype" w:hAnsi="Palatino Linotype" w:cs="Palatino Linotype"/>
        </w:rPr>
      </w:pPr>
    </w:p>
    <w:p w14:paraId="4374B71C" w14:textId="77777777" w:rsidR="00B71AF3" w:rsidRPr="005B5134" w:rsidRDefault="00B71AF3">
      <w:pPr>
        <w:spacing w:before="280" w:after="280" w:line="360" w:lineRule="auto"/>
        <w:jc w:val="both"/>
        <w:rPr>
          <w:rFonts w:ascii="Palatino Linotype" w:eastAsia="Palatino Linotype" w:hAnsi="Palatino Linotype" w:cs="Palatino Linotype"/>
        </w:rPr>
      </w:pPr>
    </w:p>
    <w:p w14:paraId="6FA194B8" w14:textId="77777777" w:rsidR="00B71AF3" w:rsidRPr="005B5134" w:rsidRDefault="00B71AF3">
      <w:pPr>
        <w:spacing w:before="280" w:after="280" w:line="360" w:lineRule="auto"/>
        <w:jc w:val="both"/>
        <w:rPr>
          <w:rFonts w:ascii="Palatino Linotype" w:eastAsia="Palatino Linotype" w:hAnsi="Palatino Linotype" w:cs="Palatino Linotype"/>
        </w:rPr>
      </w:pPr>
    </w:p>
    <w:p w14:paraId="24D35819" w14:textId="77777777" w:rsidR="00B71AF3" w:rsidRPr="005B5134" w:rsidRDefault="00112D67">
      <w:pPr>
        <w:pBdr>
          <w:top w:val="nil"/>
          <w:left w:val="nil"/>
          <w:bottom w:val="nil"/>
          <w:right w:val="nil"/>
          <w:between w:val="nil"/>
        </w:pBdr>
        <w:ind w:left="708" w:right="-93"/>
      </w:pPr>
      <w:r w:rsidRPr="005B5134">
        <w:rPr>
          <w:noProof/>
        </w:rPr>
        <w:lastRenderedPageBreak/>
        <mc:AlternateContent>
          <mc:Choice Requires="wpg">
            <w:drawing>
              <wp:anchor distT="0" distB="0" distL="114300" distR="114300" simplePos="0" relativeHeight="251660288" behindDoc="0" locked="0" layoutInCell="1" hidden="0" allowOverlap="1" wp14:anchorId="2DF65DF6" wp14:editId="5F7F6AED">
                <wp:simplePos x="0" y="0"/>
                <wp:positionH relativeFrom="column">
                  <wp:posOffset>228600</wp:posOffset>
                </wp:positionH>
                <wp:positionV relativeFrom="paragraph">
                  <wp:posOffset>63500</wp:posOffset>
                </wp:positionV>
                <wp:extent cx="4886325" cy="1133475"/>
                <wp:effectExtent l="0" t="0" r="0" b="0"/>
                <wp:wrapNone/>
                <wp:docPr id="1970299346" name="Rectángulo redondeado 1970299346"/>
                <wp:cNvGraphicFramePr/>
                <a:graphic xmlns:a="http://schemas.openxmlformats.org/drawingml/2006/main">
                  <a:graphicData uri="http://schemas.microsoft.com/office/word/2010/wordprocessingShape">
                    <wps:wsp>
                      <wps:cNvSpPr/>
                      <wps:spPr>
                        <a:xfrm>
                          <a:off x="2931413" y="3241838"/>
                          <a:ext cx="4829175" cy="1076325"/>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5C84F979" w14:textId="77777777" w:rsidR="00B71AF3" w:rsidRDefault="00B71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228600</wp:posOffset>
                </wp:positionH>
                <wp:positionV relativeFrom="paragraph">
                  <wp:posOffset>63500</wp:posOffset>
                </wp:positionV>
                <wp:extent cx="4886325" cy="1133475"/>
                <wp:effectExtent b="0" l="0" r="0" t="0"/>
                <wp:wrapNone/>
                <wp:docPr id="197029934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4886325" cy="1133475"/>
                        </a:xfrm>
                        <a:prstGeom prst="rect"/>
                        <a:ln/>
                      </pic:spPr>
                    </pic:pic>
                  </a:graphicData>
                </a:graphic>
              </wp:anchor>
            </w:drawing>
          </mc:Fallback>
        </mc:AlternateContent>
      </w:r>
    </w:p>
    <w:p w14:paraId="5AE7774B" w14:textId="77777777" w:rsidR="00B71AF3" w:rsidRPr="005B5134" w:rsidRDefault="00112D67">
      <w:pPr>
        <w:pBdr>
          <w:top w:val="nil"/>
          <w:left w:val="nil"/>
          <w:bottom w:val="nil"/>
          <w:right w:val="nil"/>
          <w:between w:val="nil"/>
        </w:pBdr>
        <w:ind w:left="708" w:right="-93"/>
      </w:pPr>
      <w:r w:rsidRPr="005B5134">
        <w:rPr>
          <w:noProof/>
        </w:rPr>
        <w:drawing>
          <wp:inline distT="0" distB="0" distL="0" distR="0" wp14:anchorId="3635E7A8" wp14:editId="4D04DE8A">
            <wp:extent cx="4962525" cy="1409700"/>
            <wp:effectExtent l="0" t="0" r="0" b="0"/>
            <wp:docPr id="19702993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962525" cy="1409700"/>
                    </a:xfrm>
                    <a:prstGeom prst="rect">
                      <a:avLst/>
                    </a:prstGeom>
                    <a:ln/>
                  </pic:spPr>
                </pic:pic>
              </a:graphicData>
            </a:graphic>
          </wp:inline>
        </w:drawing>
      </w:r>
    </w:p>
    <w:p w14:paraId="7CD86BA2" w14:textId="77777777" w:rsidR="00B71AF3" w:rsidRPr="005B5134" w:rsidRDefault="00112D67">
      <w:pPr>
        <w:pBdr>
          <w:top w:val="nil"/>
          <w:left w:val="nil"/>
          <w:bottom w:val="nil"/>
          <w:right w:val="nil"/>
          <w:between w:val="nil"/>
        </w:pBdr>
        <w:ind w:left="708" w:right="-93"/>
      </w:pPr>
      <w:r w:rsidRPr="005B5134">
        <w:rPr>
          <w:noProof/>
        </w:rPr>
        <w:drawing>
          <wp:inline distT="0" distB="0" distL="0" distR="0" wp14:anchorId="4EDA2B0D" wp14:editId="22B2602D">
            <wp:extent cx="5172075" cy="1352550"/>
            <wp:effectExtent l="0" t="0" r="0" b="0"/>
            <wp:docPr id="19702993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172075" cy="1352550"/>
                    </a:xfrm>
                    <a:prstGeom prst="rect">
                      <a:avLst/>
                    </a:prstGeom>
                    <a:ln/>
                  </pic:spPr>
                </pic:pic>
              </a:graphicData>
            </a:graphic>
          </wp:inline>
        </w:drawing>
      </w:r>
      <w:r w:rsidRPr="005B5134">
        <w:rPr>
          <w:noProof/>
        </w:rPr>
        <mc:AlternateContent>
          <mc:Choice Requires="wpg">
            <w:drawing>
              <wp:anchor distT="0" distB="0" distL="114300" distR="114300" simplePos="0" relativeHeight="251661312" behindDoc="0" locked="0" layoutInCell="1" hidden="0" allowOverlap="1" wp14:anchorId="302058A5" wp14:editId="63F5718E">
                <wp:simplePos x="0" y="0"/>
                <wp:positionH relativeFrom="column">
                  <wp:posOffset>215900</wp:posOffset>
                </wp:positionH>
                <wp:positionV relativeFrom="paragraph">
                  <wp:posOffset>330200</wp:posOffset>
                </wp:positionV>
                <wp:extent cx="5391150" cy="476250"/>
                <wp:effectExtent l="0" t="0" r="0" b="0"/>
                <wp:wrapNone/>
                <wp:docPr id="1970299345" name="Rectángulo redondeado 1970299345"/>
                <wp:cNvGraphicFramePr/>
                <a:graphic xmlns:a="http://schemas.openxmlformats.org/drawingml/2006/main">
                  <a:graphicData uri="http://schemas.microsoft.com/office/word/2010/wordprocessingShape">
                    <wps:wsp>
                      <wps:cNvSpPr/>
                      <wps:spPr>
                        <a:xfrm>
                          <a:off x="2679000" y="3570450"/>
                          <a:ext cx="5334000" cy="419100"/>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27E4FD06" w14:textId="77777777" w:rsidR="00B71AF3" w:rsidRDefault="00B71AF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5391150" cy="476250"/>
                <wp:effectExtent b="0" l="0" r="0" t="0"/>
                <wp:wrapNone/>
                <wp:docPr id="1970299345"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5391150" cy="476250"/>
                        </a:xfrm>
                        <a:prstGeom prst="rect"/>
                        <a:ln/>
                      </pic:spPr>
                    </pic:pic>
                  </a:graphicData>
                </a:graphic>
              </wp:anchor>
            </w:drawing>
          </mc:Fallback>
        </mc:AlternateContent>
      </w:r>
    </w:p>
    <w:p w14:paraId="15A61B91" w14:textId="77777777" w:rsidR="00B71AF3" w:rsidRPr="005B5134" w:rsidRDefault="00B71AF3">
      <w:pPr>
        <w:pBdr>
          <w:top w:val="nil"/>
          <w:left w:val="nil"/>
          <w:bottom w:val="nil"/>
          <w:right w:val="nil"/>
          <w:between w:val="nil"/>
        </w:pBdr>
        <w:ind w:left="708" w:right="-93"/>
      </w:pPr>
    </w:p>
    <w:p w14:paraId="207C4AF1"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Razones por las cuales lo procedente es ordenar al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entregue el documento o documentos en donde conste lo siguiente:</w:t>
      </w:r>
    </w:p>
    <w:p w14:paraId="5B53BB0B" w14:textId="77777777" w:rsidR="00B71AF3" w:rsidRPr="005B5134" w:rsidRDefault="00B71AF3">
      <w:pPr>
        <w:spacing w:line="360" w:lineRule="auto"/>
        <w:jc w:val="both"/>
        <w:rPr>
          <w:rFonts w:ascii="Palatino Linotype" w:eastAsia="Palatino Linotype" w:hAnsi="Palatino Linotype" w:cs="Palatino Linotype"/>
        </w:rPr>
      </w:pPr>
    </w:p>
    <w:p w14:paraId="363B7761" w14:textId="77777777" w:rsidR="00B71AF3" w:rsidRPr="005B5134" w:rsidRDefault="00112D6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Del Comité Municipal de Adicciones del primero de enero al treinta y uno de diciembre del año 2018:</w:t>
      </w:r>
    </w:p>
    <w:p w14:paraId="225F8AAC" w14:textId="77777777" w:rsidR="00B71AF3" w:rsidRPr="005B5134" w:rsidRDefault="00112D67">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Última convocatoria emitida para su integración.</w:t>
      </w:r>
    </w:p>
    <w:p w14:paraId="4657B86F" w14:textId="77777777" w:rsidR="00B71AF3" w:rsidRPr="005B5134" w:rsidRDefault="00112D67">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Los Resultados del proceso de selección de los integrantes, en donde se pueda apreciar el nombre, organización, institución y/o territorio que representan.</w:t>
      </w:r>
    </w:p>
    <w:p w14:paraId="2E4B4CE6" w14:textId="77777777" w:rsidR="00B71AF3" w:rsidRPr="005B5134" w:rsidRDefault="00112D67">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Acta de instalación.</w:t>
      </w:r>
    </w:p>
    <w:p w14:paraId="19D1CD7A" w14:textId="77777777" w:rsidR="00B71AF3" w:rsidRPr="005B5134" w:rsidRDefault="00112D6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Del Comité Municipal de Adicciones del primero de enero al treinta de mayo del año 2024.</w:t>
      </w:r>
    </w:p>
    <w:p w14:paraId="20C48475" w14:textId="77777777" w:rsidR="00B71AF3" w:rsidRPr="005B5134" w:rsidRDefault="00112D67">
      <w:pPr>
        <w:numPr>
          <w:ilvl w:val="1"/>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Última convocatoria emitida para su integración.</w:t>
      </w:r>
    </w:p>
    <w:p w14:paraId="2E1A4CC1" w14:textId="77777777" w:rsidR="00B71AF3" w:rsidRPr="005B5134" w:rsidRDefault="00112D67">
      <w:pPr>
        <w:numPr>
          <w:ilvl w:val="1"/>
          <w:numId w:val="1"/>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Los Resultados del proceso de selección de los integrantes, en donde se pueda apreciar el nombre, organización, institución y/o territorio que representan.</w:t>
      </w:r>
    </w:p>
    <w:p w14:paraId="41FF5032" w14:textId="77777777" w:rsidR="00B71AF3" w:rsidRPr="005B5134" w:rsidRDefault="00112D67">
      <w:pPr>
        <w:numPr>
          <w:ilvl w:val="1"/>
          <w:numId w:val="1"/>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Acta de instalación vigente al 30 de mayo del 2024.</w:t>
      </w:r>
    </w:p>
    <w:p w14:paraId="7AB45DF6" w14:textId="77777777" w:rsidR="00B71AF3" w:rsidRPr="005B5134" w:rsidRDefault="00112D67">
      <w:pPr>
        <w:numPr>
          <w:ilvl w:val="1"/>
          <w:numId w:val="1"/>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Productos elaborados por ejemplo, propuestas, programas, recomendaciones, opiniones, posicionamientos, observaciones, denuncias.</w:t>
      </w:r>
    </w:p>
    <w:p w14:paraId="7485915D" w14:textId="77777777" w:rsidR="00B71AF3" w:rsidRPr="005B5134" w:rsidRDefault="00112D67">
      <w:pPr>
        <w:numPr>
          <w:ilvl w:val="1"/>
          <w:numId w:val="1"/>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Informes de actividades y/o resultados.</w:t>
      </w:r>
    </w:p>
    <w:p w14:paraId="4326854F" w14:textId="77777777" w:rsidR="00B71AF3" w:rsidRPr="005B5134" w:rsidRDefault="00B71AF3">
      <w:pPr>
        <w:spacing w:line="360" w:lineRule="auto"/>
        <w:jc w:val="both"/>
        <w:rPr>
          <w:rFonts w:ascii="Palatino Linotype" w:eastAsia="Palatino Linotype" w:hAnsi="Palatino Linotype" w:cs="Palatino Linotype"/>
        </w:rPr>
      </w:pPr>
    </w:p>
    <w:p w14:paraId="37D51086"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En versión pública de ser procedente conforme a lo señalado por el considerando quinto del presente fallo.</w:t>
      </w:r>
    </w:p>
    <w:p w14:paraId="03E7C2F2" w14:textId="77777777" w:rsidR="00B71AF3" w:rsidRPr="005B5134" w:rsidRDefault="00B71AF3">
      <w:pPr>
        <w:spacing w:line="360" w:lineRule="auto"/>
        <w:jc w:val="both"/>
        <w:rPr>
          <w:rFonts w:ascii="Palatino Linotype" w:eastAsia="Palatino Linotype" w:hAnsi="Palatino Linotype" w:cs="Palatino Linotype"/>
        </w:rPr>
      </w:pPr>
    </w:p>
    <w:p w14:paraId="6D2E5E5B"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Para el caso que derivado de la búsqueda exhaustiva y razonable no localice la información que se ordena en los puntos 1.1., 1.2., 2.1., 2.2. y 2.4., bastará que así se lo haga saber a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en términos de lo señalado por el segundo párrafo del artículo 19 de la Ley de Transparencia y Acceso a la Información Pública del Estado de México y Municipios, para tener por colmado su derecho de acceso a la información, que dispone lo siguiente:</w:t>
      </w:r>
    </w:p>
    <w:p w14:paraId="26E6BBDA" w14:textId="77777777" w:rsidR="00B71AF3" w:rsidRPr="005B5134" w:rsidRDefault="00B71AF3">
      <w:pPr>
        <w:spacing w:line="360" w:lineRule="auto"/>
        <w:jc w:val="both"/>
        <w:rPr>
          <w:rFonts w:ascii="Palatino Linotype" w:eastAsia="Palatino Linotype" w:hAnsi="Palatino Linotype" w:cs="Palatino Linotype"/>
        </w:rPr>
      </w:pPr>
    </w:p>
    <w:p w14:paraId="7CC15828" w14:textId="77777777" w:rsidR="00B71AF3" w:rsidRPr="005B5134" w:rsidRDefault="00112D67">
      <w:pPr>
        <w:spacing w:line="276" w:lineRule="auto"/>
        <w:ind w:left="567" w:right="900"/>
        <w:jc w:val="both"/>
        <w:rPr>
          <w:rFonts w:ascii="Palatino Linotype" w:eastAsia="Palatino Linotype" w:hAnsi="Palatino Linotype" w:cs="Palatino Linotype"/>
          <w:i/>
        </w:rPr>
      </w:pPr>
      <w:r w:rsidRPr="005B5134">
        <w:rPr>
          <w:rFonts w:ascii="Palatino Linotype" w:eastAsia="Palatino Linotype" w:hAnsi="Palatino Linotype" w:cs="Palatino Linotype"/>
          <w:i/>
        </w:rPr>
        <w:t>“Artículo 19…</w:t>
      </w:r>
    </w:p>
    <w:p w14:paraId="205FFF0E" w14:textId="77777777" w:rsidR="00B71AF3" w:rsidRPr="005B5134" w:rsidRDefault="00112D67">
      <w:pPr>
        <w:spacing w:line="276" w:lineRule="auto"/>
        <w:ind w:left="567" w:right="900"/>
        <w:jc w:val="both"/>
        <w:rPr>
          <w:rFonts w:ascii="Palatino Linotype" w:eastAsia="Palatino Linotype" w:hAnsi="Palatino Linotype" w:cs="Palatino Linotype"/>
          <w:i/>
        </w:rPr>
      </w:pPr>
      <w:r w:rsidRPr="005B5134">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1DC86D9E" w14:textId="77777777" w:rsidR="00B71AF3" w:rsidRPr="005B5134" w:rsidRDefault="00B71AF3">
      <w:pPr>
        <w:spacing w:line="276" w:lineRule="auto"/>
        <w:ind w:left="567" w:right="900"/>
        <w:jc w:val="both"/>
        <w:rPr>
          <w:rFonts w:ascii="Palatino Linotype" w:eastAsia="Palatino Linotype" w:hAnsi="Palatino Linotype" w:cs="Palatino Linotype"/>
          <w:i/>
        </w:rPr>
      </w:pPr>
    </w:p>
    <w:p w14:paraId="2D21FC59" w14:textId="77777777" w:rsidR="00B71AF3" w:rsidRPr="005B5134" w:rsidRDefault="00112D67">
      <w:pPr>
        <w:spacing w:before="240" w:after="240"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w:t>
      </w:r>
      <w:r w:rsidRPr="005B5134">
        <w:rPr>
          <w:rFonts w:ascii="Palatino Linotype" w:eastAsia="Palatino Linotype" w:hAnsi="Palatino Linotype" w:cs="Palatino Linotype"/>
        </w:rPr>
        <w:lastRenderedPageBreak/>
        <w:t>estatuido en el artículo 49, fracción XIII de la Ley de Transparencia y Acceso a la Información Pública del Estado de México y Municipios.</w:t>
      </w:r>
    </w:p>
    <w:p w14:paraId="0BDAB3C8"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Quinto. Versión Pública. </w:t>
      </w:r>
      <w:r w:rsidRPr="005B5134">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sin menoscabar el derecho a la protección de los datos personales de terceros.</w:t>
      </w:r>
    </w:p>
    <w:p w14:paraId="602FC424" w14:textId="77777777" w:rsidR="00B71AF3" w:rsidRPr="005B5134" w:rsidRDefault="00112D67">
      <w:pPr>
        <w:spacing w:before="240" w:after="240" w:line="360" w:lineRule="auto"/>
        <w:ind w:right="50"/>
        <w:jc w:val="both"/>
        <w:rPr>
          <w:rFonts w:ascii="Palatino Linotype" w:eastAsia="Palatino Linotype" w:hAnsi="Palatino Linotype" w:cs="Palatino Linotype"/>
        </w:rPr>
      </w:pPr>
      <w:r w:rsidRPr="005B5134">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38473AB" w14:textId="77777777" w:rsidR="00B71AF3" w:rsidRPr="005B5134" w:rsidRDefault="00112D67">
      <w:pPr>
        <w:ind w:left="993" w:right="1041"/>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 xml:space="preserve"> “Artículo 3. Para los efectos de la presente Ley se entenderá por:</w:t>
      </w:r>
    </w:p>
    <w:p w14:paraId="2B5631C0"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IX. Datos personales:</w:t>
      </w:r>
      <w:r w:rsidRPr="005B5134">
        <w:rPr>
          <w:rFonts w:ascii="Palatino Linotype" w:eastAsia="Palatino Linotype" w:hAnsi="Palatino Linotype" w:cs="Palatino Linotype"/>
          <w:i/>
          <w:sz w:val="22"/>
          <w:szCs w:val="22"/>
        </w:rPr>
        <w:t xml:space="preserve"> </w:t>
      </w:r>
      <w:r w:rsidRPr="005B5134">
        <w:rPr>
          <w:rFonts w:ascii="Palatino Linotype" w:eastAsia="Palatino Linotype" w:hAnsi="Palatino Linotype" w:cs="Palatino Linotype"/>
          <w:b/>
          <w:i/>
          <w:sz w:val="22"/>
          <w:szCs w:val="22"/>
        </w:rPr>
        <w:t>La información concerniente a una persona, identificada o identificable</w:t>
      </w:r>
      <w:r w:rsidRPr="005B5134">
        <w:rPr>
          <w:rFonts w:ascii="Palatino Linotype" w:eastAsia="Palatino Linotype" w:hAnsi="Palatino Linotype" w:cs="Palatino Linotype"/>
          <w:i/>
          <w:sz w:val="22"/>
          <w:szCs w:val="22"/>
        </w:rPr>
        <w:t xml:space="preserve"> según lo dispuesto por la Ley de Protección de Datos Personales del Estado de México;</w:t>
      </w:r>
    </w:p>
    <w:p w14:paraId="24BF694B"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XX. Información clasificada:</w:t>
      </w:r>
      <w:r w:rsidRPr="005B5134">
        <w:rPr>
          <w:rFonts w:ascii="Palatino Linotype" w:eastAsia="Palatino Linotype" w:hAnsi="Palatino Linotype" w:cs="Palatino Linotype"/>
          <w:i/>
          <w:sz w:val="22"/>
          <w:szCs w:val="22"/>
        </w:rPr>
        <w:t xml:space="preserve"> Aquella considerada por la presente Ley como reservada o confidencial;</w:t>
      </w:r>
    </w:p>
    <w:p w14:paraId="5E373437"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XXXII. Protección de Datos Personales:</w:t>
      </w:r>
      <w:r w:rsidRPr="005B5134">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6DB173F"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XLV. Versión pública</w:t>
      </w:r>
      <w:r w:rsidRPr="005B5134">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E1789A1" w14:textId="77777777" w:rsidR="00B71AF3" w:rsidRPr="005B5134" w:rsidRDefault="00B71AF3">
      <w:pPr>
        <w:ind w:left="993" w:right="1041"/>
        <w:jc w:val="both"/>
        <w:rPr>
          <w:rFonts w:ascii="Palatino Linotype" w:eastAsia="Palatino Linotype" w:hAnsi="Palatino Linotype" w:cs="Palatino Linotype"/>
          <w:i/>
          <w:sz w:val="22"/>
          <w:szCs w:val="22"/>
        </w:rPr>
      </w:pPr>
    </w:p>
    <w:p w14:paraId="0807B2BE"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“Artículo 6.</w:t>
      </w:r>
      <w:r w:rsidRPr="005B5134">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5B5134">
        <w:rPr>
          <w:rFonts w:ascii="Palatino Linotype" w:eastAsia="Palatino Linotype" w:hAnsi="Palatino Linotype" w:cs="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2A60E0EA" w14:textId="77777777" w:rsidR="00B71AF3" w:rsidRPr="005B5134" w:rsidRDefault="00B71AF3">
      <w:pPr>
        <w:ind w:left="993" w:right="1041"/>
        <w:jc w:val="both"/>
        <w:rPr>
          <w:rFonts w:ascii="Palatino Linotype" w:eastAsia="Palatino Linotype" w:hAnsi="Palatino Linotype" w:cs="Palatino Linotype"/>
          <w:i/>
          <w:sz w:val="22"/>
          <w:szCs w:val="22"/>
        </w:rPr>
      </w:pPr>
    </w:p>
    <w:p w14:paraId="61A14C32" w14:textId="77777777" w:rsidR="00B71AF3" w:rsidRPr="005B5134" w:rsidRDefault="00112D67">
      <w:pPr>
        <w:ind w:left="993" w:right="1041"/>
        <w:jc w:val="both"/>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“Artículo 137.</w:t>
      </w:r>
      <w:r w:rsidRPr="005B5134">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F4F62E" w14:textId="77777777" w:rsidR="00B71AF3" w:rsidRPr="005B5134" w:rsidRDefault="00B71AF3">
      <w:pPr>
        <w:ind w:left="993" w:right="1041"/>
        <w:jc w:val="both"/>
        <w:rPr>
          <w:rFonts w:ascii="Palatino Linotype" w:eastAsia="Palatino Linotype" w:hAnsi="Palatino Linotype" w:cs="Palatino Linotype"/>
          <w:b/>
          <w:i/>
          <w:sz w:val="22"/>
          <w:szCs w:val="22"/>
        </w:rPr>
      </w:pPr>
    </w:p>
    <w:p w14:paraId="6794F848"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“Artículo 143</w:t>
      </w:r>
      <w:r w:rsidRPr="005B513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905DD7D"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I.</w:t>
      </w:r>
      <w:r w:rsidRPr="005B5134">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10EDD80"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2545037" w14:textId="77777777" w:rsidR="00B71AF3" w:rsidRPr="005B5134" w:rsidRDefault="00112D67">
      <w:pPr>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7962A38" w14:textId="77777777" w:rsidR="00B71AF3" w:rsidRPr="005B5134" w:rsidRDefault="00B71AF3">
      <w:pPr>
        <w:ind w:left="993" w:right="1041"/>
        <w:jc w:val="both"/>
        <w:rPr>
          <w:rFonts w:ascii="Palatino Linotype" w:eastAsia="Palatino Linotype" w:hAnsi="Palatino Linotype" w:cs="Palatino Linotype"/>
          <w:i/>
          <w:sz w:val="22"/>
          <w:szCs w:val="22"/>
        </w:rPr>
      </w:pPr>
    </w:p>
    <w:p w14:paraId="16DE70D3" w14:textId="77777777" w:rsidR="00B71AF3" w:rsidRPr="005B5134" w:rsidRDefault="00112D67">
      <w:pPr>
        <w:spacing w:line="360" w:lineRule="auto"/>
        <w:ind w:right="51"/>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w:t>
      </w:r>
      <w:r w:rsidRPr="005B5134">
        <w:rPr>
          <w:rFonts w:ascii="Palatino Linotype" w:eastAsia="Palatino Linotype" w:hAnsi="Palatino Linotype" w:cs="Palatino Linotype"/>
        </w:rPr>
        <w:lastRenderedPageBreak/>
        <w:t>Protección de Datos Personales en Posesión de Sujetos Obligados del Estado de México.</w:t>
      </w:r>
    </w:p>
    <w:p w14:paraId="6E9B1741" w14:textId="77777777" w:rsidR="00B71AF3" w:rsidRPr="005B5134" w:rsidRDefault="00B71AF3">
      <w:pPr>
        <w:spacing w:line="360" w:lineRule="auto"/>
        <w:ind w:right="51"/>
        <w:jc w:val="both"/>
        <w:rPr>
          <w:rFonts w:ascii="Palatino Linotype" w:eastAsia="Palatino Linotype" w:hAnsi="Palatino Linotype" w:cs="Palatino Linotype"/>
        </w:rPr>
      </w:pPr>
    </w:p>
    <w:p w14:paraId="4ED81931" w14:textId="77777777" w:rsidR="00B71AF3" w:rsidRPr="005B5134" w:rsidRDefault="00112D67">
      <w:pPr>
        <w:spacing w:line="360" w:lineRule="auto"/>
        <w:ind w:right="50"/>
        <w:jc w:val="both"/>
        <w:rPr>
          <w:rFonts w:ascii="Palatino Linotype" w:eastAsia="Palatino Linotype" w:hAnsi="Palatino Linotype" w:cs="Palatino Linotype"/>
        </w:rPr>
      </w:pPr>
      <w:r w:rsidRPr="005B513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34B3AF3" w14:textId="77777777" w:rsidR="00B71AF3" w:rsidRPr="005B5134" w:rsidRDefault="00B71AF3">
      <w:pPr>
        <w:spacing w:line="360" w:lineRule="auto"/>
        <w:ind w:right="50"/>
        <w:jc w:val="both"/>
        <w:rPr>
          <w:rFonts w:ascii="Palatino Linotype" w:eastAsia="Palatino Linotype" w:hAnsi="Palatino Linotype" w:cs="Palatino Linotype"/>
        </w:rPr>
      </w:pPr>
    </w:p>
    <w:p w14:paraId="0821676E" w14:textId="77777777" w:rsidR="00B71AF3" w:rsidRPr="005B5134" w:rsidRDefault="00112D67">
      <w:pPr>
        <w:spacing w:line="360" w:lineRule="auto"/>
        <w:ind w:right="51"/>
        <w:jc w:val="both"/>
        <w:rPr>
          <w:rFonts w:ascii="Palatino Linotype" w:eastAsia="Palatino Linotype" w:hAnsi="Palatino Linotype" w:cs="Palatino Linotype"/>
        </w:rPr>
      </w:pPr>
      <w:r w:rsidRPr="005B5134">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8990B3" w14:textId="77777777" w:rsidR="00B71AF3" w:rsidRPr="005B5134" w:rsidRDefault="00B71AF3">
      <w:pPr>
        <w:spacing w:line="360" w:lineRule="auto"/>
        <w:ind w:right="51"/>
        <w:jc w:val="both"/>
        <w:rPr>
          <w:rFonts w:ascii="Palatino Linotype" w:eastAsia="Palatino Linotype" w:hAnsi="Palatino Linotype" w:cs="Palatino Linotype"/>
        </w:rPr>
      </w:pPr>
    </w:p>
    <w:p w14:paraId="2C80DD2C"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“Artículo 49.</w:t>
      </w:r>
      <w:r w:rsidRPr="005B5134">
        <w:rPr>
          <w:rFonts w:ascii="Palatino Linotype" w:eastAsia="Palatino Linotype" w:hAnsi="Palatino Linotype" w:cs="Palatino Linotype"/>
          <w:i/>
          <w:sz w:val="22"/>
          <w:szCs w:val="22"/>
        </w:rPr>
        <w:t xml:space="preserve"> </w:t>
      </w:r>
      <w:r w:rsidRPr="005B5134">
        <w:rPr>
          <w:rFonts w:ascii="Palatino Linotype" w:eastAsia="Palatino Linotype" w:hAnsi="Palatino Linotype" w:cs="Palatino Linotype"/>
          <w:b/>
          <w:i/>
          <w:sz w:val="22"/>
          <w:szCs w:val="22"/>
        </w:rPr>
        <w:t>Los Comités de Transparencia</w:t>
      </w:r>
      <w:r w:rsidRPr="005B5134">
        <w:rPr>
          <w:rFonts w:ascii="Palatino Linotype" w:eastAsia="Palatino Linotype" w:hAnsi="Palatino Linotype" w:cs="Palatino Linotype"/>
          <w:i/>
          <w:sz w:val="22"/>
          <w:szCs w:val="22"/>
        </w:rPr>
        <w:t xml:space="preserve"> tendrán las siguientes atribuciones:</w:t>
      </w:r>
    </w:p>
    <w:p w14:paraId="66B1B906"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VIII. Aprobar, modificar o revocar la clasificación de la información</w:t>
      </w:r>
      <w:r w:rsidRPr="005B5134">
        <w:rPr>
          <w:rFonts w:ascii="Palatino Linotype" w:eastAsia="Palatino Linotype" w:hAnsi="Palatino Linotype" w:cs="Palatino Linotype"/>
          <w:i/>
          <w:sz w:val="22"/>
          <w:szCs w:val="22"/>
        </w:rPr>
        <w:t>…”</w:t>
      </w:r>
    </w:p>
    <w:p w14:paraId="4B14056D"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Artículo 53.</w:t>
      </w:r>
      <w:r w:rsidRPr="005B5134">
        <w:rPr>
          <w:rFonts w:ascii="Palatino Linotype" w:eastAsia="Palatino Linotype" w:hAnsi="Palatino Linotype" w:cs="Palatino Linotype"/>
          <w:i/>
          <w:sz w:val="22"/>
          <w:szCs w:val="22"/>
        </w:rPr>
        <w:t xml:space="preserve"> Las </w:t>
      </w:r>
      <w:r w:rsidRPr="005B5134">
        <w:rPr>
          <w:rFonts w:ascii="Palatino Linotype" w:eastAsia="Palatino Linotype" w:hAnsi="Palatino Linotype" w:cs="Palatino Linotype"/>
          <w:b/>
          <w:i/>
          <w:sz w:val="22"/>
          <w:szCs w:val="22"/>
        </w:rPr>
        <w:t>Unidades de Transparencia</w:t>
      </w:r>
      <w:r w:rsidRPr="005B5134">
        <w:rPr>
          <w:rFonts w:ascii="Palatino Linotype" w:eastAsia="Palatino Linotype" w:hAnsi="Palatino Linotype" w:cs="Palatino Linotype"/>
          <w:i/>
          <w:sz w:val="22"/>
          <w:szCs w:val="22"/>
        </w:rPr>
        <w:t xml:space="preserve"> tendrán las siguientes </w:t>
      </w:r>
      <w:r w:rsidRPr="005B5134">
        <w:rPr>
          <w:rFonts w:ascii="Palatino Linotype" w:eastAsia="Palatino Linotype" w:hAnsi="Palatino Linotype" w:cs="Palatino Linotype"/>
          <w:b/>
          <w:i/>
          <w:sz w:val="22"/>
          <w:szCs w:val="22"/>
        </w:rPr>
        <w:t>funciones</w:t>
      </w:r>
      <w:r w:rsidRPr="005B5134">
        <w:rPr>
          <w:rFonts w:ascii="Palatino Linotype" w:eastAsia="Palatino Linotype" w:hAnsi="Palatino Linotype" w:cs="Palatino Linotype"/>
          <w:i/>
          <w:sz w:val="22"/>
          <w:szCs w:val="22"/>
        </w:rPr>
        <w:t>:</w:t>
      </w:r>
    </w:p>
    <w:p w14:paraId="5A21162A"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X. Presentar ante el Comité, el proyecto de clasificación de información</w:t>
      </w:r>
      <w:r w:rsidRPr="005B5134">
        <w:rPr>
          <w:rFonts w:ascii="Palatino Linotype" w:eastAsia="Palatino Linotype" w:hAnsi="Palatino Linotype" w:cs="Palatino Linotype"/>
          <w:i/>
          <w:sz w:val="22"/>
          <w:szCs w:val="22"/>
        </w:rPr>
        <w:t xml:space="preserve">…” </w:t>
      </w:r>
    </w:p>
    <w:p w14:paraId="425C34DB"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“Artículo 59.</w:t>
      </w:r>
      <w:r w:rsidRPr="005B5134">
        <w:rPr>
          <w:rFonts w:ascii="Palatino Linotype" w:eastAsia="Palatino Linotype" w:hAnsi="Palatino Linotype" w:cs="Palatino Linotype"/>
          <w:i/>
          <w:sz w:val="22"/>
          <w:szCs w:val="22"/>
        </w:rPr>
        <w:t xml:space="preserve"> Los </w:t>
      </w:r>
      <w:r w:rsidRPr="005B5134">
        <w:rPr>
          <w:rFonts w:ascii="Palatino Linotype" w:eastAsia="Palatino Linotype" w:hAnsi="Palatino Linotype" w:cs="Palatino Linotype"/>
          <w:b/>
          <w:i/>
          <w:sz w:val="22"/>
          <w:szCs w:val="22"/>
        </w:rPr>
        <w:t>servidores públicos habilitados</w:t>
      </w:r>
      <w:r w:rsidRPr="005B5134">
        <w:rPr>
          <w:rFonts w:ascii="Palatino Linotype" w:eastAsia="Palatino Linotype" w:hAnsi="Palatino Linotype" w:cs="Palatino Linotype"/>
          <w:i/>
          <w:sz w:val="22"/>
          <w:szCs w:val="22"/>
        </w:rPr>
        <w:t xml:space="preserve"> tendrán las </w:t>
      </w:r>
      <w:r w:rsidRPr="005B5134">
        <w:rPr>
          <w:rFonts w:ascii="Palatino Linotype" w:eastAsia="Palatino Linotype" w:hAnsi="Palatino Linotype" w:cs="Palatino Linotype"/>
          <w:b/>
          <w:i/>
          <w:sz w:val="22"/>
          <w:szCs w:val="22"/>
        </w:rPr>
        <w:t>funciones</w:t>
      </w:r>
      <w:r w:rsidRPr="005B5134">
        <w:rPr>
          <w:rFonts w:ascii="Palatino Linotype" w:eastAsia="Palatino Linotype" w:hAnsi="Palatino Linotype" w:cs="Palatino Linotype"/>
          <w:i/>
          <w:sz w:val="22"/>
          <w:szCs w:val="22"/>
        </w:rPr>
        <w:t xml:space="preserve"> siguientes:</w:t>
      </w:r>
    </w:p>
    <w:p w14:paraId="6664891A" w14:textId="77777777" w:rsidR="00B71AF3" w:rsidRPr="005B5134" w:rsidRDefault="00112D67">
      <w:pPr>
        <w:ind w:left="992" w:right="1043"/>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B5134">
        <w:rPr>
          <w:rFonts w:ascii="Palatino Linotype" w:eastAsia="Palatino Linotype" w:hAnsi="Palatino Linotype" w:cs="Palatino Linotype"/>
          <w:i/>
          <w:sz w:val="22"/>
          <w:szCs w:val="22"/>
        </w:rPr>
        <w:t>, la cual tendrá los fundamentos y argumentos en que se basa dicha propuesta…”(Sic)</w:t>
      </w:r>
    </w:p>
    <w:p w14:paraId="39EC9897" w14:textId="77777777" w:rsidR="00B71AF3" w:rsidRPr="005B5134" w:rsidRDefault="00B71AF3">
      <w:pPr>
        <w:ind w:left="992" w:right="1043"/>
        <w:jc w:val="both"/>
        <w:rPr>
          <w:rFonts w:ascii="Palatino Linotype" w:eastAsia="Palatino Linotype" w:hAnsi="Palatino Linotype" w:cs="Palatino Linotype"/>
          <w:i/>
          <w:sz w:val="22"/>
          <w:szCs w:val="22"/>
        </w:rPr>
      </w:pPr>
    </w:p>
    <w:p w14:paraId="44A6B325"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w:t>
      </w:r>
      <w:r w:rsidRPr="005B5134">
        <w:rPr>
          <w:rFonts w:ascii="Palatino Linotype" w:eastAsia="Palatino Linotype" w:hAnsi="Palatino Linotype" w:cs="Palatino Linotype"/>
        </w:rPr>
        <w:lastRenderedPageBreak/>
        <w:t>las Unidades de Transparencia y del Comité de Transparencia del Sujeto Obligado, teniendo el deber los primeros de ellos de presentar ante la Unidad de Transparencia la propuesta de la clasificación de la información, para que luego esta presente ante al Comité de Transparencia de así resultar procedente el proyecto de clasificación de la información y finalmente sea éste último quien apruebe, modifique o revoque la clasificación de la información solicitada.</w:t>
      </w:r>
    </w:p>
    <w:p w14:paraId="4A33678F" w14:textId="77777777" w:rsidR="00B71AF3" w:rsidRPr="005B5134" w:rsidRDefault="00B71AF3">
      <w:pPr>
        <w:spacing w:line="360" w:lineRule="auto"/>
        <w:jc w:val="both"/>
        <w:rPr>
          <w:rFonts w:ascii="Palatino Linotype" w:eastAsia="Palatino Linotype" w:hAnsi="Palatino Linotype" w:cs="Palatino Linotype"/>
        </w:rPr>
      </w:pPr>
    </w:p>
    <w:p w14:paraId="3118BFFA"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D89AA4C" w14:textId="77777777" w:rsidR="00B71AF3" w:rsidRPr="005B5134" w:rsidRDefault="00B71AF3">
      <w:pPr>
        <w:spacing w:line="360" w:lineRule="auto"/>
        <w:jc w:val="both"/>
        <w:rPr>
          <w:rFonts w:ascii="Palatino Linotype" w:eastAsia="Palatino Linotype" w:hAnsi="Palatino Linotype" w:cs="Palatino Linotype"/>
        </w:rPr>
      </w:pPr>
    </w:p>
    <w:p w14:paraId="4556DC3B" w14:textId="77777777" w:rsidR="00B71AF3" w:rsidRPr="005B5134" w:rsidRDefault="00112D67">
      <w:pPr>
        <w:spacing w:after="240"/>
        <w:ind w:left="993" w:right="104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Artículo 149.</w:t>
      </w:r>
      <w:r w:rsidRPr="005B5134">
        <w:rPr>
          <w:rFonts w:ascii="Palatino Linotype" w:eastAsia="Palatino Linotype" w:hAnsi="Palatino Linotype" w:cs="Palatino Linotype"/>
          <w:i/>
          <w:sz w:val="22"/>
          <w:szCs w:val="22"/>
        </w:rPr>
        <w:t xml:space="preserve"> El </w:t>
      </w:r>
      <w:r w:rsidRPr="005B5134">
        <w:rPr>
          <w:rFonts w:ascii="Palatino Linotype" w:eastAsia="Palatino Linotype" w:hAnsi="Palatino Linotype" w:cs="Palatino Linotype"/>
          <w:b/>
          <w:i/>
          <w:sz w:val="22"/>
          <w:szCs w:val="22"/>
        </w:rPr>
        <w:t>acuerdo que clasifique la información como confidencial</w:t>
      </w:r>
      <w:r w:rsidRPr="005B5134">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304BAD3C" w14:textId="77777777" w:rsidR="00B71AF3" w:rsidRPr="005B5134" w:rsidRDefault="00B71AF3">
      <w:pPr>
        <w:spacing w:before="240" w:line="360" w:lineRule="auto"/>
        <w:ind w:right="51"/>
        <w:jc w:val="both"/>
        <w:rPr>
          <w:rFonts w:ascii="Palatino Linotype" w:eastAsia="Palatino Linotype" w:hAnsi="Palatino Linotype" w:cs="Palatino Linotype"/>
          <w:i/>
          <w:sz w:val="22"/>
          <w:szCs w:val="22"/>
        </w:rPr>
      </w:pPr>
    </w:p>
    <w:p w14:paraId="62419C8E" w14:textId="77777777" w:rsidR="00B71AF3" w:rsidRPr="005B5134" w:rsidRDefault="00112D67">
      <w:pPr>
        <w:spacing w:line="360" w:lineRule="auto"/>
        <w:ind w:right="51"/>
        <w:jc w:val="both"/>
        <w:rPr>
          <w:rFonts w:ascii="Palatino Linotype" w:eastAsia="Palatino Linotype" w:hAnsi="Palatino Linotype" w:cs="Palatino Linotype"/>
        </w:rPr>
      </w:pPr>
      <w:r w:rsidRPr="005B5134">
        <w:rPr>
          <w:rFonts w:ascii="Palatino Linotype" w:eastAsia="Palatino Linotype" w:hAnsi="Palatino Linotype" w:cs="Palatino Linotype"/>
        </w:rPr>
        <w:t xml:space="preserve">Es decir,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A1FD18D" w14:textId="77777777" w:rsidR="00B71AF3" w:rsidRPr="005B5134" w:rsidRDefault="00B71AF3">
      <w:pPr>
        <w:spacing w:line="360" w:lineRule="auto"/>
        <w:jc w:val="both"/>
        <w:rPr>
          <w:rFonts w:ascii="Palatino Linotype" w:eastAsia="Palatino Linotype" w:hAnsi="Palatino Linotype" w:cs="Palatino Linotype"/>
        </w:rPr>
      </w:pPr>
    </w:p>
    <w:p w14:paraId="01B6B929"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 xml:space="preserve">Al respecto, se destaca que la versión pública que elabore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B5134">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B5134">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9EA1071" w14:textId="77777777" w:rsidR="00B71AF3" w:rsidRPr="005B5134" w:rsidRDefault="00B71AF3">
      <w:pPr>
        <w:ind w:left="709" w:right="709"/>
        <w:jc w:val="both"/>
        <w:rPr>
          <w:rFonts w:ascii="Palatino Linotype" w:eastAsia="Palatino Linotype" w:hAnsi="Palatino Linotype" w:cs="Palatino Linotype"/>
          <w:b/>
          <w:i/>
          <w:sz w:val="22"/>
          <w:szCs w:val="22"/>
        </w:rPr>
      </w:pPr>
    </w:p>
    <w:p w14:paraId="0385A1E3"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8A03BFC"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w:t>
      </w:r>
      <w:r w:rsidRPr="005B5134">
        <w:rPr>
          <w:rFonts w:ascii="Palatino Linotype" w:eastAsia="Palatino Linotype" w:hAnsi="Palatino Linotype" w:cs="Palatino Linotype"/>
          <w:b/>
          <w:i/>
          <w:sz w:val="22"/>
          <w:szCs w:val="22"/>
        </w:rPr>
        <w:t>Segundo.-</w:t>
      </w:r>
      <w:r w:rsidRPr="005B5134">
        <w:rPr>
          <w:rFonts w:ascii="Palatino Linotype" w:eastAsia="Palatino Linotype" w:hAnsi="Palatino Linotype" w:cs="Palatino Linotype"/>
          <w:i/>
          <w:sz w:val="22"/>
          <w:szCs w:val="22"/>
        </w:rPr>
        <w:t xml:space="preserve"> Para efectos de los presentes Lineamientos Generales, se entenderá por:</w:t>
      </w:r>
    </w:p>
    <w:p w14:paraId="762A0710"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XVIII.</w:t>
      </w:r>
      <w:r w:rsidRPr="005B5134">
        <w:rPr>
          <w:rFonts w:ascii="Palatino Linotype" w:eastAsia="Palatino Linotype" w:hAnsi="Palatino Linotype" w:cs="Palatino Linotype"/>
          <w:i/>
          <w:sz w:val="22"/>
          <w:szCs w:val="22"/>
        </w:rPr>
        <w:t xml:space="preserve"> </w:t>
      </w:r>
      <w:r w:rsidRPr="005B5134">
        <w:rPr>
          <w:rFonts w:ascii="Palatino Linotype" w:eastAsia="Palatino Linotype" w:hAnsi="Palatino Linotype" w:cs="Palatino Linotype"/>
          <w:b/>
          <w:i/>
          <w:sz w:val="22"/>
          <w:szCs w:val="22"/>
        </w:rPr>
        <w:t>Versión pública:</w:t>
      </w:r>
      <w:r w:rsidRPr="005B513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B5134">
        <w:rPr>
          <w:rFonts w:ascii="Palatino Linotype" w:eastAsia="Palatino Linotype" w:hAnsi="Palatino Linotype" w:cs="Palatino Linotype"/>
          <w:b/>
          <w:i/>
          <w:sz w:val="22"/>
          <w:szCs w:val="22"/>
          <w:u w:val="single"/>
        </w:rPr>
        <w:t>fundando y motivando la</w:t>
      </w:r>
      <w:r w:rsidRPr="005B5134">
        <w:rPr>
          <w:rFonts w:ascii="Palatino Linotype" w:eastAsia="Palatino Linotype" w:hAnsi="Palatino Linotype" w:cs="Palatino Linotype"/>
          <w:i/>
          <w:sz w:val="22"/>
          <w:szCs w:val="22"/>
        </w:rPr>
        <w:t xml:space="preserve"> reserva o </w:t>
      </w:r>
      <w:r w:rsidRPr="005B5134">
        <w:rPr>
          <w:rFonts w:ascii="Palatino Linotype" w:eastAsia="Palatino Linotype" w:hAnsi="Palatino Linotype" w:cs="Palatino Linotype"/>
          <w:b/>
          <w:i/>
          <w:sz w:val="22"/>
          <w:szCs w:val="22"/>
          <w:u w:val="single"/>
        </w:rPr>
        <w:t>confidencialidad</w:t>
      </w:r>
      <w:r w:rsidRPr="005B5134">
        <w:rPr>
          <w:rFonts w:ascii="Palatino Linotype" w:eastAsia="Palatino Linotype" w:hAnsi="Palatino Linotype" w:cs="Palatino Linotype"/>
          <w:i/>
          <w:sz w:val="22"/>
          <w:szCs w:val="22"/>
        </w:rPr>
        <w:t>, a través de la resolución que para tal efecto emita el Comité de Transparencia.</w:t>
      </w:r>
    </w:p>
    <w:p w14:paraId="455DECD2"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Cuarto.</w:t>
      </w:r>
      <w:r w:rsidRPr="005B5134">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52FF71"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E1E7301"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Quinto.</w:t>
      </w:r>
      <w:r w:rsidRPr="005B513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5B5134">
        <w:rPr>
          <w:rFonts w:ascii="Palatino Linotype" w:eastAsia="Palatino Linotype" w:hAnsi="Palatino Linotype" w:cs="Palatino Linotype"/>
          <w:i/>
          <w:sz w:val="22"/>
          <w:szCs w:val="22"/>
        </w:rPr>
        <w:lastRenderedPageBreak/>
        <w:t>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12EEF37"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w:t>
      </w:r>
    </w:p>
    <w:p w14:paraId="209BE294"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Séptimo.</w:t>
      </w:r>
      <w:r w:rsidRPr="005B5134">
        <w:rPr>
          <w:rFonts w:ascii="Palatino Linotype" w:eastAsia="Palatino Linotype" w:hAnsi="Palatino Linotype" w:cs="Palatino Linotype"/>
          <w:i/>
          <w:sz w:val="22"/>
          <w:szCs w:val="22"/>
        </w:rPr>
        <w:t xml:space="preserve"> La clasificación de la información se llevará a cabo en el momento en que:</w:t>
      </w:r>
    </w:p>
    <w:p w14:paraId="17501A31"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I.</w:t>
      </w:r>
      <w:r w:rsidRPr="005B5134">
        <w:rPr>
          <w:rFonts w:ascii="Palatino Linotype" w:eastAsia="Palatino Linotype" w:hAnsi="Palatino Linotype" w:cs="Palatino Linotype"/>
          <w:i/>
          <w:sz w:val="22"/>
          <w:szCs w:val="22"/>
        </w:rPr>
        <w:t xml:space="preserve"> Se reciba una solicitud de acceso a la información;</w:t>
      </w:r>
    </w:p>
    <w:p w14:paraId="770975C8" w14:textId="77777777" w:rsidR="00B71AF3" w:rsidRPr="005B5134" w:rsidRDefault="00112D67">
      <w:pPr>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II.</w:t>
      </w:r>
      <w:r w:rsidRPr="005B5134">
        <w:rPr>
          <w:rFonts w:ascii="Palatino Linotype" w:eastAsia="Palatino Linotype" w:hAnsi="Palatino Linotype" w:cs="Palatino Linotype"/>
          <w:i/>
          <w:sz w:val="22"/>
          <w:szCs w:val="22"/>
        </w:rPr>
        <w:t xml:space="preserve"> Se  determine mediante resolución del Comité de Transparencia, el órgano garante </w:t>
      </w:r>
    </w:p>
    <w:p w14:paraId="40F86B66"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competente, o en cumplimiento a una sentencia del Poder Judicial; o</w:t>
      </w:r>
    </w:p>
    <w:p w14:paraId="153CF78E"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III.</w:t>
      </w:r>
      <w:r w:rsidRPr="005B513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EF1D1B5"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E0705C2"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Octavo.</w:t>
      </w:r>
      <w:r w:rsidRPr="005B513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74F117"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751E4BC" w14:textId="77777777" w:rsidR="00B71AF3" w:rsidRPr="005B5134" w:rsidRDefault="00112D67">
      <w:pPr>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BC0D0FF"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Noveno.</w:t>
      </w:r>
      <w:r w:rsidRPr="005B513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1E9229" w14:textId="77777777" w:rsidR="00B71AF3" w:rsidRPr="005B5134" w:rsidRDefault="00112D67">
      <w:pPr>
        <w:ind w:left="709" w:right="709"/>
        <w:jc w:val="both"/>
      </w:pPr>
      <w:r w:rsidRPr="005B5134">
        <w:rPr>
          <w:rFonts w:ascii="Palatino Linotype" w:eastAsia="Palatino Linotype" w:hAnsi="Palatino Linotype" w:cs="Palatino Linotype"/>
          <w:b/>
          <w:i/>
          <w:sz w:val="22"/>
          <w:szCs w:val="22"/>
        </w:rPr>
        <w:t>Décimo.</w:t>
      </w:r>
      <w:r w:rsidRPr="005B513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2DA32B3"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7D79DA0" w14:textId="77777777" w:rsidR="00B71AF3" w:rsidRPr="005B5134" w:rsidRDefault="00112D67">
      <w:pPr>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lastRenderedPageBreak/>
        <w:t>Décimo primero.</w:t>
      </w:r>
      <w:r w:rsidRPr="005B513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5C6B720" w14:textId="77777777" w:rsidR="00B71AF3" w:rsidRPr="005B5134" w:rsidRDefault="00B71AF3">
      <w:pPr>
        <w:ind w:right="709"/>
        <w:jc w:val="both"/>
      </w:pPr>
    </w:p>
    <w:p w14:paraId="636C39B4" w14:textId="77777777" w:rsidR="00B71AF3" w:rsidRPr="005B5134" w:rsidRDefault="00112D67">
      <w:pPr>
        <w:ind w:left="709" w:right="709"/>
        <w:jc w:val="both"/>
      </w:pPr>
      <w:r w:rsidRPr="005B5134">
        <w:rPr>
          <w:rFonts w:ascii="Palatino Linotype" w:eastAsia="Palatino Linotype" w:hAnsi="Palatino Linotype" w:cs="Palatino Linotype"/>
          <w:i/>
          <w:sz w:val="22"/>
          <w:szCs w:val="22"/>
        </w:rPr>
        <w:t>[…]</w:t>
      </w:r>
    </w:p>
    <w:p w14:paraId="49EE9F4F" w14:textId="77777777" w:rsidR="00B71AF3" w:rsidRPr="005B5134" w:rsidRDefault="00112D67">
      <w:pPr>
        <w:ind w:left="709" w:right="709"/>
        <w:jc w:val="center"/>
      </w:pPr>
      <w:r w:rsidRPr="005B5134">
        <w:rPr>
          <w:rFonts w:ascii="Palatino Linotype" w:eastAsia="Palatino Linotype" w:hAnsi="Palatino Linotype" w:cs="Palatino Linotype"/>
          <w:b/>
          <w:i/>
          <w:sz w:val="22"/>
          <w:szCs w:val="22"/>
        </w:rPr>
        <w:t>CAPÍTULO VIII</w:t>
      </w:r>
    </w:p>
    <w:p w14:paraId="62626945" w14:textId="77777777" w:rsidR="00B71AF3" w:rsidRPr="005B5134" w:rsidRDefault="00112D67">
      <w:pPr>
        <w:spacing w:after="160"/>
        <w:ind w:left="709" w:right="709"/>
        <w:jc w:val="center"/>
        <w:rPr>
          <w:rFonts w:ascii="Palatino Linotype" w:eastAsia="Palatino Linotype" w:hAnsi="Palatino Linotype" w:cs="Palatino Linotype"/>
          <w:b/>
          <w:i/>
          <w:sz w:val="22"/>
          <w:szCs w:val="22"/>
        </w:rPr>
      </w:pPr>
      <w:r w:rsidRPr="005B5134">
        <w:rPr>
          <w:rFonts w:ascii="Palatino Linotype" w:eastAsia="Palatino Linotype" w:hAnsi="Palatino Linotype" w:cs="Palatino Linotype"/>
          <w:b/>
          <w:i/>
          <w:sz w:val="22"/>
          <w:szCs w:val="22"/>
        </w:rPr>
        <w:t>DE LOS ELEMENTOS PARA LA CLASIFICACIÓN</w:t>
      </w:r>
    </w:p>
    <w:p w14:paraId="746D7885"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Quincuagésimo</w:t>
      </w:r>
      <w:r w:rsidRPr="005B5134">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6B57B35"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t>Quincuagésimo primero</w:t>
      </w:r>
      <w:r w:rsidRPr="005B5134">
        <w:rPr>
          <w:rFonts w:ascii="Palatino Linotype" w:eastAsia="Palatino Linotype" w:hAnsi="Palatino Linotype" w:cs="Palatino Linotype"/>
          <w:i/>
          <w:sz w:val="22"/>
          <w:szCs w:val="22"/>
        </w:rPr>
        <w:t>. Toda acta del Comité de Transparencia deberá contener:</w:t>
      </w:r>
    </w:p>
    <w:p w14:paraId="1B446185"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I. El número de sesión y fecha; </w:t>
      </w:r>
    </w:p>
    <w:p w14:paraId="295DE6D0"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 El nombre del área que solicitó la clasificación de información;</w:t>
      </w:r>
    </w:p>
    <w:p w14:paraId="126C7595"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III. La fundamentación legal y motivación correspondiente;</w:t>
      </w:r>
    </w:p>
    <w:p w14:paraId="65E79B8F"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IV. La resolución o resoluciones aprobadas; y</w:t>
      </w:r>
    </w:p>
    <w:p w14:paraId="0147B344"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V. La rúbrica o firma digital de cada integrante del Comité de Transparencia. </w:t>
      </w:r>
    </w:p>
    <w:p w14:paraId="36B4E3E9"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49841ED"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 Los motivos y razonamientos que sustenten la confirmación o modificación de la prueba de daño;</w:t>
      </w:r>
    </w:p>
    <w:p w14:paraId="7026160F"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 Descripción de las partes o secciones reservadas, en caso de clasificación parcial;</w:t>
      </w:r>
    </w:p>
    <w:p w14:paraId="00292C0C"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III. El periodo por el que mantendrá su clasificación y fecha de expiración; y</w:t>
      </w:r>
    </w:p>
    <w:p w14:paraId="468B7FBB"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IV. El nombre del titular y área encargada de realizar la versión pública del documento, en su caso.</w:t>
      </w:r>
    </w:p>
    <w:p w14:paraId="70B00BB0"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CBD5699"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6B00891"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b/>
          <w:i/>
          <w:sz w:val="22"/>
          <w:szCs w:val="22"/>
        </w:rPr>
        <w:lastRenderedPageBreak/>
        <w:t>Quincuagésimo segundo</w:t>
      </w:r>
      <w:r w:rsidRPr="005B513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A458C79"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92AEA14"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E62DF3A"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21A855D"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III. Señalar las personas o instancias autorizadas a acceder a la información clasificada.</w:t>
      </w:r>
    </w:p>
    <w:p w14:paraId="7E7B440E"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9EED647"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w:t>
      </w:r>
    </w:p>
    <w:p w14:paraId="3A9F521C" w14:textId="77777777" w:rsidR="00B71AF3" w:rsidRPr="005B5134" w:rsidRDefault="00112D67">
      <w:pPr>
        <w:spacing w:after="160"/>
        <w:ind w:left="709" w:right="709"/>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D1DE0BB" w14:textId="77777777" w:rsidR="00B71AF3" w:rsidRPr="005B5134" w:rsidRDefault="00112D67">
      <w:pPr>
        <w:spacing w:after="160"/>
        <w:ind w:left="709" w:right="709"/>
        <w:jc w:val="both"/>
      </w:pPr>
      <w:r w:rsidRPr="005B5134">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5B5134">
        <w:t>.</w:t>
      </w:r>
    </w:p>
    <w:p w14:paraId="4E431044"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DD3F297" w14:textId="77777777" w:rsidR="00B71AF3" w:rsidRPr="005B5134" w:rsidRDefault="00B71AF3">
      <w:pPr>
        <w:shd w:val="clear" w:color="auto" w:fill="FFFFFF"/>
        <w:spacing w:line="360" w:lineRule="auto"/>
        <w:ind w:right="51"/>
        <w:jc w:val="both"/>
        <w:rPr>
          <w:rFonts w:ascii="Palatino Linotype" w:eastAsia="Palatino Linotype" w:hAnsi="Palatino Linotype" w:cs="Palatino Linotype"/>
        </w:rPr>
      </w:pPr>
    </w:p>
    <w:p w14:paraId="470E8EA7" w14:textId="77777777" w:rsidR="00B71AF3" w:rsidRPr="005B5134" w:rsidRDefault="00112D67">
      <w:pPr>
        <w:shd w:val="clear" w:color="auto" w:fill="FFFFFF"/>
        <w:spacing w:line="360" w:lineRule="auto"/>
        <w:ind w:right="51"/>
        <w:jc w:val="both"/>
        <w:rPr>
          <w:rFonts w:ascii="Palatino Linotype" w:eastAsia="Palatino Linotype" w:hAnsi="Palatino Linotype" w:cs="Palatino Linotype"/>
        </w:rPr>
      </w:pPr>
      <w:r w:rsidRPr="005B5134">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w:t>
      </w:r>
    </w:p>
    <w:p w14:paraId="148389FE" w14:textId="77777777" w:rsidR="00B71AF3" w:rsidRPr="005B5134" w:rsidRDefault="00B71AF3">
      <w:pPr>
        <w:shd w:val="clear" w:color="auto" w:fill="FFFFFF"/>
        <w:spacing w:line="360" w:lineRule="auto"/>
        <w:ind w:right="51"/>
        <w:jc w:val="both"/>
        <w:rPr>
          <w:rFonts w:ascii="Palatino Linotype" w:eastAsia="Palatino Linotype" w:hAnsi="Palatino Linotype" w:cs="Palatino Linotype"/>
        </w:rPr>
      </w:pPr>
    </w:p>
    <w:p w14:paraId="15518947" w14:textId="77777777" w:rsidR="00B71AF3" w:rsidRPr="005B5134" w:rsidRDefault="00112D67">
      <w:pP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40C1E84"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FFB90DD" w14:textId="77777777" w:rsidR="00B71AF3" w:rsidRPr="005B5134" w:rsidRDefault="00112D67">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B5134">
        <w:rPr>
          <w:rFonts w:ascii="Palatino Linotype" w:eastAsia="Palatino Linotype" w:hAnsi="Palatino Linotype" w:cs="Palatino Linotype"/>
          <w:b/>
        </w:rPr>
        <w:lastRenderedPageBreak/>
        <w:t>R E S U E L V E:</w:t>
      </w:r>
    </w:p>
    <w:p w14:paraId="40F118C5"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Primero. </w:t>
      </w:r>
      <w:r w:rsidRPr="005B5134">
        <w:rPr>
          <w:rFonts w:ascii="Palatino Linotype" w:eastAsia="Palatino Linotype" w:hAnsi="Palatino Linotype" w:cs="Palatino Linotype"/>
        </w:rPr>
        <w:t xml:space="preserve">Resultan fundados los motivos de inconformidad hechos valer por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en los Recursos de Revisión </w:t>
      </w:r>
      <w:r w:rsidRPr="005B5134">
        <w:rPr>
          <w:rFonts w:ascii="Palatino Linotype" w:eastAsia="Palatino Linotype" w:hAnsi="Palatino Linotype" w:cs="Palatino Linotype"/>
          <w:b/>
        </w:rPr>
        <w:t xml:space="preserve">03664/INFOEM/IP/RR/2024, 03665/INFOEM/IP/RR/2024 y 04085/INFOEM/IP/RR/2024; </w:t>
      </w:r>
      <w:r w:rsidRPr="005B5134">
        <w:rPr>
          <w:rFonts w:ascii="Palatino Linotype" w:eastAsia="Palatino Linotype" w:hAnsi="Palatino Linotype" w:cs="Palatino Linotype"/>
        </w:rPr>
        <w:t xml:space="preserve">por lo que, en términos del considerando </w:t>
      </w:r>
      <w:r w:rsidRPr="005B5134">
        <w:rPr>
          <w:rFonts w:ascii="Palatino Linotype" w:eastAsia="Palatino Linotype" w:hAnsi="Palatino Linotype" w:cs="Palatino Linotype"/>
          <w:b/>
        </w:rPr>
        <w:t xml:space="preserve">Cuarto </w:t>
      </w:r>
      <w:r w:rsidRPr="005B5134">
        <w:rPr>
          <w:rFonts w:ascii="Palatino Linotype" w:eastAsia="Palatino Linotype" w:hAnsi="Palatino Linotype" w:cs="Palatino Linotype"/>
        </w:rPr>
        <w:t xml:space="preserve">de esta resolución, se </w:t>
      </w:r>
      <w:r w:rsidRPr="005B5134">
        <w:rPr>
          <w:rFonts w:ascii="Palatino Linotype" w:eastAsia="Palatino Linotype" w:hAnsi="Palatino Linotype" w:cs="Palatino Linotype"/>
          <w:b/>
        </w:rPr>
        <w:t xml:space="preserve">REVOCAN </w:t>
      </w:r>
      <w:r w:rsidRPr="005B5134">
        <w:rPr>
          <w:rFonts w:ascii="Palatino Linotype" w:eastAsia="Palatino Linotype" w:hAnsi="Palatino Linotype" w:cs="Palatino Linotype"/>
        </w:rPr>
        <w:t xml:space="preserve">las respuestas emitidas por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w:t>
      </w:r>
    </w:p>
    <w:p w14:paraId="7C501707" w14:textId="77777777" w:rsidR="00B71AF3" w:rsidRPr="005B5134" w:rsidRDefault="00112D67">
      <w:pPr>
        <w:spacing w:before="240" w:after="240"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Segundo. </w:t>
      </w:r>
      <w:r w:rsidRPr="005B5134">
        <w:rPr>
          <w:rFonts w:ascii="Palatino Linotype" w:eastAsia="Palatino Linotype" w:hAnsi="Palatino Linotype" w:cs="Palatino Linotype"/>
        </w:rPr>
        <w:t>Se</w:t>
      </w:r>
      <w:r w:rsidRPr="005B5134">
        <w:rPr>
          <w:rFonts w:ascii="Palatino Linotype" w:eastAsia="Palatino Linotype" w:hAnsi="Palatino Linotype" w:cs="Palatino Linotype"/>
          <w:b/>
        </w:rPr>
        <w:t xml:space="preserve"> ORDENA </w:t>
      </w:r>
      <w:r w:rsidRPr="005B5134">
        <w:rPr>
          <w:rFonts w:ascii="Palatino Linotype" w:eastAsia="Palatino Linotype" w:hAnsi="Palatino Linotype" w:cs="Palatino Linotype"/>
        </w:rPr>
        <w:t xml:space="preserve">al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a que,</w:t>
      </w:r>
      <w:r w:rsidRPr="005B5134">
        <w:rPr>
          <w:rFonts w:ascii="Palatino Linotype" w:eastAsia="Palatino Linotype" w:hAnsi="Palatino Linotype" w:cs="Palatino Linotype"/>
          <w:b/>
        </w:rPr>
        <w:t xml:space="preserve"> </w:t>
      </w:r>
      <w:r w:rsidRPr="005B5134">
        <w:rPr>
          <w:rFonts w:ascii="Palatino Linotype" w:eastAsia="Palatino Linotype" w:hAnsi="Palatino Linotype" w:cs="Palatino Linotype"/>
        </w:rPr>
        <w:t>en términos de los Considerandos Cuarto y Quinto, haga entrega vía SAIMEX, en versión pública de ser procedente, de lo siguiente:</w:t>
      </w:r>
    </w:p>
    <w:p w14:paraId="2790631A" w14:textId="77777777" w:rsidR="00B71AF3" w:rsidRPr="005B5134" w:rsidRDefault="00112D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Del Comité Municipal de Adicciones del primero de enero al treinta y uno de diciembre del año 2018:</w:t>
      </w:r>
    </w:p>
    <w:p w14:paraId="6936A426" w14:textId="77777777" w:rsidR="00B71AF3" w:rsidRPr="005B5134" w:rsidRDefault="00112D67">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Última convocatoria emitida para su integración.</w:t>
      </w:r>
    </w:p>
    <w:p w14:paraId="70443F7C" w14:textId="77777777" w:rsidR="00B71AF3" w:rsidRPr="005B5134" w:rsidRDefault="00112D67">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Los Resultados del proceso de selección de los integrantes, en donde se pueda apreciar el nombre, organización, institución y/o territorio que representan.</w:t>
      </w:r>
    </w:p>
    <w:p w14:paraId="054477A7" w14:textId="77777777" w:rsidR="00B71AF3" w:rsidRPr="005B5134" w:rsidRDefault="00112D67">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Acta de instalación.</w:t>
      </w:r>
    </w:p>
    <w:p w14:paraId="2EAF0208" w14:textId="77777777" w:rsidR="00B71AF3" w:rsidRPr="005B5134" w:rsidRDefault="00112D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Del Comité Municipal de Adicciones del primero de enero al treinta de mayo del año 2024.</w:t>
      </w:r>
    </w:p>
    <w:p w14:paraId="0AEDC7DF" w14:textId="77777777" w:rsidR="00B71AF3" w:rsidRPr="005B5134" w:rsidRDefault="00112D67">
      <w:pPr>
        <w:numPr>
          <w:ilvl w:val="1"/>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rPr>
        <w:t>Última convocatoria emitida para su integración.</w:t>
      </w:r>
    </w:p>
    <w:p w14:paraId="5F197D1E" w14:textId="77777777" w:rsidR="00B71AF3" w:rsidRPr="005B5134" w:rsidRDefault="00112D67">
      <w:pPr>
        <w:numPr>
          <w:ilvl w:val="1"/>
          <w:numId w:val="2"/>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Los Resultados del proceso de selección de los integrantes, en donde se pueda apreciar el nombre, organización, institución y/o territorio que representan.</w:t>
      </w:r>
    </w:p>
    <w:p w14:paraId="6FE1D032" w14:textId="77777777" w:rsidR="00B71AF3" w:rsidRPr="005B5134" w:rsidRDefault="00112D67">
      <w:pPr>
        <w:numPr>
          <w:ilvl w:val="1"/>
          <w:numId w:val="2"/>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Acta de instalación vigente al 30 de mayo del 2024.</w:t>
      </w:r>
    </w:p>
    <w:p w14:paraId="44FD085F" w14:textId="77777777" w:rsidR="00B71AF3" w:rsidRPr="005B5134" w:rsidRDefault="00112D67">
      <w:pPr>
        <w:numPr>
          <w:ilvl w:val="1"/>
          <w:numId w:val="2"/>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r w:rsidRPr="005B5134">
        <w:rPr>
          <w:rFonts w:ascii="Palatino Linotype" w:eastAsia="Palatino Linotype" w:hAnsi="Palatino Linotype" w:cs="Palatino Linotype"/>
        </w:rPr>
        <w:t>Productos elaborados por ejemplo, propuestas, programas, recomendaciones, opiniones, posicionamientos, observaciones, denuncias.</w:t>
      </w:r>
    </w:p>
    <w:p w14:paraId="3A37083E" w14:textId="77777777" w:rsidR="00B71AF3" w:rsidRPr="005B5134" w:rsidRDefault="00112D67">
      <w:pPr>
        <w:numPr>
          <w:ilvl w:val="1"/>
          <w:numId w:val="2"/>
        </w:numPr>
        <w:pBdr>
          <w:top w:val="nil"/>
          <w:left w:val="nil"/>
          <w:bottom w:val="nil"/>
          <w:right w:val="nil"/>
          <w:between w:val="nil"/>
        </w:pBdr>
        <w:spacing w:line="360" w:lineRule="auto"/>
        <w:ind w:left="360" w:firstLine="66"/>
        <w:jc w:val="both"/>
        <w:rPr>
          <w:rFonts w:ascii="Palatino Linotype" w:eastAsia="Palatino Linotype" w:hAnsi="Palatino Linotype" w:cs="Palatino Linotype"/>
        </w:rPr>
      </w:pPr>
      <w:bookmarkStart w:id="2" w:name="_heading=h.30j0zll" w:colFirst="0" w:colLast="0"/>
      <w:bookmarkEnd w:id="2"/>
      <w:r w:rsidRPr="005B5134">
        <w:rPr>
          <w:rFonts w:ascii="Palatino Linotype" w:eastAsia="Palatino Linotype" w:hAnsi="Palatino Linotype" w:cs="Palatino Linotype"/>
        </w:rPr>
        <w:lastRenderedPageBreak/>
        <w:t>Informes de actividades y/o resultados.</w:t>
      </w:r>
    </w:p>
    <w:p w14:paraId="6C44034B" w14:textId="77777777" w:rsidR="00B71AF3" w:rsidRPr="005B5134" w:rsidRDefault="00B71AF3">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083F4D1C" w14:textId="77777777" w:rsidR="00B71AF3" w:rsidRPr="005B5134" w:rsidRDefault="00112D67">
      <w:pPr>
        <w:pBdr>
          <w:top w:val="nil"/>
          <w:left w:val="nil"/>
          <w:bottom w:val="nil"/>
          <w:right w:val="nil"/>
          <w:between w:val="nil"/>
        </w:pBdr>
        <w:ind w:left="357" w:right="51"/>
        <w:jc w:val="both"/>
        <w:rPr>
          <w:rFonts w:ascii="Palatino Linotype" w:eastAsia="Palatino Linotype" w:hAnsi="Palatino Linotype" w:cs="Palatino Linotype"/>
          <w:i/>
          <w:sz w:val="22"/>
          <w:szCs w:val="22"/>
        </w:rPr>
      </w:pPr>
      <w:r w:rsidRPr="005B5134">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5B5134">
        <w:rPr>
          <w:rFonts w:ascii="Palatino Linotype" w:eastAsia="Palatino Linotype" w:hAnsi="Palatino Linotype" w:cs="Palatino Linotype"/>
          <w:b/>
          <w:i/>
          <w:sz w:val="22"/>
          <w:szCs w:val="22"/>
        </w:rPr>
        <w:t>RECURRENTE</w:t>
      </w:r>
      <w:r w:rsidRPr="005B5134">
        <w:rPr>
          <w:rFonts w:ascii="Palatino Linotype" w:eastAsia="Palatino Linotype" w:hAnsi="Palatino Linotype" w:cs="Palatino Linotype"/>
          <w:i/>
          <w:sz w:val="22"/>
          <w:szCs w:val="22"/>
        </w:rPr>
        <w:t>, mismo que igualmente hará de su conocimiento.</w:t>
      </w:r>
    </w:p>
    <w:p w14:paraId="7F7DDE32" w14:textId="77777777" w:rsidR="00B71AF3" w:rsidRPr="005B5134" w:rsidRDefault="00B71AF3">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1AC218C1" w14:textId="77777777" w:rsidR="00B71AF3" w:rsidRPr="005B5134" w:rsidRDefault="00112D67">
      <w:pPr>
        <w:pBdr>
          <w:top w:val="nil"/>
          <w:left w:val="nil"/>
          <w:bottom w:val="nil"/>
          <w:right w:val="nil"/>
          <w:between w:val="nil"/>
        </w:pBdr>
        <w:spacing w:line="276" w:lineRule="auto"/>
        <w:ind w:left="426" w:right="49"/>
        <w:jc w:val="both"/>
        <w:rPr>
          <w:sz w:val="22"/>
          <w:szCs w:val="22"/>
        </w:rPr>
      </w:pPr>
      <w:r w:rsidRPr="005B5134">
        <w:rPr>
          <w:rFonts w:ascii="Palatino Linotype" w:eastAsia="Palatino Linotype" w:hAnsi="Palatino Linotype" w:cs="Palatino Linotype"/>
          <w:i/>
          <w:sz w:val="22"/>
          <w:szCs w:val="22"/>
        </w:rPr>
        <w:t xml:space="preserve">Para el caso de que, derivado de la búsqueda exhaustiva y razonable, no se haya generado la información que se ordena en los en los puntos 1.1., 1.2., 2.1., 2.2. y 2.4, bastará que así se lo haga saber a la parte </w:t>
      </w:r>
      <w:r w:rsidRPr="005B5134">
        <w:rPr>
          <w:rFonts w:ascii="Palatino Linotype" w:eastAsia="Palatino Linotype" w:hAnsi="Palatino Linotype" w:cs="Palatino Linotype"/>
          <w:b/>
          <w:i/>
          <w:sz w:val="22"/>
          <w:szCs w:val="22"/>
        </w:rPr>
        <w:t>RECURRENTE</w:t>
      </w:r>
      <w:r w:rsidRPr="005B5134">
        <w:rPr>
          <w:rFonts w:ascii="Palatino Linotype" w:eastAsia="Palatino Linotype" w:hAnsi="Palatino Linotype" w:cs="Palatino Linotype"/>
          <w:i/>
          <w:sz w:val="22"/>
          <w:szCs w:val="22"/>
        </w:rPr>
        <w:t>, en términos de lo señalado por el segundo párrafo del artículo 19 de la Ley de la Materia, para tener por colmado el requerimiento de información.</w:t>
      </w:r>
    </w:p>
    <w:p w14:paraId="233C6FDE" w14:textId="77777777" w:rsidR="00B71AF3" w:rsidRPr="005B5134" w:rsidRDefault="00B71AF3">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609C63A0" w14:textId="77777777" w:rsidR="00B71AF3" w:rsidRPr="005B5134" w:rsidRDefault="00B71AF3">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6AA6D201" w14:textId="77777777" w:rsidR="00B71AF3" w:rsidRPr="005B5134" w:rsidRDefault="00112D67">
      <w:pPr>
        <w:spacing w:line="360" w:lineRule="auto"/>
        <w:ind w:right="49"/>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Tercero. Notifíquese, </w:t>
      </w:r>
      <w:r w:rsidRPr="005B5134">
        <w:rPr>
          <w:rFonts w:ascii="Palatino Linotype" w:eastAsia="Palatino Linotype" w:hAnsi="Palatino Linotype" w:cs="Palatino Linotype"/>
        </w:rPr>
        <w:t xml:space="preserve">vía </w:t>
      </w:r>
      <w:r w:rsidRPr="005B5134">
        <w:rPr>
          <w:rFonts w:ascii="Palatino Linotype" w:eastAsia="Palatino Linotype" w:hAnsi="Palatino Linotype" w:cs="Palatino Linotype"/>
          <w:b/>
        </w:rPr>
        <w:t>SAIMEX</w:t>
      </w:r>
      <w:r w:rsidRPr="005B5134">
        <w:rPr>
          <w:rFonts w:ascii="Palatino Linotype" w:eastAsia="Palatino Linotype" w:hAnsi="Palatino Linotype" w:cs="Palatino Linotype"/>
        </w:rPr>
        <w:t xml:space="preserve">, al Titular de la Unidad de Transparencia del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D36B40" w14:textId="77777777" w:rsidR="00B71AF3" w:rsidRPr="005B5134" w:rsidRDefault="00B71AF3">
      <w:pPr>
        <w:spacing w:line="360" w:lineRule="auto"/>
        <w:ind w:right="49"/>
        <w:jc w:val="both"/>
        <w:rPr>
          <w:rFonts w:ascii="Palatino Linotype" w:eastAsia="Palatino Linotype" w:hAnsi="Palatino Linotype" w:cs="Palatino Linotype"/>
        </w:rPr>
      </w:pPr>
    </w:p>
    <w:p w14:paraId="75C62587" w14:textId="77777777" w:rsidR="00B71AF3" w:rsidRPr="005B5134" w:rsidRDefault="00112D67">
      <w:pPr>
        <w:spacing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 xml:space="preserve">Cuarto. </w:t>
      </w:r>
      <w:r w:rsidRPr="005B5134">
        <w:rPr>
          <w:rFonts w:ascii="Palatino Linotype" w:eastAsia="Palatino Linotype" w:hAnsi="Palatino Linotype" w:cs="Palatino Linotype"/>
        </w:rPr>
        <w:t xml:space="preserve">Notifíquese, vía </w:t>
      </w:r>
      <w:r w:rsidRPr="005B5134">
        <w:rPr>
          <w:rFonts w:ascii="Palatino Linotype" w:eastAsia="Palatino Linotype" w:hAnsi="Palatino Linotype" w:cs="Palatino Linotype"/>
          <w:b/>
        </w:rPr>
        <w:t>SAIMEX</w:t>
      </w:r>
      <w:r w:rsidRPr="005B5134">
        <w:rPr>
          <w:rFonts w:ascii="Palatino Linotype" w:eastAsia="Palatino Linotype" w:hAnsi="Palatino Linotype" w:cs="Palatino Linotype"/>
        </w:rPr>
        <w:t xml:space="preserve">, a la parte </w:t>
      </w:r>
      <w:r w:rsidRPr="005B5134">
        <w:rPr>
          <w:rFonts w:ascii="Palatino Linotype" w:eastAsia="Palatino Linotype" w:hAnsi="Palatino Linotype" w:cs="Palatino Linotype"/>
          <w:b/>
        </w:rPr>
        <w:t>RECURRENTE</w:t>
      </w:r>
      <w:r w:rsidRPr="005B513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5B5134">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4D9A9D7C" w14:textId="77777777" w:rsidR="00B71AF3" w:rsidRPr="005B5134" w:rsidRDefault="00112D67">
      <w:pPr>
        <w:spacing w:before="240" w:after="240" w:line="360" w:lineRule="auto"/>
        <w:jc w:val="both"/>
        <w:rPr>
          <w:rFonts w:ascii="Palatino Linotype" w:eastAsia="Palatino Linotype" w:hAnsi="Palatino Linotype" w:cs="Palatino Linotype"/>
        </w:rPr>
      </w:pPr>
      <w:r w:rsidRPr="005B5134">
        <w:rPr>
          <w:rFonts w:ascii="Palatino Linotype" w:eastAsia="Palatino Linotype" w:hAnsi="Palatino Linotype" w:cs="Palatino Linotype"/>
          <w:b/>
        </w:rPr>
        <w:t>Quinto.</w:t>
      </w:r>
      <w:r w:rsidRPr="005B513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B5134">
        <w:rPr>
          <w:rFonts w:ascii="Palatino Linotype" w:eastAsia="Palatino Linotype" w:hAnsi="Palatino Linotype" w:cs="Palatino Linotype"/>
          <w:b/>
        </w:rPr>
        <w:t>SUJETO OBLIGADO</w:t>
      </w:r>
      <w:r w:rsidRPr="005B5134">
        <w:rPr>
          <w:rFonts w:ascii="Palatino Linotype" w:eastAsia="Palatino Linotype" w:hAnsi="Palatino Linotype" w:cs="Palatino Linotype"/>
        </w:rPr>
        <w:t xml:space="preserve"> de manera fundada y motivada, podrá solicitar una ampliación de plazo para el cumplimiento de la presente resolución.</w:t>
      </w:r>
    </w:p>
    <w:p w14:paraId="3F987809" w14:textId="77777777" w:rsidR="00B71AF3" w:rsidRPr="005B5134" w:rsidRDefault="00112D67">
      <w:pPr>
        <w:spacing w:line="360" w:lineRule="auto"/>
        <w:jc w:val="both"/>
        <w:rPr>
          <w:rFonts w:ascii="Palatino Linotype" w:eastAsia="Palatino Linotype" w:hAnsi="Palatino Linotype" w:cs="Palatino Linotype"/>
        </w:rPr>
        <w:sectPr w:rsidR="00B71AF3" w:rsidRPr="005B5134">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pgNumType w:start="1"/>
          <w:cols w:space="720"/>
          <w:titlePg/>
        </w:sectPr>
      </w:pPr>
      <w:bookmarkStart w:id="3" w:name="_heading=h.1fob9te" w:colFirst="0" w:colLast="0"/>
      <w:bookmarkEnd w:id="3"/>
      <w:r w:rsidRPr="005B513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ONCE DE SEPTIEMBRE DE DOS MIL VEINTICUATRO, ANTE EL SECRETARIO TÉCNICO, ALEXIS TAPIA RAMÍREZ.</w:t>
      </w:r>
    </w:p>
    <w:p w14:paraId="5741D0E0" w14:textId="77777777" w:rsidR="00B71AF3" w:rsidRPr="005B5134" w:rsidRDefault="00B71AF3">
      <w:pPr>
        <w:spacing w:line="360" w:lineRule="auto"/>
        <w:jc w:val="both"/>
      </w:pPr>
    </w:p>
    <w:p w14:paraId="12F718E4" w14:textId="77777777" w:rsidR="00B71AF3" w:rsidRPr="005B5134" w:rsidRDefault="00B71AF3"/>
    <w:p w14:paraId="2C828B71" w14:textId="77777777" w:rsidR="00B71AF3" w:rsidRPr="005B5134" w:rsidRDefault="00B71AF3"/>
    <w:p w14:paraId="272C32C3" w14:textId="77777777" w:rsidR="00B71AF3" w:rsidRPr="005B5134" w:rsidRDefault="00B71AF3"/>
    <w:p w14:paraId="65A42BF8" w14:textId="77777777" w:rsidR="00B71AF3" w:rsidRPr="005B5134" w:rsidRDefault="00B71AF3"/>
    <w:p w14:paraId="6637ADB8" w14:textId="77777777" w:rsidR="00B71AF3" w:rsidRPr="005B5134" w:rsidRDefault="00B71AF3"/>
    <w:p w14:paraId="011069E1" w14:textId="77777777" w:rsidR="00B71AF3" w:rsidRPr="005B5134" w:rsidRDefault="00B71AF3"/>
    <w:p w14:paraId="6DBA7DC7" w14:textId="77777777" w:rsidR="00B71AF3" w:rsidRPr="005B5134" w:rsidRDefault="00B71AF3"/>
    <w:p w14:paraId="26783F78" w14:textId="77777777" w:rsidR="00B71AF3" w:rsidRPr="005B5134" w:rsidRDefault="00B71AF3"/>
    <w:p w14:paraId="6E27AD7E" w14:textId="77777777" w:rsidR="00B71AF3" w:rsidRPr="005B5134" w:rsidRDefault="00B71AF3"/>
    <w:p w14:paraId="03379EE2" w14:textId="77777777" w:rsidR="00B71AF3" w:rsidRPr="005B5134" w:rsidRDefault="00B71AF3"/>
    <w:p w14:paraId="07D6EAFE" w14:textId="77777777" w:rsidR="00B71AF3" w:rsidRPr="005B5134" w:rsidRDefault="00B71AF3"/>
    <w:p w14:paraId="5B01D02A" w14:textId="77777777" w:rsidR="00B71AF3" w:rsidRPr="005B5134" w:rsidRDefault="00B71AF3"/>
    <w:p w14:paraId="6F9BCD70" w14:textId="77777777" w:rsidR="00B71AF3" w:rsidRPr="005B5134" w:rsidRDefault="00B71AF3"/>
    <w:p w14:paraId="47252BB6" w14:textId="77777777" w:rsidR="00B71AF3" w:rsidRPr="005B5134" w:rsidRDefault="00B71AF3"/>
    <w:p w14:paraId="780ABFDA" w14:textId="77777777" w:rsidR="00B71AF3" w:rsidRPr="005B5134" w:rsidRDefault="00B71AF3"/>
    <w:sectPr w:rsidR="00B71AF3" w:rsidRPr="005B5134">
      <w:headerReference w:type="first" r:id="rId3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7B54B" w14:textId="77777777" w:rsidR="001D78B8" w:rsidRDefault="001D78B8">
      <w:r>
        <w:separator/>
      </w:r>
    </w:p>
  </w:endnote>
  <w:endnote w:type="continuationSeparator" w:id="0">
    <w:p w14:paraId="35CAAE70" w14:textId="77777777" w:rsidR="001D78B8" w:rsidRDefault="001D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5E83" w14:textId="77777777" w:rsidR="00B71AF3" w:rsidRDefault="00112D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F7A47">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F7A47">
      <w:rPr>
        <w:rFonts w:ascii="Palatino Linotype" w:eastAsia="Palatino Linotype" w:hAnsi="Palatino Linotype" w:cs="Palatino Linotype"/>
        <w:noProof/>
        <w:color w:val="000000"/>
        <w:sz w:val="20"/>
        <w:szCs w:val="20"/>
      </w:rPr>
      <w:t>49</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A153" w14:textId="77777777" w:rsidR="00B71AF3" w:rsidRDefault="00112D6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56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F7A47">
      <w:rPr>
        <w:rFonts w:ascii="Palatino Linotype" w:eastAsia="Palatino Linotype" w:hAnsi="Palatino Linotype" w:cs="Palatino Linotype"/>
        <w:noProof/>
        <w:color w:val="000000"/>
        <w:sz w:val="20"/>
        <w:szCs w:val="20"/>
      </w:rPr>
      <w:t>49</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A724C" w14:textId="77777777" w:rsidR="001D78B8" w:rsidRDefault="001D78B8">
      <w:r>
        <w:separator/>
      </w:r>
    </w:p>
  </w:footnote>
  <w:footnote w:type="continuationSeparator" w:id="0">
    <w:p w14:paraId="7B83DE78" w14:textId="77777777" w:rsidR="001D78B8" w:rsidRDefault="001D7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4C7B8" w14:textId="77777777" w:rsidR="00B71AF3" w:rsidRDefault="00E065F7">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00401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09.4pt;height:793.75pt;z-index:-251657728;mso-wrap-edited:f;mso-width-percent:0;mso-height-percent:0;mso-position-horizontal:center;mso-position-horizontal-relative:margin;mso-position-vertical:center;mso-position-vertical-relative:margin;mso-width-percent:0;mso-height-percent:0">
          <v:imagedata r:id="rId1" o:title="image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AFAF" w14:textId="77777777" w:rsidR="00B71AF3" w:rsidRDefault="00B71A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p>
  <w:tbl>
    <w:tblPr>
      <w:tblStyle w:val="af4"/>
      <w:tblW w:w="6667" w:type="dxa"/>
      <w:tblInd w:w="2547" w:type="dxa"/>
      <w:tblLayout w:type="fixed"/>
      <w:tblLook w:val="0400" w:firstRow="0" w:lastRow="0" w:firstColumn="0" w:lastColumn="0" w:noHBand="0" w:noVBand="1"/>
    </w:tblPr>
    <w:tblGrid>
      <w:gridCol w:w="2551"/>
      <w:gridCol w:w="4116"/>
    </w:tblGrid>
    <w:tr w:rsidR="00B71AF3" w14:paraId="457243A2" w14:textId="77777777">
      <w:tc>
        <w:tcPr>
          <w:tcW w:w="2551" w:type="dxa"/>
          <w:shd w:val="clear" w:color="auto" w:fill="auto"/>
          <w:vAlign w:val="center"/>
        </w:tcPr>
        <w:p w14:paraId="59ABC642" w14:textId="77777777" w:rsidR="00B71AF3" w:rsidRDefault="00112D6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2DE1AB38" w14:textId="77777777" w:rsidR="00B71AF3" w:rsidRDefault="00112D6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03664/INFOEM/IP/RR/2024 y acumulados</w:t>
          </w:r>
        </w:p>
      </w:tc>
    </w:tr>
    <w:tr w:rsidR="00B71AF3" w14:paraId="274BF060" w14:textId="77777777">
      <w:trPr>
        <w:trHeight w:val="228"/>
      </w:trPr>
      <w:tc>
        <w:tcPr>
          <w:tcW w:w="2551" w:type="dxa"/>
          <w:shd w:val="clear" w:color="auto" w:fill="auto"/>
          <w:vAlign w:val="center"/>
        </w:tcPr>
        <w:p w14:paraId="4B9971D9" w14:textId="77777777" w:rsidR="00B71AF3" w:rsidRDefault="00112D6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58B15D0F" w14:textId="77777777" w:rsidR="00B71AF3" w:rsidRDefault="00112D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71AF3" w14:paraId="4A7B5D2A" w14:textId="77777777">
      <w:tc>
        <w:tcPr>
          <w:tcW w:w="2551" w:type="dxa"/>
          <w:shd w:val="clear" w:color="auto" w:fill="auto"/>
          <w:vAlign w:val="center"/>
        </w:tcPr>
        <w:p w14:paraId="27516A3E" w14:textId="77777777" w:rsidR="00B71AF3" w:rsidRDefault="00112D6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79659E6B" w14:textId="77777777" w:rsidR="00B71AF3" w:rsidRDefault="00112D6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B1FC7B" w14:textId="77777777" w:rsidR="00B71AF3" w:rsidRDefault="00E065F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pict w14:anchorId="2B585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96.95pt;margin-top:-125.7pt;width:649.35pt;height:845.8pt;z-index:-251659776;mso-wrap-edited:f;mso-width-percent:0;mso-height-percent:0;mso-position-horizontal:absolute;mso-position-horizontal-relative:margin;mso-position-vertical:absolute;mso-position-vertical-relative:margin;mso-width-percent:0;mso-height-percent:0">
          <v:imagedata r:id="rId1" o:title="image1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46F5" w14:textId="77777777" w:rsidR="00B71AF3" w:rsidRDefault="00B71AF3">
    <w:pPr>
      <w:widowControl w:val="0"/>
      <w:pBdr>
        <w:top w:val="nil"/>
        <w:left w:val="nil"/>
        <w:bottom w:val="nil"/>
        <w:right w:val="nil"/>
        <w:between w:val="nil"/>
      </w:pBdr>
      <w:spacing w:line="276" w:lineRule="auto"/>
      <w:rPr>
        <w:rFonts w:ascii="Calibri" w:eastAsia="Calibri" w:hAnsi="Calibri" w:cs="Calibri"/>
        <w:color w:val="000000"/>
      </w:rPr>
    </w:pPr>
  </w:p>
  <w:tbl>
    <w:tblPr>
      <w:tblStyle w:val="af5"/>
      <w:tblW w:w="6667" w:type="dxa"/>
      <w:tblInd w:w="2547" w:type="dxa"/>
      <w:tblLayout w:type="fixed"/>
      <w:tblLook w:val="0400" w:firstRow="0" w:lastRow="0" w:firstColumn="0" w:lastColumn="0" w:noHBand="0" w:noVBand="1"/>
    </w:tblPr>
    <w:tblGrid>
      <w:gridCol w:w="2551"/>
      <w:gridCol w:w="4116"/>
    </w:tblGrid>
    <w:tr w:rsidR="00B71AF3" w14:paraId="2B33F355" w14:textId="77777777">
      <w:tc>
        <w:tcPr>
          <w:tcW w:w="2551" w:type="dxa"/>
          <w:shd w:val="clear" w:color="auto" w:fill="auto"/>
          <w:vAlign w:val="center"/>
        </w:tcPr>
        <w:p w14:paraId="2C9FEC30" w14:textId="77777777" w:rsidR="00B71AF3" w:rsidRDefault="00112D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0E34B659" w14:textId="77777777" w:rsidR="00B71AF3" w:rsidRDefault="00112D67">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03664/INFOEM/IP/RR/2024 y</w:t>
          </w:r>
        </w:p>
        <w:p w14:paraId="17441DB2" w14:textId="77777777" w:rsidR="00B71AF3" w:rsidRDefault="00112D6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Acumulados.           </w:t>
          </w:r>
        </w:p>
      </w:tc>
    </w:tr>
    <w:tr w:rsidR="00B71AF3" w14:paraId="558B84E1" w14:textId="77777777">
      <w:tc>
        <w:tcPr>
          <w:tcW w:w="2551" w:type="dxa"/>
          <w:shd w:val="clear" w:color="auto" w:fill="auto"/>
          <w:vAlign w:val="center"/>
        </w:tcPr>
        <w:p w14:paraId="030ACA2A" w14:textId="77777777" w:rsidR="00B71AF3" w:rsidRDefault="00112D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shd w:val="clear" w:color="auto" w:fill="auto"/>
          <w:vAlign w:val="center"/>
        </w:tcPr>
        <w:p w14:paraId="4FFA6F45" w14:textId="77777777" w:rsidR="00B71AF3" w:rsidRDefault="00B71AF3">
          <w:pPr>
            <w:ind w:left="32" w:right="27"/>
            <w:jc w:val="both"/>
            <w:rPr>
              <w:rFonts w:ascii="Palatino Linotype" w:eastAsia="Palatino Linotype" w:hAnsi="Palatino Linotype" w:cs="Palatino Linotype"/>
              <w:sz w:val="22"/>
              <w:szCs w:val="22"/>
            </w:rPr>
          </w:pPr>
        </w:p>
      </w:tc>
    </w:tr>
    <w:tr w:rsidR="00B71AF3" w14:paraId="027D1E34" w14:textId="77777777">
      <w:trPr>
        <w:trHeight w:val="228"/>
      </w:trPr>
      <w:tc>
        <w:tcPr>
          <w:tcW w:w="2551" w:type="dxa"/>
          <w:shd w:val="clear" w:color="auto" w:fill="auto"/>
          <w:vAlign w:val="center"/>
        </w:tcPr>
        <w:p w14:paraId="6475A246" w14:textId="77777777" w:rsidR="00B71AF3" w:rsidRDefault="00112D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0FDF3EE9" w14:textId="77777777" w:rsidR="00B71AF3" w:rsidRDefault="00112D6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71AF3" w14:paraId="5BD77F30" w14:textId="77777777">
      <w:tc>
        <w:tcPr>
          <w:tcW w:w="2551" w:type="dxa"/>
          <w:shd w:val="clear" w:color="auto" w:fill="auto"/>
          <w:vAlign w:val="center"/>
        </w:tcPr>
        <w:p w14:paraId="14FC7527" w14:textId="77777777" w:rsidR="00B71AF3" w:rsidRDefault="00112D6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34271EDB" w14:textId="77777777" w:rsidR="00B71AF3" w:rsidRDefault="00112D6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374726" w14:textId="77777777" w:rsidR="00B71AF3" w:rsidRDefault="00E065F7">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32E22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93.8pt;margin-top:-135.95pt;width:628.7pt;height:818.9pt;z-index:-251658752;mso-wrap-edited:f;mso-width-percent:0;mso-height-percent:0;mso-position-horizontal:absolute;mso-position-horizontal-relative:margin;mso-position-vertical:absolute;mso-position-vertical-relative:margin;mso-width-percent:0;mso-height-percent:0">
          <v:imagedata r:id="rId1" o:title="image1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F62C" w14:textId="77777777" w:rsidR="00B71AF3" w:rsidRDefault="00B71AF3">
    <w:pPr>
      <w:widowControl w:val="0"/>
      <w:pBdr>
        <w:top w:val="nil"/>
        <w:left w:val="nil"/>
        <w:bottom w:val="nil"/>
        <w:right w:val="nil"/>
        <w:between w:val="nil"/>
      </w:pBdr>
      <w:spacing w:line="276" w:lineRule="auto"/>
      <w:rPr>
        <w:rFonts w:ascii="Calibri" w:eastAsia="Calibri" w:hAnsi="Calibri" w:cs="Calibri"/>
        <w:color w:val="000000"/>
      </w:rPr>
    </w:pPr>
  </w:p>
  <w:p w14:paraId="474EB5C0" w14:textId="77777777" w:rsidR="00B71AF3" w:rsidRDefault="00B71AF3">
    <w:pPr>
      <w:pBdr>
        <w:top w:val="nil"/>
        <w:left w:val="nil"/>
        <w:bottom w:val="nil"/>
        <w:right w:val="nil"/>
        <w:between w:val="nil"/>
      </w:pBdr>
      <w:tabs>
        <w:tab w:val="center" w:pos="4252"/>
        <w:tab w:val="right" w:pos="8504"/>
      </w:tabs>
      <w:rPr>
        <w:rFonts w:ascii="Calibri" w:eastAsia="Calibri" w:hAnsi="Calibri" w:cs="Calibri"/>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B78A2"/>
    <w:multiLevelType w:val="multilevel"/>
    <w:tmpl w:val="53263E3E"/>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5B55AD"/>
    <w:multiLevelType w:val="multilevel"/>
    <w:tmpl w:val="12E8D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8C24DB"/>
    <w:multiLevelType w:val="multilevel"/>
    <w:tmpl w:val="5B52B2D0"/>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404FB1"/>
    <w:multiLevelType w:val="multilevel"/>
    <w:tmpl w:val="FC18EB1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3967890"/>
    <w:multiLevelType w:val="multilevel"/>
    <w:tmpl w:val="F65CE6D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D6646F"/>
    <w:multiLevelType w:val="multilevel"/>
    <w:tmpl w:val="8D94F30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AF3"/>
    <w:rsid w:val="00112D67"/>
    <w:rsid w:val="001D78B8"/>
    <w:rsid w:val="005B5134"/>
    <w:rsid w:val="006F7A47"/>
    <w:rsid w:val="00707B4D"/>
    <w:rsid w:val="00A53A38"/>
    <w:rsid w:val="00B71AF3"/>
    <w:rsid w:val="00CB2B39"/>
    <w:rsid w:val="00DE61FE"/>
    <w:rsid w:val="00E06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73165"/>
  <w15:docId w15:val="{83A847EF-E101-4708-BDF5-D990C017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0B"/>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E93BB3"/>
    <w:pPr>
      <w:spacing w:before="100" w:beforeAutospacing="1" w:after="100" w:afterAutospacing="1"/>
      <w:outlineLvl w:val="3"/>
    </w:pPr>
    <w:rPr>
      <w:b/>
      <w:bCs/>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3"/>
    <w:rsid w:val="009D7E06"/>
    <w:tblPr>
      <w:tblStyleRowBandSize w:val="1"/>
      <w:tblStyleColBandSize w:val="1"/>
      <w:tblCellMar>
        <w:left w:w="115" w:type="dxa"/>
        <w:right w:w="115" w:type="dxa"/>
      </w:tblCellMar>
    </w:tblPr>
  </w:style>
  <w:style w:type="table" w:customStyle="1" w:styleId="7">
    <w:name w:val="7"/>
    <w:basedOn w:val="TableNormal3"/>
    <w:rsid w:val="009D7E06"/>
    <w:tblPr>
      <w:tblStyleRowBandSize w:val="1"/>
      <w:tblStyleColBandSize w:val="1"/>
      <w:tblCellMar>
        <w:left w:w="115" w:type="dxa"/>
        <w:right w:w="115" w:type="dxa"/>
      </w:tblCellMar>
    </w:tblPr>
  </w:style>
  <w:style w:type="table" w:customStyle="1" w:styleId="6">
    <w:name w:val="6"/>
    <w:basedOn w:val="TableNormal3"/>
    <w:rsid w:val="009D7E06"/>
    <w:tblPr>
      <w:tblStyleRowBandSize w:val="1"/>
      <w:tblStyleColBandSize w:val="1"/>
      <w:tblCellMar>
        <w:left w:w="115" w:type="dxa"/>
        <w:right w:w="115" w:type="dxa"/>
      </w:tblCellMar>
    </w:tblPr>
  </w:style>
  <w:style w:type="table" w:customStyle="1" w:styleId="5">
    <w:name w:val="5"/>
    <w:basedOn w:val="TableNormal3"/>
    <w:rsid w:val="009D7E06"/>
    <w:tblPr>
      <w:tblStyleRowBandSize w:val="1"/>
      <w:tblStyleColBandSize w:val="1"/>
      <w:tblCellMar>
        <w:left w:w="115" w:type="dxa"/>
        <w:right w:w="115" w:type="dxa"/>
      </w:tblCellMar>
    </w:tblPr>
  </w:style>
  <w:style w:type="table" w:customStyle="1" w:styleId="4">
    <w:name w:val="4"/>
    <w:basedOn w:val="TableNormal3"/>
    <w:rsid w:val="009D7E06"/>
    <w:tblPr>
      <w:tblStyleRowBandSize w:val="1"/>
      <w:tblStyleColBandSize w:val="1"/>
      <w:tblCellMar>
        <w:left w:w="115" w:type="dxa"/>
        <w:right w:w="115" w:type="dxa"/>
      </w:tblCellMar>
    </w:tblPr>
  </w:style>
  <w:style w:type="table" w:customStyle="1" w:styleId="3">
    <w:name w:val="3"/>
    <w:basedOn w:val="TableNormal3"/>
    <w:rsid w:val="009D7E06"/>
    <w:tblPr>
      <w:tblStyleRowBandSize w:val="1"/>
      <w:tblStyleColBandSize w:val="1"/>
      <w:tblCellMar>
        <w:left w:w="115" w:type="dxa"/>
        <w:right w:w="115" w:type="dxa"/>
      </w:tblCellMar>
    </w:tblPr>
  </w:style>
  <w:style w:type="table" w:customStyle="1" w:styleId="2">
    <w:name w:val="2"/>
    <w:basedOn w:val="TableNormal3"/>
    <w:rsid w:val="009D7E06"/>
    <w:tblPr>
      <w:tblStyleRowBandSize w:val="1"/>
      <w:tblStyleColBandSize w:val="1"/>
      <w:tblCellMar>
        <w:left w:w="115" w:type="dxa"/>
        <w:right w:w="115" w:type="dxa"/>
      </w:tblCellMar>
    </w:tblPr>
  </w:style>
  <w:style w:type="table" w:customStyle="1" w:styleId="1">
    <w:name w:val="1"/>
    <w:basedOn w:val="TableNormal3"/>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3"/>
    <w:rsid w:val="009D7E06"/>
    <w:tblPr>
      <w:tblStyleRowBandSize w:val="1"/>
      <w:tblStyleColBandSize w:val="1"/>
      <w:tblCellMar>
        <w:left w:w="115" w:type="dxa"/>
        <w:right w:w="115" w:type="dxa"/>
      </w:tblCellMar>
    </w:tblPr>
  </w:style>
  <w:style w:type="table" w:customStyle="1" w:styleId="71">
    <w:name w:val="71"/>
    <w:basedOn w:val="TableNormal3"/>
    <w:rsid w:val="009D7E06"/>
    <w:tblPr>
      <w:tblStyleRowBandSize w:val="1"/>
      <w:tblStyleColBandSize w:val="1"/>
      <w:tblCellMar>
        <w:left w:w="115" w:type="dxa"/>
        <w:right w:w="115" w:type="dxa"/>
      </w:tblCellMar>
    </w:tblPr>
  </w:style>
  <w:style w:type="table" w:customStyle="1" w:styleId="61">
    <w:name w:val="61"/>
    <w:basedOn w:val="TableNormal3"/>
    <w:rsid w:val="009D7E06"/>
    <w:tblPr>
      <w:tblStyleRowBandSize w:val="1"/>
      <w:tblStyleColBandSize w:val="1"/>
      <w:tblCellMar>
        <w:left w:w="115" w:type="dxa"/>
        <w:right w:w="115" w:type="dxa"/>
      </w:tblCellMar>
    </w:tblPr>
  </w:style>
  <w:style w:type="table" w:customStyle="1" w:styleId="51">
    <w:name w:val="51"/>
    <w:basedOn w:val="TableNormal3"/>
    <w:rsid w:val="009D7E06"/>
    <w:tblPr>
      <w:tblStyleRowBandSize w:val="1"/>
      <w:tblStyleColBandSize w:val="1"/>
      <w:tblCellMar>
        <w:left w:w="115" w:type="dxa"/>
        <w:right w:w="115" w:type="dxa"/>
      </w:tblCellMar>
    </w:tblPr>
  </w:style>
  <w:style w:type="table" w:customStyle="1" w:styleId="41">
    <w:name w:val="41"/>
    <w:basedOn w:val="TableNormal3"/>
    <w:rsid w:val="009D7E06"/>
    <w:tblPr>
      <w:tblStyleRowBandSize w:val="1"/>
      <w:tblStyleColBandSize w:val="1"/>
      <w:tblCellMar>
        <w:left w:w="115" w:type="dxa"/>
        <w:right w:w="115" w:type="dxa"/>
      </w:tblCellMar>
    </w:tblPr>
  </w:style>
  <w:style w:type="table" w:customStyle="1" w:styleId="31">
    <w:name w:val="31"/>
    <w:basedOn w:val="TableNormal3"/>
    <w:rsid w:val="009D7E06"/>
    <w:tblPr>
      <w:tblStyleRowBandSize w:val="1"/>
      <w:tblStyleColBandSize w:val="1"/>
      <w:tblCellMar>
        <w:left w:w="115" w:type="dxa"/>
        <w:right w:w="115" w:type="dxa"/>
      </w:tblCellMar>
    </w:tblPr>
  </w:style>
  <w:style w:type="table" w:customStyle="1" w:styleId="21">
    <w:name w:val="21"/>
    <w:basedOn w:val="TableNormal3"/>
    <w:rsid w:val="009D7E06"/>
    <w:tblPr>
      <w:tblStyleRowBandSize w:val="1"/>
      <w:tblStyleColBandSize w:val="1"/>
      <w:tblCellMar>
        <w:left w:w="115" w:type="dxa"/>
        <w:right w:w="115" w:type="dxa"/>
      </w:tblCellMar>
    </w:tblPr>
  </w:style>
  <w:style w:type="table" w:customStyle="1" w:styleId="11">
    <w:name w:val="11"/>
    <w:basedOn w:val="TableNormal3"/>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2209062.page"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80425.page" TargetMode="External"/><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saimex.org.mx/saimex/solicitud/downloadAttach/2151664.page"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2126354.page" TargetMode="External"/><Relationship Id="rId14" Type="http://schemas.openxmlformats.org/officeDocument/2006/relationships/image" Target="media/image2.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saimex.org.mx/saimex/solicitud/downloadAttach/2126357.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EFFBrapUgIIThz0E0kCK6LPcQ==">CgMxLjAyCGguZ2pkZ3hzMg5oLjk3OGpmbWdobHJ5azIJaC4zMGowemxsMgloLjFmb2I5dGU4AHIhMVpuV0tFRGRVbElxQi03OEVwSVkzZU1uSFlndmF5SVgz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49</Pages>
  <Words>11357</Words>
  <Characters>62467</Characters>
  <Application>Microsoft Office Word</Application>
  <DocSecurity>0</DocSecurity>
  <Lines>520</Lines>
  <Paragraphs>147</Paragraphs>
  <ScaleCrop>false</ScaleCrop>
  <Company>HP Inc.</Company>
  <LinksUpToDate>false</LinksUpToDate>
  <CharactersWithSpaces>73677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Maricela Villagómez Martínez</cp:lastModifiedBy>
  <cp:revision>2</cp:revision>
  <cp:lastPrinted>2024-09-13T17:00:00Z</cp:lastPrinted>
  <dcterms:created xsi:type="dcterms:W3CDTF">2024-09-24T18:30:00Z</dcterms:created>
  <dcterms:modified xsi:type="dcterms:W3CDTF">2024-09-24T18:30:00Z</dcterms:modified>
</cp:coreProperties>
</file>