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16839" w14:textId="77777777" w:rsidR="002128E2" w:rsidRPr="003E2870" w:rsidRDefault="00830CED">
      <w:pPr>
        <w:spacing w:before="240"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Pr="003E2870">
        <w:rPr>
          <w:rFonts w:ascii="Palatino Linotype" w:eastAsia="Palatino Linotype" w:hAnsi="Palatino Linotype" w:cs="Palatino Linotype"/>
          <w:b/>
          <w:sz w:val="22"/>
          <w:szCs w:val="22"/>
        </w:rPr>
        <w:t>seis de noviembre de dos mil veinticuatro</w:t>
      </w:r>
      <w:r w:rsidRPr="003E2870">
        <w:rPr>
          <w:rFonts w:ascii="Palatino Linotype" w:eastAsia="Palatino Linotype" w:hAnsi="Palatino Linotype" w:cs="Palatino Linotype"/>
          <w:sz w:val="22"/>
          <w:szCs w:val="22"/>
        </w:rPr>
        <w:t xml:space="preserve">. </w:t>
      </w:r>
    </w:p>
    <w:p w14:paraId="56E84233" w14:textId="0F921799" w:rsidR="002128E2" w:rsidRPr="003E2870" w:rsidRDefault="00830CED">
      <w:pPr>
        <w:spacing w:before="240" w:after="240" w:line="360" w:lineRule="auto"/>
        <w:jc w:val="both"/>
        <w:rPr>
          <w:rFonts w:ascii="Palatino Linotype" w:eastAsia="Palatino Linotype" w:hAnsi="Palatino Linotype" w:cs="Palatino Linotype"/>
          <w:b/>
          <w:sz w:val="22"/>
          <w:szCs w:val="22"/>
        </w:rPr>
      </w:pPr>
      <w:r w:rsidRPr="003E2870">
        <w:rPr>
          <w:rFonts w:ascii="Palatino Linotype" w:eastAsia="Palatino Linotype" w:hAnsi="Palatino Linotype" w:cs="Palatino Linotype"/>
          <w:b/>
          <w:sz w:val="22"/>
          <w:szCs w:val="22"/>
        </w:rPr>
        <w:t>Visto</w:t>
      </w:r>
      <w:r w:rsidRPr="003E2870">
        <w:rPr>
          <w:rFonts w:ascii="Palatino Linotype" w:eastAsia="Palatino Linotype" w:hAnsi="Palatino Linotype" w:cs="Palatino Linotype"/>
          <w:sz w:val="22"/>
          <w:szCs w:val="22"/>
        </w:rPr>
        <w:t xml:space="preserve"> el expediente formado con motivo del recurso de revisión </w:t>
      </w:r>
      <w:r w:rsidRPr="003E2870">
        <w:rPr>
          <w:rFonts w:ascii="Palatino Linotype" w:eastAsia="Palatino Linotype" w:hAnsi="Palatino Linotype" w:cs="Palatino Linotype"/>
          <w:b/>
          <w:sz w:val="22"/>
          <w:szCs w:val="22"/>
        </w:rPr>
        <w:t>05784/INFOEM/IP/RR/2024</w:t>
      </w:r>
      <w:r w:rsidRPr="003E2870">
        <w:rPr>
          <w:rFonts w:ascii="Palatino Linotype" w:eastAsia="Palatino Linotype" w:hAnsi="Palatino Linotype" w:cs="Palatino Linotype"/>
          <w:sz w:val="22"/>
          <w:szCs w:val="22"/>
        </w:rPr>
        <w:t>, interpuesto por</w:t>
      </w:r>
      <w:r w:rsidRPr="003E2870">
        <w:rPr>
          <w:rFonts w:ascii="Palatino Linotype" w:eastAsia="Palatino Linotype" w:hAnsi="Palatino Linotype" w:cs="Palatino Linotype"/>
          <w:b/>
          <w:sz w:val="22"/>
          <w:szCs w:val="22"/>
        </w:rPr>
        <w:t xml:space="preserve"> </w:t>
      </w:r>
      <w:r w:rsidR="004F4C16">
        <w:rPr>
          <w:rFonts w:ascii="Palatino Linotype" w:eastAsia="Palatino Linotype" w:hAnsi="Palatino Linotype" w:cs="Palatino Linotype"/>
          <w:b/>
          <w:sz w:val="22"/>
          <w:szCs w:val="22"/>
        </w:rPr>
        <w:t>XXXXXXX</w:t>
      </w:r>
      <w:r w:rsidRPr="003E2870">
        <w:rPr>
          <w:rFonts w:ascii="Palatino Linotype" w:eastAsia="Palatino Linotype" w:hAnsi="Palatino Linotype" w:cs="Palatino Linotype"/>
          <w:sz w:val="22"/>
          <w:szCs w:val="22"/>
        </w:rPr>
        <w:t xml:space="preserve">, en lo sucesivo </w:t>
      </w:r>
      <w:r w:rsidRPr="003E2870">
        <w:rPr>
          <w:rFonts w:ascii="Palatino Linotype" w:eastAsia="Palatino Linotype" w:hAnsi="Palatino Linotype" w:cs="Palatino Linotype"/>
          <w:b/>
          <w:sz w:val="22"/>
          <w:szCs w:val="22"/>
        </w:rPr>
        <w:t>la</w:t>
      </w:r>
      <w:r w:rsidRPr="003E2870">
        <w:rPr>
          <w:rFonts w:ascii="Palatino Linotype" w:eastAsia="Palatino Linotype" w:hAnsi="Palatino Linotype" w:cs="Palatino Linotype"/>
          <w:sz w:val="22"/>
          <w:szCs w:val="22"/>
        </w:rPr>
        <w:t xml:space="preserve"> </w:t>
      </w:r>
      <w:r w:rsidRPr="003E2870">
        <w:rPr>
          <w:rFonts w:ascii="Palatino Linotype" w:eastAsia="Palatino Linotype" w:hAnsi="Palatino Linotype" w:cs="Palatino Linotype"/>
          <w:b/>
          <w:sz w:val="22"/>
          <w:szCs w:val="22"/>
        </w:rPr>
        <w:t>parte</w:t>
      </w:r>
      <w:r w:rsidRPr="003E2870">
        <w:rPr>
          <w:rFonts w:ascii="Palatino Linotype" w:eastAsia="Palatino Linotype" w:hAnsi="Palatino Linotype" w:cs="Palatino Linotype"/>
          <w:sz w:val="22"/>
          <w:szCs w:val="22"/>
        </w:rPr>
        <w:t xml:space="preserve"> </w:t>
      </w:r>
      <w:r w:rsidRPr="003E2870">
        <w:rPr>
          <w:rFonts w:ascii="Palatino Linotype" w:eastAsia="Palatino Linotype" w:hAnsi="Palatino Linotype" w:cs="Palatino Linotype"/>
          <w:b/>
          <w:sz w:val="22"/>
          <w:szCs w:val="22"/>
        </w:rPr>
        <w:t>Recurrente,</w:t>
      </w:r>
      <w:r w:rsidRPr="003E2870">
        <w:rPr>
          <w:rFonts w:ascii="Palatino Linotype" w:eastAsia="Palatino Linotype" w:hAnsi="Palatino Linotype" w:cs="Palatino Linotype"/>
          <w:sz w:val="22"/>
          <w:szCs w:val="22"/>
        </w:rPr>
        <w:t xml:space="preserve"> en contra de la respuesta a su solicitud por parte del </w:t>
      </w:r>
      <w:r w:rsidRPr="003E2870">
        <w:rPr>
          <w:rFonts w:ascii="Palatino Linotype" w:eastAsia="Palatino Linotype" w:hAnsi="Palatino Linotype" w:cs="Palatino Linotype"/>
          <w:b/>
          <w:sz w:val="22"/>
          <w:szCs w:val="22"/>
        </w:rPr>
        <w:t xml:space="preserve">Ayuntamiento de Texcaltitlán, </w:t>
      </w:r>
      <w:r w:rsidRPr="003E2870">
        <w:rPr>
          <w:rFonts w:ascii="Palatino Linotype" w:eastAsia="Palatino Linotype" w:hAnsi="Palatino Linotype" w:cs="Palatino Linotype"/>
          <w:sz w:val="22"/>
          <w:szCs w:val="22"/>
        </w:rPr>
        <w:t xml:space="preserve">en lo sucesivo el </w:t>
      </w:r>
      <w:r w:rsidRPr="003E2870">
        <w:rPr>
          <w:rFonts w:ascii="Palatino Linotype" w:eastAsia="Palatino Linotype" w:hAnsi="Palatino Linotype" w:cs="Palatino Linotype"/>
          <w:b/>
          <w:sz w:val="22"/>
          <w:szCs w:val="22"/>
        </w:rPr>
        <w:t xml:space="preserve">Sujeto Obligado, </w:t>
      </w:r>
      <w:r w:rsidRPr="003E2870">
        <w:rPr>
          <w:rFonts w:ascii="Palatino Linotype" w:eastAsia="Palatino Linotype" w:hAnsi="Palatino Linotype" w:cs="Palatino Linotype"/>
          <w:sz w:val="22"/>
          <w:szCs w:val="22"/>
        </w:rPr>
        <w:t xml:space="preserve">se procede a dictar la presente resolución con base en los siguientes: </w:t>
      </w:r>
    </w:p>
    <w:p w14:paraId="27408328" w14:textId="77777777" w:rsidR="002128E2" w:rsidRPr="003E2870" w:rsidRDefault="00830CED">
      <w:pPr>
        <w:spacing w:before="240" w:after="240" w:line="360" w:lineRule="auto"/>
        <w:jc w:val="center"/>
        <w:rPr>
          <w:rFonts w:ascii="Palatino Linotype" w:eastAsia="Palatino Linotype" w:hAnsi="Palatino Linotype" w:cs="Palatino Linotype"/>
          <w:b/>
          <w:sz w:val="22"/>
          <w:szCs w:val="22"/>
        </w:rPr>
      </w:pPr>
      <w:r w:rsidRPr="003E2870">
        <w:rPr>
          <w:rFonts w:ascii="Palatino Linotype" w:eastAsia="Palatino Linotype" w:hAnsi="Palatino Linotype" w:cs="Palatino Linotype"/>
          <w:b/>
          <w:sz w:val="22"/>
          <w:szCs w:val="22"/>
        </w:rPr>
        <w:t>I. A N T E C E D E N T E S</w:t>
      </w:r>
    </w:p>
    <w:p w14:paraId="70F46D32" w14:textId="77777777" w:rsidR="002128E2" w:rsidRPr="003E2870" w:rsidRDefault="00830CED">
      <w:pPr>
        <w:spacing w:before="240"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b/>
          <w:sz w:val="22"/>
          <w:szCs w:val="22"/>
        </w:rPr>
        <w:t>1. Solicitud de acceso a la información.</w:t>
      </w:r>
      <w:r w:rsidRPr="003E2870">
        <w:rPr>
          <w:rFonts w:ascii="Palatino Linotype" w:eastAsia="Palatino Linotype" w:hAnsi="Palatino Linotype" w:cs="Palatino Linotype"/>
          <w:sz w:val="22"/>
          <w:szCs w:val="22"/>
        </w:rPr>
        <w:t xml:space="preserve"> El </w:t>
      </w:r>
      <w:r w:rsidRPr="003E2870">
        <w:rPr>
          <w:rFonts w:ascii="Palatino Linotype" w:eastAsia="Palatino Linotype" w:hAnsi="Palatino Linotype" w:cs="Palatino Linotype"/>
          <w:b/>
          <w:sz w:val="22"/>
          <w:szCs w:val="22"/>
        </w:rPr>
        <w:t>treinta de agosto del dos mil veinticuatro,</w:t>
      </w:r>
      <w:r w:rsidRPr="003E2870">
        <w:rPr>
          <w:rFonts w:ascii="Palatino Linotype" w:eastAsia="Palatino Linotype" w:hAnsi="Palatino Linotype" w:cs="Palatino Linotype"/>
          <w:sz w:val="22"/>
          <w:szCs w:val="22"/>
        </w:rPr>
        <w:t xml:space="preserve"> </w:t>
      </w:r>
      <w:r w:rsidRPr="003E2870">
        <w:rPr>
          <w:rFonts w:ascii="Palatino Linotype" w:eastAsia="Palatino Linotype" w:hAnsi="Palatino Linotype" w:cs="Palatino Linotype"/>
          <w:b/>
          <w:sz w:val="22"/>
          <w:szCs w:val="22"/>
        </w:rPr>
        <w:t xml:space="preserve">la parte Recurrente </w:t>
      </w:r>
      <w:r w:rsidRPr="003E2870">
        <w:rPr>
          <w:rFonts w:ascii="Palatino Linotype" w:eastAsia="Palatino Linotype" w:hAnsi="Palatino Linotype" w:cs="Palatino Linotype"/>
          <w:sz w:val="22"/>
          <w:szCs w:val="22"/>
        </w:rPr>
        <w:t xml:space="preserve">presentó, a través de la Plataforma Nacional de Transparencia (PNT), la cual se encuentra vinculada al Sistema de Acceso a la Información Mexiquense, en lo subsecuente el </w:t>
      </w:r>
      <w:r w:rsidRPr="003E2870">
        <w:rPr>
          <w:rFonts w:ascii="Palatino Linotype" w:eastAsia="Palatino Linotype" w:hAnsi="Palatino Linotype" w:cs="Palatino Linotype"/>
          <w:b/>
          <w:sz w:val="22"/>
          <w:szCs w:val="22"/>
        </w:rPr>
        <w:t>SAIMEX,</w:t>
      </w:r>
      <w:r w:rsidRPr="003E2870">
        <w:rPr>
          <w:rFonts w:ascii="Palatino Linotype" w:eastAsia="Palatino Linotype" w:hAnsi="Palatino Linotype" w:cs="Palatino Linotype"/>
          <w:sz w:val="22"/>
          <w:szCs w:val="22"/>
        </w:rPr>
        <w:t xml:space="preserve"> ante el </w:t>
      </w:r>
      <w:r w:rsidRPr="003E2870">
        <w:rPr>
          <w:rFonts w:ascii="Palatino Linotype" w:eastAsia="Palatino Linotype" w:hAnsi="Palatino Linotype" w:cs="Palatino Linotype"/>
          <w:b/>
          <w:sz w:val="22"/>
          <w:szCs w:val="22"/>
        </w:rPr>
        <w:t>Sujeto Obligado</w:t>
      </w:r>
      <w:r w:rsidRPr="003E2870">
        <w:rPr>
          <w:rFonts w:ascii="Palatino Linotype" w:eastAsia="Palatino Linotype" w:hAnsi="Palatino Linotype" w:cs="Palatino Linotype"/>
          <w:sz w:val="22"/>
          <w:szCs w:val="22"/>
        </w:rPr>
        <w:t>, la solicitud de acceso a la información pública, a la que se le asignó el número</w:t>
      </w:r>
      <w:r w:rsidRPr="003E2870">
        <w:rPr>
          <w:rFonts w:ascii="Palatino Linotype" w:eastAsia="Palatino Linotype" w:hAnsi="Palatino Linotype" w:cs="Palatino Linotype"/>
          <w:b/>
          <w:sz w:val="22"/>
          <w:szCs w:val="22"/>
        </w:rPr>
        <w:t xml:space="preserve"> 00027/TEXCALTI/IP/2024, </w:t>
      </w:r>
      <w:r w:rsidRPr="003E2870">
        <w:rPr>
          <w:rFonts w:ascii="Palatino Linotype" w:eastAsia="Palatino Linotype" w:hAnsi="Palatino Linotype" w:cs="Palatino Linotype"/>
          <w:sz w:val="22"/>
          <w:szCs w:val="22"/>
        </w:rPr>
        <w:t xml:space="preserve">mediante la cual requirió la información siguiente: </w:t>
      </w:r>
    </w:p>
    <w:p w14:paraId="6C0E04EF" w14:textId="77777777" w:rsidR="002128E2" w:rsidRPr="003E2870" w:rsidRDefault="00830CED">
      <w:pPr>
        <w:spacing w:before="240"/>
        <w:ind w:left="567" w:right="902"/>
        <w:jc w:val="both"/>
        <w:rPr>
          <w:rFonts w:ascii="Palatino Linotype" w:eastAsia="Palatino Linotype" w:hAnsi="Palatino Linotype" w:cs="Palatino Linotype"/>
          <w:i/>
          <w:sz w:val="22"/>
          <w:szCs w:val="22"/>
        </w:rPr>
      </w:pPr>
      <w:bookmarkStart w:id="0" w:name="_heading=h.gjdgxs" w:colFirst="0" w:colLast="0"/>
      <w:bookmarkEnd w:id="0"/>
      <w:r w:rsidRPr="003E2870">
        <w:rPr>
          <w:rFonts w:ascii="Palatino Linotype" w:eastAsia="Palatino Linotype" w:hAnsi="Palatino Linotype" w:cs="Palatino Linotype"/>
          <w:i/>
          <w:sz w:val="22"/>
          <w:szCs w:val="22"/>
        </w:rPr>
        <w:t xml:space="preserve">“Solicito los siguientes reportes que sin pretextos o excusas de argucias legales o evasivas sin fundamento jurídico legal obran en sus archivos del Ente </w:t>
      </w:r>
      <w:proofErr w:type="spellStart"/>
      <w:r w:rsidRPr="003E2870">
        <w:rPr>
          <w:rFonts w:ascii="Palatino Linotype" w:eastAsia="Palatino Linotype" w:hAnsi="Palatino Linotype" w:cs="Palatino Linotype"/>
          <w:i/>
          <w:sz w:val="22"/>
          <w:szCs w:val="22"/>
        </w:rPr>
        <w:t>Publico</w:t>
      </w:r>
      <w:proofErr w:type="spellEnd"/>
      <w:r w:rsidRPr="003E2870">
        <w:rPr>
          <w:rFonts w:ascii="Palatino Linotype" w:eastAsia="Palatino Linotype" w:hAnsi="Palatino Linotype" w:cs="Palatino Linotype"/>
          <w:i/>
          <w:sz w:val="22"/>
          <w:szCs w:val="22"/>
        </w:rPr>
        <w:t xml:space="preserve"> Obligado y que sin ningún pretexto se pueden extraer de sus portales en no </w:t>
      </w:r>
      <w:proofErr w:type="spellStart"/>
      <w:r w:rsidRPr="003E2870">
        <w:rPr>
          <w:rFonts w:ascii="Palatino Linotype" w:eastAsia="Palatino Linotype" w:hAnsi="Palatino Linotype" w:cs="Palatino Linotype"/>
          <w:i/>
          <w:sz w:val="22"/>
          <w:szCs w:val="22"/>
        </w:rPr>
        <w:t>mas</w:t>
      </w:r>
      <w:proofErr w:type="spellEnd"/>
      <w:r w:rsidRPr="003E2870">
        <w:rPr>
          <w:rFonts w:ascii="Palatino Linotype" w:eastAsia="Palatino Linotype" w:hAnsi="Palatino Linotype" w:cs="Palatino Linotype"/>
          <w:i/>
          <w:sz w:val="22"/>
          <w:szCs w:val="22"/>
        </w:rPr>
        <w:t xml:space="preserve"> de 30 minutos tal cual se solicitan de manera, ordenada, clara, precisa y puntual y que se enfatizan obran en sus archivos.</w:t>
      </w:r>
    </w:p>
    <w:p w14:paraId="70E022B5" w14:textId="77777777" w:rsidR="002128E2" w:rsidRPr="003E2870" w:rsidRDefault="00830CED">
      <w:pPr>
        <w:spacing w:before="240"/>
        <w:ind w:left="567" w:right="902"/>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i/>
          <w:sz w:val="22"/>
          <w:szCs w:val="22"/>
        </w:rPr>
        <w:t xml:space="preserve">Esperando se pueda tener a la brevedad. Sin tener que seguir </w:t>
      </w:r>
      <w:proofErr w:type="spellStart"/>
      <w:r w:rsidRPr="003E2870">
        <w:rPr>
          <w:rFonts w:ascii="Palatino Linotype" w:eastAsia="Palatino Linotype" w:hAnsi="Palatino Linotype" w:cs="Palatino Linotype"/>
          <w:i/>
          <w:sz w:val="22"/>
          <w:szCs w:val="22"/>
        </w:rPr>
        <w:t>litigimos</w:t>
      </w:r>
      <w:proofErr w:type="spellEnd"/>
      <w:r w:rsidRPr="003E2870">
        <w:rPr>
          <w:rFonts w:ascii="Palatino Linotype" w:eastAsia="Palatino Linotype" w:hAnsi="Palatino Linotype" w:cs="Palatino Linotype"/>
          <w:i/>
          <w:sz w:val="22"/>
          <w:szCs w:val="22"/>
        </w:rPr>
        <w:t xml:space="preserve"> de Recursos de Revisión esto debido a trabas por servidores </w:t>
      </w:r>
      <w:proofErr w:type="spellStart"/>
      <w:r w:rsidRPr="003E2870">
        <w:rPr>
          <w:rFonts w:ascii="Palatino Linotype" w:eastAsia="Palatino Linotype" w:hAnsi="Palatino Linotype" w:cs="Palatino Linotype"/>
          <w:i/>
          <w:sz w:val="22"/>
          <w:szCs w:val="22"/>
        </w:rPr>
        <w:t>publicos</w:t>
      </w:r>
      <w:proofErr w:type="spellEnd"/>
      <w:r w:rsidRPr="003E2870">
        <w:rPr>
          <w:rFonts w:ascii="Palatino Linotype" w:eastAsia="Palatino Linotype" w:hAnsi="Palatino Linotype" w:cs="Palatino Linotype"/>
          <w:i/>
          <w:sz w:val="22"/>
          <w:szCs w:val="22"/>
        </w:rPr>
        <w:t xml:space="preserve"> o desconocimiento de sus archivos se me haga llegar en formato </w:t>
      </w:r>
      <w:proofErr w:type="spellStart"/>
      <w:r w:rsidRPr="003E2870">
        <w:rPr>
          <w:rFonts w:ascii="Palatino Linotype" w:eastAsia="Palatino Linotype" w:hAnsi="Palatino Linotype" w:cs="Palatino Linotype"/>
          <w:i/>
          <w:sz w:val="22"/>
          <w:szCs w:val="22"/>
        </w:rPr>
        <w:t>pdf</w:t>
      </w:r>
      <w:proofErr w:type="spellEnd"/>
      <w:r w:rsidRPr="003E2870">
        <w:rPr>
          <w:rFonts w:ascii="Palatino Linotype" w:eastAsia="Palatino Linotype" w:hAnsi="Palatino Linotype" w:cs="Palatino Linotype"/>
          <w:i/>
          <w:sz w:val="22"/>
          <w:szCs w:val="22"/>
        </w:rPr>
        <w:t>. Vía datos adjuntos o link de nube por correo electrónico. Agradezco la atención quedo pendiente de lo solicitado. Gracias.</w:t>
      </w:r>
    </w:p>
    <w:p w14:paraId="61A06A85" w14:textId="77777777" w:rsidR="002128E2" w:rsidRPr="003E2870" w:rsidRDefault="00830CED">
      <w:pPr>
        <w:spacing w:before="240"/>
        <w:ind w:left="567" w:right="902"/>
        <w:jc w:val="both"/>
        <w:rPr>
          <w:rFonts w:ascii="Palatino Linotype" w:eastAsia="Palatino Linotype" w:hAnsi="Palatino Linotype" w:cs="Palatino Linotype"/>
          <w:b/>
          <w:i/>
          <w:sz w:val="22"/>
          <w:szCs w:val="22"/>
          <w:u w:val="single"/>
        </w:rPr>
      </w:pPr>
      <w:r w:rsidRPr="003E2870">
        <w:rPr>
          <w:rFonts w:ascii="Palatino Linotype" w:eastAsia="Palatino Linotype" w:hAnsi="Palatino Linotype" w:cs="Palatino Linotype"/>
          <w:i/>
          <w:sz w:val="22"/>
          <w:szCs w:val="22"/>
        </w:rPr>
        <w:t>*</w:t>
      </w:r>
      <w:r w:rsidRPr="003E2870">
        <w:rPr>
          <w:rFonts w:ascii="Palatino Linotype" w:eastAsia="Palatino Linotype" w:hAnsi="Palatino Linotype" w:cs="Palatino Linotype"/>
          <w:b/>
          <w:i/>
          <w:sz w:val="22"/>
          <w:szCs w:val="22"/>
          <w:u w:val="single"/>
        </w:rPr>
        <w:t xml:space="preserve">El visor de nómina por sueldos y salarios, es un reporte que baja el tesorero del municipio de la plataforma del SAT en unos pocos minutos, usando la </w:t>
      </w:r>
      <w:r w:rsidRPr="003E2870">
        <w:rPr>
          <w:rFonts w:ascii="Palatino Linotype" w:eastAsia="Palatino Linotype" w:hAnsi="Palatino Linotype" w:cs="Palatino Linotype"/>
          <w:b/>
          <w:i/>
          <w:sz w:val="22"/>
          <w:szCs w:val="22"/>
          <w:u w:val="single"/>
        </w:rPr>
        <w:lastRenderedPageBreak/>
        <w:t>clave CIEC o la FIEL. del año 2020 a la feche de esta solicitud Arroja los dos resultados que ocupo:</w:t>
      </w:r>
    </w:p>
    <w:p w14:paraId="62235864" w14:textId="77777777" w:rsidR="002128E2" w:rsidRPr="003E2870" w:rsidRDefault="00830CED">
      <w:pPr>
        <w:spacing w:before="240"/>
        <w:ind w:left="567" w:right="902"/>
        <w:jc w:val="both"/>
        <w:rPr>
          <w:rFonts w:ascii="Palatino Linotype" w:eastAsia="Palatino Linotype" w:hAnsi="Palatino Linotype" w:cs="Palatino Linotype"/>
          <w:b/>
          <w:i/>
          <w:sz w:val="22"/>
          <w:szCs w:val="22"/>
          <w:u w:val="single"/>
        </w:rPr>
      </w:pPr>
      <w:r w:rsidRPr="003E2870">
        <w:rPr>
          <w:rFonts w:ascii="Palatino Linotype" w:eastAsia="Palatino Linotype" w:hAnsi="Palatino Linotype" w:cs="Palatino Linotype"/>
          <w:b/>
          <w:i/>
          <w:sz w:val="22"/>
          <w:szCs w:val="22"/>
          <w:u w:val="single"/>
        </w:rPr>
        <w:t>1) Diferencia a cargo o a favor o en contra</w:t>
      </w:r>
    </w:p>
    <w:p w14:paraId="0102D9A3" w14:textId="77777777" w:rsidR="002128E2" w:rsidRPr="003E2870" w:rsidRDefault="00830CED">
      <w:pPr>
        <w:spacing w:before="240"/>
        <w:ind w:left="567" w:right="902"/>
        <w:jc w:val="both"/>
        <w:rPr>
          <w:rFonts w:ascii="Palatino Linotype" w:eastAsia="Palatino Linotype" w:hAnsi="Palatino Linotype" w:cs="Palatino Linotype"/>
          <w:b/>
          <w:i/>
          <w:sz w:val="22"/>
          <w:szCs w:val="22"/>
          <w:u w:val="single"/>
        </w:rPr>
      </w:pPr>
      <w:r w:rsidRPr="003E2870">
        <w:rPr>
          <w:rFonts w:ascii="Palatino Linotype" w:eastAsia="Palatino Linotype" w:hAnsi="Palatino Linotype" w:cs="Palatino Linotype"/>
          <w:b/>
          <w:i/>
          <w:sz w:val="22"/>
          <w:szCs w:val="22"/>
          <w:u w:val="single"/>
        </w:rPr>
        <w:t>2) ISR retenido que a su vez es el monto histórico recuperado por conducto de la Secretaria de Finanzas del Estado.</w:t>
      </w:r>
    </w:p>
    <w:p w14:paraId="6563E581" w14:textId="77777777" w:rsidR="002128E2" w:rsidRPr="003E2870" w:rsidRDefault="00830CED">
      <w:pPr>
        <w:spacing w:before="240"/>
        <w:ind w:left="567" w:right="902"/>
        <w:jc w:val="both"/>
        <w:rPr>
          <w:rFonts w:ascii="Palatino Linotype" w:eastAsia="Palatino Linotype" w:hAnsi="Palatino Linotype" w:cs="Palatino Linotype"/>
          <w:b/>
          <w:i/>
          <w:sz w:val="22"/>
          <w:szCs w:val="22"/>
          <w:u w:val="single"/>
        </w:rPr>
      </w:pPr>
      <w:r w:rsidRPr="003E2870">
        <w:rPr>
          <w:rFonts w:ascii="Palatino Linotype" w:eastAsia="Palatino Linotype" w:hAnsi="Palatino Linotype" w:cs="Palatino Linotype"/>
          <w:b/>
          <w:i/>
          <w:sz w:val="22"/>
          <w:szCs w:val="22"/>
          <w:u w:val="single"/>
        </w:rPr>
        <w:t>El visor de nómina por asimilados a salarios. Le aplican los comentarios del visor de salarios. Éstos dos visores se requieren por el municipio, y las paramunicipales</w:t>
      </w:r>
    </w:p>
    <w:p w14:paraId="446874E9" w14:textId="77777777" w:rsidR="002128E2" w:rsidRPr="003E2870" w:rsidRDefault="00830CED">
      <w:pPr>
        <w:spacing w:before="240"/>
        <w:ind w:left="567" w:right="902"/>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i/>
          <w:sz w:val="22"/>
          <w:szCs w:val="22"/>
        </w:rPr>
        <w:t>También se solicita:</w:t>
      </w:r>
    </w:p>
    <w:p w14:paraId="7659D4ED" w14:textId="77777777" w:rsidR="002128E2" w:rsidRPr="003E2870" w:rsidRDefault="00830CED">
      <w:pPr>
        <w:spacing w:before="240"/>
        <w:ind w:left="567" w:right="902"/>
        <w:jc w:val="both"/>
        <w:rPr>
          <w:rFonts w:ascii="Palatino Linotype" w:eastAsia="Palatino Linotype" w:hAnsi="Palatino Linotype" w:cs="Palatino Linotype"/>
          <w:b/>
          <w:i/>
          <w:sz w:val="22"/>
          <w:szCs w:val="22"/>
          <w:u w:val="single"/>
        </w:rPr>
      </w:pPr>
      <w:r w:rsidRPr="003E2870">
        <w:rPr>
          <w:rFonts w:ascii="Palatino Linotype" w:eastAsia="Palatino Linotype" w:hAnsi="Palatino Linotype" w:cs="Palatino Linotype"/>
          <w:b/>
          <w:i/>
          <w:sz w:val="22"/>
          <w:szCs w:val="22"/>
          <w:u w:val="single"/>
        </w:rPr>
        <w:t>*Reporte emitido por la Secretaria de Finanzas del Estado que comprende desde el año 2015 a la fecha en el que se especifica el monto del ISR que se obtuvo en devolución.</w:t>
      </w:r>
    </w:p>
    <w:p w14:paraId="6F4A7078" w14:textId="77777777" w:rsidR="002128E2" w:rsidRPr="003E2870" w:rsidRDefault="00830CED">
      <w:pPr>
        <w:spacing w:before="240"/>
        <w:ind w:left="567" w:right="902"/>
        <w:jc w:val="both"/>
        <w:rPr>
          <w:rFonts w:ascii="Palatino Linotype" w:eastAsia="Palatino Linotype" w:hAnsi="Palatino Linotype" w:cs="Palatino Linotype"/>
          <w:b/>
          <w:i/>
          <w:sz w:val="22"/>
          <w:szCs w:val="22"/>
          <w:u w:val="single"/>
        </w:rPr>
      </w:pPr>
      <w:r w:rsidRPr="003E2870">
        <w:rPr>
          <w:rFonts w:ascii="Palatino Linotype" w:eastAsia="Palatino Linotype" w:hAnsi="Palatino Linotype" w:cs="Palatino Linotype"/>
          <w:b/>
          <w:i/>
          <w:sz w:val="22"/>
          <w:szCs w:val="22"/>
          <w:u w:val="single"/>
        </w:rPr>
        <w:t>*Reporte emitido por el software de contabilidad gubernamental en el que se pueda apreciar el control del saldo pendiente de recuperar del ISR participable. Puede ser el auxiliar contable de una cuenta de activo, una nota de desglose a los estados financieros.</w:t>
      </w:r>
    </w:p>
    <w:p w14:paraId="15C9ACD9" w14:textId="77777777" w:rsidR="002128E2" w:rsidRPr="003E2870" w:rsidRDefault="00830CED">
      <w:pPr>
        <w:spacing w:before="240"/>
        <w:ind w:left="567" w:right="902"/>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i/>
          <w:sz w:val="22"/>
          <w:szCs w:val="22"/>
        </w:rPr>
        <w:t xml:space="preserve">Se adjunta ejemplo en archivo </w:t>
      </w:r>
      <w:proofErr w:type="spellStart"/>
      <w:r w:rsidRPr="003E2870">
        <w:rPr>
          <w:rFonts w:ascii="Palatino Linotype" w:eastAsia="Palatino Linotype" w:hAnsi="Palatino Linotype" w:cs="Palatino Linotype"/>
          <w:i/>
          <w:sz w:val="22"/>
          <w:szCs w:val="22"/>
        </w:rPr>
        <w:t>pdf</w:t>
      </w:r>
      <w:proofErr w:type="spellEnd"/>
      <w:r w:rsidRPr="003E2870">
        <w:rPr>
          <w:rFonts w:ascii="Palatino Linotype" w:eastAsia="Palatino Linotype" w:hAnsi="Palatino Linotype" w:cs="Palatino Linotype"/>
          <w:i/>
          <w:sz w:val="22"/>
          <w:szCs w:val="22"/>
        </w:rPr>
        <w:t xml:space="preserve">. de un Ente </w:t>
      </w:r>
      <w:proofErr w:type="spellStart"/>
      <w:r w:rsidRPr="003E2870">
        <w:rPr>
          <w:rFonts w:ascii="Palatino Linotype" w:eastAsia="Palatino Linotype" w:hAnsi="Palatino Linotype" w:cs="Palatino Linotype"/>
          <w:i/>
          <w:sz w:val="22"/>
          <w:szCs w:val="22"/>
        </w:rPr>
        <w:t>Publico</w:t>
      </w:r>
      <w:proofErr w:type="spellEnd"/>
      <w:r w:rsidRPr="003E2870">
        <w:rPr>
          <w:rFonts w:ascii="Palatino Linotype" w:eastAsia="Palatino Linotype" w:hAnsi="Palatino Linotype" w:cs="Palatino Linotype"/>
          <w:i/>
          <w:sz w:val="22"/>
          <w:szCs w:val="22"/>
        </w:rPr>
        <w:t xml:space="preserve"> Municipal del estado de Guanajuato para que les sirva de ejemplo y no existan dudas de lo que se está requiriendo. Y como se me entrego de una forma total, en una sola </w:t>
      </w:r>
      <w:proofErr w:type="gramStart"/>
      <w:r w:rsidRPr="003E2870">
        <w:rPr>
          <w:rFonts w:ascii="Palatino Linotype" w:eastAsia="Palatino Linotype" w:hAnsi="Palatino Linotype" w:cs="Palatino Linotype"/>
          <w:i/>
          <w:sz w:val="22"/>
          <w:szCs w:val="22"/>
        </w:rPr>
        <w:t>exhibición ,</w:t>
      </w:r>
      <w:proofErr w:type="gramEnd"/>
      <w:r w:rsidRPr="003E2870">
        <w:rPr>
          <w:rFonts w:ascii="Palatino Linotype" w:eastAsia="Palatino Linotype" w:hAnsi="Palatino Linotype" w:cs="Palatino Linotype"/>
          <w:i/>
          <w:sz w:val="22"/>
          <w:szCs w:val="22"/>
        </w:rPr>
        <w:t xml:space="preserve"> clara y legiblemente y sobre todo ordenada.” (Sic) </w:t>
      </w:r>
    </w:p>
    <w:p w14:paraId="74F8C10B" w14:textId="77777777" w:rsidR="002128E2" w:rsidRPr="003E2870" w:rsidRDefault="00830CED">
      <w:pPr>
        <w:tabs>
          <w:tab w:val="left" w:pos="1080"/>
        </w:tabs>
        <w:spacing w:line="360" w:lineRule="auto"/>
        <w:jc w:val="both"/>
        <w:rPr>
          <w:rFonts w:ascii="Palatino Linotype" w:eastAsia="Palatino Linotype" w:hAnsi="Palatino Linotype" w:cs="Palatino Linotype"/>
        </w:rPr>
      </w:pPr>
      <w:r w:rsidRPr="003E2870">
        <w:rPr>
          <w:rFonts w:ascii="Palatino Linotype" w:eastAsia="Palatino Linotype" w:hAnsi="Palatino Linotype" w:cs="Palatino Linotype"/>
        </w:rPr>
        <w:tab/>
      </w:r>
    </w:p>
    <w:p w14:paraId="0612B664" w14:textId="77777777" w:rsidR="002128E2" w:rsidRPr="003E2870" w:rsidRDefault="00830CED">
      <w:pPr>
        <w:spacing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b/>
          <w:sz w:val="22"/>
          <w:szCs w:val="22"/>
        </w:rPr>
        <w:t>Modalidad de Entrega:</w:t>
      </w:r>
      <w:r w:rsidRPr="003E2870">
        <w:rPr>
          <w:rFonts w:ascii="Palatino Linotype" w:eastAsia="Palatino Linotype" w:hAnsi="Palatino Linotype" w:cs="Palatino Linotype"/>
          <w:sz w:val="22"/>
          <w:szCs w:val="22"/>
        </w:rPr>
        <w:t xml:space="preserve"> Cualquier otro medio, incluido los electrónicos (USB, SD,  CD-ROM), por correo electrónico y a través del Sistema de Acceso a la Información Mexiquense, SAIMEX; asimismo, señaló como medio para recibir información o notificaciones, correo electrónico, como se advierte a continuación:</w:t>
      </w:r>
    </w:p>
    <w:p w14:paraId="16EBC351" w14:textId="77777777" w:rsidR="002128E2" w:rsidRPr="003E2870" w:rsidRDefault="002128E2">
      <w:pPr>
        <w:spacing w:line="360" w:lineRule="auto"/>
        <w:jc w:val="both"/>
        <w:rPr>
          <w:rFonts w:ascii="Palatino Linotype" w:eastAsia="Palatino Linotype" w:hAnsi="Palatino Linotype" w:cs="Palatino Linotype"/>
          <w:sz w:val="22"/>
          <w:szCs w:val="22"/>
        </w:rPr>
      </w:pPr>
    </w:p>
    <w:p w14:paraId="6DB0BB9C" w14:textId="77777777" w:rsidR="002128E2" w:rsidRPr="003E2870" w:rsidRDefault="00830CED">
      <w:pPr>
        <w:spacing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noProof/>
          <w:sz w:val="22"/>
          <w:szCs w:val="22"/>
          <w:lang w:val="es-MX"/>
        </w:rPr>
        <w:drawing>
          <wp:inline distT="0" distB="0" distL="0" distR="0" wp14:anchorId="6943848F" wp14:editId="5E415051">
            <wp:extent cx="5612130" cy="529590"/>
            <wp:effectExtent l="0" t="0" r="0" b="0"/>
            <wp:docPr id="197143012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5612130" cy="529590"/>
                    </a:xfrm>
                    <a:prstGeom prst="rect">
                      <a:avLst/>
                    </a:prstGeom>
                    <a:ln/>
                  </pic:spPr>
                </pic:pic>
              </a:graphicData>
            </a:graphic>
          </wp:inline>
        </w:drawing>
      </w:r>
    </w:p>
    <w:p w14:paraId="301A50ED" w14:textId="77777777" w:rsidR="002128E2" w:rsidRPr="003E2870" w:rsidRDefault="002128E2">
      <w:pPr>
        <w:spacing w:line="360" w:lineRule="auto"/>
        <w:ind w:right="900"/>
        <w:rPr>
          <w:rFonts w:ascii="Palatino Linotype" w:eastAsia="Palatino Linotype" w:hAnsi="Palatino Linotype" w:cs="Palatino Linotype"/>
          <w:sz w:val="22"/>
          <w:szCs w:val="22"/>
        </w:rPr>
      </w:pPr>
    </w:p>
    <w:p w14:paraId="7C9F544F" w14:textId="77777777" w:rsidR="002128E2" w:rsidRPr="003E2870" w:rsidRDefault="00830CED">
      <w:pPr>
        <w:spacing w:line="360" w:lineRule="auto"/>
        <w:ind w:left="567" w:right="900"/>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b/>
          <w:sz w:val="22"/>
          <w:szCs w:val="22"/>
        </w:rPr>
        <w:lastRenderedPageBreak/>
        <w:t>Archivos adjuntos: “</w:t>
      </w:r>
      <w:r w:rsidRPr="003E2870">
        <w:rPr>
          <w:rFonts w:ascii="Palatino Linotype" w:eastAsia="Palatino Linotype" w:hAnsi="Palatino Linotype" w:cs="Palatino Linotype"/>
          <w:b/>
          <w:i/>
          <w:sz w:val="22"/>
          <w:szCs w:val="22"/>
        </w:rPr>
        <w:t xml:space="preserve">Archivo Adjunto a la Solicitud”: </w:t>
      </w:r>
      <w:r w:rsidRPr="003E2870">
        <w:rPr>
          <w:rFonts w:ascii="Palatino Linotype" w:eastAsia="Palatino Linotype" w:hAnsi="Palatino Linotype" w:cs="Palatino Linotype"/>
          <w:sz w:val="22"/>
          <w:szCs w:val="22"/>
        </w:rPr>
        <w:t xml:space="preserve">Archivo electrónico que se compone de veintiún fojas en las que se aprecian visores de nómina y los reportes solicitados, correspondientes al Ayuntamiento de Irapuato. </w:t>
      </w:r>
    </w:p>
    <w:p w14:paraId="07724E18" w14:textId="77777777" w:rsidR="002128E2" w:rsidRPr="003E2870" w:rsidRDefault="00830CED">
      <w:pPr>
        <w:spacing w:before="240"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b/>
          <w:sz w:val="22"/>
          <w:szCs w:val="22"/>
        </w:rPr>
        <w:t xml:space="preserve">2. Respuesta. </w:t>
      </w:r>
      <w:r w:rsidRPr="003E2870">
        <w:rPr>
          <w:rFonts w:ascii="Palatino Linotype" w:eastAsia="Palatino Linotype" w:hAnsi="Palatino Linotype" w:cs="Palatino Linotype"/>
          <w:sz w:val="22"/>
          <w:szCs w:val="22"/>
        </w:rPr>
        <w:t xml:space="preserve">El </w:t>
      </w:r>
      <w:r w:rsidRPr="003E2870">
        <w:rPr>
          <w:rFonts w:ascii="Palatino Linotype" w:eastAsia="Palatino Linotype" w:hAnsi="Palatino Linotype" w:cs="Palatino Linotype"/>
          <w:b/>
          <w:sz w:val="22"/>
          <w:szCs w:val="22"/>
        </w:rPr>
        <w:t>veintitrés de septiembre de dos mil veinticuatro</w:t>
      </w:r>
      <w:r w:rsidRPr="003E2870">
        <w:rPr>
          <w:rFonts w:ascii="Palatino Linotype" w:eastAsia="Palatino Linotype" w:hAnsi="Palatino Linotype" w:cs="Palatino Linotype"/>
          <w:sz w:val="22"/>
          <w:szCs w:val="22"/>
        </w:rPr>
        <w:t xml:space="preserve">, el </w:t>
      </w:r>
      <w:r w:rsidRPr="003E2870">
        <w:rPr>
          <w:rFonts w:ascii="Palatino Linotype" w:eastAsia="Palatino Linotype" w:hAnsi="Palatino Linotype" w:cs="Palatino Linotype"/>
          <w:b/>
          <w:sz w:val="22"/>
          <w:szCs w:val="22"/>
        </w:rPr>
        <w:t xml:space="preserve">Sujeto Obligado </w:t>
      </w:r>
      <w:r w:rsidRPr="003E2870">
        <w:rPr>
          <w:rFonts w:ascii="Palatino Linotype" w:eastAsia="Palatino Linotype" w:hAnsi="Palatino Linotype" w:cs="Palatino Linotype"/>
          <w:sz w:val="22"/>
          <w:szCs w:val="22"/>
        </w:rPr>
        <w:t xml:space="preserve">remitió su respuesta a la solicitud de acceso a la información a través de SAIMEX, sustancialmente en los términos siguientes:   </w:t>
      </w:r>
    </w:p>
    <w:p w14:paraId="472A97B4" w14:textId="77777777" w:rsidR="002128E2" w:rsidRPr="003E2870" w:rsidRDefault="00830CED">
      <w:pPr>
        <w:spacing w:before="240" w:after="240"/>
        <w:ind w:left="567" w:right="902"/>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i/>
          <w:sz w:val="22"/>
          <w:szCs w:val="22"/>
        </w:rPr>
        <w:t>“ADJUNTO RESPUESTA A LA SOLICITUD DE INFORMACION</w:t>
      </w:r>
    </w:p>
    <w:p w14:paraId="480ABBF1" w14:textId="77777777" w:rsidR="002128E2" w:rsidRPr="003E2870" w:rsidRDefault="00830CED">
      <w:pPr>
        <w:spacing w:before="240" w:after="240"/>
        <w:ind w:left="567" w:right="902"/>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i/>
          <w:sz w:val="22"/>
          <w:szCs w:val="22"/>
        </w:rPr>
        <w:t>ATENTAMENTE</w:t>
      </w:r>
    </w:p>
    <w:p w14:paraId="5ED8E770" w14:textId="77777777" w:rsidR="002128E2" w:rsidRPr="003E2870" w:rsidRDefault="00830CED">
      <w:pPr>
        <w:spacing w:before="240" w:after="240"/>
        <w:ind w:left="567" w:right="902"/>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i/>
          <w:sz w:val="22"/>
          <w:szCs w:val="22"/>
        </w:rPr>
        <w:t xml:space="preserve">Lic. Isidro Sánchez Contreras” (Sic) </w:t>
      </w:r>
    </w:p>
    <w:p w14:paraId="42339A31" w14:textId="77777777" w:rsidR="002128E2" w:rsidRPr="003E2870" w:rsidRDefault="00830CED">
      <w:pPr>
        <w:spacing w:before="240" w:after="240"/>
        <w:ind w:left="567" w:right="902"/>
        <w:jc w:val="both"/>
        <w:rPr>
          <w:rFonts w:ascii="Palatino Linotype" w:eastAsia="Palatino Linotype" w:hAnsi="Palatino Linotype" w:cs="Palatino Linotype"/>
          <w:b/>
          <w:sz w:val="22"/>
          <w:szCs w:val="22"/>
        </w:rPr>
      </w:pPr>
      <w:r w:rsidRPr="003E2870">
        <w:rPr>
          <w:rFonts w:ascii="Palatino Linotype" w:eastAsia="Palatino Linotype" w:hAnsi="Palatino Linotype" w:cs="Palatino Linotype"/>
          <w:b/>
          <w:sz w:val="22"/>
          <w:szCs w:val="22"/>
        </w:rPr>
        <w:t>Archivos adjuntos:</w:t>
      </w:r>
    </w:p>
    <w:p w14:paraId="50AF0FDC" w14:textId="77777777" w:rsidR="002128E2" w:rsidRPr="003E2870" w:rsidRDefault="00830CED">
      <w:pPr>
        <w:spacing w:before="240" w:after="240" w:line="360" w:lineRule="auto"/>
        <w:ind w:left="567" w:right="902"/>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b/>
          <w:i/>
          <w:sz w:val="22"/>
          <w:szCs w:val="22"/>
        </w:rPr>
        <w:t>“</w:t>
      </w:r>
      <w:proofErr w:type="spellStart"/>
      <w:r w:rsidRPr="003E2870">
        <w:rPr>
          <w:rFonts w:ascii="Palatino Linotype" w:eastAsia="Palatino Linotype" w:hAnsi="Palatino Linotype" w:cs="Palatino Linotype"/>
          <w:b/>
          <w:i/>
          <w:sz w:val="22"/>
          <w:szCs w:val="22"/>
        </w:rPr>
        <w:t>CamScanner</w:t>
      </w:r>
      <w:proofErr w:type="spellEnd"/>
      <w:r w:rsidRPr="003E2870">
        <w:rPr>
          <w:rFonts w:ascii="Palatino Linotype" w:eastAsia="Palatino Linotype" w:hAnsi="Palatino Linotype" w:cs="Palatino Linotype"/>
          <w:b/>
          <w:i/>
          <w:sz w:val="22"/>
          <w:szCs w:val="22"/>
        </w:rPr>
        <w:t xml:space="preserve"> 20-09-2024 15.44.pdf”: </w:t>
      </w:r>
      <w:r w:rsidRPr="003E2870">
        <w:rPr>
          <w:rFonts w:ascii="Palatino Linotype" w:eastAsia="Palatino Linotype" w:hAnsi="Palatino Linotype" w:cs="Palatino Linotype"/>
          <w:sz w:val="22"/>
          <w:szCs w:val="22"/>
        </w:rPr>
        <w:t xml:space="preserve">Oficio TMT/76/2024, suscrito por el Tesorero Municipal en el que medularmente refiere que </w:t>
      </w:r>
      <w:r w:rsidRPr="003E2870">
        <w:rPr>
          <w:rFonts w:ascii="Palatino Linotype" w:eastAsia="Palatino Linotype" w:hAnsi="Palatino Linotype" w:cs="Palatino Linotype"/>
          <w:b/>
          <w:sz w:val="22"/>
          <w:szCs w:val="22"/>
          <w:u w:val="single"/>
        </w:rPr>
        <w:t>el punto 1 y 3 no encontraron como obtener la información que solicita, por lo que amablemente le extienden una invitación a la persona solicitante para presentarse en las oficinas de la Tesorería Municipal para que muestre como obtener la información solicitada y estar en condiciones de entregarla, por cuanto hace al número 2, ya que emite el reporte la Secretaría de Finanzas, podría solicitárselo a dicha Secretaría</w:t>
      </w:r>
      <w:r w:rsidRPr="003E2870">
        <w:rPr>
          <w:rFonts w:ascii="Palatino Linotype" w:eastAsia="Palatino Linotype" w:hAnsi="Palatino Linotype" w:cs="Palatino Linotype"/>
          <w:sz w:val="22"/>
          <w:szCs w:val="22"/>
        </w:rPr>
        <w:t>.</w:t>
      </w:r>
    </w:p>
    <w:p w14:paraId="67003E64" w14:textId="77777777" w:rsidR="002128E2" w:rsidRPr="003E2870" w:rsidRDefault="00830CED">
      <w:pPr>
        <w:spacing w:before="240" w:after="240" w:line="360" w:lineRule="auto"/>
        <w:ind w:right="49"/>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b/>
          <w:sz w:val="22"/>
          <w:szCs w:val="22"/>
        </w:rPr>
        <w:t xml:space="preserve">3. Interposición del recurso de revisión. </w:t>
      </w:r>
      <w:r w:rsidRPr="003E2870">
        <w:rPr>
          <w:rFonts w:ascii="Palatino Linotype" w:eastAsia="Palatino Linotype" w:hAnsi="Palatino Linotype" w:cs="Palatino Linotype"/>
          <w:sz w:val="22"/>
          <w:szCs w:val="22"/>
        </w:rPr>
        <w:t xml:space="preserve">Inconforme con los términos de la respuesta emitida por parte del </w:t>
      </w:r>
      <w:r w:rsidRPr="003E2870">
        <w:rPr>
          <w:rFonts w:ascii="Palatino Linotype" w:eastAsia="Palatino Linotype" w:hAnsi="Palatino Linotype" w:cs="Palatino Linotype"/>
          <w:b/>
          <w:sz w:val="22"/>
          <w:szCs w:val="22"/>
        </w:rPr>
        <w:t>Sujeto Obligado</w:t>
      </w:r>
      <w:r w:rsidRPr="003E2870">
        <w:rPr>
          <w:rFonts w:ascii="Palatino Linotype" w:eastAsia="Palatino Linotype" w:hAnsi="Palatino Linotype" w:cs="Palatino Linotype"/>
          <w:sz w:val="22"/>
          <w:szCs w:val="22"/>
        </w:rPr>
        <w:t xml:space="preserve">, el </w:t>
      </w:r>
      <w:r w:rsidRPr="003E2870">
        <w:rPr>
          <w:rFonts w:ascii="Palatino Linotype" w:eastAsia="Palatino Linotype" w:hAnsi="Palatino Linotype" w:cs="Palatino Linotype"/>
          <w:b/>
          <w:sz w:val="22"/>
          <w:szCs w:val="22"/>
        </w:rPr>
        <w:t>veinticuatro de septiembre de dos mil veinticuatro,</w:t>
      </w:r>
      <w:r w:rsidRPr="003E2870">
        <w:rPr>
          <w:rFonts w:ascii="Palatino Linotype" w:eastAsia="Palatino Linotype" w:hAnsi="Palatino Linotype" w:cs="Palatino Linotype"/>
          <w:sz w:val="22"/>
          <w:szCs w:val="22"/>
        </w:rPr>
        <w:t xml:space="preserve"> </w:t>
      </w:r>
      <w:r w:rsidRPr="003E2870">
        <w:rPr>
          <w:rFonts w:ascii="Palatino Linotype" w:eastAsia="Palatino Linotype" w:hAnsi="Palatino Linotype" w:cs="Palatino Linotype"/>
          <w:b/>
          <w:sz w:val="22"/>
          <w:szCs w:val="22"/>
        </w:rPr>
        <w:t>la parte Recurrente</w:t>
      </w:r>
      <w:r w:rsidRPr="003E2870">
        <w:rPr>
          <w:rFonts w:ascii="Palatino Linotype" w:eastAsia="Palatino Linotype" w:hAnsi="Palatino Linotype" w:cs="Palatino Linotype"/>
          <w:sz w:val="22"/>
          <w:szCs w:val="22"/>
        </w:rPr>
        <w:t xml:space="preserve"> interpuso el recurso de revisión a través de </w:t>
      </w:r>
      <w:r w:rsidRPr="003E2870">
        <w:rPr>
          <w:rFonts w:ascii="Palatino Linotype" w:eastAsia="Palatino Linotype" w:hAnsi="Palatino Linotype" w:cs="Palatino Linotype"/>
          <w:b/>
          <w:sz w:val="22"/>
          <w:szCs w:val="22"/>
        </w:rPr>
        <w:t xml:space="preserve">SAIMEX, </w:t>
      </w:r>
      <w:r w:rsidRPr="003E2870">
        <w:rPr>
          <w:rFonts w:ascii="Palatino Linotype" w:eastAsia="Palatino Linotype" w:hAnsi="Palatino Linotype" w:cs="Palatino Linotype"/>
          <w:sz w:val="22"/>
          <w:szCs w:val="22"/>
        </w:rPr>
        <w:t>en donde se manifestó de la siguiente manera:</w:t>
      </w:r>
    </w:p>
    <w:p w14:paraId="0F666982" w14:textId="77777777" w:rsidR="002128E2" w:rsidRPr="003E2870" w:rsidRDefault="00830CED">
      <w:pPr>
        <w:tabs>
          <w:tab w:val="left" w:pos="2745"/>
        </w:tabs>
        <w:spacing w:before="240" w:after="240" w:line="360" w:lineRule="auto"/>
        <w:ind w:left="567"/>
        <w:jc w:val="both"/>
        <w:rPr>
          <w:rFonts w:ascii="Palatino Linotype" w:eastAsia="Palatino Linotype" w:hAnsi="Palatino Linotype" w:cs="Palatino Linotype"/>
          <w:b/>
          <w:sz w:val="22"/>
          <w:szCs w:val="22"/>
        </w:rPr>
      </w:pPr>
      <w:r w:rsidRPr="003E2870">
        <w:rPr>
          <w:rFonts w:ascii="Palatino Linotype" w:eastAsia="Palatino Linotype" w:hAnsi="Palatino Linotype" w:cs="Palatino Linotype"/>
          <w:b/>
          <w:sz w:val="22"/>
          <w:szCs w:val="22"/>
        </w:rPr>
        <w:t xml:space="preserve">a) Acto impugnado: </w:t>
      </w:r>
      <w:r w:rsidRPr="003E2870">
        <w:rPr>
          <w:rFonts w:ascii="Palatino Linotype" w:eastAsia="Palatino Linotype" w:hAnsi="Palatino Linotype" w:cs="Palatino Linotype"/>
          <w:b/>
          <w:sz w:val="22"/>
          <w:szCs w:val="22"/>
        </w:rPr>
        <w:tab/>
      </w:r>
    </w:p>
    <w:p w14:paraId="66EA5845" w14:textId="77777777" w:rsidR="002128E2" w:rsidRPr="003E2870" w:rsidRDefault="00830CED">
      <w:pPr>
        <w:ind w:left="567" w:right="902"/>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i/>
          <w:sz w:val="22"/>
          <w:szCs w:val="22"/>
        </w:rPr>
        <w:lastRenderedPageBreak/>
        <w:t xml:space="preserve">“La no respuesta por parte del Ente </w:t>
      </w:r>
      <w:proofErr w:type="spellStart"/>
      <w:r w:rsidRPr="003E2870">
        <w:rPr>
          <w:rFonts w:ascii="Palatino Linotype" w:eastAsia="Palatino Linotype" w:hAnsi="Palatino Linotype" w:cs="Palatino Linotype"/>
          <w:i/>
          <w:sz w:val="22"/>
          <w:szCs w:val="22"/>
        </w:rPr>
        <w:t>Publico</w:t>
      </w:r>
      <w:proofErr w:type="spellEnd"/>
      <w:r w:rsidRPr="003E2870">
        <w:rPr>
          <w:rFonts w:ascii="Palatino Linotype" w:eastAsia="Palatino Linotype" w:hAnsi="Palatino Linotype" w:cs="Palatino Linotype"/>
          <w:i/>
          <w:sz w:val="22"/>
          <w:szCs w:val="22"/>
        </w:rPr>
        <w:t xml:space="preserve"> Obligado en el tiempo marcado por ley a mi solicitud de reportes.” (Sic) </w:t>
      </w:r>
    </w:p>
    <w:p w14:paraId="47494A2C" w14:textId="77777777" w:rsidR="002128E2" w:rsidRPr="003E2870" w:rsidRDefault="002128E2">
      <w:pPr>
        <w:ind w:left="851" w:right="902"/>
        <w:jc w:val="both"/>
        <w:rPr>
          <w:rFonts w:ascii="Palatino Linotype" w:eastAsia="Palatino Linotype" w:hAnsi="Palatino Linotype" w:cs="Palatino Linotype"/>
          <w:i/>
          <w:sz w:val="22"/>
          <w:szCs w:val="22"/>
        </w:rPr>
      </w:pPr>
    </w:p>
    <w:p w14:paraId="61AF6488" w14:textId="77777777" w:rsidR="002128E2" w:rsidRPr="003E2870" w:rsidRDefault="00830CED">
      <w:pPr>
        <w:spacing w:line="360" w:lineRule="auto"/>
        <w:ind w:left="567"/>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b/>
          <w:sz w:val="22"/>
          <w:szCs w:val="22"/>
        </w:rPr>
        <w:t>b) Razones o motivos de inconformidad</w:t>
      </w:r>
      <w:r w:rsidRPr="003E2870">
        <w:rPr>
          <w:rFonts w:ascii="Palatino Linotype" w:eastAsia="Palatino Linotype" w:hAnsi="Palatino Linotype" w:cs="Palatino Linotype"/>
          <w:sz w:val="22"/>
          <w:szCs w:val="22"/>
        </w:rPr>
        <w:t>:</w:t>
      </w:r>
    </w:p>
    <w:p w14:paraId="20B09A7D" w14:textId="77777777" w:rsidR="002128E2" w:rsidRPr="003E2870" w:rsidRDefault="00830CED">
      <w:pPr>
        <w:ind w:left="567" w:right="902"/>
        <w:jc w:val="both"/>
        <w:rPr>
          <w:rFonts w:ascii="Palatino Linotype" w:eastAsia="Palatino Linotype" w:hAnsi="Palatino Linotype" w:cs="Palatino Linotype"/>
          <w:i/>
          <w:sz w:val="22"/>
          <w:szCs w:val="22"/>
        </w:rPr>
      </w:pPr>
      <w:bookmarkStart w:id="1" w:name="_heading=h.30j0zll" w:colFirst="0" w:colLast="0"/>
      <w:bookmarkEnd w:id="1"/>
      <w:r w:rsidRPr="003E2870">
        <w:rPr>
          <w:rFonts w:ascii="Palatino Linotype" w:eastAsia="Palatino Linotype" w:hAnsi="Palatino Linotype" w:cs="Palatino Linotype"/>
          <w:i/>
          <w:sz w:val="22"/>
          <w:szCs w:val="22"/>
        </w:rPr>
        <w:t xml:space="preserve"> “Por la NO respuesta a la solicitud realizada de manera clara y precisa por mi persona por lo tanto </w:t>
      </w:r>
      <w:r w:rsidRPr="003E2870">
        <w:rPr>
          <w:rFonts w:ascii="Palatino Linotype" w:eastAsia="Palatino Linotype" w:hAnsi="Palatino Linotype" w:cs="Palatino Linotype"/>
          <w:b/>
          <w:i/>
          <w:sz w:val="22"/>
          <w:szCs w:val="22"/>
          <w:u w:val="single"/>
        </w:rPr>
        <w:t>por la NEGACIÓN de la información</w:t>
      </w:r>
      <w:r w:rsidRPr="003E2870">
        <w:rPr>
          <w:rFonts w:ascii="Palatino Linotype" w:eastAsia="Palatino Linotype" w:hAnsi="Palatino Linotype" w:cs="Palatino Linotype"/>
          <w:i/>
          <w:sz w:val="22"/>
          <w:szCs w:val="22"/>
        </w:rPr>
        <w:t xml:space="preserve">. Es realmente molesto tantas evasivas a entregar archivos reportes que obran en sus archivos y que además se les mando un ejemplo claro y exacto de lo solicitado. Ojalá con este Recurso de Revisión ya no hagan más pernicioso el tema y me lo envíen a la brevedad de manera COMPLETA, ORDENADA, LEGIBLE Y TODA la información requerida y por favor que sea a mi Correo Electrónico que es el que solicito se haga llegar y no por medio de su plataforma SAIMEX que es tediosa y poco entendible y de total desagrado para manejar para </w:t>
      </w:r>
      <w:proofErr w:type="spellStart"/>
      <w:r w:rsidRPr="003E2870">
        <w:rPr>
          <w:rFonts w:ascii="Palatino Linotype" w:eastAsia="Palatino Linotype" w:hAnsi="Palatino Linotype" w:cs="Palatino Linotype"/>
          <w:i/>
          <w:sz w:val="22"/>
          <w:szCs w:val="22"/>
        </w:rPr>
        <w:t>mi</w:t>
      </w:r>
      <w:proofErr w:type="spellEnd"/>
      <w:r w:rsidRPr="003E2870">
        <w:rPr>
          <w:rFonts w:ascii="Palatino Linotype" w:eastAsia="Palatino Linotype" w:hAnsi="Palatino Linotype" w:cs="Palatino Linotype"/>
          <w:i/>
          <w:sz w:val="22"/>
          <w:szCs w:val="22"/>
        </w:rPr>
        <w:t xml:space="preserve">. Gracias. Mi correo es robertoalatorre1882@gmail.com Adjunto nuevamente ejemplo de la solicitud requerida” (Sic) </w:t>
      </w:r>
    </w:p>
    <w:p w14:paraId="32236229" w14:textId="77777777" w:rsidR="002128E2" w:rsidRPr="003E2870" w:rsidRDefault="002128E2">
      <w:pPr>
        <w:ind w:left="567" w:right="902"/>
        <w:jc w:val="both"/>
        <w:rPr>
          <w:rFonts w:ascii="Palatino Linotype" w:eastAsia="Palatino Linotype" w:hAnsi="Palatino Linotype" w:cs="Palatino Linotype"/>
          <w:i/>
          <w:sz w:val="22"/>
          <w:szCs w:val="22"/>
        </w:rPr>
      </w:pPr>
    </w:p>
    <w:p w14:paraId="127993F1" w14:textId="77777777" w:rsidR="002128E2" w:rsidRPr="003E2870" w:rsidRDefault="00830CED">
      <w:pPr>
        <w:spacing w:line="360" w:lineRule="auto"/>
        <w:ind w:left="567" w:right="902"/>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b/>
          <w:sz w:val="22"/>
          <w:szCs w:val="22"/>
        </w:rPr>
        <w:t>Archivos adjuntos:</w:t>
      </w:r>
      <w:r w:rsidRPr="003E2870">
        <w:rPr>
          <w:rFonts w:ascii="Palatino Linotype" w:eastAsia="Palatino Linotype" w:hAnsi="Palatino Linotype" w:cs="Palatino Linotype"/>
          <w:i/>
          <w:sz w:val="22"/>
          <w:szCs w:val="22"/>
        </w:rPr>
        <w:t xml:space="preserve"> “</w:t>
      </w:r>
      <w:r w:rsidRPr="003E2870">
        <w:rPr>
          <w:rFonts w:ascii="Palatino Linotype" w:eastAsia="Palatino Linotype" w:hAnsi="Palatino Linotype" w:cs="Palatino Linotype"/>
          <w:b/>
          <w:i/>
          <w:sz w:val="22"/>
          <w:szCs w:val="22"/>
        </w:rPr>
        <w:t>Ejemplo Irapuato .</w:t>
      </w:r>
      <w:proofErr w:type="spellStart"/>
      <w:r w:rsidRPr="003E2870">
        <w:rPr>
          <w:rFonts w:ascii="Palatino Linotype" w:eastAsia="Palatino Linotype" w:hAnsi="Palatino Linotype" w:cs="Palatino Linotype"/>
          <w:b/>
          <w:i/>
          <w:sz w:val="22"/>
          <w:szCs w:val="22"/>
        </w:rPr>
        <w:t>pdf</w:t>
      </w:r>
      <w:proofErr w:type="spellEnd"/>
      <w:r w:rsidRPr="003E2870">
        <w:rPr>
          <w:rFonts w:ascii="Palatino Linotype" w:eastAsia="Palatino Linotype" w:hAnsi="Palatino Linotype" w:cs="Palatino Linotype"/>
          <w:i/>
          <w:sz w:val="22"/>
          <w:szCs w:val="22"/>
        </w:rPr>
        <w:t xml:space="preserve">”: </w:t>
      </w:r>
      <w:r w:rsidRPr="003E2870">
        <w:rPr>
          <w:rFonts w:ascii="Palatino Linotype" w:eastAsia="Palatino Linotype" w:hAnsi="Palatino Linotype" w:cs="Palatino Linotype"/>
          <w:sz w:val="22"/>
          <w:szCs w:val="22"/>
        </w:rPr>
        <w:t>Archivo electrónico que se compone de veintiún fojas en las que se aprecian visores de nómina y los reportes solicitados, correspondientes al Ayuntamiento de Irapuato.</w:t>
      </w:r>
    </w:p>
    <w:p w14:paraId="5D2D3E3E" w14:textId="77777777" w:rsidR="002128E2" w:rsidRPr="003E2870" w:rsidRDefault="002128E2">
      <w:pPr>
        <w:ind w:left="567" w:right="902"/>
        <w:jc w:val="both"/>
        <w:rPr>
          <w:rFonts w:ascii="Palatino Linotype" w:eastAsia="Palatino Linotype" w:hAnsi="Palatino Linotype" w:cs="Palatino Linotype"/>
          <w:i/>
          <w:sz w:val="22"/>
          <w:szCs w:val="22"/>
        </w:rPr>
      </w:pPr>
    </w:p>
    <w:p w14:paraId="2BB9CB7B" w14:textId="77777777" w:rsidR="002128E2" w:rsidRPr="003E2870" w:rsidRDefault="002128E2">
      <w:pPr>
        <w:ind w:left="851" w:right="902"/>
        <w:jc w:val="both"/>
        <w:rPr>
          <w:rFonts w:ascii="Palatino Linotype" w:eastAsia="Palatino Linotype" w:hAnsi="Palatino Linotype" w:cs="Palatino Linotype"/>
          <w:i/>
          <w:sz w:val="22"/>
          <w:szCs w:val="22"/>
        </w:rPr>
      </w:pPr>
    </w:p>
    <w:p w14:paraId="11C00A4C" w14:textId="77777777" w:rsidR="002128E2" w:rsidRPr="003E2870" w:rsidRDefault="00830CED">
      <w:pPr>
        <w:spacing w:line="360" w:lineRule="auto"/>
        <w:ind w:right="51"/>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b/>
          <w:sz w:val="22"/>
          <w:szCs w:val="22"/>
        </w:rPr>
        <w:t xml:space="preserve">4. Turno. </w:t>
      </w:r>
      <w:r w:rsidRPr="003E2870">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3E2870">
        <w:rPr>
          <w:rFonts w:ascii="Palatino Linotype" w:eastAsia="Palatino Linotype" w:hAnsi="Palatino Linotype" w:cs="Palatino Linotype"/>
          <w:b/>
          <w:sz w:val="22"/>
          <w:szCs w:val="22"/>
        </w:rPr>
        <w:t>Comisionada</w:t>
      </w:r>
      <w:r w:rsidRPr="003E2870">
        <w:rPr>
          <w:rFonts w:ascii="Palatino Linotype" w:eastAsia="Palatino Linotype" w:hAnsi="Palatino Linotype" w:cs="Palatino Linotype"/>
          <w:sz w:val="22"/>
          <w:szCs w:val="22"/>
        </w:rPr>
        <w:t xml:space="preserve"> </w:t>
      </w:r>
      <w:r w:rsidRPr="003E2870">
        <w:rPr>
          <w:rFonts w:ascii="Palatino Linotype" w:eastAsia="Palatino Linotype" w:hAnsi="Palatino Linotype" w:cs="Palatino Linotype"/>
          <w:b/>
          <w:sz w:val="22"/>
          <w:szCs w:val="22"/>
        </w:rPr>
        <w:t xml:space="preserve">Guadalupe Ramírez Peña, </w:t>
      </w:r>
      <w:r w:rsidRPr="003E2870">
        <w:rPr>
          <w:rFonts w:ascii="Palatino Linotype" w:eastAsia="Palatino Linotype" w:hAnsi="Palatino Linotype" w:cs="Palatino Linotype"/>
          <w:sz w:val="22"/>
          <w:szCs w:val="22"/>
        </w:rPr>
        <w:t xml:space="preserve">a efecto de que analizara sobre su admisión o su </w:t>
      </w:r>
      <w:proofErr w:type="spellStart"/>
      <w:r w:rsidRPr="003E2870">
        <w:rPr>
          <w:rFonts w:ascii="Palatino Linotype" w:eastAsia="Palatino Linotype" w:hAnsi="Palatino Linotype" w:cs="Palatino Linotype"/>
          <w:sz w:val="22"/>
          <w:szCs w:val="22"/>
        </w:rPr>
        <w:t>desechamiento</w:t>
      </w:r>
      <w:proofErr w:type="spellEnd"/>
      <w:r w:rsidRPr="003E2870">
        <w:rPr>
          <w:rFonts w:ascii="Palatino Linotype" w:eastAsia="Palatino Linotype" w:hAnsi="Palatino Linotype" w:cs="Palatino Linotype"/>
          <w:sz w:val="22"/>
          <w:szCs w:val="22"/>
        </w:rPr>
        <w:t>.</w:t>
      </w:r>
    </w:p>
    <w:p w14:paraId="0F57CC92" w14:textId="77777777" w:rsidR="002128E2" w:rsidRPr="003E2870" w:rsidRDefault="002128E2">
      <w:pPr>
        <w:spacing w:line="360" w:lineRule="auto"/>
        <w:ind w:right="51"/>
        <w:jc w:val="both"/>
        <w:rPr>
          <w:rFonts w:ascii="Palatino Linotype" w:eastAsia="Palatino Linotype" w:hAnsi="Palatino Linotype" w:cs="Palatino Linotype"/>
          <w:sz w:val="22"/>
          <w:szCs w:val="22"/>
        </w:rPr>
      </w:pPr>
    </w:p>
    <w:p w14:paraId="364FB10A" w14:textId="77777777" w:rsidR="002128E2" w:rsidRPr="003E2870" w:rsidRDefault="00830CED">
      <w:pPr>
        <w:spacing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b/>
          <w:sz w:val="22"/>
          <w:szCs w:val="22"/>
        </w:rPr>
        <w:t>5. Admisión del Recurso de Revisión.</w:t>
      </w:r>
      <w:r w:rsidRPr="003E2870">
        <w:rPr>
          <w:rFonts w:ascii="Palatino Linotype" w:eastAsia="Palatino Linotype" w:hAnsi="Palatino Linotype" w:cs="Palatino Linotype"/>
          <w:sz w:val="22"/>
          <w:szCs w:val="22"/>
        </w:rPr>
        <w:t xml:space="preserve"> El</w:t>
      </w:r>
      <w:r w:rsidRPr="003E2870">
        <w:rPr>
          <w:rFonts w:ascii="Palatino Linotype" w:eastAsia="Palatino Linotype" w:hAnsi="Palatino Linotype" w:cs="Palatino Linotype"/>
          <w:b/>
          <w:sz w:val="22"/>
          <w:szCs w:val="22"/>
        </w:rPr>
        <w:t xml:space="preserve"> veintisiete de septiembre de dos mil veinticuatro, </w:t>
      </w:r>
      <w:r w:rsidRPr="003E2870">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w:t>
      </w:r>
      <w:r w:rsidRPr="003E2870">
        <w:rPr>
          <w:rFonts w:ascii="Palatino Linotype" w:eastAsia="Palatino Linotype" w:hAnsi="Palatino Linotype" w:cs="Palatino Linotype"/>
          <w:sz w:val="22"/>
          <w:szCs w:val="22"/>
        </w:rPr>
        <w:lastRenderedPageBreak/>
        <w:t xml:space="preserve">partes manifestaran lo que a su derecho resultara conveniente, ofrecieran pruebas, formularan alegatos y el </w:t>
      </w:r>
      <w:r w:rsidRPr="003E2870">
        <w:rPr>
          <w:rFonts w:ascii="Palatino Linotype" w:eastAsia="Palatino Linotype" w:hAnsi="Palatino Linotype" w:cs="Palatino Linotype"/>
          <w:b/>
          <w:sz w:val="22"/>
          <w:szCs w:val="22"/>
        </w:rPr>
        <w:t xml:space="preserve">Sujeto Obligado </w:t>
      </w:r>
      <w:r w:rsidRPr="003E2870">
        <w:rPr>
          <w:rFonts w:ascii="Palatino Linotype" w:eastAsia="Palatino Linotype" w:hAnsi="Palatino Linotype" w:cs="Palatino Linotype"/>
          <w:sz w:val="22"/>
          <w:szCs w:val="22"/>
        </w:rPr>
        <w:t>presentara su informe justificado.</w:t>
      </w:r>
    </w:p>
    <w:p w14:paraId="2A47A8B9" w14:textId="77777777" w:rsidR="002128E2" w:rsidRPr="003E2870" w:rsidRDefault="00830CED">
      <w:pPr>
        <w:spacing w:after="240" w:line="360" w:lineRule="auto"/>
        <w:jc w:val="both"/>
        <w:rPr>
          <w:rFonts w:ascii="Palatino Linotype" w:eastAsia="Palatino Linotype" w:hAnsi="Palatino Linotype" w:cs="Palatino Linotype"/>
          <w:sz w:val="22"/>
          <w:szCs w:val="22"/>
        </w:rPr>
      </w:pPr>
      <w:bookmarkStart w:id="2" w:name="_heading=h.2s8eyo1" w:colFirst="0" w:colLast="0"/>
      <w:bookmarkEnd w:id="2"/>
      <w:r w:rsidRPr="003E2870">
        <w:rPr>
          <w:rFonts w:ascii="Palatino Linotype" w:eastAsia="Palatino Linotype" w:hAnsi="Palatino Linotype" w:cs="Palatino Linotype"/>
          <w:b/>
          <w:sz w:val="22"/>
          <w:szCs w:val="22"/>
        </w:rPr>
        <w:t>6. Manifestaciones e Informe Justificado</w:t>
      </w:r>
      <w:r w:rsidRPr="003E2870">
        <w:rPr>
          <w:rFonts w:ascii="Palatino Linotype" w:eastAsia="Palatino Linotype" w:hAnsi="Palatino Linotype" w:cs="Palatino Linotype"/>
          <w:sz w:val="22"/>
          <w:szCs w:val="22"/>
        </w:rPr>
        <w:t xml:space="preserve">. Durante este plazo, se tiene constancia que el </w:t>
      </w:r>
      <w:r w:rsidRPr="003E2870">
        <w:rPr>
          <w:rFonts w:ascii="Palatino Linotype" w:eastAsia="Palatino Linotype" w:hAnsi="Palatino Linotype" w:cs="Palatino Linotype"/>
          <w:b/>
          <w:sz w:val="22"/>
          <w:szCs w:val="22"/>
        </w:rPr>
        <w:t>veintisiete de septiembre de dos mil veinticuatro</w:t>
      </w:r>
      <w:r w:rsidRPr="003E2870">
        <w:rPr>
          <w:rFonts w:ascii="Palatino Linotype" w:eastAsia="Palatino Linotype" w:hAnsi="Palatino Linotype" w:cs="Palatino Linotype"/>
          <w:sz w:val="22"/>
          <w:szCs w:val="22"/>
        </w:rPr>
        <w:t xml:space="preserve">, </w:t>
      </w:r>
      <w:r w:rsidRPr="003E2870">
        <w:rPr>
          <w:rFonts w:ascii="Palatino Linotype" w:eastAsia="Palatino Linotype" w:hAnsi="Palatino Linotype" w:cs="Palatino Linotype"/>
          <w:b/>
          <w:sz w:val="22"/>
          <w:szCs w:val="22"/>
        </w:rPr>
        <w:t>la parte Recurrente</w:t>
      </w:r>
      <w:r w:rsidRPr="003E2870">
        <w:rPr>
          <w:rFonts w:ascii="Palatino Linotype" w:eastAsia="Palatino Linotype" w:hAnsi="Palatino Linotype" w:cs="Palatino Linotype"/>
          <w:sz w:val="22"/>
          <w:szCs w:val="22"/>
        </w:rPr>
        <w:t xml:space="preserve"> adjuntó el archivo electrónico denominado “</w:t>
      </w:r>
      <w:r w:rsidRPr="003E2870">
        <w:rPr>
          <w:rFonts w:ascii="Palatino Linotype" w:eastAsia="Palatino Linotype" w:hAnsi="Palatino Linotype" w:cs="Palatino Linotype"/>
          <w:b/>
          <w:i/>
          <w:sz w:val="22"/>
          <w:szCs w:val="22"/>
        </w:rPr>
        <w:t>Ejemplo Irapuato .</w:t>
      </w:r>
      <w:proofErr w:type="spellStart"/>
      <w:r w:rsidRPr="003E2870">
        <w:rPr>
          <w:rFonts w:ascii="Palatino Linotype" w:eastAsia="Palatino Linotype" w:hAnsi="Palatino Linotype" w:cs="Palatino Linotype"/>
          <w:b/>
          <w:i/>
          <w:sz w:val="22"/>
          <w:szCs w:val="22"/>
        </w:rPr>
        <w:t>pdf</w:t>
      </w:r>
      <w:proofErr w:type="spellEnd"/>
      <w:r w:rsidRPr="003E2870">
        <w:rPr>
          <w:rFonts w:ascii="Palatino Linotype" w:eastAsia="Palatino Linotype" w:hAnsi="Palatino Linotype" w:cs="Palatino Linotype"/>
          <w:b/>
          <w:i/>
          <w:sz w:val="22"/>
          <w:szCs w:val="22"/>
        </w:rPr>
        <w:t xml:space="preserve">”, </w:t>
      </w:r>
      <w:r w:rsidRPr="003E2870">
        <w:rPr>
          <w:rFonts w:ascii="Palatino Linotype" w:eastAsia="Palatino Linotype" w:hAnsi="Palatino Linotype" w:cs="Palatino Linotype"/>
          <w:sz w:val="22"/>
          <w:szCs w:val="22"/>
        </w:rPr>
        <w:t xml:space="preserve">el cual se adjuntó en el escrito de recurso de revisión y fue descrito con anterioridad, cabe precisar que en esta etapa el </w:t>
      </w:r>
      <w:r w:rsidRPr="003E2870">
        <w:rPr>
          <w:rFonts w:ascii="Palatino Linotype" w:eastAsia="Palatino Linotype" w:hAnsi="Palatino Linotype" w:cs="Palatino Linotype"/>
          <w:b/>
          <w:sz w:val="22"/>
          <w:szCs w:val="22"/>
        </w:rPr>
        <w:t>Sujeto Obligado</w:t>
      </w:r>
      <w:r w:rsidRPr="003E2870">
        <w:rPr>
          <w:rFonts w:ascii="Palatino Linotype" w:eastAsia="Palatino Linotype" w:hAnsi="Palatino Linotype" w:cs="Palatino Linotype"/>
          <w:sz w:val="22"/>
          <w:szCs w:val="22"/>
        </w:rPr>
        <w:t xml:space="preserve"> fue omiso en proporcionar documentación alguna, por lo tanto, se tiene por precluido su derecho para tal efecto.</w:t>
      </w:r>
    </w:p>
    <w:p w14:paraId="1A207DC0" w14:textId="77777777" w:rsidR="002128E2" w:rsidRPr="003E2870" w:rsidRDefault="00830CED">
      <w:pPr>
        <w:spacing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noProof/>
          <w:sz w:val="22"/>
          <w:szCs w:val="22"/>
          <w:lang w:val="es-MX"/>
        </w:rPr>
        <w:drawing>
          <wp:inline distT="0" distB="0" distL="0" distR="0" wp14:anchorId="0AB3229F" wp14:editId="1543F685">
            <wp:extent cx="5612130" cy="1784985"/>
            <wp:effectExtent l="0" t="0" r="0" b="0"/>
            <wp:docPr id="19714301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612130" cy="1784985"/>
                    </a:xfrm>
                    <a:prstGeom prst="rect">
                      <a:avLst/>
                    </a:prstGeom>
                    <a:ln/>
                  </pic:spPr>
                </pic:pic>
              </a:graphicData>
            </a:graphic>
          </wp:inline>
        </w:drawing>
      </w:r>
    </w:p>
    <w:p w14:paraId="6B84FF98" w14:textId="77777777" w:rsidR="002128E2" w:rsidRPr="003E2870" w:rsidRDefault="00830CED">
      <w:pPr>
        <w:spacing w:after="240" w:line="360" w:lineRule="auto"/>
        <w:jc w:val="both"/>
        <w:rPr>
          <w:rFonts w:ascii="Palatino Linotype" w:eastAsia="Palatino Linotype" w:hAnsi="Palatino Linotype" w:cs="Palatino Linotype"/>
          <w:b/>
          <w:sz w:val="22"/>
          <w:szCs w:val="22"/>
        </w:rPr>
      </w:pPr>
      <w:r w:rsidRPr="003E2870">
        <w:rPr>
          <w:rFonts w:ascii="Palatino Linotype" w:eastAsia="Palatino Linotype" w:hAnsi="Palatino Linotype" w:cs="Palatino Linotype"/>
          <w:b/>
          <w:sz w:val="22"/>
          <w:szCs w:val="22"/>
        </w:rPr>
        <w:t xml:space="preserve">7. Cierre de instrucción. </w:t>
      </w:r>
      <w:r w:rsidRPr="003E2870">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Pr="003E2870">
        <w:rPr>
          <w:rFonts w:ascii="Palatino Linotype" w:eastAsia="Palatino Linotype" w:hAnsi="Palatino Linotype" w:cs="Palatino Linotype"/>
          <w:b/>
          <w:sz w:val="22"/>
          <w:szCs w:val="22"/>
        </w:rPr>
        <w:t>veintidós de octubre de dos mil veinticuatro</w:t>
      </w:r>
      <w:r w:rsidRPr="003E2870">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684E6A0B" w14:textId="77777777" w:rsidR="002128E2" w:rsidRPr="003E2870" w:rsidRDefault="00830CED">
      <w:pPr>
        <w:spacing w:before="240"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234723B4" w14:textId="77777777" w:rsidR="002128E2" w:rsidRPr="003E2870" w:rsidRDefault="00830CED">
      <w:pPr>
        <w:widowControl w:val="0"/>
        <w:spacing w:line="360" w:lineRule="auto"/>
        <w:jc w:val="center"/>
        <w:rPr>
          <w:rFonts w:ascii="Palatino Linotype" w:eastAsia="Palatino Linotype" w:hAnsi="Palatino Linotype" w:cs="Palatino Linotype"/>
          <w:b/>
          <w:sz w:val="22"/>
          <w:szCs w:val="22"/>
        </w:rPr>
      </w:pPr>
      <w:r w:rsidRPr="003E2870">
        <w:rPr>
          <w:rFonts w:ascii="Palatino Linotype" w:eastAsia="Palatino Linotype" w:hAnsi="Palatino Linotype" w:cs="Palatino Linotype"/>
          <w:b/>
          <w:sz w:val="22"/>
          <w:szCs w:val="22"/>
        </w:rPr>
        <w:t>II. C O N S I D E R A N D O S</w:t>
      </w:r>
    </w:p>
    <w:p w14:paraId="7B3185F5" w14:textId="77777777" w:rsidR="002128E2" w:rsidRPr="003E2870" w:rsidRDefault="00830CED">
      <w:pPr>
        <w:spacing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b/>
          <w:sz w:val="22"/>
          <w:szCs w:val="22"/>
        </w:rPr>
        <w:lastRenderedPageBreak/>
        <w:t>Primero. Competencia.</w:t>
      </w:r>
      <w:r w:rsidRPr="003E2870">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w:t>
      </w:r>
      <w:r w:rsidRPr="003E2870">
        <w:rPr>
          <w:rFonts w:ascii="Palatino Linotype" w:eastAsia="Palatino Linotype" w:hAnsi="Palatino Linotype" w:cs="Palatino Linotype"/>
          <w:b/>
          <w:sz w:val="22"/>
          <w:szCs w:val="22"/>
        </w:rPr>
        <w:t>la parte Recurrente</w:t>
      </w:r>
      <w:r w:rsidRPr="003E2870">
        <w:rPr>
          <w:rFonts w:ascii="Palatino Linotype" w:eastAsia="Palatino Linotype" w:hAnsi="Palatino Linotype" w:cs="Palatino Linotype"/>
          <w:sz w:val="22"/>
          <w:szCs w:val="22"/>
        </w:rPr>
        <w:t>,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5ECF27A" w14:textId="77777777" w:rsidR="002128E2" w:rsidRPr="003E2870" w:rsidRDefault="00830CED">
      <w:pPr>
        <w:spacing w:before="240" w:after="240" w:line="360" w:lineRule="auto"/>
        <w:jc w:val="both"/>
        <w:rPr>
          <w:rFonts w:ascii="Palatino Linotype" w:eastAsia="Palatino Linotype" w:hAnsi="Palatino Linotype" w:cs="Palatino Linotype"/>
          <w:sz w:val="22"/>
          <w:szCs w:val="22"/>
        </w:rPr>
      </w:pPr>
      <w:bookmarkStart w:id="3" w:name="_heading=h.tyjcwt" w:colFirst="0" w:colLast="0"/>
      <w:bookmarkEnd w:id="3"/>
      <w:r w:rsidRPr="003E2870">
        <w:rPr>
          <w:rFonts w:ascii="Palatino Linotype" w:eastAsia="Palatino Linotype" w:hAnsi="Palatino Linotype" w:cs="Palatino Linotype"/>
          <w:b/>
          <w:sz w:val="22"/>
          <w:szCs w:val="22"/>
        </w:rPr>
        <w:t xml:space="preserve">Segundo. Oportunidad y Procedibilidad del Recurso de Revisión. </w:t>
      </w:r>
      <w:r w:rsidRPr="003E2870">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E1F1081" w14:textId="77777777" w:rsidR="002128E2" w:rsidRPr="003E2870" w:rsidRDefault="00830CE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toda vez que </w:t>
      </w:r>
      <w:r w:rsidRPr="003E2870">
        <w:rPr>
          <w:rFonts w:ascii="Palatino Linotype" w:eastAsia="Palatino Linotype" w:hAnsi="Palatino Linotype" w:cs="Palatino Linotype"/>
          <w:b/>
          <w:sz w:val="22"/>
          <w:szCs w:val="22"/>
        </w:rPr>
        <w:t>el Sujeto Obligado</w:t>
      </w:r>
      <w:r w:rsidRPr="003E2870">
        <w:rPr>
          <w:rFonts w:ascii="Palatino Linotype" w:eastAsia="Palatino Linotype" w:hAnsi="Palatino Linotype" w:cs="Palatino Linotype"/>
          <w:sz w:val="22"/>
          <w:szCs w:val="22"/>
        </w:rPr>
        <w:t xml:space="preserve"> respondió a la solicitud de información el </w:t>
      </w:r>
      <w:r w:rsidRPr="003E2870">
        <w:rPr>
          <w:rFonts w:ascii="Palatino Linotype" w:eastAsia="Palatino Linotype" w:hAnsi="Palatino Linotype" w:cs="Palatino Linotype"/>
          <w:b/>
          <w:sz w:val="22"/>
          <w:szCs w:val="22"/>
        </w:rPr>
        <w:t xml:space="preserve">veintitrés de septiembre de dos mil veinticuatro, </w:t>
      </w:r>
      <w:r w:rsidRPr="003E2870">
        <w:rPr>
          <w:rFonts w:ascii="Palatino Linotype" w:eastAsia="Palatino Linotype" w:hAnsi="Palatino Linotype" w:cs="Palatino Linotype"/>
          <w:sz w:val="22"/>
          <w:szCs w:val="22"/>
        </w:rPr>
        <w:t xml:space="preserve">mientras que el recurso de revisión se interpuso el </w:t>
      </w:r>
      <w:r w:rsidRPr="003E2870">
        <w:rPr>
          <w:rFonts w:ascii="Palatino Linotype" w:eastAsia="Palatino Linotype" w:hAnsi="Palatino Linotype" w:cs="Palatino Linotype"/>
          <w:b/>
          <w:sz w:val="22"/>
          <w:szCs w:val="22"/>
        </w:rPr>
        <w:t>veinticuatro de septiembre de dos mil veinticuatro</w:t>
      </w:r>
      <w:r w:rsidRPr="003E2870">
        <w:rPr>
          <w:rFonts w:ascii="Palatino Linotype" w:eastAsia="Palatino Linotype" w:hAnsi="Palatino Linotype" w:cs="Palatino Linotype"/>
          <w:sz w:val="22"/>
          <w:szCs w:val="22"/>
        </w:rPr>
        <w:t xml:space="preserve">, esto es, el </w:t>
      </w:r>
      <w:r w:rsidRPr="003E2870">
        <w:rPr>
          <w:rFonts w:ascii="Palatino Linotype" w:eastAsia="Palatino Linotype" w:hAnsi="Palatino Linotype" w:cs="Palatino Linotype"/>
          <w:b/>
          <w:sz w:val="22"/>
          <w:szCs w:val="22"/>
        </w:rPr>
        <w:t xml:space="preserve">primer día hábil </w:t>
      </w:r>
      <w:r w:rsidRPr="003E2870">
        <w:rPr>
          <w:rFonts w:ascii="Palatino Linotype" w:eastAsia="Palatino Linotype" w:hAnsi="Palatino Linotype" w:cs="Palatino Linotype"/>
          <w:sz w:val="22"/>
          <w:szCs w:val="22"/>
        </w:rPr>
        <w:t>posterior en que tuvo conocimiento de la respuesta impugnada.</w:t>
      </w:r>
    </w:p>
    <w:p w14:paraId="68C90B10" w14:textId="77777777" w:rsidR="002128E2" w:rsidRPr="003E2870" w:rsidRDefault="00830CED">
      <w:pPr>
        <w:spacing w:before="240"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 xml:space="preserve">En este sentido, al considerar la fecha en que se formuló la solicitud y la fecha en que respondió a esta el </w:t>
      </w:r>
      <w:r w:rsidRPr="003E2870">
        <w:rPr>
          <w:rFonts w:ascii="Palatino Linotype" w:eastAsia="Palatino Linotype" w:hAnsi="Palatino Linotype" w:cs="Palatino Linotype"/>
          <w:b/>
          <w:sz w:val="22"/>
          <w:szCs w:val="22"/>
        </w:rPr>
        <w:t>Sujeto Obligado</w:t>
      </w:r>
      <w:r w:rsidRPr="003E2870">
        <w:rPr>
          <w:rFonts w:ascii="Palatino Linotype" w:eastAsia="Palatino Linotype" w:hAnsi="Palatino Linotype" w:cs="Palatino Linotype"/>
          <w:sz w:val="22"/>
          <w:szCs w:val="22"/>
        </w:rPr>
        <w:t>; así como la fecha en que se interpuso el recurso de revisión, se concluye que el presente recurso de revisión se encuentra dentro de los márgenes temporales previstos las disposiciones legales referidas.</w:t>
      </w:r>
    </w:p>
    <w:p w14:paraId="03BA5BBA" w14:textId="77777777" w:rsidR="002128E2" w:rsidRPr="003E2870" w:rsidRDefault="00830CED">
      <w:pPr>
        <w:pBdr>
          <w:top w:val="nil"/>
          <w:left w:val="nil"/>
          <w:bottom w:val="nil"/>
          <w:right w:val="nil"/>
          <w:between w:val="nil"/>
        </w:pBdr>
        <w:spacing w:before="240" w:after="240" w:line="360" w:lineRule="auto"/>
        <w:jc w:val="both"/>
        <w:rPr>
          <w:sz w:val="22"/>
          <w:szCs w:val="22"/>
        </w:rPr>
      </w:pPr>
      <w:r w:rsidRPr="003E2870">
        <w:rPr>
          <w:rFonts w:ascii="Palatino Linotype" w:eastAsia="Palatino Linotype" w:hAnsi="Palatino Linotype" w:cs="Palatino Linotype"/>
          <w:sz w:val="22"/>
          <w:szCs w:val="22"/>
        </w:rPr>
        <w:t xml:space="preserve">Asimismo, por cuanto hace a la procedibilidad del  recurso de revisión, es de suma importancia señalar que </w:t>
      </w:r>
      <w:r w:rsidRPr="003E2870">
        <w:rPr>
          <w:rFonts w:ascii="Palatino Linotype" w:eastAsia="Palatino Linotype" w:hAnsi="Palatino Linotype" w:cs="Palatino Linotype"/>
          <w:b/>
          <w:sz w:val="22"/>
          <w:szCs w:val="22"/>
        </w:rPr>
        <w:t>la parte Recurrente</w:t>
      </w:r>
      <w:r w:rsidRPr="003E2870">
        <w:rPr>
          <w:rFonts w:ascii="Palatino Linotype" w:eastAsia="Palatino Linotype" w:hAnsi="Palatino Linotype" w:cs="Palatino Linotype"/>
          <w:sz w:val="22"/>
          <w:szCs w:val="22"/>
        </w:rPr>
        <w:t xml:space="preserve">, </w:t>
      </w:r>
      <w:r w:rsidRPr="003E2870">
        <w:rPr>
          <w:rFonts w:ascii="Palatino Linotype" w:eastAsia="Palatino Linotype" w:hAnsi="Palatino Linotype" w:cs="Palatino Linotype"/>
          <w:b/>
          <w:sz w:val="22"/>
          <w:szCs w:val="22"/>
        </w:rPr>
        <w:t>no señaló</w:t>
      </w:r>
      <w:r w:rsidRPr="003E2870">
        <w:rPr>
          <w:rFonts w:ascii="Palatino Linotype" w:eastAsia="Palatino Linotype" w:hAnsi="Palatino Linotype" w:cs="Palatino Linotype"/>
          <w:sz w:val="22"/>
          <w:szCs w:val="22"/>
        </w:rPr>
        <w:t xml:space="preserve"> </w:t>
      </w:r>
      <w:r w:rsidRPr="003E2870">
        <w:rPr>
          <w:rFonts w:ascii="Palatino Linotype" w:eastAsia="Palatino Linotype" w:hAnsi="Palatino Linotype" w:cs="Palatino Linotype"/>
          <w:b/>
          <w:sz w:val="22"/>
          <w:szCs w:val="22"/>
        </w:rPr>
        <w:t>nombre completo c</w:t>
      </w:r>
      <w:r w:rsidRPr="003E2870">
        <w:rPr>
          <w:rFonts w:ascii="Palatino Linotype" w:eastAsia="Palatino Linotype" w:hAnsi="Palatino Linotype" w:cs="Palatino Linotype"/>
          <w:sz w:val="22"/>
          <w:szCs w:val="22"/>
        </w:rPr>
        <w:t xml:space="preserve">on el que desea </w:t>
      </w:r>
      <w:r w:rsidRPr="003E2870">
        <w:rPr>
          <w:rFonts w:ascii="Palatino Linotype" w:eastAsia="Palatino Linotype" w:hAnsi="Palatino Linotype" w:cs="Palatino Linotype"/>
          <w:sz w:val="22"/>
          <w:szCs w:val="22"/>
        </w:rPr>
        <w:lastRenderedPageBreak/>
        <w:t>que se le identifique, tal como se advierte en el detalle de seguimiento del SAIMEX, no obstante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F5DAC2A" w14:textId="77777777" w:rsidR="002128E2" w:rsidRPr="003E2870" w:rsidRDefault="00830CED">
      <w:pPr>
        <w:pBdr>
          <w:top w:val="nil"/>
          <w:left w:val="nil"/>
          <w:bottom w:val="nil"/>
          <w:right w:val="nil"/>
          <w:between w:val="nil"/>
        </w:pBdr>
        <w:spacing w:before="240" w:after="240"/>
        <w:ind w:left="567" w:right="616"/>
        <w:jc w:val="both"/>
      </w:pPr>
      <w:r w:rsidRPr="003E2870">
        <w:rPr>
          <w:rFonts w:ascii="Palatino Linotype" w:eastAsia="Palatino Linotype" w:hAnsi="Palatino Linotype" w:cs="Palatino Linotype"/>
          <w:i/>
          <w:sz w:val="22"/>
          <w:szCs w:val="22"/>
        </w:rPr>
        <w:t>"</w:t>
      </w:r>
      <w:r w:rsidRPr="003E2870">
        <w:rPr>
          <w:rFonts w:ascii="Palatino Linotype" w:eastAsia="Palatino Linotype" w:hAnsi="Palatino Linotype" w:cs="Palatino Linotype"/>
          <w:b/>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r w:rsidRPr="003E2870">
        <w:rPr>
          <w:rFonts w:ascii="Palatino Linotype" w:eastAsia="Palatino Linotype" w:hAnsi="Palatino Linotype" w:cs="Palatino Linotype"/>
          <w:i/>
          <w:sz w:val="22"/>
          <w:szCs w:val="22"/>
        </w:rPr>
        <w:t>."</w:t>
      </w:r>
    </w:p>
    <w:p w14:paraId="67A28692" w14:textId="77777777" w:rsidR="002128E2" w:rsidRPr="003E2870" w:rsidRDefault="00830CED">
      <w:pPr>
        <w:spacing w:before="240"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1117B89" w14:textId="77777777" w:rsidR="002128E2" w:rsidRPr="003E2870" w:rsidRDefault="00830CED">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Ahora bien, resulta procedente la interposición del recurso, según lo aducido por la parte recurrente en sus razones o motivos de inconformidad, de acuerdo al artículo 179, fracciones I y VII, de la Ley de Transparencia y Acceso a la Información Pública del Estado de México y Municipios; que a la letra dice:</w:t>
      </w:r>
    </w:p>
    <w:p w14:paraId="76BD1134" w14:textId="77777777" w:rsidR="002128E2" w:rsidRPr="003E2870" w:rsidRDefault="00830CE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b/>
          <w:i/>
          <w:sz w:val="22"/>
          <w:szCs w:val="22"/>
        </w:rPr>
        <w:t>“Artículo 179</w:t>
      </w:r>
      <w:r w:rsidRPr="003E2870">
        <w:rPr>
          <w:rFonts w:ascii="Palatino Linotype" w:eastAsia="Palatino Linotype" w:hAnsi="Palatino Linotype" w:cs="Palatino Linotype"/>
          <w:i/>
          <w:sz w:val="22"/>
          <w:szCs w:val="22"/>
        </w:rPr>
        <w:t xml:space="preserve">. </w:t>
      </w:r>
      <w:r w:rsidRPr="003E2870">
        <w:rPr>
          <w:rFonts w:ascii="Palatino Linotype" w:eastAsia="Palatino Linotype" w:hAnsi="Palatino Linotype" w:cs="Palatino Linotype"/>
          <w:b/>
          <w:i/>
          <w:sz w:val="22"/>
          <w:szCs w:val="22"/>
        </w:rPr>
        <w:t>El recurso de revisión</w:t>
      </w:r>
      <w:r w:rsidRPr="003E2870">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3E2870">
        <w:rPr>
          <w:rFonts w:ascii="Palatino Linotype" w:eastAsia="Palatino Linotype" w:hAnsi="Palatino Linotype" w:cs="Palatino Linotype"/>
          <w:b/>
          <w:i/>
          <w:sz w:val="22"/>
          <w:szCs w:val="22"/>
        </w:rPr>
        <w:t>, y procederá en contra de las siguientes causas</w:t>
      </w:r>
      <w:r w:rsidRPr="003E2870">
        <w:rPr>
          <w:rFonts w:ascii="Palatino Linotype" w:eastAsia="Palatino Linotype" w:hAnsi="Palatino Linotype" w:cs="Palatino Linotype"/>
          <w:i/>
          <w:sz w:val="22"/>
          <w:szCs w:val="22"/>
        </w:rPr>
        <w:t>:</w:t>
      </w:r>
    </w:p>
    <w:p w14:paraId="4E4A014F" w14:textId="77777777" w:rsidR="002128E2" w:rsidRPr="003E2870" w:rsidRDefault="00830CE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rPr>
      </w:pPr>
      <w:r w:rsidRPr="003E2870">
        <w:rPr>
          <w:rFonts w:ascii="Palatino Linotype" w:eastAsia="Palatino Linotype" w:hAnsi="Palatino Linotype" w:cs="Palatino Linotype"/>
          <w:b/>
          <w:i/>
          <w:sz w:val="22"/>
          <w:szCs w:val="22"/>
        </w:rPr>
        <w:t>I. La negativa a la información solicitada;</w:t>
      </w:r>
    </w:p>
    <w:p w14:paraId="082112A3" w14:textId="77777777" w:rsidR="002128E2" w:rsidRPr="003E2870" w:rsidRDefault="00830CE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i/>
          <w:sz w:val="22"/>
          <w:szCs w:val="22"/>
        </w:rPr>
        <w:t>…</w:t>
      </w:r>
    </w:p>
    <w:p w14:paraId="77D4B002" w14:textId="77777777" w:rsidR="002128E2" w:rsidRPr="003E2870" w:rsidRDefault="00830CE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rPr>
      </w:pPr>
      <w:r w:rsidRPr="003E2870">
        <w:rPr>
          <w:rFonts w:ascii="Palatino Linotype" w:eastAsia="Palatino Linotype" w:hAnsi="Palatino Linotype" w:cs="Palatino Linotype"/>
          <w:b/>
          <w:i/>
          <w:sz w:val="22"/>
          <w:szCs w:val="22"/>
        </w:rPr>
        <w:t>VII. La falta de respuesta a una solicitud de acceso a la información;</w:t>
      </w:r>
    </w:p>
    <w:p w14:paraId="357130CB" w14:textId="77777777" w:rsidR="002128E2" w:rsidRPr="003E2870" w:rsidRDefault="00830CED">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rPr>
      </w:pPr>
      <w:r w:rsidRPr="003E2870">
        <w:rPr>
          <w:rFonts w:ascii="Palatino Linotype" w:eastAsia="Palatino Linotype" w:hAnsi="Palatino Linotype" w:cs="Palatino Linotype"/>
          <w:b/>
          <w:i/>
          <w:sz w:val="22"/>
          <w:szCs w:val="22"/>
        </w:rPr>
        <w:t>…”</w:t>
      </w:r>
    </w:p>
    <w:p w14:paraId="52699D28" w14:textId="77777777" w:rsidR="002128E2" w:rsidRPr="003E2870" w:rsidRDefault="00830CED">
      <w:pPr>
        <w:spacing w:before="240"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b/>
          <w:sz w:val="22"/>
          <w:szCs w:val="22"/>
        </w:rPr>
        <w:lastRenderedPageBreak/>
        <w:t xml:space="preserve">Tercero. Materia de la revisión. </w:t>
      </w:r>
      <w:r w:rsidRPr="003E2870">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3E2870">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3E2870">
        <w:rPr>
          <w:rFonts w:ascii="Palatino Linotype" w:eastAsia="Palatino Linotype" w:hAnsi="Palatino Linotype" w:cs="Palatino Linotype"/>
          <w:sz w:val="22"/>
          <w:szCs w:val="22"/>
        </w:rPr>
        <w:t xml:space="preserve">de </w:t>
      </w:r>
      <w:r w:rsidRPr="003E2870">
        <w:rPr>
          <w:rFonts w:ascii="Palatino Linotype" w:eastAsia="Palatino Linotype" w:hAnsi="Palatino Linotype" w:cs="Palatino Linotype"/>
          <w:b/>
          <w:sz w:val="22"/>
          <w:szCs w:val="22"/>
        </w:rPr>
        <w:t>la parte Recurrente,</w:t>
      </w:r>
      <w:r w:rsidRPr="003E2870">
        <w:rPr>
          <w:rFonts w:ascii="Palatino Linotype" w:eastAsia="Palatino Linotype" w:hAnsi="Palatino Linotype" w:cs="Palatino Linotype"/>
          <w:sz w:val="22"/>
          <w:szCs w:val="22"/>
        </w:rPr>
        <w:t xml:space="preserve"> o en su defecto, en caso de ser procedente, ordenar la entrega de información oportuna.</w:t>
      </w:r>
    </w:p>
    <w:p w14:paraId="38BEF753" w14:textId="77777777" w:rsidR="002128E2" w:rsidRPr="003E2870" w:rsidRDefault="00830CED">
      <w:pPr>
        <w:pBdr>
          <w:top w:val="nil"/>
          <w:left w:val="nil"/>
          <w:bottom w:val="nil"/>
          <w:right w:val="nil"/>
          <w:between w:val="nil"/>
        </w:pBdr>
        <w:spacing w:before="240" w:after="240" w:line="360" w:lineRule="auto"/>
        <w:jc w:val="both"/>
        <w:rPr>
          <w:sz w:val="22"/>
          <w:szCs w:val="22"/>
        </w:rPr>
      </w:pPr>
      <w:r w:rsidRPr="003E2870">
        <w:rPr>
          <w:rFonts w:ascii="Palatino Linotype" w:eastAsia="Palatino Linotype" w:hAnsi="Palatino Linotype" w:cs="Palatino Linotype"/>
          <w:b/>
          <w:sz w:val="22"/>
          <w:szCs w:val="22"/>
        </w:rPr>
        <w:t xml:space="preserve">Cuarto. Estudio del asunto. </w:t>
      </w:r>
      <w:r w:rsidRPr="003E2870">
        <w:rPr>
          <w:rFonts w:ascii="Palatino Linotype" w:eastAsia="Palatino Linotype" w:hAnsi="Palatino Linotype" w:cs="Palatino Linotype"/>
          <w:sz w:val="22"/>
          <w:szCs w:val="22"/>
        </w:rPr>
        <w:t xml:space="preserve">Antes de entrar al análisis de los pronunciamientos del </w:t>
      </w:r>
      <w:r w:rsidRPr="003E2870">
        <w:rPr>
          <w:rFonts w:ascii="Palatino Linotype" w:eastAsia="Palatino Linotype" w:hAnsi="Palatino Linotype" w:cs="Palatino Linotype"/>
          <w:b/>
          <w:sz w:val="22"/>
          <w:szCs w:val="22"/>
        </w:rPr>
        <w:t>Sujeto Obligado</w:t>
      </w:r>
      <w:r w:rsidRPr="003E2870">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123054B" w14:textId="77777777" w:rsidR="002128E2" w:rsidRPr="003E2870" w:rsidRDefault="00830CED">
      <w:pPr>
        <w:pBdr>
          <w:top w:val="nil"/>
          <w:left w:val="nil"/>
          <w:bottom w:val="nil"/>
          <w:right w:val="nil"/>
          <w:between w:val="nil"/>
        </w:pBdr>
        <w:spacing w:before="240" w:after="240"/>
        <w:ind w:left="851" w:right="850"/>
        <w:jc w:val="both"/>
      </w:pPr>
      <w:r w:rsidRPr="003E2870">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3E2870">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078ED56F" w14:textId="77777777" w:rsidR="002128E2" w:rsidRPr="003E2870" w:rsidRDefault="00830CED">
      <w:pPr>
        <w:pBdr>
          <w:top w:val="nil"/>
          <w:left w:val="nil"/>
          <w:bottom w:val="nil"/>
          <w:right w:val="nil"/>
          <w:between w:val="nil"/>
        </w:pBdr>
        <w:spacing w:before="240" w:after="240"/>
        <w:ind w:left="851" w:right="850"/>
        <w:jc w:val="both"/>
      </w:pPr>
      <w:r w:rsidRPr="003E2870">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0D9EA5DF" w14:textId="77777777" w:rsidR="002128E2" w:rsidRPr="003E2870" w:rsidRDefault="00830CED">
      <w:pPr>
        <w:pBdr>
          <w:top w:val="nil"/>
          <w:left w:val="nil"/>
          <w:bottom w:val="nil"/>
          <w:right w:val="nil"/>
          <w:between w:val="nil"/>
        </w:pBdr>
        <w:spacing w:before="240" w:after="240"/>
        <w:ind w:left="851" w:right="850"/>
        <w:jc w:val="both"/>
      </w:pPr>
      <w:r w:rsidRPr="003E2870">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3E2870">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1A4E0560" w14:textId="77777777" w:rsidR="002128E2" w:rsidRPr="003E2870" w:rsidRDefault="00830CED">
      <w:pPr>
        <w:pBdr>
          <w:top w:val="nil"/>
          <w:left w:val="nil"/>
          <w:bottom w:val="nil"/>
          <w:right w:val="nil"/>
          <w:between w:val="nil"/>
        </w:pBdr>
        <w:spacing w:before="240" w:after="240"/>
        <w:ind w:left="851" w:right="850"/>
        <w:jc w:val="both"/>
      </w:pPr>
      <w:r w:rsidRPr="003E2870">
        <w:rPr>
          <w:rFonts w:ascii="Palatino Linotype" w:eastAsia="Palatino Linotype" w:hAnsi="Palatino Linotype" w:cs="Palatino Linotype"/>
          <w:i/>
          <w:sz w:val="22"/>
          <w:szCs w:val="22"/>
        </w:rPr>
        <w:lastRenderedPageBreak/>
        <w:t>[…]</w:t>
      </w:r>
    </w:p>
    <w:p w14:paraId="3E30F18B" w14:textId="77777777" w:rsidR="002128E2" w:rsidRPr="003E2870" w:rsidRDefault="00830CED">
      <w:pPr>
        <w:pBdr>
          <w:top w:val="nil"/>
          <w:left w:val="nil"/>
          <w:bottom w:val="nil"/>
          <w:right w:val="nil"/>
          <w:between w:val="nil"/>
        </w:pBdr>
        <w:spacing w:before="240" w:after="240"/>
        <w:ind w:left="851" w:right="901"/>
        <w:jc w:val="both"/>
      </w:pPr>
      <w:r w:rsidRPr="003E2870">
        <w:rPr>
          <w:rFonts w:ascii="Palatino Linotype" w:eastAsia="Palatino Linotype" w:hAnsi="Palatino Linotype" w:cs="Palatino Linotype"/>
          <w:b/>
          <w:i/>
          <w:sz w:val="22"/>
          <w:szCs w:val="22"/>
        </w:rPr>
        <w:t>“Artículo 6o.</w:t>
      </w:r>
    </w:p>
    <w:p w14:paraId="76AF27C7" w14:textId="77777777" w:rsidR="002128E2" w:rsidRPr="003E2870" w:rsidRDefault="00830CED">
      <w:pPr>
        <w:pBdr>
          <w:top w:val="nil"/>
          <w:left w:val="nil"/>
          <w:bottom w:val="nil"/>
          <w:right w:val="nil"/>
          <w:between w:val="nil"/>
        </w:pBdr>
        <w:spacing w:before="240" w:after="240"/>
        <w:ind w:left="851" w:right="901"/>
        <w:jc w:val="both"/>
      </w:pPr>
      <w:r w:rsidRPr="003E2870">
        <w:rPr>
          <w:rFonts w:ascii="Palatino Linotype" w:eastAsia="Palatino Linotype" w:hAnsi="Palatino Linotype" w:cs="Palatino Linotype"/>
          <w:i/>
          <w:sz w:val="22"/>
          <w:szCs w:val="22"/>
        </w:rPr>
        <w:t>[...]</w:t>
      </w:r>
    </w:p>
    <w:p w14:paraId="3895E5AB" w14:textId="77777777" w:rsidR="002128E2" w:rsidRPr="003E2870" w:rsidRDefault="00830CED">
      <w:pPr>
        <w:pBdr>
          <w:top w:val="nil"/>
          <w:left w:val="nil"/>
          <w:bottom w:val="nil"/>
          <w:right w:val="nil"/>
          <w:between w:val="nil"/>
        </w:pBdr>
        <w:spacing w:before="240" w:after="240"/>
        <w:ind w:left="851" w:right="851"/>
        <w:jc w:val="both"/>
      </w:pPr>
      <w:r w:rsidRPr="003E2870">
        <w:rPr>
          <w:rFonts w:ascii="Palatino Linotype" w:eastAsia="Palatino Linotype" w:hAnsi="Palatino Linotype" w:cs="Palatino Linotype"/>
          <w:b/>
          <w:i/>
          <w:sz w:val="22"/>
          <w:szCs w:val="22"/>
        </w:rPr>
        <w:t xml:space="preserve">A. Para el ejercicio del derecho de acceso a la información, la Federación y </w:t>
      </w:r>
      <w:r w:rsidRPr="003E2870">
        <w:rPr>
          <w:rFonts w:ascii="Palatino Linotype" w:eastAsia="Palatino Linotype" w:hAnsi="Palatino Linotype" w:cs="Palatino Linotype"/>
          <w:b/>
          <w:i/>
          <w:sz w:val="22"/>
          <w:szCs w:val="22"/>
          <w:u w:val="single"/>
        </w:rPr>
        <w:t>las entidades federativas</w:t>
      </w:r>
      <w:r w:rsidRPr="003E2870">
        <w:rPr>
          <w:rFonts w:ascii="Palatino Linotype" w:eastAsia="Palatino Linotype" w:hAnsi="Palatino Linotype" w:cs="Palatino Linotype"/>
          <w:b/>
          <w:i/>
          <w:sz w:val="22"/>
          <w:szCs w:val="22"/>
        </w:rPr>
        <w:t>,</w:t>
      </w:r>
      <w:r w:rsidRPr="003E2870">
        <w:rPr>
          <w:rFonts w:ascii="Palatino Linotype" w:eastAsia="Palatino Linotype" w:hAnsi="Palatino Linotype" w:cs="Palatino Linotype"/>
          <w:i/>
          <w:sz w:val="22"/>
          <w:szCs w:val="22"/>
        </w:rPr>
        <w:t xml:space="preserve"> en el ámbito de sus respectivas competencias, se regirán por los siguientes principios y bases:</w:t>
      </w:r>
    </w:p>
    <w:p w14:paraId="6998AC02" w14:textId="77777777" w:rsidR="002128E2" w:rsidRPr="003E2870" w:rsidRDefault="00830CED">
      <w:pPr>
        <w:pBdr>
          <w:top w:val="nil"/>
          <w:left w:val="nil"/>
          <w:bottom w:val="nil"/>
          <w:right w:val="nil"/>
          <w:between w:val="nil"/>
        </w:pBdr>
        <w:spacing w:before="240" w:after="240"/>
        <w:ind w:left="851" w:right="851"/>
        <w:jc w:val="both"/>
      </w:pPr>
      <w:r w:rsidRPr="003E2870">
        <w:rPr>
          <w:rFonts w:ascii="Palatino Linotype" w:eastAsia="Palatino Linotype" w:hAnsi="Palatino Linotype" w:cs="Palatino Linotype"/>
          <w:i/>
          <w:sz w:val="22"/>
          <w:szCs w:val="22"/>
        </w:rPr>
        <w:t> </w:t>
      </w:r>
      <w:r w:rsidRPr="003E2870">
        <w:rPr>
          <w:rFonts w:ascii="Palatino Linotype" w:eastAsia="Palatino Linotype" w:hAnsi="Palatino Linotype" w:cs="Palatino Linotype"/>
          <w:b/>
          <w:i/>
          <w:sz w:val="22"/>
          <w:szCs w:val="22"/>
        </w:rPr>
        <w:t xml:space="preserve">I. </w:t>
      </w:r>
      <w:r w:rsidRPr="003E2870">
        <w:rPr>
          <w:rFonts w:ascii="Palatino Linotype" w:eastAsia="Palatino Linotype" w:hAnsi="Palatino Linotype" w:cs="Palatino Linotype"/>
          <w:b/>
          <w:i/>
          <w:sz w:val="22"/>
          <w:szCs w:val="22"/>
          <w:u w:val="single"/>
        </w:rPr>
        <w:t>Toda la información en posesión de cualquier autoridad, entidad, órgano y organismo de los Poderes</w:t>
      </w:r>
      <w:r w:rsidRPr="003E2870">
        <w:rPr>
          <w:rFonts w:ascii="Palatino Linotype" w:eastAsia="Palatino Linotype" w:hAnsi="Palatino Linotype" w:cs="Palatino Linotype"/>
          <w:i/>
          <w:sz w:val="22"/>
          <w:szCs w:val="22"/>
        </w:rPr>
        <w:t xml:space="preserve"> Ejecutivo, Legislativo </w:t>
      </w:r>
      <w:r w:rsidRPr="003E2870">
        <w:rPr>
          <w:rFonts w:ascii="Palatino Linotype" w:eastAsia="Palatino Linotype" w:hAnsi="Palatino Linotype" w:cs="Palatino Linotype"/>
          <w:b/>
          <w:i/>
          <w:sz w:val="22"/>
          <w:szCs w:val="22"/>
          <w:u w:val="single"/>
        </w:rPr>
        <w:t>y Judicial</w:t>
      </w:r>
      <w:r w:rsidRPr="003E2870">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3E2870">
        <w:rPr>
          <w:rFonts w:ascii="Palatino Linotype" w:eastAsia="Palatino Linotype" w:hAnsi="Palatino Linotype" w:cs="Palatino Linotype"/>
          <w:b/>
          <w:i/>
          <w:sz w:val="22"/>
          <w:szCs w:val="22"/>
        </w:rPr>
        <w:t>es pública y sólo podrá ser reservada temporalmente por razones de interés público y seguridad nacional,</w:t>
      </w:r>
      <w:r w:rsidRPr="003E2870">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10BAF3B" w14:textId="77777777" w:rsidR="002128E2" w:rsidRPr="003E2870" w:rsidRDefault="00830CED">
      <w:pPr>
        <w:pBdr>
          <w:top w:val="nil"/>
          <w:left w:val="nil"/>
          <w:bottom w:val="nil"/>
          <w:right w:val="nil"/>
          <w:between w:val="nil"/>
        </w:pBdr>
        <w:spacing w:before="240" w:after="240"/>
        <w:ind w:left="851" w:right="851"/>
        <w:jc w:val="both"/>
      </w:pPr>
      <w:r w:rsidRPr="003E2870">
        <w:rPr>
          <w:rFonts w:ascii="Palatino Linotype" w:eastAsia="Palatino Linotype" w:hAnsi="Palatino Linotype" w:cs="Palatino Linotype"/>
          <w:i/>
          <w:sz w:val="22"/>
          <w:szCs w:val="22"/>
        </w:rPr>
        <w:t> </w:t>
      </w:r>
      <w:r w:rsidRPr="003E2870">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584E307E" w14:textId="77777777" w:rsidR="002128E2" w:rsidRPr="003E2870" w:rsidRDefault="00830CED">
      <w:pPr>
        <w:pBdr>
          <w:top w:val="nil"/>
          <w:left w:val="nil"/>
          <w:bottom w:val="nil"/>
          <w:right w:val="nil"/>
          <w:between w:val="nil"/>
        </w:pBdr>
        <w:spacing w:before="240" w:after="240"/>
        <w:ind w:left="851" w:right="851"/>
        <w:jc w:val="both"/>
      </w:pPr>
      <w:r w:rsidRPr="003E2870">
        <w:rPr>
          <w:rFonts w:ascii="Palatino Linotype" w:eastAsia="Palatino Linotype" w:hAnsi="Palatino Linotype" w:cs="Palatino Linotype"/>
          <w:i/>
          <w:sz w:val="22"/>
          <w:szCs w:val="22"/>
        </w:rPr>
        <w:t> </w:t>
      </w:r>
      <w:r w:rsidRPr="003E2870">
        <w:rPr>
          <w:rFonts w:ascii="Palatino Linotype" w:eastAsia="Palatino Linotype" w:hAnsi="Palatino Linotype" w:cs="Palatino Linotype"/>
          <w:b/>
          <w:i/>
          <w:sz w:val="22"/>
          <w:szCs w:val="22"/>
        </w:rPr>
        <w:t xml:space="preserve">III. </w:t>
      </w:r>
      <w:r w:rsidRPr="003E2870">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3E2870">
        <w:rPr>
          <w:rFonts w:ascii="Palatino Linotype" w:eastAsia="Palatino Linotype" w:hAnsi="Palatino Linotype" w:cs="Palatino Linotype"/>
          <w:i/>
          <w:sz w:val="22"/>
          <w:szCs w:val="22"/>
        </w:rPr>
        <w:t xml:space="preserve"> a sus datos personales o a la rectificación de éstos.</w:t>
      </w:r>
    </w:p>
    <w:p w14:paraId="4AA7253E" w14:textId="77777777" w:rsidR="002128E2" w:rsidRPr="003E2870" w:rsidRDefault="00830CED">
      <w:pPr>
        <w:pBdr>
          <w:top w:val="nil"/>
          <w:left w:val="nil"/>
          <w:bottom w:val="nil"/>
          <w:right w:val="nil"/>
          <w:between w:val="nil"/>
        </w:pBdr>
        <w:spacing w:before="240" w:after="240"/>
        <w:ind w:left="851" w:right="851"/>
        <w:jc w:val="both"/>
      </w:pPr>
      <w:r w:rsidRPr="003E2870">
        <w:rPr>
          <w:rFonts w:ascii="Palatino Linotype" w:eastAsia="Palatino Linotype" w:hAnsi="Palatino Linotype" w:cs="Palatino Linotype"/>
          <w:i/>
          <w:sz w:val="22"/>
          <w:szCs w:val="22"/>
        </w:rPr>
        <w:t> </w:t>
      </w:r>
      <w:r w:rsidRPr="003E2870">
        <w:rPr>
          <w:rFonts w:ascii="Palatino Linotype" w:eastAsia="Palatino Linotype" w:hAnsi="Palatino Linotype" w:cs="Palatino Linotype"/>
          <w:b/>
          <w:i/>
          <w:sz w:val="22"/>
          <w:szCs w:val="22"/>
        </w:rPr>
        <w:t xml:space="preserve">IV. </w:t>
      </w:r>
      <w:r w:rsidRPr="003E2870">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094CA2B4" w14:textId="77777777" w:rsidR="002128E2" w:rsidRPr="003E2870" w:rsidRDefault="00830CED">
      <w:pPr>
        <w:pBdr>
          <w:top w:val="nil"/>
          <w:left w:val="nil"/>
          <w:bottom w:val="nil"/>
          <w:right w:val="nil"/>
          <w:between w:val="nil"/>
        </w:pBdr>
        <w:spacing w:before="240" w:after="240"/>
        <w:ind w:left="851" w:right="851"/>
        <w:jc w:val="both"/>
      </w:pPr>
      <w:r w:rsidRPr="003E2870">
        <w:rPr>
          <w:rFonts w:ascii="Palatino Linotype" w:eastAsia="Palatino Linotype" w:hAnsi="Palatino Linotype" w:cs="Palatino Linotype"/>
          <w:b/>
          <w:i/>
          <w:sz w:val="22"/>
          <w:szCs w:val="22"/>
        </w:rPr>
        <w:t xml:space="preserve">V. </w:t>
      </w:r>
      <w:r w:rsidRPr="003E2870">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C0A8B70" w14:textId="77777777" w:rsidR="002128E2" w:rsidRPr="003E2870" w:rsidRDefault="00830CED">
      <w:pPr>
        <w:pBdr>
          <w:top w:val="nil"/>
          <w:left w:val="nil"/>
          <w:bottom w:val="nil"/>
          <w:right w:val="nil"/>
          <w:between w:val="nil"/>
        </w:pBdr>
        <w:spacing w:before="240" w:after="240"/>
        <w:ind w:left="851" w:right="851"/>
        <w:jc w:val="both"/>
      </w:pPr>
      <w:r w:rsidRPr="003E2870">
        <w:rPr>
          <w:rFonts w:ascii="Palatino Linotype" w:eastAsia="Palatino Linotype" w:hAnsi="Palatino Linotype" w:cs="Palatino Linotype"/>
          <w:i/>
          <w:sz w:val="22"/>
          <w:szCs w:val="22"/>
        </w:rPr>
        <w:t> </w:t>
      </w:r>
      <w:r w:rsidRPr="003E2870">
        <w:rPr>
          <w:rFonts w:ascii="Palatino Linotype" w:eastAsia="Palatino Linotype" w:hAnsi="Palatino Linotype" w:cs="Palatino Linotype"/>
          <w:b/>
          <w:i/>
          <w:sz w:val="22"/>
          <w:szCs w:val="22"/>
        </w:rPr>
        <w:t xml:space="preserve">VI. </w:t>
      </w:r>
      <w:r w:rsidRPr="003E2870">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1B941C6F" w14:textId="77777777" w:rsidR="002128E2" w:rsidRPr="003E2870" w:rsidRDefault="00830CED">
      <w:pPr>
        <w:pBdr>
          <w:top w:val="nil"/>
          <w:left w:val="nil"/>
          <w:bottom w:val="nil"/>
          <w:right w:val="nil"/>
          <w:between w:val="nil"/>
        </w:pBdr>
        <w:spacing w:before="240" w:after="240"/>
        <w:ind w:left="851" w:right="851"/>
        <w:jc w:val="both"/>
      </w:pPr>
      <w:r w:rsidRPr="003E2870">
        <w:rPr>
          <w:rFonts w:ascii="Palatino Linotype" w:eastAsia="Palatino Linotype" w:hAnsi="Palatino Linotype" w:cs="Palatino Linotype"/>
          <w:i/>
          <w:sz w:val="22"/>
          <w:szCs w:val="22"/>
        </w:rPr>
        <w:lastRenderedPageBreak/>
        <w:t> </w:t>
      </w:r>
      <w:r w:rsidRPr="003E2870">
        <w:rPr>
          <w:rFonts w:ascii="Palatino Linotype" w:eastAsia="Palatino Linotype" w:hAnsi="Palatino Linotype" w:cs="Palatino Linotype"/>
          <w:b/>
          <w:i/>
          <w:sz w:val="22"/>
          <w:szCs w:val="22"/>
        </w:rPr>
        <w:t xml:space="preserve">VII. </w:t>
      </w:r>
      <w:r w:rsidRPr="003E2870">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1C139283" w14:textId="77777777" w:rsidR="002128E2" w:rsidRPr="003E2870" w:rsidRDefault="00830CED">
      <w:pPr>
        <w:pBdr>
          <w:top w:val="nil"/>
          <w:left w:val="nil"/>
          <w:bottom w:val="nil"/>
          <w:right w:val="nil"/>
          <w:between w:val="nil"/>
        </w:pBdr>
        <w:spacing w:before="240" w:after="240" w:line="360" w:lineRule="auto"/>
        <w:jc w:val="both"/>
        <w:rPr>
          <w:sz w:val="22"/>
          <w:szCs w:val="22"/>
        </w:rPr>
      </w:pPr>
      <w:r w:rsidRPr="003E2870">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5E86A4E" w14:textId="77777777" w:rsidR="002128E2" w:rsidRPr="003E2870" w:rsidRDefault="00830CED">
      <w:pPr>
        <w:pBdr>
          <w:top w:val="nil"/>
          <w:left w:val="nil"/>
          <w:bottom w:val="nil"/>
          <w:right w:val="nil"/>
          <w:between w:val="nil"/>
        </w:pBdr>
        <w:spacing w:before="240" w:after="240"/>
        <w:ind w:left="709" w:right="760"/>
        <w:jc w:val="both"/>
      </w:pPr>
      <w:r w:rsidRPr="003E2870">
        <w:rPr>
          <w:rFonts w:ascii="Palatino Linotype" w:eastAsia="Palatino Linotype" w:hAnsi="Palatino Linotype" w:cs="Palatino Linotype"/>
          <w:i/>
          <w:sz w:val="22"/>
          <w:szCs w:val="22"/>
        </w:rPr>
        <w:t>“</w:t>
      </w:r>
      <w:r w:rsidRPr="003E2870">
        <w:rPr>
          <w:rFonts w:ascii="Palatino Linotype" w:eastAsia="Palatino Linotype" w:hAnsi="Palatino Linotype" w:cs="Palatino Linotype"/>
          <w:b/>
          <w:i/>
          <w:sz w:val="22"/>
          <w:szCs w:val="22"/>
        </w:rPr>
        <w:t>Artículo 4</w:t>
      </w:r>
      <w:r w:rsidRPr="003E2870">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30430D73" w14:textId="77777777" w:rsidR="002128E2" w:rsidRPr="003E2870" w:rsidRDefault="00830CED">
      <w:pPr>
        <w:pBdr>
          <w:top w:val="nil"/>
          <w:left w:val="nil"/>
          <w:bottom w:val="nil"/>
          <w:right w:val="nil"/>
          <w:between w:val="nil"/>
        </w:pBdr>
        <w:spacing w:before="240" w:after="240"/>
        <w:ind w:left="709" w:right="760"/>
        <w:jc w:val="both"/>
      </w:pPr>
      <w:r w:rsidRPr="003E2870">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767C9D3" w14:textId="77777777" w:rsidR="002128E2" w:rsidRPr="003E2870" w:rsidRDefault="00830CED">
      <w:pPr>
        <w:pBdr>
          <w:top w:val="nil"/>
          <w:left w:val="nil"/>
          <w:bottom w:val="nil"/>
          <w:right w:val="nil"/>
          <w:between w:val="nil"/>
        </w:pBdr>
        <w:spacing w:before="240" w:after="240"/>
        <w:ind w:left="709" w:right="760"/>
        <w:jc w:val="both"/>
      </w:pPr>
      <w:r w:rsidRPr="003E2870">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03B65D5A" w14:textId="77777777" w:rsidR="002128E2" w:rsidRPr="003E2870" w:rsidRDefault="00830CED">
      <w:pPr>
        <w:pBdr>
          <w:top w:val="nil"/>
          <w:left w:val="nil"/>
          <w:bottom w:val="nil"/>
          <w:right w:val="nil"/>
          <w:between w:val="nil"/>
        </w:pBdr>
        <w:spacing w:before="240" w:after="240" w:line="360" w:lineRule="auto"/>
        <w:jc w:val="both"/>
        <w:rPr>
          <w:sz w:val="22"/>
          <w:szCs w:val="22"/>
        </w:rPr>
      </w:pPr>
      <w:r w:rsidRPr="003E2870">
        <w:rPr>
          <w:rFonts w:ascii="Palatino Linotype" w:eastAsia="Palatino Linotype" w:hAnsi="Palatino Linotype" w:cs="Palatino Linotype"/>
          <w:sz w:val="22"/>
          <w:szCs w:val="22"/>
        </w:rPr>
        <w:t xml:space="preserve">De lo precedente, se desprende que los Sujetos Obligados tiene la obligación o deber de atender las solicitudes de acceso a la información pública que se les hagan de su </w:t>
      </w:r>
      <w:r w:rsidRPr="003E2870">
        <w:rPr>
          <w:rFonts w:ascii="Palatino Linotype" w:eastAsia="Palatino Linotype" w:hAnsi="Palatino Linotype" w:cs="Palatino Linotype"/>
          <w:sz w:val="22"/>
          <w:szCs w:val="22"/>
        </w:rPr>
        <w:lastRenderedPageBreak/>
        <w:t>conocimiento y proporcionar la información pública que obren en su poder como así lo establece el artículo 12 de la Ley de Transparencia y Acceso a la Información Pública del Estado de México y Municipios, el cual a la letra dice:</w:t>
      </w:r>
    </w:p>
    <w:p w14:paraId="0627F3EE" w14:textId="77777777" w:rsidR="002128E2" w:rsidRPr="003E2870" w:rsidRDefault="00830CED">
      <w:pPr>
        <w:pBdr>
          <w:top w:val="nil"/>
          <w:left w:val="nil"/>
          <w:bottom w:val="nil"/>
          <w:right w:val="nil"/>
          <w:between w:val="nil"/>
        </w:pBdr>
        <w:spacing w:before="240" w:after="240"/>
        <w:ind w:left="567" w:right="758"/>
        <w:jc w:val="both"/>
      </w:pPr>
      <w:r w:rsidRPr="003E2870">
        <w:rPr>
          <w:rFonts w:ascii="Palatino Linotype" w:eastAsia="Palatino Linotype" w:hAnsi="Palatino Linotype" w:cs="Palatino Linotype"/>
          <w:i/>
          <w:sz w:val="22"/>
          <w:szCs w:val="22"/>
        </w:rPr>
        <w:t>“</w:t>
      </w:r>
      <w:r w:rsidRPr="003E2870">
        <w:rPr>
          <w:rFonts w:ascii="Palatino Linotype" w:eastAsia="Palatino Linotype" w:hAnsi="Palatino Linotype" w:cs="Palatino Linotype"/>
          <w:b/>
          <w:i/>
          <w:sz w:val="22"/>
          <w:szCs w:val="22"/>
        </w:rPr>
        <w:t>Artículo 12</w:t>
      </w:r>
      <w:r w:rsidRPr="003E2870">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45C5A7B6" w14:textId="77777777" w:rsidR="002128E2" w:rsidRPr="003E2870" w:rsidRDefault="00830CED">
      <w:pPr>
        <w:pBdr>
          <w:top w:val="nil"/>
          <w:left w:val="nil"/>
          <w:bottom w:val="nil"/>
          <w:right w:val="nil"/>
          <w:between w:val="nil"/>
        </w:pBdr>
        <w:spacing w:before="240" w:after="240"/>
        <w:ind w:left="567" w:right="758"/>
        <w:jc w:val="both"/>
      </w:pPr>
      <w:r w:rsidRPr="003E2870">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ABFB813" w14:textId="77777777" w:rsidR="002128E2" w:rsidRPr="003E2870" w:rsidRDefault="00830CED">
      <w:pPr>
        <w:pBdr>
          <w:top w:val="nil"/>
          <w:left w:val="nil"/>
          <w:bottom w:val="nil"/>
          <w:right w:val="nil"/>
          <w:between w:val="nil"/>
        </w:pBdr>
        <w:spacing w:before="240" w:after="240" w:line="360" w:lineRule="auto"/>
        <w:jc w:val="both"/>
        <w:rPr>
          <w:sz w:val="22"/>
          <w:szCs w:val="22"/>
        </w:rPr>
      </w:pPr>
      <w:r w:rsidRPr="003E2870">
        <w:rPr>
          <w:rFonts w:ascii="Palatino Linotype" w:eastAsia="Palatino Linotype" w:hAnsi="Palatino Linotype" w:cs="Palatino Linotype"/>
          <w:sz w:val="22"/>
          <w:szCs w:val="22"/>
        </w:rPr>
        <w:t>Es decir, que el derecho de acceso a la información pública se satisface en aquellos casos en que se entregue documento en que conste la información requerida, toda vez que, los Sujetos Obligados</w:t>
      </w:r>
      <w:r w:rsidRPr="003E2870">
        <w:rPr>
          <w:rFonts w:ascii="Palatino Linotype" w:eastAsia="Palatino Linotype" w:hAnsi="Palatino Linotype" w:cs="Palatino Linotype"/>
          <w:b/>
          <w:sz w:val="22"/>
          <w:szCs w:val="22"/>
        </w:rPr>
        <w:t xml:space="preserve"> </w:t>
      </w:r>
      <w:r w:rsidRPr="003E2870">
        <w:rPr>
          <w:rFonts w:ascii="Palatino Linotype" w:eastAsia="Palatino Linotype" w:hAnsi="Palatino Linotype" w:cs="Palatino Linotype"/>
          <w:sz w:val="22"/>
          <w:szCs w:val="22"/>
        </w:rPr>
        <w:t xml:space="preserve">no tienen el deber de generar, poseer o administrar la información pública con el grado de detalle solicitado; esto es, que no tienen el deber de generar un documento </w:t>
      </w:r>
      <w:r w:rsidRPr="003E2870">
        <w:rPr>
          <w:rFonts w:ascii="Palatino Linotype" w:eastAsia="Palatino Linotype" w:hAnsi="Palatino Linotype" w:cs="Palatino Linotype"/>
          <w:i/>
          <w:sz w:val="22"/>
          <w:szCs w:val="22"/>
        </w:rPr>
        <w:t>ad hoc</w:t>
      </w:r>
      <w:r w:rsidRPr="003E2870">
        <w:rPr>
          <w:rFonts w:ascii="Palatino Linotype" w:eastAsia="Palatino Linotype" w:hAnsi="Palatino Linotype" w:cs="Palatino Linotype"/>
          <w:sz w:val="22"/>
          <w:szCs w:val="22"/>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38058B44" w14:textId="77777777" w:rsidR="002128E2" w:rsidRPr="003E2870" w:rsidRDefault="00830CED">
      <w:pPr>
        <w:pBdr>
          <w:top w:val="nil"/>
          <w:left w:val="nil"/>
          <w:bottom w:val="nil"/>
          <w:right w:val="nil"/>
          <w:between w:val="nil"/>
        </w:pBdr>
        <w:spacing w:before="240" w:after="240"/>
        <w:ind w:left="567" w:right="567"/>
        <w:jc w:val="both"/>
      </w:pPr>
      <w:r w:rsidRPr="003E2870">
        <w:rPr>
          <w:rFonts w:ascii="Palatino Linotype" w:eastAsia="Palatino Linotype" w:hAnsi="Palatino Linotype" w:cs="Palatino Linotype"/>
          <w:b/>
          <w:i/>
          <w:sz w:val="22"/>
          <w:szCs w:val="22"/>
        </w:rPr>
        <w:t>03/17</w:t>
      </w:r>
    </w:p>
    <w:p w14:paraId="47BC8BCA" w14:textId="77777777" w:rsidR="002128E2" w:rsidRPr="003E2870" w:rsidRDefault="00830CED">
      <w:pPr>
        <w:pBdr>
          <w:top w:val="nil"/>
          <w:left w:val="nil"/>
          <w:bottom w:val="nil"/>
          <w:right w:val="nil"/>
          <w:between w:val="nil"/>
        </w:pBdr>
        <w:spacing w:before="240" w:after="240"/>
        <w:ind w:left="567" w:right="567"/>
        <w:jc w:val="both"/>
      </w:pPr>
      <w:r w:rsidRPr="003E2870">
        <w:rPr>
          <w:rFonts w:ascii="Palatino Linotype" w:eastAsia="Palatino Linotype" w:hAnsi="Palatino Linotype" w:cs="Palatino Linotype"/>
          <w:b/>
          <w:i/>
          <w:sz w:val="22"/>
          <w:szCs w:val="22"/>
        </w:rPr>
        <w:t>“NO EXISTE OBLIGACIÓN DE ELABORAR DOCUMENTOS AD HOC PARA ATENDER LAS SOLICITUDES DE ACCESO A LA INFORMACIÓN.</w:t>
      </w:r>
    </w:p>
    <w:p w14:paraId="274BA74A" w14:textId="77777777" w:rsidR="002128E2" w:rsidRPr="003E2870" w:rsidRDefault="00830CED">
      <w:pPr>
        <w:pBdr>
          <w:top w:val="nil"/>
          <w:left w:val="nil"/>
          <w:bottom w:val="nil"/>
          <w:right w:val="nil"/>
          <w:between w:val="nil"/>
        </w:pBdr>
        <w:spacing w:before="240" w:after="240"/>
        <w:ind w:left="567" w:right="567"/>
        <w:jc w:val="both"/>
      </w:pPr>
      <w:r w:rsidRPr="003E2870">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C5D92BC" w14:textId="77777777" w:rsidR="002128E2" w:rsidRPr="003E2870" w:rsidRDefault="00830CED">
      <w:pPr>
        <w:pBdr>
          <w:top w:val="nil"/>
          <w:left w:val="nil"/>
          <w:bottom w:val="nil"/>
          <w:right w:val="nil"/>
          <w:between w:val="nil"/>
        </w:pBdr>
        <w:spacing w:before="240" w:after="240" w:line="360" w:lineRule="auto"/>
        <w:jc w:val="both"/>
        <w:rPr>
          <w:sz w:val="22"/>
          <w:szCs w:val="22"/>
        </w:rPr>
      </w:pPr>
      <w:r w:rsidRPr="003E2870">
        <w:rPr>
          <w:rFonts w:ascii="Palatino Linotype" w:eastAsia="Palatino Linotype" w:hAnsi="Palatino Linotype" w:cs="Palatino Linotype"/>
          <w:sz w:val="22"/>
          <w:szCs w:val="22"/>
        </w:rPr>
        <w:lastRenderedPageBreak/>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CD2E966" w14:textId="77777777" w:rsidR="002128E2" w:rsidRPr="003E2870" w:rsidRDefault="00830CED">
      <w:pPr>
        <w:pBdr>
          <w:top w:val="nil"/>
          <w:left w:val="nil"/>
          <w:bottom w:val="nil"/>
          <w:right w:val="nil"/>
          <w:between w:val="nil"/>
        </w:pBdr>
        <w:spacing w:before="240" w:after="240" w:line="360" w:lineRule="auto"/>
        <w:ind w:right="49"/>
        <w:jc w:val="both"/>
        <w:rPr>
          <w:sz w:val="22"/>
          <w:szCs w:val="22"/>
        </w:rPr>
      </w:pPr>
      <w:r w:rsidRPr="003E2870">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250C33F" w14:textId="77777777" w:rsidR="002128E2" w:rsidRPr="003E2870" w:rsidRDefault="00830CED">
      <w:pPr>
        <w:pBdr>
          <w:top w:val="nil"/>
          <w:left w:val="nil"/>
          <w:bottom w:val="nil"/>
          <w:right w:val="nil"/>
          <w:between w:val="nil"/>
        </w:pBdr>
        <w:spacing w:before="240" w:after="240" w:line="360" w:lineRule="auto"/>
        <w:jc w:val="both"/>
        <w:rPr>
          <w:sz w:val="22"/>
          <w:szCs w:val="22"/>
        </w:rPr>
      </w:pPr>
      <w:r w:rsidRPr="003E2870">
        <w:rPr>
          <w:rFonts w:ascii="Palatino Linotype" w:eastAsia="Palatino Linotype" w:hAnsi="Palatino Linotype" w:cs="Palatino Linotype"/>
          <w:sz w:val="22"/>
          <w:szCs w:val="22"/>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F5F35E1" w14:textId="77777777" w:rsidR="002128E2" w:rsidRPr="003E2870" w:rsidRDefault="00830CED">
      <w:pPr>
        <w:pBdr>
          <w:top w:val="nil"/>
          <w:left w:val="nil"/>
          <w:bottom w:val="nil"/>
          <w:right w:val="nil"/>
          <w:between w:val="nil"/>
        </w:pBdr>
        <w:spacing w:before="240" w:after="240"/>
        <w:ind w:left="567" w:right="567"/>
        <w:jc w:val="both"/>
      </w:pPr>
      <w:r w:rsidRPr="003E2870">
        <w:rPr>
          <w:rFonts w:ascii="Palatino Linotype" w:eastAsia="Palatino Linotype" w:hAnsi="Palatino Linotype" w:cs="Palatino Linotype"/>
          <w:i/>
          <w:sz w:val="22"/>
          <w:szCs w:val="22"/>
        </w:rPr>
        <w:t>“</w:t>
      </w:r>
      <w:r w:rsidRPr="003E2870">
        <w:rPr>
          <w:rFonts w:ascii="Palatino Linotype" w:eastAsia="Palatino Linotype" w:hAnsi="Palatino Linotype" w:cs="Palatino Linotype"/>
          <w:b/>
          <w:i/>
          <w:sz w:val="22"/>
          <w:szCs w:val="22"/>
        </w:rPr>
        <w:t xml:space="preserve">Artículo 3. </w:t>
      </w:r>
      <w:r w:rsidRPr="003E2870">
        <w:rPr>
          <w:rFonts w:ascii="Palatino Linotype" w:eastAsia="Palatino Linotype" w:hAnsi="Palatino Linotype" w:cs="Palatino Linotype"/>
          <w:i/>
          <w:sz w:val="22"/>
          <w:szCs w:val="22"/>
        </w:rPr>
        <w:t>Para los efectos de la presente Ley se entenderá por:</w:t>
      </w:r>
    </w:p>
    <w:p w14:paraId="02A2EB75" w14:textId="77777777" w:rsidR="002128E2" w:rsidRPr="003E2870" w:rsidRDefault="00830CED">
      <w:pPr>
        <w:pBdr>
          <w:top w:val="nil"/>
          <w:left w:val="nil"/>
          <w:bottom w:val="nil"/>
          <w:right w:val="nil"/>
          <w:between w:val="nil"/>
        </w:pBdr>
        <w:spacing w:before="240" w:after="240"/>
        <w:ind w:left="567" w:right="567"/>
        <w:jc w:val="both"/>
      </w:pPr>
      <w:r w:rsidRPr="003E2870">
        <w:rPr>
          <w:rFonts w:ascii="Palatino Linotype" w:eastAsia="Palatino Linotype" w:hAnsi="Palatino Linotype" w:cs="Palatino Linotype"/>
          <w:i/>
          <w:sz w:val="22"/>
          <w:szCs w:val="22"/>
        </w:rPr>
        <w:t>…</w:t>
      </w:r>
    </w:p>
    <w:p w14:paraId="3F2F9E94" w14:textId="77777777" w:rsidR="002128E2" w:rsidRPr="003E2870" w:rsidRDefault="00830CED">
      <w:pPr>
        <w:pBdr>
          <w:top w:val="nil"/>
          <w:left w:val="nil"/>
          <w:bottom w:val="nil"/>
          <w:right w:val="nil"/>
          <w:between w:val="nil"/>
        </w:pBdr>
        <w:spacing w:before="240" w:after="240"/>
        <w:ind w:left="567" w:right="567"/>
        <w:jc w:val="both"/>
      </w:pPr>
      <w:r w:rsidRPr="003E2870">
        <w:rPr>
          <w:rFonts w:ascii="Palatino Linotype" w:eastAsia="Palatino Linotype" w:hAnsi="Palatino Linotype" w:cs="Palatino Linotype"/>
          <w:b/>
          <w:i/>
          <w:sz w:val="22"/>
          <w:szCs w:val="22"/>
        </w:rPr>
        <w:t>XI. Documento:</w:t>
      </w:r>
      <w:r w:rsidRPr="003E2870">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3E2870">
        <w:rPr>
          <w:rFonts w:ascii="Palatino Linotype" w:eastAsia="Palatino Linotype" w:hAnsi="Palatino Linotype" w:cs="Palatino Linotype"/>
          <w:i/>
          <w:sz w:val="22"/>
          <w:szCs w:val="22"/>
        </w:rPr>
        <w:lastRenderedPageBreak/>
        <w:t>elaboración. Los documentos podrán estar en cualquier medio, sea escrito, impreso, sonoro, visual, electrónico, informático u holográfico</w:t>
      </w:r>
      <w:r w:rsidRPr="003E2870">
        <w:rPr>
          <w:rFonts w:ascii="Palatino Linotype" w:eastAsia="Palatino Linotype" w:hAnsi="Palatino Linotype" w:cs="Palatino Linotype"/>
          <w:b/>
          <w:i/>
          <w:sz w:val="22"/>
          <w:szCs w:val="22"/>
        </w:rPr>
        <w:t>…</w:t>
      </w:r>
      <w:r w:rsidRPr="003E2870">
        <w:rPr>
          <w:rFonts w:ascii="Palatino Linotype" w:eastAsia="Palatino Linotype" w:hAnsi="Palatino Linotype" w:cs="Palatino Linotype"/>
          <w:i/>
          <w:sz w:val="22"/>
          <w:szCs w:val="22"/>
        </w:rPr>
        <w:t xml:space="preserve">” </w:t>
      </w:r>
    </w:p>
    <w:p w14:paraId="20E35AA7" w14:textId="77777777" w:rsidR="002128E2" w:rsidRPr="003E2870" w:rsidRDefault="00830CED">
      <w:pPr>
        <w:pBdr>
          <w:top w:val="nil"/>
          <w:left w:val="nil"/>
          <w:bottom w:val="nil"/>
          <w:right w:val="nil"/>
          <w:between w:val="nil"/>
        </w:pBdr>
        <w:spacing w:before="240" w:after="240" w:line="360" w:lineRule="auto"/>
        <w:jc w:val="both"/>
        <w:rPr>
          <w:sz w:val="22"/>
          <w:szCs w:val="22"/>
        </w:rPr>
      </w:pPr>
      <w:r w:rsidRPr="003E2870">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D197CB4" w14:textId="77777777" w:rsidR="002128E2" w:rsidRPr="003E2870" w:rsidRDefault="00830CED">
      <w:pPr>
        <w:pBdr>
          <w:top w:val="nil"/>
          <w:left w:val="nil"/>
          <w:bottom w:val="nil"/>
          <w:right w:val="nil"/>
          <w:between w:val="nil"/>
        </w:pBdr>
        <w:spacing w:before="240" w:after="240"/>
        <w:ind w:left="567" w:right="900"/>
        <w:jc w:val="both"/>
      </w:pPr>
      <w:r w:rsidRPr="003E2870">
        <w:rPr>
          <w:rFonts w:ascii="Palatino Linotype" w:eastAsia="Palatino Linotype" w:hAnsi="Palatino Linotype" w:cs="Palatino Linotype"/>
          <w:b/>
          <w:sz w:val="22"/>
          <w:szCs w:val="22"/>
        </w:rPr>
        <w:t>“</w:t>
      </w:r>
      <w:r w:rsidRPr="003E2870">
        <w:rPr>
          <w:rFonts w:ascii="Palatino Linotype" w:eastAsia="Palatino Linotype" w:hAnsi="Palatino Linotype" w:cs="Palatino Linotype"/>
          <w:b/>
          <w:i/>
          <w:sz w:val="22"/>
          <w:szCs w:val="22"/>
        </w:rPr>
        <w:t>CRITERIO 0002-11</w:t>
      </w:r>
    </w:p>
    <w:p w14:paraId="65D1DC88" w14:textId="77777777" w:rsidR="002128E2" w:rsidRPr="003E2870" w:rsidRDefault="00830CED">
      <w:pPr>
        <w:pBdr>
          <w:top w:val="nil"/>
          <w:left w:val="nil"/>
          <w:bottom w:val="nil"/>
          <w:right w:val="nil"/>
          <w:between w:val="nil"/>
        </w:pBdr>
        <w:spacing w:before="240" w:after="240"/>
        <w:ind w:left="567" w:right="900"/>
        <w:jc w:val="both"/>
      </w:pPr>
      <w:r w:rsidRPr="003E2870">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3E2870">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F0630C3" w14:textId="77777777" w:rsidR="002128E2" w:rsidRPr="003E2870" w:rsidRDefault="00830CED">
      <w:pPr>
        <w:pBdr>
          <w:top w:val="nil"/>
          <w:left w:val="nil"/>
          <w:bottom w:val="nil"/>
          <w:right w:val="nil"/>
          <w:between w:val="nil"/>
        </w:pBdr>
        <w:spacing w:before="240" w:after="240"/>
        <w:ind w:left="567" w:right="900"/>
        <w:jc w:val="both"/>
      </w:pPr>
      <w:r w:rsidRPr="003E2870">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6B897D22" w14:textId="77777777" w:rsidR="002128E2" w:rsidRPr="003E2870" w:rsidRDefault="00830CED">
      <w:pPr>
        <w:numPr>
          <w:ilvl w:val="0"/>
          <w:numId w:val="1"/>
        </w:numPr>
        <w:pBdr>
          <w:top w:val="nil"/>
          <w:left w:val="nil"/>
          <w:bottom w:val="nil"/>
          <w:right w:val="nil"/>
          <w:between w:val="nil"/>
        </w:pBdr>
        <w:spacing w:before="240" w:after="240"/>
        <w:ind w:left="567" w:right="900" w:hanging="283"/>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14926875" w14:textId="77777777" w:rsidR="002128E2" w:rsidRPr="003E2870" w:rsidRDefault="00830CED">
      <w:pPr>
        <w:numPr>
          <w:ilvl w:val="0"/>
          <w:numId w:val="1"/>
        </w:numPr>
        <w:pBdr>
          <w:top w:val="nil"/>
          <w:left w:val="nil"/>
          <w:bottom w:val="nil"/>
          <w:right w:val="nil"/>
          <w:between w:val="nil"/>
        </w:pBdr>
        <w:spacing w:before="240" w:after="240"/>
        <w:ind w:left="567" w:right="900" w:hanging="283"/>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4FBE0195" w14:textId="77777777" w:rsidR="002128E2" w:rsidRPr="003E2870" w:rsidRDefault="00830CED">
      <w:pPr>
        <w:pBdr>
          <w:top w:val="nil"/>
          <w:left w:val="nil"/>
          <w:bottom w:val="nil"/>
          <w:right w:val="nil"/>
          <w:between w:val="nil"/>
        </w:pBdr>
        <w:spacing w:before="240" w:after="240"/>
        <w:ind w:left="567" w:right="900" w:hanging="284"/>
        <w:jc w:val="both"/>
      </w:pPr>
      <w:r w:rsidRPr="003E2870">
        <w:rPr>
          <w:rFonts w:ascii="Palatino Linotype" w:eastAsia="Palatino Linotype" w:hAnsi="Palatino Linotype" w:cs="Palatino Linotype"/>
          <w:i/>
          <w:sz w:val="22"/>
          <w:szCs w:val="22"/>
        </w:rPr>
        <w:t xml:space="preserve">3. </w:t>
      </w:r>
      <w:r w:rsidRPr="003E2870">
        <w:rPr>
          <w:rFonts w:ascii="Palatino Linotype" w:eastAsia="Palatino Linotype" w:hAnsi="Palatino Linotype" w:cs="Palatino Linotype"/>
          <w:b/>
          <w:i/>
          <w:sz w:val="22"/>
          <w:szCs w:val="22"/>
        </w:rPr>
        <w:t xml:space="preserve">Que se trate de información registrada en cualquier soporte documental, que en ejercicio de las atribuciones conferidas, se encuentre en posesión de los Sujetos Obligados.” </w:t>
      </w:r>
      <w:r w:rsidRPr="003E2870">
        <w:rPr>
          <w:rFonts w:ascii="Palatino Linotype" w:eastAsia="Palatino Linotype" w:hAnsi="Palatino Linotype" w:cs="Palatino Linotype"/>
          <w:i/>
          <w:sz w:val="22"/>
          <w:szCs w:val="22"/>
        </w:rPr>
        <w:t>(Énfasis añadido)</w:t>
      </w:r>
    </w:p>
    <w:p w14:paraId="474F89FE" w14:textId="77777777" w:rsidR="002128E2" w:rsidRPr="003E2870" w:rsidRDefault="00830CED">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 xml:space="preserve">De ahí que el </w:t>
      </w:r>
      <w:r w:rsidRPr="003E2870">
        <w:rPr>
          <w:rFonts w:ascii="Palatino Linotype" w:eastAsia="Palatino Linotype" w:hAnsi="Palatino Linotype" w:cs="Palatino Linotype"/>
          <w:b/>
          <w:sz w:val="22"/>
          <w:szCs w:val="22"/>
        </w:rPr>
        <w:t>Sujeto Obligado</w:t>
      </w:r>
      <w:r w:rsidRPr="003E2870">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más aún si la misma se trata de información pública de oficio la cual se relaciona </w:t>
      </w:r>
      <w:r w:rsidRPr="003E2870">
        <w:rPr>
          <w:rFonts w:ascii="Palatino Linotype" w:eastAsia="Palatino Linotype" w:hAnsi="Palatino Linotype" w:cs="Palatino Linotype"/>
          <w:sz w:val="22"/>
          <w:szCs w:val="22"/>
        </w:rPr>
        <w:lastRenderedPageBreak/>
        <w:t>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516DBF72" w14:textId="77777777" w:rsidR="002128E2" w:rsidRPr="003E2870" w:rsidRDefault="00830CED">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 xml:space="preserve">Ahora bien, para profundizar en el estudio del presente asunto, es conveniente recordar que la parte solicitante requirió al </w:t>
      </w:r>
      <w:r w:rsidRPr="003E2870">
        <w:rPr>
          <w:rFonts w:ascii="Palatino Linotype" w:eastAsia="Palatino Linotype" w:hAnsi="Palatino Linotype" w:cs="Palatino Linotype"/>
          <w:b/>
          <w:sz w:val="22"/>
          <w:szCs w:val="22"/>
        </w:rPr>
        <w:t>Sujeto Obligado</w:t>
      </w:r>
      <w:r w:rsidRPr="003E2870">
        <w:rPr>
          <w:rFonts w:ascii="Palatino Linotype" w:eastAsia="Palatino Linotype" w:hAnsi="Palatino Linotype" w:cs="Palatino Linotype"/>
          <w:sz w:val="22"/>
          <w:szCs w:val="22"/>
        </w:rPr>
        <w:t>, le proporcionara lo siguiente:</w:t>
      </w:r>
    </w:p>
    <w:p w14:paraId="7A566103" w14:textId="77777777" w:rsidR="002128E2" w:rsidRPr="003E2870" w:rsidRDefault="00830CED">
      <w:pPr>
        <w:numPr>
          <w:ilvl w:val="0"/>
          <w:numId w:val="2"/>
        </w:numPr>
        <w:spacing w:before="240" w:line="360" w:lineRule="auto"/>
        <w:ind w:left="567" w:right="900" w:hanging="141"/>
        <w:jc w:val="both"/>
        <w:rPr>
          <w:rFonts w:ascii="Palatino Linotype" w:eastAsia="Palatino Linotype" w:hAnsi="Palatino Linotype" w:cs="Palatino Linotype"/>
          <w:b/>
          <w:sz w:val="22"/>
          <w:szCs w:val="22"/>
        </w:rPr>
      </w:pPr>
      <w:r w:rsidRPr="003E2870">
        <w:rPr>
          <w:rFonts w:ascii="Palatino Linotype" w:eastAsia="Palatino Linotype" w:hAnsi="Palatino Linotype" w:cs="Palatino Linotype"/>
          <w:b/>
          <w:sz w:val="22"/>
          <w:szCs w:val="22"/>
        </w:rPr>
        <w:t>Del visor de nómina por sueldos y salarios, y por asimilados a salarios, de enero de dos mil veinte a agosto de dos mil veinticuatro:</w:t>
      </w:r>
    </w:p>
    <w:p w14:paraId="5ED49FCE" w14:textId="77777777" w:rsidR="002128E2" w:rsidRPr="003E2870" w:rsidRDefault="00830CED">
      <w:pPr>
        <w:tabs>
          <w:tab w:val="left" w:pos="7371"/>
        </w:tabs>
        <w:spacing w:after="120" w:line="360" w:lineRule="auto"/>
        <w:ind w:left="851" w:right="1750"/>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a. Diferencia de ISR a cargo o a favor, o en contra.</w:t>
      </w:r>
    </w:p>
    <w:p w14:paraId="1E039B72" w14:textId="77777777" w:rsidR="002128E2" w:rsidRPr="003E2870" w:rsidRDefault="00830CED">
      <w:pPr>
        <w:tabs>
          <w:tab w:val="left" w:pos="7371"/>
        </w:tabs>
        <w:spacing w:before="120" w:after="120" w:line="360" w:lineRule="auto"/>
        <w:ind w:left="851" w:right="1750"/>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b. ISR retenido, correspondiente al monto histórico recuperado por conducto de la Secretaria de Finanzas del Estado.</w:t>
      </w:r>
    </w:p>
    <w:p w14:paraId="0B6F36B0" w14:textId="77777777" w:rsidR="002128E2" w:rsidRPr="003E2870" w:rsidRDefault="00830CED">
      <w:pPr>
        <w:spacing w:before="240" w:after="240" w:line="360" w:lineRule="auto"/>
        <w:ind w:left="567" w:right="900" w:hanging="141"/>
        <w:jc w:val="both"/>
        <w:rPr>
          <w:rFonts w:ascii="Palatino Linotype" w:eastAsia="Palatino Linotype" w:hAnsi="Palatino Linotype" w:cs="Palatino Linotype"/>
          <w:b/>
          <w:sz w:val="22"/>
          <w:szCs w:val="22"/>
        </w:rPr>
      </w:pPr>
      <w:r w:rsidRPr="003E2870">
        <w:rPr>
          <w:rFonts w:ascii="Palatino Linotype" w:eastAsia="Palatino Linotype" w:hAnsi="Palatino Linotype" w:cs="Palatino Linotype"/>
          <w:b/>
          <w:sz w:val="22"/>
          <w:szCs w:val="22"/>
        </w:rPr>
        <w:t>2. Reporte emitido por la Secretaría de Finanzas del Estado en el que se especifica el monto del ISR que se obtuvo en devolución, de enero de dos mil quince a agosto de dos mil veinticuatro.</w:t>
      </w:r>
    </w:p>
    <w:p w14:paraId="4491C259" w14:textId="77777777" w:rsidR="002128E2" w:rsidRPr="003E2870" w:rsidRDefault="00830CED">
      <w:pPr>
        <w:spacing w:before="240" w:after="240" w:line="360" w:lineRule="auto"/>
        <w:ind w:left="567" w:right="900" w:hanging="141"/>
        <w:jc w:val="both"/>
        <w:rPr>
          <w:rFonts w:ascii="Palatino Linotype" w:eastAsia="Palatino Linotype" w:hAnsi="Palatino Linotype" w:cs="Palatino Linotype"/>
          <w:b/>
          <w:sz w:val="22"/>
          <w:szCs w:val="22"/>
        </w:rPr>
      </w:pPr>
      <w:r w:rsidRPr="003E2870">
        <w:rPr>
          <w:rFonts w:ascii="Palatino Linotype" w:eastAsia="Palatino Linotype" w:hAnsi="Palatino Linotype" w:cs="Palatino Linotype"/>
          <w:b/>
          <w:sz w:val="22"/>
          <w:szCs w:val="22"/>
        </w:rPr>
        <w:t>3. Reporte emitido por el software de contabilidad gubernamental en el que se pueda apreciar el control del saldo pendiente de recuperar del ISR participable, al treinta de agosto de dos mil veinticuatro. Puede ser el auxiliar contable de una cuenta de activo, una nota de desglose a los estados financieros.</w:t>
      </w:r>
    </w:p>
    <w:p w14:paraId="26D9A3F4" w14:textId="77777777" w:rsidR="002128E2" w:rsidRPr="003E2870" w:rsidRDefault="00830CED">
      <w:pPr>
        <w:spacing w:before="240" w:after="240" w:line="360" w:lineRule="auto"/>
        <w:ind w:right="51"/>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Es de precisar que a su solicitud, adjuntó como muestra de la información que requiere, la respuesta a la solicitud con número de folio 110196500054524, presentada ante el municipio de Irapuato, Guanajuato, que contiene la información que es del interés de la persona solicitante. A continuación se agregan algunos ejemplos, para mejor referencia:</w:t>
      </w:r>
    </w:p>
    <w:p w14:paraId="06739665" w14:textId="77777777" w:rsidR="002128E2" w:rsidRPr="003E2870" w:rsidRDefault="00830CED">
      <w:pPr>
        <w:spacing w:before="240" w:after="240" w:line="360" w:lineRule="auto"/>
        <w:ind w:right="51"/>
        <w:jc w:val="both"/>
        <w:rPr>
          <w:rFonts w:ascii="Palatino Linotype" w:eastAsia="Palatino Linotype" w:hAnsi="Palatino Linotype" w:cs="Palatino Linotype"/>
          <w:b/>
          <w:sz w:val="22"/>
          <w:szCs w:val="22"/>
        </w:rPr>
      </w:pPr>
      <w:r w:rsidRPr="003E2870">
        <w:rPr>
          <w:rFonts w:ascii="Palatino Linotype" w:eastAsia="Palatino Linotype" w:hAnsi="Palatino Linotype" w:cs="Palatino Linotype"/>
          <w:b/>
          <w:sz w:val="22"/>
          <w:szCs w:val="22"/>
        </w:rPr>
        <w:lastRenderedPageBreak/>
        <w:t>Del aplicativo Visor de Comprobantes de Nómina del Patrón, del Servicio de Administración Tributaria, SAT:</w:t>
      </w:r>
    </w:p>
    <w:p w14:paraId="1B5D5080" w14:textId="77777777" w:rsidR="002128E2" w:rsidRPr="003E2870" w:rsidRDefault="00830CED">
      <w:pPr>
        <w:spacing w:before="240" w:after="240" w:line="360" w:lineRule="auto"/>
        <w:jc w:val="both"/>
        <w:rPr>
          <w:rFonts w:ascii="Palatino Linotype" w:eastAsia="Palatino Linotype" w:hAnsi="Palatino Linotype" w:cs="Palatino Linotype"/>
          <w:b/>
        </w:rPr>
      </w:pPr>
      <w:r w:rsidRPr="003E2870">
        <w:rPr>
          <w:rFonts w:ascii="Palatino Linotype" w:eastAsia="Palatino Linotype" w:hAnsi="Palatino Linotype" w:cs="Palatino Linotype"/>
          <w:b/>
        </w:rPr>
        <w:t>Vista anual acumulada – Ejercicio 2020</w:t>
      </w:r>
    </w:p>
    <w:p w14:paraId="65E5EDA1" w14:textId="77777777" w:rsidR="002128E2" w:rsidRPr="003E2870" w:rsidRDefault="00830CED">
      <w:pPr>
        <w:spacing w:before="240" w:after="240" w:line="360" w:lineRule="auto"/>
        <w:jc w:val="center"/>
        <w:rPr>
          <w:rFonts w:ascii="Palatino Linotype" w:eastAsia="Palatino Linotype" w:hAnsi="Palatino Linotype" w:cs="Palatino Linotype"/>
        </w:rPr>
      </w:pPr>
      <w:r w:rsidRPr="003E2870">
        <w:rPr>
          <w:rFonts w:ascii="Palatino Linotype" w:eastAsia="Palatino Linotype" w:hAnsi="Palatino Linotype" w:cs="Palatino Linotype"/>
          <w:noProof/>
          <w:lang w:val="es-MX"/>
        </w:rPr>
        <w:drawing>
          <wp:inline distT="0" distB="0" distL="0" distR="0" wp14:anchorId="6B550E1A" wp14:editId="390AE7B8">
            <wp:extent cx="3600000" cy="1459878"/>
            <wp:effectExtent l="0" t="0" r="0" b="0"/>
            <wp:docPr id="19714301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600000" cy="1459878"/>
                    </a:xfrm>
                    <a:prstGeom prst="rect">
                      <a:avLst/>
                    </a:prstGeom>
                    <a:ln/>
                  </pic:spPr>
                </pic:pic>
              </a:graphicData>
            </a:graphic>
          </wp:inline>
        </w:drawing>
      </w:r>
    </w:p>
    <w:tbl>
      <w:tblPr>
        <w:tblStyle w:val="af2"/>
        <w:tblW w:w="8828"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4414"/>
        <w:gridCol w:w="4414"/>
      </w:tblGrid>
      <w:tr w:rsidR="003E2870" w:rsidRPr="003E2870" w14:paraId="0139A667" w14:textId="77777777">
        <w:trPr>
          <w:jc w:val="center"/>
        </w:trPr>
        <w:tc>
          <w:tcPr>
            <w:tcW w:w="4414" w:type="dxa"/>
            <w:shd w:val="clear" w:color="auto" w:fill="EBF1DD"/>
          </w:tcPr>
          <w:p w14:paraId="40DA1CFE" w14:textId="77777777" w:rsidR="002128E2" w:rsidRPr="003E2870" w:rsidRDefault="00830CED">
            <w:pPr>
              <w:spacing w:before="120" w:after="120"/>
              <w:jc w:val="center"/>
              <w:rPr>
                <w:rFonts w:ascii="Palatino Linotype" w:eastAsia="Palatino Linotype" w:hAnsi="Palatino Linotype" w:cs="Palatino Linotype"/>
                <w:b/>
                <w:sz w:val="20"/>
                <w:szCs w:val="20"/>
              </w:rPr>
            </w:pPr>
            <w:r w:rsidRPr="003E2870">
              <w:rPr>
                <w:rFonts w:ascii="Palatino Linotype" w:eastAsia="Palatino Linotype" w:hAnsi="Palatino Linotype" w:cs="Palatino Linotype"/>
                <w:b/>
                <w:sz w:val="20"/>
                <w:szCs w:val="20"/>
              </w:rPr>
              <w:t xml:space="preserve">Detalle del “Total por Sueldos y Salarios” </w:t>
            </w:r>
          </w:p>
          <w:p w14:paraId="0A971E82" w14:textId="77777777" w:rsidR="002128E2" w:rsidRPr="003E2870" w:rsidRDefault="00830CED">
            <w:pPr>
              <w:spacing w:before="120" w:after="120"/>
              <w:jc w:val="center"/>
              <w:rPr>
                <w:rFonts w:ascii="Palatino Linotype" w:eastAsia="Palatino Linotype" w:hAnsi="Palatino Linotype" w:cs="Palatino Linotype"/>
                <w:b/>
                <w:sz w:val="20"/>
                <w:szCs w:val="20"/>
              </w:rPr>
            </w:pPr>
            <w:r w:rsidRPr="003E2870">
              <w:rPr>
                <w:rFonts w:ascii="Palatino Linotype" w:eastAsia="Palatino Linotype" w:hAnsi="Palatino Linotype" w:cs="Palatino Linotype"/>
                <w:b/>
                <w:sz w:val="20"/>
                <w:szCs w:val="20"/>
              </w:rPr>
              <w:t xml:space="preserve"> Ejercicio 2020</w:t>
            </w:r>
          </w:p>
        </w:tc>
        <w:tc>
          <w:tcPr>
            <w:tcW w:w="4414" w:type="dxa"/>
            <w:shd w:val="clear" w:color="auto" w:fill="EBF1DD"/>
          </w:tcPr>
          <w:p w14:paraId="627A19B9" w14:textId="77777777" w:rsidR="002128E2" w:rsidRPr="003E2870" w:rsidRDefault="00830CED">
            <w:pPr>
              <w:spacing w:before="120" w:after="120"/>
              <w:jc w:val="center"/>
              <w:rPr>
                <w:rFonts w:ascii="Palatino Linotype" w:eastAsia="Palatino Linotype" w:hAnsi="Palatino Linotype" w:cs="Palatino Linotype"/>
                <w:sz w:val="20"/>
                <w:szCs w:val="20"/>
              </w:rPr>
            </w:pPr>
            <w:r w:rsidRPr="003E2870">
              <w:rPr>
                <w:rFonts w:ascii="Palatino Linotype" w:eastAsia="Palatino Linotype" w:hAnsi="Palatino Linotype" w:cs="Palatino Linotype"/>
                <w:b/>
                <w:sz w:val="20"/>
                <w:szCs w:val="20"/>
              </w:rPr>
              <w:t>Detalle del “Total por Asimilados a Salarios” Ejercicio 2020</w:t>
            </w:r>
          </w:p>
        </w:tc>
      </w:tr>
      <w:tr w:rsidR="003E2870" w:rsidRPr="003E2870" w14:paraId="30EC0AE0" w14:textId="77777777">
        <w:trPr>
          <w:jc w:val="center"/>
        </w:trPr>
        <w:tc>
          <w:tcPr>
            <w:tcW w:w="4414" w:type="dxa"/>
          </w:tcPr>
          <w:p w14:paraId="1BB168E1" w14:textId="77777777" w:rsidR="002128E2" w:rsidRPr="003E2870" w:rsidRDefault="00830CED">
            <w:pPr>
              <w:spacing w:before="120" w:after="120"/>
              <w:jc w:val="center"/>
              <w:rPr>
                <w:rFonts w:ascii="Palatino Linotype" w:eastAsia="Palatino Linotype" w:hAnsi="Palatino Linotype" w:cs="Palatino Linotype"/>
                <w:sz w:val="20"/>
                <w:szCs w:val="20"/>
              </w:rPr>
            </w:pPr>
            <w:r w:rsidRPr="003E2870">
              <w:rPr>
                <w:rFonts w:ascii="Palatino Linotype" w:eastAsia="Palatino Linotype" w:hAnsi="Palatino Linotype" w:cs="Palatino Linotype"/>
                <w:noProof/>
                <w:lang w:val="es-MX"/>
              </w:rPr>
              <w:drawing>
                <wp:inline distT="0" distB="0" distL="0" distR="0" wp14:anchorId="72684373" wp14:editId="24F0892B">
                  <wp:extent cx="2520000" cy="1710000"/>
                  <wp:effectExtent l="0" t="0" r="0" b="0"/>
                  <wp:docPr id="197143012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2520000" cy="1710000"/>
                          </a:xfrm>
                          <a:prstGeom prst="rect">
                            <a:avLst/>
                          </a:prstGeom>
                          <a:ln/>
                        </pic:spPr>
                      </pic:pic>
                    </a:graphicData>
                  </a:graphic>
                </wp:inline>
              </w:drawing>
            </w:r>
          </w:p>
        </w:tc>
        <w:tc>
          <w:tcPr>
            <w:tcW w:w="4414" w:type="dxa"/>
          </w:tcPr>
          <w:p w14:paraId="001140B5" w14:textId="77777777" w:rsidR="002128E2" w:rsidRPr="003E2870" w:rsidRDefault="00830CED">
            <w:pPr>
              <w:spacing w:before="120" w:after="120"/>
              <w:jc w:val="both"/>
              <w:rPr>
                <w:rFonts w:ascii="Palatino Linotype" w:eastAsia="Palatino Linotype" w:hAnsi="Palatino Linotype" w:cs="Palatino Linotype"/>
                <w:sz w:val="20"/>
                <w:szCs w:val="20"/>
              </w:rPr>
            </w:pPr>
            <w:r w:rsidRPr="003E2870">
              <w:rPr>
                <w:rFonts w:ascii="Palatino Linotype" w:eastAsia="Palatino Linotype" w:hAnsi="Palatino Linotype" w:cs="Palatino Linotype"/>
                <w:noProof/>
                <w:lang w:val="es-MX"/>
              </w:rPr>
              <w:drawing>
                <wp:inline distT="0" distB="0" distL="0" distR="0" wp14:anchorId="3ACAE9CC" wp14:editId="15781346">
                  <wp:extent cx="2520000" cy="1793483"/>
                  <wp:effectExtent l="0" t="0" r="0" b="0"/>
                  <wp:docPr id="19714301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2520000" cy="1793483"/>
                          </a:xfrm>
                          <a:prstGeom prst="rect">
                            <a:avLst/>
                          </a:prstGeom>
                          <a:ln/>
                        </pic:spPr>
                      </pic:pic>
                    </a:graphicData>
                  </a:graphic>
                </wp:inline>
              </w:drawing>
            </w:r>
          </w:p>
        </w:tc>
      </w:tr>
    </w:tbl>
    <w:p w14:paraId="6A6A0E86" w14:textId="77777777" w:rsidR="002128E2" w:rsidRPr="003E2870" w:rsidRDefault="00830CED">
      <w:pPr>
        <w:spacing w:line="360" w:lineRule="auto"/>
        <w:jc w:val="both"/>
        <w:rPr>
          <w:rFonts w:ascii="Palatino Linotype" w:eastAsia="Palatino Linotype" w:hAnsi="Palatino Linotype" w:cs="Palatino Linotype"/>
          <w:b/>
          <w:sz w:val="22"/>
          <w:szCs w:val="22"/>
        </w:rPr>
      </w:pPr>
      <w:r w:rsidRPr="003E2870">
        <w:rPr>
          <w:rFonts w:ascii="Palatino Linotype" w:eastAsia="Palatino Linotype" w:hAnsi="Palatino Linotype" w:cs="Palatino Linotype"/>
          <w:b/>
          <w:sz w:val="22"/>
          <w:szCs w:val="22"/>
        </w:rPr>
        <w:t>Reporte emitido por la Secretaría de Finanzas del Estado de Guanajuato, en el que se especifica el monto del ISR que se obtuvo en devolución:</w:t>
      </w:r>
    </w:p>
    <w:p w14:paraId="01BC2408" w14:textId="77777777" w:rsidR="002128E2" w:rsidRPr="003E2870" w:rsidRDefault="00830CED">
      <w:pPr>
        <w:spacing w:line="360" w:lineRule="auto"/>
        <w:jc w:val="both"/>
        <w:rPr>
          <w:rFonts w:ascii="Palatino Linotype" w:eastAsia="Palatino Linotype" w:hAnsi="Palatino Linotype" w:cs="Palatino Linotype"/>
        </w:rPr>
      </w:pPr>
      <w:r w:rsidRPr="003E2870">
        <w:rPr>
          <w:rFonts w:ascii="Palatino Linotype" w:eastAsia="Palatino Linotype" w:hAnsi="Palatino Linotype" w:cs="Palatino Linotype"/>
          <w:noProof/>
          <w:lang w:val="es-MX"/>
        </w:rPr>
        <w:lastRenderedPageBreak/>
        <w:drawing>
          <wp:inline distT="0" distB="0" distL="0" distR="0" wp14:anchorId="3A8827F1" wp14:editId="14711548">
            <wp:extent cx="5612130" cy="4127129"/>
            <wp:effectExtent l="0" t="0" r="0" b="0"/>
            <wp:docPr id="197143013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
                    <a:srcRect b="8639"/>
                    <a:stretch>
                      <a:fillRect/>
                    </a:stretch>
                  </pic:blipFill>
                  <pic:spPr>
                    <a:xfrm>
                      <a:off x="0" y="0"/>
                      <a:ext cx="5612130" cy="4127129"/>
                    </a:xfrm>
                    <a:prstGeom prst="rect">
                      <a:avLst/>
                    </a:prstGeom>
                    <a:ln/>
                  </pic:spPr>
                </pic:pic>
              </a:graphicData>
            </a:graphic>
          </wp:inline>
        </w:drawing>
      </w:r>
    </w:p>
    <w:p w14:paraId="29BEED92" w14:textId="77777777" w:rsidR="002128E2" w:rsidRPr="003E2870" w:rsidRDefault="00830CED">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 xml:space="preserve">De las constancias que obran en el expediente, se aprecia que en respuesta, el </w:t>
      </w:r>
      <w:r w:rsidRPr="003E2870">
        <w:rPr>
          <w:rFonts w:ascii="Palatino Linotype" w:eastAsia="Palatino Linotype" w:hAnsi="Palatino Linotype" w:cs="Palatino Linotype"/>
          <w:b/>
          <w:sz w:val="22"/>
          <w:szCs w:val="22"/>
        </w:rPr>
        <w:t>Sujeto Obligado</w:t>
      </w:r>
      <w:r w:rsidRPr="003E2870">
        <w:rPr>
          <w:rFonts w:ascii="Palatino Linotype" w:eastAsia="Palatino Linotype" w:hAnsi="Palatino Linotype" w:cs="Palatino Linotype"/>
          <w:sz w:val="22"/>
          <w:szCs w:val="22"/>
        </w:rPr>
        <w:t xml:space="preserve"> se pronunció por conducto de la Tesorería Municipal, quien manifestó que el punto 1 y 3 no encontraron como obtener la información que solicita, por lo que amablemente le extienden una invitación a la persona solicitante para presentarse en las oficinas de la Tesorería Municipal para que muestre como obtener la información solicitada y estar en condiciones de entregarla, por cuanto hace al número 2, ya que emite el reporte la Secretaría de Finanzas, podría solicitárselo a dicha Secretaría.</w:t>
      </w:r>
    </w:p>
    <w:p w14:paraId="1CACC965" w14:textId="77777777" w:rsidR="002128E2" w:rsidRPr="003E2870" w:rsidRDefault="00830CED">
      <w:pPr>
        <w:spacing w:before="240"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 xml:space="preserve">En esta tesitura, una vez conocida la respuesta emitida por el </w:t>
      </w:r>
      <w:r w:rsidRPr="003E2870">
        <w:rPr>
          <w:rFonts w:ascii="Palatino Linotype" w:eastAsia="Palatino Linotype" w:hAnsi="Palatino Linotype" w:cs="Palatino Linotype"/>
          <w:b/>
          <w:sz w:val="22"/>
          <w:szCs w:val="22"/>
        </w:rPr>
        <w:t>Sujeto Obligado</w:t>
      </w:r>
      <w:r w:rsidRPr="003E2870">
        <w:rPr>
          <w:rFonts w:ascii="Palatino Linotype" w:eastAsia="Palatino Linotype" w:hAnsi="Palatino Linotype" w:cs="Palatino Linotype"/>
          <w:sz w:val="22"/>
          <w:szCs w:val="22"/>
        </w:rPr>
        <w:t xml:space="preserve">, </w:t>
      </w:r>
      <w:r w:rsidRPr="003E2870">
        <w:rPr>
          <w:rFonts w:ascii="Palatino Linotype" w:eastAsia="Palatino Linotype" w:hAnsi="Palatino Linotype" w:cs="Palatino Linotype"/>
          <w:b/>
          <w:sz w:val="22"/>
          <w:szCs w:val="22"/>
        </w:rPr>
        <w:t>la parte Recurrente</w:t>
      </w:r>
      <w:r w:rsidRPr="003E2870">
        <w:rPr>
          <w:rFonts w:ascii="Palatino Linotype" w:eastAsia="Palatino Linotype" w:hAnsi="Palatino Linotype" w:cs="Palatino Linotype"/>
          <w:sz w:val="22"/>
          <w:szCs w:val="22"/>
        </w:rPr>
        <w:t xml:space="preserve">, al no estar conforme con los términos de la misma, interpuso el recurso de revisión que nos ocupa, inconformándose medularmente respecto de la negativa por parte </w:t>
      </w:r>
      <w:r w:rsidRPr="003E2870">
        <w:rPr>
          <w:rFonts w:ascii="Palatino Linotype" w:eastAsia="Palatino Linotype" w:hAnsi="Palatino Linotype" w:cs="Palatino Linotype"/>
          <w:sz w:val="22"/>
          <w:szCs w:val="22"/>
        </w:rPr>
        <w:lastRenderedPageBreak/>
        <w:t>del Ayuntamiento de Texcaltitlán a entregarle la información solicitada, asimismo, insistió en la modalidad de entrega de la información a través de correo electrónico.</w:t>
      </w:r>
    </w:p>
    <w:p w14:paraId="2BB6D985" w14:textId="77777777" w:rsidR="002128E2" w:rsidRPr="003E2870" w:rsidRDefault="00830CED">
      <w:pPr>
        <w:spacing w:before="240"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 xml:space="preserve">Así las cosas, durante la etapa de manifestaciones, se tiene que </w:t>
      </w:r>
      <w:r w:rsidRPr="003E2870">
        <w:rPr>
          <w:rFonts w:ascii="Palatino Linotype" w:eastAsia="Palatino Linotype" w:hAnsi="Palatino Linotype" w:cs="Palatino Linotype"/>
          <w:b/>
          <w:sz w:val="22"/>
          <w:szCs w:val="22"/>
        </w:rPr>
        <w:t>la parte Recurrente</w:t>
      </w:r>
      <w:r w:rsidRPr="003E2870">
        <w:rPr>
          <w:rFonts w:ascii="Palatino Linotype" w:eastAsia="Palatino Linotype" w:hAnsi="Palatino Linotype" w:cs="Palatino Linotype"/>
          <w:sz w:val="22"/>
          <w:szCs w:val="22"/>
        </w:rPr>
        <w:t xml:space="preserve"> adjuntó un archivo a manera de ejemplo de la información requerida, mientras que el </w:t>
      </w:r>
      <w:r w:rsidRPr="003E2870">
        <w:rPr>
          <w:rFonts w:ascii="Palatino Linotype" w:eastAsia="Palatino Linotype" w:hAnsi="Palatino Linotype" w:cs="Palatino Linotype"/>
          <w:b/>
          <w:sz w:val="22"/>
          <w:szCs w:val="22"/>
        </w:rPr>
        <w:t>Sujeto Obligado</w:t>
      </w:r>
      <w:r w:rsidRPr="003E2870">
        <w:rPr>
          <w:rFonts w:ascii="Palatino Linotype" w:eastAsia="Palatino Linotype" w:hAnsi="Palatino Linotype" w:cs="Palatino Linotype"/>
          <w:sz w:val="22"/>
          <w:szCs w:val="22"/>
        </w:rPr>
        <w:t xml:space="preserve"> fue omiso en adjuntar su informe justificado, por lo tanto, se tiene por precluido su derecho para tal efecto y se procede a la emisión de la resolución que conforme a derecho corresponde.</w:t>
      </w:r>
    </w:p>
    <w:p w14:paraId="20C39524" w14:textId="77777777" w:rsidR="002128E2" w:rsidRPr="003E2870" w:rsidRDefault="00830CED">
      <w:pPr>
        <w:spacing w:before="240"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Acotado lo anterior, resulta pertinente subdividir el presente análisis en tres subapartados:</w:t>
      </w:r>
    </w:p>
    <w:p w14:paraId="0A3D470B" w14:textId="77777777" w:rsidR="002128E2" w:rsidRPr="003E2870" w:rsidRDefault="00830CED">
      <w:pPr>
        <w:shd w:val="clear" w:color="auto" w:fill="EBF1DD"/>
        <w:spacing w:before="240" w:after="240" w:line="360" w:lineRule="auto"/>
        <w:ind w:right="49"/>
        <w:jc w:val="both"/>
        <w:rPr>
          <w:rFonts w:ascii="Palatino Linotype" w:eastAsia="Palatino Linotype" w:hAnsi="Palatino Linotype" w:cs="Palatino Linotype"/>
          <w:b/>
          <w:sz w:val="22"/>
          <w:szCs w:val="22"/>
        </w:rPr>
      </w:pPr>
      <w:r w:rsidRPr="003E2870">
        <w:rPr>
          <w:rFonts w:ascii="Palatino Linotype" w:eastAsia="Palatino Linotype" w:hAnsi="Palatino Linotype" w:cs="Palatino Linotype"/>
          <w:b/>
          <w:sz w:val="22"/>
          <w:szCs w:val="22"/>
        </w:rPr>
        <w:t>1. De la siguiente información requerida al municipio y entidades paramunicipales</w:t>
      </w:r>
    </w:p>
    <w:p w14:paraId="6BDB36FA" w14:textId="77777777" w:rsidR="002128E2" w:rsidRPr="003E2870" w:rsidRDefault="00830CED">
      <w:pPr>
        <w:shd w:val="clear" w:color="auto" w:fill="EBF1DD"/>
        <w:spacing w:before="240" w:after="240" w:line="360" w:lineRule="auto"/>
        <w:ind w:right="49"/>
        <w:jc w:val="both"/>
        <w:rPr>
          <w:rFonts w:ascii="Palatino Linotype" w:eastAsia="Palatino Linotype" w:hAnsi="Palatino Linotype" w:cs="Palatino Linotype"/>
          <w:b/>
          <w:sz w:val="22"/>
          <w:szCs w:val="22"/>
        </w:rPr>
      </w:pPr>
      <w:r w:rsidRPr="003E2870">
        <w:rPr>
          <w:rFonts w:ascii="Palatino Linotype" w:eastAsia="Palatino Linotype" w:hAnsi="Palatino Linotype" w:cs="Palatino Linotype"/>
          <w:b/>
          <w:sz w:val="22"/>
          <w:szCs w:val="22"/>
        </w:rPr>
        <w:t>Del visor de nómina por sueldos y salarios, y por asimilados a salarios, de enero de dos mil veinte a agosto de dos mil veinticuatro:</w:t>
      </w:r>
    </w:p>
    <w:p w14:paraId="53D907AF" w14:textId="77777777" w:rsidR="002128E2" w:rsidRPr="003E2870" w:rsidRDefault="00830CED">
      <w:pPr>
        <w:shd w:val="clear" w:color="auto" w:fill="EBF1DD"/>
        <w:spacing w:before="240" w:after="240" w:line="276" w:lineRule="auto"/>
        <w:ind w:right="49"/>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a. Diferencia de ISR a cargo o a favor, o en contra.</w:t>
      </w:r>
    </w:p>
    <w:p w14:paraId="4808AFF2" w14:textId="77777777" w:rsidR="002128E2" w:rsidRPr="003E2870" w:rsidRDefault="00830CED">
      <w:pPr>
        <w:shd w:val="clear" w:color="auto" w:fill="EBF1DD"/>
        <w:spacing w:before="240" w:after="240" w:line="276" w:lineRule="auto"/>
        <w:ind w:right="49"/>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b. ISR retenido, correspondiente al monto histórico recuperado por conducto de la Secretaria de Finanzas del Estado.</w:t>
      </w:r>
    </w:p>
    <w:p w14:paraId="1052BBEC" w14:textId="77777777" w:rsidR="002128E2" w:rsidRPr="003E2870" w:rsidRDefault="00830CED">
      <w:pPr>
        <w:spacing w:before="240"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 xml:space="preserve">Acotado lo anterior, en una aproximación inicial a la respuesta tenemos que el requerimiento de la persona solicitante versa sobre información del municipio y las entidades paramunicipales; en atención a ello debemos concebir en un primer momento a qué se refiere dicha acepción, para ello debemos entender que las dependencias paramunicipales son aquellas que forman parte de la Administración Pública Municipal y fueron creadas para auxiliar a la administración central para realizar alguna actividad considerada estratégica o privada, la prestación de algún servicio público o social, o la aplicación de recursos con fines específicos, pudiendo ser entidades paramunicipales, organismos descentralizados, empresas, fideicomisos, o cualquier otro tipo de institución, organización o unidad administrativa pública de características similares, es preciso señalar </w:t>
      </w:r>
      <w:r w:rsidRPr="003E2870">
        <w:rPr>
          <w:rFonts w:ascii="Palatino Linotype" w:eastAsia="Palatino Linotype" w:hAnsi="Palatino Linotype" w:cs="Palatino Linotype"/>
          <w:sz w:val="22"/>
          <w:szCs w:val="22"/>
        </w:rPr>
        <w:lastRenderedPageBreak/>
        <w:t>que de acuerdo con el organigrama del Ayuntamiento de Texcaltitlán, la administración pública municipal se integra por las siguientes dependencias:</w:t>
      </w:r>
    </w:p>
    <w:p w14:paraId="50FFFA84" w14:textId="77777777" w:rsidR="002128E2" w:rsidRPr="003E2870" w:rsidRDefault="00830CED">
      <w:pPr>
        <w:spacing w:before="240"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noProof/>
          <w:sz w:val="22"/>
          <w:szCs w:val="22"/>
          <w:lang w:val="es-MX"/>
        </w:rPr>
        <w:drawing>
          <wp:inline distT="0" distB="0" distL="0" distR="0" wp14:anchorId="514A1EA2" wp14:editId="2385FE87">
            <wp:extent cx="5612130" cy="4324350"/>
            <wp:effectExtent l="0" t="0" r="0" b="0"/>
            <wp:docPr id="197143012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5612130" cy="4324350"/>
                    </a:xfrm>
                    <a:prstGeom prst="rect">
                      <a:avLst/>
                    </a:prstGeom>
                    <a:ln/>
                  </pic:spPr>
                </pic:pic>
              </a:graphicData>
            </a:graphic>
          </wp:inline>
        </w:drawing>
      </w:r>
    </w:p>
    <w:p w14:paraId="073A731F" w14:textId="77777777" w:rsidR="002128E2" w:rsidRPr="003E2870" w:rsidRDefault="00830CED">
      <w:pPr>
        <w:spacing w:before="240"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Como se advierte, la organización de la administración pública municipal de Texcaltitlán contempla a las dependencias centralizadas, dos organismos descentralizados municipales y un organismo autónomo municipal.</w:t>
      </w:r>
    </w:p>
    <w:p w14:paraId="685F2594" w14:textId="77777777" w:rsidR="002128E2" w:rsidRPr="003E2870" w:rsidRDefault="00830CED">
      <w:pPr>
        <w:tabs>
          <w:tab w:val="left" w:pos="284"/>
        </w:tabs>
        <w:spacing w:before="240" w:after="240" w:line="360" w:lineRule="auto"/>
        <w:ind w:right="51"/>
        <w:jc w:val="both"/>
        <w:rPr>
          <w:rFonts w:ascii="Palatino Linotype" w:eastAsia="Palatino Linotype" w:hAnsi="Palatino Linotype" w:cs="Palatino Linotype"/>
        </w:rPr>
      </w:pPr>
      <w:r w:rsidRPr="003E2870">
        <w:rPr>
          <w:rFonts w:ascii="Palatino Linotype" w:eastAsia="Palatino Linotype" w:hAnsi="Palatino Linotype" w:cs="Palatino Linotype"/>
          <w:sz w:val="22"/>
          <w:szCs w:val="22"/>
        </w:rPr>
        <w:t xml:space="preserve">Sin embargo, si bien los organismos públicos descentralizados y los órganos autónomos municipales </w:t>
      </w:r>
      <w:r w:rsidRPr="003E2870">
        <w:rPr>
          <w:rFonts w:ascii="Palatino Linotype" w:eastAsia="Palatino Linotype" w:hAnsi="Palatino Linotype" w:cs="Palatino Linotype"/>
          <w:b/>
          <w:sz w:val="22"/>
          <w:szCs w:val="22"/>
        </w:rPr>
        <w:t xml:space="preserve">están dotados de personalidad jurídica propia, patrimonio propio y autonomía en el manejo de sus recursos,  </w:t>
      </w:r>
      <w:r w:rsidRPr="003E2870">
        <w:rPr>
          <w:rFonts w:ascii="Palatino Linotype" w:eastAsia="Palatino Linotype" w:hAnsi="Palatino Linotype" w:cs="Palatino Linotype"/>
          <w:sz w:val="22"/>
          <w:szCs w:val="22"/>
        </w:rPr>
        <w:t>y cuentan</w:t>
      </w:r>
      <w:r w:rsidRPr="003E2870">
        <w:rPr>
          <w:rFonts w:ascii="Palatino Linotype" w:eastAsia="Palatino Linotype" w:hAnsi="Palatino Linotype" w:cs="Palatino Linotype"/>
          <w:b/>
          <w:sz w:val="22"/>
          <w:szCs w:val="22"/>
        </w:rPr>
        <w:t xml:space="preserve"> c</w:t>
      </w:r>
      <w:r w:rsidRPr="003E2870">
        <w:rPr>
          <w:rFonts w:ascii="Palatino Linotype" w:eastAsia="Palatino Linotype" w:hAnsi="Palatino Linotype" w:cs="Palatino Linotype"/>
          <w:sz w:val="22"/>
          <w:szCs w:val="22"/>
        </w:rPr>
        <w:t xml:space="preserve">on su propio objeto, marco normativo, atribuciones y estructura orgánica para el cumplimiento de las mismas, debe decirse que </w:t>
      </w:r>
      <w:r w:rsidRPr="003E2870">
        <w:rPr>
          <w:rFonts w:ascii="Palatino Linotype" w:eastAsia="Palatino Linotype" w:hAnsi="Palatino Linotype" w:cs="Palatino Linotype"/>
          <w:b/>
          <w:sz w:val="22"/>
          <w:szCs w:val="22"/>
          <w:u w:val="single"/>
        </w:rPr>
        <w:lastRenderedPageBreak/>
        <w:t>en materia de transparencia</w:t>
      </w:r>
      <w:r w:rsidRPr="003E2870">
        <w:rPr>
          <w:rFonts w:ascii="Palatino Linotype" w:eastAsia="Palatino Linotype" w:hAnsi="Palatino Linotype" w:cs="Palatino Linotype"/>
          <w:sz w:val="22"/>
          <w:szCs w:val="22"/>
        </w:rPr>
        <w:t xml:space="preserve"> únicamente </w:t>
      </w:r>
      <w:r w:rsidRPr="003E2870">
        <w:rPr>
          <w:rFonts w:ascii="Palatino Linotype" w:eastAsia="Palatino Linotype" w:hAnsi="Palatino Linotype" w:cs="Palatino Linotype"/>
          <w:b/>
          <w:sz w:val="22"/>
          <w:szCs w:val="22"/>
        </w:rPr>
        <w:t xml:space="preserve">el Ayuntamiento de Texcaltitlán </w:t>
      </w:r>
      <w:r w:rsidRPr="003E2870">
        <w:rPr>
          <w:rFonts w:ascii="Palatino Linotype" w:eastAsia="Palatino Linotype" w:hAnsi="Palatino Linotype" w:cs="Palatino Linotype"/>
          <w:b/>
          <w:sz w:val="22"/>
          <w:szCs w:val="22"/>
          <w:u w:val="single"/>
        </w:rPr>
        <w:t>es reconocido como Sujeto Obligado</w:t>
      </w:r>
      <w:r w:rsidRPr="003E2870">
        <w:rPr>
          <w:rFonts w:ascii="Palatino Linotype" w:eastAsia="Palatino Linotype" w:hAnsi="Palatino Linotype" w:cs="Palatino Linotype"/>
          <w:sz w:val="22"/>
          <w:szCs w:val="22"/>
        </w:rPr>
        <w:t xml:space="preserve"> de conformidad con el Padrón de Sujetos Obligados en materia de Transparencia y Acceso a la Información Pública del Estado de México y Municipios aprobado por el Pleno de este Instituto el veintisiete de enero de dos mil diecisiete y sus modificaciones posteriores, como se ilustra a continuación para mejor referencia:</w:t>
      </w:r>
    </w:p>
    <w:p w14:paraId="25319D3F" w14:textId="77777777" w:rsidR="002128E2" w:rsidRPr="003E2870" w:rsidRDefault="00830CED">
      <w:pPr>
        <w:tabs>
          <w:tab w:val="left" w:pos="284"/>
        </w:tabs>
        <w:spacing w:before="120" w:after="120"/>
        <w:ind w:right="51"/>
        <w:jc w:val="both"/>
        <w:rPr>
          <w:rFonts w:ascii="Palatino Linotype" w:eastAsia="Palatino Linotype" w:hAnsi="Palatino Linotype" w:cs="Palatino Linotype"/>
        </w:rPr>
      </w:pPr>
      <w:r w:rsidRPr="003E2870">
        <w:rPr>
          <w:rFonts w:ascii="Palatino Linotype" w:eastAsia="Palatino Linotype" w:hAnsi="Palatino Linotype" w:cs="Palatino Linotype"/>
          <w:noProof/>
          <w:lang w:val="es-MX"/>
        </w:rPr>
        <w:drawing>
          <wp:inline distT="0" distB="0" distL="0" distR="0" wp14:anchorId="66823411" wp14:editId="2C1464C4">
            <wp:extent cx="5612130" cy="300355"/>
            <wp:effectExtent l="0" t="0" r="0" b="0"/>
            <wp:docPr id="197143013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5"/>
                    <a:srcRect/>
                    <a:stretch>
                      <a:fillRect/>
                    </a:stretch>
                  </pic:blipFill>
                  <pic:spPr>
                    <a:xfrm>
                      <a:off x="0" y="0"/>
                      <a:ext cx="5612130" cy="300355"/>
                    </a:xfrm>
                    <a:prstGeom prst="rect">
                      <a:avLst/>
                    </a:prstGeom>
                    <a:ln/>
                  </pic:spPr>
                </pic:pic>
              </a:graphicData>
            </a:graphic>
          </wp:inline>
        </w:drawing>
      </w:r>
    </w:p>
    <w:p w14:paraId="7B6A44BD" w14:textId="77777777" w:rsidR="002128E2" w:rsidRPr="003E2870" w:rsidRDefault="00830CED">
      <w:pPr>
        <w:tabs>
          <w:tab w:val="left" w:pos="284"/>
        </w:tabs>
        <w:spacing w:before="120" w:after="120"/>
        <w:ind w:right="51"/>
        <w:jc w:val="both"/>
        <w:rPr>
          <w:rFonts w:ascii="Palatino Linotype" w:eastAsia="Palatino Linotype" w:hAnsi="Palatino Linotype" w:cs="Palatino Linotype"/>
        </w:rPr>
      </w:pPr>
      <w:r w:rsidRPr="003E2870">
        <w:rPr>
          <w:rFonts w:ascii="Palatino Linotype" w:eastAsia="Palatino Linotype" w:hAnsi="Palatino Linotype" w:cs="Palatino Linotype"/>
          <w:noProof/>
          <w:lang w:val="es-MX"/>
        </w:rPr>
        <w:drawing>
          <wp:inline distT="0" distB="0" distL="0" distR="0" wp14:anchorId="256A7EF5" wp14:editId="019548FC">
            <wp:extent cx="5612130" cy="845185"/>
            <wp:effectExtent l="0" t="0" r="0" b="0"/>
            <wp:docPr id="197143013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5612130" cy="845185"/>
                    </a:xfrm>
                    <a:prstGeom prst="rect">
                      <a:avLst/>
                    </a:prstGeom>
                    <a:ln/>
                  </pic:spPr>
                </pic:pic>
              </a:graphicData>
            </a:graphic>
          </wp:inline>
        </w:drawing>
      </w:r>
    </w:p>
    <w:p w14:paraId="36DBF21C" w14:textId="77777777" w:rsidR="002128E2" w:rsidRPr="003E2870" w:rsidRDefault="00830CED">
      <w:pPr>
        <w:tabs>
          <w:tab w:val="left" w:pos="284"/>
        </w:tabs>
        <w:spacing w:before="120" w:after="120"/>
        <w:ind w:right="51"/>
        <w:jc w:val="both"/>
        <w:rPr>
          <w:rFonts w:ascii="Palatino Linotype" w:eastAsia="Palatino Linotype" w:hAnsi="Palatino Linotype" w:cs="Palatino Linotype"/>
        </w:rPr>
      </w:pPr>
      <w:r w:rsidRPr="003E2870">
        <w:rPr>
          <w:rFonts w:ascii="Palatino Linotype" w:eastAsia="Palatino Linotype" w:hAnsi="Palatino Linotype" w:cs="Palatino Linotype"/>
          <w:noProof/>
          <w:lang w:val="es-MX"/>
        </w:rPr>
        <w:drawing>
          <wp:inline distT="0" distB="0" distL="0" distR="0" wp14:anchorId="571DA611" wp14:editId="2778AEB3">
            <wp:extent cx="5612130" cy="334010"/>
            <wp:effectExtent l="0" t="0" r="0" b="0"/>
            <wp:docPr id="197143013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7"/>
                    <a:srcRect/>
                    <a:stretch>
                      <a:fillRect/>
                    </a:stretch>
                  </pic:blipFill>
                  <pic:spPr>
                    <a:xfrm>
                      <a:off x="0" y="0"/>
                      <a:ext cx="5612130" cy="334010"/>
                    </a:xfrm>
                    <a:prstGeom prst="rect">
                      <a:avLst/>
                    </a:prstGeom>
                    <a:ln/>
                  </pic:spPr>
                </pic:pic>
              </a:graphicData>
            </a:graphic>
          </wp:inline>
        </w:drawing>
      </w:r>
    </w:p>
    <w:p w14:paraId="2EE3E1EE" w14:textId="77777777" w:rsidR="002128E2" w:rsidRPr="003E2870" w:rsidRDefault="00830CED">
      <w:pPr>
        <w:tabs>
          <w:tab w:val="left" w:pos="284"/>
        </w:tabs>
        <w:spacing w:before="120" w:after="120"/>
        <w:ind w:right="51"/>
        <w:jc w:val="both"/>
        <w:rPr>
          <w:rFonts w:ascii="Palatino Linotype" w:eastAsia="Palatino Linotype" w:hAnsi="Palatino Linotype" w:cs="Palatino Linotype"/>
        </w:rPr>
      </w:pPr>
      <w:r w:rsidRPr="003E2870">
        <w:rPr>
          <w:rFonts w:ascii="Palatino Linotype" w:eastAsia="Palatino Linotype" w:hAnsi="Palatino Linotype" w:cs="Palatino Linotype"/>
          <w:noProof/>
          <w:lang w:val="es-MX"/>
        </w:rPr>
        <w:drawing>
          <wp:inline distT="0" distB="0" distL="0" distR="0" wp14:anchorId="5BD2C3C5" wp14:editId="3FAD45FE">
            <wp:extent cx="5582429" cy="1276528"/>
            <wp:effectExtent l="0" t="0" r="0" b="0"/>
            <wp:docPr id="197143013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8"/>
                    <a:srcRect/>
                    <a:stretch>
                      <a:fillRect/>
                    </a:stretch>
                  </pic:blipFill>
                  <pic:spPr>
                    <a:xfrm>
                      <a:off x="0" y="0"/>
                      <a:ext cx="5582429" cy="1276528"/>
                    </a:xfrm>
                    <a:prstGeom prst="rect">
                      <a:avLst/>
                    </a:prstGeom>
                    <a:ln/>
                  </pic:spPr>
                </pic:pic>
              </a:graphicData>
            </a:graphic>
          </wp:inline>
        </w:drawing>
      </w:r>
    </w:p>
    <w:p w14:paraId="775F456B" w14:textId="77777777" w:rsidR="002128E2" w:rsidRPr="003E2870" w:rsidRDefault="00830CED">
      <w:pPr>
        <w:spacing w:before="240" w:after="240" w:line="360" w:lineRule="auto"/>
        <w:ind w:right="51"/>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 xml:space="preserve">Por consiguiente, el </w:t>
      </w:r>
      <w:r w:rsidRPr="003E2870">
        <w:rPr>
          <w:rFonts w:ascii="Palatino Linotype" w:eastAsia="Palatino Linotype" w:hAnsi="Palatino Linotype" w:cs="Palatino Linotype"/>
          <w:b/>
          <w:sz w:val="22"/>
          <w:szCs w:val="22"/>
        </w:rPr>
        <w:t>Ayuntamiento de Texcaltitlán</w:t>
      </w:r>
      <w:r w:rsidRPr="003E2870">
        <w:rPr>
          <w:rFonts w:ascii="Palatino Linotype" w:eastAsia="Palatino Linotype" w:hAnsi="Palatino Linotype" w:cs="Palatino Linotype"/>
          <w:sz w:val="22"/>
          <w:szCs w:val="22"/>
        </w:rPr>
        <w:t xml:space="preserve"> es responsable de transparentar la información relativa a las unidades y dependencias administrativas que integran la administración pública centralizada, así como la información del Sistema Municipal DIF en Texcaltitlán y el Instituto Municipal de Cultura Física y Deporte de Texcaltitlán, como organismos descentralizados de la administración pública municipal y la Defensoría Municipal de Derechos Humanos, como organismo autónomo de la administración pública municipal.</w:t>
      </w:r>
    </w:p>
    <w:p w14:paraId="1CF71189" w14:textId="77777777" w:rsidR="002128E2" w:rsidRPr="003E2870" w:rsidRDefault="00830CED">
      <w:pPr>
        <w:spacing w:before="240" w:after="240" w:line="360" w:lineRule="auto"/>
        <w:ind w:right="51"/>
        <w:jc w:val="both"/>
        <w:rPr>
          <w:rFonts w:ascii="Palatino Linotype" w:eastAsia="Palatino Linotype" w:hAnsi="Palatino Linotype" w:cs="Palatino Linotype"/>
          <w:b/>
          <w:sz w:val="22"/>
          <w:szCs w:val="22"/>
          <w:u w:val="single"/>
        </w:rPr>
      </w:pPr>
      <w:r w:rsidRPr="003E2870">
        <w:rPr>
          <w:rFonts w:ascii="Palatino Linotype" w:eastAsia="Palatino Linotype" w:hAnsi="Palatino Linotype" w:cs="Palatino Linotype"/>
          <w:sz w:val="22"/>
          <w:szCs w:val="22"/>
        </w:rPr>
        <w:t xml:space="preserve">Una vez establecido lo anterior, es oportuno referir que derivado del análisis de las constancias que obran en el expediente electrónico en el que se actúa, se advirtió que la Unidad de Transparencia turnó la solicitud de información a la Tesorería Municipal, al </w:t>
      </w:r>
      <w:r w:rsidRPr="003E2870">
        <w:rPr>
          <w:rFonts w:ascii="Palatino Linotype" w:eastAsia="Palatino Linotype" w:hAnsi="Palatino Linotype" w:cs="Palatino Linotype"/>
          <w:sz w:val="22"/>
          <w:szCs w:val="22"/>
        </w:rPr>
        <w:lastRenderedPageBreak/>
        <w:t xml:space="preserve">considerarle como el área competente para conocer de la información solicitada, cuyo servidor público habilitado señaló en respuesta que </w:t>
      </w:r>
      <w:r w:rsidRPr="003E2870">
        <w:rPr>
          <w:rFonts w:ascii="Palatino Linotype" w:eastAsia="Palatino Linotype" w:hAnsi="Palatino Linotype" w:cs="Palatino Linotype"/>
          <w:b/>
          <w:sz w:val="22"/>
          <w:szCs w:val="22"/>
          <w:u w:val="single"/>
        </w:rPr>
        <w:t>no encontró como obtener la información que solicita, por lo que amablemente le extienden una invitación a la persona solicitante para presentarse en las oficinas de la Tesorería Municipal para que muestre como obtener la información solicitada y estar en condiciones de entregarla.</w:t>
      </w:r>
    </w:p>
    <w:p w14:paraId="4D686B64" w14:textId="77777777" w:rsidR="002128E2" w:rsidRPr="003E2870" w:rsidRDefault="00830CED">
      <w:pPr>
        <w:spacing w:before="240"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 xml:space="preserve">Cabe señalar que la Tesorería Municipal es el órgano encargado de la recaudación de los ingresos municipales y </w:t>
      </w:r>
      <w:r w:rsidRPr="003E2870">
        <w:rPr>
          <w:rFonts w:ascii="Palatino Linotype" w:eastAsia="Palatino Linotype" w:hAnsi="Palatino Linotype" w:cs="Palatino Linotype"/>
          <w:b/>
          <w:sz w:val="22"/>
          <w:szCs w:val="22"/>
        </w:rPr>
        <w:t>responsable de realizar las erogaciones</w:t>
      </w:r>
      <w:r w:rsidRPr="003E2870">
        <w:rPr>
          <w:rFonts w:ascii="Palatino Linotype" w:eastAsia="Palatino Linotype" w:hAnsi="Palatino Linotype" w:cs="Palatino Linotype"/>
          <w:sz w:val="22"/>
          <w:szCs w:val="22"/>
        </w:rPr>
        <w:t xml:space="preserve"> que haga el ayuntamiento </w:t>
      </w:r>
      <w:r w:rsidRPr="003E2870">
        <w:rPr>
          <w:rFonts w:ascii="Palatino Linotype" w:eastAsia="Palatino Linotype" w:hAnsi="Palatino Linotype" w:cs="Palatino Linotype"/>
          <w:b/>
          <w:sz w:val="22"/>
          <w:szCs w:val="22"/>
        </w:rPr>
        <w:t>a través de los registros contables, financieros y administrativos</w:t>
      </w:r>
      <w:r w:rsidRPr="003E2870">
        <w:rPr>
          <w:rFonts w:ascii="Palatino Linotype" w:eastAsia="Palatino Linotype" w:hAnsi="Palatino Linotype" w:cs="Palatino Linotype"/>
          <w:sz w:val="22"/>
          <w:szCs w:val="22"/>
        </w:rPr>
        <w:t xml:space="preserve"> de los ingresos, </w:t>
      </w:r>
      <w:r w:rsidRPr="003E2870">
        <w:rPr>
          <w:rFonts w:ascii="Palatino Linotype" w:eastAsia="Palatino Linotype" w:hAnsi="Palatino Linotype" w:cs="Palatino Linotype"/>
          <w:b/>
          <w:sz w:val="22"/>
          <w:szCs w:val="22"/>
        </w:rPr>
        <w:t>egresos</w:t>
      </w:r>
      <w:r w:rsidRPr="003E2870">
        <w:rPr>
          <w:rFonts w:ascii="Palatino Linotype" w:eastAsia="Palatino Linotype" w:hAnsi="Palatino Linotype" w:cs="Palatino Linotype"/>
          <w:sz w:val="22"/>
          <w:szCs w:val="22"/>
        </w:rPr>
        <w:t xml:space="preserve"> e inventarios; participar en la formulación de Convenios Fiscales; así como de </w:t>
      </w:r>
      <w:r w:rsidRPr="003E2870">
        <w:rPr>
          <w:rFonts w:ascii="Palatino Linotype" w:eastAsia="Palatino Linotype" w:hAnsi="Palatino Linotype" w:cs="Palatino Linotype"/>
          <w:b/>
          <w:sz w:val="22"/>
          <w:szCs w:val="22"/>
          <w:u w:val="single"/>
        </w:rPr>
        <w:t>recaudar y administrar los ingresos que se deriven de la suscripción de convenios, acuerdos o la emisión de declaratorias de coordinación; los relativos a las transferencias otorgadas a favor del Municipio en el marco del Sistema Nacional o Estatal de Coordinación Fiscal</w:t>
      </w:r>
      <w:r w:rsidRPr="003E2870">
        <w:rPr>
          <w:rFonts w:ascii="Palatino Linotype" w:eastAsia="Palatino Linotype" w:hAnsi="Palatino Linotype" w:cs="Palatino Linotype"/>
          <w:sz w:val="22"/>
          <w:szCs w:val="22"/>
        </w:rPr>
        <w:t>, o los que reciba por cualquier otro concepto; dar cumplimiento a las leyes, convenios de coordinación fiscal y demás que en materia hacendaria celebre el Ayuntamiento con el Estado, entre otras atribuciones, de conformidad con lo establecido en los artículos 93 y 95, fracciones I,  IV, VIII, XIX y XX, de la Ley Orgánica Municipal del Estado de México, a saber:</w:t>
      </w:r>
    </w:p>
    <w:p w14:paraId="39ECC521" w14:textId="77777777" w:rsidR="002128E2" w:rsidRPr="003E2870" w:rsidRDefault="00830CED">
      <w:pPr>
        <w:spacing w:before="120" w:after="120"/>
        <w:ind w:left="567" w:right="902"/>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i/>
          <w:sz w:val="22"/>
          <w:szCs w:val="22"/>
        </w:rPr>
        <w:t>“</w:t>
      </w:r>
      <w:r w:rsidRPr="003E2870">
        <w:rPr>
          <w:rFonts w:ascii="Palatino Linotype" w:eastAsia="Palatino Linotype" w:hAnsi="Palatino Linotype" w:cs="Palatino Linotype"/>
          <w:b/>
          <w:i/>
          <w:sz w:val="22"/>
          <w:szCs w:val="22"/>
        </w:rPr>
        <w:t>Artículo 93</w:t>
      </w:r>
      <w:r w:rsidRPr="003E2870">
        <w:rPr>
          <w:rFonts w:ascii="Palatino Linotype" w:eastAsia="Palatino Linotype" w:hAnsi="Palatino Linotype" w:cs="Palatino Linotype"/>
          <w:i/>
          <w:sz w:val="22"/>
          <w:szCs w:val="22"/>
        </w:rPr>
        <w:t>.- La tesorería municipal es el órgano encargado de la recaudación de los ingresos municipales y responsable de realizar las erogaciones que haga el ayuntamiento.</w:t>
      </w:r>
    </w:p>
    <w:p w14:paraId="4B5348BF" w14:textId="77777777" w:rsidR="002128E2" w:rsidRPr="003E2870" w:rsidRDefault="00830CED">
      <w:pPr>
        <w:spacing w:before="120" w:after="120"/>
        <w:ind w:left="567" w:right="902"/>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i/>
          <w:sz w:val="22"/>
          <w:szCs w:val="22"/>
        </w:rPr>
        <w:t>…</w:t>
      </w:r>
    </w:p>
    <w:p w14:paraId="551AA559" w14:textId="77777777" w:rsidR="002128E2" w:rsidRPr="003E2870" w:rsidRDefault="00830CED">
      <w:pPr>
        <w:spacing w:before="120" w:after="120"/>
        <w:ind w:left="567" w:right="902"/>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b/>
          <w:i/>
          <w:sz w:val="22"/>
          <w:szCs w:val="22"/>
        </w:rPr>
        <w:t>Artículo 95</w:t>
      </w:r>
      <w:r w:rsidRPr="003E2870">
        <w:rPr>
          <w:rFonts w:ascii="Palatino Linotype" w:eastAsia="Palatino Linotype" w:hAnsi="Palatino Linotype" w:cs="Palatino Linotype"/>
          <w:i/>
          <w:sz w:val="22"/>
          <w:szCs w:val="22"/>
        </w:rPr>
        <w:t xml:space="preserve">.- Son atribuciones del tesorero municipal: </w:t>
      </w:r>
    </w:p>
    <w:p w14:paraId="7A4618A0" w14:textId="77777777" w:rsidR="002128E2" w:rsidRPr="003E2870" w:rsidRDefault="00830CED">
      <w:pPr>
        <w:spacing w:before="120" w:after="120"/>
        <w:ind w:left="567" w:right="902"/>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b/>
          <w:i/>
          <w:sz w:val="22"/>
          <w:szCs w:val="22"/>
        </w:rPr>
        <w:t>I</w:t>
      </w:r>
      <w:r w:rsidRPr="003E2870">
        <w:rPr>
          <w:rFonts w:ascii="Palatino Linotype" w:eastAsia="Palatino Linotype" w:hAnsi="Palatino Linotype" w:cs="Palatino Linotype"/>
          <w:i/>
          <w:sz w:val="22"/>
          <w:szCs w:val="22"/>
        </w:rPr>
        <w:t xml:space="preserve">. </w:t>
      </w:r>
      <w:r w:rsidRPr="003E2870">
        <w:rPr>
          <w:rFonts w:ascii="Palatino Linotype" w:eastAsia="Palatino Linotype" w:hAnsi="Palatino Linotype" w:cs="Palatino Linotype"/>
          <w:b/>
          <w:i/>
          <w:sz w:val="22"/>
          <w:szCs w:val="22"/>
        </w:rPr>
        <w:t>Administrar la hacienda pública municipal</w:t>
      </w:r>
      <w:r w:rsidRPr="003E2870">
        <w:rPr>
          <w:rFonts w:ascii="Palatino Linotype" w:eastAsia="Palatino Linotype" w:hAnsi="Palatino Linotype" w:cs="Palatino Linotype"/>
          <w:i/>
          <w:sz w:val="22"/>
          <w:szCs w:val="22"/>
        </w:rPr>
        <w:t>, de conformidad con las disposiciones legales aplicables;</w:t>
      </w:r>
    </w:p>
    <w:p w14:paraId="6E2BB566" w14:textId="77777777" w:rsidR="002128E2" w:rsidRPr="003E2870" w:rsidRDefault="00830CED">
      <w:pPr>
        <w:spacing w:before="120" w:after="120"/>
        <w:ind w:left="567" w:right="902"/>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i/>
          <w:sz w:val="22"/>
          <w:szCs w:val="22"/>
        </w:rPr>
        <w:t>…</w:t>
      </w:r>
    </w:p>
    <w:p w14:paraId="1DDAECE3" w14:textId="77777777" w:rsidR="002128E2" w:rsidRPr="003E2870" w:rsidRDefault="00830CED">
      <w:pPr>
        <w:spacing w:before="120" w:after="120"/>
        <w:ind w:left="567" w:right="902"/>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b/>
          <w:i/>
          <w:sz w:val="22"/>
          <w:szCs w:val="22"/>
        </w:rPr>
        <w:t>IV.</w:t>
      </w:r>
      <w:r w:rsidRPr="003E2870">
        <w:rPr>
          <w:rFonts w:ascii="Palatino Linotype" w:eastAsia="Palatino Linotype" w:hAnsi="Palatino Linotype" w:cs="Palatino Linotype"/>
          <w:i/>
          <w:sz w:val="22"/>
          <w:szCs w:val="22"/>
        </w:rPr>
        <w:t xml:space="preserve"> </w:t>
      </w:r>
      <w:r w:rsidRPr="003E2870">
        <w:rPr>
          <w:rFonts w:ascii="Palatino Linotype" w:eastAsia="Palatino Linotype" w:hAnsi="Palatino Linotype" w:cs="Palatino Linotype"/>
          <w:b/>
          <w:i/>
          <w:sz w:val="22"/>
          <w:szCs w:val="22"/>
          <w:u w:val="single"/>
        </w:rPr>
        <w:t>Llevar los registros contables, financieros y administrativos</w:t>
      </w:r>
      <w:r w:rsidRPr="003E2870">
        <w:rPr>
          <w:rFonts w:ascii="Palatino Linotype" w:eastAsia="Palatino Linotype" w:hAnsi="Palatino Linotype" w:cs="Palatino Linotype"/>
          <w:b/>
          <w:i/>
          <w:sz w:val="22"/>
          <w:szCs w:val="22"/>
        </w:rPr>
        <w:t xml:space="preserve"> de los ingresos, egresos</w:t>
      </w:r>
      <w:r w:rsidRPr="003E2870">
        <w:rPr>
          <w:rFonts w:ascii="Palatino Linotype" w:eastAsia="Palatino Linotype" w:hAnsi="Palatino Linotype" w:cs="Palatino Linotype"/>
          <w:i/>
          <w:sz w:val="22"/>
          <w:szCs w:val="22"/>
        </w:rPr>
        <w:t>, e inventarios;</w:t>
      </w:r>
    </w:p>
    <w:p w14:paraId="72BE8A6B" w14:textId="77777777" w:rsidR="002128E2" w:rsidRPr="003E2870" w:rsidRDefault="00830CED">
      <w:pPr>
        <w:spacing w:before="120" w:after="120"/>
        <w:ind w:left="567" w:right="902"/>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i/>
          <w:sz w:val="22"/>
          <w:szCs w:val="22"/>
        </w:rPr>
        <w:t>…</w:t>
      </w:r>
    </w:p>
    <w:p w14:paraId="12D10F6E" w14:textId="77777777" w:rsidR="002128E2" w:rsidRPr="003E2870" w:rsidRDefault="00830CED">
      <w:pPr>
        <w:spacing w:before="120" w:after="120"/>
        <w:ind w:left="567" w:right="902"/>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b/>
          <w:i/>
          <w:sz w:val="22"/>
          <w:szCs w:val="22"/>
        </w:rPr>
        <w:lastRenderedPageBreak/>
        <w:t>VIII</w:t>
      </w:r>
      <w:r w:rsidRPr="003E2870">
        <w:rPr>
          <w:rFonts w:ascii="Palatino Linotype" w:eastAsia="Palatino Linotype" w:hAnsi="Palatino Linotype" w:cs="Palatino Linotype"/>
          <w:i/>
          <w:sz w:val="22"/>
          <w:szCs w:val="22"/>
        </w:rPr>
        <w:t xml:space="preserve">. </w:t>
      </w:r>
      <w:r w:rsidRPr="003E2870">
        <w:rPr>
          <w:rFonts w:ascii="Palatino Linotype" w:eastAsia="Palatino Linotype" w:hAnsi="Palatino Linotype" w:cs="Palatino Linotype"/>
          <w:b/>
          <w:i/>
          <w:sz w:val="22"/>
          <w:szCs w:val="22"/>
        </w:rPr>
        <w:t>Participar en la formulación de Convenios Fiscales</w:t>
      </w:r>
      <w:r w:rsidRPr="003E2870">
        <w:rPr>
          <w:rFonts w:ascii="Palatino Linotype" w:eastAsia="Palatino Linotype" w:hAnsi="Palatino Linotype" w:cs="Palatino Linotype"/>
          <w:i/>
          <w:sz w:val="22"/>
          <w:szCs w:val="22"/>
        </w:rPr>
        <w:t xml:space="preserve"> y ejercer las atribuciones que le correspondan en el ámbito de su competencia;</w:t>
      </w:r>
    </w:p>
    <w:p w14:paraId="79499971" w14:textId="77777777" w:rsidR="002128E2" w:rsidRPr="003E2870" w:rsidRDefault="00830CED">
      <w:pPr>
        <w:spacing w:before="120" w:after="120"/>
        <w:ind w:left="567" w:right="902"/>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i/>
          <w:sz w:val="22"/>
          <w:szCs w:val="22"/>
        </w:rPr>
        <w:t>…</w:t>
      </w:r>
    </w:p>
    <w:p w14:paraId="179083E2" w14:textId="77777777" w:rsidR="002128E2" w:rsidRPr="003E2870" w:rsidRDefault="00830CED">
      <w:pPr>
        <w:spacing w:before="120" w:after="120"/>
        <w:ind w:left="1134" w:right="902"/>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b/>
          <w:i/>
          <w:sz w:val="22"/>
          <w:szCs w:val="22"/>
        </w:rPr>
        <w:t>XIX.</w:t>
      </w:r>
      <w:r w:rsidRPr="003E2870">
        <w:rPr>
          <w:rFonts w:ascii="Palatino Linotype" w:eastAsia="Palatino Linotype" w:hAnsi="Palatino Linotype" w:cs="Palatino Linotype"/>
          <w:i/>
          <w:sz w:val="22"/>
          <w:szCs w:val="22"/>
        </w:rPr>
        <w:t xml:space="preserve"> </w:t>
      </w:r>
      <w:r w:rsidRPr="003E2870">
        <w:rPr>
          <w:rFonts w:ascii="Palatino Linotype" w:eastAsia="Palatino Linotype" w:hAnsi="Palatino Linotype" w:cs="Palatino Linotype"/>
          <w:b/>
          <w:i/>
          <w:sz w:val="22"/>
          <w:szCs w:val="22"/>
          <w:u w:val="single"/>
        </w:rPr>
        <w:t>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w:t>
      </w:r>
      <w:r w:rsidRPr="003E2870">
        <w:rPr>
          <w:rFonts w:ascii="Palatino Linotype" w:eastAsia="Palatino Linotype" w:hAnsi="Palatino Linotype" w:cs="Palatino Linotype"/>
          <w:i/>
          <w:sz w:val="22"/>
          <w:szCs w:val="22"/>
        </w:rPr>
        <w:t>; así como el importe de las sanciones por infracciones impuestas por las autoridades competentes, por la inobservancia de las diversas disposiciones y ordenamientos legales, constituyendo los créditos fiscales correspondientes;</w:t>
      </w:r>
    </w:p>
    <w:p w14:paraId="1E202416" w14:textId="77777777" w:rsidR="002128E2" w:rsidRPr="003E2870" w:rsidRDefault="00830CED">
      <w:pPr>
        <w:spacing w:before="120" w:after="120"/>
        <w:ind w:left="1134" w:right="902"/>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b/>
          <w:i/>
          <w:sz w:val="22"/>
          <w:szCs w:val="22"/>
        </w:rPr>
        <w:t>XX.</w:t>
      </w:r>
      <w:r w:rsidRPr="003E2870">
        <w:rPr>
          <w:rFonts w:ascii="Palatino Linotype" w:eastAsia="Palatino Linotype" w:hAnsi="Palatino Linotype" w:cs="Palatino Linotype"/>
          <w:i/>
          <w:sz w:val="22"/>
          <w:szCs w:val="22"/>
        </w:rPr>
        <w:t xml:space="preserve"> </w:t>
      </w:r>
      <w:r w:rsidRPr="003E2870">
        <w:rPr>
          <w:rFonts w:ascii="Palatino Linotype" w:eastAsia="Palatino Linotype" w:hAnsi="Palatino Linotype" w:cs="Palatino Linotype"/>
          <w:b/>
          <w:i/>
          <w:sz w:val="22"/>
          <w:szCs w:val="22"/>
          <w:u w:val="single"/>
        </w:rPr>
        <w:t>Dar cumplimiento a las leyes, convenios de coordinación fiscal y demás que en materia hacendaria celebre el Ayuntamiento con el Estado;</w:t>
      </w:r>
      <w:r w:rsidRPr="003E2870">
        <w:rPr>
          <w:rFonts w:ascii="Palatino Linotype" w:eastAsia="Palatino Linotype" w:hAnsi="Palatino Linotype" w:cs="Palatino Linotype"/>
          <w:b/>
          <w:i/>
          <w:sz w:val="22"/>
          <w:szCs w:val="22"/>
        </w:rPr>
        <w:t xml:space="preserve"> autorizar la suficiencia presupuestal</w:t>
      </w:r>
      <w:r w:rsidRPr="003E2870">
        <w:rPr>
          <w:rFonts w:ascii="Palatino Linotype" w:eastAsia="Palatino Linotype" w:hAnsi="Palatino Linotype" w:cs="Palatino Linotype"/>
          <w:i/>
          <w:sz w:val="22"/>
          <w:szCs w:val="22"/>
        </w:rPr>
        <w:t xml:space="preserve"> para la adquisición de bienes y servicios requeridos por las áreas, de conformidad con el articulo su presupuesto autorizado para cada ejercicio, en términos de los artículos 93 y 95 de la Ley Orgánica Municipal del Estado de México.” (Énfasis añadido)</w:t>
      </w:r>
    </w:p>
    <w:p w14:paraId="52150F32" w14:textId="77777777" w:rsidR="002128E2" w:rsidRPr="003E2870" w:rsidRDefault="00830CED">
      <w:pPr>
        <w:spacing w:before="240"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Sin embargo es de precisar que no se atendió el procedimiento de búsqueda, el cual se constituye como la garantía primaria del derecho humano de acceso a la información pública, el cual se rige por los principios de simplicidad, rapidez, gratuidad del procedimiento, auxilio y orientación a las personas solicitantes con el fin de otorgar la protección más amplia de éste derecho.</w:t>
      </w:r>
    </w:p>
    <w:p w14:paraId="0CF4DBA4" w14:textId="77777777" w:rsidR="002128E2" w:rsidRPr="003E2870" w:rsidRDefault="00830CED">
      <w:pPr>
        <w:spacing w:before="240" w:after="240" w:line="360" w:lineRule="auto"/>
        <w:jc w:val="both"/>
        <w:rPr>
          <w:rFonts w:ascii="Palatino Linotype" w:eastAsia="Palatino Linotype" w:hAnsi="Palatino Linotype" w:cs="Palatino Linotype"/>
          <w:sz w:val="20"/>
          <w:szCs w:val="20"/>
        </w:rPr>
      </w:pPr>
      <w:r w:rsidRPr="003E2870">
        <w:rPr>
          <w:rFonts w:ascii="Palatino Linotype" w:eastAsia="Palatino Linotype" w:hAnsi="Palatino Linotype" w:cs="Palatino Linotype"/>
          <w:sz w:val="22"/>
          <w:szCs w:val="22"/>
        </w:rPr>
        <w:t xml:space="preserve">Lo anterior se afirma así en virtud de que en el expediente electrónico de la solicitud no obra registro del turno de la solicitud a los servidores públicos habilitados de las demás áreas que pudieran ser competentes para generar, administrar y o poseer la información que es del interés de la persona solicitante, esto es, el Sistema Municipal DIF en Texcaltitlán y el Instituto Municipal de Cultura Física y Deporte de Texcaltitlán, como organismos descentralizados de la administración pública municipal y la Defensoría Municipal de Derechos Humanos, reiterando que los servidores públicos habilitados son las personas designadas en cada unidad administrativa de los Sujetos Obligados responsables de gestionar las solicitudes de información o de datos personales, para efectos de la búsqueda </w:t>
      </w:r>
      <w:r w:rsidRPr="003E2870">
        <w:rPr>
          <w:rFonts w:ascii="Palatino Linotype" w:eastAsia="Palatino Linotype" w:hAnsi="Palatino Linotype" w:cs="Palatino Linotype"/>
          <w:sz w:val="22"/>
          <w:szCs w:val="22"/>
        </w:rPr>
        <w:lastRenderedPageBreak/>
        <w:t>de la información en los archivos de las áreas a su cargo y la entrega de la</w:t>
      </w:r>
      <w:r w:rsidRPr="003E2870">
        <w:rPr>
          <w:rFonts w:ascii="Palatino Linotype" w:eastAsia="Palatino Linotype" w:hAnsi="Palatino Linotype" w:cs="Palatino Linotype"/>
        </w:rPr>
        <w:t xml:space="preserve"> </w:t>
      </w:r>
      <w:r w:rsidRPr="003E2870">
        <w:rPr>
          <w:rFonts w:ascii="Palatino Linotype" w:eastAsia="Palatino Linotype" w:hAnsi="Palatino Linotype" w:cs="Palatino Linotype"/>
          <w:sz w:val="22"/>
          <w:szCs w:val="22"/>
        </w:rPr>
        <w:t>información localizada a las Unidades de Transparencia atendiendo a la naturaleza de la misma.</w:t>
      </w:r>
    </w:p>
    <w:p w14:paraId="289ADA54" w14:textId="77777777" w:rsidR="002128E2" w:rsidRPr="003E2870" w:rsidRDefault="00830CED">
      <w:pPr>
        <w:spacing w:before="240"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 xml:space="preserve">En tal sentido, es evidente que la respuesta del </w:t>
      </w:r>
      <w:r w:rsidRPr="003E2870">
        <w:rPr>
          <w:rFonts w:ascii="Palatino Linotype" w:eastAsia="Palatino Linotype" w:hAnsi="Palatino Linotype" w:cs="Palatino Linotype"/>
          <w:b/>
          <w:sz w:val="22"/>
          <w:szCs w:val="22"/>
        </w:rPr>
        <w:t xml:space="preserve">Sujeto Obligado </w:t>
      </w:r>
      <w:r w:rsidRPr="003E2870">
        <w:rPr>
          <w:rFonts w:ascii="Palatino Linotype" w:eastAsia="Palatino Linotype" w:hAnsi="Palatino Linotype" w:cs="Palatino Linotype"/>
          <w:sz w:val="22"/>
          <w:szCs w:val="22"/>
        </w:rPr>
        <w:t>es insuficiente para tener por satisfecho el Derecho Humano de acceso a la Información al no haberse agotado el procedimiento de búsqueda en todas las áreas competentes para conocer de la información, por tanto, es dable ordenar la búsqueda exhaustiva y razonable de la información y se haga entrega del soporte documental donde conste lo solicitado.</w:t>
      </w:r>
    </w:p>
    <w:p w14:paraId="57B68163" w14:textId="77777777" w:rsidR="002128E2" w:rsidRPr="003E2870" w:rsidRDefault="00830CED">
      <w:pPr>
        <w:spacing w:before="240"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Una vez analizado lo anterior, lo pertinente es entrar en materia respecto a este punto de la solicitud por medio del cual se requiere, del visor de nómina por sueldos y salarios, y asimilados a salarios, la diferencia a cargo o a favor, o en contra; y el ISR retenido, correspondiente al monto histórico recuperado por conducto de la Secretaria de Finanzas del Estado, del uno de enero de dos mil veinte al treinta de agosto de dos mil veinticuatro, es preciso referir, en primer lugar, que las personas físicas y morales están obligadas al pago del Impuesto Sobre la Renta respecto de todos sus ingresos, en los términos establecidos en el artículo 1 de la Ley del Impuesto Sobre la Renta.</w:t>
      </w:r>
    </w:p>
    <w:p w14:paraId="0F8E87A3" w14:textId="77777777" w:rsidR="002128E2" w:rsidRPr="003E2870" w:rsidRDefault="00830CED">
      <w:pPr>
        <w:spacing w:before="240"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 xml:space="preserve">En el caso de las personas físicas, se consideran ingresos por la prestación de un servicio personal subordinado, los salarios y demás prestaciones que deriven de una relación laboral, incluyendo la participación de los trabajadores en las utilidades de las empresas y las prestaciones percibidas como consecuencia de la terminación de la relación laboral, </w:t>
      </w:r>
      <w:r w:rsidRPr="003E2870">
        <w:rPr>
          <w:rFonts w:ascii="Palatino Linotype" w:eastAsia="Palatino Linotype" w:hAnsi="Palatino Linotype" w:cs="Palatino Linotype"/>
          <w:b/>
          <w:sz w:val="22"/>
          <w:szCs w:val="22"/>
          <w:u w:val="single"/>
        </w:rPr>
        <w:t xml:space="preserve">encontrándose obligadas las personas físicas o morales que hagan pagos por dichos conceptos, a efectuar las retenciones y enteros mensuales, </w:t>
      </w:r>
      <w:r w:rsidRPr="003E2870">
        <w:rPr>
          <w:rFonts w:ascii="Palatino Linotype" w:eastAsia="Palatino Linotype" w:hAnsi="Palatino Linotype" w:cs="Palatino Linotype"/>
          <w:sz w:val="22"/>
          <w:szCs w:val="22"/>
        </w:rPr>
        <w:t>que tendrán el carácter de pagos provisionales a cuenta del impuesto anual;</w:t>
      </w:r>
      <w:r w:rsidRPr="003E2870">
        <w:rPr>
          <w:rFonts w:ascii="Palatino Linotype" w:eastAsia="Palatino Linotype" w:hAnsi="Palatino Linotype" w:cs="Palatino Linotype"/>
          <w:b/>
          <w:sz w:val="22"/>
          <w:szCs w:val="22"/>
        </w:rPr>
        <w:t xml:space="preserve"> </w:t>
      </w:r>
      <w:r w:rsidRPr="003E2870">
        <w:rPr>
          <w:rFonts w:ascii="Palatino Linotype" w:eastAsia="Palatino Linotype" w:hAnsi="Palatino Linotype" w:cs="Palatino Linotype"/>
          <w:b/>
          <w:sz w:val="22"/>
          <w:szCs w:val="22"/>
          <w:u w:val="single"/>
        </w:rPr>
        <w:t>expedir y entregar comprobantes fiscales respectivos</w:t>
      </w:r>
      <w:r w:rsidRPr="003E2870">
        <w:rPr>
          <w:rFonts w:ascii="Palatino Linotype" w:eastAsia="Palatino Linotype" w:hAnsi="Palatino Linotype" w:cs="Palatino Linotype"/>
          <w:sz w:val="22"/>
          <w:szCs w:val="22"/>
        </w:rPr>
        <w:t xml:space="preserve">, así como </w:t>
      </w:r>
      <w:r w:rsidRPr="003E2870">
        <w:rPr>
          <w:rFonts w:ascii="Palatino Linotype" w:eastAsia="Palatino Linotype" w:hAnsi="Palatino Linotype" w:cs="Palatino Linotype"/>
          <w:b/>
          <w:sz w:val="22"/>
          <w:szCs w:val="22"/>
          <w:u w:val="single"/>
        </w:rPr>
        <w:t>calcular el impuesto anual de cada persona que le hubiere prestado servicios personales subordinados</w:t>
      </w:r>
      <w:r w:rsidRPr="003E2870">
        <w:rPr>
          <w:rFonts w:ascii="Palatino Linotype" w:eastAsia="Palatino Linotype" w:hAnsi="Palatino Linotype" w:cs="Palatino Linotype"/>
          <w:sz w:val="22"/>
          <w:szCs w:val="22"/>
        </w:rPr>
        <w:t xml:space="preserve">, de conformidad con los artículos 94, fracciones I y IV, 96 párrafo primero, 97 párrafo primero y 99, fracciones I y III del Capítulo I De los ingresos </w:t>
      </w:r>
      <w:r w:rsidRPr="003E2870">
        <w:rPr>
          <w:rFonts w:ascii="Palatino Linotype" w:eastAsia="Palatino Linotype" w:hAnsi="Palatino Linotype" w:cs="Palatino Linotype"/>
          <w:sz w:val="22"/>
          <w:szCs w:val="22"/>
        </w:rPr>
        <w:lastRenderedPageBreak/>
        <w:t>por salarios y en general por la prestación de un servicio personal subordinado, del Título IV De las personas  físicas, de la Ley del Impuesto Sobre la Renta, a saber:</w:t>
      </w:r>
    </w:p>
    <w:p w14:paraId="69F6356E" w14:textId="77777777" w:rsidR="002128E2" w:rsidRPr="003E2870" w:rsidRDefault="00830CED">
      <w:pPr>
        <w:tabs>
          <w:tab w:val="left" w:pos="7938"/>
        </w:tabs>
        <w:spacing w:before="120" w:after="120"/>
        <w:ind w:left="567" w:right="902"/>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b/>
          <w:i/>
          <w:sz w:val="22"/>
          <w:szCs w:val="22"/>
        </w:rPr>
        <w:t xml:space="preserve">“Artículo 94. </w:t>
      </w:r>
      <w:r w:rsidRPr="003E2870">
        <w:rPr>
          <w:rFonts w:ascii="Palatino Linotype" w:eastAsia="Palatino Linotype" w:hAnsi="Palatino Linotype" w:cs="Palatino Linotype"/>
          <w:b/>
          <w:i/>
          <w:sz w:val="22"/>
          <w:szCs w:val="22"/>
          <w:u w:val="single"/>
        </w:rPr>
        <w:t>Se consideran ingresos por la prestación de un servicio personal subordinado</w:t>
      </w:r>
      <w:r w:rsidRPr="003E2870">
        <w:rPr>
          <w:rFonts w:ascii="Palatino Linotype" w:eastAsia="Palatino Linotype" w:hAnsi="Palatino Linotype" w:cs="Palatino Linotype"/>
          <w:i/>
          <w:sz w:val="22"/>
          <w:szCs w:val="22"/>
        </w:rPr>
        <w:t xml:space="preserve">, </w:t>
      </w:r>
      <w:r w:rsidRPr="003E2870">
        <w:rPr>
          <w:rFonts w:ascii="Palatino Linotype" w:eastAsia="Palatino Linotype" w:hAnsi="Palatino Linotype" w:cs="Palatino Linotype"/>
          <w:b/>
          <w:i/>
          <w:sz w:val="22"/>
          <w:szCs w:val="22"/>
        </w:rPr>
        <w:t>los salarios y demás prestaciones que deriven de una relación laboral</w:t>
      </w:r>
      <w:r w:rsidRPr="003E2870">
        <w:rPr>
          <w:rFonts w:ascii="Palatino Linotype" w:eastAsia="Palatino Linotype" w:hAnsi="Palatino Linotype" w:cs="Palatino Linotype"/>
          <w:i/>
          <w:sz w:val="22"/>
          <w:szCs w:val="22"/>
        </w:rPr>
        <w:t xml:space="preserve">, incluyendo </w:t>
      </w:r>
      <w:r w:rsidRPr="003E2870">
        <w:rPr>
          <w:rFonts w:ascii="Palatino Linotype" w:eastAsia="Palatino Linotype" w:hAnsi="Palatino Linotype" w:cs="Palatino Linotype"/>
          <w:b/>
          <w:i/>
          <w:sz w:val="22"/>
          <w:szCs w:val="22"/>
        </w:rPr>
        <w:t>la participación de los trabajadores en las utilidades de las empresas</w:t>
      </w:r>
      <w:r w:rsidRPr="003E2870">
        <w:rPr>
          <w:rFonts w:ascii="Palatino Linotype" w:eastAsia="Palatino Linotype" w:hAnsi="Palatino Linotype" w:cs="Palatino Linotype"/>
          <w:i/>
          <w:sz w:val="22"/>
          <w:szCs w:val="22"/>
        </w:rPr>
        <w:t xml:space="preserve"> y </w:t>
      </w:r>
      <w:r w:rsidRPr="003E2870">
        <w:rPr>
          <w:rFonts w:ascii="Palatino Linotype" w:eastAsia="Palatino Linotype" w:hAnsi="Palatino Linotype" w:cs="Palatino Linotype"/>
          <w:b/>
          <w:i/>
          <w:sz w:val="22"/>
          <w:szCs w:val="22"/>
        </w:rPr>
        <w:t>las prestaciones percibidas como consecuencia de la terminación de la relación laboral</w:t>
      </w:r>
      <w:r w:rsidRPr="003E2870">
        <w:rPr>
          <w:rFonts w:ascii="Palatino Linotype" w:eastAsia="Palatino Linotype" w:hAnsi="Palatino Linotype" w:cs="Palatino Linotype"/>
          <w:i/>
          <w:sz w:val="22"/>
          <w:szCs w:val="22"/>
        </w:rPr>
        <w:t xml:space="preserve">. Para los efectos de este impuesto, </w:t>
      </w:r>
      <w:r w:rsidRPr="003E2870">
        <w:rPr>
          <w:rFonts w:ascii="Palatino Linotype" w:eastAsia="Palatino Linotype" w:hAnsi="Palatino Linotype" w:cs="Palatino Linotype"/>
          <w:b/>
          <w:i/>
          <w:sz w:val="22"/>
          <w:szCs w:val="22"/>
        </w:rPr>
        <w:t xml:space="preserve">se asimilan a estos ingresos </w:t>
      </w:r>
      <w:r w:rsidRPr="003E2870">
        <w:rPr>
          <w:rFonts w:ascii="Palatino Linotype" w:eastAsia="Palatino Linotype" w:hAnsi="Palatino Linotype" w:cs="Palatino Linotype"/>
          <w:i/>
          <w:sz w:val="22"/>
          <w:szCs w:val="22"/>
        </w:rPr>
        <w:t>los siguientes:</w:t>
      </w:r>
    </w:p>
    <w:p w14:paraId="256CA62A" w14:textId="77777777" w:rsidR="002128E2" w:rsidRPr="003E2870" w:rsidRDefault="00830CED">
      <w:pPr>
        <w:tabs>
          <w:tab w:val="left" w:pos="7938"/>
        </w:tabs>
        <w:spacing w:before="120" w:after="120"/>
        <w:ind w:left="567" w:right="902"/>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b/>
          <w:i/>
          <w:sz w:val="22"/>
          <w:szCs w:val="22"/>
        </w:rPr>
        <w:t>I. Las remuneraciones y demás prestaciones, obtenidas por los funcionarios y trabajadores de</w:t>
      </w:r>
      <w:r w:rsidRPr="003E2870">
        <w:rPr>
          <w:rFonts w:ascii="Palatino Linotype" w:eastAsia="Palatino Linotype" w:hAnsi="Palatino Linotype" w:cs="Palatino Linotype"/>
          <w:i/>
          <w:sz w:val="22"/>
          <w:szCs w:val="22"/>
        </w:rPr>
        <w:t xml:space="preserve"> la Federación, de las entidades federativas y de </w:t>
      </w:r>
      <w:r w:rsidRPr="003E2870">
        <w:rPr>
          <w:rFonts w:ascii="Palatino Linotype" w:eastAsia="Palatino Linotype" w:hAnsi="Palatino Linotype" w:cs="Palatino Linotype"/>
          <w:b/>
          <w:i/>
          <w:sz w:val="22"/>
          <w:szCs w:val="22"/>
        </w:rPr>
        <w:t>los municipios</w:t>
      </w:r>
      <w:r w:rsidRPr="003E2870">
        <w:rPr>
          <w:rFonts w:ascii="Palatino Linotype" w:eastAsia="Palatino Linotype" w:hAnsi="Palatino Linotype" w:cs="Palatino Linotype"/>
          <w:i/>
          <w:sz w:val="22"/>
          <w:szCs w:val="22"/>
        </w:rPr>
        <w:t>, aun cuando sean por concepto de gastos no sujetos a comprobación, así como los obtenidos por los miembros de las fuerzas armadas.</w:t>
      </w:r>
    </w:p>
    <w:p w14:paraId="542F4DA2" w14:textId="77777777" w:rsidR="002128E2" w:rsidRPr="003E2870" w:rsidRDefault="00830CED">
      <w:pPr>
        <w:tabs>
          <w:tab w:val="left" w:pos="7938"/>
        </w:tabs>
        <w:spacing w:before="120" w:after="120"/>
        <w:ind w:left="567" w:right="902"/>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i/>
          <w:sz w:val="22"/>
          <w:szCs w:val="22"/>
        </w:rPr>
        <w:t>(…)</w:t>
      </w:r>
    </w:p>
    <w:p w14:paraId="35C2186B" w14:textId="77777777" w:rsidR="002128E2" w:rsidRPr="003E2870" w:rsidRDefault="00830CED">
      <w:pPr>
        <w:tabs>
          <w:tab w:val="left" w:pos="7938"/>
        </w:tabs>
        <w:spacing w:before="120" w:after="120"/>
        <w:ind w:left="567" w:right="902"/>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b/>
          <w:i/>
          <w:sz w:val="22"/>
          <w:szCs w:val="22"/>
        </w:rPr>
        <w:t>IV.</w:t>
      </w:r>
      <w:r w:rsidRPr="003E2870">
        <w:rPr>
          <w:rFonts w:ascii="Palatino Linotype" w:eastAsia="Palatino Linotype" w:hAnsi="Palatino Linotype" w:cs="Palatino Linotype"/>
          <w:i/>
          <w:sz w:val="22"/>
          <w:szCs w:val="22"/>
        </w:rPr>
        <w:t xml:space="preserve"> </w:t>
      </w:r>
      <w:r w:rsidRPr="003E2870">
        <w:rPr>
          <w:rFonts w:ascii="Palatino Linotype" w:eastAsia="Palatino Linotype" w:hAnsi="Palatino Linotype" w:cs="Palatino Linotype"/>
          <w:b/>
          <w:i/>
          <w:sz w:val="22"/>
          <w:szCs w:val="22"/>
        </w:rPr>
        <w:t>Los honorarios a personas que presten servicios preponderantemente a un prestatario</w:t>
      </w:r>
      <w:r w:rsidRPr="003E2870">
        <w:rPr>
          <w:rFonts w:ascii="Palatino Linotype" w:eastAsia="Palatino Linotype" w:hAnsi="Palatino Linotype" w:cs="Palatino Linotype"/>
          <w:i/>
          <w:sz w:val="22"/>
          <w:szCs w:val="22"/>
        </w:rPr>
        <w:t xml:space="preserve">, siempre que los mismos se lleven a cabo </w:t>
      </w:r>
      <w:r w:rsidRPr="003E2870">
        <w:rPr>
          <w:rFonts w:ascii="Palatino Linotype" w:eastAsia="Palatino Linotype" w:hAnsi="Palatino Linotype" w:cs="Palatino Linotype"/>
          <w:b/>
          <w:i/>
          <w:sz w:val="22"/>
          <w:szCs w:val="22"/>
        </w:rPr>
        <w:t>en las instalaciones de este último</w:t>
      </w:r>
      <w:r w:rsidRPr="003E2870">
        <w:rPr>
          <w:rFonts w:ascii="Palatino Linotype" w:eastAsia="Palatino Linotype" w:hAnsi="Palatino Linotype" w:cs="Palatino Linotype"/>
          <w:sz w:val="22"/>
          <w:szCs w:val="22"/>
        </w:rPr>
        <w:t>.</w:t>
      </w:r>
    </w:p>
    <w:p w14:paraId="722F8F2B" w14:textId="77777777" w:rsidR="002128E2" w:rsidRPr="003E2870" w:rsidRDefault="00830CED">
      <w:pPr>
        <w:tabs>
          <w:tab w:val="left" w:pos="7938"/>
        </w:tabs>
        <w:spacing w:before="120" w:after="120"/>
        <w:ind w:left="567" w:right="902"/>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b/>
          <w:i/>
          <w:sz w:val="22"/>
          <w:szCs w:val="22"/>
        </w:rPr>
        <w:t xml:space="preserve">Artículo 96. </w:t>
      </w:r>
      <w:r w:rsidRPr="003E2870">
        <w:rPr>
          <w:rFonts w:ascii="Palatino Linotype" w:eastAsia="Palatino Linotype" w:hAnsi="Palatino Linotype" w:cs="Palatino Linotype"/>
          <w:b/>
          <w:i/>
          <w:sz w:val="22"/>
          <w:szCs w:val="22"/>
          <w:u w:val="single"/>
        </w:rPr>
        <w:t>Quienes hagan pagos por los conceptos a que se refiere este Capítulo están obligados a efectuar retenciones y enteros mensuales</w:t>
      </w:r>
      <w:r w:rsidRPr="003E2870">
        <w:rPr>
          <w:rFonts w:ascii="Palatino Linotype" w:eastAsia="Palatino Linotype" w:hAnsi="Palatino Linotype" w:cs="Palatino Linotype"/>
          <w:i/>
          <w:sz w:val="22"/>
          <w:szCs w:val="22"/>
          <w:u w:val="single"/>
        </w:rPr>
        <w:t xml:space="preserve"> </w:t>
      </w:r>
      <w:r w:rsidRPr="003E2870">
        <w:rPr>
          <w:rFonts w:ascii="Palatino Linotype" w:eastAsia="Palatino Linotype" w:hAnsi="Palatino Linotype" w:cs="Palatino Linotype"/>
          <w:i/>
          <w:sz w:val="22"/>
          <w:szCs w:val="22"/>
        </w:rPr>
        <w:t>que tendrán el carácter de pagos provisionales a cuenta del impuesto anual. No se efectuará retención a las personas que en el mes únicamente perciban un salario mínimo general correspondiente al área geográfica del contribuyente.</w:t>
      </w:r>
    </w:p>
    <w:p w14:paraId="25945DB5" w14:textId="77777777" w:rsidR="002128E2" w:rsidRPr="003E2870" w:rsidRDefault="00830CED">
      <w:pPr>
        <w:tabs>
          <w:tab w:val="left" w:pos="7938"/>
        </w:tabs>
        <w:spacing w:before="120" w:after="120"/>
        <w:ind w:left="567" w:right="902"/>
        <w:jc w:val="both"/>
        <w:rPr>
          <w:rFonts w:ascii="Palatino Linotype" w:eastAsia="Palatino Linotype" w:hAnsi="Palatino Linotype" w:cs="Palatino Linotype"/>
          <w:b/>
          <w:i/>
          <w:sz w:val="22"/>
          <w:szCs w:val="22"/>
        </w:rPr>
      </w:pPr>
      <w:r w:rsidRPr="003E2870">
        <w:rPr>
          <w:rFonts w:ascii="Palatino Linotype" w:eastAsia="Palatino Linotype" w:hAnsi="Palatino Linotype" w:cs="Palatino Linotype"/>
          <w:b/>
          <w:i/>
          <w:sz w:val="22"/>
          <w:szCs w:val="22"/>
        </w:rPr>
        <w:t>…</w:t>
      </w:r>
    </w:p>
    <w:p w14:paraId="47DBB09C" w14:textId="77777777" w:rsidR="002128E2" w:rsidRPr="003E2870" w:rsidRDefault="00830CED">
      <w:pPr>
        <w:tabs>
          <w:tab w:val="left" w:pos="7938"/>
        </w:tabs>
        <w:spacing w:before="120" w:after="120"/>
        <w:ind w:left="567" w:right="902"/>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b/>
          <w:i/>
          <w:sz w:val="22"/>
          <w:szCs w:val="22"/>
        </w:rPr>
        <w:t>Artículo 97</w:t>
      </w:r>
      <w:r w:rsidRPr="003E2870">
        <w:rPr>
          <w:rFonts w:ascii="Palatino Linotype" w:eastAsia="Palatino Linotype" w:hAnsi="Palatino Linotype" w:cs="Palatino Linotype"/>
          <w:i/>
          <w:sz w:val="22"/>
          <w:szCs w:val="22"/>
        </w:rPr>
        <w:t>. Las personas obligadas a efectuar retenciones en los términos del artículo 96 de esta Ley, calcularán el impuesto anual de cada persona que le hubiere prestado servicios personales subordinados.</w:t>
      </w:r>
    </w:p>
    <w:p w14:paraId="521331EE" w14:textId="77777777" w:rsidR="002128E2" w:rsidRPr="003E2870" w:rsidRDefault="00830CED">
      <w:pPr>
        <w:tabs>
          <w:tab w:val="left" w:pos="7938"/>
        </w:tabs>
        <w:spacing w:before="120" w:after="120"/>
        <w:ind w:left="567" w:right="902"/>
        <w:jc w:val="both"/>
        <w:rPr>
          <w:rFonts w:ascii="Palatino Linotype" w:eastAsia="Palatino Linotype" w:hAnsi="Palatino Linotype" w:cs="Palatino Linotype"/>
          <w:b/>
          <w:i/>
          <w:sz w:val="22"/>
          <w:szCs w:val="22"/>
        </w:rPr>
      </w:pPr>
      <w:r w:rsidRPr="003E2870">
        <w:rPr>
          <w:rFonts w:ascii="Palatino Linotype" w:eastAsia="Palatino Linotype" w:hAnsi="Palatino Linotype" w:cs="Palatino Linotype"/>
          <w:b/>
          <w:i/>
          <w:sz w:val="22"/>
          <w:szCs w:val="22"/>
        </w:rPr>
        <w:t>…</w:t>
      </w:r>
    </w:p>
    <w:p w14:paraId="456F4875" w14:textId="77777777" w:rsidR="002128E2" w:rsidRPr="003E2870" w:rsidRDefault="00830CED">
      <w:pPr>
        <w:tabs>
          <w:tab w:val="left" w:pos="7938"/>
        </w:tabs>
        <w:spacing w:before="120" w:after="120"/>
        <w:ind w:left="567" w:right="902"/>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b/>
          <w:i/>
          <w:sz w:val="22"/>
          <w:szCs w:val="22"/>
        </w:rPr>
        <w:t>Artículo 99.</w:t>
      </w:r>
      <w:r w:rsidRPr="003E2870">
        <w:rPr>
          <w:rFonts w:ascii="Palatino Linotype" w:eastAsia="Palatino Linotype" w:hAnsi="Palatino Linotype" w:cs="Palatino Linotype"/>
          <w:i/>
          <w:sz w:val="22"/>
          <w:szCs w:val="22"/>
        </w:rPr>
        <w:t xml:space="preserve"> Quienes hagan pagos por los conceptos a que se refiere este Capítulo, tendrán las siguientes obligaciones: </w:t>
      </w:r>
    </w:p>
    <w:p w14:paraId="593B97E7" w14:textId="77777777" w:rsidR="002128E2" w:rsidRPr="003E2870" w:rsidRDefault="00830CED">
      <w:pPr>
        <w:tabs>
          <w:tab w:val="left" w:pos="7938"/>
        </w:tabs>
        <w:spacing w:before="120" w:after="120"/>
        <w:ind w:left="567" w:right="902"/>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b/>
          <w:i/>
          <w:sz w:val="22"/>
          <w:szCs w:val="22"/>
        </w:rPr>
        <w:t xml:space="preserve">I. Efectuar las retenciones </w:t>
      </w:r>
      <w:r w:rsidRPr="003E2870">
        <w:rPr>
          <w:rFonts w:ascii="Palatino Linotype" w:eastAsia="Palatino Linotype" w:hAnsi="Palatino Linotype" w:cs="Palatino Linotype"/>
          <w:i/>
          <w:sz w:val="22"/>
          <w:szCs w:val="22"/>
        </w:rPr>
        <w:t>señaladas en el artículo 96 de esta Ley.</w:t>
      </w:r>
    </w:p>
    <w:p w14:paraId="5E3F6C3B" w14:textId="77777777" w:rsidR="002128E2" w:rsidRPr="003E2870" w:rsidRDefault="00830CED">
      <w:pPr>
        <w:tabs>
          <w:tab w:val="left" w:pos="7938"/>
        </w:tabs>
        <w:spacing w:before="120" w:after="120"/>
        <w:ind w:left="567" w:right="902"/>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i/>
          <w:sz w:val="22"/>
          <w:szCs w:val="22"/>
        </w:rPr>
        <w:t>…</w:t>
      </w:r>
    </w:p>
    <w:p w14:paraId="4228022E" w14:textId="77777777" w:rsidR="002128E2" w:rsidRPr="003E2870" w:rsidRDefault="00830CED">
      <w:pPr>
        <w:tabs>
          <w:tab w:val="left" w:pos="7938"/>
        </w:tabs>
        <w:spacing w:before="120" w:after="120"/>
        <w:ind w:left="567" w:right="902"/>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b/>
          <w:i/>
          <w:sz w:val="22"/>
          <w:szCs w:val="22"/>
        </w:rPr>
        <w:t>III.</w:t>
      </w:r>
      <w:r w:rsidRPr="003E2870">
        <w:rPr>
          <w:rFonts w:ascii="Palatino Linotype" w:eastAsia="Palatino Linotype" w:hAnsi="Palatino Linotype" w:cs="Palatino Linotype"/>
          <w:i/>
          <w:sz w:val="22"/>
          <w:szCs w:val="22"/>
        </w:rPr>
        <w:t xml:space="preserve"> </w:t>
      </w:r>
      <w:r w:rsidRPr="003E2870">
        <w:rPr>
          <w:rFonts w:ascii="Palatino Linotype" w:eastAsia="Palatino Linotype" w:hAnsi="Palatino Linotype" w:cs="Palatino Linotype"/>
          <w:b/>
          <w:i/>
          <w:sz w:val="22"/>
          <w:szCs w:val="22"/>
        </w:rPr>
        <w:t>Expedir y entregar comprobantes fiscales</w:t>
      </w:r>
      <w:r w:rsidRPr="003E2870">
        <w:rPr>
          <w:rFonts w:ascii="Palatino Linotype" w:eastAsia="Palatino Linotype" w:hAnsi="Palatino Linotype" w:cs="Palatino Linotype"/>
          <w:i/>
          <w:sz w:val="22"/>
          <w:szCs w:val="22"/>
        </w:rPr>
        <w:t xml:space="preserve"> a las personas que reciban pagos por los conceptos a que se refiere este Capítulo, </w:t>
      </w:r>
      <w:r w:rsidRPr="003E2870">
        <w:rPr>
          <w:rFonts w:ascii="Palatino Linotype" w:eastAsia="Palatino Linotype" w:hAnsi="Palatino Linotype" w:cs="Palatino Linotype"/>
          <w:b/>
          <w:i/>
          <w:sz w:val="22"/>
          <w:szCs w:val="22"/>
        </w:rPr>
        <w:t>en la fecha en que se realice la erogación correspondiente</w:t>
      </w:r>
      <w:r w:rsidRPr="003E2870">
        <w:rPr>
          <w:rFonts w:ascii="Palatino Linotype" w:eastAsia="Palatino Linotype" w:hAnsi="Palatino Linotype" w:cs="Palatino Linotype"/>
          <w:i/>
          <w:sz w:val="22"/>
          <w:szCs w:val="22"/>
        </w:rPr>
        <w:t xml:space="preserve">, los cuales podrán utilizarse como constancia o recibo de pago para efectos de la legislación laboral a que se refieren los artículos 132 </w:t>
      </w:r>
      <w:r w:rsidRPr="003E2870">
        <w:rPr>
          <w:rFonts w:ascii="Palatino Linotype" w:eastAsia="Palatino Linotype" w:hAnsi="Palatino Linotype" w:cs="Palatino Linotype"/>
          <w:i/>
          <w:sz w:val="22"/>
          <w:szCs w:val="22"/>
        </w:rPr>
        <w:lastRenderedPageBreak/>
        <w:t>fracciones VII y VIII, y 804, primer párrafo, fracciones II y IV, de la Ley Federal de Trabajo.”</w:t>
      </w:r>
    </w:p>
    <w:p w14:paraId="13E86406" w14:textId="77777777" w:rsidR="002128E2" w:rsidRPr="003E2870" w:rsidRDefault="00830CED">
      <w:pPr>
        <w:spacing w:before="240"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 xml:space="preserve">No obsta mencionar que los pagos, que a su vez sean ingresos en los términos del Capítulo I De los ingresos por salarios y en general por la prestación de un servicio personal subordinado, del Título IV De las personas  físicas, de la Ley del Impuesto Sobre la Renta, se podrán deducir, para lo cual </w:t>
      </w:r>
      <w:r w:rsidRPr="003E2870">
        <w:rPr>
          <w:rFonts w:ascii="Palatino Linotype" w:eastAsia="Palatino Linotype" w:hAnsi="Palatino Linotype" w:cs="Palatino Linotype"/>
          <w:b/>
          <w:sz w:val="22"/>
          <w:szCs w:val="22"/>
        </w:rPr>
        <w:t>las erogaciones por concepto de remuneración, las retenciones correspondientes y las deducciones del impuesto local por salarios y, en general, por la prestación de un servicio personal independiente</w:t>
      </w:r>
      <w:r w:rsidRPr="003E2870">
        <w:rPr>
          <w:rFonts w:ascii="Palatino Linotype" w:eastAsia="Palatino Linotype" w:hAnsi="Palatino Linotype" w:cs="Palatino Linotype"/>
          <w:sz w:val="22"/>
          <w:szCs w:val="22"/>
        </w:rPr>
        <w:t xml:space="preserve">, </w:t>
      </w:r>
      <w:r w:rsidRPr="003E2870">
        <w:rPr>
          <w:rFonts w:ascii="Palatino Linotype" w:eastAsia="Palatino Linotype" w:hAnsi="Palatino Linotype" w:cs="Palatino Linotype"/>
          <w:b/>
          <w:sz w:val="22"/>
          <w:szCs w:val="22"/>
          <w:u w:val="single"/>
        </w:rPr>
        <w:t>deben constar en comprobantes fiscales</w:t>
      </w:r>
      <w:r w:rsidRPr="003E2870">
        <w:rPr>
          <w:rFonts w:ascii="Palatino Linotype" w:eastAsia="Palatino Linotype" w:hAnsi="Palatino Linotype" w:cs="Palatino Linotype"/>
          <w:sz w:val="22"/>
          <w:szCs w:val="22"/>
        </w:rPr>
        <w:t xml:space="preserve"> emitidos en términos del Código Fiscal de la Federación, además del cumplimiento de las obligaciones y disposiciones que la Ley del Impuesto Sobre la Renta establezcan al respecto, como se desprende el artículo 27, fracción V, de la referida Ley, que en su parte conducente señala lo siguiente:</w:t>
      </w:r>
    </w:p>
    <w:p w14:paraId="5551EE54" w14:textId="77777777" w:rsidR="002128E2" w:rsidRPr="003E2870" w:rsidRDefault="00830CED">
      <w:pPr>
        <w:spacing w:before="120" w:after="120"/>
        <w:ind w:left="567" w:right="902"/>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b/>
          <w:i/>
          <w:sz w:val="22"/>
          <w:szCs w:val="22"/>
        </w:rPr>
        <w:t>“Artículo 27</w:t>
      </w:r>
      <w:r w:rsidRPr="003E2870">
        <w:rPr>
          <w:rFonts w:ascii="Palatino Linotype" w:eastAsia="Palatino Linotype" w:hAnsi="Palatino Linotype" w:cs="Palatino Linotype"/>
          <w:i/>
          <w:sz w:val="22"/>
          <w:szCs w:val="22"/>
        </w:rPr>
        <w:t>. Las deducciones autorizadas en este Título deberán reunir los siguientes requisitos:</w:t>
      </w:r>
    </w:p>
    <w:p w14:paraId="4330F68A" w14:textId="77777777" w:rsidR="002128E2" w:rsidRPr="003E2870" w:rsidRDefault="00830CED">
      <w:pPr>
        <w:spacing w:before="120" w:after="120"/>
        <w:ind w:left="567" w:right="902"/>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i/>
          <w:sz w:val="22"/>
          <w:szCs w:val="22"/>
        </w:rPr>
        <w:t>…</w:t>
      </w:r>
    </w:p>
    <w:p w14:paraId="486EE6CC" w14:textId="77777777" w:rsidR="002128E2" w:rsidRPr="003E2870" w:rsidRDefault="00830CED">
      <w:pPr>
        <w:spacing w:before="120" w:after="120"/>
        <w:ind w:left="567" w:right="902"/>
        <w:jc w:val="both"/>
        <w:rPr>
          <w:rFonts w:ascii="Palatino Linotype" w:eastAsia="Palatino Linotype" w:hAnsi="Palatino Linotype" w:cs="Palatino Linotype"/>
          <w:b/>
          <w:i/>
          <w:sz w:val="22"/>
          <w:szCs w:val="22"/>
        </w:rPr>
      </w:pPr>
      <w:r w:rsidRPr="003E2870">
        <w:rPr>
          <w:rFonts w:ascii="Palatino Linotype" w:eastAsia="Palatino Linotype" w:hAnsi="Palatino Linotype" w:cs="Palatino Linotype"/>
          <w:b/>
          <w:i/>
          <w:sz w:val="22"/>
          <w:szCs w:val="22"/>
        </w:rPr>
        <w:t>V…</w:t>
      </w:r>
    </w:p>
    <w:p w14:paraId="6198F1B4" w14:textId="77777777" w:rsidR="002128E2" w:rsidRPr="003E2870" w:rsidRDefault="00830CED">
      <w:pPr>
        <w:spacing w:before="120" w:after="120"/>
        <w:ind w:left="567" w:right="902"/>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i/>
          <w:sz w:val="22"/>
          <w:szCs w:val="22"/>
        </w:rPr>
        <w:t xml:space="preserve">Los pagos que a la vez sean ingresos en los términos del Capítulo I del Título IV, de esta Ley, </w:t>
      </w:r>
      <w:r w:rsidRPr="003E2870">
        <w:rPr>
          <w:rFonts w:ascii="Palatino Linotype" w:eastAsia="Palatino Linotype" w:hAnsi="Palatino Linotype" w:cs="Palatino Linotype"/>
          <w:b/>
          <w:i/>
          <w:sz w:val="22"/>
          <w:szCs w:val="22"/>
        </w:rPr>
        <w:t xml:space="preserve">se podrán deducir siempre que las erogaciones por concepto de remuneración, las retenciones correspondientes y las deducciones del impuesto local por salarios y, en general, por la prestación de un servicio personal independiente, </w:t>
      </w:r>
      <w:r w:rsidRPr="003E2870">
        <w:rPr>
          <w:rFonts w:ascii="Palatino Linotype" w:eastAsia="Palatino Linotype" w:hAnsi="Palatino Linotype" w:cs="Palatino Linotype"/>
          <w:b/>
          <w:i/>
          <w:sz w:val="22"/>
          <w:szCs w:val="22"/>
          <w:u w:val="single"/>
        </w:rPr>
        <w:t>consten en comprobantes fiscales emitidos en términos del Código Fiscal de la Federación</w:t>
      </w:r>
      <w:r w:rsidRPr="003E2870">
        <w:rPr>
          <w:rFonts w:ascii="Palatino Linotype" w:eastAsia="Palatino Linotype" w:hAnsi="Palatino Linotype" w:cs="Palatino Linotype"/>
          <w:i/>
          <w:sz w:val="22"/>
          <w:szCs w:val="22"/>
        </w:rPr>
        <w:t xml:space="preserve"> y se cumpla con las obligaciones a que se refiere el artículo 99, fracciones I, II, III y V de la presente Ley, así como las disposiciones que, en su caso, regulen el subsidio para el empleo y los contribuyentes cumplan con la obligación de inscribir a los trabajadores en el Instituto Mexicano del Seguro Social cuando estén obligados a ello, en los términos de las leyes de seguridad social. “</w:t>
      </w:r>
    </w:p>
    <w:p w14:paraId="437D7F2D" w14:textId="77777777" w:rsidR="002128E2" w:rsidRPr="003E2870" w:rsidRDefault="00830CED">
      <w:pPr>
        <w:spacing w:before="240"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 xml:space="preserve">Con base en lo previo, los municipios, al estar obligados a realizar el pago a los servidores públicos por los servicios prestados, de conformidad con el artículo 71 de la Ley del Trabajo de los Servidores Públicos del Estado de México, están obligados a retener el Impuesto Sobre </w:t>
      </w:r>
      <w:r w:rsidRPr="003E2870">
        <w:rPr>
          <w:rFonts w:ascii="Palatino Linotype" w:eastAsia="Palatino Linotype" w:hAnsi="Palatino Linotype" w:cs="Palatino Linotype"/>
          <w:sz w:val="22"/>
          <w:szCs w:val="22"/>
        </w:rPr>
        <w:lastRenderedPageBreak/>
        <w:t>la Renta y enterarlo a más tardar el día 17 del mes inmediato posterior a aquel que corresponda el pago, al Servicio de Administración Tributaria, SAT, al ser la dependencia que se encarga de la recaudación, impuestos y la vigilancia del cumplimiento de las obligaciones fiscales por parte de los contribuyentes.</w:t>
      </w:r>
    </w:p>
    <w:p w14:paraId="4084B3B2" w14:textId="77777777" w:rsidR="002128E2" w:rsidRPr="003E2870" w:rsidRDefault="00830CED">
      <w:pPr>
        <w:spacing w:before="240"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Para tales efectos, la entidad retenedora –el municipio-, debe entregar un comprobante fiscal que ampare las respectivas retenciones conforme a lo establecido en los artículos 29 párrafo primero y 32-G fracción I del Código Fiscal de la Federación, a saber:</w:t>
      </w:r>
    </w:p>
    <w:p w14:paraId="3DEE7F0B" w14:textId="77777777" w:rsidR="002128E2" w:rsidRPr="003E2870" w:rsidRDefault="00830CED">
      <w:pPr>
        <w:spacing w:before="120" w:after="120"/>
        <w:ind w:left="567" w:right="900"/>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b/>
          <w:i/>
          <w:sz w:val="22"/>
          <w:szCs w:val="22"/>
        </w:rPr>
        <w:t>“Artículo 29.</w:t>
      </w:r>
      <w:r w:rsidRPr="003E2870">
        <w:rPr>
          <w:rFonts w:ascii="Palatino Linotype" w:eastAsia="Palatino Linotype" w:hAnsi="Palatino Linotype" w:cs="Palatino Linotype"/>
          <w:i/>
          <w:sz w:val="22"/>
          <w:szCs w:val="22"/>
        </w:rPr>
        <w:t xml:space="preserve"> </w:t>
      </w:r>
      <w:r w:rsidRPr="003E2870">
        <w:rPr>
          <w:rFonts w:ascii="Palatino Linotype" w:eastAsia="Palatino Linotype" w:hAnsi="Palatino Linotype" w:cs="Palatino Linotype"/>
          <w:b/>
          <w:i/>
          <w:sz w:val="22"/>
          <w:szCs w:val="22"/>
        </w:rPr>
        <w:t xml:space="preserve">Cuando las leyes fiscales </w:t>
      </w:r>
      <w:r w:rsidRPr="003E2870">
        <w:rPr>
          <w:rFonts w:ascii="Palatino Linotype" w:eastAsia="Palatino Linotype" w:hAnsi="Palatino Linotype" w:cs="Palatino Linotype"/>
          <w:b/>
          <w:i/>
          <w:sz w:val="22"/>
          <w:szCs w:val="22"/>
          <w:u w:val="single"/>
        </w:rPr>
        <w:t>establezcan la obligación de expedir comprobantes fiscales</w:t>
      </w:r>
      <w:r w:rsidRPr="003E2870">
        <w:rPr>
          <w:rFonts w:ascii="Palatino Linotype" w:eastAsia="Palatino Linotype" w:hAnsi="Palatino Linotype" w:cs="Palatino Linotype"/>
          <w:b/>
          <w:i/>
          <w:sz w:val="22"/>
          <w:szCs w:val="22"/>
        </w:rPr>
        <w:t xml:space="preserve"> por los actos o actividades que realicen, por los ingresos que se perciban o por las retenciones de contribuciones que efectúen</w:t>
      </w:r>
      <w:r w:rsidRPr="003E2870">
        <w:rPr>
          <w:rFonts w:ascii="Palatino Linotype" w:eastAsia="Palatino Linotype" w:hAnsi="Palatino Linotype" w:cs="Palatino Linotype"/>
          <w:i/>
          <w:sz w:val="22"/>
          <w:szCs w:val="22"/>
        </w:rPr>
        <w:t xml:space="preserve">, </w:t>
      </w:r>
      <w:r w:rsidRPr="003E2870">
        <w:rPr>
          <w:rFonts w:ascii="Palatino Linotype" w:eastAsia="Palatino Linotype" w:hAnsi="Palatino Linotype" w:cs="Palatino Linotype"/>
          <w:i/>
          <w:sz w:val="22"/>
          <w:szCs w:val="22"/>
          <w:u w:val="single"/>
        </w:rPr>
        <w:t>l</w:t>
      </w:r>
      <w:r w:rsidRPr="003E2870">
        <w:rPr>
          <w:rFonts w:ascii="Palatino Linotype" w:eastAsia="Palatino Linotype" w:hAnsi="Palatino Linotype" w:cs="Palatino Linotype"/>
          <w:b/>
          <w:i/>
          <w:sz w:val="22"/>
          <w:szCs w:val="22"/>
          <w:u w:val="single"/>
        </w:rPr>
        <w:t>os contribuyentes deberán emitirlos mediante documentos digitales a través de la página de Internet del Servicio de Administración Tributaria</w:t>
      </w:r>
      <w:r w:rsidRPr="003E2870">
        <w:rPr>
          <w:rFonts w:ascii="Palatino Linotype" w:eastAsia="Palatino Linotype" w:hAnsi="Palatino Linotype" w:cs="Palatino Linotype"/>
          <w:i/>
          <w:sz w:val="22"/>
          <w:szCs w:val="22"/>
        </w:rPr>
        <w:t xml:space="preserve">. Las personas que adquieran bienes, disfruten de su uso o goce temporal, reciban servicios, realicen pagos parciales o diferidos que liquidan saldos de comprobantes fiscales digitales por Internet, o </w:t>
      </w:r>
      <w:r w:rsidRPr="003E2870">
        <w:rPr>
          <w:rFonts w:ascii="Palatino Linotype" w:eastAsia="Palatino Linotype" w:hAnsi="Palatino Linotype" w:cs="Palatino Linotype"/>
          <w:b/>
          <w:i/>
          <w:sz w:val="22"/>
          <w:szCs w:val="22"/>
        </w:rPr>
        <w:t xml:space="preserve">aquéllas a las que les hubieren retenido contribuciones deberán solicitar el comprobante fiscal digital por Internet respectivo. </w:t>
      </w:r>
      <w:r w:rsidRPr="003E2870">
        <w:rPr>
          <w:rFonts w:ascii="Palatino Linotype" w:eastAsia="Palatino Linotype" w:hAnsi="Palatino Linotype" w:cs="Palatino Linotype"/>
          <w:i/>
          <w:sz w:val="22"/>
          <w:szCs w:val="22"/>
        </w:rPr>
        <w:t>Los contribuyentes que exporten mercancías que no sean objeto de enajenación o cuya enajenación sea a título gratuito, deberán expedir el comprobante fiscal digital por Internet que ampare la operación.</w:t>
      </w:r>
    </w:p>
    <w:p w14:paraId="018C9880" w14:textId="77777777" w:rsidR="002128E2" w:rsidRPr="003E2870" w:rsidRDefault="00830CED">
      <w:pPr>
        <w:ind w:left="567" w:right="567"/>
        <w:jc w:val="both"/>
        <w:rPr>
          <w:rFonts w:ascii="Palatino Linotype" w:eastAsia="Palatino Linotype" w:hAnsi="Palatino Linotype" w:cs="Palatino Linotype"/>
          <w:b/>
          <w:i/>
          <w:sz w:val="22"/>
          <w:szCs w:val="22"/>
        </w:rPr>
      </w:pPr>
      <w:r w:rsidRPr="003E2870">
        <w:rPr>
          <w:rFonts w:ascii="Palatino Linotype" w:eastAsia="Palatino Linotype" w:hAnsi="Palatino Linotype" w:cs="Palatino Linotype"/>
          <w:b/>
          <w:i/>
          <w:sz w:val="22"/>
          <w:szCs w:val="22"/>
        </w:rPr>
        <w:t>…</w:t>
      </w:r>
    </w:p>
    <w:p w14:paraId="09C30F44" w14:textId="77777777" w:rsidR="002128E2" w:rsidRPr="003E2870" w:rsidRDefault="00830CED">
      <w:pPr>
        <w:spacing w:before="120" w:after="120"/>
        <w:ind w:left="567" w:right="902"/>
        <w:jc w:val="both"/>
        <w:rPr>
          <w:rFonts w:ascii="Palatino Linotype" w:eastAsia="Palatino Linotype" w:hAnsi="Palatino Linotype" w:cs="Palatino Linotype"/>
          <w:b/>
          <w:i/>
          <w:sz w:val="22"/>
          <w:szCs w:val="22"/>
        </w:rPr>
      </w:pPr>
      <w:r w:rsidRPr="003E2870">
        <w:rPr>
          <w:rFonts w:ascii="Palatino Linotype" w:eastAsia="Palatino Linotype" w:hAnsi="Palatino Linotype" w:cs="Palatino Linotype"/>
          <w:b/>
          <w:i/>
          <w:sz w:val="22"/>
          <w:szCs w:val="22"/>
        </w:rPr>
        <w:t>Artículo 32-G.</w:t>
      </w:r>
      <w:r w:rsidRPr="003E2870">
        <w:rPr>
          <w:rFonts w:ascii="Palatino Linotype" w:eastAsia="Palatino Linotype" w:hAnsi="Palatino Linotype" w:cs="Palatino Linotype"/>
          <w:i/>
          <w:sz w:val="22"/>
          <w:szCs w:val="22"/>
        </w:rPr>
        <w:t xml:space="preserve"> La Federación, las Entidades Federativas, el Distrito Federal, y sus Organismos Descentralizados, así como </w:t>
      </w:r>
      <w:r w:rsidRPr="003E2870">
        <w:rPr>
          <w:rFonts w:ascii="Palatino Linotype" w:eastAsia="Palatino Linotype" w:hAnsi="Palatino Linotype" w:cs="Palatino Linotype"/>
          <w:b/>
          <w:i/>
          <w:sz w:val="22"/>
          <w:szCs w:val="22"/>
        </w:rPr>
        <w:t>los Municipios,</w:t>
      </w:r>
      <w:r w:rsidRPr="003E2870">
        <w:rPr>
          <w:rFonts w:ascii="Palatino Linotype" w:eastAsia="Palatino Linotype" w:hAnsi="Palatino Linotype" w:cs="Palatino Linotype"/>
          <w:i/>
          <w:sz w:val="22"/>
          <w:szCs w:val="22"/>
        </w:rPr>
        <w:t xml:space="preserve"> </w:t>
      </w:r>
      <w:r w:rsidRPr="003E2870">
        <w:rPr>
          <w:rFonts w:ascii="Palatino Linotype" w:eastAsia="Palatino Linotype" w:hAnsi="Palatino Linotype" w:cs="Palatino Linotype"/>
          <w:b/>
          <w:i/>
          <w:sz w:val="22"/>
          <w:szCs w:val="22"/>
        </w:rPr>
        <w:t xml:space="preserve">tendrán la </w:t>
      </w:r>
      <w:r w:rsidRPr="003E2870">
        <w:rPr>
          <w:rFonts w:ascii="Palatino Linotype" w:eastAsia="Palatino Linotype" w:hAnsi="Palatino Linotype" w:cs="Palatino Linotype"/>
          <w:b/>
          <w:i/>
          <w:sz w:val="22"/>
          <w:szCs w:val="22"/>
          <w:u w:val="single"/>
        </w:rPr>
        <w:t>obligación de presentar ante las autoridades fiscales</w:t>
      </w:r>
      <w:r w:rsidRPr="003E2870">
        <w:rPr>
          <w:rFonts w:ascii="Palatino Linotype" w:eastAsia="Palatino Linotype" w:hAnsi="Palatino Linotype" w:cs="Palatino Linotype"/>
          <w:b/>
          <w:i/>
          <w:sz w:val="22"/>
          <w:szCs w:val="22"/>
        </w:rPr>
        <w:t>, a través de los medios y formatos electrónicos que señale el Servicio de Administración, la información relativa a:</w:t>
      </w:r>
    </w:p>
    <w:p w14:paraId="1B2D4FFD" w14:textId="77777777" w:rsidR="002128E2" w:rsidRPr="003E2870" w:rsidRDefault="00830CED">
      <w:pPr>
        <w:spacing w:before="120" w:after="120"/>
        <w:ind w:left="567" w:right="902"/>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b/>
          <w:i/>
          <w:sz w:val="22"/>
          <w:szCs w:val="22"/>
        </w:rPr>
        <w:t>I</w:t>
      </w:r>
      <w:r w:rsidRPr="003E2870">
        <w:rPr>
          <w:rFonts w:ascii="Palatino Linotype" w:eastAsia="Palatino Linotype" w:hAnsi="Palatino Linotype" w:cs="Palatino Linotype"/>
          <w:i/>
          <w:sz w:val="22"/>
          <w:szCs w:val="22"/>
        </w:rPr>
        <w:t xml:space="preserve">. </w:t>
      </w:r>
      <w:r w:rsidRPr="003E2870">
        <w:rPr>
          <w:rFonts w:ascii="Palatino Linotype" w:eastAsia="Palatino Linotype" w:hAnsi="Palatino Linotype" w:cs="Palatino Linotype"/>
          <w:b/>
          <w:i/>
          <w:sz w:val="22"/>
          <w:szCs w:val="22"/>
        </w:rPr>
        <w:t xml:space="preserve">Las personas a las que en el mes inmediato anterior </w:t>
      </w:r>
      <w:r w:rsidRPr="003E2870">
        <w:rPr>
          <w:rFonts w:ascii="Palatino Linotype" w:eastAsia="Palatino Linotype" w:hAnsi="Palatino Linotype" w:cs="Palatino Linotype"/>
          <w:b/>
          <w:i/>
          <w:sz w:val="22"/>
          <w:szCs w:val="22"/>
          <w:u w:val="single"/>
        </w:rPr>
        <w:t>les hubieren efectuado retenciones de impuesto sobre la renta</w:t>
      </w:r>
      <w:r w:rsidRPr="003E2870">
        <w:rPr>
          <w:rFonts w:ascii="Palatino Linotype" w:eastAsia="Palatino Linotype" w:hAnsi="Palatino Linotype" w:cs="Palatino Linotype"/>
          <w:b/>
          <w:i/>
          <w:sz w:val="22"/>
          <w:szCs w:val="22"/>
        </w:rPr>
        <w:t>,</w:t>
      </w:r>
      <w:r w:rsidRPr="003E2870">
        <w:rPr>
          <w:rFonts w:ascii="Palatino Linotype" w:eastAsia="Palatino Linotype" w:hAnsi="Palatino Linotype" w:cs="Palatino Linotype"/>
          <w:i/>
          <w:sz w:val="22"/>
          <w:szCs w:val="22"/>
        </w:rPr>
        <w:t xml:space="preserve"> así como de los residentes en el extranjero a los que les hayan efectuado pagos de acuerdo con lo previsto en el Título V de la Ley del Impuesto sobre la Renta.”</w:t>
      </w:r>
    </w:p>
    <w:p w14:paraId="3462694D" w14:textId="77777777" w:rsidR="002128E2" w:rsidRPr="003E2870" w:rsidRDefault="00830CED">
      <w:pPr>
        <w:spacing w:before="240"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 xml:space="preserve">Ahora bien, para efecto de optimizar y agilizar la presentación de la Declaración Anual del Impuesto Sobre la Renta, el Servicio de Administración Tributaria, SAT, desarrollo los Visores de comprobantes de nómina tanto para el patrón como para el trabajador, que se </w:t>
      </w:r>
      <w:r w:rsidRPr="003E2870">
        <w:rPr>
          <w:rFonts w:ascii="Palatino Linotype" w:eastAsia="Palatino Linotype" w:hAnsi="Palatino Linotype" w:cs="Palatino Linotype"/>
          <w:sz w:val="22"/>
          <w:szCs w:val="22"/>
        </w:rPr>
        <w:lastRenderedPageBreak/>
        <w:t xml:space="preserve">constituyes como una herramienta en línea que permite a los trabajadores consultar los ingresos y retenciones por concepto de sueldos, salarios, asimilados a salarios y pagos por separación, manifestados al SAT por el patrón, a través de los </w:t>
      </w:r>
      <w:proofErr w:type="spellStart"/>
      <w:r w:rsidRPr="003E2870">
        <w:rPr>
          <w:rFonts w:ascii="Palatino Linotype" w:eastAsia="Palatino Linotype" w:hAnsi="Palatino Linotype" w:cs="Palatino Linotype"/>
          <w:sz w:val="22"/>
          <w:szCs w:val="22"/>
        </w:rPr>
        <w:t>CFDIs</w:t>
      </w:r>
      <w:proofErr w:type="spellEnd"/>
      <w:r w:rsidRPr="003E2870">
        <w:rPr>
          <w:rFonts w:ascii="Palatino Linotype" w:eastAsia="Palatino Linotype" w:hAnsi="Palatino Linotype" w:cs="Palatino Linotype"/>
          <w:sz w:val="22"/>
          <w:szCs w:val="22"/>
        </w:rPr>
        <w:t xml:space="preserve"> de nómina expedidos; y a los </w:t>
      </w:r>
      <w:r w:rsidRPr="003E2870">
        <w:rPr>
          <w:rFonts w:ascii="Palatino Linotype" w:eastAsia="Palatino Linotype" w:hAnsi="Palatino Linotype" w:cs="Palatino Linotype"/>
          <w:i/>
          <w:sz w:val="22"/>
          <w:szCs w:val="22"/>
        </w:rPr>
        <w:t>patrones</w:t>
      </w:r>
      <w:r w:rsidRPr="003E2870">
        <w:rPr>
          <w:rFonts w:ascii="Palatino Linotype" w:eastAsia="Palatino Linotype" w:hAnsi="Palatino Linotype" w:cs="Palatino Linotype"/>
          <w:sz w:val="22"/>
          <w:szCs w:val="22"/>
        </w:rPr>
        <w:t xml:space="preserve">, conocer oportunamente la información que será pre-llenada en la Declaración Anual para la deducción de nómina, consultar los pagos realizados de los trabajadores de forma acumulada, verificar la información de forma individual de cada uno de los empleados a los que se le haya expedido un </w:t>
      </w:r>
      <w:proofErr w:type="spellStart"/>
      <w:r w:rsidRPr="003E2870">
        <w:rPr>
          <w:rFonts w:ascii="Palatino Linotype" w:eastAsia="Palatino Linotype" w:hAnsi="Palatino Linotype" w:cs="Palatino Linotype"/>
          <w:sz w:val="22"/>
          <w:szCs w:val="22"/>
        </w:rPr>
        <w:t>CFDIs</w:t>
      </w:r>
      <w:proofErr w:type="spellEnd"/>
      <w:r w:rsidRPr="003E2870">
        <w:rPr>
          <w:rFonts w:ascii="Palatino Linotype" w:eastAsia="Palatino Linotype" w:hAnsi="Palatino Linotype" w:cs="Palatino Linotype"/>
          <w:sz w:val="22"/>
          <w:szCs w:val="22"/>
        </w:rPr>
        <w:t xml:space="preserve"> de nómina, identificar oportunamente errores en la información timbrada y en su caso corregirla, adicionalmente pueden realizarse conciliaciones del impuesto retenido de todos los trabajadores asentado en los comprobantes, contra el impuesto enterado en los pagos provisionales por concepto de ISR Retenciones por Sueldos y Salarios y de ISR Retenciones por Asimilados a Salarios, es decir, permite verificar que el ISR retenido o timbrado se haya enterado -pagado-.</w:t>
      </w:r>
    </w:p>
    <w:p w14:paraId="3E6E7CA3" w14:textId="77777777" w:rsidR="002128E2" w:rsidRPr="003E2870" w:rsidRDefault="00830CED">
      <w:pPr>
        <w:spacing w:before="240"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 xml:space="preserve">Atento a lo anterior, se colige que </w:t>
      </w:r>
      <w:r w:rsidRPr="003E2870">
        <w:rPr>
          <w:rFonts w:ascii="Palatino Linotype" w:eastAsia="Palatino Linotype" w:hAnsi="Palatino Linotype" w:cs="Palatino Linotype"/>
          <w:b/>
          <w:sz w:val="22"/>
          <w:szCs w:val="22"/>
          <w:u w:val="single"/>
        </w:rPr>
        <w:t>la información que requiere la persona solicitante</w:t>
      </w:r>
      <w:r w:rsidRPr="003E2870">
        <w:rPr>
          <w:rFonts w:ascii="Palatino Linotype" w:eastAsia="Palatino Linotype" w:hAnsi="Palatino Linotype" w:cs="Palatino Linotype"/>
          <w:b/>
          <w:sz w:val="22"/>
          <w:szCs w:val="22"/>
        </w:rPr>
        <w:t xml:space="preserve"> en el punto en estudio, </w:t>
      </w:r>
      <w:r w:rsidRPr="003E2870">
        <w:rPr>
          <w:rFonts w:ascii="Palatino Linotype" w:eastAsia="Palatino Linotype" w:hAnsi="Palatino Linotype" w:cs="Palatino Linotype"/>
          <w:b/>
          <w:sz w:val="22"/>
          <w:szCs w:val="22"/>
          <w:u w:val="single"/>
        </w:rPr>
        <w:t>se obtiene del Visor de comprobantes de nómina para el patrón</w:t>
      </w:r>
      <w:r w:rsidRPr="003E2870">
        <w:rPr>
          <w:rFonts w:ascii="Palatino Linotype" w:eastAsia="Palatino Linotype" w:hAnsi="Palatino Linotype" w:cs="Palatino Linotype"/>
          <w:sz w:val="22"/>
          <w:szCs w:val="22"/>
        </w:rPr>
        <w:t>, que se localiza en el portal de internet del SAT, concretamente en el apartado de Declaraciones</w:t>
      </w:r>
      <w:r w:rsidRPr="003E2870">
        <w:rPr>
          <w:rFonts w:ascii="Palatino Linotype" w:eastAsia="Palatino Linotype" w:hAnsi="Palatino Linotype" w:cs="Palatino Linotype"/>
          <w:sz w:val="22"/>
          <w:szCs w:val="22"/>
          <w:vertAlign w:val="superscript"/>
        </w:rPr>
        <w:footnoteReference w:id="1"/>
      </w:r>
      <w:r w:rsidRPr="003E2870">
        <w:rPr>
          <w:rFonts w:ascii="Palatino Linotype" w:eastAsia="Palatino Linotype" w:hAnsi="Palatino Linotype" w:cs="Palatino Linotype"/>
          <w:sz w:val="22"/>
          <w:szCs w:val="22"/>
        </w:rPr>
        <w:t xml:space="preserve">, y, para acceder a la misma, es necesario autenticarse con el RFC y la contraseña o </w:t>
      </w:r>
      <w:proofErr w:type="spellStart"/>
      <w:r w:rsidRPr="003E2870">
        <w:rPr>
          <w:rFonts w:ascii="Palatino Linotype" w:eastAsia="Palatino Linotype" w:hAnsi="Palatino Linotype" w:cs="Palatino Linotype"/>
          <w:sz w:val="22"/>
          <w:szCs w:val="22"/>
        </w:rPr>
        <w:t>e.firma</w:t>
      </w:r>
      <w:proofErr w:type="spellEnd"/>
      <w:r w:rsidRPr="003E2870">
        <w:rPr>
          <w:rFonts w:ascii="Palatino Linotype" w:eastAsia="Palatino Linotype" w:hAnsi="Palatino Linotype" w:cs="Palatino Linotype"/>
          <w:sz w:val="22"/>
          <w:szCs w:val="22"/>
        </w:rPr>
        <w:t>, como se ilustra en seguida para mejor referencia:</w:t>
      </w:r>
    </w:p>
    <w:p w14:paraId="2FB04A40" w14:textId="77777777" w:rsidR="002128E2" w:rsidRPr="003E2870" w:rsidRDefault="00830CED">
      <w:pPr>
        <w:spacing w:before="240" w:after="240" w:line="360" w:lineRule="auto"/>
        <w:jc w:val="center"/>
        <w:rPr>
          <w:rFonts w:ascii="Palatino Linotype" w:eastAsia="Palatino Linotype" w:hAnsi="Palatino Linotype" w:cs="Palatino Linotype"/>
          <w:sz w:val="22"/>
          <w:szCs w:val="22"/>
        </w:rPr>
      </w:pPr>
      <w:r w:rsidRPr="003E2870">
        <w:rPr>
          <w:rFonts w:ascii="Palatino Linotype" w:eastAsia="Palatino Linotype" w:hAnsi="Palatino Linotype" w:cs="Palatino Linotype"/>
          <w:noProof/>
          <w:sz w:val="22"/>
          <w:szCs w:val="22"/>
          <w:lang w:val="es-MX"/>
        </w:rPr>
        <w:lastRenderedPageBreak/>
        <w:drawing>
          <wp:inline distT="0" distB="0" distL="0" distR="0" wp14:anchorId="7562EA8D" wp14:editId="6ECD15C9">
            <wp:extent cx="3420000" cy="5517693"/>
            <wp:effectExtent l="0" t="0" r="0" b="0"/>
            <wp:docPr id="197143013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3420000" cy="5517693"/>
                    </a:xfrm>
                    <a:prstGeom prst="rect">
                      <a:avLst/>
                    </a:prstGeom>
                    <a:ln/>
                  </pic:spPr>
                </pic:pic>
              </a:graphicData>
            </a:graphic>
          </wp:inline>
        </w:drawing>
      </w:r>
    </w:p>
    <w:p w14:paraId="191D50EB" w14:textId="77777777" w:rsidR="002128E2" w:rsidRPr="003E2870" w:rsidRDefault="00830CED">
      <w:pPr>
        <w:spacing w:before="240"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 xml:space="preserve">Los documentos que pueden obtenerse del </w:t>
      </w:r>
      <w:r w:rsidRPr="003E2870">
        <w:rPr>
          <w:rFonts w:ascii="Palatino Linotype" w:eastAsia="Palatino Linotype" w:hAnsi="Palatino Linotype" w:cs="Palatino Linotype"/>
          <w:b/>
          <w:sz w:val="22"/>
          <w:szCs w:val="22"/>
        </w:rPr>
        <w:t xml:space="preserve">Visor de comprobantes de nómina para el patrón, </w:t>
      </w:r>
      <w:r w:rsidRPr="003E2870">
        <w:rPr>
          <w:rFonts w:ascii="Palatino Linotype" w:eastAsia="Palatino Linotype" w:hAnsi="Palatino Linotype" w:cs="Palatino Linotype"/>
          <w:sz w:val="22"/>
          <w:szCs w:val="22"/>
        </w:rPr>
        <w:t>son los siguientes</w:t>
      </w:r>
    </w:p>
    <w:p w14:paraId="14B60EC8" w14:textId="77777777" w:rsidR="002128E2" w:rsidRPr="003E2870" w:rsidRDefault="00830CED">
      <w:pPr>
        <w:spacing w:before="240" w:after="240" w:line="360" w:lineRule="auto"/>
        <w:jc w:val="center"/>
        <w:rPr>
          <w:rFonts w:ascii="Palatino Linotype" w:eastAsia="Palatino Linotype" w:hAnsi="Palatino Linotype" w:cs="Palatino Linotype"/>
          <w:sz w:val="22"/>
          <w:szCs w:val="22"/>
        </w:rPr>
      </w:pPr>
      <w:r w:rsidRPr="003E2870">
        <w:rPr>
          <w:rFonts w:ascii="Palatino Linotype" w:eastAsia="Palatino Linotype" w:hAnsi="Palatino Linotype" w:cs="Palatino Linotype"/>
          <w:noProof/>
          <w:sz w:val="22"/>
          <w:szCs w:val="22"/>
          <w:lang w:val="es-MX"/>
        </w:rPr>
        <w:lastRenderedPageBreak/>
        <w:drawing>
          <wp:inline distT="0" distB="0" distL="0" distR="0" wp14:anchorId="4CC9B5E2" wp14:editId="71536E4C">
            <wp:extent cx="4601217" cy="2600688"/>
            <wp:effectExtent l="0" t="0" r="0" b="0"/>
            <wp:docPr id="197143013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0"/>
                    <a:srcRect/>
                    <a:stretch>
                      <a:fillRect/>
                    </a:stretch>
                  </pic:blipFill>
                  <pic:spPr>
                    <a:xfrm>
                      <a:off x="0" y="0"/>
                      <a:ext cx="4601217" cy="2600688"/>
                    </a:xfrm>
                    <a:prstGeom prst="rect">
                      <a:avLst/>
                    </a:prstGeom>
                    <a:ln/>
                  </pic:spPr>
                </pic:pic>
              </a:graphicData>
            </a:graphic>
          </wp:inline>
        </w:drawing>
      </w:r>
    </w:p>
    <w:p w14:paraId="2761C61B" w14:textId="77777777" w:rsidR="002128E2" w:rsidRPr="003E2870" w:rsidRDefault="00830CED">
      <w:pPr>
        <w:spacing w:before="240"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Además, cabe señalar que en el Portal referido se localiza la Guía de Usuario del Visor de comprobantes de nómina del patrón, en la cual se establecen las modalidades de consulta de la información, como se observa a continuación:</w:t>
      </w:r>
    </w:p>
    <w:p w14:paraId="6CF9BD2B" w14:textId="77777777" w:rsidR="002128E2" w:rsidRPr="003E2870" w:rsidRDefault="00830CED">
      <w:pPr>
        <w:spacing w:before="240"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noProof/>
          <w:sz w:val="22"/>
          <w:szCs w:val="22"/>
          <w:lang w:val="es-MX"/>
        </w:rPr>
        <w:drawing>
          <wp:inline distT="0" distB="0" distL="0" distR="0" wp14:anchorId="28BB5997" wp14:editId="3668B2A0">
            <wp:extent cx="5608955" cy="972185"/>
            <wp:effectExtent l="0" t="0" r="0" b="0"/>
            <wp:docPr id="197143013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1"/>
                    <a:srcRect/>
                    <a:stretch>
                      <a:fillRect/>
                    </a:stretch>
                  </pic:blipFill>
                  <pic:spPr>
                    <a:xfrm>
                      <a:off x="0" y="0"/>
                      <a:ext cx="5608955" cy="972185"/>
                    </a:xfrm>
                    <a:prstGeom prst="rect">
                      <a:avLst/>
                    </a:prstGeom>
                    <a:ln/>
                  </pic:spPr>
                </pic:pic>
              </a:graphicData>
            </a:graphic>
          </wp:inline>
        </w:drawing>
      </w:r>
      <w:r w:rsidRPr="003E2870">
        <w:rPr>
          <w:noProof/>
          <w:lang w:val="es-MX"/>
        </w:rPr>
        <mc:AlternateContent>
          <mc:Choice Requires="wpg">
            <w:drawing>
              <wp:anchor distT="0" distB="0" distL="114300" distR="114300" simplePos="0" relativeHeight="251658240" behindDoc="0" locked="0" layoutInCell="1" hidden="0" allowOverlap="1" wp14:anchorId="69996383" wp14:editId="3C8B8C0E">
                <wp:simplePos x="0" y="0"/>
                <wp:positionH relativeFrom="column">
                  <wp:posOffset>330200</wp:posOffset>
                </wp:positionH>
                <wp:positionV relativeFrom="paragraph">
                  <wp:posOffset>228600</wp:posOffset>
                </wp:positionV>
                <wp:extent cx="223755" cy="641600"/>
                <wp:effectExtent l="0" t="0" r="0" b="0"/>
                <wp:wrapNone/>
                <wp:docPr id="1971430110" name="Abrir llave 1971430110"/>
                <wp:cNvGraphicFramePr/>
                <a:graphic xmlns:a="http://schemas.openxmlformats.org/drawingml/2006/main">
                  <a:graphicData uri="http://schemas.microsoft.com/office/word/2010/wordprocessingShape">
                    <wps:wsp>
                      <wps:cNvSpPr/>
                      <wps:spPr>
                        <a:xfrm>
                          <a:off x="5284923" y="3510000"/>
                          <a:ext cx="122155" cy="540000"/>
                        </a:xfrm>
                        <a:prstGeom prst="leftBrace">
                          <a:avLst>
                            <a:gd name="adj1" fmla="val 8333"/>
                            <a:gd name="adj2" fmla="val 50000"/>
                          </a:avLst>
                        </a:prstGeom>
                        <a:noFill/>
                        <a:ln w="25400" cap="flat" cmpd="sng">
                          <a:solidFill>
                            <a:srgbClr val="C00000"/>
                          </a:solidFill>
                          <a:prstDash val="solid"/>
                          <a:round/>
                          <a:headEnd type="none" w="sm" len="sm"/>
                          <a:tailEnd type="none" w="sm" len="sm"/>
                        </a:ln>
                      </wps:spPr>
                      <wps:txbx>
                        <w:txbxContent>
                          <w:p w14:paraId="77961772" w14:textId="77777777" w:rsidR="002128E2" w:rsidRDefault="002128E2">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330200</wp:posOffset>
                </wp:positionH>
                <wp:positionV relativeFrom="paragraph">
                  <wp:posOffset>228600</wp:posOffset>
                </wp:positionV>
                <wp:extent cx="223755" cy="641600"/>
                <wp:effectExtent b="0" l="0" r="0" t="0"/>
                <wp:wrapNone/>
                <wp:docPr id="1971430110" name="image24.png"/>
                <a:graphic>
                  <a:graphicData uri="http://schemas.openxmlformats.org/drawingml/2006/picture">
                    <pic:pic>
                      <pic:nvPicPr>
                        <pic:cNvPr id="0" name="image24.png"/>
                        <pic:cNvPicPr preferRelativeResize="0"/>
                      </pic:nvPicPr>
                      <pic:blipFill>
                        <a:blip r:embed="rId22"/>
                        <a:srcRect/>
                        <a:stretch>
                          <a:fillRect/>
                        </a:stretch>
                      </pic:blipFill>
                      <pic:spPr>
                        <a:xfrm>
                          <a:off x="0" y="0"/>
                          <a:ext cx="223755" cy="641600"/>
                        </a:xfrm>
                        <a:prstGeom prst="rect"/>
                        <a:ln/>
                      </pic:spPr>
                    </pic:pic>
                  </a:graphicData>
                </a:graphic>
              </wp:anchor>
            </w:drawing>
          </mc:Fallback>
        </mc:AlternateContent>
      </w:r>
    </w:p>
    <w:p w14:paraId="43DAFFC6" w14:textId="77777777" w:rsidR="002128E2" w:rsidRPr="003E2870" w:rsidRDefault="00830CED">
      <w:pPr>
        <w:spacing w:before="240"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La información a la cual desea acceder la persona solicitante corresponde con la generada a partir de la Consulta Global, misma que permite al retenedor conocer la información global o acumulada que asentó en los comprobantes de todos sus trabajadores, de forma mensual –de la cual se obtienen los reportes Detalle del “Total por Sueldos y Salarios” y Detalle del “Total por Asimilados a Salarios”-,  y que contempla, además, las modalidades de consulta: “Vista anual acumulada” –de la cual se obtiene el documento Vista anual acumulada-, “Vista anual” y “Vista mensual”.</w:t>
      </w:r>
    </w:p>
    <w:p w14:paraId="43933129" w14:textId="77777777" w:rsidR="002128E2" w:rsidRPr="003E2870" w:rsidRDefault="00830CED">
      <w:pPr>
        <w:spacing w:before="240" w:after="240" w:line="360" w:lineRule="auto"/>
        <w:ind w:right="49"/>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lastRenderedPageBreak/>
        <w:t xml:space="preserve">Con la finalidad de esclarecer el argumento anterior, es oportuno referir que de conformidad con el procedimiento de consulta de la información previsto en la Guía de Usuario del Visor de comprobantes de nómina del patrón, al seleccionar la opción “Consultar información Global”, se muestra un resumen de los </w:t>
      </w:r>
      <w:proofErr w:type="spellStart"/>
      <w:r w:rsidRPr="003E2870">
        <w:rPr>
          <w:rFonts w:ascii="Palatino Linotype" w:eastAsia="Palatino Linotype" w:hAnsi="Palatino Linotype" w:cs="Palatino Linotype"/>
          <w:sz w:val="22"/>
          <w:szCs w:val="22"/>
        </w:rPr>
        <w:t>CFDIs</w:t>
      </w:r>
      <w:proofErr w:type="spellEnd"/>
      <w:r w:rsidRPr="003E2870">
        <w:rPr>
          <w:rFonts w:ascii="Palatino Linotype" w:eastAsia="Palatino Linotype" w:hAnsi="Palatino Linotype" w:cs="Palatino Linotype"/>
          <w:sz w:val="22"/>
          <w:szCs w:val="22"/>
        </w:rPr>
        <w:t xml:space="preserve"> de nómina que se expidieron por conceptos de sueldos y salarios, y asimilados a salarios, y </w:t>
      </w:r>
      <w:r w:rsidRPr="003E2870">
        <w:rPr>
          <w:rFonts w:ascii="Palatino Linotype" w:eastAsia="Palatino Linotype" w:hAnsi="Palatino Linotype" w:cs="Palatino Linotype"/>
          <w:b/>
          <w:sz w:val="22"/>
          <w:szCs w:val="22"/>
        </w:rPr>
        <w:t xml:space="preserve">para conocer la información mensual relativa a la diferencia de ISR retenido y enterado por el ente retenedor </w:t>
      </w:r>
      <w:r w:rsidRPr="003E2870">
        <w:rPr>
          <w:rFonts w:ascii="Palatino Linotype" w:eastAsia="Palatino Linotype" w:hAnsi="Palatino Linotype" w:cs="Palatino Linotype"/>
          <w:sz w:val="22"/>
          <w:szCs w:val="22"/>
        </w:rPr>
        <w:t>–es decir, el ISR a favor o en contra-</w:t>
      </w:r>
      <w:r w:rsidRPr="003E2870">
        <w:rPr>
          <w:rFonts w:ascii="Palatino Linotype" w:eastAsia="Palatino Linotype" w:hAnsi="Palatino Linotype" w:cs="Palatino Linotype"/>
          <w:b/>
          <w:sz w:val="22"/>
          <w:szCs w:val="22"/>
        </w:rPr>
        <w:t>, por sueldos y salarios, y por asimilados a salarios</w:t>
      </w:r>
      <w:r w:rsidRPr="003E2870">
        <w:rPr>
          <w:rFonts w:ascii="Palatino Linotype" w:eastAsia="Palatino Linotype" w:hAnsi="Palatino Linotype" w:cs="Palatino Linotype"/>
          <w:sz w:val="22"/>
          <w:szCs w:val="22"/>
        </w:rPr>
        <w:t xml:space="preserve">, basta con dar clic en la opción ”Ver Detalle” que aparece en cada concepto, obteniendo como resultado en la pantalla, los reportes Detalle del “Total por Sueldos y Salarios” y Detalle del “Total por Asimilados a Salarios”, como se observa en la siguientes imágenes extraídas de la Guía: </w:t>
      </w:r>
    </w:p>
    <w:p w14:paraId="00D1D0C2" w14:textId="77777777" w:rsidR="002128E2" w:rsidRPr="003E2870" w:rsidRDefault="00830CED">
      <w:pPr>
        <w:spacing w:before="240" w:after="240" w:line="360" w:lineRule="auto"/>
        <w:ind w:right="49"/>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noProof/>
          <w:sz w:val="22"/>
          <w:szCs w:val="22"/>
          <w:lang w:val="es-MX"/>
        </w:rPr>
        <w:drawing>
          <wp:inline distT="0" distB="0" distL="0" distR="0" wp14:anchorId="5088CB67" wp14:editId="2AF011D9">
            <wp:extent cx="5612130" cy="2475781"/>
            <wp:effectExtent l="0" t="0" r="0" b="0"/>
            <wp:docPr id="197143013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3"/>
                    <a:srcRect b="63920"/>
                    <a:stretch>
                      <a:fillRect/>
                    </a:stretch>
                  </pic:blipFill>
                  <pic:spPr>
                    <a:xfrm>
                      <a:off x="0" y="0"/>
                      <a:ext cx="5612130" cy="2475781"/>
                    </a:xfrm>
                    <a:prstGeom prst="rect">
                      <a:avLst/>
                    </a:prstGeom>
                    <a:ln/>
                  </pic:spPr>
                </pic:pic>
              </a:graphicData>
            </a:graphic>
          </wp:inline>
        </w:drawing>
      </w:r>
    </w:p>
    <w:p w14:paraId="0C42544F" w14:textId="77777777" w:rsidR="002128E2" w:rsidRPr="003E2870" w:rsidRDefault="00830CED">
      <w:pPr>
        <w:spacing w:before="240" w:after="240" w:line="360" w:lineRule="auto"/>
        <w:ind w:right="49"/>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noProof/>
          <w:sz w:val="22"/>
          <w:szCs w:val="22"/>
          <w:lang w:val="es-MX"/>
        </w:rPr>
        <w:lastRenderedPageBreak/>
        <w:drawing>
          <wp:inline distT="0" distB="0" distL="0" distR="0" wp14:anchorId="56E98D18" wp14:editId="58D6B4B3">
            <wp:extent cx="5612130" cy="4420534"/>
            <wp:effectExtent l="0" t="0" r="0" b="0"/>
            <wp:docPr id="197143013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3"/>
                    <a:srcRect t="35578"/>
                    <a:stretch>
                      <a:fillRect/>
                    </a:stretch>
                  </pic:blipFill>
                  <pic:spPr>
                    <a:xfrm>
                      <a:off x="0" y="0"/>
                      <a:ext cx="5612130" cy="4420534"/>
                    </a:xfrm>
                    <a:prstGeom prst="rect">
                      <a:avLst/>
                    </a:prstGeom>
                    <a:ln/>
                  </pic:spPr>
                </pic:pic>
              </a:graphicData>
            </a:graphic>
          </wp:inline>
        </w:drawing>
      </w:r>
    </w:p>
    <w:p w14:paraId="67A90628" w14:textId="77777777" w:rsidR="002128E2" w:rsidRPr="003E2870" w:rsidRDefault="00830CED">
      <w:pPr>
        <w:spacing w:before="240" w:after="240" w:line="360" w:lineRule="auto"/>
        <w:ind w:right="49"/>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 xml:space="preserve">Respecto al reporte de ISR retenido correspondiente al monto histórico recuperado por conducto de la Secretaria de Finanzas del Estado, se precisa que en el siguiente nivel de consulta de la información, es decir, en la modalidad “Vista anual acumulada”, se muestra el </w:t>
      </w:r>
      <w:r w:rsidRPr="003E2870">
        <w:rPr>
          <w:rFonts w:ascii="Palatino Linotype" w:eastAsia="Palatino Linotype" w:hAnsi="Palatino Linotype" w:cs="Palatino Linotype"/>
          <w:b/>
          <w:sz w:val="22"/>
          <w:szCs w:val="22"/>
        </w:rPr>
        <w:t>registro del Acumulado Anual Total,</w:t>
      </w:r>
      <w:r w:rsidRPr="003E2870">
        <w:rPr>
          <w:rFonts w:ascii="Palatino Linotype" w:eastAsia="Palatino Linotype" w:hAnsi="Palatino Linotype" w:cs="Palatino Linotype"/>
          <w:sz w:val="22"/>
          <w:szCs w:val="22"/>
        </w:rPr>
        <w:t xml:space="preserve"> que contiene los pagos acumulados realizados a los trabajadores </w:t>
      </w:r>
      <w:r w:rsidRPr="003E2870">
        <w:rPr>
          <w:rFonts w:ascii="Palatino Linotype" w:eastAsia="Palatino Linotype" w:hAnsi="Palatino Linotype" w:cs="Palatino Linotype"/>
          <w:b/>
          <w:sz w:val="22"/>
          <w:szCs w:val="22"/>
          <w:u w:val="single"/>
        </w:rPr>
        <w:t>durante el ejercicio</w:t>
      </w:r>
      <w:r w:rsidRPr="003E2870">
        <w:rPr>
          <w:rFonts w:ascii="Palatino Linotype" w:eastAsia="Palatino Linotype" w:hAnsi="Palatino Linotype" w:cs="Palatino Linotype"/>
          <w:sz w:val="22"/>
          <w:szCs w:val="22"/>
        </w:rPr>
        <w:t>, y se integra de las columnas siguientes: Concepto, Salarios, Indemnización, Total sueldos, Asimilados a salarios y un Total pagado por nómina, es decir, contiene una columna que integra un gran total resumido de cada concepto, además del número de trabajadores, así como también el</w:t>
      </w:r>
      <w:r w:rsidRPr="003E2870">
        <w:rPr>
          <w:rFonts w:ascii="Palatino Linotype" w:eastAsia="Palatino Linotype" w:hAnsi="Palatino Linotype" w:cs="Palatino Linotype"/>
          <w:b/>
          <w:sz w:val="22"/>
          <w:szCs w:val="22"/>
        </w:rPr>
        <w:t xml:space="preserve"> </w:t>
      </w:r>
      <w:r w:rsidRPr="003E2870">
        <w:rPr>
          <w:rFonts w:ascii="Palatino Linotype" w:eastAsia="Palatino Linotype" w:hAnsi="Palatino Linotype" w:cs="Palatino Linotype"/>
          <w:b/>
          <w:sz w:val="22"/>
          <w:szCs w:val="22"/>
          <w:u w:val="single"/>
        </w:rPr>
        <w:t>total de ISR retenido e ISR enterado</w:t>
      </w:r>
      <w:r w:rsidRPr="003E2870">
        <w:rPr>
          <w:rFonts w:ascii="Palatino Linotype" w:eastAsia="Palatino Linotype" w:hAnsi="Palatino Linotype" w:cs="Palatino Linotype"/>
          <w:sz w:val="22"/>
          <w:szCs w:val="22"/>
        </w:rPr>
        <w:t xml:space="preserve">. Asimismo, al dar clic en el ícono PDF, es posible generar un documento con </w:t>
      </w:r>
      <w:r w:rsidRPr="003E2870">
        <w:rPr>
          <w:rFonts w:ascii="Palatino Linotype" w:eastAsia="Palatino Linotype" w:hAnsi="Palatino Linotype" w:cs="Palatino Linotype"/>
          <w:sz w:val="22"/>
          <w:szCs w:val="22"/>
        </w:rPr>
        <w:lastRenderedPageBreak/>
        <w:t>la información que se visualiza en el aplicativo, como se ilustra a continuación para mejor referencia:</w:t>
      </w:r>
      <w:r w:rsidRPr="003E2870">
        <w:rPr>
          <w:noProof/>
          <w:lang w:val="es-MX"/>
        </w:rPr>
        <mc:AlternateContent>
          <mc:Choice Requires="wps">
            <w:drawing>
              <wp:anchor distT="0" distB="0" distL="114300" distR="114300" simplePos="0" relativeHeight="251659264" behindDoc="0" locked="0" layoutInCell="1" hidden="0" allowOverlap="1" wp14:anchorId="3FDF0ED8" wp14:editId="6B4949CF">
                <wp:simplePos x="0" y="0"/>
                <wp:positionH relativeFrom="column">
                  <wp:posOffset>4356100</wp:posOffset>
                </wp:positionH>
                <wp:positionV relativeFrom="paragraph">
                  <wp:posOffset>4470400</wp:posOffset>
                </wp:positionV>
                <wp:extent cx="0" cy="25400"/>
                <wp:effectExtent l="0" t="0" r="0" b="0"/>
                <wp:wrapNone/>
                <wp:docPr id="1971430104" name="Conector recto de flecha 1971430104"/>
                <wp:cNvGraphicFramePr/>
                <a:graphic xmlns:a="http://schemas.openxmlformats.org/drawingml/2006/main">
                  <a:graphicData uri="http://schemas.microsoft.com/office/word/2010/wordprocessingShape">
                    <wps:wsp>
                      <wps:cNvCnPr/>
                      <wps:spPr>
                        <a:xfrm>
                          <a:off x="4936108" y="3780000"/>
                          <a:ext cx="819785" cy="0"/>
                        </a:xfrm>
                        <a:prstGeom prst="straightConnector1">
                          <a:avLst/>
                        </a:prstGeom>
                        <a:noFill/>
                        <a:ln w="25400" cap="flat" cmpd="sng">
                          <a:solidFill>
                            <a:srgbClr val="0070C0"/>
                          </a:solidFill>
                          <a:prstDash val="solid"/>
                          <a:round/>
                          <a:headEnd type="none" w="sm" len="sm"/>
                          <a:tailEnd type="none" w="sm" len="sm"/>
                        </a:ln>
                        <a:effectLst>
                          <a:outerShdw blurRad="40000" dist="20000" dir="5400000" rotWithShape="0">
                            <a:srgbClr val="000000">
                              <a:alpha val="36862"/>
                            </a:srgbClr>
                          </a:outerShdw>
                        </a:effectLst>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4356100</wp:posOffset>
                </wp:positionH>
                <wp:positionV relativeFrom="paragraph">
                  <wp:posOffset>4470400</wp:posOffset>
                </wp:positionV>
                <wp:extent cx="0" cy="25400"/>
                <wp:effectExtent b="0" l="0" r="0" t="0"/>
                <wp:wrapNone/>
                <wp:docPr id="1971430104" name="image17.png"/>
                <a:graphic>
                  <a:graphicData uri="http://schemas.openxmlformats.org/drawingml/2006/picture">
                    <pic:pic>
                      <pic:nvPicPr>
                        <pic:cNvPr id="0" name="image17.png"/>
                        <pic:cNvPicPr preferRelativeResize="0"/>
                      </pic:nvPicPr>
                      <pic:blipFill>
                        <a:blip r:embed="rId24"/>
                        <a:srcRect/>
                        <a:stretch>
                          <a:fillRect/>
                        </a:stretch>
                      </pic:blipFill>
                      <pic:spPr>
                        <a:xfrm>
                          <a:off x="0" y="0"/>
                          <a:ext cx="0" cy="25400"/>
                        </a:xfrm>
                        <a:prstGeom prst="rect"/>
                        <a:ln/>
                      </pic:spPr>
                    </pic:pic>
                  </a:graphicData>
                </a:graphic>
              </wp:anchor>
            </w:drawing>
          </mc:Fallback>
        </mc:AlternateContent>
      </w:r>
      <w:r w:rsidRPr="003E2870">
        <w:rPr>
          <w:noProof/>
          <w:lang w:val="es-MX"/>
        </w:rPr>
        <mc:AlternateContent>
          <mc:Choice Requires="wps">
            <w:drawing>
              <wp:anchor distT="0" distB="0" distL="114300" distR="114300" simplePos="0" relativeHeight="251660288" behindDoc="0" locked="0" layoutInCell="1" hidden="0" allowOverlap="1" wp14:anchorId="75A18621" wp14:editId="50A38A9C">
                <wp:simplePos x="0" y="0"/>
                <wp:positionH relativeFrom="column">
                  <wp:posOffset>3771900</wp:posOffset>
                </wp:positionH>
                <wp:positionV relativeFrom="paragraph">
                  <wp:posOffset>4597400</wp:posOffset>
                </wp:positionV>
                <wp:extent cx="0" cy="25400"/>
                <wp:effectExtent l="0" t="0" r="0" b="0"/>
                <wp:wrapNone/>
                <wp:docPr id="1971430112" name="Conector recto de flecha 1971430112"/>
                <wp:cNvGraphicFramePr/>
                <a:graphic xmlns:a="http://schemas.openxmlformats.org/drawingml/2006/main">
                  <a:graphicData uri="http://schemas.microsoft.com/office/word/2010/wordprocessingShape">
                    <wps:wsp>
                      <wps:cNvCnPr/>
                      <wps:spPr>
                        <a:xfrm>
                          <a:off x="4477955" y="3780000"/>
                          <a:ext cx="1736090" cy="0"/>
                        </a:xfrm>
                        <a:prstGeom prst="straightConnector1">
                          <a:avLst/>
                        </a:prstGeom>
                        <a:noFill/>
                        <a:ln w="25400" cap="flat" cmpd="sng">
                          <a:solidFill>
                            <a:srgbClr val="0070C0"/>
                          </a:solidFill>
                          <a:prstDash val="solid"/>
                          <a:round/>
                          <a:headEnd type="none" w="sm" len="sm"/>
                          <a:tailEnd type="none" w="sm" len="sm"/>
                        </a:ln>
                        <a:effectLst>
                          <a:outerShdw blurRad="40000" dist="20000" dir="5400000" rotWithShape="0">
                            <a:srgbClr val="000000">
                              <a:alpha val="36862"/>
                            </a:srgbClr>
                          </a:outerShdw>
                        </a:effectLst>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3771900</wp:posOffset>
                </wp:positionH>
                <wp:positionV relativeFrom="paragraph">
                  <wp:posOffset>4597400</wp:posOffset>
                </wp:positionV>
                <wp:extent cx="0" cy="25400"/>
                <wp:effectExtent b="0" l="0" r="0" t="0"/>
                <wp:wrapNone/>
                <wp:docPr id="1971430112" name="image35.png"/>
                <a:graphic>
                  <a:graphicData uri="http://schemas.openxmlformats.org/drawingml/2006/picture">
                    <pic:pic>
                      <pic:nvPicPr>
                        <pic:cNvPr id="0" name="image35.png"/>
                        <pic:cNvPicPr preferRelativeResize="0"/>
                      </pic:nvPicPr>
                      <pic:blipFill>
                        <a:blip r:embed="rId25"/>
                        <a:srcRect/>
                        <a:stretch>
                          <a:fillRect/>
                        </a:stretch>
                      </pic:blipFill>
                      <pic:spPr>
                        <a:xfrm>
                          <a:off x="0" y="0"/>
                          <a:ext cx="0" cy="25400"/>
                        </a:xfrm>
                        <a:prstGeom prst="rect"/>
                        <a:ln/>
                      </pic:spPr>
                    </pic:pic>
                  </a:graphicData>
                </a:graphic>
              </wp:anchor>
            </w:drawing>
          </mc:Fallback>
        </mc:AlternateContent>
      </w:r>
      <w:r w:rsidRPr="003E2870">
        <w:rPr>
          <w:noProof/>
          <w:lang w:val="es-MX"/>
        </w:rPr>
        <mc:AlternateContent>
          <mc:Choice Requires="wps">
            <w:drawing>
              <wp:anchor distT="0" distB="0" distL="114300" distR="114300" simplePos="0" relativeHeight="251661312" behindDoc="0" locked="0" layoutInCell="1" hidden="0" allowOverlap="1" wp14:anchorId="2D096ECB" wp14:editId="5DEC3FB4">
                <wp:simplePos x="0" y="0"/>
                <wp:positionH relativeFrom="column">
                  <wp:posOffset>3175000</wp:posOffset>
                </wp:positionH>
                <wp:positionV relativeFrom="paragraph">
                  <wp:posOffset>4749800</wp:posOffset>
                </wp:positionV>
                <wp:extent cx="0" cy="25400"/>
                <wp:effectExtent l="0" t="0" r="0" b="0"/>
                <wp:wrapNone/>
                <wp:docPr id="1971430111" name="Conector recto de flecha 1971430111"/>
                <wp:cNvGraphicFramePr/>
                <a:graphic xmlns:a="http://schemas.openxmlformats.org/drawingml/2006/main">
                  <a:graphicData uri="http://schemas.microsoft.com/office/word/2010/wordprocessingShape">
                    <wps:wsp>
                      <wps:cNvCnPr/>
                      <wps:spPr>
                        <a:xfrm>
                          <a:off x="5008180" y="3780000"/>
                          <a:ext cx="675640" cy="0"/>
                        </a:xfrm>
                        <a:prstGeom prst="straightConnector1">
                          <a:avLst/>
                        </a:prstGeom>
                        <a:noFill/>
                        <a:ln w="25400" cap="flat" cmpd="sng">
                          <a:solidFill>
                            <a:srgbClr val="0070C0"/>
                          </a:solidFill>
                          <a:prstDash val="solid"/>
                          <a:round/>
                          <a:headEnd type="none" w="sm" len="sm"/>
                          <a:tailEnd type="none" w="sm" len="sm"/>
                        </a:ln>
                        <a:effectLst>
                          <a:outerShdw blurRad="40000" dist="20000" dir="5400000" rotWithShape="0">
                            <a:srgbClr val="000000">
                              <a:alpha val="36862"/>
                            </a:srgbClr>
                          </a:outerShdw>
                        </a:effectLst>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3175000</wp:posOffset>
                </wp:positionH>
                <wp:positionV relativeFrom="paragraph">
                  <wp:posOffset>4749800</wp:posOffset>
                </wp:positionV>
                <wp:extent cx="0" cy="25400"/>
                <wp:effectExtent b="0" l="0" r="0" t="0"/>
                <wp:wrapNone/>
                <wp:docPr id="1971430111" name="image29.png"/>
                <a:graphic>
                  <a:graphicData uri="http://schemas.openxmlformats.org/drawingml/2006/picture">
                    <pic:pic>
                      <pic:nvPicPr>
                        <pic:cNvPr id="0" name="image29.png"/>
                        <pic:cNvPicPr preferRelativeResize="0"/>
                      </pic:nvPicPr>
                      <pic:blipFill>
                        <a:blip r:embed="rId26"/>
                        <a:srcRect/>
                        <a:stretch>
                          <a:fillRect/>
                        </a:stretch>
                      </pic:blipFill>
                      <pic:spPr>
                        <a:xfrm>
                          <a:off x="0" y="0"/>
                          <a:ext cx="0" cy="25400"/>
                        </a:xfrm>
                        <a:prstGeom prst="rect"/>
                        <a:ln/>
                      </pic:spPr>
                    </pic:pic>
                  </a:graphicData>
                </a:graphic>
              </wp:anchor>
            </w:drawing>
          </mc:Fallback>
        </mc:AlternateContent>
      </w:r>
      <w:r w:rsidRPr="003E2870">
        <w:rPr>
          <w:noProof/>
          <w:lang w:val="es-MX"/>
        </w:rPr>
        <mc:AlternateContent>
          <mc:Choice Requires="wpg">
            <w:drawing>
              <wp:anchor distT="0" distB="0" distL="114300" distR="114300" simplePos="0" relativeHeight="251662336" behindDoc="0" locked="0" layoutInCell="1" hidden="0" allowOverlap="1" wp14:anchorId="4B54D40D" wp14:editId="1057D3A3">
                <wp:simplePos x="0" y="0"/>
                <wp:positionH relativeFrom="column">
                  <wp:posOffset>2819400</wp:posOffset>
                </wp:positionH>
                <wp:positionV relativeFrom="paragraph">
                  <wp:posOffset>4648200</wp:posOffset>
                </wp:positionV>
                <wp:extent cx="452169" cy="381684"/>
                <wp:effectExtent l="0" t="0" r="0" b="0"/>
                <wp:wrapNone/>
                <wp:docPr id="1971430106" name="Conector recto de flecha 1971430106"/>
                <wp:cNvGraphicFramePr/>
                <a:graphic xmlns:a="http://schemas.openxmlformats.org/drawingml/2006/main">
                  <a:graphicData uri="http://schemas.microsoft.com/office/word/2010/wordprocessingShape">
                    <wps:wsp>
                      <wps:cNvCnPr/>
                      <wps:spPr>
                        <a:xfrm>
                          <a:off x="5205641" y="3674883"/>
                          <a:ext cx="280719" cy="210234"/>
                        </a:xfrm>
                        <a:prstGeom prst="straightConnector1">
                          <a:avLst/>
                        </a:prstGeom>
                        <a:noFill/>
                        <a:ln w="57150" cap="flat" cmpd="sng">
                          <a:solidFill>
                            <a:srgbClr val="0070C0"/>
                          </a:solidFill>
                          <a:prstDash val="solid"/>
                          <a:round/>
                          <a:headEnd type="none" w="sm" len="sm"/>
                          <a:tailEnd type="triangle" w="med" len="med"/>
                        </a:ln>
                        <a:effectLst>
                          <a:outerShdw blurRad="40000" dist="20000" dir="5400000" rotWithShape="0">
                            <a:srgbClr val="000000">
                              <a:alpha val="36862"/>
                            </a:srgbClr>
                          </a:outerShdw>
                        </a:effectLst>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2819400</wp:posOffset>
                </wp:positionH>
                <wp:positionV relativeFrom="paragraph">
                  <wp:posOffset>4648200</wp:posOffset>
                </wp:positionV>
                <wp:extent cx="452169" cy="381684"/>
                <wp:effectExtent b="0" l="0" r="0" t="0"/>
                <wp:wrapNone/>
                <wp:docPr id="1971430106" name="image19.png"/>
                <a:graphic>
                  <a:graphicData uri="http://schemas.openxmlformats.org/drawingml/2006/picture">
                    <pic:pic>
                      <pic:nvPicPr>
                        <pic:cNvPr id="0" name="image19.png"/>
                        <pic:cNvPicPr preferRelativeResize="0"/>
                      </pic:nvPicPr>
                      <pic:blipFill>
                        <a:blip r:embed="rId27"/>
                        <a:srcRect/>
                        <a:stretch>
                          <a:fillRect/>
                        </a:stretch>
                      </pic:blipFill>
                      <pic:spPr>
                        <a:xfrm>
                          <a:off x="0" y="0"/>
                          <a:ext cx="452169" cy="381684"/>
                        </a:xfrm>
                        <a:prstGeom prst="rect"/>
                        <a:ln/>
                      </pic:spPr>
                    </pic:pic>
                  </a:graphicData>
                </a:graphic>
              </wp:anchor>
            </w:drawing>
          </mc:Fallback>
        </mc:AlternateContent>
      </w:r>
      <w:r w:rsidRPr="003E2870">
        <w:rPr>
          <w:noProof/>
          <w:lang w:val="es-MX"/>
        </w:rPr>
        <mc:AlternateContent>
          <mc:Choice Requires="wps">
            <w:drawing>
              <wp:anchor distT="0" distB="0" distL="114300" distR="114300" simplePos="0" relativeHeight="251663360" behindDoc="0" locked="0" layoutInCell="1" hidden="0" allowOverlap="1" wp14:anchorId="145ED0AF" wp14:editId="14789375">
                <wp:simplePos x="0" y="0"/>
                <wp:positionH relativeFrom="column">
                  <wp:posOffset>4457700</wp:posOffset>
                </wp:positionH>
                <wp:positionV relativeFrom="paragraph">
                  <wp:posOffset>5842000</wp:posOffset>
                </wp:positionV>
                <wp:extent cx="0" cy="25400"/>
                <wp:effectExtent l="0" t="0" r="0" b="0"/>
                <wp:wrapNone/>
                <wp:docPr id="1971430108" name="Conector recto de flecha 1971430108"/>
                <wp:cNvGraphicFramePr/>
                <a:graphic xmlns:a="http://schemas.openxmlformats.org/drawingml/2006/main">
                  <a:graphicData uri="http://schemas.microsoft.com/office/word/2010/wordprocessingShape">
                    <wps:wsp>
                      <wps:cNvCnPr/>
                      <wps:spPr>
                        <a:xfrm>
                          <a:off x="4936009" y="3780000"/>
                          <a:ext cx="819983" cy="0"/>
                        </a:xfrm>
                        <a:prstGeom prst="straightConnector1">
                          <a:avLst/>
                        </a:prstGeom>
                        <a:noFill/>
                        <a:ln w="25400" cap="flat" cmpd="sng">
                          <a:solidFill>
                            <a:srgbClr val="0070C0"/>
                          </a:solidFill>
                          <a:prstDash val="solid"/>
                          <a:round/>
                          <a:headEnd type="none" w="sm" len="sm"/>
                          <a:tailEnd type="none" w="sm" len="sm"/>
                        </a:ln>
                        <a:effectLst>
                          <a:outerShdw blurRad="40000" dist="20000" dir="5400000" rotWithShape="0">
                            <a:srgbClr val="000000">
                              <a:alpha val="36862"/>
                            </a:srgbClr>
                          </a:outerShdw>
                        </a:effectLst>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4457700</wp:posOffset>
                </wp:positionH>
                <wp:positionV relativeFrom="paragraph">
                  <wp:posOffset>5842000</wp:posOffset>
                </wp:positionV>
                <wp:extent cx="0" cy="25400"/>
                <wp:effectExtent b="0" l="0" r="0" t="0"/>
                <wp:wrapNone/>
                <wp:docPr id="1971430108" name="image22.png"/>
                <a:graphic>
                  <a:graphicData uri="http://schemas.openxmlformats.org/drawingml/2006/picture">
                    <pic:pic>
                      <pic:nvPicPr>
                        <pic:cNvPr id="0" name="image22.png"/>
                        <pic:cNvPicPr preferRelativeResize="0"/>
                      </pic:nvPicPr>
                      <pic:blipFill>
                        <a:blip r:embed="rId28"/>
                        <a:srcRect/>
                        <a:stretch>
                          <a:fillRect/>
                        </a:stretch>
                      </pic:blipFill>
                      <pic:spPr>
                        <a:xfrm>
                          <a:off x="0" y="0"/>
                          <a:ext cx="0" cy="25400"/>
                        </a:xfrm>
                        <a:prstGeom prst="rect"/>
                        <a:ln/>
                      </pic:spPr>
                    </pic:pic>
                  </a:graphicData>
                </a:graphic>
              </wp:anchor>
            </w:drawing>
          </mc:Fallback>
        </mc:AlternateContent>
      </w:r>
      <w:r w:rsidRPr="003E2870">
        <w:rPr>
          <w:noProof/>
          <w:lang w:val="es-MX"/>
        </w:rPr>
        <mc:AlternateContent>
          <mc:Choice Requires="wps">
            <w:drawing>
              <wp:anchor distT="0" distB="0" distL="114300" distR="114300" simplePos="0" relativeHeight="251664384" behindDoc="0" locked="0" layoutInCell="1" hidden="0" allowOverlap="1" wp14:anchorId="70BDA6B9" wp14:editId="36B20264">
                <wp:simplePos x="0" y="0"/>
                <wp:positionH relativeFrom="column">
                  <wp:posOffset>3759200</wp:posOffset>
                </wp:positionH>
                <wp:positionV relativeFrom="paragraph">
                  <wp:posOffset>5981700</wp:posOffset>
                </wp:positionV>
                <wp:extent cx="0" cy="25400"/>
                <wp:effectExtent l="0" t="0" r="0" b="0"/>
                <wp:wrapNone/>
                <wp:docPr id="1971430105" name="Conector recto de flecha 1971430105"/>
                <wp:cNvGraphicFramePr/>
                <a:graphic xmlns:a="http://schemas.openxmlformats.org/drawingml/2006/main">
                  <a:graphicData uri="http://schemas.microsoft.com/office/word/2010/wordprocessingShape">
                    <wps:wsp>
                      <wps:cNvCnPr/>
                      <wps:spPr>
                        <a:xfrm>
                          <a:off x="4477955" y="3780000"/>
                          <a:ext cx="1736090" cy="0"/>
                        </a:xfrm>
                        <a:prstGeom prst="straightConnector1">
                          <a:avLst/>
                        </a:prstGeom>
                        <a:noFill/>
                        <a:ln w="25400" cap="flat" cmpd="sng">
                          <a:solidFill>
                            <a:srgbClr val="0070C0"/>
                          </a:solidFill>
                          <a:prstDash val="solid"/>
                          <a:round/>
                          <a:headEnd type="none" w="sm" len="sm"/>
                          <a:tailEnd type="none" w="sm" len="sm"/>
                        </a:ln>
                        <a:effectLst>
                          <a:outerShdw blurRad="40000" dist="20000" dir="5400000" rotWithShape="0">
                            <a:srgbClr val="000000">
                              <a:alpha val="36862"/>
                            </a:srgbClr>
                          </a:outerShdw>
                        </a:effectLst>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3759200</wp:posOffset>
                </wp:positionH>
                <wp:positionV relativeFrom="paragraph">
                  <wp:posOffset>5981700</wp:posOffset>
                </wp:positionV>
                <wp:extent cx="0" cy="25400"/>
                <wp:effectExtent b="0" l="0" r="0" t="0"/>
                <wp:wrapNone/>
                <wp:docPr id="1971430105" name="image18.png"/>
                <a:graphic>
                  <a:graphicData uri="http://schemas.openxmlformats.org/drawingml/2006/picture">
                    <pic:pic>
                      <pic:nvPicPr>
                        <pic:cNvPr id="0" name="image18.png"/>
                        <pic:cNvPicPr preferRelativeResize="0"/>
                      </pic:nvPicPr>
                      <pic:blipFill>
                        <a:blip r:embed="rId29"/>
                        <a:srcRect/>
                        <a:stretch>
                          <a:fillRect/>
                        </a:stretch>
                      </pic:blipFill>
                      <pic:spPr>
                        <a:xfrm>
                          <a:off x="0" y="0"/>
                          <a:ext cx="0" cy="25400"/>
                        </a:xfrm>
                        <a:prstGeom prst="rect"/>
                        <a:ln/>
                      </pic:spPr>
                    </pic:pic>
                  </a:graphicData>
                </a:graphic>
              </wp:anchor>
            </w:drawing>
          </mc:Fallback>
        </mc:AlternateContent>
      </w:r>
      <w:r w:rsidRPr="003E2870">
        <w:rPr>
          <w:noProof/>
          <w:lang w:val="es-MX"/>
        </w:rPr>
        <mc:AlternateContent>
          <mc:Choice Requires="wps">
            <w:drawing>
              <wp:anchor distT="0" distB="0" distL="114300" distR="114300" simplePos="0" relativeHeight="251665408" behindDoc="0" locked="0" layoutInCell="1" hidden="0" allowOverlap="1" wp14:anchorId="6612817B" wp14:editId="6EFE2CA3">
                <wp:simplePos x="0" y="0"/>
                <wp:positionH relativeFrom="column">
                  <wp:posOffset>3200400</wp:posOffset>
                </wp:positionH>
                <wp:positionV relativeFrom="paragraph">
                  <wp:posOffset>6121400</wp:posOffset>
                </wp:positionV>
                <wp:extent cx="0" cy="25400"/>
                <wp:effectExtent l="0" t="0" r="0" b="0"/>
                <wp:wrapNone/>
                <wp:docPr id="1971430113" name="Conector recto de flecha 1971430113"/>
                <wp:cNvGraphicFramePr/>
                <a:graphic xmlns:a="http://schemas.openxmlformats.org/drawingml/2006/main">
                  <a:graphicData uri="http://schemas.microsoft.com/office/word/2010/wordprocessingShape">
                    <wps:wsp>
                      <wps:cNvCnPr/>
                      <wps:spPr>
                        <a:xfrm>
                          <a:off x="5038694" y="3780000"/>
                          <a:ext cx="614612" cy="0"/>
                        </a:xfrm>
                        <a:prstGeom prst="straightConnector1">
                          <a:avLst/>
                        </a:prstGeom>
                        <a:noFill/>
                        <a:ln w="25400" cap="flat" cmpd="sng">
                          <a:solidFill>
                            <a:srgbClr val="0070C0"/>
                          </a:solidFill>
                          <a:prstDash val="solid"/>
                          <a:round/>
                          <a:headEnd type="none" w="sm" len="sm"/>
                          <a:tailEnd type="none" w="sm" len="sm"/>
                        </a:ln>
                        <a:effectLst>
                          <a:outerShdw blurRad="40000" dist="20000" dir="5400000" rotWithShape="0">
                            <a:srgbClr val="000000">
                              <a:alpha val="36862"/>
                            </a:srgbClr>
                          </a:outerShdw>
                        </a:effectLst>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3200400</wp:posOffset>
                </wp:positionH>
                <wp:positionV relativeFrom="paragraph">
                  <wp:posOffset>6121400</wp:posOffset>
                </wp:positionV>
                <wp:extent cx="0" cy="25400"/>
                <wp:effectExtent b="0" l="0" r="0" t="0"/>
                <wp:wrapNone/>
                <wp:docPr id="1971430113" name="image36.png"/>
                <a:graphic>
                  <a:graphicData uri="http://schemas.openxmlformats.org/drawingml/2006/picture">
                    <pic:pic>
                      <pic:nvPicPr>
                        <pic:cNvPr id="0" name="image36.png"/>
                        <pic:cNvPicPr preferRelativeResize="0"/>
                      </pic:nvPicPr>
                      <pic:blipFill>
                        <a:blip r:embed="rId30"/>
                        <a:srcRect/>
                        <a:stretch>
                          <a:fillRect/>
                        </a:stretch>
                      </pic:blipFill>
                      <pic:spPr>
                        <a:xfrm>
                          <a:off x="0" y="0"/>
                          <a:ext cx="0" cy="25400"/>
                        </a:xfrm>
                        <a:prstGeom prst="rect"/>
                        <a:ln/>
                      </pic:spPr>
                    </pic:pic>
                  </a:graphicData>
                </a:graphic>
              </wp:anchor>
            </w:drawing>
          </mc:Fallback>
        </mc:AlternateContent>
      </w:r>
    </w:p>
    <w:p w14:paraId="5A5E1F5C" w14:textId="77777777" w:rsidR="002128E2" w:rsidRPr="003E2870" w:rsidRDefault="00830CED">
      <w:pPr>
        <w:spacing w:before="240" w:after="240" w:line="360" w:lineRule="auto"/>
        <w:ind w:right="49"/>
        <w:jc w:val="center"/>
        <w:rPr>
          <w:rFonts w:ascii="Palatino Linotype" w:eastAsia="Palatino Linotype" w:hAnsi="Palatino Linotype" w:cs="Palatino Linotype"/>
          <w:sz w:val="22"/>
          <w:szCs w:val="22"/>
        </w:rPr>
      </w:pPr>
      <w:r w:rsidRPr="003E2870">
        <w:rPr>
          <w:rFonts w:ascii="Palatino Linotype" w:eastAsia="Palatino Linotype" w:hAnsi="Palatino Linotype" w:cs="Palatino Linotype"/>
          <w:noProof/>
          <w:sz w:val="22"/>
          <w:szCs w:val="22"/>
          <w:lang w:val="es-MX"/>
        </w:rPr>
        <w:drawing>
          <wp:inline distT="0" distB="0" distL="0" distR="0" wp14:anchorId="28036B11" wp14:editId="262F3CC6">
            <wp:extent cx="5040000" cy="3043481"/>
            <wp:effectExtent l="0" t="0" r="0" b="0"/>
            <wp:docPr id="197143014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1"/>
                    <a:srcRect/>
                    <a:stretch>
                      <a:fillRect/>
                    </a:stretch>
                  </pic:blipFill>
                  <pic:spPr>
                    <a:xfrm>
                      <a:off x="0" y="0"/>
                      <a:ext cx="5040000" cy="3043481"/>
                    </a:xfrm>
                    <a:prstGeom prst="rect">
                      <a:avLst/>
                    </a:prstGeom>
                    <a:ln/>
                  </pic:spPr>
                </pic:pic>
              </a:graphicData>
            </a:graphic>
          </wp:inline>
        </w:drawing>
      </w:r>
      <w:r w:rsidRPr="003E2870">
        <w:rPr>
          <w:rFonts w:ascii="Palatino Linotype" w:eastAsia="Palatino Linotype" w:hAnsi="Palatino Linotype" w:cs="Palatino Linotype"/>
          <w:noProof/>
          <w:sz w:val="22"/>
          <w:szCs w:val="22"/>
          <w:lang w:val="es-MX"/>
        </w:rPr>
        <w:drawing>
          <wp:inline distT="0" distB="0" distL="0" distR="0" wp14:anchorId="7D3B4A59" wp14:editId="66A0310A">
            <wp:extent cx="5040000" cy="3380192"/>
            <wp:effectExtent l="0" t="0" r="0" b="0"/>
            <wp:docPr id="197143014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2"/>
                    <a:srcRect/>
                    <a:stretch>
                      <a:fillRect/>
                    </a:stretch>
                  </pic:blipFill>
                  <pic:spPr>
                    <a:xfrm>
                      <a:off x="0" y="0"/>
                      <a:ext cx="5040000" cy="3380192"/>
                    </a:xfrm>
                    <a:prstGeom prst="rect">
                      <a:avLst/>
                    </a:prstGeom>
                    <a:ln/>
                  </pic:spPr>
                </pic:pic>
              </a:graphicData>
            </a:graphic>
          </wp:inline>
        </w:drawing>
      </w:r>
    </w:p>
    <w:p w14:paraId="67E5E117" w14:textId="77777777" w:rsidR="002128E2" w:rsidRPr="003E2870" w:rsidRDefault="00830CED">
      <w:pPr>
        <w:spacing w:before="240" w:after="240" w:line="360" w:lineRule="auto"/>
        <w:ind w:right="49"/>
        <w:jc w:val="both"/>
        <w:rPr>
          <w:rFonts w:ascii="Palatino Linotype" w:eastAsia="Palatino Linotype" w:hAnsi="Palatino Linotype" w:cs="Palatino Linotype"/>
        </w:rPr>
      </w:pPr>
      <w:bookmarkStart w:id="4" w:name="_heading=h.1fob9te" w:colFirst="0" w:colLast="0"/>
      <w:bookmarkEnd w:id="4"/>
      <w:r w:rsidRPr="003E2870">
        <w:rPr>
          <w:rFonts w:ascii="Palatino Linotype" w:eastAsia="Palatino Linotype" w:hAnsi="Palatino Linotype" w:cs="Palatino Linotype"/>
          <w:sz w:val="22"/>
          <w:szCs w:val="22"/>
        </w:rPr>
        <w:lastRenderedPageBreak/>
        <w:t xml:space="preserve">En esta línea de pensamiento, dado que el </w:t>
      </w:r>
      <w:r w:rsidRPr="003E2870">
        <w:rPr>
          <w:rFonts w:ascii="Palatino Linotype" w:eastAsia="Palatino Linotype" w:hAnsi="Palatino Linotype" w:cs="Palatino Linotype"/>
          <w:b/>
          <w:sz w:val="22"/>
          <w:szCs w:val="22"/>
        </w:rPr>
        <w:t xml:space="preserve">Sujeto Obligado, </w:t>
      </w:r>
      <w:r w:rsidRPr="003E2870">
        <w:rPr>
          <w:rFonts w:ascii="Palatino Linotype" w:eastAsia="Palatino Linotype" w:hAnsi="Palatino Linotype" w:cs="Palatino Linotype"/>
          <w:sz w:val="22"/>
          <w:szCs w:val="22"/>
        </w:rPr>
        <w:t xml:space="preserve">al ser un ente retenedor del Impuesto Sobre la Renta que se genere por ingresos por salarios -y en general por la prestación de un servicio personal subordinado-, y encontrarse constreñido a generar y entregar un CFDI que ampare dichas retenciones para el cumplimiento de las obligaciones fiscales que le impone la Ley, para lo cual es indispensable que se encuentre inscrito en el Registro Federal de Contribuyentes y cuente con la clave correspondiente de RFC, así como una contraseña y una firma electrónica o </w:t>
      </w:r>
      <w:proofErr w:type="spellStart"/>
      <w:r w:rsidRPr="003E2870">
        <w:rPr>
          <w:rFonts w:ascii="Palatino Linotype" w:eastAsia="Palatino Linotype" w:hAnsi="Palatino Linotype" w:cs="Palatino Linotype"/>
          <w:sz w:val="22"/>
          <w:szCs w:val="22"/>
        </w:rPr>
        <w:t>e.firma</w:t>
      </w:r>
      <w:proofErr w:type="spellEnd"/>
      <w:r w:rsidRPr="003E2870">
        <w:rPr>
          <w:rFonts w:ascii="Palatino Linotype" w:eastAsia="Palatino Linotype" w:hAnsi="Palatino Linotype" w:cs="Palatino Linotype"/>
          <w:sz w:val="22"/>
          <w:szCs w:val="22"/>
        </w:rPr>
        <w:t xml:space="preserve">, se concluye que se encuentra en posibilidad de entregar la información que es tema de estudio, toda vez que </w:t>
      </w:r>
      <w:r w:rsidRPr="003E2870">
        <w:rPr>
          <w:rFonts w:ascii="Palatino Linotype" w:eastAsia="Palatino Linotype" w:hAnsi="Palatino Linotype" w:cs="Palatino Linotype"/>
          <w:b/>
          <w:sz w:val="22"/>
          <w:szCs w:val="22"/>
          <w:u w:val="single"/>
        </w:rPr>
        <w:t xml:space="preserve">la información alojada en el aplicativo </w:t>
      </w:r>
      <w:r w:rsidRPr="003E2870">
        <w:rPr>
          <w:rFonts w:ascii="Palatino Linotype" w:eastAsia="Palatino Linotype" w:hAnsi="Palatino Linotype" w:cs="Palatino Linotype"/>
          <w:b/>
          <w:i/>
          <w:sz w:val="22"/>
          <w:szCs w:val="22"/>
          <w:u w:val="single"/>
        </w:rPr>
        <w:t>Visor de comprobantes de nómina del patrón</w:t>
      </w:r>
      <w:r w:rsidRPr="003E2870">
        <w:rPr>
          <w:rFonts w:ascii="Palatino Linotype" w:eastAsia="Palatino Linotype" w:hAnsi="Palatino Linotype" w:cs="Palatino Linotype"/>
          <w:b/>
          <w:sz w:val="22"/>
          <w:szCs w:val="22"/>
          <w:u w:val="single"/>
        </w:rPr>
        <w:t xml:space="preserve"> del SAT -al cual tiene acceso a través de su clave de RFC, y su contraseña o </w:t>
      </w:r>
      <w:proofErr w:type="spellStart"/>
      <w:r w:rsidRPr="003E2870">
        <w:rPr>
          <w:rFonts w:ascii="Palatino Linotype" w:eastAsia="Palatino Linotype" w:hAnsi="Palatino Linotype" w:cs="Palatino Linotype"/>
          <w:b/>
          <w:sz w:val="22"/>
          <w:szCs w:val="22"/>
          <w:u w:val="single"/>
        </w:rPr>
        <w:t>e.firma</w:t>
      </w:r>
      <w:proofErr w:type="spellEnd"/>
      <w:r w:rsidRPr="003E2870">
        <w:rPr>
          <w:rFonts w:ascii="Palatino Linotype" w:eastAsia="Palatino Linotype" w:hAnsi="Palatino Linotype" w:cs="Palatino Linotype"/>
          <w:b/>
          <w:sz w:val="22"/>
          <w:szCs w:val="22"/>
          <w:u w:val="single"/>
        </w:rPr>
        <w:t xml:space="preserve">-, se alimenta de forma automática mediante el timbrado de los </w:t>
      </w:r>
      <w:proofErr w:type="spellStart"/>
      <w:r w:rsidRPr="003E2870">
        <w:rPr>
          <w:rFonts w:ascii="Palatino Linotype" w:eastAsia="Palatino Linotype" w:hAnsi="Palatino Linotype" w:cs="Palatino Linotype"/>
          <w:b/>
          <w:sz w:val="22"/>
          <w:szCs w:val="22"/>
          <w:u w:val="single"/>
        </w:rPr>
        <w:t>CFDIs</w:t>
      </w:r>
      <w:proofErr w:type="spellEnd"/>
      <w:r w:rsidRPr="003E2870">
        <w:rPr>
          <w:rFonts w:ascii="Palatino Linotype" w:eastAsia="Palatino Linotype" w:hAnsi="Palatino Linotype" w:cs="Palatino Linotype"/>
          <w:b/>
          <w:sz w:val="22"/>
          <w:szCs w:val="22"/>
          <w:u w:val="single"/>
        </w:rPr>
        <w:t xml:space="preserve"> de  nómina, una vez que estos se generan</w:t>
      </w:r>
      <w:r w:rsidRPr="003E2870">
        <w:rPr>
          <w:rFonts w:ascii="Palatino Linotype" w:eastAsia="Palatino Linotype" w:hAnsi="Palatino Linotype" w:cs="Palatino Linotype"/>
          <w:sz w:val="22"/>
          <w:szCs w:val="22"/>
        </w:rPr>
        <w:t xml:space="preserve">, siendo información que administra como usuario del portal de Trámites y Servicios del SAT; por consiguiente, es procedente ordenar se haga entrega de los reportes generados en dicho aplicativo, referentemente en formato PDF, o en el que se hubieran generado, correspondientes al </w:t>
      </w:r>
      <w:r w:rsidRPr="003E2870">
        <w:rPr>
          <w:rFonts w:ascii="Palatino Linotype" w:eastAsia="Palatino Linotype" w:hAnsi="Palatino Linotype" w:cs="Palatino Linotype"/>
          <w:b/>
          <w:sz w:val="22"/>
          <w:szCs w:val="22"/>
        </w:rPr>
        <w:t>Detalle del “Total por Sueldos y Salarios” y Detalle del “Total por Asimilados a Salarios”,</w:t>
      </w:r>
      <w:r w:rsidRPr="003E2870">
        <w:rPr>
          <w:rFonts w:ascii="Palatino Linotype" w:eastAsia="Palatino Linotype" w:hAnsi="Palatino Linotype" w:cs="Palatino Linotype"/>
          <w:sz w:val="22"/>
          <w:szCs w:val="22"/>
        </w:rPr>
        <w:t xml:space="preserve"> los cuales </w:t>
      </w:r>
      <w:r w:rsidRPr="003E2870">
        <w:rPr>
          <w:rFonts w:ascii="Palatino Linotype" w:eastAsia="Palatino Linotype" w:hAnsi="Palatino Linotype" w:cs="Palatino Linotype"/>
          <w:b/>
          <w:sz w:val="22"/>
          <w:szCs w:val="22"/>
          <w:u w:val="single"/>
        </w:rPr>
        <w:t>dan cuenta de la diferencia del ISR retenido y enterado de forma mensual</w:t>
      </w:r>
      <w:r w:rsidRPr="003E2870">
        <w:rPr>
          <w:rFonts w:ascii="Palatino Linotype" w:eastAsia="Palatino Linotype" w:hAnsi="Palatino Linotype" w:cs="Palatino Linotype"/>
          <w:sz w:val="22"/>
          <w:szCs w:val="22"/>
        </w:rPr>
        <w:t xml:space="preserve">; así como la </w:t>
      </w:r>
      <w:r w:rsidRPr="003E2870">
        <w:rPr>
          <w:rFonts w:ascii="Palatino Linotype" w:eastAsia="Palatino Linotype" w:hAnsi="Palatino Linotype" w:cs="Palatino Linotype"/>
          <w:b/>
          <w:sz w:val="22"/>
          <w:szCs w:val="22"/>
        </w:rPr>
        <w:t>Vista anual acumulada</w:t>
      </w:r>
      <w:r w:rsidRPr="003E2870">
        <w:rPr>
          <w:rFonts w:ascii="Palatino Linotype" w:eastAsia="Palatino Linotype" w:hAnsi="Palatino Linotype" w:cs="Palatino Linotype"/>
          <w:sz w:val="22"/>
          <w:szCs w:val="22"/>
        </w:rPr>
        <w:t xml:space="preserve">, que </w:t>
      </w:r>
      <w:r w:rsidRPr="003E2870">
        <w:rPr>
          <w:rFonts w:ascii="Palatino Linotype" w:eastAsia="Palatino Linotype" w:hAnsi="Palatino Linotype" w:cs="Palatino Linotype"/>
          <w:b/>
          <w:sz w:val="22"/>
          <w:szCs w:val="22"/>
          <w:u w:val="single"/>
        </w:rPr>
        <w:t>da cuenta del total de ISR retenido por ejercicio,</w:t>
      </w:r>
      <w:r w:rsidRPr="003E2870">
        <w:rPr>
          <w:rFonts w:ascii="Palatino Linotype" w:eastAsia="Palatino Linotype" w:hAnsi="Palatino Linotype" w:cs="Palatino Linotype"/>
          <w:sz w:val="22"/>
          <w:szCs w:val="22"/>
        </w:rPr>
        <w:t xml:space="preserve"> de cuyo análisis la persona solicitante podrá advertir el monto recuperado por la Secretaría de Finanzas de la entidad, del uno de enero de dos mil veinte al treinta de agosto de dos mil veinticuatro</w:t>
      </w:r>
      <w:r w:rsidRPr="003E2870">
        <w:rPr>
          <w:rFonts w:ascii="Palatino Linotype" w:eastAsia="Palatino Linotype" w:hAnsi="Palatino Linotype" w:cs="Palatino Linotype"/>
        </w:rPr>
        <w:t>.</w:t>
      </w:r>
    </w:p>
    <w:p w14:paraId="78F912EF" w14:textId="77777777" w:rsidR="002128E2" w:rsidRPr="003E2870" w:rsidRDefault="00830CED">
      <w:pPr>
        <w:spacing w:before="240" w:after="240" w:line="360" w:lineRule="auto"/>
        <w:ind w:right="49"/>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 xml:space="preserve">Para efectos de lo anterior, es oportuno reiterar que el requerimiento de información deberá turnarse a los servidores públicos habilitados de las dependencias o unidades administrativas competentes para conocer del mismo de acuerdo con sus atribuciones, quienes deberán realizar la búsqueda exhaustiva y razonable en los archivos de las áreas a su cargo, preponderantemente aquellas responsables del timbrado de los </w:t>
      </w:r>
      <w:proofErr w:type="spellStart"/>
      <w:r w:rsidRPr="003E2870">
        <w:rPr>
          <w:rFonts w:ascii="Palatino Linotype" w:eastAsia="Palatino Linotype" w:hAnsi="Palatino Linotype" w:cs="Palatino Linotype"/>
          <w:sz w:val="22"/>
          <w:szCs w:val="22"/>
        </w:rPr>
        <w:t>CFDIs</w:t>
      </w:r>
      <w:proofErr w:type="spellEnd"/>
      <w:r w:rsidRPr="003E2870">
        <w:rPr>
          <w:rFonts w:ascii="Palatino Linotype" w:eastAsia="Palatino Linotype" w:hAnsi="Palatino Linotype" w:cs="Palatino Linotype"/>
          <w:sz w:val="22"/>
          <w:szCs w:val="22"/>
        </w:rPr>
        <w:t xml:space="preserve"> de nómina, en la cual no se podrá excluir al Sistema Municipal DIF en Texcaltitlán y el Instituto </w:t>
      </w:r>
      <w:r w:rsidRPr="003E2870">
        <w:rPr>
          <w:rFonts w:ascii="Palatino Linotype" w:eastAsia="Palatino Linotype" w:hAnsi="Palatino Linotype" w:cs="Palatino Linotype"/>
          <w:sz w:val="22"/>
          <w:szCs w:val="22"/>
        </w:rPr>
        <w:lastRenderedPageBreak/>
        <w:t>Municipal de Cultura Física y Deporte de Texcaltitlán, como organismos descentralizados de la administración pública municipal y la Defensoría Municipal de Derechos Humanos.</w:t>
      </w:r>
    </w:p>
    <w:p w14:paraId="06584407" w14:textId="77777777" w:rsidR="002128E2" w:rsidRPr="003E2870" w:rsidRDefault="00830CED">
      <w:pPr>
        <w:spacing w:before="240"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 xml:space="preserve">No obsta mencionar que la normatividad aplicable no establece como obligatorio el uso de dicha herramienta, por lo que, si la información a la que se hace referencia no obra en los archivos del </w:t>
      </w:r>
      <w:r w:rsidRPr="003E2870">
        <w:rPr>
          <w:rFonts w:ascii="Palatino Linotype" w:eastAsia="Palatino Linotype" w:hAnsi="Palatino Linotype" w:cs="Palatino Linotype"/>
          <w:b/>
          <w:sz w:val="22"/>
          <w:szCs w:val="22"/>
        </w:rPr>
        <w:t>Sujeto Obligado</w:t>
      </w:r>
      <w:r w:rsidRPr="003E2870">
        <w:rPr>
          <w:rFonts w:ascii="Palatino Linotype" w:eastAsia="Palatino Linotype" w:hAnsi="Palatino Linotype" w:cs="Palatino Linotype"/>
          <w:sz w:val="22"/>
          <w:szCs w:val="22"/>
        </w:rPr>
        <w:t>, bastará con que así se haga del conocimiento del particular para tener por colmado el derecho de acceso del particular, en términos del artículo 19, párrafo segundo de la Ley de Transparencia y Acceso a la Información Pública del Estado de México y Municipios, a saber:</w:t>
      </w:r>
    </w:p>
    <w:p w14:paraId="033674EC" w14:textId="77777777" w:rsidR="002128E2" w:rsidRPr="003E2870" w:rsidRDefault="00830CED">
      <w:pPr>
        <w:spacing w:before="120" w:after="120"/>
        <w:ind w:left="851" w:right="902"/>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i/>
          <w:sz w:val="22"/>
          <w:szCs w:val="22"/>
        </w:rPr>
        <w:t>“</w:t>
      </w:r>
      <w:r w:rsidRPr="003E2870">
        <w:rPr>
          <w:rFonts w:ascii="Palatino Linotype" w:eastAsia="Palatino Linotype" w:hAnsi="Palatino Linotype" w:cs="Palatino Linotype"/>
          <w:b/>
          <w:i/>
          <w:sz w:val="22"/>
          <w:szCs w:val="22"/>
        </w:rPr>
        <w:t>Artículo 19</w:t>
      </w:r>
      <w:r w:rsidRPr="003E2870">
        <w:rPr>
          <w:rFonts w:ascii="Palatino Linotype" w:eastAsia="Palatino Linotype" w:hAnsi="Palatino Linotype" w:cs="Palatino Linotype"/>
          <w:i/>
          <w:sz w:val="22"/>
          <w:szCs w:val="22"/>
        </w:rPr>
        <w:t>…</w:t>
      </w:r>
    </w:p>
    <w:p w14:paraId="5B3033EF" w14:textId="77777777" w:rsidR="002128E2" w:rsidRPr="003E2870" w:rsidRDefault="00830CED">
      <w:pPr>
        <w:spacing w:before="120" w:after="120"/>
        <w:ind w:left="851" w:right="902"/>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63454C7D" w14:textId="77777777" w:rsidR="002128E2" w:rsidRPr="003E2870" w:rsidRDefault="00830CED">
      <w:pPr>
        <w:spacing w:before="240" w:after="240" w:line="360" w:lineRule="auto"/>
        <w:ind w:right="49"/>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 xml:space="preserve">Lo anterior es así en virtud de que los entes públicos únicamente se encuentran obligados a entregar aquella información que les sea requerida y que hubieran generado, administren o posean y obre en sus archivos, en estado en el que se encuentre, más no se les constriñe a procesar, generar o resumir información, realizar cálculos, practicar investigaciones o elaborar documentos </w:t>
      </w:r>
      <w:r w:rsidRPr="003E2870">
        <w:rPr>
          <w:rFonts w:ascii="Palatino Linotype" w:eastAsia="Palatino Linotype" w:hAnsi="Palatino Linotype" w:cs="Palatino Linotype"/>
          <w:i/>
          <w:sz w:val="22"/>
          <w:szCs w:val="22"/>
        </w:rPr>
        <w:t>ad hoc</w:t>
      </w:r>
      <w:r w:rsidRPr="003E2870">
        <w:rPr>
          <w:rFonts w:ascii="Palatino Linotype" w:eastAsia="Palatino Linotype" w:hAnsi="Palatino Linotype" w:cs="Palatino Linotype"/>
          <w:sz w:val="22"/>
          <w:szCs w:val="22"/>
        </w:rPr>
        <w:t xml:space="preserve"> para presentarla conforme al interés de los solicitantes, lo cual, toma sustento en el párrafo segundo del artículo 12 de la Ley de Transparencia y Acceso a la Información Pública del Estado de México y Municipios.</w:t>
      </w:r>
    </w:p>
    <w:p w14:paraId="74944122" w14:textId="77777777" w:rsidR="002128E2" w:rsidRPr="003E2870" w:rsidRDefault="00830CED">
      <w:pPr>
        <w:shd w:val="clear" w:color="auto" w:fill="EBF1DD"/>
        <w:spacing w:before="240" w:after="240" w:line="360" w:lineRule="auto"/>
        <w:ind w:right="49"/>
        <w:jc w:val="both"/>
        <w:rPr>
          <w:rFonts w:ascii="Palatino Linotype" w:eastAsia="Palatino Linotype" w:hAnsi="Palatino Linotype" w:cs="Palatino Linotype"/>
          <w:b/>
          <w:sz w:val="22"/>
          <w:szCs w:val="22"/>
        </w:rPr>
      </w:pPr>
      <w:r w:rsidRPr="003E2870">
        <w:rPr>
          <w:rFonts w:ascii="Palatino Linotype" w:eastAsia="Palatino Linotype" w:hAnsi="Palatino Linotype" w:cs="Palatino Linotype"/>
          <w:b/>
          <w:sz w:val="22"/>
          <w:szCs w:val="22"/>
        </w:rPr>
        <w:t>2. Reporte emitido por la Secretaría de Finanzas del Estado en el que se especifica el monto del ISR que se obtuvo en devolución, de enero de dos mil quince a agosto de dos mil veinticuatro.</w:t>
      </w:r>
    </w:p>
    <w:p w14:paraId="76939A80" w14:textId="77777777" w:rsidR="002128E2" w:rsidRPr="003E2870" w:rsidRDefault="00830CED">
      <w:pPr>
        <w:shd w:val="clear" w:color="auto" w:fill="EBF1DD"/>
        <w:spacing w:before="240" w:after="240" w:line="360" w:lineRule="auto"/>
        <w:ind w:right="49"/>
        <w:jc w:val="both"/>
        <w:rPr>
          <w:rFonts w:ascii="Palatino Linotype" w:eastAsia="Palatino Linotype" w:hAnsi="Palatino Linotype" w:cs="Palatino Linotype"/>
          <w:b/>
          <w:sz w:val="22"/>
          <w:szCs w:val="22"/>
        </w:rPr>
      </w:pPr>
      <w:r w:rsidRPr="003E2870">
        <w:rPr>
          <w:rFonts w:ascii="Palatino Linotype" w:eastAsia="Palatino Linotype" w:hAnsi="Palatino Linotype" w:cs="Palatino Linotype"/>
          <w:b/>
          <w:sz w:val="22"/>
          <w:szCs w:val="22"/>
        </w:rPr>
        <w:t xml:space="preserve">3. Reporte emitido por el software de contabilidad gubernamental en el que se pueda apreciar el control del saldo pendiente de recuperar del ISR participable, al treinta de </w:t>
      </w:r>
      <w:r w:rsidRPr="003E2870">
        <w:rPr>
          <w:rFonts w:ascii="Palatino Linotype" w:eastAsia="Palatino Linotype" w:hAnsi="Palatino Linotype" w:cs="Palatino Linotype"/>
          <w:b/>
          <w:sz w:val="22"/>
          <w:szCs w:val="22"/>
        </w:rPr>
        <w:lastRenderedPageBreak/>
        <w:t>agosto de dos mil veinticuatro. Puede ser el auxiliar contable de una cuenta de activo, una nota de desglose a los estados financieros.</w:t>
      </w:r>
    </w:p>
    <w:p w14:paraId="179B2919" w14:textId="77777777" w:rsidR="002128E2" w:rsidRPr="003E2870" w:rsidRDefault="00830CED">
      <w:pPr>
        <w:spacing w:before="240"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 xml:space="preserve">Debemos recordar que la </w:t>
      </w:r>
      <w:r w:rsidRPr="003E2870">
        <w:rPr>
          <w:rFonts w:ascii="Palatino Linotype" w:eastAsia="Palatino Linotype" w:hAnsi="Palatino Linotype" w:cs="Palatino Linotype"/>
          <w:b/>
          <w:sz w:val="22"/>
          <w:szCs w:val="22"/>
        </w:rPr>
        <w:t>Tesorería Municipal</w:t>
      </w:r>
      <w:r w:rsidRPr="003E2870">
        <w:rPr>
          <w:rFonts w:ascii="Palatino Linotype" w:eastAsia="Palatino Linotype" w:hAnsi="Palatino Linotype" w:cs="Palatino Linotype"/>
          <w:sz w:val="22"/>
          <w:szCs w:val="22"/>
        </w:rPr>
        <w:t xml:space="preserve"> manifestó que por cuanto hace al punto 3 no encontraron como obtener la información que solicita, por lo que amablemente le extienden una invitación a la persona solicitante para presentarse en las oficinas de la Tesorería Municipal para que muestre como obtener la información solicitada y estar en condiciones de entregarla, mientras que en lo referente al número 2, ya que emite el reporte la Secretaría de Finanzas, podría solicitárselo a dicha Secretaría.</w:t>
      </w:r>
    </w:p>
    <w:p w14:paraId="36845CA7" w14:textId="77777777" w:rsidR="002128E2" w:rsidRPr="003E2870" w:rsidRDefault="00830CED">
      <w:pPr>
        <w:spacing w:before="240"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Así las cosas, en primera instancia, debe mencionarse que derivado del timbrado de la nómina, los entes públicos pueden acceder al beneficio fiscal de obtener la devolución de las retenciones de ISR enteradas sobre los sueldos que paguen a los trabajadores; esto, de conformidad con el artículo 3-B de la Ley de Coordinación Fiscal, a saber:</w:t>
      </w:r>
    </w:p>
    <w:p w14:paraId="0EE351D5" w14:textId="77777777" w:rsidR="002128E2" w:rsidRPr="003E2870" w:rsidRDefault="00830CED">
      <w:pPr>
        <w:spacing w:before="120" w:after="120"/>
        <w:ind w:left="851" w:right="902"/>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b/>
          <w:i/>
          <w:sz w:val="22"/>
          <w:szCs w:val="22"/>
        </w:rPr>
        <w:t>“Artículo 3-B</w:t>
      </w:r>
      <w:r w:rsidRPr="003E2870">
        <w:rPr>
          <w:rFonts w:ascii="Palatino Linotype" w:eastAsia="Palatino Linotype" w:hAnsi="Palatino Linotype" w:cs="Palatino Linotype"/>
          <w:i/>
          <w:sz w:val="22"/>
          <w:szCs w:val="22"/>
        </w:rPr>
        <w:t xml:space="preserve">.- Las </w:t>
      </w:r>
      <w:r w:rsidRPr="003E2870">
        <w:rPr>
          <w:rFonts w:ascii="Palatino Linotype" w:eastAsia="Palatino Linotype" w:hAnsi="Palatino Linotype" w:cs="Palatino Linotype"/>
          <w:b/>
          <w:i/>
          <w:sz w:val="22"/>
          <w:szCs w:val="22"/>
        </w:rPr>
        <w:t xml:space="preserve">entidades </w:t>
      </w:r>
      <w:r w:rsidRPr="003E2870">
        <w:rPr>
          <w:rFonts w:ascii="Palatino Linotype" w:eastAsia="Palatino Linotype" w:hAnsi="Palatino Linotype" w:cs="Palatino Linotype"/>
          <w:b/>
          <w:i/>
          <w:sz w:val="22"/>
          <w:szCs w:val="22"/>
          <w:u w:val="single"/>
        </w:rPr>
        <w:t>adheridas al Sistema Nacional de Coordinación Fiscal</w:t>
      </w:r>
      <w:r w:rsidRPr="003E2870">
        <w:rPr>
          <w:rFonts w:ascii="Palatino Linotype" w:eastAsia="Palatino Linotype" w:hAnsi="Palatino Linotype" w:cs="Palatino Linotype"/>
          <w:i/>
          <w:sz w:val="22"/>
          <w:szCs w:val="22"/>
        </w:rPr>
        <w:t xml:space="preserve"> </w:t>
      </w:r>
      <w:r w:rsidRPr="003E2870">
        <w:rPr>
          <w:rFonts w:ascii="Palatino Linotype" w:eastAsia="Palatino Linotype" w:hAnsi="Palatino Linotype" w:cs="Palatino Linotype"/>
          <w:b/>
          <w:i/>
          <w:sz w:val="22"/>
          <w:szCs w:val="22"/>
        </w:rPr>
        <w:t>participarán al 100% de la recaudación que se obtenga del impuesto sobre la renta</w:t>
      </w:r>
      <w:r w:rsidRPr="003E2870">
        <w:rPr>
          <w:rFonts w:ascii="Palatino Linotype" w:eastAsia="Palatino Linotype" w:hAnsi="Palatino Linotype" w:cs="Palatino Linotype"/>
          <w:i/>
          <w:sz w:val="22"/>
          <w:szCs w:val="22"/>
        </w:rPr>
        <w:t xml:space="preserve"> </w:t>
      </w:r>
      <w:r w:rsidRPr="003E2870">
        <w:rPr>
          <w:rFonts w:ascii="Palatino Linotype" w:eastAsia="Palatino Linotype" w:hAnsi="Palatino Linotype" w:cs="Palatino Linotype"/>
          <w:b/>
          <w:i/>
          <w:sz w:val="22"/>
          <w:szCs w:val="22"/>
          <w:u w:val="single"/>
        </w:rPr>
        <w:t>que efectivamente se entere a la Federación</w:t>
      </w:r>
      <w:r w:rsidRPr="003E2870">
        <w:rPr>
          <w:rFonts w:ascii="Palatino Linotype" w:eastAsia="Palatino Linotype" w:hAnsi="Palatino Linotype" w:cs="Palatino Linotype"/>
          <w:i/>
          <w:sz w:val="22"/>
          <w:szCs w:val="22"/>
        </w:rPr>
        <w:t xml:space="preserve">, </w:t>
      </w:r>
      <w:r w:rsidRPr="003E2870">
        <w:rPr>
          <w:rFonts w:ascii="Palatino Linotype" w:eastAsia="Palatino Linotype" w:hAnsi="Palatino Linotype" w:cs="Palatino Linotype"/>
          <w:b/>
          <w:i/>
          <w:sz w:val="22"/>
          <w:szCs w:val="22"/>
        </w:rPr>
        <w:t>correspondiente al salario del personal que preste o desempeñe un servicio personal subordinado en las dependencias</w:t>
      </w:r>
      <w:r w:rsidRPr="003E2870">
        <w:rPr>
          <w:rFonts w:ascii="Palatino Linotype" w:eastAsia="Palatino Linotype" w:hAnsi="Palatino Linotype" w:cs="Palatino Linotype"/>
          <w:i/>
          <w:sz w:val="22"/>
          <w:szCs w:val="22"/>
        </w:rPr>
        <w:t xml:space="preserve"> de la entidad federativa, </w:t>
      </w:r>
      <w:r w:rsidRPr="003E2870">
        <w:rPr>
          <w:rFonts w:ascii="Palatino Linotype" w:eastAsia="Palatino Linotype" w:hAnsi="Palatino Linotype" w:cs="Palatino Linotype"/>
          <w:b/>
          <w:i/>
          <w:sz w:val="22"/>
          <w:szCs w:val="22"/>
        </w:rPr>
        <w:t>del municipio</w:t>
      </w:r>
      <w:r w:rsidRPr="003E2870">
        <w:rPr>
          <w:rFonts w:ascii="Palatino Linotype" w:eastAsia="Palatino Linotype" w:hAnsi="Palatino Linotype" w:cs="Palatino Linotype"/>
          <w:i/>
          <w:sz w:val="22"/>
          <w:szCs w:val="22"/>
        </w:rPr>
        <w:t xml:space="preserve"> o demarcación territorial del Distrito Federal, </w:t>
      </w:r>
      <w:r w:rsidRPr="003E2870">
        <w:rPr>
          <w:rFonts w:ascii="Palatino Linotype" w:eastAsia="Palatino Linotype" w:hAnsi="Palatino Linotype" w:cs="Palatino Linotype"/>
          <w:b/>
          <w:i/>
          <w:sz w:val="22"/>
          <w:szCs w:val="22"/>
        </w:rPr>
        <w:t>así como en sus respectivos organismos autónomos y entidades</w:t>
      </w:r>
      <w:r w:rsidRPr="003E2870">
        <w:rPr>
          <w:rFonts w:ascii="Palatino Linotype" w:eastAsia="Palatino Linotype" w:hAnsi="Palatino Linotype" w:cs="Palatino Linotype"/>
          <w:i/>
          <w:sz w:val="22"/>
          <w:szCs w:val="22"/>
        </w:rPr>
        <w:t xml:space="preserve"> paraestatales y </w:t>
      </w:r>
      <w:r w:rsidRPr="003E2870">
        <w:rPr>
          <w:rFonts w:ascii="Palatino Linotype" w:eastAsia="Palatino Linotype" w:hAnsi="Palatino Linotype" w:cs="Palatino Linotype"/>
          <w:b/>
          <w:i/>
          <w:sz w:val="22"/>
          <w:szCs w:val="22"/>
        </w:rPr>
        <w:t>paramunicipales</w:t>
      </w:r>
      <w:r w:rsidRPr="003E2870">
        <w:rPr>
          <w:rFonts w:ascii="Palatino Linotype" w:eastAsia="Palatino Linotype" w:hAnsi="Palatino Linotype" w:cs="Palatino Linotype"/>
          <w:i/>
          <w:sz w:val="22"/>
          <w:szCs w:val="22"/>
        </w:rPr>
        <w:t xml:space="preserve">, </w:t>
      </w:r>
      <w:r w:rsidRPr="003E2870">
        <w:rPr>
          <w:rFonts w:ascii="Palatino Linotype" w:eastAsia="Palatino Linotype" w:hAnsi="Palatino Linotype" w:cs="Palatino Linotype"/>
          <w:b/>
          <w:i/>
          <w:sz w:val="22"/>
          <w:szCs w:val="22"/>
          <w:u w:val="single"/>
        </w:rPr>
        <w:t>siempre que el salario sea efectivamente pagado por los entes mencionados con cargo a sus participaciones u otros ingresos locales</w:t>
      </w:r>
      <w:r w:rsidRPr="003E2870">
        <w:rPr>
          <w:rFonts w:ascii="Palatino Linotype" w:eastAsia="Palatino Linotype" w:hAnsi="Palatino Linotype" w:cs="Palatino Linotype"/>
          <w:i/>
          <w:sz w:val="22"/>
          <w:szCs w:val="22"/>
        </w:rPr>
        <w:t xml:space="preserve">. </w:t>
      </w:r>
    </w:p>
    <w:p w14:paraId="41C6FFB7" w14:textId="77777777" w:rsidR="002128E2" w:rsidRPr="003E2870" w:rsidRDefault="00830CED">
      <w:pPr>
        <w:spacing w:before="120" w:after="120"/>
        <w:ind w:left="851" w:right="902"/>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i/>
          <w:sz w:val="22"/>
          <w:szCs w:val="22"/>
        </w:rPr>
        <w:t xml:space="preserve">Para efectos del párrafo anterior, se considerará la recaudación que se obtenga por el Impuesto sobre la Renta, una vez descontadas las devoluciones por dicho concepto. </w:t>
      </w:r>
    </w:p>
    <w:p w14:paraId="0A4CF72F" w14:textId="77777777" w:rsidR="002128E2" w:rsidRPr="003E2870" w:rsidRDefault="00830CED">
      <w:pPr>
        <w:spacing w:before="120" w:after="120"/>
        <w:ind w:left="851" w:right="902"/>
        <w:jc w:val="both"/>
        <w:rPr>
          <w:rFonts w:ascii="Palatino Linotype" w:eastAsia="Palatino Linotype" w:hAnsi="Palatino Linotype" w:cs="Palatino Linotype"/>
          <w:i/>
          <w:sz w:val="22"/>
          <w:szCs w:val="22"/>
          <w:u w:val="single"/>
        </w:rPr>
      </w:pPr>
      <w:r w:rsidRPr="003E2870">
        <w:rPr>
          <w:rFonts w:ascii="Palatino Linotype" w:eastAsia="Palatino Linotype" w:hAnsi="Palatino Linotype" w:cs="Palatino Linotype"/>
          <w:i/>
          <w:sz w:val="22"/>
          <w:szCs w:val="22"/>
        </w:rPr>
        <w:t xml:space="preserve">Asimismo, para que resulte aplicable lo dispuesto en el primer párrafo de este artículo, </w:t>
      </w:r>
      <w:r w:rsidRPr="003E2870">
        <w:rPr>
          <w:rFonts w:ascii="Palatino Linotype" w:eastAsia="Palatino Linotype" w:hAnsi="Palatino Linotype" w:cs="Palatino Linotype"/>
          <w:b/>
          <w:i/>
          <w:sz w:val="22"/>
          <w:szCs w:val="22"/>
          <w:u w:val="single"/>
        </w:rPr>
        <w:t>las entidades deberán enterar a la Federación el 100% de la retención que deben efectuar del Impuesto sobre la Renta</w:t>
      </w:r>
      <w:r w:rsidRPr="003E2870">
        <w:rPr>
          <w:rFonts w:ascii="Palatino Linotype" w:eastAsia="Palatino Linotype" w:hAnsi="Palatino Linotype" w:cs="Palatino Linotype"/>
          <w:b/>
          <w:i/>
          <w:sz w:val="22"/>
          <w:szCs w:val="22"/>
        </w:rPr>
        <w:t xml:space="preserve"> correspondiente a los ingresos por salarios que las entidades paguen </w:t>
      </w:r>
      <w:r w:rsidRPr="003E2870">
        <w:rPr>
          <w:rFonts w:ascii="Palatino Linotype" w:eastAsia="Palatino Linotype" w:hAnsi="Palatino Linotype" w:cs="Palatino Linotype"/>
          <w:b/>
          <w:i/>
          <w:sz w:val="22"/>
          <w:szCs w:val="22"/>
          <w:u w:val="single"/>
        </w:rPr>
        <w:t>con cargo a recursos federales</w:t>
      </w:r>
      <w:r w:rsidRPr="003E2870">
        <w:rPr>
          <w:rFonts w:ascii="Palatino Linotype" w:eastAsia="Palatino Linotype" w:hAnsi="Palatino Linotype" w:cs="Palatino Linotype"/>
          <w:i/>
          <w:sz w:val="22"/>
          <w:szCs w:val="22"/>
          <w:u w:val="single"/>
        </w:rPr>
        <w:t>.</w:t>
      </w:r>
    </w:p>
    <w:p w14:paraId="45B38889" w14:textId="77777777" w:rsidR="002128E2" w:rsidRPr="003E2870" w:rsidRDefault="00830CED">
      <w:pPr>
        <w:spacing w:before="120" w:after="120"/>
        <w:ind w:left="851" w:right="902"/>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b/>
          <w:i/>
          <w:sz w:val="22"/>
          <w:szCs w:val="22"/>
        </w:rPr>
        <w:lastRenderedPageBreak/>
        <w:t xml:space="preserve">Las entidades deberán participar a sus municipios o demarcaciones territoriales, el 100% de la recaudación del impuesto </w:t>
      </w:r>
      <w:r w:rsidRPr="003E2870">
        <w:rPr>
          <w:rFonts w:ascii="Palatino Linotype" w:eastAsia="Palatino Linotype" w:hAnsi="Palatino Linotype" w:cs="Palatino Linotype"/>
          <w:i/>
          <w:sz w:val="22"/>
          <w:szCs w:val="22"/>
        </w:rPr>
        <w:t xml:space="preserve">al que se refiere el párrafo primero de este artículo, </w:t>
      </w:r>
      <w:r w:rsidRPr="003E2870">
        <w:rPr>
          <w:rFonts w:ascii="Palatino Linotype" w:eastAsia="Palatino Linotype" w:hAnsi="Palatino Linotype" w:cs="Palatino Linotype"/>
          <w:b/>
          <w:i/>
          <w:sz w:val="22"/>
          <w:szCs w:val="22"/>
        </w:rPr>
        <w:t>correspondiente al personal que preste o desempeñe un servicio personal subordinado en el municipio o demarcación territorial de que se trate</w:t>
      </w:r>
      <w:r w:rsidRPr="003E2870">
        <w:rPr>
          <w:rFonts w:ascii="Palatino Linotype" w:eastAsia="Palatino Linotype" w:hAnsi="Palatino Linotype" w:cs="Palatino Linotype"/>
          <w:i/>
          <w:sz w:val="22"/>
          <w:szCs w:val="22"/>
        </w:rPr>
        <w:t>.”</w:t>
      </w:r>
    </w:p>
    <w:p w14:paraId="1389CE08" w14:textId="77777777" w:rsidR="002128E2" w:rsidRPr="003E2870" w:rsidRDefault="00830CED">
      <w:pPr>
        <w:spacing w:before="240"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 xml:space="preserve">Cabe señalar que dicho precepto legal se reformó mediante Decreto por el que se reforman y adicionan diversas disposiciones de la Ley de Coordinación Fiscal y de la Ley General de Contabilidad Gubernamental, publicado el nueve de diciembre de dos mil trece en el Diario Oficial de la Federación, y </w:t>
      </w:r>
      <w:r w:rsidRPr="003E2870">
        <w:rPr>
          <w:rFonts w:ascii="Palatino Linotype" w:eastAsia="Palatino Linotype" w:hAnsi="Palatino Linotype" w:cs="Palatino Linotype"/>
          <w:b/>
          <w:sz w:val="22"/>
          <w:szCs w:val="22"/>
          <w:u w:val="single"/>
        </w:rPr>
        <w:t>entró en vigor el uno de enero de dos mil quince</w:t>
      </w:r>
      <w:r w:rsidRPr="003E2870">
        <w:rPr>
          <w:rFonts w:ascii="Palatino Linotype" w:eastAsia="Palatino Linotype" w:hAnsi="Palatino Linotype" w:cs="Palatino Linotype"/>
          <w:b/>
          <w:sz w:val="22"/>
          <w:szCs w:val="22"/>
        </w:rPr>
        <w:t xml:space="preserve">, </w:t>
      </w:r>
      <w:r w:rsidRPr="003E2870">
        <w:rPr>
          <w:rFonts w:ascii="Palatino Linotype" w:eastAsia="Palatino Linotype" w:hAnsi="Palatino Linotype" w:cs="Palatino Linotype"/>
          <w:sz w:val="22"/>
          <w:szCs w:val="22"/>
        </w:rPr>
        <w:t>de conformidad con el Transitorio Noveno, a saber:</w:t>
      </w:r>
    </w:p>
    <w:p w14:paraId="28B1CFB7" w14:textId="77777777" w:rsidR="002128E2" w:rsidRPr="003E2870" w:rsidRDefault="00830CED">
      <w:pPr>
        <w:spacing w:before="120" w:after="120"/>
        <w:ind w:left="851" w:right="902"/>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b/>
          <w:i/>
          <w:sz w:val="22"/>
          <w:szCs w:val="22"/>
        </w:rPr>
        <w:t>“Noveno.-</w:t>
      </w:r>
      <w:r w:rsidRPr="003E2870">
        <w:rPr>
          <w:rFonts w:ascii="Palatino Linotype" w:eastAsia="Palatino Linotype" w:hAnsi="Palatino Linotype" w:cs="Palatino Linotype"/>
          <w:i/>
          <w:sz w:val="22"/>
          <w:szCs w:val="22"/>
        </w:rPr>
        <w:t> Lo previsto en la fracción II del artículo 2o. de la Ley de Coordinación Fiscal, respecto a la no inclusión en la recaudación federal participable del Impuesto sobre la Renta por concepto de salarios y, en general, por la prestación de un servicio personal subordinado causado por los servidores públicos; así como </w:t>
      </w:r>
      <w:r w:rsidRPr="003E2870">
        <w:rPr>
          <w:rFonts w:ascii="Palatino Linotype" w:eastAsia="Palatino Linotype" w:hAnsi="Palatino Linotype" w:cs="Palatino Linotype"/>
          <w:b/>
          <w:i/>
          <w:sz w:val="22"/>
          <w:szCs w:val="22"/>
        </w:rPr>
        <w:t>lo dispuesto en el artículo 3-B</w:t>
      </w:r>
      <w:r w:rsidRPr="003E2870">
        <w:rPr>
          <w:rFonts w:ascii="Palatino Linotype" w:eastAsia="Palatino Linotype" w:hAnsi="Palatino Linotype" w:cs="Palatino Linotype"/>
          <w:i/>
          <w:sz w:val="22"/>
          <w:szCs w:val="22"/>
        </w:rPr>
        <w:t xml:space="preserve"> de dicha Ley, </w:t>
      </w:r>
      <w:r w:rsidRPr="003E2870">
        <w:rPr>
          <w:rFonts w:ascii="Palatino Linotype" w:eastAsia="Palatino Linotype" w:hAnsi="Palatino Linotype" w:cs="Palatino Linotype"/>
          <w:b/>
          <w:i/>
          <w:sz w:val="22"/>
          <w:szCs w:val="22"/>
          <w:u w:val="single"/>
        </w:rPr>
        <w:t>entrarán en vigor el 1 de enero de 2015</w:t>
      </w:r>
      <w:r w:rsidRPr="003E2870">
        <w:rPr>
          <w:rFonts w:ascii="Palatino Linotype" w:eastAsia="Palatino Linotype" w:hAnsi="Palatino Linotype" w:cs="Palatino Linotype"/>
          <w:i/>
          <w:sz w:val="22"/>
          <w:szCs w:val="22"/>
        </w:rPr>
        <w:t>.”</w:t>
      </w:r>
    </w:p>
    <w:p w14:paraId="487A6BE8" w14:textId="77777777" w:rsidR="002128E2" w:rsidRPr="003E2870" w:rsidRDefault="00830CED">
      <w:pPr>
        <w:spacing w:before="240"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 xml:space="preserve">En este sentido, se colige que a partir del uno de enero de dos mil quince -fecha a partir de la cual se solicita la información-, las entidades adheridas al Sistema Nacional de Coordinación Fiscal,  participan al 100% de la recaudación que se obtenga del Impuesto Sobre la Renta que efectivamente se entere a la federación, correspondiente al salario del personal que preste o desempeñe un servicio personal subordinado en las dependencias de la entidad federativa, del municipio o alcaldía de la Ciudad de México, así como en sus respectivos organismos autónomos y entidades paraestatales y paramunicipales, bajo dos premisas fundamentales: </w:t>
      </w:r>
    </w:p>
    <w:p w14:paraId="1B8A879D" w14:textId="77777777" w:rsidR="002128E2" w:rsidRPr="003E2870" w:rsidRDefault="00830CED">
      <w:pPr>
        <w:spacing w:before="240" w:after="240" w:line="360" w:lineRule="auto"/>
        <w:ind w:left="284" w:right="900"/>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1. Que el salario sea efectivamente pagado con cargo a sus participaciones u otros ingresos locales.</w:t>
      </w:r>
    </w:p>
    <w:p w14:paraId="2C814DD4" w14:textId="77777777" w:rsidR="002128E2" w:rsidRPr="003E2870" w:rsidRDefault="00830CED">
      <w:pPr>
        <w:spacing w:before="240" w:after="240" w:line="360" w:lineRule="auto"/>
        <w:ind w:left="284" w:right="900"/>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2. Que hayan enterado a la Federación el 100% del ISR de los salarios que paguen con cargo a recursos federales.</w:t>
      </w:r>
    </w:p>
    <w:p w14:paraId="779395E7" w14:textId="77777777" w:rsidR="002128E2" w:rsidRPr="003E2870" w:rsidRDefault="00830CED">
      <w:pPr>
        <w:spacing w:before="240"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lastRenderedPageBreak/>
        <w:t>Asimismo, dado que no existía antecedente para distinguir el origen de los recursos utilizados en el pago de los sueldos y salarios del personal de los entes públicos, y por lo tanto del ISR, la Unidad de Coordinación con Entidades Federativas, UCEF y el Servicio de Administración Tributaria, SAT, implementaron un mecanismo para su identificación, el cual que se lleva a cabo a través del Comprobante Fiscal Digital por Internet de nómina, cuyo complemento de percepciones se modificó para incluir el origen de los recursos con los que se paga los sueldos y salarios y con ello se determinan los montos que se participan por concepto de ISR a los entes públicos.</w:t>
      </w:r>
    </w:p>
    <w:p w14:paraId="73EAC197" w14:textId="77777777" w:rsidR="002128E2" w:rsidRPr="003E2870" w:rsidRDefault="00830CED">
      <w:pPr>
        <w:spacing w:before="240"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 xml:space="preserve">De conformidad con las Reglas de operación para la aplicación del artículo 3-B de la Ley de Coordinación Fiscal, el proceso de identificación y validación del pago de sueldos y salarios y del ISR por fuente de financiamiento se lleva a cabo, de forma general, conforme el procedimiento siguiente: </w:t>
      </w:r>
    </w:p>
    <w:p w14:paraId="1011B5AB" w14:textId="77777777" w:rsidR="002128E2" w:rsidRPr="003E2870" w:rsidRDefault="00830CED">
      <w:pPr>
        <w:spacing w:before="120" w:after="120" w:line="360" w:lineRule="auto"/>
        <w:ind w:left="284"/>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 xml:space="preserve">• Los entes públicos deben cumplir con sus obligaciones de retención y entero de ISR, </w:t>
      </w:r>
      <w:r w:rsidRPr="003E2870">
        <w:rPr>
          <w:rFonts w:ascii="Palatino Linotype" w:eastAsia="Palatino Linotype" w:hAnsi="Palatino Linotype" w:cs="Palatino Linotype"/>
          <w:b/>
          <w:sz w:val="22"/>
          <w:szCs w:val="22"/>
        </w:rPr>
        <w:t xml:space="preserve">así como expedir y entregar los comprobantes fiscales a las personas que reciban pagos por salarios, y en general por la prestación de un servicio personal subordinado, </w:t>
      </w:r>
      <w:r w:rsidRPr="003E2870">
        <w:rPr>
          <w:rFonts w:ascii="Palatino Linotype" w:eastAsia="Palatino Linotype" w:hAnsi="Palatino Linotype" w:cs="Palatino Linotype"/>
          <w:sz w:val="22"/>
          <w:szCs w:val="22"/>
        </w:rPr>
        <w:t>en términos de lo dispuesto por los artículos 96 y 99, fracción III de la Ley del Impuesto sobre la Renta, y que utilicen correctamente las claves en del Catálogo Atributo: Tipo Percepción del Complemento del CFDI comprobante CFDI de nómina.</w:t>
      </w:r>
    </w:p>
    <w:p w14:paraId="127325AF" w14:textId="77777777" w:rsidR="002128E2" w:rsidRPr="003E2870" w:rsidRDefault="00830CED">
      <w:pPr>
        <w:spacing w:before="120" w:after="120" w:line="360" w:lineRule="auto"/>
        <w:ind w:left="284"/>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 La UCEF solicita a las entidades federativas que mensualmente ratifiquen el listado de claves del Registro Federal de Contribuyentes (RFC) de sus entes públicos que pagan sueldos y salarios en términos de lo señalado en el artículo 3-B de la Ley de Coordinación Fiscal, y una vez recibida la información es enviada al SAT.</w:t>
      </w:r>
    </w:p>
    <w:p w14:paraId="667965C4" w14:textId="77777777" w:rsidR="002128E2" w:rsidRPr="003E2870" w:rsidRDefault="00830CED">
      <w:pPr>
        <w:spacing w:before="120" w:after="120" w:line="360" w:lineRule="auto"/>
        <w:ind w:left="284"/>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 xml:space="preserve">• El SAT valida la información de los CFDI de nómina correspondientes al periodo, a efecto de identificar por cada RFC los importes de la retención del ISR pagado con participaciones u otros ingresos locales y el pagado con recursos federales, lo cual es </w:t>
      </w:r>
      <w:r w:rsidRPr="003E2870">
        <w:rPr>
          <w:rFonts w:ascii="Palatino Linotype" w:eastAsia="Palatino Linotype" w:hAnsi="Palatino Linotype" w:cs="Palatino Linotype"/>
          <w:sz w:val="22"/>
          <w:szCs w:val="22"/>
        </w:rPr>
        <w:lastRenderedPageBreak/>
        <w:t>validado con las declaraciones del ISR del mismo periodo; en su caso, el SAT informa a las entidades federativas las inconsistencias u omisiones resultantes, para que éstas subsanen las omisiones o realicen las aclaraciones o correcciones procedentes.</w:t>
      </w:r>
    </w:p>
    <w:p w14:paraId="5A41FD13" w14:textId="77777777" w:rsidR="002128E2" w:rsidRPr="003E2870" w:rsidRDefault="00830CED">
      <w:pPr>
        <w:spacing w:before="120" w:after="120" w:line="360" w:lineRule="auto"/>
        <w:ind w:left="284"/>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 El SAT remite mensualmente a la UCEF el informe de los entes públicos que elaboraron correctamente sus CFDI de nómina, para efecto de que dicha Unidad determine los montos susceptibles de ser participados a las entidades federativas.</w:t>
      </w:r>
    </w:p>
    <w:p w14:paraId="309698D2" w14:textId="77777777" w:rsidR="002128E2" w:rsidRPr="003E2870" w:rsidRDefault="00830CED">
      <w:pPr>
        <w:spacing w:before="120" w:after="120" w:line="360" w:lineRule="auto"/>
        <w:ind w:left="284"/>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 xml:space="preserve">• La UCEF lleva un registro de los montos acumulados del ISR participado a las entidades federativas y lo coteja con los informes que recibe del SAT para determinar las cantidades a entregar por concepto ISR que se entera a la Federación. </w:t>
      </w:r>
    </w:p>
    <w:p w14:paraId="1C717EBE" w14:textId="77777777" w:rsidR="002128E2" w:rsidRPr="003E2870" w:rsidRDefault="00830CED">
      <w:pPr>
        <w:spacing w:before="120" w:after="120" w:line="360" w:lineRule="auto"/>
        <w:ind w:left="284"/>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 xml:space="preserve">• El SAT informa anualmente a la UCEF acerca de los entes públicos a los que se hayan detectado diferencias en el entero del 100% de la retención que deben efectuar del ISR, así como de los montos correspondientes a las devoluciones del ISR efectuadas, para efectos de que dicha Unidad realice los ajustes respectivos. </w:t>
      </w:r>
    </w:p>
    <w:p w14:paraId="4917F951" w14:textId="77777777" w:rsidR="002128E2" w:rsidRPr="003E2870" w:rsidRDefault="00830CED">
      <w:pPr>
        <w:spacing w:before="120" w:after="120" w:line="360" w:lineRule="auto"/>
        <w:ind w:left="284"/>
        <w:jc w:val="both"/>
        <w:rPr>
          <w:rFonts w:ascii="Palatino Linotype" w:eastAsia="Palatino Linotype" w:hAnsi="Palatino Linotype" w:cs="Palatino Linotype"/>
          <w:b/>
          <w:sz w:val="22"/>
          <w:szCs w:val="22"/>
        </w:rPr>
      </w:pPr>
      <w:r w:rsidRPr="003E2870">
        <w:rPr>
          <w:rFonts w:ascii="Palatino Linotype" w:eastAsia="Palatino Linotype" w:hAnsi="Palatino Linotype" w:cs="Palatino Linotype"/>
          <w:sz w:val="22"/>
          <w:szCs w:val="22"/>
        </w:rPr>
        <w:t xml:space="preserve">• Por su parte, </w:t>
      </w:r>
      <w:r w:rsidRPr="003E2870">
        <w:rPr>
          <w:rFonts w:ascii="Palatino Linotype" w:eastAsia="Palatino Linotype" w:hAnsi="Palatino Linotype" w:cs="Palatino Linotype"/>
          <w:b/>
          <w:sz w:val="22"/>
          <w:szCs w:val="22"/>
          <w:u w:val="single"/>
        </w:rPr>
        <w:t>las entidades federativas participarán a sus municipios</w:t>
      </w:r>
      <w:r w:rsidRPr="003E2870">
        <w:rPr>
          <w:rFonts w:ascii="Palatino Linotype" w:eastAsia="Palatino Linotype" w:hAnsi="Palatino Linotype" w:cs="Palatino Linotype"/>
          <w:b/>
          <w:sz w:val="22"/>
          <w:szCs w:val="22"/>
        </w:rPr>
        <w:t xml:space="preserve"> </w:t>
      </w:r>
      <w:r w:rsidRPr="003E2870">
        <w:rPr>
          <w:rFonts w:ascii="Palatino Linotype" w:eastAsia="Palatino Linotype" w:hAnsi="Palatino Linotype" w:cs="Palatino Linotype"/>
          <w:sz w:val="22"/>
          <w:szCs w:val="22"/>
        </w:rPr>
        <w:t>o alcaldías en el caso de la CDMX,</w:t>
      </w:r>
      <w:r w:rsidRPr="003E2870">
        <w:rPr>
          <w:rFonts w:ascii="Palatino Linotype" w:eastAsia="Palatino Linotype" w:hAnsi="Palatino Linotype" w:cs="Palatino Linotype"/>
          <w:b/>
          <w:sz w:val="22"/>
          <w:szCs w:val="22"/>
        </w:rPr>
        <w:t xml:space="preserve"> el ISR que a éstos les corresponda en términos de lo señalado en el artículo 3-B de la Ley de Coordinación Fiscal, dentro de los 5 días siguientes a su recepción.</w:t>
      </w:r>
    </w:p>
    <w:p w14:paraId="37C47E67" w14:textId="77777777" w:rsidR="002128E2" w:rsidRPr="003E2870" w:rsidRDefault="00830CED">
      <w:pPr>
        <w:spacing w:before="120" w:after="120" w:line="276" w:lineRule="auto"/>
        <w:jc w:val="center"/>
        <w:rPr>
          <w:rFonts w:ascii="Palatino Linotype" w:eastAsia="Palatino Linotype" w:hAnsi="Palatino Linotype" w:cs="Palatino Linotype"/>
          <w:b/>
        </w:rPr>
      </w:pPr>
      <w:r w:rsidRPr="003E2870">
        <w:rPr>
          <w:noProof/>
          <w:lang w:val="es-MX"/>
        </w:rPr>
        <w:lastRenderedPageBreak/>
        <w:drawing>
          <wp:inline distT="0" distB="0" distL="0" distR="0" wp14:anchorId="2A863E73" wp14:editId="7B16983E">
            <wp:extent cx="5612130" cy="2599055"/>
            <wp:effectExtent l="0" t="0" r="0" b="0"/>
            <wp:docPr id="197143014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3"/>
                    <a:srcRect/>
                    <a:stretch>
                      <a:fillRect/>
                    </a:stretch>
                  </pic:blipFill>
                  <pic:spPr>
                    <a:xfrm>
                      <a:off x="0" y="0"/>
                      <a:ext cx="5612130" cy="2599055"/>
                    </a:xfrm>
                    <a:prstGeom prst="rect">
                      <a:avLst/>
                    </a:prstGeom>
                    <a:ln/>
                  </pic:spPr>
                </pic:pic>
              </a:graphicData>
            </a:graphic>
          </wp:inline>
        </w:drawing>
      </w:r>
    </w:p>
    <w:p w14:paraId="0832176E" w14:textId="77777777" w:rsidR="002128E2" w:rsidRPr="003E2870" w:rsidRDefault="00830CED">
      <w:pPr>
        <w:spacing w:before="240"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Ahora bien, derivado de la consulta del portal del Sistema Nacional de Coordinación Fiscal, se advirtió que el Estado de México pertenece a dicho Sistema, por lo tanto, se infiere que si es susceptible de participar en obtención del 100% de la recaudación del Impuesto Sobre la Renta enterado a la Federación por los conceptos establecidos en el Capítulo I De los ingresos por salarios y en general por la prestación de un servicio personal subordinado, del Título IV De las personas  físicas, de la Ley del Impuesto Sobre la Renta:</w:t>
      </w:r>
    </w:p>
    <w:p w14:paraId="04B97A8E" w14:textId="77777777" w:rsidR="002128E2" w:rsidRPr="003E2870" w:rsidRDefault="00830CED">
      <w:pPr>
        <w:spacing w:before="240" w:after="240" w:line="360" w:lineRule="auto"/>
        <w:jc w:val="center"/>
        <w:rPr>
          <w:rFonts w:ascii="Palatino Linotype" w:eastAsia="Palatino Linotype" w:hAnsi="Palatino Linotype" w:cs="Palatino Linotype"/>
          <w:sz w:val="22"/>
          <w:szCs w:val="22"/>
        </w:rPr>
      </w:pPr>
      <w:r w:rsidRPr="003E2870">
        <w:rPr>
          <w:rFonts w:ascii="Palatino Linotype" w:eastAsia="Palatino Linotype" w:hAnsi="Palatino Linotype" w:cs="Palatino Linotype"/>
          <w:noProof/>
          <w:sz w:val="22"/>
          <w:szCs w:val="22"/>
          <w:lang w:val="es-MX"/>
        </w:rPr>
        <w:drawing>
          <wp:inline distT="0" distB="0" distL="0" distR="0" wp14:anchorId="2CDB73E4" wp14:editId="79F9C4EC">
            <wp:extent cx="3420000" cy="2182485"/>
            <wp:effectExtent l="0" t="0" r="0" b="0"/>
            <wp:docPr id="197143014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4"/>
                    <a:srcRect/>
                    <a:stretch>
                      <a:fillRect/>
                    </a:stretch>
                  </pic:blipFill>
                  <pic:spPr>
                    <a:xfrm>
                      <a:off x="0" y="0"/>
                      <a:ext cx="3420000" cy="2182485"/>
                    </a:xfrm>
                    <a:prstGeom prst="rect">
                      <a:avLst/>
                    </a:prstGeom>
                    <a:ln/>
                  </pic:spPr>
                </pic:pic>
              </a:graphicData>
            </a:graphic>
          </wp:inline>
        </w:drawing>
      </w:r>
      <w:r w:rsidRPr="003E2870">
        <w:rPr>
          <w:noProof/>
          <w:lang w:val="es-MX"/>
        </w:rPr>
        <mc:AlternateContent>
          <mc:Choice Requires="wpg">
            <w:drawing>
              <wp:anchor distT="0" distB="0" distL="114300" distR="114300" simplePos="0" relativeHeight="251666432" behindDoc="0" locked="0" layoutInCell="1" hidden="0" allowOverlap="1" wp14:anchorId="7E047C6E" wp14:editId="0D267AFB">
                <wp:simplePos x="0" y="0"/>
                <wp:positionH relativeFrom="column">
                  <wp:posOffset>2387600</wp:posOffset>
                </wp:positionH>
                <wp:positionV relativeFrom="paragraph">
                  <wp:posOffset>1651000</wp:posOffset>
                </wp:positionV>
                <wp:extent cx="504985" cy="570398"/>
                <wp:effectExtent l="0" t="0" r="0" b="0"/>
                <wp:wrapNone/>
                <wp:docPr id="1971430109" name="Rectángulo 1971430109"/>
                <wp:cNvGraphicFramePr/>
                <a:graphic xmlns:a="http://schemas.openxmlformats.org/drawingml/2006/main">
                  <a:graphicData uri="http://schemas.microsoft.com/office/word/2010/wordprocessingShape">
                    <wps:wsp>
                      <wps:cNvSpPr/>
                      <wps:spPr>
                        <a:xfrm>
                          <a:off x="5136370" y="3537664"/>
                          <a:ext cx="419260" cy="484673"/>
                        </a:xfrm>
                        <a:prstGeom prst="rect">
                          <a:avLst/>
                        </a:prstGeom>
                        <a:noFill/>
                        <a:ln w="28575" cap="flat" cmpd="sng">
                          <a:solidFill>
                            <a:srgbClr val="C00000"/>
                          </a:solidFill>
                          <a:prstDash val="solid"/>
                          <a:round/>
                          <a:headEnd type="none" w="sm" len="sm"/>
                          <a:tailEnd type="none" w="sm" len="sm"/>
                        </a:ln>
                        <a:effectLst>
                          <a:outerShdw blurRad="40000" dist="23000" dir="5400000" rotWithShape="0">
                            <a:srgbClr val="000000">
                              <a:alpha val="34117"/>
                            </a:srgbClr>
                          </a:outerShdw>
                        </a:effectLst>
                      </wps:spPr>
                      <wps:txbx>
                        <w:txbxContent>
                          <w:p w14:paraId="4714C564" w14:textId="77777777" w:rsidR="002128E2" w:rsidRDefault="002128E2">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2387600</wp:posOffset>
                </wp:positionH>
                <wp:positionV relativeFrom="paragraph">
                  <wp:posOffset>1651000</wp:posOffset>
                </wp:positionV>
                <wp:extent cx="504985" cy="570398"/>
                <wp:effectExtent b="0" l="0" r="0" t="0"/>
                <wp:wrapNone/>
                <wp:docPr id="1971430109" name="image23.png"/>
                <a:graphic>
                  <a:graphicData uri="http://schemas.openxmlformats.org/drawingml/2006/picture">
                    <pic:pic>
                      <pic:nvPicPr>
                        <pic:cNvPr id="0" name="image23.png"/>
                        <pic:cNvPicPr preferRelativeResize="0"/>
                      </pic:nvPicPr>
                      <pic:blipFill>
                        <a:blip r:embed="rId35"/>
                        <a:srcRect/>
                        <a:stretch>
                          <a:fillRect/>
                        </a:stretch>
                      </pic:blipFill>
                      <pic:spPr>
                        <a:xfrm>
                          <a:off x="0" y="0"/>
                          <a:ext cx="504985" cy="570398"/>
                        </a:xfrm>
                        <a:prstGeom prst="rect"/>
                        <a:ln/>
                      </pic:spPr>
                    </pic:pic>
                  </a:graphicData>
                </a:graphic>
              </wp:anchor>
            </w:drawing>
          </mc:Fallback>
        </mc:AlternateContent>
      </w:r>
    </w:p>
    <w:p w14:paraId="5A9F57C6" w14:textId="77777777" w:rsidR="002128E2" w:rsidRPr="003E2870" w:rsidRDefault="00830CED">
      <w:pPr>
        <w:spacing w:before="240"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 xml:space="preserve">Como se precisó en líneas anteriores, a partir del uno de enero de dos mil quince las entidades adheridas al Sistema Nacional de Coordinación Fiscal, participaron al 100% de la </w:t>
      </w:r>
      <w:r w:rsidRPr="003E2870">
        <w:rPr>
          <w:rFonts w:ascii="Palatino Linotype" w:eastAsia="Palatino Linotype" w:hAnsi="Palatino Linotype" w:cs="Palatino Linotype"/>
          <w:sz w:val="22"/>
          <w:szCs w:val="22"/>
        </w:rPr>
        <w:lastRenderedPageBreak/>
        <w:t>recaudación que se obtuvo del ISR que efectivamente se enteró a la Federación, correspondiente al salario del personal que preste o desempeñe un servicio personal subordinado en las dependencias del ente público respectivo, y sus organismos autónomos y entidades paraestatales y paramunicipales.</w:t>
      </w:r>
    </w:p>
    <w:p w14:paraId="2DF73DFE" w14:textId="77777777" w:rsidR="002128E2" w:rsidRPr="003E2870" w:rsidRDefault="00830CED">
      <w:pPr>
        <w:spacing w:before="240"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 xml:space="preserve">Lo anterior se robustece con el </w:t>
      </w:r>
      <w:proofErr w:type="spellStart"/>
      <w:r w:rsidRPr="003E2870">
        <w:rPr>
          <w:rFonts w:ascii="Palatino Linotype" w:eastAsia="Palatino Linotype" w:hAnsi="Palatino Linotype" w:cs="Palatino Linotype"/>
          <w:sz w:val="22"/>
          <w:szCs w:val="22"/>
        </w:rPr>
        <w:t>articulo</w:t>
      </w:r>
      <w:proofErr w:type="spellEnd"/>
      <w:r w:rsidRPr="003E2870">
        <w:rPr>
          <w:rFonts w:ascii="Palatino Linotype" w:eastAsia="Palatino Linotype" w:hAnsi="Palatino Linotype" w:cs="Palatino Linotype"/>
          <w:sz w:val="22"/>
          <w:szCs w:val="22"/>
        </w:rPr>
        <w:t xml:space="preserve"> 1° de Ley de Ingresos de los Municipios del Estado de México para el ejercicio 2015, en donde se visualiza  que dicho instrumento normativo contempló como ingreso para los municipios, el relativo al Impuesto Sobre la Renta efectivamente enterado a la Federación, correspondiente al salario de su personal que preste o desempeñe un servicio personal subordinado así como de sus organismos públicos descentralizados, que en su parte conducente dispone lo siguiente:</w:t>
      </w:r>
    </w:p>
    <w:p w14:paraId="011204CE" w14:textId="77777777" w:rsidR="002128E2" w:rsidRPr="003E2870" w:rsidRDefault="00830CED">
      <w:pPr>
        <w:spacing w:before="120" w:after="120"/>
        <w:ind w:left="567" w:right="900"/>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i/>
          <w:sz w:val="22"/>
          <w:szCs w:val="22"/>
        </w:rPr>
        <w:t>“</w:t>
      </w:r>
      <w:r w:rsidRPr="003E2870">
        <w:rPr>
          <w:rFonts w:ascii="Palatino Linotype" w:eastAsia="Palatino Linotype" w:hAnsi="Palatino Linotype" w:cs="Palatino Linotype"/>
          <w:b/>
          <w:i/>
          <w:sz w:val="22"/>
          <w:szCs w:val="22"/>
        </w:rPr>
        <w:t>Artículo 1.- La hacienda pública de los municipios</w:t>
      </w:r>
      <w:r w:rsidRPr="003E2870">
        <w:rPr>
          <w:rFonts w:ascii="Palatino Linotype" w:eastAsia="Palatino Linotype" w:hAnsi="Palatino Linotype" w:cs="Palatino Linotype"/>
          <w:i/>
          <w:sz w:val="22"/>
          <w:szCs w:val="22"/>
        </w:rPr>
        <w:t xml:space="preserve"> del Estado de México, </w:t>
      </w:r>
      <w:r w:rsidRPr="003E2870">
        <w:rPr>
          <w:rFonts w:ascii="Palatino Linotype" w:eastAsia="Palatino Linotype" w:hAnsi="Palatino Linotype" w:cs="Palatino Linotype"/>
          <w:b/>
          <w:i/>
          <w:sz w:val="22"/>
          <w:szCs w:val="22"/>
        </w:rPr>
        <w:t>percibirá durante el ejercicio fiscal del año 2015, los ingresos provenientes</w:t>
      </w:r>
      <w:r w:rsidRPr="003E2870">
        <w:rPr>
          <w:rFonts w:ascii="Palatino Linotype" w:eastAsia="Palatino Linotype" w:hAnsi="Palatino Linotype" w:cs="Palatino Linotype"/>
          <w:i/>
          <w:sz w:val="22"/>
          <w:szCs w:val="22"/>
        </w:rPr>
        <w:t xml:space="preserve"> </w:t>
      </w:r>
      <w:r w:rsidRPr="003E2870">
        <w:rPr>
          <w:rFonts w:ascii="Palatino Linotype" w:eastAsia="Palatino Linotype" w:hAnsi="Palatino Linotype" w:cs="Palatino Linotype"/>
          <w:b/>
          <w:i/>
          <w:sz w:val="22"/>
          <w:szCs w:val="22"/>
        </w:rPr>
        <w:t>de los conceptos</w:t>
      </w:r>
      <w:r w:rsidRPr="003E2870">
        <w:rPr>
          <w:rFonts w:ascii="Palatino Linotype" w:eastAsia="Palatino Linotype" w:hAnsi="Palatino Linotype" w:cs="Palatino Linotype"/>
          <w:i/>
          <w:sz w:val="22"/>
          <w:szCs w:val="22"/>
        </w:rPr>
        <w:t xml:space="preserve"> que a continuación se enumeran:</w:t>
      </w:r>
    </w:p>
    <w:p w14:paraId="2B4F09E9" w14:textId="77777777" w:rsidR="002128E2" w:rsidRPr="003E2870" w:rsidRDefault="00830CED">
      <w:pPr>
        <w:spacing w:before="120" w:after="120"/>
        <w:ind w:left="567" w:right="900"/>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i/>
          <w:sz w:val="22"/>
          <w:szCs w:val="22"/>
        </w:rPr>
        <w:t>…</w:t>
      </w:r>
    </w:p>
    <w:p w14:paraId="123BF688" w14:textId="77777777" w:rsidR="002128E2" w:rsidRPr="003E2870" w:rsidRDefault="00830CED">
      <w:pPr>
        <w:spacing w:before="120" w:after="120"/>
        <w:ind w:left="567" w:right="900"/>
        <w:jc w:val="both"/>
        <w:rPr>
          <w:rFonts w:ascii="Palatino Linotype" w:eastAsia="Palatino Linotype" w:hAnsi="Palatino Linotype" w:cs="Palatino Linotype"/>
          <w:b/>
          <w:i/>
          <w:sz w:val="22"/>
          <w:szCs w:val="22"/>
        </w:rPr>
      </w:pPr>
      <w:r w:rsidRPr="003E2870">
        <w:rPr>
          <w:rFonts w:ascii="Palatino Linotype" w:eastAsia="Palatino Linotype" w:hAnsi="Palatino Linotype" w:cs="Palatino Linotype"/>
          <w:b/>
          <w:i/>
          <w:sz w:val="22"/>
          <w:szCs w:val="22"/>
        </w:rPr>
        <w:t>8. PARTICIPACIONES, APORTACIONES, CONVENIOS Y SUBSIDIOS:</w:t>
      </w:r>
    </w:p>
    <w:p w14:paraId="216D77F1" w14:textId="77777777" w:rsidR="002128E2" w:rsidRPr="003E2870" w:rsidRDefault="00830CED">
      <w:pPr>
        <w:spacing w:before="120" w:after="120"/>
        <w:ind w:left="567" w:right="900"/>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i/>
          <w:sz w:val="22"/>
          <w:szCs w:val="22"/>
        </w:rPr>
        <w:t>…</w:t>
      </w:r>
    </w:p>
    <w:p w14:paraId="7F9F210A" w14:textId="77777777" w:rsidR="002128E2" w:rsidRPr="003E2870" w:rsidRDefault="00830CED">
      <w:pPr>
        <w:spacing w:before="120" w:after="120"/>
        <w:ind w:left="567" w:right="900"/>
        <w:jc w:val="both"/>
        <w:rPr>
          <w:rFonts w:ascii="Palatino Linotype" w:eastAsia="Palatino Linotype" w:hAnsi="Palatino Linotype" w:cs="Palatino Linotype"/>
          <w:b/>
          <w:i/>
          <w:sz w:val="22"/>
          <w:szCs w:val="22"/>
        </w:rPr>
      </w:pPr>
      <w:r w:rsidRPr="003E2870">
        <w:rPr>
          <w:rFonts w:ascii="Palatino Linotype" w:eastAsia="Palatino Linotype" w:hAnsi="Palatino Linotype" w:cs="Palatino Linotype"/>
          <w:b/>
          <w:i/>
          <w:sz w:val="22"/>
          <w:szCs w:val="22"/>
        </w:rPr>
        <w:t xml:space="preserve">8.1.9. El Impuesto Sobre la Renta efectivamente enterado a la Federación, </w:t>
      </w:r>
      <w:r w:rsidRPr="003E2870">
        <w:rPr>
          <w:rFonts w:ascii="Palatino Linotype" w:eastAsia="Palatino Linotype" w:hAnsi="Palatino Linotype" w:cs="Palatino Linotype"/>
          <w:i/>
          <w:sz w:val="22"/>
          <w:szCs w:val="22"/>
        </w:rPr>
        <w:t>correspondiente al salario de su personal que preste o desempeñe un servicio personal subordinado así como de sus organismos públicos descentralizados.</w:t>
      </w:r>
      <w:r w:rsidRPr="003E2870">
        <w:rPr>
          <w:rFonts w:ascii="Palatino Linotype" w:eastAsia="Palatino Linotype" w:hAnsi="Palatino Linotype" w:cs="Palatino Linotype"/>
          <w:b/>
          <w:i/>
          <w:sz w:val="22"/>
          <w:szCs w:val="22"/>
        </w:rPr>
        <w:t xml:space="preserve">” </w:t>
      </w:r>
    </w:p>
    <w:p w14:paraId="16C385F1" w14:textId="77777777" w:rsidR="002128E2" w:rsidRPr="003E2870" w:rsidRDefault="00830CED">
      <w:pPr>
        <w:spacing w:before="240"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 xml:space="preserve">Para efectuar la asignación de dichas participaciones, nuestra entidad federativa se ciñe a lo establecido en las Reglas para la Asignación de las Participaciones Federales y Estatales a los Municipios del Estado de México, las cuales, en su parte conducente disponen lo siguiente: </w:t>
      </w:r>
    </w:p>
    <w:p w14:paraId="65F62FD0" w14:textId="77777777" w:rsidR="002128E2" w:rsidRPr="003E2870" w:rsidRDefault="00830CED">
      <w:pPr>
        <w:spacing w:before="120" w:after="120"/>
        <w:ind w:left="567" w:right="902"/>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i/>
          <w:sz w:val="22"/>
          <w:szCs w:val="22"/>
        </w:rPr>
        <w:t>“…</w:t>
      </w:r>
      <w:r w:rsidRPr="003E2870">
        <w:rPr>
          <w:rFonts w:ascii="Palatino Linotype" w:eastAsia="Palatino Linotype" w:hAnsi="Palatino Linotype" w:cs="Palatino Linotype"/>
          <w:b/>
          <w:i/>
          <w:sz w:val="22"/>
          <w:szCs w:val="22"/>
        </w:rPr>
        <w:t>Secretaría</w:t>
      </w:r>
      <w:r w:rsidRPr="003E2870">
        <w:rPr>
          <w:rFonts w:ascii="Palatino Linotype" w:eastAsia="Palatino Linotype" w:hAnsi="Palatino Linotype" w:cs="Palatino Linotype"/>
          <w:i/>
          <w:sz w:val="22"/>
          <w:szCs w:val="22"/>
        </w:rPr>
        <w:t xml:space="preserve">, a la </w:t>
      </w:r>
      <w:r w:rsidRPr="003E2870">
        <w:rPr>
          <w:rFonts w:ascii="Palatino Linotype" w:eastAsia="Palatino Linotype" w:hAnsi="Palatino Linotype" w:cs="Palatino Linotype"/>
          <w:b/>
          <w:i/>
          <w:sz w:val="22"/>
          <w:szCs w:val="22"/>
          <w:u w:val="single"/>
        </w:rPr>
        <w:t>Secretaría de Finanzas del Gobierno del Estado de México</w:t>
      </w:r>
    </w:p>
    <w:p w14:paraId="3095206C" w14:textId="77777777" w:rsidR="002128E2" w:rsidRPr="003E2870" w:rsidRDefault="00830CED">
      <w:pPr>
        <w:spacing w:before="120" w:after="120"/>
        <w:ind w:left="567" w:right="902"/>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i/>
          <w:sz w:val="22"/>
          <w:szCs w:val="22"/>
        </w:rPr>
        <w:t>…</w:t>
      </w:r>
    </w:p>
    <w:p w14:paraId="64098B40" w14:textId="77777777" w:rsidR="002128E2" w:rsidRPr="003E2870" w:rsidRDefault="00830CED">
      <w:pPr>
        <w:spacing w:before="120" w:after="120"/>
        <w:ind w:left="567" w:right="902"/>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b/>
          <w:i/>
          <w:sz w:val="22"/>
          <w:szCs w:val="22"/>
        </w:rPr>
        <w:t>Tercera</w:t>
      </w:r>
      <w:r w:rsidRPr="003E2870">
        <w:rPr>
          <w:rFonts w:ascii="Palatino Linotype" w:eastAsia="Palatino Linotype" w:hAnsi="Palatino Linotype" w:cs="Palatino Linotype"/>
          <w:i/>
          <w:sz w:val="22"/>
          <w:szCs w:val="22"/>
        </w:rPr>
        <w:t xml:space="preserve">.- El Estado de México deberá liquidar a los municipios, a más tardar el último día hábil de cada mes, el monto que por concepto de participaciones </w:t>
      </w:r>
      <w:r w:rsidRPr="003E2870">
        <w:rPr>
          <w:rFonts w:ascii="Palatino Linotype" w:eastAsia="Palatino Linotype" w:hAnsi="Palatino Linotype" w:cs="Palatino Linotype"/>
          <w:i/>
          <w:sz w:val="22"/>
          <w:szCs w:val="22"/>
        </w:rPr>
        <w:lastRenderedPageBreak/>
        <w:t>provisionales Federales y Estatales, les corresponde. Para tal efecto, l</w:t>
      </w:r>
      <w:r w:rsidRPr="003E2870">
        <w:rPr>
          <w:rFonts w:ascii="Palatino Linotype" w:eastAsia="Palatino Linotype" w:hAnsi="Palatino Linotype" w:cs="Palatino Linotype"/>
          <w:b/>
          <w:i/>
          <w:sz w:val="22"/>
          <w:szCs w:val="22"/>
          <w:u w:val="single"/>
        </w:rPr>
        <w:t>a Secretaría emitirá una Constancia desglosando las participaciones</w:t>
      </w:r>
      <w:r w:rsidRPr="003E2870">
        <w:rPr>
          <w:rFonts w:ascii="Palatino Linotype" w:eastAsia="Palatino Linotype" w:hAnsi="Palatino Linotype" w:cs="Palatino Linotype"/>
          <w:i/>
          <w:sz w:val="22"/>
          <w:szCs w:val="22"/>
        </w:rPr>
        <w:t xml:space="preserve"> </w:t>
      </w:r>
      <w:r w:rsidRPr="003E2870">
        <w:rPr>
          <w:rFonts w:ascii="Palatino Linotype" w:eastAsia="Palatino Linotype" w:hAnsi="Palatino Linotype" w:cs="Palatino Linotype"/>
          <w:b/>
          <w:i/>
          <w:sz w:val="22"/>
          <w:szCs w:val="22"/>
        </w:rPr>
        <w:t>por cada uno de los conceptos señalados en el artículo 219 del Código Financiero.</w:t>
      </w:r>
    </w:p>
    <w:p w14:paraId="5D30030B" w14:textId="77777777" w:rsidR="002128E2" w:rsidRPr="003E2870" w:rsidRDefault="00830CED">
      <w:pPr>
        <w:spacing w:before="120" w:after="120"/>
        <w:ind w:left="567" w:right="902"/>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i/>
          <w:sz w:val="22"/>
          <w:szCs w:val="22"/>
        </w:rPr>
        <w:t>…</w:t>
      </w:r>
    </w:p>
    <w:p w14:paraId="15F1B350" w14:textId="77777777" w:rsidR="002128E2" w:rsidRPr="003E2870" w:rsidRDefault="00830CED">
      <w:pPr>
        <w:spacing w:before="120" w:after="120"/>
        <w:ind w:left="567" w:right="902"/>
        <w:jc w:val="both"/>
        <w:rPr>
          <w:rFonts w:ascii="Palatino Linotype" w:eastAsia="Palatino Linotype" w:hAnsi="Palatino Linotype" w:cs="Palatino Linotype"/>
          <w:b/>
          <w:i/>
          <w:sz w:val="22"/>
          <w:szCs w:val="22"/>
        </w:rPr>
      </w:pPr>
      <w:r w:rsidRPr="003E2870">
        <w:rPr>
          <w:rFonts w:ascii="Palatino Linotype" w:eastAsia="Palatino Linotype" w:hAnsi="Palatino Linotype" w:cs="Palatino Linotype"/>
          <w:b/>
          <w:i/>
          <w:sz w:val="22"/>
          <w:szCs w:val="22"/>
        </w:rPr>
        <w:t>DEL CÁLCULO DE PARTICIPACIONES POR CONCEPTO DEL ISR</w:t>
      </w:r>
    </w:p>
    <w:p w14:paraId="7478B044" w14:textId="77777777" w:rsidR="002128E2" w:rsidRPr="003E2870" w:rsidRDefault="00830CED">
      <w:pPr>
        <w:spacing w:before="120" w:after="120"/>
        <w:ind w:left="567" w:right="902"/>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b/>
          <w:i/>
          <w:sz w:val="22"/>
          <w:szCs w:val="22"/>
        </w:rPr>
        <w:t>Novena</w:t>
      </w:r>
      <w:r w:rsidRPr="003E2870">
        <w:rPr>
          <w:rFonts w:ascii="Palatino Linotype" w:eastAsia="Palatino Linotype" w:hAnsi="Palatino Linotype" w:cs="Palatino Linotype"/>
          <w:i/>
          <w:sz w:val="22"/>
          <w:szCs w:val="22"/>
        </w:rPr>
        <w:t xml:space="preserve">.- De conformidad con lo establecido en el artículo 223 del Código Financiero, </w:t>
      </w:r>
      <w:r w:rsidRPr="003E2870">
        <w:rPr>
          <w:rFonts w:ascii="Palatino Linotype" w:eastAsia="Palatino Linotype" w:hAnsi="Palatino Linotype" w:cs="Palatino Linotype"/>
          <w:b/>
          <w:i/>
          <w:sz w:val="22"/>
          <w:szCs w:val="22"/>
          <w:u w:val="single"/>
        </w:rPr>
        <w:t>las participaciones derivadas del Impuesto Sobre la Renta correspondientes a cada Ayuntamiento y sus organismos públicos descentralizados se transferirán a cada municipio conforme al monto efectivamente enterado a la federación</w:t>
      </w:r>
      <w:r w:rsidRPr="003E2870">
        <w:rPr>
          <w:rFonts w:ascii="Palatino Linotype" w:eastAsia="Palatino Linotype" w:hAnsi="Palatino Linotype" w:cs="Palatino Linotype"/>
          <w:i/>
          <w:sz w:val="22"/>
          <w:szCs w:val="22"/>
        </w:rPr>
        <w:t>.”</w:t>
      </w:r>
    </w:p>
    <w:p w14:paraId="550F2759" w14:textId="77777777" w:rsidR="002128E2" w:rsidRPr="003E2870" w:rsidRDefault="00830CED">
      <w:pPr>
        <w:spacing w:before="240"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Con base en lo previo, se concluye que la federación es susceptible de transferir recursos a las entidades federativas por concepto de participaciones federales, las cuales se encuentran previstas en el Ramo General 28 Participaciones a Entidades Federativas y Municipios del Gasto no programable contemplado en el Presupuesto de Egresos la Federación de cada ejercicio fiscal, entre las que se encuentra la participación de la recaudación que se obtenga del ISR efectivamente enterado correspondiente al salario del personal de los entes públicos; y,  la entidad federativa a su vez, es responsable de participar a los municipios el ISR que a éstos les corresponda.</w:t>
      </w:r>
    </w:p>
    <w:p w14:paraId="41656AE8" w14:textId="77777777" w:rsidR="002128E2" w:rsidRPr="003E2870" w:rsidRDefault="00830CED">
      <w:pPr>
        <w:spacing w:before="240"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 xml:space="preserve">Y, si bien es cierto la Secretaría de Finanzas transfiere los recursos por concepto de participaciones a los municipios y genera la Constancia en la que desglosa las participaciones, no menos cierto es que la información también puede ser obtenida por los propios municipios, siendo relevante mencionar que las Tesorerías Municipales son las entidades responsables de </w:t>
      </w:r>
      <w:r w:rsidRPr="003E2870">
        <w:rPr>
          <w:rFonts w:ascii="Palatino Linotype" w:eastAsia="Palatino Linotype" w:hAnsi="Palatino Linotype" w:cs="Palatino Linotype"/>
          <w:b/>
          <w:sz w:val="22"/>
          <w:szCs w:val="22"/>
          <w:u w:val="single"/>
        </w:rPr>
        <w:t xml:space="preserve">recaudar y administrar los ingresos que se deriven de la suscripción de convenios, acuerdos o la emisión de declaratorias de coordinación; los relativos a las transferencias otorgadas a favor del Municipio en el marco del Sistema Nacional o Estatal de Coordinación Fiscal, </w:t>
      </w:r>
      <w:r w:rsidRPr="003E2870">
        <w:rPr>
          <w:rFonts w:ascii="Palatino Linotype" w:eastAsia="Palatino Linotype" w:hAnsi="Palatino Linotype" w:cs="Palatino Linotype"/>
          <w:sz w:val="22"/>
          <w:szCs w:val="22"/>
        </w:rPr>
        <w:t>de conformidad con lo señalado en el artículo 95, fracción XIX de la Ley Orgánica Municipal del Estado de México, citado con antelación.</w:t>
      </w:r>
    </w:p>
    <w:p w14:paraId="6AC31D7F" w14:textId="77777777" w:rsidR="002128E2" w:rsidRPr="003E2870" w:rsidRDefault="00830CED">
      <w:pPr>
        <w:spacing w:before="240"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lastRenderedPageBreak/>
        <w:t xml:space="preserve">Asimismo, el artículo 6, antepenúltimo párrafo de la Ley de Coordinación Fiscal, dispone que la entidad federativa, por medio de la dependencia competente -la Secretaría de Finanzas-, cuenta con la obligación de publicar a más tardar el 15 de febrero de cada ejercicio, en el Periódico Oficial, así como en su página oficial de Internet, el calendario de entrega, porcentaje, fórmulas y variables utilizadas, así como los </w:t>
      </w:r>
      <w:r w:rsidRPr="003E2870">
        <w:rPr>
          <w:rFonts w:ascii="Palatino Linotype" w:eastAsia="Palatino Linotype" w:hAnsi="Palatino Linotype" w:cs="Palatino Linotype"/>
          <w:b/>
          <w:sz w:val="22"/>
          <w:szCs w:val="22"/>
          <w:u w:val="single"/>
        </w:rPr>
        <w:t>montos estimados, de las participaciones que las entidades reciban y de las que tengan obligación de participar a sus municipios o demarcaciones territoriales</w:t>
      </w:r>
      <w:r w:rsidRPr="003E2870">
        <w:rPr>
          <w:rFonts w:ascii="Palatino Linotype" w:eastAsia="Palatino Linotype" w:hAnsi="Palatino Linotype" w:cs="Palatino Linotype"/>
          <w:sz w:val="22"/>
          <w:szCs w:val="22"/>
        </w:rPr>
        <w:t xml:space="preserve">, así como a </w:t>
      </w:r>
      <w:r w:rsidRPr="003E2870">
        <w:rPr>
          <w:rFonts w:ascii="Palatino Linotype" w:eastAsia="Palatino Linotype" w:hAnsi="Palatino Linotype" w:cs="Palatino Linotype"/>
          <w:b/>
          <w:sz w:val="22"/>
          <w:szCs w:val="22"/>
          <w:u w:val="single"/>
        </w:rPr>
        <w:t>publicar trimestralmente</w:t>
      </w:r>
      <w:r w:rsidRPr="003E2870">
        <w:rPr>
          <w:rFonts w:ascii="Palatino Linotype" w:eastAsia="Palatino Linotype" w:hAnsi="Palatino Linotype" w:cs="Palatino Linotype"/>
          <w:sz w:val="22"/>
          <w:szCs w:val="22"/>
        </w:rPr>
        <w:t xml:space="preserve"> de a través de los mismos medios, </w:t>
      </w:r>
      <w:r w:rsidRPr="003E2870">
        <w:rPr>
          <w:rFonts w:ascii="Palatino Linotype" w:eastAsia="Palatino Linotype" w:hAnsi="Palatino Linotype" w:cs="Palatino Linotype"/>
          <w:b/>
          <w:sz w:val="22"/>
          <w:szCs w:val="22"/>
          <w:u w:val="single"/>
        </w:rPr>
        <w:t>el importe de las participaciones entregadas y, en su caso, el ajuste realizado al término de cada ejercicio fiscal</w:t>
      </w:r>
      <w:r w:rsidRPr="003E2870">
        <w:rPr>
          <w:rFonts w:ascii="Palatino Linotype" w:eastAsia="Palatino Linotype" w:hAnsi="Palatino Linotype" w:cs="Palatino Linotype"/>
          <w:sz w:val="22"/>
          <w:szCs w:val="22"/>
        </w:rPr>
        <w:t>, publicaciones que se deberán realizar conforme a los lineamientos que al efecto emita la Secretaría de Hacienda y Crédito Público, por lo que en estricto sentido, dicha información se encuentra disponible y es de acceso público, como se ilustra a continuación respecto del ejercicio 2017, a manera de ejemplo:</w:t>
      </w:r>
    </w:p>
    <w:p w14:paraId="5A4F7B75" w14:textId="77777777" w:rsidR="002128E2" w:rsidRPr="003E2870" w:rsidRDefault="00830CED">
      <w:pPr>
        <w:spacing w:before="240" w:after="240" w:line="360" w:lineRule="auto"/>
        <w:jc w:val="center"/>
        <w:rPr>
          <w:rFonts w:ascii="Palatino Linotype" w:eastAsia="Palatino Linotype" w:hAnsi="Palatino Linotype" w:cs="Palatino Linotype"/>
        </w:rPr>
      </w:pPr>
      <w:r w:rsidRPr="003E2870">
        <w:rPr>
          <w:rFonts w:ascii="Palatino Linotype" w:eastAsia="Palatino Linotype" w:hAnsi="Palatino Linotype" w:cs="Palatino Linotype"/>
          <w:noProof/>
          <w:lang w:val="es-MX"/>
        </w:rPr>
        <w:drawing>
          <wp:inline distT="0" distB="0" distL="0" distR="0" wp14:anchorId="18489BC5" wp14:editId="348C8AF7">
            <wp:extent cx="4680000" cy="1348717"/>
            <wp:effectExtent l="0" t="0" r="0" b="0"/>
            <wp:docPr id="19714301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6"/>
                    <a:srcRect/>
                    <a:stretch>
                      <a:fillRect/>
                    </a:stretch>
                  </pic:blipFill>
                  <pic:spPr>
                    <a:xfrm>
                      <a:off x="0" y="0"/>
                      <a:ext cx="4680000" cy="1348717"/>
                    </a:xfrm>
                    <a:prstGeom prst="rect">
                      <a:avLst/>
                    </a:prstGeom>
                    <a:ln/>
                  </pic:spPr>
                </pic:pic>
              </a:graphicData>
            </a:graphic>
          </wp:inline>
        </w:drawing>
      </w:r>
      <w:r w:rsidRPr="003E2870">
        <w:rPr>
          <w:rFonts w:ascii="Palatino Linotype" w:eastAsia="Palatino Linotype" w:hAnsi="Palatino Linotype" w:cs="Palatino Linotype"/>
          <w:noProof/>
          <w:lang w:val="es-MX"/>
        </w:rPr>
        <w:drawing>
          <wp:inline distT="0" distB="0" distL="0" distR="0" wp14:anchorId="0EBBFAA1" wp14:editId="5C8A9E3F">
            <wp:extent cx="4680000" cy="610550"/>
            <wp:effectExtent l="0" t="0" r="0" b="0"/>
            <wp:docPr id="19714301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7"/>
                    <a:srcRect/>
                    <a:stretch>
                      <a:fillRect/>
                    </a:stretch>
                  </pic:blipFill>
                  <pic:spPr>
                    <a:xfrm>
                      <a:off x="0" y="0"/>
                      <a:ext cx="4680000" cy="610550"/>
                    </a:xfrm>
                    <a:prstGeom prst="rect">
                      <a:avLst/>
                    </a:prstGeom>
                    <a:ln/>
                  </pic:spPr>
                </pic:pic>
              </a:graphicData>
            </a:graphic>
          </wp:inline>
        </w:drawing>
      </w:r>
      <w:r w:rsidRPr="003E2870">
        <w:rPr>
          <w:rFonts w:ascii="Palatino Linotype" w:eastAsia="Palatino Linotype" w:hAnsi="Palatino Linotype" w:cs="Palatino Linotype"/>
          <w:noProof/>
          <w:lang w:val="es-MX"/>
        </w:rPr>
        <w:drawing>
          <wp:inline distT="0" distB="0" distL="0" distR="0" wp14:anchorId="4CE5B3B9" wp14:editId="232C9C12">
            <wp:extent cx="4680000" cy="162036"/>
            <wp:effectExtent l="0" t="0" r="0" b="0"/>
            <wp:docPr id="19714301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8"/>
                    <a:srcRect/>
                    <a:stretch>
                      <a:fillRect/>
                    </a:stretch>
                  </pic:blipFill>
                  <pic:spPr>
                    <a:xfrm>
                      <a:off x="0" y="0"/>
                      <a:ext cx="4680000" cy="162036"/>
                    </a:xfrm>
                    <a:prstGeom prst="rect">
                      <a:avLst/>
                    </a:prstGeom>
                    <a:ln/>
                  </pic:spPr>
                </pic:pic>
              </a:graphicData>
            </a:graphic>
          </wp:inline>
        </w:drawing>
      </w:r>
    </w:p>
    <w:p w14:paraId="36402E0B" w14:textId="77777777" w:rsidR="002128E2" w:rsidRPr="003E2870" w:rsidRDefault="00830CED">
      <w:pPr>
        <w:spacing w:before="240" w:after="240" w:line="360" w:lineRule="auto"/>
        <w:jc w:val="center"/>
        <w:rPr>
          <w:rFonts w:ascii="Palatino Linotype" w:eastAsia="Palatino Linotype" w:hAnsi="Palatino Linotype" w:cs="Palatino Linotype"/>
        </w:rPr>
      </w:pPr>
      <w:r w:rsidRPr="003E2870">
        <w:rPr>
          <w:rFonts w:ascii="Palatino Linotype" w:eastAsia="Palatino Linotype" w:hAnsi="Palatino Linotype" w:cs="Palatino Linotype"/>
          <w:noProof/>
          <w:lang w:val="es-MX"/>
        </w:rPr>
        <w:lastRenderedPageBreak/>
        <w:drawing>
          <wp:inline distT="0" distB="0" distL="0" distR="0" wp14:anchorId="016C2C8B" wp14:editId="2DF58758">
            <wp:extent cx="4680000" cy="3584927"/>
            <wp:effectExtent l="0" t="0" r="0" b="0"/>
            <wp:docPr id="19714301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9"/>
                    <a:srcRect/>
                    <a:stretch>
                      <a:fillRect/>
                    </a:stretch>
                  </pic:blipFill>
                  <pic:spPr>
                    <a:xfrm>
                      <a:off x="0" y="0"/>
                      <a:ext cx="4680000" cy="3584927"/>
                    </a:xfrm>
                    <a:prstGeom prst="rect">
                      <a:avLst/>
                    </a:prstGeom>
                    <a:ln/>
                  </pic:spPr>
                </pic:pic>
              </a:graphicData>
            </a:graphic>
          </wp:inline>
        </w:drawing>
      </w:r>
      <w:r w:rsidRPr="003E2870">
        <w:rPr>
          <w:rFonts w:ascii="Palatino Linotype" w:eastAsia="Palatino Linotype" w:hAnsi="Palatino Linotype" w:cs="Palatino Linotype"/>
        </w:rPr>
        <w:t xml:space="preserve"> </w:t>
      </w:r>
    </w:p>
    <w:p w14:paraId="57331D1C" w14:textId="77777777" w:rsidR="002128E2" w:rsidRPr="003E2870" w:rsidRDefault="00830CED">
      <w:pPr>
        <w:spacing w:before="240" w:after="240" w:line="360" w:lineRule="auto"/>
        <w:jc w:val="center"/>
        <w:rPr>
          <w:rFonts w:ascii="Palatino Linotype" w:eastAsia="Palatino Linotype" w:hAnsi="Palatino Linotype" w:cs="Palatino Linotype"/>
        </w:rPr>
      </w:pPr>
      <w:r w:rsidRPr="003E2870">
        <w:rPr>
          <w:rFonts w:ascii="Palatino Linotype" w:eastAsia="Palatino Linotype" w:hAnsi="Palatino Linotype" w:cs="Palatino Linotype"/>
          <w:noProof/>
          <w:lang w:val="es-MX"/>
        </w:rPr>
        <w:drawing>
          <wp:inline distT="0" distB="0" distL="0" distR="0" wp14:anchorId="3F561350" wp14:editId="642FA8F5">
            <wp:extent cx="5612130" cy="3249295"/>
            <wp:effectExtent l="0" t="0" r="0" b="0"/>
            <wp:docPr id="19714301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0"/>
                    <a:srcRect/>
                    <a:stretch>
                      <a:fillRect/>
                    </a:stretch>
                  </pic:blipFill>
                  <pic:spPr>
                    <a:xfrm>
                      <a:off x="0" y="0"/>
                      <a:ext cx="5612130" cy="3249295"/>
                    </a:xfrm>
                    <a:prstGeom prst="rect">
                      <a:avLst/>
                    </a:prstGeom>
                    <a:ln/>
                  </pic:spPr>
                </pic:pic>
              </a:graphicData>
            </a:graphic>
          </wp:inline>
        </w:drawing>
      </w:r>
      <w:r w:rsidRPr="003E2870">
        <w:rPr>
          <w:rFonts w:ascii="Palatino Linotype" w:eastAsia="Palatino Linotype" w:hAnsi="Palatino Linotype" w:cs="Palatino Linotype"/>
        </w:rPr>
        <w:t xml:space="preserve"> </w:t>
      </w:r>
      <w:r w:rsidRPr="003E2870">
        <w:rPr>
          <w:noProof/>
          <w:lang w:val="es-MX"/>
        </w:rPr>
        <mc:AlternateContent>
          <mc:Choice Requires="wpg">
            <w:drawing>
              <wp:anchor distT="0" distB="0" distL="114300" distR="114300" simplePos="0" relativeHeight="251667456" behindDoc="0" locked="0" layoutInCell="1" hidden="0" allowOverlap="1" wp14:anchorId="1371ACB4" wp14:editId="0AFB25DF">
                <wp:simplePos x="0" y="0"/>
                <wp:positionH relativeFrom="column">
                  <wp:posOffset>381000</wp:posOffset>
                </wp:positionH>
                <wp:positionV relativeFrom="paragraph">
                  <wp:posOffset>1866900</wp:posOffset>
                </wp:positionV>
                <wp:extent cx="1779199" cy="778533"/>
                <wp:effectExtent l="0" t="0" r="0" b="0"/>
                <wp:wrapNone/>
                <wp:docPr id="1971430114" name="Rectángulo 1971430114"/>
                <wp:cNvGraphicFramePr/>
                <a:graphic xmlns:a="http://schemas.openxmlformats.org/drawingml/2006/main">
                  <a:graphicData uri="http://schemas.microsoft.com/office/word/2010/wordprocessingShape">
                    <wps:wsp>
                      <wps:cNvSpPr/>
                      <wps:spPr>
                        <a:xfrm>
                          <a:off x="4513551" y="3447884"/>
                          <a:ext cx="1664899" cy="664233"/>
                        </a:xfrm>
                        <a:prstGeom prst="rect">
                          <a:avLst/>
                        </a:prstGeom>
                        <a:noFill/>
                        <a:ln w="38100" cap="flat" cmpd="sng">
                          <a:solidFill>
                            <a:srgbClr val="C00000"/>
                          </a:solidFill>
                          <a:prstDash val="solid"/>
                          <a:round/>
                          <a:headEnd type="none" w="sm" len="sm"/>
                          <a:tailEnd type="none" w="sm" len="sm"/>
                        </a:ln>
                        <a:effectLst>
                          <a:outerShdw blurRad="40000" dist="23000" dir="5400000" rotWithShape="0">
                            <a:srgbClr val="000000">
                              <a:alpha val="34117"/>
                            </a:srgbClr>
                          </a:outerShdw>
                        </a:effectLst>
                      </wps:spPr>
                      <wps:txbx>
                        <w:txbxContent>
                          <w:p w14:paraId="33AB65B4" w14:textId="77777777" w:rsidR="002128E2" w:rsidRDefault="002128E2">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381000</wp:posOffset>
                </wp:positionH>
                <wp:positionV relativeFrom="paragraph">
                  <wp:posOffset>1866900</wp:posOffset>
                </wp:positionV>
                <wp:extent cx="1779199" cy="778533"/>
                <wp:effectExtent b="0" l="0" r="0" t="0"/>
                <wp:wrapNone/>
                <wp:docPr id="1971430114" name="image38.png"/>
                <a:graphic>
                  <a:graphicData uri="http://schemas.openxmlformats.org/drawingml/2006/picture">
                    <pic:pic>
                      <pic:nvPicPr>
                        <pic:cNvPr id="0" name="image38.png"/>
                        <pic:cNvPicPr preferRelativeResize="0"/>
                      </pic:nvPicPr>
                      <pic:blipFill>
                        <a:blip r:embed="rId41"/>
                        <a:srcRect/>
                        <a:stretch>
                          <a:fillRect/>
                        </a:stretch>
                      </pic:blipFill>
                      <pic:spPr>
                        <a:xfrm>
                          <a:off x="0" y="0"/>
                          <a:ext cx="1779199" cy="778533"/>
                        </a:xfrm>
                        <a:prstGeom prst="rect"/>
                        <a:ln/>
                      </pic:spPr>
                    </pic:pic>
                  </a:graphicData>
                </a:graphic>
              </wp:anchor>
            </w:drawing>
          </mc:Fallback>
        </mc:AlternateContent>
      </w:r>
    </w:p>
    <w:p w14:paraId="5EF08F17" w14:textId="77777777" w:rsidR="002128E2" w:rsidRPr="003E2870" w:rsidRDefault="00830CED">
      <w:pPr>
        <w:spacing w:before="240" w:after="240" w:line="360" w:lineRule="auto"/>
        <w:jc w:val="center"/>
        <w:rPr>
          <w:rFonts w:ascii="Palatino Linotype" w:eastAsia="Palatino Linotype" w:hAnsi="Palatino Linotype" w:cs="Palatino Linotype"/>
        </w:rPr>
      </w:pPr>
      <w:r w:rsidRPr="003E2870">
        <w:rPr>
          <w:rFonts w:ascii="Palatino Linotype" w:eastAsia="Palatino Linotype" w:hAnsi="Palatino Linotype" w:cs="Palatino Linotype"/>
          <w:noProof/>
          <w:lang w:val="es-MX"/>
        </w:rPr>
        <w:lastRenderedPageBreak/>
        <w:drawing>
          <wp:inline distT="0" distB="0" distL="0" distR="0" wp14:anchorId="5FE8A37E" wp14:editId="7AD4FD8C">
            <wp:extent cx="5612130" cy="907415"/>
            <wp:effectExtent l="0" t="0" r="0" b="0"/>
            <wp:docPr id="19714301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2"/>
                    <a:srcRect/>
                    <a:stretch>
                      <a:fillRect/>
                    </a:stretch>
                  </pic:blipFill>
                  <pic:spPr>
                    <a:xfrm>
                      <a:off x="0" y="0"/>
                      <a:ext cx="5612130" cy="907415"/>
                    </a:xfrm>
                    <a:prstGeom prst="rect">
                      <a:avLst/>
                    </a:prstGeom>
                    <a:ln/>
                  </pic:spPr>
                </pic:pic>
              </a:graphicData>
            </a:graphic>
          </wp:inline>
        </w:drawing>
      </w:r>
      <w:r w:rsidRPr="003E2870">
        <w:rPr>
          <w:noProof/>
          <w:lang w:val="es-MX"/>
        </w:rPr>
        <mc:AlternateContent>
          <mc:Choice Requires="wpg">
            <w:drawing>
              <wp:anchor distT="0" distB="0" distL="114300" distR="114300" simplePos="0" relativeHeight="251668480" behindDoc="0" locked="0" layoutInCell="1" hidden="0" allowOverlap="1" wp14:anchorId="580FEFD3" wp14:editId="7670572D">
                <wp:simplePos x="0" y="0"/>
                <wp:positionH relativeFrom="column">
                  <wp:posOffset>3035300</wp:posOffset>
                </wp:positionH>
                <wp:positionV relativeFrom="paragraph">
                  <wp:posOffset>241300</wp:posOffset>
                </wp:positionV>
                <wp:extent cx="226613" cy="206149"/>
                <wp:effectExtent l="0" t="0" r="0" b="0"/>
                <wp:wrapNone/>
                <wp:docPr id="1971430107" name="Conector recto de flecha 1971430107"/>
                <wp:cNvGraphicFramePr/>
                <a:graphic xmlns:a="http://schemas.openxmlformats.org/drawingml/2006/main">
                  <a:graphicData uri="http://schemas.microsoft.com/office/word/2010/wordprocessingShape">
                    <wps:wsp>
                      <wps:cNvCnPr/>
                      <wps:spPr>
                        <a:xfrm flipH="1">
                          <a:off x="5270794" y="3715026"/>
                          <a:ext cx="150413" cy="129949"/>
                        </a:xfrm>
                        <a:prstGeom prst="straightConnector1">
                          <a:avLst/>
                        </a:prstGeom>
                        <a:noFill/>
                        <a:ln w="25400" cap="flat" cmpd="sng">
                          <a:solidFill>
                            <a:srgbClr val="C00000"/>
                          </a:solidFill>
                          <a:prstDash val="solid"/>
                          <a:round/>
                          <a:headEnd type="none" w="sm" len="sm"/>
                          <a:tailEnd type="triangle" w="med" len="med"/>
                        </a:ln>
                        <a:effectLst>
                          <a:outerShdw blurRad="40000" dist="20000" dir="5400000" rotWithShape="0">
                            <a:srgbClr val="000000">
                              <a:alpha val="36862"/>
                            </a:srgbClr>
                          </a:outerShdw>
                        </a:effectLst>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3035300</wp:posOffset>
                </wp:positionH>
                <wp:positionV relativeFrom="paragraph">
                  <wp:posOffset>241300</wp:posOffset>
                </wp:positionV>
                <wp:extent cx="226613" cy="206149"/>
                <wp:effectExtent b="0" l="0" r="0" t="0"/>
                <wp:wrapNone/>
                <wp:docPr id="1971430107" name="image20.png"/>
                <a:graphic>
                  <a:graphicData uri="http://schemas.openxmlformats.org/drawingml/2006/picture">
                    <pic:pic>
                      <pic:nvPicPr>
                        <pic:cNvPr id="0" name="image20.png"/>
                        <pic:cNvPicPr preferRelativeResize="0"/>
                      </pic:nvPicPr>
                      <pic:blipFill>
                        <a:blip r:embed="rId43"/>
                        <a:srcRect/>
                        <a:stretch>
                          <a:fillRect/>
                        </a:stretch>
                      </pic:blipFill>
                      <pic:spPr>
                        <a:xfrm>
                          <a:off x="0" y="0"/>
                          <a:ext cx="226613" cy="206149"/>
                        </a:xfrm>
                        <a:prstGeom prst="rect"/>
                        <a:ln/>
                      </pic:spPr>
                    </pic:pic>
                  </a:graphicData>
                </a:graphic>
              </wp:anchor>
            </w:drawing>
          </mc:Fallback>
        </mc:AlternateContent>
      </w:r>
    </w:p>
    <w:p w14:paraId="4DAE4FFA" w14:textId="77777777" w:rsidR="002128E2" w:rsidRPr="003E2870" w:rsidRDefault="00830CED">
      <w:pPr>
        <w:spacing w:before="240"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 xml:space="preserve">Cabe señalar que de la consulta de participaciones a municipios, se genera un documento el cual puede descargarse en formato Excel.  </w:t>
      </w:r>
    </w:p>
    <w:p w14:paraId="333F15DE" w14:textId="77777777" w:rsidR="002128E2" w:rsidRPr="003E2870" w:rsidRDefault="00830CED">
      <w:pPr>
        <w:spacing w:before="240"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De igual forma se señala que la Constancia mensual de liquidación de participaciones de los municipios del Estado de México, se puede obtener por los propios municipios bajo la siguiente serie de pasos establecida en el portal del Registro Estatal de Trámites y Servicios:</w:t>
      </w:r>
    </w:p>
    <w:p w14:paraId="1636BCA5" w14:textId="77777777" w:rsidR="002128E2" w:rsidRPr="003E2870" w:rsidRDefault="00830CED">
      <w:pPr>
        <w:spacing w:before="240" w:after="240" w:line="360" w:lineRule="auto"/>
        <w:jc w:val="both"/>
        <w:rPr>
          <w:rFonts w:ascii="Palatino Linotype" w:eastAsia="Palatino Linotype" w:hAnsi="Palatino Linotype" w:cs="Palatino Linotype"/>
          <w:b/>
          <w:sz w:val="22"/>
          <w:szCs w:val="22"/>
        </w:rPr>
      </w:pPr>
      <w:r w:rsidRPr="003E2870">
        <w:rPr>
          <w:rFonts w:ascii="Palatino Linotype" w:eastAsia="Palatino Linotype" w:hAnsi="Palatino Linotype" w:cs="Palatino Linotype"/>
          <w:b/>
          <w:sz w:val="22"/>
          <w:szCs w:val="22"/>
        </w:rPr>
        <w:t>Constancia mensual de liquidación de participaciones de los municipios del Estado de México</w:t>
      </w:r>
    </w:p>
    <w:p w14:paraId="4CEFB4FF" w14:textId="77777777" w:rsidR="002128E2" w:rsidRPr="003E2870" w:rsidRDefault="00830CED">
      <w:pPr>
        <w:spacing w:before="240" w:after="240" w:line="276" w:lineRule="auto"/>
        <w:ind w:left="284"/>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 xml:space="preserve">1. Deberá ingresar a la página web de la Secretaría de Finanzas: </w:t>
      </w:r>
      <w:hyperlink r:id="rId44">
        <w:r w:rsidRPr="003E2870">
          <w:rPr>
            <w:rFonts w:ascii="Palatino Linotype" w:eastAsia="Palatino Linotype" w:hAnsi="Palatino Linotype" w:cs="Palatino Linotype"/>
            <w:sz w:val="22"/>
            <w:szCs w:val="22"/>
            <w:u w:val="single"/>
          </w:rPr>
          <w:t>https://sfpya.edomexico.gob.mx/participaciones/</w:t>
        </w:r>
      </w:hyperlink>
      <w:r w:rsidRPr="003E2870">
        <w:rPr>
          <w:rFonts w:ascii="Palatino Linotype" w:eastAsia="Palatino Linotype" w:hAnsi="Palatino Linotype" w:cs="Palatino Linotype"/>
          <w:sz w:val="22"/>
          <w:szCs w:val="22"/>
        </w:rPr>
        <w:t xml:space="preserve"> </w:t>
      </w:r>
    </w:p>
    <w:p w14:paraId="22FF772D" w14:textId="77777777" w:rsidR="002128E2" w:rsidRPr="003E2870" w:rsidRDefault="00830CED">
      <w:pPr>
        <w:spacing w:before="240" w:after="240" w:line="276" w:lineRule="auto"/>
        <w:ind w:left="284"/>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2. Una vez dentro de la página, seleccionar la opción de "Participaciones a Municipios".</w:t>
      </w:r>
    </w:p>
    <w:p w14:paraId="3D8BB956" w14:textId="77777777" w:rsidR="002128E2" w:rsidRPr="003E2870" w:rsidRDefault="00830CED">
      <w:pPr>
        <w:spacing w:before="240" w:after="240" w:line="276" w:lineRule="auto"/>
        <w:ind w:left="284"/>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 xml:space="preserve"> 3. Dar clic en al apartado de “Constancias de Participaciones”, aparecerá un cuadro con diferentes opciones (Municipio, año y mes), dependiendo del municipio y temporalidad. </w:t>
      </w:r>
    </w:p>
    <w:p w14:paraId="3451F6BA" w14:textId="77777777" w:rsidR="002128E2" w:rsidRPr="003E2870" w:rsidRDefault="00830CED">
      <w:pPr>
        <w:spacing w:before="240" w:after="240" w:line="276" w:lineRule="auto"/>
        <w:ind w:left="284"/>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 xml:space="preserve">4. Seleccione el municipio, año y mes del que desea obtener la constancia de liquidación de participaciones y oprima el botón "Generar". </w:t>
      </w:r>
    </w:p>
    <w:p w14:paraId="47731948" w14:textId="77777777" w:rsidR="002128E2" w:rsidRPr="003E2870" w:rsidRDefault="00830CED">
      <w:pPr>
        <w:spacing w:before="240" w:after="240" w:line="276" w:lineRule="auto"/>
        <w:ind w:left="284"/>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 xml:space="preserve">5. El sistema generar una constancia sin validez oficial, a modo de consulta. </w:t>
      </w:r>
    </w:p>
    <w:p w14:paraId="259DC596" w14:textId="77777777" w:rsidR="002128E2" w:rsidRPr="003E2870" w:rsidRDefault="00830CED">
      <w:pPr>
        <w:spacing w:before="240" w:after="240" w:line="276" w:lineRule="auto"/>
        <w:ind w:left="284"/>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En caso de ser servidora o servidor público municipal y a fin de obtener la constancia de liquidación de participaciones con validez oficial, una vez generada la constancia sin validez oficial:</w:t>
      </w:r>
    </w:p>
    <w:p w14:paraId="30B1CA95" w14:textId="77777777" w:rsidR="002128E2" w:rsidRPr="003E2870" w:rsidRDefault="00830CED">
      <w:pPr>
        <w:spacing w:before="240" w:after="240" w:line="276" w:lineRule="auto"/>
        <w:ind w:left="284"/>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 xml:space="preserve">6. Deberá presionar el botón "COMPROBANTE" situado en la parte inferior de la pantalla, deberá Introducir el "Usuario" y "Contraseña". </w:t>
      </w:r>
    </w:p>
    <w:p w14:paraId="2FB58DB9" w14:textId="77777777" w:rsidR="002128E2" w:rsidRPr="003E2870" w:rsidRDefault="00830CED">
      <w:pPr>
        <w:spacing w:before="240" w:after="240" w:line="276" w:lineRule="auto"/>
        <w:ind w:left="284"/>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lastRenderedPageBreak/>
        <w:t xml:space="preserve">7. Seleccionar la opción “Constancias de liquidación oficiales”. </w:t>
      </w:r>
    </w:p>
    <w:p w14:paraId="630AB2A5" w14:textId="77777777" w:rsidR="002128E2" w:rsidRPr="003E2870" w:rsidRDefault="00830CED">
      <w:pPr>
        <w:spacing w:before="240" w:after="240" w:line="276" w:lineRule="auto"/>
        <w:ind w:left="284"/>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8.Por último, seleccionar el mes deseado y el sistema generará la constancia con sello digital.</w:t>
      </w:r>
    </w:p>
    <w:p w14:paraId="2C7445E0" w14:textId="77777777" w:rsidR="002128E2" w:rsidRPr="003E2870" w:rsidRDefault="00830CED">
      <w:pPr>
        <w:spacing w:before="240"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 xml:space="preserve">Cabe resaltar que al ejecutar los pasos establecidos en los numerales del 1 al 5 este Organismo Garante logró obtener la siguiente constancia de liquidación de participaciones en la que se puede observar el monto por el concepto de participaciones en el que se aprecia el monto por Impuesto Sobre la Renta, tal como se ilustra en la siguiente imagen: </w:t>
      </w:r>
    </w:p>
    <w:p w14:paraId="03A9655D" w14:textId="77777777" w:rsidR="002128E2" w:rsidRPr="003E2870" w:rsidRDefault="00830CED">
      <w:pPr>
        <w:spacing w:before="240" w:after="240" w:line="360" w:lineRule="auto"/>
        <w:jc w:val="center"/>
        <w:rPr>
          <w:rFonts w:ascii="Palatino Linotype" w:eastAsia="Palatino Linotype" w:hAnsi="Palatino Linotype" w:cs="Palatino Linotype"/>
        </w:rPr>
      </w:pPr>
      <w:r w:rsidRPr="003E2870">
        <w:rPr>
          <w:noProof/>
          <w:lang w:val="es-MX"/>
        </w:rPr>
        <w:lastRenderedPageBreak/>
        <w:drawing>
          <wp:inline distT="0" distB="0" distL="0" distR="0" wp14:anchorId="4ECD5E45" wp14:editId="37A65FE6">
            <wp:extent cx="5040000" cy="6547864"/>
            <wp:effectExtent l="0" t="0" r="0" b="0"/>
            <wp:docPr id="19714301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5"/>
                    <a:srcRect/>
                    <a:stretch>
                      <a:fillRect/>
                    </a:stretch>
                  </pic:blipFill>
                  <pic:spPr>
                    <a:xfrm>
                      <a:off x="0" y="0"/>
                      <a:ext cx="5040000" cy="6547864"/>
                    </a:xfrm>
                    <a:prstGeom prst="rect">
                      <a:avLst/>
                    </a:prstGeom>
                    <a:ln/>
                  </pic:spPr>
                </pic:pic>
              </a:graphicData>
            </a:graphic>
          </wp:inline>
        </w:drawing>
      </w:r>
    </w:p>
    <w:p w14:paraId="14A2631A" w14:textId="77777777" w:rsidR="002128E2" w:rsidRPr="003E2870" w:rsidRDefault="00830CED">
      <w:pPr>
        <w:spacing w:before="240" w:after="240" w:line="360" w:lineRule="auto"/>
        <w:ind w:right="49"/>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 xml:space="preserve">Con base en lo previo, se colige que el </w:t>
      </w:r>
      <w:r w:rsidRPr="003E2870">
        <w:rPr>
          <w:rFonts w:ascii="Palatino Linotype" w:eastAsia="Palatino Linotype" w:hAnsi="Palatino Linotype" w:cs="Palatino Linotype"/>
          <w:b/>
          <w:sz w:val="22"/>
          <w:szCs w:val="22"/>
        </w:rPr>
        <w:t>Sujeto Obligado</w:t>
      </w:r>
      <w:r w:rsidRPr="003E2870">
        <w:rPr>
          <w:rFonts w:ascii="Palatino Linotype" w:eastAsia="Palatino Linotype" w:hAnsi="Palatino Linotype" w:cs="Palatino Linotype"/>
          <w:sz w:val="22"/>
          <w:szCs w:val="22"/>
        </w:rPr>
        <w:t xml:space="preserve"> cuenta con facultades para generar, poseer y/o administrar la información solicitada en los requerimientos en estudio, en razón de que las participaciones fueron recibidas y formaron parte de la hacienda pública </w:t>
      </w:r>
      <w:r w:rsidRPr="003E2870">
        <w:rPr>
          <w:rFonts w:ascii="Palatino Linotype" w:eastAsia="Palatino Linotype" w:hAnsi="Palatino Linotype" w:cs="Palatino Linotype"/>
          <w:sz w:val="22"/>
          <w:szCs w:val="22"/>
        </w:rPr>
        <w:lastRenderedPageBreak/>
        <w:t>municipal, en consecuencia es procedente ordenar la búsqueda exhaustiva y razonable en las áreas que resulten competentes, de acuerdo con sus atribuciones para conocer de la información, entre las cuales no podrá excluirse a la Tesorería Municipal, y se proceda a la entrega del reporte emitido por la Secretaría de Finanzas del Estado de México, en el que se especifique el monto del ISR que se obtuvo en devolución del uno de enero de dos mil quince al treinta de agosto de dos mil veinticuatro así como el reporte emitido por el software de contabilidad gubernamental en el que se pueda apreciar el control del saldo pendiente de recuperar del ISR participable, al treinta de agosto de dos mil veinticuatro, preferentemente en formato PDF, o en el que se hubiera generado.</w:t>
      </w:r>
    </w:p>
    <w:p w14:paraId="34C08668" w14:textId="77777777" w:rsidR="002128E2" w:rsidRPr="003E2870" w:rsidRDefault="00830CED">
      <w:pPr>
        <w:spacing w:before="240"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Asimismo, se precisa que para el caso de no localizar información respecto del reporte emitido por el software de contabilidad gubernamental en el que se pueda apreciar el control del saldo pendiente de recuperar del ISR participable, bastará con que así se haga del conocimiento de la persona solicitante para tener por satisfecho el requerimiento de información, en los términos del artículo 19, párrafo segundo de la Ley de Transparencia y Acceso a la Información Pública del Estado de México y Municipios, el cual fue citado anteriormente.</w:t>
      </w:r>
    </w:p>
    <w:p w14:paraId="58F112D4" w14:textId="77777777" w:rsidR="002128E2" w:rsidRPr="003E2870" w:rsidRDefault="00830CED">
      <w:pPr>
        <w:spacing w:before="240" w:after="240" w:line="360" w:lineRule="auto"/>
        <w:ind w:right="100"/>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Finalmente, respecto a la modalidad de entrega, es imprescindible mencionar que el acceso a la información debe darse en la medida de entrega y de envío elegidos por las personas solicitantes, según dispone el artículo 164 de la Ley de Transparencia y Acceso a la Información Pública del Estado de México y Municipios,  que es del tenor literal siguiente:</w:t>
      </w:r>
    </w:p>
    <w:p w14:paraId="336C410F" w14:textId="77777777" w:rsidR="002128E2" w:rsidRPr="003E2870" w:rsidRDefault="00830CED">
      <w:pPr>
        <w:spacing w:before="120" w:after="120"/>
        <w:ind w:left="860" w:right="900"/>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i/>
          <w:sz w:val="22"/>
          <w:szCs w:val="22"/>
        </w:rPr>
        <w:t>”</w:t>
      </w:r>
      <w:r w:rsidRPr="003E2870">
        <w:rPr>
          <w:rFonts w:ascii="Palatino Linotype" w:eastAsia="Palatino Linotype" w:hAnsi="Palatino Linotype" w:cs="Palatino Linotype"/>
          <w:b/>
          <w:i/>
          <w:sz w:val="22"/>
          <w:szCs w:val="22"/>
        </w:rPr>
        <w:t>Artículo 164</w:t>
      </w:r>
      <w:r w:rsidRPr="003E2870">
        <w:rPr>
          <w:rFonts w:ascii="Palatino Linotype" w:eastAsia="Palatino Linotype" w:hAnsi="Palatino Linotype" w:cs="Palatino Linotype"/>
          <w:i/>
          <w:sz w:val="22"/>
          <w:szCs w:val="22"/>
        </w:rPr>
        <w:t>. El acceso se dará en la modalidad de entrega y, en su caso, de envío elegidos por el solicitante. Cuando la información no pueda entregarse o enviarse en la modalidad solicitada, el sujeto obligado deberá ofrecer otra u otras modalidades de entrega.</w:t>
      </w:r>
    </w:p>
    <w:p w14:paraId="5B08A175" w14:textId="77777777" w:rsidR="002128E2" w:rsidRPr="003E2870" w:rsidRDefault="00830CED">
      <w:pPr>
        <w:spacing w:before="120" w:after="120"/>
        <w:ind w:left="860" w:right="900"/>
        <w:jc w:val="both"/>
        <w:rPr>
          <w:rFonts w:ascii="Palatino Linotype" w:eastAsia="Palatino Linotype" w:hAnsi="Palatino Linotype" w:cs="Palatino Linotype"/>
          <w:i/>
          <w:sz w:val="22"/>
          <w:szCs w:val="22"/>
        </w:rPr>
      </w:pPr>
      <w:bookmarkStart w:id="5" w:name="_heading=h.1t3h5sf" w:colFirst="0" w:colLast="0"/>
      <w:bookmarkEnd w:id="5"/>
      <w:r w:rsidRPr="003E2870">
        <w:rPr>
          <w:rFonts w:ascii="Palatino Linotype" w:eastAsia="Palatino Linotype" w:hAnsi="Palatino Linotype" w:cs="Palatino Linotype"/>
          <w:i/>
          <w:sz w:val="22"/>
          <w:szCs w:val="22"/>
        </w:rPr>
        <w:t>En cualquier caso, se deberá fundar y motivar la necesidad de ofrecer otras modalidades.”</w:t>
      </w:r>
    </w:p>
    <w:p w14:paraId="7526EA81" w14:textId="77777777" w:rsidR="002128E2" w:rsidRPr="003E2870" w:rsidRDefault="00830CED">
      <w:pPr>
        <w:spacing w:before="240"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lastRenderedPageBreak/>
        <w:t>En el caso concreto, dado que la persona solicitante señaló como modalidad de entrega, cualquier otro medio incluido los electrónicos y correo electrónico, tal y como se precisó en el antecedente 1 de la presente resolución, y en los motivos de inconformidad alegados en el recurso de revisión que se resuelve, insistió en la entrega a través de correo electrónico, se estima que la información debe entregarse a través del SAIMEX y correo electrónico.</w:t>
      </w:r>
    </w:p>
    <w:p w14:paraId="70FF515E" w14:textId="77777777" w:rsidR="002128E2" w:rsidRPr="003E2870" w:rsidRDefault="00830CED">
      <w:pPr>
        <w:spacing w:before="240"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 xml:space="preserve">De lo hasta aquí expuesto, se concluye que los motivos de inconformidad de la parte </w:t>
      </w:r>
      <w:r w:rsidRPr="003E2870">
        <w:rPr>
          <w:rFonts w:ascii="Palatino Linotype" w:eastAsia="Palatino Linotype" w:hAnsi="Palatino Linotype" w:cs="Palatino Linotype"/>
          <w:b/>
          <w:sz w:val="22"/>
          <w:szCs w:val="22"/>
        </w:rPr>
        <w:t xml:space="preserve">Recurrente </w:t>
      </w:r>
      <w:r w:rsidRPr="003E2870">
        <w:rPr>
          <w:rFonts w:ascii="Palatino Linotype" w:eastAsia="Palatino Linotype" w:hAnsi="Palatino Linotype" w:cs="Palatino Linotype"/>
          <w:sz w:val="22"/>
          <w:szCs w:val="22"/>
        </w:rPr>
        <w:t xml:space="preserve">devienen fundados, siendo procedente </w:t>
      </w:r>
      <w:r w:rsidRPr="003E2870">
        <w:rPr>
          <w:rFonts w:ascii="Palatino Linotype" w:eastAsia="Palatino Linotype" w:hAnsi="Palatino Linotype" w:cs="Palatino Linotype"/>
          <w:b/>
          <w:sz w:val="22"/>
          <w:szCs w:val="22"/>
        </w:rPr>
        <w:t>REVOCAR</w:t>
      </w:r>
      <w:r w:rsidRPr="003E2870">
        <w:rPr>
          <w:rFonts w:ascii="Palatino Linotype" w:eastAsia="Palatino Linotype" w:hAnsi="Palatino Linotype" w:cs="Palatino Linotype"/>
          <w:i/>
          <w:sz w:val="22"/>
          <w:szCs w:val="22"/>
        </w:rPr>
        <w:t xml:space="preserve"> </w:t>
      </w:r>
      <w:r w:rsidRPr="003E2870">
        <w:rPr>
          <w:rFonts w:ascii="Palatino Linotype" w:eastAsia="Palatino Linotype" w:hAnsi="Palatino Linotype" w:cs="Palatino Linotype"/>
          <w:sz w:val="22"/>
          <w:szCs w:val="22"/>
        </w:rPr>
        <w:t xml:space="preserve">la respuesta proporcionada por el </w:t>
      </w:r>
      <w:r w:rsidRPr="003E2870">
        <w:rPr>
          <w:rFonts w:ascii="Palatino Linotype" w:eastAsia="Palatino Linotype" w:hAnsi="Palatino Linotype" w:cs="Palatino Linotype"/>
          <w:b/>
          <w:sz w:val="22"/>
          <w:szCs w:val="22"/>
        </w:rPr>
        <w:t xml:space="preserve">Sujeto Obligado </w:t>
      </w:r>
      <w:r w:rsidRPr="003E2870">
        <w:rPr>
          <w:rFonts w:ascii="Palatino Linotype" w:eastAsia="Palatino Linotype" w:hAnsi="Palatino Linotype" w:cs="Palatino Linotype"/>
          <w:sz w:val="22"/>
          <w:szCs w:val="22"/>
        </w:rPr>
        <w:t>en términos del artículo 186 fracción III de la Ley de Transparencia y Acceso a la Información Pública del Estado de México y Municipios.</w:t>
      </w:r>
    </w:p>
    <w:p w14:paraId="0DE182C1" w14:textId="77777777" w:rsidR="002128E2" w:rsidRPr="003E2870" w:rsidRDefault="00830CED">
      <w:pPr>
        <w:spacing w:before="240" w:after="240" w:line="360" w:lineRule="auto"/>
        <w:ind w:right="49"/>
        <w:jc w:val="both"/>
        <w:rPr>
          <w:rFonts w:ascii="Palatino Linotype" w:eastAsia="Palatino Linotype" w:hAnsi="Palatino Linotype" w:cs="Palatino Linotype"/>
          <w:sz w:val="22"/>
          <w:szCs w:val="22"/>
        </w:rPr>
      </w:pPr>
      <w:bookmarkStart w:id="6" w:name="_heading=h.2et92p0" w:colFirst="0" w:colLast="0"/>
      <w:bookmarkEnd w:id="6"/>
      <w:r w:rsidRPr="003E2870">
        <w:rPr>
          <w:rFonts w:ascii="Palatino Linotype" w:eastAsia="Palatino Linotype" w:hAnsi="Palatino Linotype" w:cs="Palatino Linotype"/>
          <w:b/>
          <w:sz w:val="22"/>
          <w:szCs w:val="22"/>
        </w:rPr>
        <w:t xml:space="preserve">Quinto. Versión Pública. </w:t>
      </w:r>
      <w:r w:rsidRPr="003E2870">
        <w:rPr>
          <w:rFonts w:ascii="Palatino Linotype" w:eastAsia="Palatino Linotype" w:hAnsi="Palatino Linotype" w:cs="Palatino Linotype"/>
          <w:sz w:val="22"/>
          <w:szCs w:val="22"/>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w:t>
      </w:r>
      <w:r w:rsidRPr="003E2870">
        <w:rPr>
          <w:rFonts w:ascii="Palatino Linotype" w:eastAsia="Palatino Linotype" w:hAnsi="Palatino Linotype" w:cs="Palatino Linotype"/>
          <w:b/>
          <w:sz w:val="22"/>
          <w:szCs w:val="22"/>
        </w:rPr>
        <w:t>la parte</w:t>
      </w:r>
      <w:r w:rsidRPr="003E2870">
        <w:rPr>
          <w:rFonts w:ascii="Palatino Linotype" w:eastAsia="Palatino Linotype" w:hAnsi="Palatino Linotype" w:cs="Palatino Linotype"/>
          <w:sz w:val="22"/>
          <w:szCs w:val="22"/>
        </w:rPr>
        <w:t xml:space="preserve"> </w:t>
      </w:r>
      <w:r w:rsidRPr="003E2870">
        <w:rPr>
          <w:rFonts w:ascii="Palatino Linotype" w:eastAsia="Palatino Linotype" w:hAnsi="Palatino Linotype" w:cs="Palatino Linotype"/>
          <w:b/>
          <w:sz w:val="22"/>
          <w:szCs w:val="22"/>
        </w:rPr>
        <w:t>Recurrente</w:t>
      </w:r>
      <w:r w:rsidRPr="003E2870">
        <w:rPr>
          <w:rFonts w:ascii="Palatino Linotype" w:eastAsia="Palatino Linotype" w:hAnsi="Palatino Linotype" w:cs="Palatino Linotype"/>
          <w:sz w:val="22"/>
          <w:szCs w:val="22"/>
        </w:rPr>
        <w:t xml:space="preserve"> sin menoscabar el derecho a la protección de los datos personales de terceros.</w:t>
      </w:r>
    </w:p>
    <w:p w14:paraId="1F61E67B" w14:textId="77777777" w:rsidR="002128E2" w:rsidRPr="003E2870" w:rsidRDefault="00830CED">
      <w:pPr>
        <w:spacing w:before="240" w:after="240" w:line="360" w:lineRule="auto"/>
        <w:ind w:right="49"/>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Lo anterior, de conformidad a lo que señalan los artículos 3, fracciones IX, XX, XXXII, XLV; 6, 137 y 143 fracción I, de la Ley de Transparencia y Acceso a la Información Pública del Estado de México y Municipios vigente, que se leen como sigue:</w:t>
      </w:r>
    </w:p>
    <w:p w14:paraId="09D3B149" w14:textId="77777777" w:rsidR="002128E2" w:rsidRPr="003E2870" w:rsidRDefault="00830CED">
      <w:pPr>
        <w:ind w:left="993" w:right="1041"/>
        <w:jc w:val="both"/>
        <w:rPr>
          <w:rFonts w:ascii="Palatino Linotype" w:eastAsia="Palatino Linotype" w:hAnsi="Palatino Linotype" w:cs="Palatino Linotype"/>
          <w:b/>
          <w:i/>
          <w:sz w:val="22"/>
          <w:szCs w:val="22"/>
        </w:rPr>
      </w:pPr>
      <w:r w:rsidRPr="003E2870">
        <w:rPr>
          <w:rFonts w:ascii="Palatino Linotype" w:eastAsia="Palatino Linotype" w:hAnsi="Palatino Linotype" w:cs="Palatino Linotype"/>
          <w:b/>
          <w:i/>
          <w:sz w:val="22"/>
          <w:szCs w:val="22"/>
        </w:rPr>
        <w:t xml:space="preserve"> “Artículo 3. Para los efectos de la presente Ley se entenderá por:</w:t>
      </w:r>
    </w:p>
    <w:p w14:paraId="194504A1" w14:textId="77777777" w:rsidR="002128E2" w:rsidRPr="003E2870" w:rsidRDefault="00830CED">
      <w:pPr>
        <w:ind w:left="993" w:right="1041"/>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b/>
          <w:i/>
          <w:sz w:val="22"/>
          <w:szCs w:val="22"/>
        </w:rPr>
        <w:t>IX. Datos personales:</w:t>
      </w:r>
      <w:r w:rsidRPr="003E2870">
        <w:rPr>
          <w:rFonts w:ascii="Palatino Linotype" w:eastAsia="Palatino Linotype" w:hAnsi="Palatino Linotype" w:cs="Palatino Linotype"/>
          <w:i/>
          <w:sz w:val="22"/>
          <w:szCs w:val="22"/>
        </w:rPr>
        <w:t xml:space="preserve"> </w:t>
      </w:r>
      <w:r w:rsidRPr="003E2870">
        <w:rPr>
          <w:rFonts w:ascii="Palatino Linotype" w:eastAsia="Palatino Linotype" w:hAnsi="Palatino Linotype" w:cs="Palatino Linotype"/>
          <w:b/>
          <w:i/>
          <w:sz w:val="22"/>
          <w:szCs w:val="22"/>
        </w:rPr>
        <w:t>La información concerniente a una persona, identificada o identificable</w:t>
      </w:r>
      <w:r w:rsidRPr="003E2870">
        <w:rPr>
          <w:rFonts w:ascii="Palatino Linotype" w:eastAsia="Palatino Linotype" w:hAnsi="Palatino Linotype" w:cs="Palatino Linotype"/>
          <w:i/>
          <w:sz w:val="22"/>
          <w:szCs w:val="22"/>
        </w:rPr>
        <w:t xml:space="preserve"> según lo dispuesto por la Ley de Protección de Datos Personales del Estado de México;</w:t>
      </w:r>
    </w:p>
    <w:p w14:paraId="07CF566E" w14:textId="77777777" w:rsidR="002128E2" w:rsidRPr="003E2870" w:rsidRDefault="00830CED">
      <w:pPr>
        <w:ind w:left="993" w:right="1041"/>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b/>
          <w:i/>
          <w:sz w:val="22"/>
          <w:szCs w:val="22"/>
        </w:rPr>
        <w:t>XX. Información clasificada:</w:t>
      </w:r>
      <w:r w:rsidRPr="003E2870">
        <w:rPr>
          <w:rFonts w:ascii="Palatino Linotype" w:eastAsia="Palatino Linotype" w:hAnsi="Palatino Linotype" w:cs="Palatino Linotype"/>
          <w:i/>
          <w:sz w:val="22"/>
          <w:szCs w:val="22"/>
        </w:rPr>
        <w:t xml:space="preserve"> Aquella considerada por la presente Ley como reservada o confidencial;</w:t>
      </w:r>
    </w:p>
    <w:p w14:paraId="38336771" w14:textId="77777777" w:rsidR="002128E2" w:rsidRPr="003E2870" w:rsidRDefault="00830CED">
      <w:pPr>
        <w:ind w:left="993" w:right="1041"/>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b/>
          <w:i/>
          <w:sz w:val="22"/>
          <w:szCs w:val="22"/>
        </w:rPr>
        <w:lastRenderedPageBreak/>
        <w:t>XXXII. Protección de Datos Personales:</w:t>
      </w:r>
      <w:r w:rsidRPr="003E2870">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27143DB5" w14:textId="77777777" w:rsidR="002128E2" w:rsidRPr="003E2870" w:rsidRDefault="00830CED">
      <w:pPr>
        <w:ind w:left="993" w:right="1041"/>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b/>
          <w:i/>
          <w:sz w:val="22"/>
          <w:szCs w:val="22"/>
        </w:rPr>
        <w:t>XLV. Versión pública</w:t>
      </w:r>
      <w:r w:rsidRPr="003E2870">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4E90128F" w14:textId="77777777" w:rsidR="002128E2" w:rsidRPr="003E2870" w:rsidRDefault="002128E2">
      <w:pPr>
        <w:ind w:left="993" w:right="1041"/>
        <w:jc w:val="both"/>
        <w:rPr>
          <w:rFonts w:ascii="Palatino Linotype" w:eastAsia="Palatino Linotype" w:hAnsi="Palatino Linotype" w:cs="Palatino Linotype"/>
          <w:i/>
          <w:sz w:val="22"/>
          <w:szCs w:val="22"/>
        </w:rPr>
      </w:pPr>
    </w:p>
    <w:p w14:paraId="0824CE92" w14:textId="77777777" w:rsidR="002128E2" w:rsidRPr="003E2870" w:rsidRDefault="00830CED">
      <w:pPr>
        <w:ind w:left="993" w:right="1041"/>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b/>
          <w:i/>
          <w:sz w:val="22"/>
          <w:szCs w:val="22"/>
        </w:rPr>
        <w:t>“Artículo 6.</w:t>
      </w:r>
      <w:r w:rsidRPr="003E2870">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0715699F" w14:textId="77777777" w:rsidR="002128E2" w:rsidRPr="003E2870" w:rsidRDefault="002128E2">
      <w:pPr>
        <w:ind w:left="993" w:right="1041"/>
        <w:jc w:val="both"/>
        <w:rPr>
          <w:rFonts w:ascii="Palatino Linotype" w:eastAsia="Palatino Linotype" w:hAnsi="Palatino Linotype" w:cs="Palatino Linotype"/>
          <w:i/>
          <w:sz w:val="22"/>
          <w:szCs w:val="22"/>
        </w:rPr>
      </w:pPr>
    </w:p>
    <w:p w14:paraId="5B819D2D" w14:textId="77777777" w:rsidR="002128E2" w:rsidRPr="003E2870" w:rsidRDefault="00830CED">
      <w:pPr>
        <w:ind w:left="993" w:right="1041"/>
        <w:jc w:val="both"/>
        <w:rPr>
          <w:rFonts w:ascii="Palatino Linotype" w:eastAsia="Palatino Linotype" w:hAnsi="Palatino Linotype" w:cs="Palatino Linotype"/>
          <w:b/>
          <w:i/>
          <w:sz w:val="22"/>
          <w:szCs w:val="22"/>
        </w:rPr>
      </w:pPr>
      <w:r w:rsidRPr="003E2870">
        <w:rPr>
          <w:rFonts w:ascii="Palatino Linotype" w:eastAsia="Palatino Linotype" w:hAnsi="Palatino Linotype" w:cs="Palatino Linotype"/>
          <w:b/>
          <w:i/>
          <w:sz w:val="22"/>
          <w:szCs w:val="22"/>
        </w:rPr>
        <w:t>“Artículo 137.</w:t>
      </w:r>
      <w:r w:rsidRPr="003E2870">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677ABD4" w14:textId="77777777" w:rsidR="002128E2" w:rsidRPr="003E2870" w:rsidRDefault="002128E2">
      <w:pPr>
        <w:ind w:left="993" w:right="1041"/>
        <w:jc w:val="both"/>
        <w:rPr>
          <w:rFonts w:ascii="Palatino Linotype" w:eastAsia="Palatino Linotype" w:hAnsi="Palatino Linotype" w:cs="Palatino Linotype"/>
          <w:b/>
          <w:i/>
          <w:sz w:val="22"/>
          <w:szCs w:val="22"/>
        </w:rPr>
      </w:pPr>
    </w:p>
    <w:p w14:paraId="0807ADC0" w14:textId="77777777" w:rsidR="002128E2" w:rsidRPr="003E2870" w:rsidRDefault="00830CED">
      <w:pPr>
        <w:ind w:left="993" w:right="1041"/>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b/>
          <w:i/>
          <w:sz w:val="22"/>
          <w:szCs w:val="22"/>
        </w:rPr>
        <w:t>“Artículo 143</w:t>
      </w:r>
      <w:r w:rsidRPr="003E2870">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29A1480A" w14:textId="77777777" w:rsidR="002128E2" w:rsidRPr="003E2870" w:rsidRDefault="00830CED">
      <w:pPr>
        <w:ind w:left="993" w:right="1041"/>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b/>
          <w:i/>
          <w:sz w:val="22"/>
          <w:szCs w:val="22"/>
        </w:rPr>
        <w:t>I.</w:t>
      </w:r>
      <w:r w:rsidRPr="003E2870">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2B555E55" w14:textId="77777777" w:rsidR="002128E2" w:rsidRPr="003E2870" w:rsidRDefault="00830CED">
      <w:pPr>
        <w:ind w:left="993" w:right="1041"/>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0510AD49" w14:textId="77777777" w:rsidR="002128E2" w:rsidRPr="003E2870" w:rsidRDefault="00830CED">
      <w:pPr>
        <w:ind w:left="993" w:right="1041"/>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i/>
          <w:sz w:val="22"/>
          <w:szCs w:val="22"/>
        </w:rPr>
        <w:t xml:space="preserve">III. La que presenten los particulares a los sujetos obligados, de conformidad con lo dispuesto por las leyes o los tratados internacionales.” </w:t>
      </w:r>
    </w:p>
    <w:p w14:paraId="6BD48B28" w14:textId="77777777" w:rsidR="002128E2" w:rsidRPr="003E2870" w:rsidRDefault="002128E2">
      <w:pPr>
        <w:ind w:left="993" w:right="1041"/>
        <w:jc w:val="both"/>
        <w:rPr>
          <w:rFonts w:ascii="Palatino Linotype" w:eastAsia="Palatino Linotype" w:hAnsi="Palatino Linotype" w:cs="Palatino Linotype"/>
          <w:i/>
          <w:sz w:val="22"/>
          <w:szCs w:val="22"/>
        </w:rPr>
      </w:pPr>
    </w:p>
    <w:p w14:paraId="53EB5BDD" w14:textId="77777777" w:rsidR="002128E2" w:rsidRPr="003E2870" w:rsidRDefault="00830CED">
      <w:pPr>
        <w:spacing w:line="360" w:lineRule="auto"/>
        <w:ind w:right="51"/>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3E2870">
        <w:rPr>
          <w:rFonts w:ascii="Palatino Linotype" w:eastAsia="Palatino Linotype" w:hAnsi="Palatino Linotype" w:cs="Palatino Linotype"/>
          <w:b/>
          <w:sz w:val="22"/>
          <w:szCs w:val="22"/>
        </w:rPr>
        <w:t>Sujeto Obligado</w:t>
      </w:r>
      <w:r w:rsidRPr="003E2870">
        <w:rPr>
          <w:rFonts w:ascii="Palatino Linotype" w:eastAsia="Palatino Linotype" w:hAnsi="Palatino Linotype" w:cs="Palatino Linotype"/>
          <w:sz w:val="22"/>
          <w:szCs w:val="22"/>
        </w:rPr>
        <w:t xml:space="preserve"> deberá </w:t>
      </w:r>
      <w:r w:rsidRPr="003E2870">
        <w:rPr>
          <w:rFonts w:ascii="Palatino Linotype" w:eastAsia="Palatino Linotype" w:hAnsi="Palatino Linotype" w:cs="Palatino Linotype"/>
          <w:sz w:val="22"/>
          <w:szCs w:val="22"/>
        </w:rPr>
        <w:lastRenderedPageBreak/>
        <w:t xml:space="preserve">proceder a testar los datos personales que se encuentren contenidos en los documentos a entregar para satisfacer el derecho de acceso a la información pública de </w:t>
      </w:r>
      <w:r w:rsidRPr="003E2870">
        <w:rPr>
          <w:rFonts w:ascii="Palatino Linotype" w:eastAsia="Palatino Linotype" w:hAnsi="Palatino Linotype" w:cs="Palatino Linotype"/>
          <w:b/>
          <w:sz w:val="22"/>
          <w:szCs w:val="22"/>
        </w:rPr>
        <w:t>la parte</w:t>
      </w:r>
      <w:r w:rsidRPr="003E2870">
        <w:rPr>
          <w:rFonts w:ascii="Palatino Linotype" w:eastAsia="Palatino Linotype" w:hAnsi="Palatino Linotype" w:cs="Palatino Linotype"/>
          <w:sz w:val="22"/>
          <w:szCs w:val="22"/>
        </w:rPr>
        <w:t xml:space="preserve"> </w:t>
      </w:r>
      <w:r w:rsidRPr="003E2870">
        <w:rPr>
          <w:rFonts w:ascii="Palatino Linotype" w:eastAsia="Palatino Linotype" w:hAnsi="Palatino Linotype" w:cs="Palatino Linotype"/>
          <w:b/>
          <w:sz w:val="22"/>
          <w:szCs w:val="22"/>
        </w:rPr>
        <w:t>Recurrente</w:t>
      </w:r>
      <w:r w:rsidRPr="003E2870">
        <w:rPr>
          <w:rFonts w:ascii="Palatino Linotype" w:eastAsia="Palatino Linotype" w:hAnsi="Palatino Linotype" w:cs="Palatino Linotype"/>
          <w:sz w:val="22"/>
          <w:szCs w:val="22"/>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07302181" w14:textId="77777777" w:rsidR="002128E2" w:rsidRPr="003E2870" w:rsidRDefault="002128E2">
      <w:pPr>
        <w:spacing w:line="360" w:lineRule="auto"/>
        <w:ind w:right="51"/>
        <w:jc w:val="both"/>
        <w:rPr>
          <w:rFonts w:ascii="Palatino Linotype" w:eastAsia="Palatino Linotype" w:hAnsi="Palatino Linotype" w:cs="Palatino Linotype"/>
          <w:sz w:val="22"/>
          <w:szCs w:val="22"/>
        </w:rPr>
      </w:pPr>
    </w:p>
    <w:p w14:paraId="5C81FAC6" w14:textId="77777777" w:rsidR="002128E2" w:rsidRPr="003E2870" w:rsidRDefault="00830CED">
      <w:pPr>
        <w:spacing w:line="360" w:lineRule="auto"/>
        <w:ind w:right="50"/>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17E5E84" w14:textId="77777777" w:rsidR="002128E2" w:rsidRPr="003E2870" w:rsidRDefault="002128E2">
      <w:pPr>
        <w:spacing w:line="360" w:lineRule="auto"/>
        <w:ind w:right="51"/>
        <w:jc w:val="both"/>
        <w:rPr>
          <w:rFonts w:ascii="Palatino Linotype" w:eastAsia="Palatino Linotype" w:hAnsi="Palatino Linotype" w:cs="Palatino Linotype"/>
          <w:sz w:val="22"/>
          <w:szCs w:val="22"/>
        </w:rPr>
      </w:pPr>
    </w:p>
    <w:p w14:paraId="67FCA699" w14:textId="77777777" w:rsidR="002128E2" w:rsidRPr="003E2870" w:rsidRDefault="00830CED">
      <w:pPr>
        <w:spacing w:line="360" w:lineRule="auto"/>
        <w:ind w:right="51"/>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RPr="003E2870">
        <w:rPr>
          <w:rFonts w:ascii="Palatino Linotype" w:eastAsia="Palatino Linotype" w:hAnsi="Palatino Linotype" w:cs="Palatino Linotype"/>
          <w:b/>
          <w:sz w:val="22"/>
          <w:szCs w:val="22"/>
        </w:rPr>
        <w:t>Sujeto Obligado</w:t>
      </w:r>
      <w:r w:rsidRPr="003E2870">
        <w:rPr>
          <w:rFonts w:ascii="Palatino Linotype" w:eastAsia="Palatino Linotype" w:hAnsi="Palatino Linotype" w:cs="Palatino Linotype"/>
          <w:sz w:val="22"/>
          <w:szCs w:val="22"/>
        </w:rPr>
        <w:t>, sino que ello deberá realizarse en términos de lo que disponen los artículos 49 fracción VIII, 53, fracción X y 59, fracción V, de la Ley en consulta, cuyo sentido literal es el siguiente:</w:t>
      </w:r>
    </w:p>
    <w:p w14:paraId="629021B5" w14:textId="77777777" w:rsidR="002128E2" w:rsidRPr="003E2870" w:rsidRDefault="002128E2">
      <w:pPr>
        <w:spacing w:line="360" w:lineRule="auto"/>
        <w:ind w:right="51"/>
        <w:jc w:val="both"/>
        <w:rPr>
          <w:rFonts w:ascii="Palatino Linotype" w:eastAsia="Palatino Linotype" w:hAnsi="Palatino Linotype" w:cs="Palatino Linotype"/>
          <w:sz w:val="22"/>
          <w:szCs w:val="22"/>
        </w:rPr>
      </w:pPr>
    </w:p>
    <w:p w14:paraId="4E6A1829" w14:textId="77777777" w:rsidR="002128E2" w:rsidRPr="003E2870" w:rsidRDefault="00830CED">
      <w:pPr>
        <w:ind w:left="992" w:right="1043"/>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b/>
          <w:i/>
          <w:sz w:val="22"/>
          <w:szCs w:val="22"/>
        </w:rPr>
        <w:t>“Artículo 49.</w:t>
      </w:r>
      <w:r w:rsidRPr="003E2870">
        <w:rPr>
          <w:rFonts w:ascii="Palatino Linotype" w:eastAsia="Palatino Linotype" w:hAnsi="Palatino Linotype" w:cs="Palatino Linotype"/>
          <w:i/>
          <w:sz w:val="22"/>
          <w:szCs w:val="22"/>
        </w:rPr>
        <w:t xml:space="preserve"> </w:t>
      </w:r>
      <w:r w:rsidRPr="003E2870">
        <w:rPr>
          <w:rFonts w:ascii="Palatino Linotype" w:eastAsia="Palatino Linotype" w:hAnsi="Palatino Linotype" w:cs="Palatino Linotype"/>
          <w:b/>
          <w:i/>
          <w:sz w:val="22"/>
          <w:szCs w:val="22"/>
        </w:rPr>
        <w:t>Los Comités de Transparencia</w:t>
      </w:r>
      <w:r w:rsidRPr="003E2870">
        <w:rPr>
          <w:rFonts w:ascii="Palatino Linotype" w:eastAsia="Palatino Linotype" w:hAnsi="Palatino Linotype" w:cs="Palatino Linotype"/>
          <w:i/>
          <w:sz w:val="22"/>
          <w:szCs w:val="22"/>
        </w:rPr>
        <w:t xml:space="preserve"> tendrán las siguientes atribuciones:</w:t>
      </w:r>
    </w:p>
    <w:p w14:paraId="572DBCF4" w14:textId="77777777" w:rsidR="002128E2" w:rsidRPr="003E2870" w:rsidRDefault="00830CED">
      <w:pPr>
        <w:ind w:left="992" w:right="1043"/>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b/>
          <w:i/>
          <w:sz w:val="22"/>
          <w:szCs w:val="22"/>
        </w:rPr>
        <w:t>VIII. Aprobar, modificar o revocar la clasificación de la información</w:t>
      </w:r>
      <w:r w:rsidRPr="003E2870">
        <w:rPr>
          <w:rFonts w:ascii="Palatino Linotype" w:eastAsia="Palatino Linotype" w:hAnsi="Palatino Linotype" w:cs="Palatino Linotype"/>
          <w:i/>
          <w:sz w:val="22"/>
          <w:szCs w:val="22"/>
        </w:rPr>
        <w:t>…”</w:t>
      </w:r>
    </w:p>
    <w:p w14:paraId="10B6B13D" w14:textId="77777777" w:rsidR="002128E2" w:rsidRPr="003E2870" w:rsidRDefault="00830CED">
      <w:pPr>
        <w:ind w:left="992" w:right="1043"/>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i/>
          <w:sz w:val="22"/>
          <w:szCs w:val="22"/>
        </w:rPr>
        <w:t>“</w:t>
      </w:r>
      <w:r w:rsidRPr="003E2870">
        <w:rPr>
          <w:rFonts w:ascii="Palatino Linotype" w:eastAsia="Palatino Linotype" w:hAnsi="Palatino Linotype" w:cs="Palatino Linotype"/>
          <w:b/>
          <w:i/>
          <w:sz w:val="22"/>
          <w:szCs w:val="22"/>
        </w:rPr>
        <w:t>Artículo 53.</w:t>
      </w:r>
      <w:r w:rsidRPr="003E2870">
        <w:rPr>
          <w:rFonts w:ascii="Palatino Linotype" w:eastAsia="Palatino Linotype" w:hAnsi="Palatino Linotype" w:cs="Palatino Linotype"/>
          <w:i/>
          <w:sz w:val="22"/>
          <w:szCs w:val="22"/>
        </w:rPr>
        <w:t xml:space="preserve"> Las </w:t>
      </w:r>
      <w:r w:rsidRPr="003E2870">
        <w:rPr>
          <w:rFonts w:ascii="Palatino Linotype" w:eastAsia="Palatino Linotype" w:hAnsi="Palatino Linotype" w:cs="Palatino Linotype"/>
          <w:b/>
          <w:i/>
          <w:sz w:val="22"/>
          <w:szCs w:val="22"/>
        </w:rPr>
        <w:t>Unidades de Transparencia</w:t>
      </w:r>
      <w:r w:rsidRPr="003E2870">
        <w:rPr>
          <w:rFonts w:ascii="Palatino Linotype" w:eastAsia="Palatino Linotype" w:hAnsi="Palatino Linotype" w:cs="Palatino Linotype"/>
          <w:i/>
          <w:sz w:val="22"/>
          <w:szCs w:val="22"/>
        </w:rPr>
        <w:t xml:space="preserve"> tendrán las siguientes </w:t>
      </w:r>
      <w:r w:rsidRPr="003E2870">
        <w:rPr>
          <w:rFonts w:ascii="Palatino Linotype" w:eastAsia="Palatino Linotype" w:hAnsi="Palatino Linotype" w:cs="Palatino Linotype"/>
          <w:b/>
          <w:i/>
          <w:sz w:val="22"/>
          <w:szCs w:val="22"/>
        </w:rPr>
        <w:t>funciones</w:t>
      </w:r>
      <w:r w:rsidRPr="003E2870">
        <w:rPr>
          <w:rFonts w:ascii="Palatino Linotype" w:eastAsia="Palatino Linotype" w:hAnsi="Palatino Linotype" w:cs="Palatino Linotype"/>
          <w:i/>
          <w:sz w:val="22"/>
          <w:szCs w:val="22"/>
        </w:rPr>
        <w:t>:</w:t>
      </w:r>
    </w:p>
    <w:p w14:paraId="4BBA2768" w14:textId="77777777" w:rsidR="002128E2" w:rsidRPr="003E2870" w:rsidRDefault="00830CED">
      <w:pPr>
        <w:ind w:left="992" w:right="1043"/>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b/>
          <w:i/>
          <w:sz w:val="22"/>
          <w:szCs w:val="22"/>
        </w:rPr>
        <w:t>X. Presentar ante el Comité, el proyecto de clasificación de información</w:t>
      </w:r>
      <w:r w:rsidRPr="003E2870">
        <w:rPr>
          <w:rFonts w:ascii="Palatino Linotype" w:eastAsia="Palatino Linotype" w:hAnsi="Palatino Linotype" w:cs="Palatino Linotype"/>
          <w:i/>
          <w:sz w:val="22"/>
          <w:szCs w:val="22"/>
        </w:rPr>
        <w:t xml:space="preserve">…” </w:t>
      </w:r>
    </w:p>
    <w:p w14:paraId="3F86AE1A" w14:textId="77777777" w:rsidR="002128E2" w:rsidRPr="003E2870" w:rsidRDefault="00830CED">
      <w:pPr>
        <w:ind w:left="992" w:right="1043"/>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b/>
          <w:i/>
          <w:sz w:val="22"/>
          <w:szCs w:val="22"/>
        </w:rPr>
        <w:t>“Artículo 59.</w:t>
      </w:r>
      <w:r w:rsidRPr="003E2870">
        <w:rPr>
          <w:rFonts w:ascii="Palatino Linotype" w:eastAsia="Palatino Linotype" w:hAnsi="Palatino Linotype" w:cs="Palatino Linotype"/>
          <w:i/>
          <w:sz w:val="22"/>
          <w:szCs w:val="22"/>
        </w:rPr>
        <w:t xml:space="preserve"> Los </w:t>
      </w:r>
      <w:r w:rsidRPr="003E2870">
        <w:rPr>
          <w:rFonts w:ascii="Palatino Linotype" w:eastAsia="Palatino Linotype" w:hAnsi="Palatino Linotype" w:cs="Palatino Linotype"/>
          <w:b/>
          <w:i/>
          <w:sz w:val="22"/>
          <w:szCs w:val="22"/>
        </w:rPr>
        <w:t>servidores públicos habilitados</w:t>
      </w:r>
      <w:r w:rsidRPr="003E2870">
        <w:rPr>
          <w:rFonts w:ascii="Palatino Linotype" w:eastAsia="Palatino Linotype" w:hAnsi="Palatino Linotype" w:cs="Palatino Linotype"/>
          <w:i/>
          <w:sz w:val="22"/>
          <w:szCs w:val="22"/>
        </w:rPr>
        <w:t xml:space="preserve"> tendrán las </w:t>
      </w:r>
      <w:r w:rsidRPr="003E2870">
        <w:rPr>
          <w:rFonts w:ascii="Palatino Linotype" w:eastAsia="Palatino Linotype" w:hAnsi="Palatino Linotype" w:cs="Palatino Linotype"/>
          <w:b/>
          <w:i/>
          <w:sz w:val="22"/>
          <w:szCs w:val="22"/>
        </w:rPr>
        <w:t>funciones</w:t>
      </w:r>
      <w:r w:rsidRPr="003E2870">
        <w:rPr>
          <w:rFonts w:ascii="Palatino Linotype" w:eastAsia="Palatino Linotype" w:hAnsi="Palatino Linotype" w:cs="Palatino Linotype"/>
          <w:i/>
          <w:sz w:val="22"/>
          <w:szCs w:val="22"/>
        </w:rPr>
        <w:t xml:space="preserve"> siguientes:</w:t>
      </w:r>
    </w:p>
    <w:p w14:paraId="2CD1F5CF" w14:textId="77777777" w:rsidR="002128E2" w:rsidRPr="003E2870" w:rsidRDefault="00830CED">
      <w:pPr>
        <w:ind w:left="992" w:right="1043"/>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b/>
          <w:i/>
          <w:sz w:val="22"/>
          <w:szCs w:val="22"/>
        </w:rPr>
        <w:lastRenderedPageBreak/>
        <w:t>V. Integrar y presentar al responsable de la Unidad de Transparencia la propuesta de clasificación de información</w:t>
      </w:r>
      <w:r w:rsidRPr="003E2870">
        <w:rPr>
          <w:rFonts w:ascii="Palatino Linotype" w:eastAsia="Palatino Linotype" w:hAnsi="Palatino Linotype" w:cs="Palatino Linotype"/>
          <w:i/>
          <w:sz w:val="22"/>
          <w:szCs w:val="22"/>
        </w:rPr>
        <w:t xml:space="preserve">, la cual tendrá los fundamentos y argumentos en que se basa dicha propuesta…” </w:t>
      </w:r>
    </w:p>
    <w:p w14:paraId="0DCFE24A" w14:textId="77777777" w:rsidR="002128E2" w:rsidRPr="003E2870" w:rsidRDefault="002128E2">
      <w:pPr>
        <w:ind w:left="992" w:right="1043"/>
        <w:jc w:val="both"/>
        <w:rPr>
          <w:rFonts w:ascii="Palatino Linotype" w:eastAsia="Palatino Linotype" w:hAnsi="Palatino Linotype" w:cs="Palatino Linotype"/>
          <w:i/>
          <w:sz w:val="22"/>
          <w:szCs w:val="22"/>
        </w:rPr>
      </w:pPr>
    </w:p>
    <w:p w14:paraId="7B28ED6C" w14:textId="77777777" w:rsidR="002128E2" w:rsidRPr="003E2870" w:rsidRDefault="00830CED">
      <w:pPr>
        <w:spacing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C293F71" w14:textId="77777777" w:rsidR="002128E2" w:rsidRPr="003E2870" w:rsidRDefault="002128E2">
      <w:pPr>
        <w:spacing w:line="360" w:lineRule="auto"/>
        <w:jc w:val="both"/>
        <w:rPr>
          <w:rFonts w:ascii="Palatino Linotype" w:eastAsia="Palatino Linotype" w:hAnsi="Palatino Linotype" w:cs="Palatino Linotype"/>
          <w:sz w:val="22"/>
          <w:szCs w:val="22"/>
        </w:rPr>
      </w:pPr>
    </w:p>
    <w:p w14:paraId="0573D1F5" w14:textId="77777777" w:rsidR="002128E2" w:rsidRPr="003E2870" w:rsidRDefault="00830CED">
      <w:pPr>
        <w:spacing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474A59E1" w14:textId="77777777" w:rsidR="002128E2" w:rsidRPr="003E2870" w:rsidRDefault="00830CED">
      <w:pPr>
        <w:spacing w:after="240"/>
        <w:ind w:left="993" w:right="1041"/>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i/>
          <w:sz w:val="22"/>
          <w:szCs w:val="22"/>
        </w:rPr>
        <w:t>“</w:t>
      </w:r>
      <w:r w:rsidRPr="003E2870">
        <w:rPr>
          <w:rFonts w:ascii="Palatino Linotype" w:eastAsia="Palatino Linotype" w:hAnsi="Palatino Linotype" w:cs="Palatino Linotype"/>
          <w:b/>
          <w:i/>
          <w:sz w:val="22"/>
          <w:szCs w:val="22"/>
        </w:rPr>
        <w:t>Artículo 149.</w:t>
      </w:r>
      <w:r w:rsidRPr="003E2870">
        <w:rPr>
          <w:rFonts w:ascii="Palatino Linotype" w:eastAsia="Palatino Linotype" w:hAnsi="Palatino Linotype" w:cs="Palatino Linotype"/>
          <w:i/>
          <w:sz w:val="22"/>
          <w:szCs w:val="22"/>
        </w:rPr>
        <w:t xml:space="preserve"> El </w:t>
      </w:r>
      <w:r w:rsidRPr="003E2870">
        <w:rPr>
          <w:rFonts w:ascii="Palatino Linotype" w:eastAsia="Palatino Linotype" w:hAnsi="Palatino Linotype" w:cs="Palatino Linotype"/>
          <w:b/>
          <w:i/>
          <w:sz w:val="22"/>
          <w:szCs w:val="22"/>
        </w:rPr>
        <w:t>acuerdo que clasifique la información como confidencial</w:t>
      </w:r>
      <w:r w:rsidRPr="003E2870">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
    <w:p w14:paraId="0A66D738" w14:textId="77777777" w:rsidR="002128E2" w:rsidRPr="003E2870" w:rsidRDefault="00830CED">
      <w:pPr>
        <w:spacing w:line="360" w:lineRule="auto"/>
        <w:ind w:right="51"/>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 xml:space="preserve">Es decir, el </w:t>
      </w:r>
      <w:r w:rsidRPr="003E2870">
        <w:rPr>
          <w:rFonts w:ascii="Palatino Linotype" w:eastAsia="Palatino Linotype" w:hAnsi="Palatino Linotype" w:cs="Palatino Linotype"/>
          <w:b/>
          <w:sz w:val="22"/>
          <w:szCs w:val="22"/>
        </w:rPr>
        <w:t>Sujeto Obligado</w:t>
      </w:r>
      <w:r w:rsidRPr="003E2870">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265B47F3" w14:textId="77777777" w:rsidR="002128E2" w:rsidRPr="003E2870" w:rsidRDefault="002128E2">
      <w:pPr>
        <w:spacing w:line="360" w:lineRule="auto"/>
        <w:jc w:val="both"/>
        <w:rPr>
          <w:rFonts w:ascii="Palatino Linotype" w:eastAsia="Palatino Linotype" w:hAnsi="Palatino Linotype" w:cs="Palatino Linotype"/>
          <w:sz w:val="22"/>
          <w:szCs w:val="22"/>
        </w:rPr>
      </w:pPr>
    </w:p>
    <w:p w14:paraId="16E40F7E" w14:textId="77777777" w:rsidR="002128E2" w:rsidRPr="003E2870" w:rsidRDefault="00830CED">
      <w:pPr>
        <w:spacing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lastRenderedPageBreak/>
        <w:t xml:space="preserve">Al respecto, se destaca que la versión pública que elabore el </w:t>
      </w:r>
      <w:r w:rsidRPr="003E2870">
        <w:rPr>
          <w:rFonts w:ascii="Palatino Linotype" w:eastAsia="Palatino Linotype" w:hAnsi="Palatino Linotype" w:cs="Palatino Linotype"/>
          <w:b/>
          <w:sz w:val="22"/>
          <w:szCs w:val="22"/>
        </w:rPr>
        <w:t>Sujeto Obligado</w:t>
      </w:r>
      <w:r w:rsidRPr="003E2870">
        <w:rPr>
          <w:rFonts w:ascii="Palatino Linotype" w:eastAsia="Palatino Linotype" w:hAnsi="Palatino Linotype" w:cs="Palatino Linotype"/>
          <w:sz w:val="22"/>
          <w:szCs w:val="22"/>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3E2870">
        <w:rPr>
          <w:rFonts w:ascii="Palatino Linotype" w:eastAsia="Palatino Linotype" w:hAnsi="Palatino Linotype" w:cs="Palatino Linotype"/>
          <w:b/>
          <w:sz w:val="22"/>
          <w:szCs w:val="22"/>
        </w:rPr>
        <w:t>LINEAMIENTOS GENERALES EN MATERIA DE CLASIFICACIÓN Y DESCLASIFICACIÓN DE LA INFORMACIÓN, ASÍ COMO PARA LA ELABORACIÓN DE VERSIONES PÚBLICAS</w:t>
      </w:r>
      <w:r w:rsidRPr="003E2870">
        <w:rPr>
          <w:rFonts w:ascii="Palatino Linotype" w:eastAsia="Palatino Linotype" w:hAnsi="Palatino Linotype" w:cs="Palatino Linotype"/>
          <w:sz w:val="22"/>
          <w:szCs w:val="22"/>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463322EC" w14:textId="77777777" w:rsidR="002128E2" w:rsidRPr="003E2870" w:rsidRDefault="002128E2">
      <w:pPr>
        <w:ind w:left="709" w:right="709"/>
        <w:jc w:val="both"/>
        <w:rPr>
          <w:rFonts w:ascii="Palatino Linotype" w:eastAsia="Palatino Linotype" w:hAnsi="Palatino Linotype" w:cs="Palatino Linotype"/>
          <w:b/>
          <w:i/>
          <w:sz w:val="22"/>
          <w:szCs w:val="22"/>
        </w:rPr>
      </w:pPr>
    </w:p>
    <w:p w14:paraId="32CFA2E2" w14:textId="77777777" w:rsidR="002128E2" w:rsidRPr="003E2870" w:rsidRDefault="00830CED">
      <w:pPr>
        <w:pBdr>
          <w:top w:val="nil"/>
          <w:left w:val="nil"/>
          <w:bottom w:val="nil"/>
          <w:right w:val="nil"/>
          <w:between w:val="nil"/>
        </w:pBdr>
        <w:ind w:left="709" w:right="709"/>
        <w:jc w:val="both"/>
        <w:rPr>
          <w:sz w:val="22"/>
          <w:szCs w:val="22"/>
        </w:rPr>
      </w:pPr>
      <w:r w:rsidRPr="003E2870">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62A88833" w14:textId="77777777" w:rsidR="002128E2" w:rsidRPr="003E2870" w:rsidRDefault="00830CED">
      <w:pPr>
        <w:pBdr>
          <w:top w:val="nil"/>
          <w:left w:val="nil"/>
          <w:bottom w:val="nil"/>
          <w:right w:val="nil"/>
          <w:between w:val="nil"/>
        </w:pBdr>
        <w:ind w:left="709" w:right="709"/>
        <w:jc w:val="both"/>
        <w:rPr>
          <w:sz w:val="22"/>
          <w:szCs w:val="22"/>
        </w:rPr>
      </w:pPr>
      <w:r w:rsidRPr="003E2870">
        <w:rPr>
          <w:rFonts w:ascii="Palatino Linotype" w:eastAsia="Palatino Linotype" w:hAnsi="Palatino Linotype" w:cs="Palatino Linotype"/>
          <w:i/>
          <w:sz w:val="22"/>
          <w:szCs w:val="22"/>
        </w:rPr>
        <w:t>“</w:t>
      </w:r>
      <w:r w:rsidRPr="003E2870">
        <w:rPr>
          <w:rFonts w:ascii="Palatino Linotype" w:eastAsia="Palatino Linotype" w:hAnsi="Palatino Linotype" w:cs="Palatino Linotype"/>
          <w:b/>
          <w:i/>
          <w:sz w:val="22"/>
          <w:szCs w:val="22"/>
        </w:rPr>
        <w:t>Segundo.-</w:t>
      </w:r>
      <w:r w:rsidRPr="003E2870">
        <w:rPr>
          <w:rFonts w:ascii="Palatino Linotype" w:eastAsia="Palatino Linotype" w:hAnsi="Palatino Linotype" w:cs="Palatino Linotype"/>
          <w:i/>
          <w:sz w:val="22"/>
          <w:szCs w:val="22"/>
        </w:rPr>
        <w:t xml:space="preserve"> Para efectos de los presentes Lineamientos Generales, se entenderá por:</w:t>
      </w:r>
    </w:p>
    <w:p w14:paraId="767DED08" w14:textId="77777777" w:rsidR="002128E2" w:rsidRPr="003E2870" w:rsidRDefault="00830CED">
      <w:pPr>
        <w:pBdr>
          <w:top w:val="nil"/>
          <w:left w:val="nil"/>
          <w:bottom w:val="nil"/>
          <w:right w:val="nil"/>
          <w:between w:val="nil"/>
        </w:pBdr>
        <w:ind w:left="709" w:right="709"/>
        <w:jc w:val="both"/>
        <w:rPr>
          <w:sz w:val="22"/>
          <w:szCs w:val="22"/>
        </w:rPr>
      </w:pPr>
      <w:r w:rsidRPr="003E2870">
        <w:rPr>
          <w:rFonts w:ascii="Palatino Linotype" w:eastAsia="Palatino Linotype" w:hAnsi="Palatino Linotype" w:cs="Palatino Linotype"/>
          <w:b/>
          <w:i/>
          <w:sz w:val="22"/>
          <w:szCs w:val="22"/>
        </w:rPr>
        <w:t>XVIII.</w:t>
      </w:r>
      <w:r w:rsidRPr="003E2870">
        <w:rPr>
          <w:rFonts w:ascii="Palatino Linotype" w:eastAsia="Palatino Linotype" w:hAnsi="Palatino Linotype" w:cs="Palatino Linotype"/>
          <w:i/>
          <w:sz w:val="22"/>
          <w:szCs w:val="22"/>
        </w:rPr>
        <w:t xml:space="preserve"> </w:t>
      </w:r>
      <w:r w:rsidRPr="003E2870">
        <w:rPr>
          <w:rFonts w:ascii="Palatino Linotype" w:eastAsia="Palatino Linotype" w:hAnsi="Palatino Linotype" w:cs="Palatino Linotype"/>
          <w:b/>
          <w:i/>
          <w:sz w:val="22"/>
          <w:szCs w:val="22"/>
        </w:rPr>
        <w:t>Versión pública:</w:t>
      </w:r>
      <w:r w:rsidRPr="003E2870">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3E2870">
        <w:rPr>
          <w:rFonts w:ascii="Palatino Linotype" w:eastAsia="Palatino Linotype" w:hAnsi="Palatino Linotype" w:cs="Palatino Linotype"/>
          <w:b/>
          <w:i/>
          <w:sz w:val="22"/>
          <w:szCs w:val="22"/>
          <w:u w:val="single"/>
        </w:rPr>
        <w:t>fundando y motivando la</w:t>
      </w:r>
      <w:r w:rsidRPr="003E2870">
        <w:rPr>
          <w:rFonts w:ascii="Palatino Linotype" w:eastAsia="Palatino Linotype" w:hAnsi="Palatino Linotype" w:cs="Palatino Linotype"/>
          <w:i/>
          <w:sz w:val="22"/>
          <w:szCs w:val="22"/>
        </w:rPr>
        <w:t xml:space="preserve"> reserva o </w:t>
      </w:r>
      <w:r w:rsidRPr="003E2870">
        <w:rPr>
          <w:rFonts w:ascii="Palatino Linotype" w:eastAsia="Palatino Linotype" w:hAnsi="Palatino Linotype" w:cs="Palatino Linotype"/>
          <w:b/>
          <w:i/>
          <w:sz w:val="22"/>
          <w:szCs w:val="22"/>
          <w:u w:val="single"/>
        </w:rPr>
        <w:t>confidencialidad</w:t>
      </w:r>
      <w:r w:rsidRPr="003E2870">
        <w:rPr>
          <w:rFonts w:ascii="Palatino Linotype" w:eastAsia="Palatino Linotype" w:hAnsi="Palatino Linotype" w:cs="Palatino Linotype"/>
          <w:i/>
          <w:sz w:val="22"/>
          <w:szCs w:val="22"/>
        </w:rPr>
        <w:t>, a través de la resolución que para tal efecto emita el Comité de Transparencia.</w:t>
      </w:r>
    </w:p>
    <w:p w14:paraId="57FB4A4F" w14:textId="77777777" w:rsidR="002128E2" w:rsidRPr="003E2870" w:rsidRDefault="00830CED">
      <w:pPr>
        <w:pBdr>
          <w:top w:val="nil"/>
          <w:left w:val="nil"/>
          <w:bottom w:val="nil"/>
          <w:right w:val="nil"/>
          <w:between w:val="nil"/>
        </w:pBdr>
        <w:ind w:left="709" w:right="709"/>
        <w:jc w:val="both"/>
        <w:rPr>
          <w:sz w:val="22"/>
          <w:szCs w:val="22"/>
        </w:rPr>
      </w:pPr>
      <w:r w:rsidRPr="003E2870">
        <w:rPr>
          <w:rFonts w:ascii="Palatino Linotype" w:eastAsia="Palatino Linotype" w:hAnsi="Palatino Linotype" w:cs="Palatino Linotype"/>
          <w:b/>
          <w:i/>
          <w:sz w:val="22"/>
          <w:szCs w:val="22"/>
        </w:rPr>
        <w:t>Cuarto.</w:t>
      </w:r>
      <w:r w:rsidRPr="003E2870">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E5EA305" w14:textId="77777777" w:rsidR="002128E2" w:rsidRPr="003E2870" w:rsidRDefault="00830CED">
      <w:pPr>
        <w:pBdr>
          <w:top w:val="nil"/>
          <w:left w:val="nil"/>
          <w:bottom w:val="nil"/>
          <w:right w:val="nil"/>
          <w:between w:val="nil"/>
        </w:pBdr>
        <w:ind w:left="709" w:right="709"/>
        <w:jc w:val="both"/>
        <w:rPr>
          <w:sz w:val="22"/>
          <w:szCs w:val="22"/>
        </w:rPr>
      </w:pPr>
      <w:r w:rsidRPr="003E2870">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6FA0ED5A" w14:textId="77777777" w:rsidR="002128E2" w:rsidRPr="003E2870" w:rsidRDefault="00830CED">
      <w:pPr>
        <w:pBdr>
          <w:top w:val="nil"/>
          <w:left w:val="nil"/>
          <w:bottom w:val="nil"/>
          <w:right w:val="nil"/>
          <w:between w:val="nil"/>
        </w:pBdr>
        <w:ind w:left="709" w:right="709"/>
        <w:jc w:val="both"/>
        <w:rPr>
          <w:sz w:val="22"/>
          <w:szCs w:val="22"/>
        </w:rPr>
      </w:pPr>
      <w:r w:rsidRPr="003E2870">
        <w:rPr>
          <w:rFonts w:ascii="Palatino Linotype" w:eastAsia="Palatino Linotype" w:hAnsi="Palatino Linotype" w:cs="Palatino Linotype"/>
          <w:b/>
          <w:i/>
          <w:sz w:val="22"/>
          <w:szCs w:val="22"/>
        </w:rPr>
        <w:t>Quinto.</w:t>
      </w:r>
      <w:r w:rsidRPr="003E2870">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w:t>
      </w:r>
      <w:r w:rsidRPr="003E2870">
        <w:rPr>
          <w:rFonts w:ascii="Palatino Linotype" w:eastAsia="Palatino Linotype" w:hAnsi="Palatino Linotype" w:cs="Palatino Linotype"/>
          <w:i/>
          <w:sz w:val="22"/>
          <w:szCs w:val="22"/>
        </w:rPr>
        <w:lastRenderedPageBreak/>
        <w:t>públicas para dar cumplimiento a las obligaciones de transparencia, observando lo dispuesto en la Ley General y las demás disposiciones aplicables en la materia.</w:t>
      </w:r>
    </w:p>
    <w:p w14:paraId="0BBE7D2D" w14:textId="77777777" w:rsidR="002128E2" w:rsidRPr="003E2870" w:rsidRDefault="00830CED">
      <w:pPr>
        <w:pBdr>
          <w:top w:val="nil"/>
          <w:left w:val="nil"/>
          <w:bottom w:val="nil"/>
          <w:right w:val="nil"/>
          <w:between w:val="nil"/>
        </w:pBdr>
        <w:ind w:left="709" w:right="709"/>
        <w:jc w:val="both"/>
        <w:rPr>
          <w:sz w:val="22"/>
          <w:szCs w:val="22"/>
        </w:rPr>
      </w:pPr>
      <w:r w:rsidRPr="003E2870">
        <w:rPr>
          <w:rFonts w:ascii="Palatino Linotype" w:eastAsia="Palatino Linotype" w:hAnsi="Palatino Linotype" w:cs="Palatino Linotype"/>
          <w:b/>
          <w:i/>
          <w:sz w:val="22"/>
          <w:szCs w:val="22"/>
        </w:rPr>
        <w:t>…</w:t>
      </w:r>
    </w:p>
    <w:p w14:paraId="25D4D4FB" w14:textId="77777777" w:rsidR="002128E2" w:rsidRPr="003E2870" w:rsidRDefault="00830CED">
      <w:pPr>
        <w:pBdr>
          <w:top w:val="nil"/>
          <w:left w:val="nil"/>
          <w:bottom w:val="nil"/>
          <w:right w:val="nil"/>
          <w:between w:val="nil"/>
        </w:pBdr>
        <w:ind w:left="709" w:right="709"/>
        <w:jc w:val="both"/>
        <w:rPr>
          <w:sz w:val="22"/>
          <w:szCs w:val="22"/>
        </w:rPr>
      </w:pPr>
      <w:r w:rsidRPr="003E2870">
        <w:rPr>
          <w:rFonts w:ascii="Palatino Linotype" w:eastAsia="Palatino Linotype" w:hAnsi="Palatino Linotype" w:cs="Palatino Linotype"/>
          <w:b/>
          <w:i/>
          <w:sz w:val="22"/>
          <w:szCs w:val="22"/>
        </w:rPr>
        <w:t>Séptimo.</w:t>
      </w:r>
      <w:r w:rsidRPr="003E2870">
        <w:rPr>
          <w:rFonts w:ascii="Palatino Linotype" w:eastAsia="Palatino Linotype" w:hAnsi="Palatino Linotype" w:cs="Palatino Linotype"/>
          <w:i/>
          <w:sz w:val="22"/>
          <w:szCs w:val="22"/>
        </w:rPr>
        <w:t xml:space="preserve"> La clasificación de la información se llevará a cabo en el momento en que:</w:t>
      </w:r>
    </w:p>
    <w:p w14:paraId="70FB6C69" w14:textId="77777777" w:rsidR="002128E2" w:rsidRPr="003E2870" w:rsidRDefault="00830CED">
      <w:pPr>
        <w:pBdr>
          <w:top w:val="nil"/>
          <w:left w:val="nil"/>
          <w:bottom w:val="nil"/>
          <w:right w:val="nil"/>
          <w:between w:val="nil"/>
        </w:pBdr>
        <w:ind w:left="709" w:right="709"/>
        <w:jc w:val="both"/>
        <w:rPr>
          <w:sz w:val="22"/>
          <w:szCs w:val="22"/>
        </w:rPr>
      </w:pPr>
      <w:r w:rsidRPr="003E2870">
        <w:rPr>
          <w:rFonts w:ascii="Palatino Linotype" w:eastAsia="Palatino Linotype" w:hAnsi="Palatino Linotype" w:cs="Palatino Linotype"/>
          <w:b/>
          <w:i/>
          <w:sz w:val="22"/>
          <w:szCs w:val="22"/>
        </w:rPr>
        <w:t>I.</w:t>
      </w:r>
      <w:r w:rsidRPr="003E2870">
        <w:rPr>
          <w:rFonts w:ascii="Palatino Linotype" w:eastAsia="Palatino Linotype" w:hAnsi="Palatino Linotype" w:cs="Palatino Linotype"/>
          <w:i/>
          <w:sz w:val="22"/>
          <w:szCs w:val="22"/>
        </w:rPr>
        <w:t xml:space="preserve"> Se reciba una solicitud de acceso a la información;</w:t>
      </w:r>
    </w:p>
    <w:p w14:paraId="787AE011" w14:textId="77777777" w:rsidR="002128E2" w:rsidRPr="003E2870" w:rsidRDefault="00830CED">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b/>
          <w:i/>
          <w:sz w:val="22"/>
          <w:szCs w:val="22"/>
        </w:rPr>
        <w:t>II.</w:t>
      </w:r>
      <w:r w:rsidRPr="003E2870">
        <w:rPr>
          <w:rFonts w:ascii="Palatino Linotype" w:eastAsia="Palatino Linotype" w:hAnsi="Palatino Linotype" w:cs="Palatino Linotype"/>
          <w:i/>
          <w:sz w:val="22"/>
          <w:szCs w:val="22"/>
        </w:rPr>
        <w:t xml:space="preserve"> Se  determine mediante resolución del Comité de Transparencia, el órgano garante </w:t>
      </w:r>
    </w:p>
    <w:p w14:paraId="1CF2E9FC" w14:textId="77777777" w:rsidR="002128E2" w:rsidRPr="003E2870" w:rsidRDefault="00830CED">
      <w:pPr>
        <w:pBdr>
          <w:top w:val="nil"/>
          <w:left w:val="nil"/>
          <w:bottom w:val="nil"/>
          <w:right w:val="nil"/>
          <w:between w:val="nil"/>
        </w:pBdr>
        <w:ind w:left="709" w:right="709"/>
        <w:jc w:val="both"/>
        <w:rPr>
          <w:sz w:val="22"/>
          <w:szCs w:val="22"/>
        </w:rPr>
      </w:pPr>
      <w:r w:rsidRPr="003E2870">
        <w:rPr>
          <w:rFonts w:ascii="Palatino Linotype" w:eastAsia="Palatino Linotype" w:hAnsi="Palatino Linotype" w:cs="Palatino Linotype"/>
          <w:i/>
          <w:sz w:val="22"/>
          <w:szCs w:val="22"/>
        </w:rPr>
        <w:t>competente, o en cumplimiento a una sentencia del Poder Judicial; o</w:t>
      </w:r>
    </w:p>
    <w:p w14:paraId="2E071B20" w14:textId="77777777" w:rsidR="002128E2" w:rsidRPr="003E2870" w:rsidRDefault="00830CED">
      <w:pPr>
        <w:pBdr>
          <w:top w:val="nil"/>
          <w:left w:val="nil"/>
          <w:bottom w:val="nil"/>
          <w:right w:val="nil"/>
          <w:between w:val="nil"/>
        </w:pBdr>
        <w:ind w:left="709" w:right="709"/>
        <w:jc w:val="both"/>
        <w:rPr>
          <w:sz w:val="22"/>
          <w:szCs w:val="22"/>
        </w:rPr>
      </w:pPr>
      <w:r w:rsidRPr="003E2870">
        <w:rPr>
          <w:rFonts w:ascii="Palatino Linotype" w:eastAsia="Palatino Linotype" w:hAnsi="Palatino Linotype" w:cs="Palatino Linotype"/>
          <w:b/>
          <w:i/>
          <w:sz w:val="22"/>
          <w:szCs w:val="22"/>
        </w:rPr>
        <w:t>III.</w:t>
      </w:r>
      <w:r w:rsidRPr="003E2870">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61A86567" w14:textId="77777777" w:rsidR="002128E2" w:rsidRPr="003E2870" w:rsidRDefault="00830CED">
      <w:pPr>
        <w:pBdr>
          <w:top w:val="nil"/>
          <w:left w:val="nil"/>
          <w:bottom w:val="nil"/>
          <w:right w:val="nil"/>
          <w:between w:val="nil"/>
        </w:pBdr>
        <w:ind w:left="709" w:right="709"/>
        <w:jc w:val="both"/>
        <w:rPr>
          <w:sz w:val="22"/>
          <w:szCs w:val="22"/>
        </w:rPr>
      </w:pPr>
      <w:r w:rsidRPr="003E2870">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144704E6" w14:textId="77777777" w:rsidR="002128E2" w:rsidRPr="003E2870" w:rsidRDefault="00830CED">
      <w:pPr>
        <w:pBdr>
          <w:top w:val="nil"/>
          <w:left w:val="nil"/>
          <w:bottom w:val="nil"/>
          <w:right w:val="nil"/>
          <w:between w:val="nil"/>
        </w:pBdr>
        <w:ind w:left="709" w:right="709"/>
        <w:jc w:val="both"/>
        <w:rPr>
          <w:sz w:val="22"/>
          <w:szCs w:val="22"/>
        </w:rPr>
      </w:pPr>
      <w:r w:rsidRPr="003E2870">
        <w:rPr>
          <w:rFonts w:ascii="Palatino Linotype" w:eastAsia="Palatino Linotype" w:hAnsi="Palatino Linotype" w:cs="Palatino Linotype"/>
          <w:b/>
          <w:i/>
          <w:sz w:val="22"/>
          <w:szCs w:val="22"/>
        </w:rPr>
        <w:t>Octavo.</w:t>
      </w:r>
      <w:r w:rsidRPr="003E2870">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393B54A" w14:textId="77777777" w:rsidR="002128E2" w:rsidRPr="003E2870" w:rsidRDefault="00830CED">
      <w:pPr>
        <w:pBdr>
          <w:top w:val="nil"/>
          <w:left w:val="nil"/>
          <w:bottom w:val="nil"/>
          <w:right w:val="nil"/>
          <w:between w:val="nil"/>
        </w:pBdr>
        <w:ind w:left="709" w:right="709"/>
        <w:jc w:val="both"/>
        <w:rPr>
          <w:sz w:val="22"/>
          <w:szCs w:val="22"/>
        </w:rPr>
      </w:pPr>
      <w:r w:rsidRPr="003E2870">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549E812B" w14:textId="77777777" w:rsidR="002128E2" w:rsidRPr="003E2870" w:rsidRDefault="00830CED">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5FCE2BAE" w14:textId="77777777" w:rsidR="002128E2" w:rsidRPr="003E2870" w:rsidRDefault="00830CED">
      <w:pPr>
        <w:pBdr>
          <w:top w:val="nil"/>
          <w:left w:val="nil"/>
          <w:bottom w:val="nil"/>
          <w:right w:val="nil"/>
          <w:between w:val="nil"/>
        </w:pBdr>
        <w:ind w:left="709" w:right="709"/>
        <w:jc w:val="both"/>
        <w:rPr>
          <w:sz w:val="22"/>
          <w:szCs w:val="22"/>
        </w:rPr>
      </w:pPr>
      <w:r w:rsidRPr="003E2870">
        <w:rPr>
          <w:rFonts w:ascii="Palatino Linotype" w:eastAsia="Palatino Linotype" w:hAnsi="Palatino Linotype" w:cs="Palatino Linotype"/>
          <w:b/>
          <w:i/>
          <w:sz w:val="22"/>
          <w:szCs w:val="22"/>
        </w:rPr>
        <w:t>Noveno.</w:t>
      </w:r>
      <w:r w:rsidRPr="003E2870">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36EA2FB" w14:textId="77777777" w:rsidR="002128E2" w:rsidRPr="003E2870" w:rsidRDefault="00830CED">
      <w:pPr>
        <w:pBdr>
          <w:top w:val="nil"/>
          <w:left w:val="nil"/>
          <w:bottom w:val="nil"/>
          <w:right w:val="nil"/>
          <w:between w:val="nil"/>
        </w:pBdr>
        <w:ind w:left="709" w:right="709"/>
        <w:jc w:val="both"/>
        <w:rPr>
          <w:sz w:val="22"/>
          <w:szCs w:val="22"/>
        </w:rPr>
      </w:pPr>
      <w:r w:rsidRPr="003E2870">
        <w:rPr>
          <w:rFonts w:ascii="Palatino Linotype" w:eastAsia="Palatino Linotype" w:hAnsi="Palatino Linotype" w:cs="Palatino Linotype"/>
          <w:b/>
          <w:i/>
          <w:sz w:val="22"/>
          <w:szCs w:val="22"/>
        </w:rPr>
        <w:t>Décimo.</w:t>
      </w:r>
      <w:r w:rsidRPr="003E2870">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66F38D2" w14:textId="77777777" w:rsidR="002128E2" w:rsidRPr="003E2870" w:rsidRDefault="00830CED">
      <w:pPr>
        <w:pBdr>
          <w:top w:val="nil"/>
          <w:left w:val="nil"/>
          <w:bottom w:val="nil"/>
          <w:right w:val="nil"/>
          <w:between w:val="nil"/>
        </w:pBdr>
        <w:ind w:left="709" w:right="709"/>
        <w:jc w:val="both"/>
        <w:rPr>
          <w:sz w:val="22"/>
          <w:szCs w:val="22"/>
        </w:rPr>
      </w:pPr>
      <w:r w:rsidRPr="003E2870">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33E3AEA0" w14:textId="77777777" w:rsidR="002128E2" w:rsidRPr="003E2870" w:rsidRDefault="00830CED">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b/>
          <w:i/>
          <w:sz w:val="22"/>
          <w:szCs w:val="22"/>
        </w:rPr>
        <w:t>Décimo primero.</w:t>
      </w:r>
      <w:r w:rsidRPr="003E2870">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w:t>
      </w:r>
      <w:r w:rsidRPr="003E2870">
        <w:rPr>
          <w:rFonts w:ascii="Palatino Linotype" w:eastAsia="Palatino Linotype" w:hAnsi="Palatino Linotype" w:cs="Palatino Linotype"/>
          <w:i/>
          <w:sz w:val="22"/>
          <w:szCs w:val="22"/>
        </w:rPr>
        <w:lastRenderedPageBreak/>
        <w:t>llevar la leyenda correspondiente de conformidad con lo dispuesto en el Capítulo VIII de los presentes lineamientos.</w:t>
      </w:r>
    </w:p>
    <w:p w14:paraId="40AEFDE7" w14:textId="77777777" w:rsidR="002128E2" w:rsidRPr="003E2870" w:rsidRDefault="002128E2">
      <w:pPr>
        <w:pBdr>
          <w:top w:val="nil"/>
          <w:left w:val="nil"/>
          <w:bottom w:val="nil"/>
          <w:right w:val="nil"/>
          <w:between w:val="nil"/>
        </w:pBdr>
        <w:ind w:right="709"/>
        <w:jc w:val="both"/>
        <w:rPr>
          <w:sz w:val="22"/>
          <w:szCs w:val="22"/>
        </w:rPr>
      </w:pPr>
    </w:p>
    <w:p w14:paraId="144F4F3A" w14:textId="77777777" w:rsidR="002128E2" w:rsidRPr="003E2870" w:rsidRDefault="00830CED">
      <w:pPr>
        <w:pBdr>
          <w:top w:val="nil"/>
          <w:left w:val="nil"/>
          <w:bottom w:val="nil"/>
          <w:right w:val="nil"/>
          <w:between w:val="nil"/>
        </w:pBdr>
        <w:ind w:left="709" w:right="709"/>
        <w:jc w:val="both"/>
        <w:rPr>
          <w:sz w:val="22"/>
          <w:szCs w:val="22"/>
        </w:rPr>
      </w:pPr>
      <w:r w:rsidRPr="003E2870">
        <w:rPr>
          <w:rFonts w:ascii="Palatino Linotype" w:eastAsia="Palatino Linotype" w:hAnsi="Palatino Linotype" w:cs="Palatino Linotype"/>
          <w:i/>
          <w:sz w:val="22"/>
          <w:szCs w:val="22"/>
        </w:rPr>
        <w:t>[…]</w:t>
      </w:r>
    </w:p>
    <w:p w14:paraId="419F2269" w14:textId="77777777" w:rsidR="002128E2" w:rsidRPr="003E2870" w:rsidRDefault="00830CED">
      <w:pPr>
        <w:pBdr>
          <w:top w:val="nil"/>
          <w:left w:val="nil"/>
          <w:bottom w:val="nil"/>
          <w:right w:val="nil"/>
          <w:between w:val="nil"/>
        </w:pBdr>
        <w:ind w:left="709" w:right="709"/>
        <w:jc w:val="center"/>
        <w:rPr>
          <w:sz w:val="22"/>
          <w:szCs w:val="22"/>
        </w:rPr>
      </w:pPr>
      <w:r w:rsidRPr="003E2870">
        <w:rPr>
          <w:rFonts w:ascii="Palatino Linotype" w:eastAsia="Palatino Linotype" w:hAnsi="Palatino Linotype" w:cs="Palatino Linotype"/>
          <w:b/>
          <w:i/>
          <w:sz w:val="22"/>
          <w:szCs w:val="22"/>
        </w:rPr>
        <w:t>CAPÍTULO VIII</w:t>
      </w:r>
    </w:p>
    <w:p w14:paraId="10F7F4C8" w14:textId="77777777" w:rsidR="002128E2" w:rsidRPr="003E2870" w:rsidRDefault="00830CED">
      <w:pPr>
        <w:pBdr>
          <w:top w:val="nil"/>
          <w:left w:val="nil"/>
          <w:bottom w:val="nil"/>
          <w:right w:val="nil"/>
          <w:between w:val="nil"/>
        </w:pBdr>
        <w:spacing w:after="160"/>
        <w:ind w:left="709" w:right="709"/>
        <w:jc w:val="center"/>
        <w:rPr>
          <w:rFonts w:ascii="Palatino Linotype" w:eastAsia="Palatino Linotype" w:hAnsi="Palatino Linotype" w:cs="Palatino Linotype"/>
          <w:b/>
          <w:i/>
          <w:sz w:val="22"/>
          <w:szCs w:val="22"/>
        </w:rPr>
      </w:pPr>
      <w:r w:rsidRPr="003E2870">
        <w:rPr>
          <w:rFonts w:ascii="Palatino Linotype" w:eastAsia="Palatino Linotype" w:hAnsi="Palatino Linotype" w:cs="Palatino Linotype"/>
          <w:b/>
          <w:i/>
          <w:sz w:val="22"/>
          <w:szCs w:val="22"/>
        </w:rPr>
        <w:t>DE LOS ELEMENTOS PARA LA CLASIFICACIÓN</w:t>
      </w:r>
    </w:p>
    <w:p w14:paraId="13765FF2" w14:textId="77777777" w:rsidR="002128E2" w:rsidRPr="003E2870" w:rsidRDefault="00830CE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b/>
          <w:i/>
          <w:sz w:val="22"/>
          <w:szCs w:val="22"/>
        </w:rPr>
        <w:t>Quincuagésimo</w:t>
      </w:r>
      <w:r w:rsidRPr="003E2870">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3F4B7EBC" w14:textId="77777777" w:rsidR="002128E2" w:rsidRPr="003E2870" w:rsidRDefault="00830CE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b/>
          <w:i/>
          <w:sz w:val="22"/>
          <w:szCs w:val="22"/>
        </w:rPr>
        <w:t>Quincuagésimo primero</w:t>
      </w:r>
      <w:r w:rsidRPr="003E2870">
        <w:rPr>
          <w:rFonts w:ascii="Palatino Linotype" w:eastAsia="Palatino Linotype" w:hAnsi="Palatino Linotype" w:cs="Palatino Linotype"/>
          <w:i/>
          <w:sz w:val="22"/>
          <w:szCs w:val="22"/>
        </w:rPr>
        <w:t>. Toda acta del Comité de Transparencia deberá contener:</w:t>
      </w:r>
    </w:p>
    <w:p w14:paraId="4E49D880" w14:textId="77777777" w:rsidR="002128E2" w:rsidRPr="003E2870" w:rsidRDefault="00830CE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i/>
          <w:sz w:val="22"/>
          <w:szCs w:val="22"/>
        </w:rPr>
        <w:t xml:space="preserve">I. El número de sesión y fecha; </w:t>
      </w:r>
    </w:p>
    <w:p w14:paraId="0203770D" w14:textId="77777777" w:rsidR="002128E2" w:rsidRPr="003E2870" w:rsidRDefault="00830CE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i/>
          <w:sz w:val="22"/>
          <w:szCs w:val="22"/>
        </w:rPr>
        <w:t>II. El nombre del área que solicitó la clasificación de información;</w:t>
      </w:r>
    </w:p>
    <w:p w14:paraId="59FAEB50" w14:textId="77777777" w:rsidR="002128E2" w:rsidRPr="003E2870" w:rsidRDefault="00830CE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i/>
          <w:sz w:val="22"/>
          <w:szCs w:val="22"/>
        </w:rPr>
        <w:t>III. La fundamentación legal y motivación correspondiente;</w:t>
      </w:r>
    </w:p>
    <w:p w14:paraId="0A2241BF" w14:textId="77777777" w:rsidR="002128E2" w:rsidRPr="003E2870" w:rsidRDefault="00830CE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i/>
          <w:sz w:val="22"/>
          <w:szCs w:val="22"/>
        </w:rPr>
        <w:t>IV. La resolución o resoluciones aprobadas; y</w:t>
      </w:r>
    </w:p>
    <w:p w14:paraId="5F40F328" w14:textId="77777777" w:rsidR="002128E2" w:rsidRPr="003E2870" w:rsidRDefault="00830CE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i/>
          <w:sz w:val="22"/>
          <w:szCs w:val="22"/>
        </w:rPr>
        <w:t xml:space="preserve">V. La rúbrica o firma digital de cada integrante del Comité de Transparencia. </w:t>
      </w:r>
    </w:p>
    <w:p w14:paraId="59BD3D44" w14:textId="77777777" w:rsidR="002128E2" w:rsidRPr="003E2870" w:rsidRDefault="00830CE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4BE43D95" w14:textId="77777777" w:rsidR="002128E2" w:rsidRPr="003E2870" w:rsidRDefault="00830CE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i/>
          <w:sz w:val="22"/>
          <w:szCs w:val="22"/>
        </w:rPr>
        <w:t>I. Los motivos y razonamientos que sustenten la confirmación o modificación de la prueba de daño;</w:t>
      </w:r>
    </w:p>
    <w:p w14:paraId="0E1B5BD7" w14:textId="77777777" w:rsidR="002128E2" w:rsidRPr="003E2870" w:rsidRDefault="00830CE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i/>
          <w:sz w:val="22"/>
          <w:szCs w:val="22"/>
        </w:rPr>
        <w:t>II. Descripción de las partes o secciones reservadas, en caso de clasificación parcial;</w:t>
      </w:r>
    </w:p>
    <w:p w14:paraId="4A9F115C" w14:textId="77777777" w:rsidR="002128E2" w:rsidRPr="003E2870" w:rsidRDefault="00830CE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i/>
          <w:sz w:val="22"/>
          <w:szCs w:val="22"/>
        </w:rPr>
        <w:t>III. El periodo por el que mantendrá su clasificación y fecha de expiración; y</w:t>
      </w:r>
    </w:p>
    <w:p w14:paraId="5369D07C" w14:textId="77777777" w:rsidR="002128E2" w:rsidRPr="003E2870" w:rsidRDefault="00830CE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i/>
          <w:sz w:val="22"/>
          <w:szCs w:val="22"/>
        </w:rPr>
        <w:t>IV. El nombre del titular y área encargada de realizar la versión pública del documento, en su caso.</w:t>
      </w:r>
    </w:p>
    <w:p w14:paraId="1D700BA0" w14:textId="77777777" w:rsidR="002128E2" w:rsidRPr="003E2870" w:rsidRDefault="00830CE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6E7AC626" w14:textId="77777777" w:rsidR="002128E2" w:rsidRPr="003E2870" w:rsidRDefault="00830CE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77109584" w14:textId="77777777" w:rsidR="002128E2" w:rsidRPr="003E2870" w:rsidRDefault="00830CE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b/>
          <w:i/>
          <w:sz w:val="22"/>
          <w:szCs w:val="22"/>
        </w:rPr>
        <w:t>Quincuagésimo segundo</w:t>
      </w:r>
      <w:r w:rsidRPr="003E2870">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w:t>
      </w:r>
      <w:r w:rsidRPr="003E2870">
        <w:rPr>
          <w:rFonts w:ascii="Palatino Linotype" w:eastAsia="Palatino Linotype" w:hAnsi="Palatino Linotype" w:cs="Palatino Linotype"/>
          <w:i/>
          <w:sz w:val="22"/>
          <w:szCs w:val="22"/>
        </w:rPr>
        <w:lastRenderedPageBreak/>
        <w:t>asegurar que el espacio utilizado para testar la información no podrá ser empleado para la sobreposición de contenido distinto al autorizado por el Comité.</w:t>
      </w:r>
    </w:p>
    <w:p w14:paraId="5244D094" w14:textId="77777777" w:rsidR="002128E2" w:rsidRPr="003E2870" w:rsidRDefault="00830CE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35029FB3" w14:textId="77777777" w:rsidR="002128E2" w:rsidRPr="003E2870" w:rsidRDefault="00830CE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40B55903" w14:textId="77777777" w:rsidR="002128E2" w:rsidRPr="003E2870" w:rsidRDefault="00830CE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0824B0C5" w14:textId="77777777" w:rsidR="002128E2" w:rsidRPr="003E2870" w:rsidRDefault="00830CE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i/>
          <w:sz w:val="22"/>
          <w:szCs w:val="22"/>
        </w:rPr>
        <w:t>III. Señalar las personas o instancias autorizadas a acceder a la información clasificada.</w:t>
      </w:r>
    </w:p>
    <w:p w14:paraId="029E1F88" w14:textId="77777777" w:rsidR="002128E2" w:rsidRPr="003E2870" w:rsidRDefault="00830CED">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072C4D19" w14:textId="77777777" w:rsidR="002128E2" w:rsidRPr="003E2870" w:rsidRDefault="00830CED">
      <w:pPr>
        <w:pBdr>
          <w:top w:val="nil"/>
          <w:left w:val="nil"/>
          <w:bottom w:val="nil"/>
          <w:right w:val="nil"/>
          <w:between w:val="nil"/>
        </w:pBdr>
        <w:spacing w:after="160"/>
        <w:ind w:left="709" w:right="709"/>
        <w:jc w:val="both"/>
        <w:rPr>
          <w:sz w:val="22"/>
          <w:szCs w:val="22"/>
        </w:rPr>
      </w:pPr>
      <w:r w:rsidRPr="003E2870">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sidRPr="003E2870">
        <w:rPr>
          <w:rFonts w:ascii="Palatino Linotype" w:eastAsia="Palatino Linotype" w:hAnsi="Palatino Linotype" w:cs="Palatino Linotype"/>
          <w:i/>
          <w:sz w:val="22"/>
          <w:szCs w:val="22"/>
        </w:rPr>
        <w:t>testado</w:t>
      </w:r>
      <w:proofErr w:type="spellEnd"/>
      <w:r w:rsidRPr="003E2870">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w:t>
      </w:r>
    </w:p>
    <w:p w14:paraId="49965D66" w14:textId="77777777" w:rsidR="002128E2" w:rsidRPr="003E2870" w:rsidRDefault="002128E2">
      <w:pPr>
        <w:rPr>
          <w:sz w:val="22"/>
          <w:szCs w:val="22"/>
        </w:rPr>
      </w:pPr>
    </w:p>
    <w:p w14:paraId="2889EE0F" w14:textId="77777777" w:rsidR="002128E2" w:rsidRPr="003E2870" w:rsidRDefault="00830CED">
      <w:pPr>
        <w:spacing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Efectivamente, cuando se clasifica información como confidencial es importante someterlo al Comité de Transparencia, quien debe confirmar, modificar o revocar la clasificación.</w:t>
      </w:r>
    </w:p>
    <w:p w14:paraId="4E7E821A" w14:textId="77777777" w:rsidR="002128E2" w:rsidRPr="003E2870" w:rsidRDefault="002128E2">
      <w:pPr>
        <w:spacing w:line="360" w:lineRule="auto"/>
        <w:jc w:val="both"/>
        <w:rPr>
          <w:rFonts w:ascii="Palatino Linotype" w:eastAsia="Palatino Linotype" w:hAnsi="Palatino Linotype" w:cs="Palatino Linotype"/>
          <w:sz w:val="22"/>
          <w:szCs w:val="22"/>
        </w:rPr>
      </w:pPr>
    </w:p>
    <w:p w14:paraId="6651F250" w14:textId="77777777" w:rsidR="002128E2" w:rsidRPr="003E2870" w:rsidRDefault="00830CED">
      <w:pPr>
        <w:shd w:val="clear" w:color="auto" w:fill="FFFFFF"/>
        <w:spacing w:line="360" w:lineRule="auto"/>
        <w:ind w:right="51"/>
        <w:jc w:val="both"/>
        <w:rPr>
          <w:rFonts w:ascii="Palatino Linotype" w:eastAsia="Palatino Linotype" w:hAnsi="Palatino Linotype" w:cs="Palatino Linotype"/>
          <w:sz w:val="22"/>
          <w:szCs w:val="22"/>
        </w:rPr>
      </w:pPr>
      <w:bookmarkStart w:id="7" w:name="_heading=h.4d34og8" w:colFirst="0" w:colLast="0"/>
      <w:bookmarkEnd w:id="7"/>
      <w:r w:rsidRPr="003E2870">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en el que se expongan los fundamentos y razonamientos que llevaron al </w:t>
      </w:r>
      <w:r w:rsidRPr="003E2870">
        <w:rPr>
          <w:rFonts w:ascii="Palatino Linotype" w:eastAsia="Palatino Linotype" w:hAnsi="Palatino Linotype" w:cs="Palatino Linotype"/>
          <w:b/>
          <w:sz w:val="22"/>
          <w:szCs w:val="22"/>
        </w:rPr>
        <w:t>Sujeto Obligado</w:t>
      </w:r>
      <w:r w:rsidRPr="003E2870">
        <w:rPr>
          <w:rFonts w:ascii="Palatino Linotype" w:eastAsia="Palatino Linotype" w:hAnsi="Palatino Linotype" w:cs="Palatino Linotype"/>
          <w:sz w:val="22"/>
          <w:szCs w:val="22"/>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w:t>
      </w:r>
      <w:r w:rsidRPr="003E2870">
        <w:rPr>
          <w:rFonts w:ascii="Palatino Linotype" w:eastAsia="Palatino Linotype" w:hAnsi="Palatino Linotype" w:cs="Palatino Linotype"/>
          <w:sz w:val="22"/>
          <w:szCs w:val="22"/>
        </w:rPr>
        <w:lastRenderedPageBreak/>
        <w:t xml:space="preserve">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RPr="003E2870">
        <w:rPr>
          <w:rFonts w:ascii="Palatino Linotype" w:eastAsia="Palatino Linotype" w:hAnsi="Palatino Linotype" w:cs="Palatino Linotype"/>
          <w:b/>
          <w:sz w:val="22"/>
          <w:szCs w:val="22"/>
        </w:rPr>
        <w:t>la parte</w:t>
      </w:r>
      <w:r w:rsidRPr="003E2870">
        <w:rPr>
          <w:rFonts w:ascii="Palatino Linotype" w:eastAsia="Palatino Linotype" w:hAnsi="Palatino Linotype" w:cs="Palatino Linotype"/>
          <w:sz w:val="22"/>
          <w:szCs w:val="22"/>
        </w:rPr>
        <w:t xml:space="preserve"> </w:t>
      </w:r>
      <w:r w:rsidRPr="003E2870">
        <w:rPr>
          <w:rFonts w:ascii="Palatino Linotype" w:eastAsia="Palatino Linotype" w:hAnsi="Palatino Linotype" w:cs="Palatino Linotype"/>
          <w:b/>
          <w:sz w:val="22"/>
          <w:szCs w:val="22"/>
        </w:rPr>
        <w:t>Recurrente</w:t>
      </w:r>
      <w:r w:rsidRPr="003E2870">
        <w:rPr>
          <w:rFonts w:ascii="Palatino Linotype" w:eastAsia="Palatino Linotype" w:hAnsi="Palatino Linotype" w:cs="Palatino Linotype"/>
          <w:sz w:val="22"/>
          <w:szCs w:val="22"/>
        </w:rPr>
        <w:t>.</w:t>
      </w:r>
    </w:p>
    <w:p w14:paraId="70C9E337" w14:textId="77777777" w:rsidR="002128E2" w:rsidRPr="003E2870" w:rsidRDefault="00830CED">
      <w:pPr>
        <w:spacing w:before="240"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sz w:val="22"/>
          <w:szCs w:val="22"/>
        </w:rPr>
        <w:t>Por lo anteriormente expuesto y con fundamento en lo prescrito en los artículos 5 párrafos trigésimo tercero, trigésimo cuarto y trigésimo quinto de la Constitución Política del Estado Libre y Soberano de México; 2, fracción II; 29, 36 fracciones I y II; 176, 178, 181, 185 y 186 fracción III de la Ley de Transparencia y Acceso a la Información Pública del Estado de México y Municipios, este Pleno:</w:t>
      </w:r>
    </w:p>
    <w:p w14:paraId="0C1EB45D" w14:textId="77777777" w:rsidR="002128E2" w:rsidRPr="003E2870" w:rsidRDefault="00830CED">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3E2870">
        <w:rPr>
          <w:rFonts w:ascii="Palatino Linotype" w:eastAsia="Palatino Linotype" w:hAnsi="Palatino Linotype" w:cs="Palatino Linotype"/>
          <w:b/>
        </w:rPr>
        <w:t>R E S U E L V E:</w:t>
      </w:r>
    </w:p>
    <w:p w14:paraId="10F9FF2C" w14:textId="77777777" w:rsidR="002128E2" w:rsidRPr="003E2870" w:rsidRDefault="00830CED">
      <w:pPr>
        <w:spacing w:before="240" w:after="240" w:line="360" w:lineRule="auto"/>
        <w:jc w:val="both"/>
        <w:rPr>
          <w:rFonts w:ascii="Palatino Linotype" w:eastAsia="Palatino Linotype" w:hAnsi="Palatino Linotype" w:cs="Palatino Linotype"/>
          <w:sz w:val="22"/>
          <w:szCs w:val="22"/>
        </w:rPr>
      </w:pPr>
      <w:bookmarkStart w:id="8" w:name="_heading=h.3znysh7" w:colFirst="0" w:colLast="0"/>
      <w:bookmarkEnd w:id="8"/>
      <w:r w:rsidRPr="003E2870">
        <w:rPr>
          <w:rFonts w:ascii="Palatino Linotype" w:eastAsia="Palatino Linotype" w:hAnsi="Palatino Linotype" w:cs="Palatino Linotype"/>
          <w:b/>
          <w:sz w:val="22"/>
          <w:szCs w:val="22"/>
        </w:rPr>
        <w:t xml:space="preserve">Primero. </w:t>
      </w:r>
      <w:r w:rsidRPr="003E2870">
        <w:rPr>
          <w:rFonts w:ascii="Palatino Linotype" w:eastAsia="Palatino Linotype" w:hAnsi="Palatino Linotype" w:cs="Palatino Linotype"/>
          <w:sz w:val="22"/>
          <w:szCs w:val="22"/>
        </w:rPr>
        <w:t xml:space="preserve">Resultan </w:t>
      </w:r>
      <w:r w:rsidRPr="003E2870">
        <w:rPr>
          <w:rFonts w:ascii="Palatino Linotype" w:eastAsia="Palatino Linotype" w:hAnsi="Palatino Linotype" w:cs="Palatino Linotype"/>
          <w:b/>
          <w:sz w:val="22"/>
          <w:szCs w:val="22"/>
        </w:rPr>
        <w:t>fundadas</w:t>
      </w:r>
      <w:r w:rsidRPr="003E2870">
        <w:rPr>
          <w:rFonts w:ascii="Palatino Linotype" w:eastAsia="Palatino Linotype" w:hAnsi="Palatino Linotype" w:cs="Palatino Linotype"/>
          <w:sz w:val="22"/>
          <w:szCs w:val="22"/>
        </w:rPr>
        <w:t xml:space="preserve"> las razones o motivos de inconformidad hechos valer por </w:t>
      </w:r>
      <w:r w:rsidRPr="003E2870">
        <w:rPr>
          <w:rFonts w:ascii="Palatino Linotype" w:eastAsia="Palatino Linotype" w:hAnsi="Palatino Linotype" w:cs="Palatino Linotype"/>
          <w:b/>
          <w:sz w:val="22"/>
          <w:szCs w:val="22"/>
        </w:rPr>
        <w:t>la parte Recurrente</w:t>
      </w:r>
      <w:r w:rsidRPr="003E2870">
        <w:rPr>
          <w:rFonts w:ascii="Palatino Linotype" w:eastAsia="Palatino Linotype" w:hAnsi="Palatino Linotype" w:cs="Palatino Linotype"/>
          <w:sz w:val="22"/>
          <w:szCs w:val="22"/>
        </w:rPr>
        <w:t xml:space="preserve"> en el recurso de revisión </w:t>
      </w:r>
      <w:r w:rsidRPr="003E2870">
        <w:rPr>
          <w:rFonts w:ascii="Palatino Linotype" w:eastAsia="Palatino Linotype" w:hAnsi="Palatino Linotype" w:cs="Palatino Linotype"/>
          <w:b/>
          <w:sz w:val="22"/>
          <w:szCs w:val="22"/>
        </w:rPr>
        <w:t>05784/INFOEM/IP/RR/2024</w:t>
      </w:r>
      <w:r w:rsidRPr="003E2870">
        <w:rPr>
          <w:rFonts w:ascii="Palatino Linotype" w:eastAsia="Palatino Linotype" w:hAnsi="Palatino Linotype" w:cs="Palatino Linotype"/>
          <w:sz w:val="22"/>
          <w:szCs w:val="22"/>
        </w:rPr>
        <w:t xml:space="preserve">; por lo que, en términos del </w:t>
      </w:r>
      <w:r w:rsidRPr="003E2870">
        <w:rPr>
          <w:rFonts w:ascii="Palatino Linotype" w:eastAsia="Palatino Linotype" w:hAnsi="Palatino Linotype" w:cs="Palatino Linotype"/>
          <w:b/>
          <w:sz w:val="22"/>
          <w:szCs w:val="22"/>
        </w:rPr>
        <w:t>Considerando</w:t>
      </w:r>
      <w:r w:rsidRPr="003E2870">
        <w:rPr>
          <w:rFonts w:ascii="Palatino Linotype" w:eastAsia="Palatino Linotype" w:hAnsi="Palatino Linotype" w:cs="Palatino Linotype"/>
          <w:sz w:val="22"/>
          <w:szCs w:val="22"/>
        </w:rPr>
        <w:t xml:space="preserve"> </w:t>
      </w:r>
      <w:r w:rsidRPr="003E2870">
        <w:rPr>
          <w:rFonts w:ascii="Palatino Linotype" w:eastAsia="Palatino Linotype" w:hAnsi="Palatino Linotype" w:cs="Palatino Linotype"/>
          <w:b/>
          <w:sz w:val="22"/>
          <w:szCs w:val="22"/>
        </w:rPr>
        <w:t xml:space="preserve">Cuarto </w:t>
      </w:r>
      <w:r w:rsidRPr="003E2870">
        <w:rPr>
          <w:rFonts w:ascii="Palatino Linotype" w:eastAsia="Palatino Linotype" w:hAnsi="Palatino Linotype" w:cs="Palatino Linotype"/>
          <w:sz w:val="22"/>
          <w:szCs w:val="22"/>
        </w:rPr>
        <w:t xml:space="preserve">de esta resolución, se </w:t>
      </w:r>
      <w:r w:rsidRPr="003E2870">
        <w:rPr>
          <w:rFonts w:ascii="Palatino Linotype" w:eastAsia="Palatino Linotype" w:hAnsi="Palatino Linotype" w:cs="Palatino Linotype"/>
          <w:b/>
          <w:sz w:val="22"/>
          <w:szCs w:val="22"/>
        </w:rPr>
        <w:t xml:space="preserve">REVOCA </w:t>
      </w:r>
      <w:r w:rsidRPr="003E2870">
        <w:rPr>
          <w:rFonts w:ascii="Palatino Linotype" w:eastAsia="Palatino Linotype" w:hAnsi="Palatino Linotype" w:cs="Palatino Linotype"/>
          <w:sz w:val="22"/>
          <w:szCs w:val="22"/>
        </w:rPr>
        <w:t xml:space="preserve">la respuesta emitida por el </w:t>
      </w:r>
      <w:r w:rsidRPr="003E2870">
        <w:rPr>
          <w:rFonts w:ascii="Palatino Linotype" w:eastAsia="Palatino Linotype" w:hAnsi="Palatino Linotype" w:cs="Palatino Linotype"/>
          <w:b/>
          <w:sz w:val="22"/>
          <w:szCs w:val="22"/>
        </w:rPr>
        <w:t>Sujeto Obligado.</w:t>
      </w:r>
    </w:p>
    <w:p w14:paraId="61BEF4FA" w14:textId="77777777" w:rsidR="002128E2" w:rsidRPr="003E2870" w:rsidRDefault="00830CED">
      <w:pPr>
        <w:spacing w:before="240" w:after="240" w:line="360" w:lineRule="auto"/>
        <w:ind w:right="49"/>
        <w:jc w:val="both"/>
        <w:rPr>
          <w:rFonts w:ascii="Palatino Linotype" w:eastAsia="Palatino Linotype" w:hAnsi="Palatino Linotype" w:cs="Palatino Linotype"/>
          <w:b/>
          <w:sz w:val="22"/>
          <w:szCs w:val="22"/>
        </w:rPr>
      </w:pPr>
      <w:bookmarkStart w:id="9" w:name="_heading=h.3dy6vkm" w:colFirst="0" w:colLast="0"/>
      <w:bookmarkEnd w:id="9"/>
      <w:r w:rsidRPr="003E2870">
        <w:rPr>
          <w:rFonts w:ascii="Palatino Linotype" w:eastAsia="Palatino Linotype" w:hAnsi="Palatino Linotype" w:cs="Palatino Linotype"/>
          <w:b/>
          <w:sz w:val="22"/>
          <w:szCs w:val="22"/>
        </w:rPr>
        <w:t xml:space="preserve">Segundo. </w:t>
      </w:r>
      <w:r w:rsidRPr="003E2870">
        <w:rPr>
          <w:rFonts w:ascii="Palatino Linotype" w:eastAsia="Palatino Linotype" w:hAnsi="Palatino Linotype" w:cs="Palatino Linotype"/>
          <w:sz w:val="22"/>
          <w:szCs w:val="22"/>
        </w:rPr>
        <w:t xml:space="preserve">Se </w:t>
      </w:r>
      <w:r w:rsidRPr="003E2870">
        <w:rPr>
          <w:rFonts w:ascii="Palatino Linotype" w:eastAsia="Palatino Linotype" w:hAnsi="Palatino Linotype" w:cs="Palatino Linotype"/>
          <w:b/>
          <w:sz w:val="22"/>
          <w:szCs w:val="22"/>
        </w:rPr>
        <w:t xml:space="preserve">Ordena </w:t>
      </w:r>
      <w:r w:rsidRPr="003E2870">
        <w:rPr>
          <w:rFonts w:ascii="Palatino Linotype" w:eastAsia="Palatino Linotype" w:hAnsi="Palatino Linotype" w:cs="Palatino Linotype"/>
          <w:sz w:val="22"/>
          <w:szCs w:val="22"/>
        </w:rPr>
        <w:t xml:space="preserve">al </w:t>
      </w:r>
      <w:r w:rsidRPr="003E2870">
        <w:rPr>
          <w:rFonts w:ascii="Palatino Linotype" w:eastAsia="Palatino Linotype" w:hAnsi="Palatino Linotype" w:cs="Palatino Linotype"/>
          <w:b/>
          <w:sz w:val="22"/>
          <w:szCs w:val="22"/>
        </w:rPr>
        <w:t>Sujeto Obligado</w:t>
      </w:r>
      <w:r w:rsidRPr="003E2870">
        <w:rPr>
          <w:rFonts w:ascii="Palatino Linotype" w:eastAsia="Palatino Linotype" w:hAnsi="Palatino Linotype" w:cs="Palatino Linotype"/>
          <w:sz w:val="22"/>
          <w:szCs w:val="22"/>
        </w:rPr>
        <w:t xml:space="preserve"> entregue, a</w:t>
      </w:r>
      <w:r w:rsidRPr="003E2870">
        <w:rPr>
          <w:rFonts w:ascii="Palatino Linotype" w:eastAsia="Palatino Linotype" w:hAnsi="Palatino Linotype" w:cs="Palatino Linotype"/>
          <w:b/>
          <w:sz w:val="22"/>
          <w:szCs w:val="22"/>
        </w:rPr>
        <w:t xml:space="preserve"> la parte</w:t>
      </w:r>
      <w:r w:rsidRPr="003E2870">
        <w:rPr>
          <w:rFonts w:ascii="Palatino Linotype" w:eastAsia="Palatino Linotype" w:hAnsi="Palatino Linotype" w:cs="Palatino Linotype"/>
          <w:sz w:val="22"/>
          <w:szCs w:val="22"/>
        </w:rPr>
        <w:t xml:space="preserve"> </w:t>
      </w:r>
      <w:r w:rsidRPr="003E2870">
        <w:rPr>
          <w:rFonts w:ascii="Palatino Linotype" w:eastAsia="Palatino Linotype" w:hAnsi="Palatino Linotype" w:cs="Palatino Linotype"/>
          <w:b/>
          <w:sz w:val="22"/>
          <w:szCs w:val="22"/>
        </w:rPr>
        <w:t>Recurrente</w:t>
      </w:r>
      <w:r w:rsidRPr="003E2870">
        <w:rPr>
          <w:rFonts w:ascii="Palatino Linotype" w:eastAsia="Palatino Linotype" w:hAnsi="Palatino Linotype" w:cs="Palatino Linotype"/>
          <w:sz w:val="22"/>
          <w:szCs w:val="22"/>
        </w:rPr>
        <w:t xml:space="preserve">, </w:t>
      </w:r>
      <w:r w:rsidRPr="003E2870">
        <w:rPr>
          <w:rFonts w:ascii="Palatino Linotype" w:eastAsia="Palatino Linotype" w:hAnsi="Palatino Linotype" w:cs="Palatino Linotype"/>
          <w:b/>
          <w:sz w:val="22"/>
          <w:szCs w:val="22"/>
        </w:rPr>
        <w:t>vía SAIMEX y</w:t>
      </w:r>
      <w:r w:rsidRPr="003E2870">
        <w:rPr>
          <w:rFonts w:ascii="Palatino Linotype" w:eastAsia="Palatino Linotype" w:hAnsi="Palatino Linotype" w:cs="Palatino Linotype"/>
        </w:rPr>
        <w:t xml:space="preserve"> </w:t>
      </w:r>
      <w:r w:rsidRPr="003E2870">
        <w:rPr>
          <w:rFonts w:ascii="Palatino Linotype" w:eastAsia="Palatino Linotype" w:hAnsi="Palatino Linotype" w:cs="Palatino Linotype"/>
          <w:b/>
          <w:sz w:val="22"/>
          <w:szCs w:val="22"/>
        </w:rPr>
        <w:t xml:space="preserve">correo electrónico, en formato </w:t>
      </w:r>
      <w:proofErr w:type="spellStart"/>
      <w:r w:rsidRPr="003E2870">
        <w:rPr>
          <w:rFonts w:ascii="Palatino Linotype" w:eastAsia="Palatino Linotype" w:hAnsi="Palatino Linotype" w:cs="Palatino Linotype"/>
          <w:b/>
          <w:sz w:val="22"/>
          <w:szCs w:val="22"/>
        </w:rPr>
        <w:t>pdf</w:t>
      </w:r>
      <w:proofErr w:type="spellEnd"/>
      <w:r w:rsidRPr="003E2870">
        <w:rPr>
          <w:rFonts w:ascii="Palatino Linotype" w:eastAsia="Palatino Linotype" w:hAnsi="Palatino Linotype" w:cs="Palatino Linotype"/>
          <w:b/>
          <w:sz w:val="22"/>
          <w:szCs w:val="22"/>
        </w:rPr>
        <w:t xml:space="preserve"> o aquel en el que haya sido generada la información, </w:t>
      </w:r>
      <w:r w:rsidRPr="003E2870">
        <w:rPr>
          <w:rFonts w:ascii="Palatino Linotype" w:eastAsia="Palatino Linotype" w:hAnsi="Palatino Linotype" w:cs="Palatino Linotype"/>
          <w:sz w:val="22"/>
          <w:szCs w:val="22"/>
        </w:rPr>
        <w:t>en términos de los</w:t>
      </w:r>
      <w:r w:rsidRPr="003E2870">
        <w:rPr>
          <w:rFonts w:ascii="Palatino Linotype" w:eastAsia="Palatino Linotype" w:hAnsi="Palatino Linotype" w:cs="Palatino Linotype"/>
          <w:b/>
          <w:sz w:val="22"/>
          <w:szCs w:val="22"/>
        </w:rPr>
        <w:t xml:space="preserve"> Considerandos</w:t>
      </w:r>
      <w:r w:rsidRPr="003E2870">
        <w:rPr>
          <w:rFonts w:ascii="Palatino Linotype" w:eastAsia="Palatino Linotype" w:hAnsi="Palatino Linotype" w:cs="Palatino Linotype"/>
          <w:sz w:val="22"/>
          <w:szCs w:val="22"/>
        </w:rPr>
        <w:t xml:space="preserve"> </w:t>
      </w:r>
      <w:r w:rsidRPr="003E2870">
        <w:rPr>
          <w:rFonts w:ascii="Palatino Linotype" w:eastAsia="Palatino Linotype" w:hAnsi="Palatino Linotype" w:cs="Palatino Linotype"/>
          <w:b/>
          <w:sz w:val="22"/>
          <w:szCs w:val="22"/>
        </w:rPr>
        <w:t xml:space="preserve">Cuarto y Quinto, previa búsqueda exhaustiva y razonable </w:t>
      </w:r>
      <w:r w:rsidRPr="003E2870">
        <w:rPr>
          <w:rFonts w:ascii="Palatino Linotype" w:eastAsia="Palatino Linotype" w:hAnsi="Palatino Linotype" w:cs="Palatino Linotype"/>
          <w:sz w:val="22"/>
          <w:szCs w:val="22"/>
        </w:rPr>
        <w:t xml:space="preserve">en versión pública, </w:t>
      </w:r>
      <w:r w:rsidRPr="003E2870">
        <w:rPr>
          <w:rFonts w:ascii="Palatino Linotype" w:eastAsia="Palatino Linotype" w:hAnsi="Palatino Linotype" w:cs="Palatino Linotype"/>
          <w:b/>
          <w:sz w:val="22"/>
          <w:szCs w:val="22"/>
        </w:rPr>
        <w:t>de lo siguiente:</w:t>
      </w:r>
    </w:p>
    <w:p w14:paraId="75C90B49" w14:textId="77777777" w:rsidR="002128E2" w:rsidRPr="003E2870" w:rsidRDefault="00830CED">
      <w:pPr>
        <w:spacing w:before="240" w:after="240" w:line="276" w:lineRule="auto"/>
        <w:ind w:left="567" w:right="900"/>
        <w:jc w:val="both"/>
        <w:rPr>
          <w:rFonts w:ascii="Palatino Linotype" w:eastAsia="Palatino Linotype" w:hAnsi="Palatino Linotype" w:cs="Palatino Linotype"/>
          <w:b/>
          <w:i/>
          <w:sz w:val="22"/>
          <w:szCs w:val="22"/>
        </w:rPr>
      </w:pPr>
      <w:r w:rsidRPr="003E2870">
        <w:rPr>
          <w:rFonts w:ascii="Palatino Linotype" w:eastAsia="Palatino Linotype" w:hAnsi="Palatino Linotype" w:cs="Palatino Linotype"/>
          <w:b/>
          <w:i/>
          <w:sz w:val="22"/>
          <w:szCs w:val="22"/>
        </w:rPr>
        <w:t>-Del ayuntamiento así como de los organismos públicos descentralizados:</w:t>
      </w:r>
    </w:p>
    <w:p w14:paraId="3CC2E203" w14:textId="77777777" w:rsidR="002128E2" w:rsidRPr="003E2870" w:rsidRDefault="00830CED">
      <w:pPr>
        <w:pBdr>
          <w:top w:val="nil"/>
          <w:left w:val="nil"/>
          <w:bottom w:val="nil"/>
          <w:right w:val="nil"/>
          <w:between w:val="nil"/>
        </w:pBdr>
        <w:spacing w:before="240" w:line="276" w:lineRule="auto"/>
        <w:ind w:left="567" w:right="900"/>
        <w:jc w:val="both"/>
        <w:rPr>
          <w:rFonts w:ascii="Palatino Linotype" w:eastAsia="Palatino Linotype" w:hAnsi="Palatino Linotype" w:cs="Palatino Linotype"/>
          <w:b/>
          <w:i/>
          <w:sz w:val="22"/>
          <w:szCs w:val="22"/>
        </w:rPr>
      </w:pPr>
      <w:r w:rsidRPr="003E2870">
        <w:rPr>
          <w:rFonts w:ascii="Palatino Linotype" w:eastAsia="Palatino Linotype" w:hAnsi="Palatino Linotype" w:cs="Palatino Linotype"/>
          <w:b/>
          <w:i/>
          <w:sz w:val="22"/>
          <w:szCs w:val="22"/>
        </w:rPr>
        <w:t xml:space="preserve">1. Reportes del aplicativo “Visor de comprobantes de nómina del patrón” del SAT, del uno de enero de dos mil veinte al treinta de agosto de dos mil veintiuno: </w:t>
      </w:r>
    </w:p>
    <w:p w14:paraId="1B65558C" w14:textId="77777777" w:rsidR="002128E2" w:rsidRPr="003E2870" w:rsidRDefault="00830CED">
      <w:pPr>
        <w:pBdr>
          <w:top w:val="nil"/>
          <w:left w:val="nil"/>
          <w:bottom w:val="nil"/>
          <w:right w:val="nil"/>
          <w:between w:val="nil"/>
        </w:pBdr>
        <w:spacing w:before="240" w:line="276" w:lineRule="auto"/>
        <w:ind w:left="567" w:right="900"/>
        <w:jc w:val="both"/>
        <w:rPr>
          <w:rFonts w:ascii="Palatino Linotype" w:eastAsia="Palatino Linotype" w:hAnsi="Palatino Linotype" w:cs="Palatino Linotype"/>
          <w:b/>
          <w:i/>
          <w:sz w:val="22"/>
          <w:szCs w:val="22"/>
        </w:rPr>
      </w:pPr>
      <w:r w:rsidRPr="003E2870">
        <w:rPr>
          <w:rFonts w:ascii="Palatino Linotype" w:eastAsia="Palatino Linotype" w:hAnsi="Palatino Linotype" w:cs="Palatino Linotype"/>
          <w:b/>
          <w:i/>
          <w:sz w:val="22"/>
          <w:szCs w:val="22"/>
        </w:rPr>
        <w:t>a. Detalle del “Total por Sueldos y Salarios”.</w:t>
      </w:r>
    </w:p>
    <w:p w14:paraId="198FA824" w14:textId="77777777" w:rsidR="002128E2" w:rsidRPr="003E2870" w:rsidRDefault="00830CED">
      <w:pPr>
        <w:pBdr>
          <w:top w:val="nil"/>
          <w:left w:val="nil"/>
          <w:bottom w:val="nil"/>
          <w:right w:val="nil"/>
          <w:between w:val="nil"/>
        </w:pBdr>
        <w:spacing w:before="240" w:line="276" w:lineRule="auto"/>
        <w:ind w:left="567" w:right="900"/>
        <w:jc w:val="both"/>
        <w:rPr>
          <w:rFonts w:ascii="Palatino Linotype" w:eastAsia="Palatino Linotype" w:hAnsi="Palatino Linotype" w:cs="Palatino Linotype"/>
          <w:b/>
          <w:i/>
          <w:sz w:val="22"/>
          <w:szCs w:val="22"/>
        </w:rPr>
      </w:pPr>
      <w:r w:rsidRPr="003E2870">
        <w:rPr>
          <w:rFonts w:ascii="Palatino Linotype" w:eastAsia="Palatino Linotype" w:hAnsi="Palatino Linotype" w:cs="Palatino Linotype"/>
          <w:b/>
          <w:i/>
          <w:sz w:val="22"/>
          <w:szCs w:val="22"/>
        </w:rPr>
        <w:lastRenderedPageBreak/>
        <w:t>b. Detalle del “Total por Asimilados a Salarios”.</w:t>
      </w:r>
    </w:p>
    <w:p w14:paraId="37321D1C" w14:textId="77777777" w:rsidR="002128E2" w:rsidRPr="003E2870" w:rsidRDefault="00830CED">
      <w:pPr>
        <w:pBdr>
          <w:top w:val="nil"/>
          <w:left w:val="nil"/>
          <w:bottom w:val="nil"/>
          <w:right w:val="nil"/>
          <w:between w:val="nil"/>
        </w:pBdr>
        <w:spacing w:before="240" w:line="276" w:lineRule="auto"/>
        <w:ind w:left="567" w:right="900"/>
        <w:jc w:val="both"/>
        <w:rPr>
          <w:rFonts w:ascii="Palatino Linotype" w:eastAsia="Palatino Linotype" w:hAnsi="Palatino Linotype" w:cs="Palatino Linotype"/>
          <w:b/>
          <w:i/>
          <w:sz w:val="22"/>
          <w:szCs w:val="22"/>
        </w:rPr>
      </w:pPr>
      <w:r w:rsidRPr="003E2870">
        <w:rPr>
          <w:rFonts w:ascii="Palatino Linotype" w:eastAsia="Palatino Linotype" w:hAnsi="Palatino Linotype" w:cs="Palatino Linotype"/>
          <w:b/>
          <w:i/>
          <w:sz w:val="22"/>
          <w:szCs w:val="22"/>
        </w:rPr>
        <w:t>c. Vista anual acumulada.</w:t>
      </w:r>
    </w:p>
    <w:p w14:paraId="18937F36" w14:textId="77777777" w:rsidR="002128E2" w:rsidRPr="003E2870" w:rsidRDefault="00830CED">
      <w:pPr>
        <w:spacing w:before="240" w:after="240" w:line="276" w:lineRule="auto"/>
        <w:ind w:left="567" w:right="900"/>
        <w:jc w:val="both"/>
        <w:rPr>
          <w:rFonts w:ascii="Palatino Linotype" w:eastAsia="Palatino Linotype" w:hAnsi="Palatino Linotype" w:cs="Palatino Linotype"/>
          <w:b/>
          <w:i/>
          <w:sz w:val="22"/>
          <w:szCs w:val="22"/>
        </w:rPr>
      </w:pPr>
      <w:r w:rsidRPr="003E2870">
        <w:rPr>
          <w:rFonts w:ascii="Palatino Linotype" w:eastAsia="Palatino Linotype" w:hAnsi="Palatino Linotype" w:cs="Palatino Linotype"/>
          <w:b/>
          <w:i/>
          <w:sz w:val="22"/>
          <w:szCs w:val="22"/>
        </w:rPr>
        <w:t xml:space="preserve">2. Reporte emitido por la Secretaría de Finanzas del Estado de México, relativa al monto del ISR que se obtuvo en devolución, correspondiente al periodo comprendido del uno de enero de dos mil quince al treinta de agosto de dos mil veinticuatro. </w:t>
      </w:r>
    </w:p>
    <w:p w14:paraId="6D83EB65" w14:textId="77777777" w:rsidR="002128E2" w:rsidRPr="003E2870" w:rsidRDefault="00830CED">
      <w:pPr>
        <w:spacing w:before="240" w:after="240" w:line="276" w:lineRule="auto"/>
        <w:ind w:left="567" w:right="900"/>
        <w:jc w:val="both"/>
        <w:rPr>
          <w:rFonts w:ascii="Palatino Linotype" w:eastAsia="Palatino Linotype" w:hAnsi="Palatino Linotype" w:cs="Palatino Linotype"/>
          <w:b/>
          <w:i/>
          <w:sz w:val="22"/>
          <w:szCs w:val="22"/>
        </w:rPr>
      </w:pPr>
      <w:r w:rsidRPr="003E2870">
        <w:rPr>
          <w:rFonts w:ascii="Palatino Linotype" w:eastAsia="Palatino Linotype" w:hAnsi="Palatino Linotype" w:cs="Palatino Linotype"/>
          <w:b/>
          <w:i/>
          <w:sz w:val="22"/>
          <w:szCs w:val="22"/>
        </w:rPr>
        <w:t>3. Reporte emitido por el software de contabilidad gubernamental en el que se pueda apreciar el control del saldo pendiente de recuperar del ISR participable, al treinta de agosto de dos mil veinticuatro.</w:t>
      </w:r>
    </w:p>
    <w:p w14:paraId="78EA650B" w14:textId="77777777" w:rsidR="002128E2" w:rsidRPr="003E2870" w:rsidRDefault="00830CED">
      <w:pPr>
        <w:tabs>
          <w:tab w:val="left" w:pos="5040"/>
        </w:tabs>
        <w:spacing w:before="120" w:after="120"/>
        <w:ind w:left="567" w:right="900"/>
        <w:jc w:val="both"/>
        <w:rPr>
          <w:rFonts w:ascii="Palatino Linotype" w:eastAsia="Palatino Linotype" w:hAnsi="Palatino Linotype" w:cs="Palatino Linotype"/>
          <w:b/>
          <w:i/>
          <w:sz w:val="22"/>
          <w:szCs w:val="22"/>
        </w:rPr>
      </w:pPr>
      <w:r w:rsidRPr="003E2870">
        <w:rPr>
          <w:rFonts w:ascii="Palatino Linotype" w:eastAsia="Palatino Linotype" w:hAnsi="Palatino Linotype" w:cs="Palatino Linotype"/>
          <w:i/>
          <w:sz w:val="22"/>
          <w:szCs w:val="22"/>
        </w:rPr>
        <w:t xml:space="preserve">De ser procedente la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3E2870">
        <w:rPr>
          <w:rFonts w:ascii="Palatino Linotype" w:eastAsia="Palatino Linotype" w:hAnsi="Palatino Linotype" w:cs="Palatino Linotype"/>
          <w:b/>
          <w:i/>
          <w:sz w:val="22"/>
          <w:szCs w:val="22"/>
        </w:rPr>
        <w:t>Recurrente.</w:t>
      </w:r>
    </w:p>
    <w:p w14:paraId="533351CD" w14:textId="77777777" w:rsidR="002128E2" w:rsidRPr="003E2870" w:rsidRDefault="00830CED">
      <w:pPr>
        <w:spacing w:before="240" w:after="240"/>
        <w:ind w:left="567" w:right="900"/>
        <w:jc w:val="both"/>
        <w:rPr>
          <w:rFonts w:ascii="Palatino Linotype" w:eastAsia="Palatino Linotype" w:hAnsi="Palatino Linotype" w:cs="Palatino Linotype"/>
          <w:i/>
          <w:sz w:val="22"/>
          <w:szCs w:val="22"/>
        </w:rPr>
      </w:pPr>
      <w:r w:rsidRPr="003E2870">
        <w:rPr>
          <w:rFonts w:ascii="Palatino Linotype" w:eastAsia="Palatino Linotype" w:hAnsi="Palatino Linotype" w:cs="Palatino Linotype"/>
          <w:i/>
          <w:sz w:val="22"/>
          <w:szCs w:val="22"/>
        </w:rPr>
        <w:t xml:space="preserve">En el supuesto que la información ordenada en los puntos 1 y 3 no obre en los archivos del </w:t>
      </w:r>
      <w:r w:rsidRPr="003E2870">
        <w:rPr>
          <w:rFonts w:ascii="Palatino Linotype" w:eastAsia="Palatino Linotype" w:hAnsi="Palatino Linotype" w:cs="Palatino Linotype"/>
          <w:b/>
          <w:i/>
          <w:sz w:val="22"/>
          <w:szCs w:val="22"/>
        </w:rPr>
        <w:t>Sujeto Obligado</w:t>
      </w:r>
      <w:r w:rsidRPr="003E2870">
        <w:rPr>
          <w:rFonts w:ascii="Palatino Linotype" w:eastAsia="Palatino Linotype" w:hAnsi="Palatino Linotype" w:cs="Palatino Linotype"/>
          <w:i/>
          <w:sz w:val="22"/>
          <w:szCs w:val="22"/>
        </w:rPr>
        <w:t xml:space="preserve">, bastará con que así lo haga del conocimiento de la parte </w:t>
      </w:r>
      <w:r w:rsidRPr="003E2870">
        <w:rPr>
          <w:rFonts w:ascii="Palatino Linotype" w:eastAsia="Palatino Linotype" w:hAnsi="Palatino Linotype" w:cs="Palatino Linotype"/>
          <w:b/>
          <w:i/>
          <w:sz w:val="22"/>
          <w:szCs w:val="22"/>
        </w:rPr>
        <w:t>Recurrente</w:t>
      </w:r>
      <w:r w:rsidRPr="003E2870">
        <w:rPr>
          <w:rFonts w:ascii="Palatino Linotype" w:eastAsia="Palatino Linotype" w:hAnsi="Palatino Linotype" w:cs="Palatino Linotype"/>
          <w:i/>
          <w:sz w:val="22"/>
          <w:szCs w:val="22"/>
        </w:rPr>
        <w:t>, de manera fundada y motivada, en términos del artículo 19, párrafo segundo de la Ley de Transparencia y Acceso a la Información Pública del Estado de México y Municipios, para tener por colmado el requerimiento de información.</w:t>
      </w:r>
    </w:p>
    <w:p w14:paraId="72D61A95" w14:textId="77777777" w:rsidR="002128E2" w:rsidRPr="003E2870" w:rsidRDefault="00830CED">
      <w:pPr>
        <w:spacing w:before="240"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b/>
          <w:sz w:val="22"/>
          <w:szCs w:val="22"/>
        </w:rPr>
        <w:t xml:space="preserve">Tercero.  Notifíquese vía SAIMEX, </w:t>
      </w:r>
      <w:r w:rsidRPr="003E2870">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AC6C2AA" w14:textId="77777777" w:rsidR="002128E2" w:rsidRPr="003E2870" w:rsidRDefault="00830CED">
      <w:pPr>
        <w:spacing w:before="240"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b/>
          <w:sz w:val="22"/>
          <w:szCs w:val="22"/>
        </w:rPr>
        <w:lastRenderedPageBreak/>
        <w:t xml:space="preserve">Cuarto. </w:t>
      </w:r>
      <w:r w:rsidRPr="003E2870">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3E2870">
        <w:rPr>
          <w:rFonts w:ascii="Palatino Linotype" w:eastAsia="Palatino Linotype" w:hAnsi="Palatino Linotype" w:cs="Palatino Linotype"/>
          <w:b/>
          <w:sz w:val="22"/>
          <w:szCs w:val="22"/>
        </w:rPr>
        <w:t>Sujeto Obligado</w:t>
      </w:r>
      <w:r w:rsidRPr="003E2870">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5626A309" w14:textId="77777777" w:rsidR="002128E2" w:rsidRPr="003E2870" w:rsidRDefault="00830CED">
      <w:pPr>
        <w:pBdr>
          <w:top w:val="nil"/>
          <w:left w:val="nil"/>
          <w:bottom w:val="nil"/>
          <w:right w:val="nil"/>
          <w:between w:val="nil"/>
        </w:pBdr>
        <w:spacing w:after="240" w:line="360" w:lineRule="auto"/>
        <w:jc w:val="both"/>
        <w:rPr>
          <w:rFonts w:ascii="Palatino Linotype" w:eastAsia="Palatino Linotype" w:hAnsi="Palatino Linotype" w:cs="Palatino Linotype"/>
          <w:sz w:val="22"/>
          <w:szCs w:val="22"/>
        </w:rPr>
      </w:pPr>
      <w:r w:rsidRPr="003E2870">
        <w:rPr>
          <w:rFonts w:ascii="Palatino Linotype" w:eastAsia="Palatino Linotype" w:hAnsi="Palatino Linotype" w:cs="Palatino Linotype"/>
          <w:b/>
          <w:sz w:val="22"/>
          <w:szCs w:val="22"/>
        </w:rPr>
        <w:t xml:space="preserve">Quinto. Notifíquese, </w:t>
      </w:r>
      <w:r w:rsidRPr="003E2870">
        <w:rPr>
          <w:rFonts w:ascii="Palatino Linotype" w:eastAsia="Palatino Linotype" w:hAnsi="Palatino Linotype" w:cs="Palatino Linotype"/>
          <w:sz w:val="22"/>
          <w:szCs w:val="22"/>
        </w:rPr>
        <w:t xml:space="preserve">vía </w:t>
      </w:r>
      <w:r w:rsidRPr="003E2870">
        <w:rPr>
          <w:rFonts w:ascii="Palatino Linotype" w:eastAsia="Palatino Linotype" w:hAnsi="Palatino Linotype" w:cs="Palatino Linotype"/>
          <w:b/>
          <w:sz w:val="22"/>
          <w:szCs w:val="22"/>
        </w:rPr>
        <w:t>SAIMEX y correo electrónico</w:t>
      </w:r>
      <w:r w:rsidRPr="003E2870">
        <w:rPr>
          <w:rFonts w:ascii="Palatino Linotype" w:eastAsia="Palatino Linotype" w:hAnsi="Palatino Linotype" w:cs="Palatino Linotype"/>
          <w:sz w:val="22"/>
          <w:szCs w:val="22"/>
        </w:rPr>
        <w:t xml:space="preserve">, a </w:t>
      </w:r>
      <w:r w:rsidRPr="003E2870">
        <w:rPr>
          <w:rFonts w:ascii="Palatino Linotype" w:eastAsia="Palatino Linotype" w:hAnsi="Palatino Linotype" w:cs="Palatino Linotype"/>
          <w:b/>
          <w:sz w:val="22"/>
          <w:szCs w:val="22"/>
        </w:rPr>
        <w:t>la parte Recurrente</w:t>
      </w:r>
      <w:r w:rsidRPr="003E2870">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234981B7" w14:textId="77777777" w:rsidR="002128E2" w:rsidRPr="003E2870" w:rsidRDefault="00830CED">
      <w:pPr>
        <w:spacing w:before="240" w:after="240" w:line="360" w:lineRule="auto"/>
        <w:jc w:val="both"/>
        <w:rPr>
          <w:rFonts w:ascii="Palatino Linotype" w:eastAsia="Palatino Linotype" w:hAnsi="Palatino Linotype" w:cs="Palatino Linotype"/>
        </w:rPr>
      </w:pPr>
      <w:r w:rsidRPr="003E2870">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w:t>
      </w:r>
      <w:r w:rsidR="00981E1C">
        <w:rPr>
          <w:rFonts w:ascii="Palatino Linotype" w:eastAsia="Palatino Linotype" w:hAnsi="Palatino Linotype" w:cs="Palatino Linotype"/>
        </w:rPr>
        <w:t>RIEGA Y GUADALUPE RAMÍREZ PEÑA (EMITIENDO VOTO PARTICULAR)</w:t>
      </w:r>
      <w:r w:rsidRPr="003E2870">
        <w:rPr>
          <w:rFonts w:ascii="Palatino Linotype" w:eastAsia="Palatino Linotype" w:hAnsi="Palatino Linotype" w:cs="Palatino Linotype"/>
        </w:rPr>
        <w:t xml:space="preserve"> EN LA TRIGÉSIMA OCTAVA SESIÓN ORDINARIA CELEBRADA EL SEIS DE NOVIEMBRE DE DOS MIL VEINTICUATRO, ANTE EL SECRETARIO TÉCNICO DEL PLENO ALEXIS TAPIA RAMÍREZ.</w:t>
      </w:r>
    </w:p>
    <w:p w14:paraId="5601FD1B" w14:textId="77777777" w:rsidR="002128E2" w:rsidRPr="003E2870" w:rsidRDefault="002128E2">
      <w:pPr>
        <w:spacing w:before="240" w:after="240" w:line="360" w:lineRule="auto"/>
        <w:jc w:val="both"/>
        <w:rPr>
          <w:rFonts w:ascii="Palatino Linotype" w:eastAsia="Palatino Linotype" w:hAnsi="Palatino Linotype" w:cs="Palatino Linotype"/>
        </w:rPr>
      </w:pPr>
    </w:p>
    <w:p w14:paraId="2557D46B" w14:textId="77777777" w:rsidR="002128E2" w:rsidRPr="003E2870" w:rsidRDefault="002128E2">
      <w:pPr>
        <w:spacing w:before="240" w:after="240" w:line="360" w:lineRule="auto"/>
        <w:jc w:val="both"/>
        <w:rPr>
          <w:rFonts w:ascii="Palatino Linotype" w:eastAsia="Palatino Linotype" w:hAnsi="Palatino Linotype" w:cs="Palatino Linotype"/>
        </w:rPr>
      </w:pPr>
    </w:p>
    <w:p w14:paraId="357CDE05" w14:textId="77777777" w:rsidR="002128E2" w:rsidRPr="003E2870" w:rsidRDefault="002128E2">
      <w:pPr>
        <w:spacing w:before="240" w:after="240" w:line="360" w:lineRule="auto"/>
        <w:jc w:val="both"/>
        <w:rPr>
          <w:rFonts w:ascii="Palatino Linotype" w:eastAsia="Palatino Linotype" w:hAnsi="Palatino Linotype" w:cs="Palatino Linotype"/>
        </w:rPr>
      </w:pPr>
    </w:p>
    <w:p w14:paraId="125E34CB" w14:textId="77777777" w:rsidR="002128E2" w:rsidRPr="003E2870" w:rsidRDefault="002128E2">
      <w:pPr>
        <w:spacing w:before="240" w:after="240" w:line="360" w:lineRule="auto"/>
        <w:jc w:val="both"/>
        <w:rPr>
          <w:rFonts w:ascii="Palatino Linotype" w:eastAsia="Palatino Linotype" w:hAnsi="Palatino Linotype" w:cs="Palatino Linotype"/>
        </w:rPr>
      </w:pPr>
    </w:p>
    <w:p w14:paraId="431C1475" w14:textId="77777777" w:rsidR="002128E2" w:rsidRPr="003E2870" w:rsidRDefault="002128E2">
      <w:pPr>
        <w:spacing w:before="240" w:after="240" w:line="360" w:lineRule="auto"/>
        <w:jc w:val="both"/>
        <w:rPr>
          <w:rFonts w:ascii="Palatino Linotype" w:eastAsia="Palatino Linotype" w:hAnsi="Palatino Linotype" w:cs="Palatino Linotype"/>
        </w:rPr>
      </w:pPr>
    </w:p>
    <w:p w14:paraId="274995A3" w14:textId="77777777" w:rsidR="002128E2" w:rsidRPr="003E2870" w:rsidRDefault="002128E2">
      <w:pPr>
        <w:spacing w:before="240" w:after="240" w:line="360" w:lineRule="auto"/>
        <w:jc w:val="both"/>
        <w:rPr>
          <w:rFonts w:ascii="Palatino Linotype" w:eastAsia="Palatino Linotype" w:hAnsi="Palatino Linotype" w:cs="Palatino Linotype"/>
        </w:rPr>
      </w:pPr>
    </w:p>
    <w:p w14:paraId="4CFE4C7B" w14:textId="77777777" w:rsidR="002128E2" w:rsidRPr="003E2870" w:rsidRDefault="002128E2">
      <w:pPr>
        <w:spacing w:before="240" w:after="240" w:line="360" w:lineRule="auto"/>
        <w:jc w:val="both"/>
        <w:rPr>
          <w:rFonts w:ascii="Palatino Linotype" w:eastAsia="Palatino Linotype" w:hAnsi="Palatino Linotype" w:cs="Palatino Linotype"/>
        </w:rPr>
      </w:pPr>
    </w:p>
    <w:p w14:paraId="52C8E259" w14:textId="77777777" w:rsidR="002128E2" w:rsidRPr="003E2870" w:rsidRDefault="002128E2">
      <w:pPr>
        <w:spacing w:before="240" w:after="240" w:line="360" w:lineRule="auto"/>
        <w:jc w:val="both"/>
        <w:rPr>
          <w:rFonts w:ascii="Palatino Linotype" w:eastAsia="Palatino Linotype" w:hAnsi="Palatino Linotype" w:cs="Palatino Linotype"/>
        </w:rPr>
      </w:pPr>
    </w:p>
    <w:p w14:paraId="7FA05E19" w14:textId="77777777" w:rsidR="002128E2" w:rsidRPr="003E2870" w:rsidRDefault="002128E2">
      <w:pPr>
        <w:spacing w:before="240" w:after="240" w:line="360" w:lineRule="auto"/>
        <w:jc w:val="both"/>
        <w:rPr>
          <w:rFonts w:ascii="Palatino Linotype" w:eastAsia="Palatino Linotype" w:hAnsi="Palatino Linotype" w:cs="Palatino Linotype"/>
        </w:rPr>
      </w:pPr>
    </w:p>
    <w:p w14:paraId="4646E941" w14:textId="77777777" w:rsidR="002128E2" w:rsidRPr="003E2870" w:rsidRDefault="002128E2">
      <w:pPr>
        <w:spacing w:before="240" w:after="240" w:line="360" w:lineRule="auto"/>
        <w:jc w:val="both"/>
        <w:rPr>
          <w:rFonts w:ascii="Palatino Linotype" w:eastAsia="Palatino Linotype" w:hAnsi="Palatino Linotype" w:cs="Palatino Linotype"/>
        </w:rPr>
      </w:pPr>
    </w:p>
    <w:p w14:paraId="296F4C57" w14:textId="77777777" w:rsidR="002128E2" w:rsidRPr="003E2870" w:rsidRDefault="002128E2">
      <w:pPr>
        <w:spacing w:before="240" w:after="240" w:line="360" w:lineRule="auto"/>
        <w:jc w:val="both"/>
        <w:rPr>
          <w:rFonts w:ascii="Palatino Linotype" w:eastAsia="Palatino Linotype" w:hAnsi="Palatino Linotype" w:cs="Palatino Linotype"/>
        </w:rPr>
      </w:pPr>
    </w:p>
    <w:p w14:paraId="2DD06466" w14:textId="77777777" w:rsidR="002128E2" w:rsidRPr="003E2870" w:rsidRDefault="002128E2">
      <w:pPr>
        <w:spacing w:before="240" w:after="240" w:line="360" w:lineRule="auto"/>
        <w:jc w:val="both"/>
        <w:rPr>
          <w:rFonts w:ascii="Palatino Linotype" w:eastAsia="Palatino Linotype" w:hAnsi="Palatino Linotype" w:cs="Palatino Linotype"/>
        </w:rPr>
      </w:pPr>
    </w:p>
    <w:p w14:paraId="2EA858C6" w14:textId="77777777" w:rsidR="002128E2" w:rsidRPr="003E2870" w:rsidRDefault="002128E2">
      <w:pPr>
        <w:spacing w:before="240" w:after="240" w:line="360" w:lineRule="auto"/>
        <w:jc w:val="both"/>
        <w:rPr>
          <w:rFonts w:ascii="Palatino Linotype" w:eastAsia="Palatino Linotype" w:hAnsi="Palatino Linotype" w:cs="Palatino Linotype"/>
        </w:rPr>
      </w:pPr>
    </w:p>
    <w:p w14:paraId="0B6274DB" w14:textId="77777777" w:rsidR="002128E2" w:rsidRPr="003E2870" w:rsidRDefault="002128E2">
      <w:pPr>
        <w:spacing w:before="240" w:after="240" w:line="360" w:lineRule="auto"/>
        <w:jc w:val="both"/>
        <w:rPr>
          <w:rFonts w:ascii="Palatino Linotype" w:eastAsia="Palatino Linotype" w:hAnsi="Palatino Linotype" w:cs="Palatino Linotype"/>
        </w:rPr>
      </w:pPr>
    </w:p>
    <w:p w14:paraId="5B29AFA0" w14:textId="77777777" w:rsidR="002128E2" w:rsidRPr="003E2870" w:rsidRDefault="002128E2">
      <w:pPr>
        <w:spacing w:before="240" w:after="240" w:line="360" w:lineRule="auto"/>
        <w:jc w:val="both"/>
        <w:rPr>
          <w:rFonts w:ascii="Palatino Linotype" w:eastAsia="Palatino Linotype" w:hAnsi="Palatino Linotype" w:cs="Palatino Linotype"/>
        </w:rPr>
      </w:pPr>
    </w:p>
    <w:sectPr w:rsidR="002128E2" w:rsidRPr="003E2870">
      <w:headerReference w:type="default" r:id="rId46"/>
      <w:footerReference w:type="default" r:id="rId47"/>
      <w:headerReference w:type="first" r:id="rId48"/>
      <w:footerReference w:type="first" r:id="rId4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C26A2" w14:textId="77777777" w:rsidR="00286506" w:rsidRDefault="00286506">
      <w:r>
        <w:separator/>
      </w:r>
    </w:p>
  </w:endnote>
  <w:endnote w:type="continuationSeparator" w:id="0">
    <w:p w14:paraId="79065F3F" w14:textId="77777777" w:rsidR="00286506" w:rsidRDefault="002865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panose1 w:val="00000000000000000000"/>
    <w:charset w:val="00"/>
    <w:family w:val="roman"/>
    <w:notTrueType/>
    <w:pitch w:val="default"/>
  </w:font>
  <w:font w:name="DejaVu Sans">
    <w:charset w:val="00"/>
    <w:family w:val="swiss"/>
    <w:pitch w:val="variable"/>
    <w:sig w:usb0="E7002EFF" w:usb1="D200FDFF" w:usb2="0A246029" w:usb3="00000000" w:csb0="000001FF" w:csb1="00000000"/>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C6475" w14:textId="77777777" w:rsidR="002128E2" w:rsidRDefault="00830CE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C5FBC">
      <w:rPr>
        <w:rFonts w:ascii="Palatino Linotype" w:eastAsia="Palatino Linotype" w:hAnsi="Palatino Linotype" w:cs="Palatino Linotype"/>
        <w:b/>
        <w:noProof/>
        <w:color w:val="000000"/>
        <w:sz w:val="20"/>
        <w:szCs w:val="20"/>
      </w:rPr>
      <w:t>58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C5FBC">
      <w:rPr>
        <w:rFonts w:ascii="Palatino Linotype" w:eastAsia="Palatino Linotype" w:hAnsi="Palatino Linotype" w:cs="Palatino Linotype"/>
        <w:b/>
        <w:noProof/>
        <w:color w:val="000000"/>
        <w:sz w:val="20"/>
        <w:szCs w:val="20"/>
      </w:rPr>
      <w:t>58</w:t>
    </w:r>
    <w:r>
      <w:rPr>
        <w:rFonts w:ascii="Palatino Linotype" w:eastAsia="Palatino Linotype" w:hAnsi="Palatino Linotype" w:cs="Palatino Linotype"/>
        <w:b/>
        <w:color w:val="000000"/>
        <w:sz w:val="20"/>
        <w:szCs w:val="20"/>
      </w:rPr>
      <w:fldChar w:fldCharType="end"/>
    </w:r>
  </w:p>
  <w:p w14:paraId="1366DA63" w14:textId="77777777" w:rsidR="002128E2" w:rsidRDefault="002128E2">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2D9F0" w14:textId="77777777" w:rsidR="002128E2" w:rsidRDefault="00830CE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C5FBC">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C5FBC">
      <w:rPr>
        <w:rFonts w:ascii="Palatino Linotype" w:eastAsia="Palatino Linotype" w:hAnsi="Palatino Linotype" w:cs="Palatino Linotype"/>
        <w:b/>
        <w:noProof/>
        <w:color w:val="000000"/>
        <w:sz w:val="20"/>
        <w:szCs w:val="20"/>
      </w:rPr>
      <w:t>58</w:t>
    </w:r>
    <w:r>
      <w:rPr>
        <w:rFonts w:ascii="Palatino Linotype" w:eastAsia="Palatino Linotype" w:hAnsi="Palatino Linotype" w:cs="Palatino Linotype"/>
        <w:b/>
        <w:color w:val="000000"/>
        <w:sz w:val="20"/>
        <w:szCs w:val="20"/>
      </w:rPr>
      <w:fldChar w:fldCharType="end"/>
    </w:r>
  </w:p>
  <w:p w14:paraId="068FAC79" w14:textId="77777777" w:rsidR="002128E2" w:rsidRDefault="002128E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9C470" w14:textId="77777777" w:rsidR="00286506" w:rsidRDefault="00286506">
      <w:r>
        <w:separator/>
      </w:r>
    </w:p>
  </w:footnote>
  <w:footnote w:type="continuationSeparator" w:id="0">
    <w:p w14:paraId="6D4FC676" w14:textId="77777777" w:rsidR="00286506" w:rsidRDefault="00286506">
      <w:r>
        <w:continuationSeparator/>
      </w:r>
    </w:p>
  </w:footnote>
  <w:footnote w:id="1">
    <w:p w14:paraId="00025622" w14:textId="77777777" w:rsidR="002128E2" w:rsidRDefault="00830CED">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hyperlink r:id="rId1">
        <w:r>
          <w:rPr>
            <w:rFonts w:ascii="Palatino Linotype" w:eastAsia="Palatino Linotype" w:hAnsi="Palatino Linotype" w:cs="Palatino Linotype"/>
            <w:color w:val="0000FF"/>
            <w:sz w:val="16"/>
            <w:szCs w:val="16"/>
            <w:u w:val="single"/>
          </w:rPr>
          <w:t>https://www.sat.gob.mx/declaracion/90887/consulta-el-visor-de-comprobantes-de-nomina-para-el-patron-</w:t>
        </w:r>
      </w:hyperlink>
      <w:r>
        <w:rPr>
          <w:rFonts w:ascii="Palatino Linotype" w:eastAsia="Palatino Linotype" w:hAnsi="Palatino Linotype" w:cs="Palatino Linotype"/>
          <w:color w:val="000000"/>
          <w:sz w:val="16"/>
          <w:szCs w:val="16"/>
        </w:rPr>
        <w:t xml:space="preserve"> </w:t>
      </w:r>
    </w:p>
    <w:p w14:paraId="74AF0388" w14:textId="77777777" w:rsidR="002128E2" w:rsidRDefault="00830CED">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o </w:t>
      </w:r>
      <w:hyperlink r:id="rId2">
        <w:r>
          <w:rPr>
            <w:rFonts w:ascii="Palatino Linotype" w:eastAsia="Palatino Linotype" w:hAnsi="Palatino Linotype" w:cs="Palatino Linotype"/>
            <w:color w:val="0000FF"/>
            <w:sz w:val="16"/>
            <w:szCs w:val="16"/>
            <w:u w:val="single"/>
          </w:rPr>
          <w:t>https://www.sat.gob.mx/personas/declaraciones</w:t>
        </w:r>
      </w:hyperlink>
      <w:r>
        <w:rPr>
          <w:rFonts w:ascii="Palatino Linotype" w:eastAsia="Palatino Linotype" w:hAnsi="Palatino Linotype" w:cs="Palatino Linotype"/>
          <w:color w:val="000000"/>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0E81A" w14:textId="77777777" w:rsidR="002128E2" w:rsidRDefault="00830CED">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818E32C" wp14:editId="6DD00525">
          <wp:simplePos x="0" y="0"/>
          <wp:positionH relativeFrom="column">
            <wp:posOffset>-1050283</wp:posOffset>
          </wp:positionH>
          <wp:positionV relativeFrom="paragraph">
            <wp:posOffset>-401312</wp:posOffset>
          </wp:positionV>
          <wp:extent cx="7809865" cy="10165715"/>
          <wp:effectExtent l="0" t="0" r="0" b="0"/>
          <wp:wrapNone/>
          <wp:docPr id="19714301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3"/>
      <w:tblW w:w="6945" w:type="dxa"/>
      <w:tblInd w:w="3261" w:type="dxa"/>
      <w:tblLayout w:type="fixed"/>
      <w:tblLook w:val="0400" w:firstRow="0" w:lastRow="0" w:firstColumn="0" w:lastColumn="0" w:noHBand="0" w:noVBand="1"/>
    </w:tblPr>
    <w:tblGrid>
      <w:gridCol w:w="2489"/>
      <w:gridCol w:w="4456"/>
    </w:tblGrid>
    <w:tr w:rsidR="002128E2" w14:paraId="697D26AD" w14:textId="77777777">
      <w:tc>
        <w:tcPr>
          <w:tcW w:w="2489" w:type="dxa"/>
          <w:shd w:val="clear" w:color="auto" w:fill="auto"/>
        </w:tcPr>
        <w:p w14:paraId="23750DCE" w14:textId="77777777" w:rsidR="002128E2" w:rsidRDefault="00830CE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56" w:type="dxa"/>
          <w:shd w:val="clear" w:color="auto" w:fill="auto"/>
          <w:vAlign w:val="center"/>
        </w:tcPr>
        <w:p w14:paraId="5C9F61F0" w14:textId="77777777" w:rsidR="002128E2" w:rsidRDefault="00830CE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05784/INFOEM/IP/RR/2024</w:t>
          </w:r>
        </w:p>
      </w:tc>
    </w:tr>
    <w:tr w:rsidR="002128E2" w14:paraId="396C0C73" w14:textId="77777777">
      <w:trPr>
        <w:trHeight w:val="228"/>
      </w:trPr>
      <w:tc>
        <w:tcPr>
          <w:tcW w:w="2489" w:type="dxa"/>
          <w:shd w:val="clear" w:color="auto" w:fill="auto"/>
          <w:vAlign w:val="center"/>
        </w:tcPr>
        <w:p w14:paraId="0141A9AC" w14:textId="77777777" w:rsidR="002128E2" w:rsidRDefault="00830CE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56" w:type="dxa"/>
          <w:shd w:val="clear" w:color="auto" w:fill="auto"/>
          <w:vAlign w:val="center"/>
        </w:tcPr>
        <w:p w14:paraId="4F16D166" w14:textId="77777777" w:rsidR="002128E2" w:rsidRDefault="00830CED">
          <w:pPr>
            <w:ind w:left="-45" w:right="73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Texcaltitlán</w:t>
          </w:r>
        </w:p>
      </w:tc>
    </w:tr>
    <w:tr w:rsidR="002128E2" w14:paraId="07D25306" w14:textId="77777777">
      <w:tc>
        <w:tcPr>
          <w:tcW w:w="2489" w:type="dxa"/>
          <w:shd w:val="clear" w:color="auto" w:fill="auto"/>
          <w:vAlign w:val="center"/>
        </w:tcPr>
        <w:p w14:paraId="01266748" w14:textId="77777777" w:rsidR="002128E2" w:rsidRDefault="00830CED">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56" w:type="dxa"/>
          <w:shd w:val="clear" w:color="auto" w:fill="auto"/>
          <w:vAlign w:val="center"/>
        </w:tcPr>
        <w:p w14:paraId="3954DDEB" w14:textId="77777777" w:rsidR="002128E2" w:rsidRDefault="00830CE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AC7B32C" w14:textId="77777777" w:rsidR="002128E2" w:rsidRDefault="00830CED">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DA560" w14:textId="77777777" w:rsidR="002128E2" w:rsidRDefault="00830CE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60624783" wp14:editId="355E5C29">
          <wp:simplePos x="0" y="0"/>
          <wp:positionH relativeFrom="column">
            <wp:posOffset>-1045203</wp:posOffset>
          </wp:positionH>
          <wp:positionV relativeFrom="paragraph">
            <wp:posOffset>-402583</wp:posOffset>
          </wp:positionV>
          <wp:extent cx="7809865" cy="10165715"/>
          <wp:effectExtent l="0" t="0" r="0" b="0"/>
          <wp:wrapNone/>
          <wp:docPr id="19714301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4"/>
      <w:tblW w:w="6520" w:type="dxa"/>
      <w:tblInd w:w="3261" w:type="dxa"/>
      <w:tblLayout w:type="fixed"/>
      <w:tblLook w:val="0400" w:firstRow="0" w:lastRow="0" w:firstColumn="0" w:lastColumn="0" w:noHBand="0" w:noVBand="1"/>
    </w:tblPr>
    <w:tblGrid>
      <w:gridCol w:w="2551"/>
      <w:gridCol w:w="3969"/>
    </w:tblGrid>
    <w:tr w:rsidR="002128E2" w14:paraId="6DDBEE40" w14:textId="77777777">
      <w:tc>
        <w:tcPr>
          <w:tcW w:w="2551" w:type="dxa"/>
          <w:shd w:val="clear" w:color="auto" w:fill="auto"/>
          <w:vAlign w:val="center"/>
        </w:tcPr>
        <w:p w14:paraId="128E3D01" w14:textId="77777777" w:rsidR="002128E2" w:rsidRDefault="00830CE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14:paraId="75C6FCC4" w14:textId="77777777" w:rsidR="002128E2" w:rsidRDefault="00830CED">
          <w:pPr>
            <w:tabs>
              <w:tab w:val="left" w:pos="3153"/>
            </w:tabs>
            <w:ind w:lef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05784/INFOEM/IP/RR/2024</w:t>
          </w:r>
        </w:p>
      </w:tc>
    </w:tr>
    <w:tr w:rsidR="002128E2" w14:paraId="1DB7461A" w14:textId="77777777">
      <w:trPr>
        <w:trHeight w:val="130"/>
      </w:trPr>
      <w:tc>
        <w:tcPr>
          <w:tcW w:w="2551" w:type="dxa"/>
          <w:shd w:val="clear" w:color="auto" w:fill="auto"/>
          <w:vAlign w:val="center"/>
        </w:tcPr>
        <w:p w14:paraId="2950019E" w14:textId="77777777" w:rsidR="002128E2" w:rsidRDefault="00830CE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shd w:val="clear" w:color="auto" w:fill="auto"/>
          <w:vAlign w:val="center"/>
        </w:tcPr>
        <w:p w14:paraId="7D5AC151" w14:textId="69EAEBAE" w:rsidR="002128E2" w:rsidRDefault="004F4C16">
          <w:pPr>
            <w:ind w:left="-11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w:t>
          </w:r>
        </w:p>
      </w:tc>
    </w:tr>
    <w:tr w:rsidR="002128E2" w14:paraId="56B5258C" w14:textId="77777777">
      <w:trPr>
        <w:trHeight w:val="228"/>
      </w:trPr>
      <w:tc>
        <w:tcPr>
          <w:tcW w:w="2551" w:type="dxa"/>
          <w:shd w:val="clear" w:color="auto" w:fill="auto"/>
          <w:vAlign w:val="center"/>
        </w:tcPr>
        <w:p w14:paraId="1B0908B9" w14:textId="77777777" w:rsidR="002128E2" w:rsidRDefault="00830CE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14:paraId="44A05A4D" w14:textId="77777777" w:rsidR="002128E2" w:rsidRDefault="00830CED">
          <w:pPr>
            <w:ind w:left="-115"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Texcaltitlán</w:t>
          </w:r>
        </w:p>
      </w:tc>
    </w:tr>
    <w:tr w:rsidR="002128E2" w14:paraId="6FCAF351" w14:textId="77777777">
      <w:tc>
        <w:tcPr>
          <w:tcW w:w="2551" w:type="dxa"/>
          <w:shd w:val="clear" w:color="auto" w:fill="auto"/>
          <w:vAlign w:val="center"/>
        </w:tcPr>
        <w:p w14:paraId="7E6E4313" w14:textId="77777777" w:rsidR="002128E2" w:rsidRDefault="00830CE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shd w:val="clear" w:color="auto" w:fill="auto"/>
          <w:vAlign w:val="center"/>
        </w:tcPr>
        <w:p w14:paraId="67101A39" w14:textId="77777777" w:rsidR="002128E2" w:rsidRDefault="00830CED">
          <w:pPr>
            <w:ind w:left="-11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7E558DE" w14:textId="77777777" w:rsidR="002128E2" w:rsidRDefault="002128E2">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B02B8D"/>
    <w:multiLevelType w:val="multilevel"/>
    <w:tmpl w:val="E23E124A"/>
    <w:lvl w:ilvl="0">
      <w:start w:val="1"/>
      <w:numFmt w:val="decimal"/>
      <w:pStyle w:val="Listaconvietas3"/>
      <w:lvlText w:val="%1."/>
      <w:lvlJc w:val="left"/>
      <w:pPr>
        <w:ind w:left="720" w:hanging="360"/>
      </w:pPr>
      <w:rPr>
        <w:rFonts w:ascii="Palatino Linotype" w:eastAsia="Palatino Linotype" w:hAnsi="Palatino Linotype" w:cs="Palatino Linotyp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D1D0B3B"/>
    <w:multiLevelType w:val="multilevel"/>
    <w:tmpl w:val="21DE881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8E2"/>
    <w:rsid w:val="002128E2"/>
    <w:rsid w:val="00286506"/>
    <w:rsid w:val="003E2870"/>
    <w:rsid w:val="004F4C16"/>
    <w:rsid w:val="00830CED"/>
    <w:rsid w:val="00981E1C"/>
    <w:rsid w:val="00AC5F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DBA2F"/>
  <w15:docId w15:val="{875C258E-D96E-4B03-B6B7-491F38B74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F1C"/>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3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10"/>
    <w:tblPr>
      <w:tblStyleRowBandSize w:val="1"/>
      <w:tblStyleColBandSize w:val="1"/>
      <w:tblCellMar>
        <w:left w:w="115" w:type="dxa"/>
        <w:right w:w="115" w:type="dxa"/>
      </w:tblCellMar>
    </w:tblPr>
  </w:style>
  <w:style w:type="table" w:customStyle="1" w:styleId="5">
    <w:name w:val="5"/>
    <w:basedOn w:val="TableNormal10"/>
    <w:tblPr>
      <w:tblStyleRowBandSize w:val="1"/>
      <w:tblStyleColBandSize w:val="1"/>
      <w:tblCellMar>
        <w:left w:w="108" w:type="dxa"/>
        <w:right w:w="108"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311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7"/>
    <w:tblPr>
      <w:tblStyleRowBandSize w:val="1"/>
      <w:tblStyleColBandSize w:val="1"/>
      <w:tblCellMar>
        <w:left w:w="115" w:type="dxa"/>
        <w:right w:w="115" w:type="dxa"/>
      </w:tblCellMar>
    </w:tblPr>
  </w:style>
  <w:style w:type="table" w:customStyle="1" w:styleId="a0">
    <w:basedOn w:val="TableNormal7"/>
    <w:tblPr>
      <w:tblStyleRowBandSize w:val="1"/>
      <w:tblStyleColBandSize w:val="1"/>
      <w:tblCellMar>
        <w:left w:w="115" w:type="dxa"/>
        <w:right w:w="115" w:type="dxa"/>
      </w:tblCellMar>
    </w:tblPr>
  </w:style>
  <w:style w:type="table" w:customStyle="1" w:styleId="Tabladelista1clara-nfasis111">
    <w:name w:val="Tabla de lista 1 clara - Énfasis 111"/>
    <w:basedOn w:val="Tablanormal"/>
    <w:uiPriority w:val="46"/>
    <w:rsid w:val="0044086B"/>
    <w:rPr>
      <w:rFonts w:eastAsia="MS Mincho"/>
      <w:lang w:val="es-MX"/>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6"/>
    <w:tblPr>
      <w:tblStyleRowBandSize w:val="1"/>
      <w:tblStyleColBandSize w:val="1"/>
      <w:tblCellMar>
        <w:left w:w="115" w:type="dxa"/>
        <w:right w:w="115" w:type="dxa"/>
      </w:tblCellMar>
    </w:tblPr>
  </w:style>
  <w:style w:type="table" w:customStyle="1" w:styleId="a3">
    <w:basedOn w:val="TableNormal6"/>
    <w:tblPr>
      <w:tblStyleRowBandSize w:val="1"/>
      <w:tblStyleColBandSize w:val="1"/>
      <w:tblCellMar>
        <w:left w:w="115" w:type="dxa"/>
        <w:right w:w="115" w:type="dxa"/>
      </w:tblCellMar>
    </w:tblPr>
  </w:style>
  <w:style w:type="table" w:customStyle="1" w:styleId="a4">
    <w:basedOn w:val="TableNormal5"/>
    <w:tblPr>
      <w:tblStyleRowBandSize w:val="1"/>
      <w:tblStyleColBandSize w:val="1"/>
      <w:tblCellMar>
        <w:left w:w="115" w:type="dxa"/>
        <w:right w:w="115" w:type="dxa"/>
      </w:tblCellMar>
    </w:tblPr>
  </w:style>
  <w:style w:type="table" w:customStyle="1" w:styleId="a5">
    <w:basedOn w:val="TableNormal5"/>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08" w:type="dxa"/>
        <w:right w:w="108" w:type="dxa"/>
      </w:tblCellMar>
    </w:tbl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tblPr>
      <w:tblStyleRowBandSize w:val="1"/>
      <w:tblStyleColBandSize w:val="1"/>
      <w:tblCellMar>
        <w:left w:w="115" w:type="dxa"/>
        <w:right w:w="115" w:type="dxa"/>
      </w:tblCellMar>
    </w:tblPr>
  </w:style>
  <w:style w:type="table" w:customStyle="1" w:styleId="a9">
    <w:basedOn w:val="TableNormal4"/>
    <w:tblPr>
      <w:tblStyleRowBandSize w:val="1"/>
      <w:tblStyleColBandSize w:val="1"/>
      <w:tblCellMar>
        <w:left w:w="115" w:type="dxa"/>
        <w:right w:w="115" w:type="dxa"/>
      </w:tblCellMar>
    </w:tblPr>
  </w:style>
  <w:style w:type="table" w:customStyle="1" w:styleId="aa">
    <w:basedOn w:val="TableNormal3"/>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08" w:type="dxa"/>
        <w:right w:w="108"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29.png"/><Relationship Id="rId39" Type="http://schemas.openxmlformats.org/officeDocument/2006/relationships/image" Target="media/image28.png"/><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0.png"/><Relationship Id="rId37" Type="http://schemas.openxmlformats.org/officeDocument/2006/relationships/image" Target="media/image26.png"/><Relationship Id="rId40" Type="http://schemas.openxmlformats.org/officeDocument/2006/relationships/image" Target="media/image30.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2.png"/><Relationship Id="rId36" Type="http://schemas.openxmlformats.org/officeDocument/2006/relationships/image" Target="media/image25.png"/><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6.png"/><Relationship Id="rId44" Type="http://schemas.openxmlformats.org/officeDocument/2006/relationships/hyperlink" Target="https://sfpya.edomexico.gob.mx/participacion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24.png"/><Relationship Id="rId27" Type="http://schemas.openxmlformats.org/officeDocument/2006/relationships/image" Target="media/image19.png"/><Relationship Id="rId30" Type="http://schemas.openxmlformats.org/officeDocument/2006/relationships/image" Target="media/image36.png"/><Relationship Id="rId35" Type="http://schemas.openxmlformats.org/officeDocument/2006/relationships/image" Target="media/image230.png"/><Relationship Id="rId43" Type="http://schemas.openxmlformats.org/officeDocument/2006/relationships/image" Target="media/image200.png"/><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35.png"/><Relationship Id="rId33" Type="http://schemas.openxmlformats.org/officeDocument/2006/relationships/image" Target="media/image21.png"/><Relationship Id="rId38" Type="http://schemas.openxmlformats.org/officeDocument/2006/relationships/image" Target="media/image27.png"/><Relationship Id="rId46"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www.sat.gob.mx/personas/declaraciones" TargetMode="External"/><Relationship Id="rId1" Type="http://schemas.openxmlformats.org/officeDocument/2006/relationships/hyperlink" Target="https://www.sat.gob.mx/declaracion/90887/consulta-el-visor-de-comprobantes-de-nomina-para-el-patr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oNYnlhJmk1JfzHqa9kYHAqJyVQ==">CgMxLjAyCGguZ2pkZ3hzMgloLjMwajB6bGwyCWguMnM4ZXlvMTIIaC50eWpjd3QyCWguMWZvYjl0ZTIJaC4xdDNoNXNmMgloLjJldDkycDAyCWguNGQzNG9nODIJaC4zem55c2g3MgloLjNkeTZ2a204AHIhMUJpM2tBOTZYNzlqTm5GX0REWUFaT20wR2FmbF95VEww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58</Pages>
  <Words>14284</Words>
  <Characters>78565</Characters>
  <Application>Microsoft Office Word</Application>
  <DocSecurity>0</DocSecurity>
  <Lines>654</Lines>
  <Paragraphs>185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2024-11-07T21:25:00Z</cp:lastPrinted>
  <dcterms:created xsi:type="dcterms:W3CDTF">2024-11-29T18:18:00Z</dcterms:created>
  <dcterms:modified xsi:type="dcterms:W3CDTF">2024-11-29T18:18:00Z</dcterms:modified>
</cp:coreProperties>
</file>