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tres de abril de dos mil veinticuatro. </w:t>
      </w:r>
    </w:p>
    <w:p w:rsidR="00000000" w:rsidDel="00000000" w:rsidP="00000000" w:rsidRDefault="00000000" w:rsidRPr="00000000" w14:paraId="0000000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Visto 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07829/INFOEM/IP/RR/2023</w:t>
      </w:r>
      <w:r w:rsidDel="00000000" w:rsidR="00000000" w:rsidRPr="00000000">
        <w:rPr>
          <w:rFonts w:ascii="Palatino Linotype" w:cs="Palatino Linotype" w:eastAsia="Palatino Linotype" w:hAnsi="Palatino Linotype"/>
          <w:sz w:val="24"/>
          <w:szCs w:val="24"/>
          <w:rtl w:val="0"/>
        </w:rPr>
        <w:t xml:space="preserve">, interpuesto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4"/>
          <w:szCs w:val="24"/>
          <w:rtl w:val="0"/>
        </w:rPr>
        <w:t xml:space="preserve">XXXXX XXXX XXXXXXX</w:t>
      </w:r>
      <w:r w:rsidDel="00000000" w:rsidR="00000000" w:rsidRPr="00000000">
        <w:rPr>
          <w:rFonts w:ascii="Palatino Linotype" w:cs="Palatino Linotype" w:eastAsia="Palatino Linotype" w:hAnsi="Palatino Linotype"/>
          <w:sz w:val="24"/>
          <w:szCs w:val="24"/>
          <w:rtl w:val="0"/>
        </w:rPr>
        <w:t xml:space="preserve">, a quien en lo sucesivo se le denominará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sz w:val="24"/>
          <w:szCs w:val="24"/>
          <w:rtl w:val="0"/>
        </w:rPr>
        <w:t xml:space="preserve">00385/ZUMPANGO/IP/2023,</w:t>
      </w:r>
      <w:r w:rsidDel="00000000" w:rsidR="00000000" w:rsidRPr="00000000">
        <w:rPr>
          <w:rFonts w:ascii="Palatino Linotype" w:cs="Palatino Linotype" w:eastAsia="Palatino Linotype" w:hAnsi="Palatino Linotype"/>
          <w:sz w:val="24"/>
          <w:szCs w:val="24"/>
          <w:rtl w:val="0"/>
        </w:rPr>
        <w:t xml:space="preserve"> proporcionada por el</w:t>
      </w:r>
      <w:r w:rsidDel="00000000" w:rsidR="00000000" w:rsidRPr="00000000">
        <w:rPr>
          <w:rFonts w:ascii="Verdana" w:cs="Verdana" w:eastAsia="Verdana" w:hAnsi="Verdana"/>
          <w:b w:val="1"/>
          <w:sz w:val="14"/>
          <w:szCs w:val="14"/>
          <w:rtl w:val="0"/>
        </w:rPr>
        <w:t xml:space="preserve"> </w:t>
      </w:r>
      <w:r w:rsidDel="00000000" w:rsidR="00000000" w:rsidRPr="00000000">
        <w:rPr>
          <w:rFonts w:ascii="Palatino Linotype" w:cs="Palatino Linotype" w:eastAsia="Palatino Linotype" w:hAnsi="Palatino Linotype"/>
          <w:b w:val="1"/>
          <w:sz w:val="24"/>
          <w:szCs w:val="24"/>
          <w:rtl w:val="0"/>
        </w:rPr>
        <w:t xml:space="preserve">Ayuntamiento de Zumpango</w:t>
      </w:r>
      <w:r w:rsidDel="00000000" w:rsidR="00000000" w:rsidRPr="00000000">
        <w:rPr>
          <w:rFonts w:ascii="Palatino Linotype" w:cs="Palatino Linotype" w:eastAsia="Palatino Linotype" w:hAnsi="Palatino Linotype"/>
          <w:sz w:val="24"/>
          <w:szCs w:val="24"/>
          <w:rtl w:val="0"/>
        </w:rPr>
        <w:t xml:space="preserve">, en lo sucesivo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w:t>
        <w:tab/>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sz w:val="24"/>
          <w:szCs w:val="24"/>
        </w:rPr>
      </w:pPr>
      <w:bookmarkStart w:colFirst="0" w:colLast="0" w:name="_heading=h.2et92p0" w:id="1"/>
      <w:bookmarkEnd w:id="1"/>
      <w:r w:rsidDel="00000000" w:rsidR="00000000" w:rsidRPr="00000000">
        <w:rPr>
          <w:rtl w:val="0"/>
        </w:rPr>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0" w:right="-7" w:firstLine="0"/>
        <w:jc w:val="both"/>
        <w:rPr>
          <w:rFonts w:ascii="Palatino Linotype" w:cs="Palatino Linotype" w:eastAsia="Palatino Linotype" w:hAnsi="Palatino Linotype"/>
          <w:sz w:val="24"/>
          <w:szCs w:val="24"/>
        </w:rPr>
      </w:pPr>
      <w:bookmarkStart w:colFirst="0" w:colLast="0" w:name="_heading=h.30j0zll" w:id="2"/>
      <w:bookmarkEnd w:id="2"/>
      <w:r w:rsidDel="00000000" w:rsidR="00000000" w:rsidRPr="00000000">
        <w:rPr>
          <w:rFonts w:ascii="Palatino Linotype" w:cs="Palatino Linotype" w:eastAsia="Palatino Linotype" w:hAnsi="Palatino Linotype"/>
          <w:b w:val="1"/>
          <w:sz w:val="24"/>
          <w:szCs w:val="24"/>
          <w:rtl w:val="0"/>
        </w:rPr>
        <w:t xml:space="preserve">Solicitud de acceso a la información.</w:t>
      </w:r>
      <w:r w:rsidDel="00000000" w:rsidR="00000000" w:rsidRPr="00000000">
        <w:rPr>
          <w:rFonts w:ascii="Palatino Linotype" w:cs="Palatino Linotype" w:eastAsia="Palatino Linotype" w:hAnsi="Palatino Linotype"/>
          <w:sz w:val="24"/>
          <w:szCs w:val="24"/>
          <w:rtl w:val="0"/>
        </w:rPr>
        <w:t xml:space="preserve"> Con fecha </w:t>
      </w:r>
      <w:r w:rsidDel="00000000" w:rsidR="00000000" w:rsidRPr="00000000">
        <w:rPr>
          <w:rFonts w:ascii="Palatino Linotype" w:cs="Palatino Linotype" w:eastAsia="Palatino Linotype" w:hAnsi="Palatino Linotype"/>
          <w:b w:val="1"/>
          <w:sz w:val="24"/>
          <w:szCs w:val="24"/>
          <w:rtl w:val="0"/>
        </w:rPr>
        <w:t xml:space="preserve">veintiséis de septiembre de dos mil veintitrés</w:t>
      </w:r>
      <w:r w:rsidDel="00000000" w:rsidR="00000000" w:rsidRPr="00000000">
        <w:rPr>
          <w:rFonts w:ascii="Palatino Linotype" w:cs="Palatino Linotype" w:eastAsia="Palatino Linotype" w:hAnsi="Palatino Linotype"/>
          <w:sz w:val="24"/>
          <w:szCs w:val="24"/>
          <w:rtl w:val="0"/>
        </w:rPr>
        <w:t xml:space="preserv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a través de la Plataforma Nacional de Transparencia, vinculada al Sistema de Acceso a la Información Mexiquense, en lo subsecuente el SAIMEX, formuló ante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la solicitud de acceso a la información pública a la que se le asignó el número </w:t>
      </w:r>
      <w:r w:rsidDel="00000000" w:rsidR="00000000" w:rsidRPr="00000000">
        <w:rPr>
          <w:rFonts w:ascii="Palatino Linotype" w:cs="Palatino Linotype" w:eastAsia="Palatino Linotype" w:hAnsi="Palatino Linotype"/>
          <w:b w:val="1"/>
          <w:sz w:val="24"/>
          <w:szCs w:val="24"/>
          <w:rtl w:val="0"/>
        </w:rPr>
        <w:t xml:space="preserve">00385/ZUMPANGO/IP/2023</w:t>
      </w:r>
      <w:r w:rsidDel="00000000" w:rsidR="00000000" w:rsidRPr="00000000">
        <w:rPr>
          <w:rFonts w:ascii="Palatino Linotype" w:cs="Palatino Linotype" w:eastAsia="Palatino Linotype" w:hAnsi="Palatino Linotype"/>
          <w:sz w:val="24"/>
          <w:szCs w:val="24"/>
          <w:rtl w:val="0"/>
        </w:rPr>
        <w:t xml:space="preserve">, mediante la cual requirió la información siguiente:</w:t>
      </w:r>
    </w:p>
    <w:p w:rsidR="00000000" w:rsidDel="00000000" w:rsidP="00000000" w:rsidRDefault="00000000" w:rsidRPr="00000000" w14:paraId="00000008">
      <w:pPr>
        <w:tabs>
          <w:tab w:val="left" w:leader="none" w:pos="8505"/>
        </w:tabs>
        <w:spacing w:after="0" w:line="360"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360" w:lineRule="auto"/>
        <w:ind w:left="567" w:right="112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base a que fundamento se realizó el incremento a la actividad comercial en tianguis con base al artículo 154 del código financiero para el estado de México el cálculo es del 0.018 por el UMA, en que se basa para cobrar de 25 pesos por metro cuadrado? el tabulador implementado en tianguis quien lo autoriza? el señor Policarpo Sánchez del Real tiene facultad para cobrar o solo es titular el señor Juan Flores Suarez, está facultado para incrementar cobros solo porque él lo decide? Nombramiento del C. POLICARPO SANCHEZ DEL REAL Copia certificada de la habilitación del señor JUAN FLORES SUAREZ, ya que cobra en tianguis los días sábados y domingos Copia certificada del organigrama de la jefatura de reglamentos copia certificada del reconocimiento del la asociación de comercio digno por la jefatura de reglamentos existe algún parentesco con el señor POLICARPO SANCHEZ DEL REAL con el señor XXXXXX DIRIGENTE DE LA ASOCIACION DE COMERCIO DIGNO ?” (Sic)</w:t>
      </w:r>
    </w:p>
    <w:p w:rsidR="00000000" w:rsidDel="00000000" w:rsidP="00000000" w:rsidRDefault="00000000" w:rsidRPr="00000000" w14:paraId="0000000A">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Modalidad elegida para la entrega de la información:</w:t>
      </w:r>
      <w:r w:rsidDel="00000000" w:rsidR="00000000" w:rsidRPr="00000000">
        <w:rPr>
          <w:rFonts w:ascii="Palatino Linotype" w:cs="Palatino Linotype" w:eastAsia="Palatino Linotype" w:hAnsi="Palatino Linotype"/>
          <w:sz w:val="24"/>
          <w:szCs w:val="24"/>
          <w:rtl w:val="0"/>
        </w:rPr>
        <w:t xml:space="preserve"> A través del sistema de solicitudes de acceso a la información de la Plataforma Nacional de Transparencia, que, para efectos del presente asunto, se entenderá a través del Sistema de Acceso a la Información Mexiquense (SAIMEX), como se advierte a continuación:</w:t>
      </w:r>
    </w:p>
    <w:p w:rsidR="00000000" w:rsidDel="00000000" w:rsidP="00000000" w:rsidRDefault="00000000" w:rsidRPr="00000000" w14:paraId="0000000C">
      <w:pPr>
        <w:tabs>
          <w:tab w:val="left" w:leader="none" w:pos="8505"/>
        </w:tabs>
        <w:spacing w:after="0" w:line="360"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756275" cy="781050"/>
            <wp:effectExtent b="0" l="0" r="0" t="0"/>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56275"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360" w:lineRule="auto"/>
        <w:ind w:left="142"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Prórroga.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diecisiete de octubre de dos mil veintitrés,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informó que el plazo de quince días hábiles para atender la solicitud de mérito fue prorrogado por siete días más en virtud de las siguientes razones: </w:t>
      </w:r>
    </w:p>
    <w:p w:rsidR="00000000" w:rsidDel="00000000" w:rsidP="00000000" w:rsidRDefault="00000000" w:rsidRPr="00000000" w14:paraId="00000010">
      <w:pPr>
        <w:spacing w:after="240" w:before="24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1">
      <w:pPr>
        <w:spacing w:after="240" w:before="24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QUE SE DE RESPUESTA A LA SOLICITUD” (Sic)</w:t>
      </w:r>
    </w:p>
    <w:p w:rsidR="00000000" w:rsidDel="00000000" w:rsidP="00000000" w:rsidRDefault="00000000" w:rsidRPr="00000000" w14:paraId="0000001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manera, como refiere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Del="00000000" w:rsidR="00000000" w:rsidRPr="00000000">
        <w:rPr>
          <w:rFonts w:ascii="Palatino Linotype" w:cs="Palatino Linotype" w:eastAsia="Palatino Linotype" w:hAnsi="Palatino Linotype"/>
          <w:b w:val="1"/>
          <w:sz w:val="24"/>
          <w:szCs w:val="24"/>
          <w:rtl w:val="0"/>
        </w:rPr>
        <w:t xml:space="preserve">NO se observaron las formalidades que establece la Ley de la materia</w:t>
      </w:r>
      <w:r w:rsidDel="00000000" w:rsidR="00000000" w:rsidRPr="00000000">
        <w:rPr>
          <w:rFonts w:ascii="Palatino Linotype" w:cs="Palatino Linotype" w:eastAsia="Palatino Linotype" w:hAnsi="Palatino Linotype"/>
          <w:sz w:val="24"/>
          <w:szCs w:val="24"/>
          <w:rtl w:val="0"/>
        </w:rPr>
        <w:t xml:space="preserve">, pues no se anexó el Acuerdo del Comité de Transparencia de dicho ente público, mediante el cual se aprobara la ampliación del plazo para dar atención a la solicitud de información.</w:t>
      </w:r>
    </w:p>
    <w:p w:rsidR="00000000" w:rsidDel="00000000" w:rsidP="00000000" w:rsidRDefault="00000000" w:rsidRPr="00000000" w14:paraId="0000001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Respuesta.</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veintiséis de octubre de dos mil veintitrés</w:t>
      </w:r>
      <w:r w:rsidDel="00000000" w:rsidR="00000000" w:rsidRPr="00000000">
        <w:rPr>
          <w:rFonts w:ascii="Palatino Linotype" w:cs="Palatino Linotype" w:eastAsia="Palatino Linotype" w:hAnsi="Palatino Linotype"/>
          <w:sz w:val="24"/>
          <w:szCs w:val="24"/>
          <w:rtl w:val="0"/>
        </w:rPr>
        <w:t xml:space="preserv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remitió respuesta a la solicitud de información, al tenor de lo siguiente: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su solicitud 00385/ZUMPANGO/IP/2023, se remite la información adjunta digital en formato PDF, derivada del oficio que se hizo llegar al área correspondiente, sin mas por el momento quedo a sus ordenes.” (Sic)</w:t>
      </w:r>
    </w:p>
    <w:p w:rsidR="00000000" w:rsidDel="00000000" w:rsidP="00000000" w:rsidRDefault="00000000" w:rsidRPr="00000000" w14:paraId="00000019">
      <w:pPr>
        <w:spacing w:after="0" w:line="360" w:lineRule="auto"/>
        <w:ind w:right="56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A">
      <w:pPr>
        <w:spacing w:after="0" w:line="360" w:lineRule="auto"/>
        <w:ind w:right="5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Adjunto a la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entregó un archivo electrónico denominado “</w:t>
      </w:r>
      <w:r w:rsidDel="00000000" w:rsidR="00000000" w:rsidRPr="00000000">
        <w:rPr>
          <w:rFonts w:ascii="Palatino Linotype" w:cs="Palatino Linotype" w:eastAsia="Palatino Linotype" w:hAnsi="Palatino Linotype"/>
          <w:b w:val="1"/>
          <w:i w:val="1"/>
          <w:rtl w:val="0"/>
        </w:rPr>
        <w:t xml:space="preserve">RESPUESTA SOLICITUD 000385.pdf</w:t>
      </w:r>
      <w:r w:rsidDel="00000000" w:rsidR="00000000" w:rsidRPr="00000000">
        <w:rPr>
          <w:rFonts w:ascii="Palatino Linotype" w:cs="Palatino Linotype" w:eastAsia="Palatino Linotype" w:hAnsi="Palatino Linotype"/>
          <w:rtl w:val="0"/>
        </w:rPr>
        <w:t xml:space="preserve">” que contiene la siguiente información:</w:t>
      </w:r>
    </w:p>
    <w:p w:rsidR="00000000" w:rsidDel="00000000" w:rsidP="00000000" w:rsidRDefault="00000000" w:rsidRPr="00000000" w14:paraId="0000001B">
      <w:pPr>
        <w:spacing w:after="0" w:line="360" w:lineRule="auto"/>
        <w:ind w:right="560"/>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56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del dieciséis de octubre de dos mil veintitrés, a través del cual la Jefatura de Reglamentos del Municipio de Zumpango, informó al Tesorero Municipal que, con relación a la solicitud de información, dicho servidor público informa que, por lo que respecta a las primeras tres interrogantes, la fracción XIII del artículo 57 del Bando Municipal de Zumpango, hace referencia a las atribuciones que tiene y en tal virtud, sobre lo requerido se indica que se anexa lo siguiente: del C. Juan Flores Suarez, se el documento requerido; copia certificada del organigrama.</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con relación a lo requerido de la asociación, se informó que la Jefatura de Reglamentos no cuenta con información de la misma, al ser independiente y se regula por sus propios estatutos.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Finalmente, en dicho oficio se indica que con relación a lo último peticionado no estaba dentro de sus atribuciones contestar o cuestionar sobre el parentesco de los servidores públicos.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56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Nombramiento de fecha treinta de junio de dos mil veintitrés, del Jefe de Reglamentos.</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5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56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COORD/INVE/0060A/09/2023 del siete de septiembre de dos mil veintitrés, a través del cual el Titular de la Coordinación de Inspectores, Notificadores, Verificadores y Ejecutores, habilita como inspector, notificador, verificador y ejecutor al C. Juan Flores Suarez durante el periodo comprendido del siete de septiembre al siete de octubre de dos mil veintitrés, para el servidor público adscrito a la Coordinación indicada.</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56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Organigrama de la Jefatura de Reglamentos del ejercicio 2023.</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56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Foja del artículo 154 del Código Financiero del Estado de México y Municipios.</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5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w:t>
      </w:r>
      <w:r w:rsidDel="00000000" w:rsidR="00000000" w:rsidRPr="00000000">
        <w:rPr>
          <w:rFonts w:ascii="Palatino Linotype" w:cs="Palatino Linotype" w:eastAsia="Palatino Linotype" w:hAnsi="Palatino Linotype"/>
          <w:sz w:val="24"/>
          <w:szCs w:val="24"/>
          <w:rtl w:val="0"/>
        </w:rPr>
        <w:t xml:space="preserve"> Derivado de la respuesta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la persona solicitante interpuso Recurso de Revisión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ocho de noviembre de dos mil veintitrés</w:t>
      </w:r>
      <w:r w:rsidDel="00000000" w:rsidR="00000000" w:rsidRPr="00000000">
        <w:rPr>
          <w:rFonts w:ascii="Palatino Linotype" w:cs="Palatino Linotype" w:eastAsia="Palatino Linotype" w:hAnsi="Palatino Linotype"/>
          <w:sz w:val="24"/>
          <w:szCs w:val="24"/>
          <w:rtl w:val="0"/>
        </w:rPr>
        <w:t xml:space="preserve">, a través del cual expresó lo siguiente:</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851"/>
        </w:tabs>
        <w:spacing w:after="0" w:line="360" w:lineRule="auto"/>
        <w:ind w:left="567" w:right="701"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851"/>
        </w:tabs>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sz w:val="24"/>
          <w:szCs w:val="24"/>
          <w:rtl w:val="0"/>
        </w:rPr>
        <w:t xml:space="preserve">Acto impugnado.</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Verdana" w:cs="Verdana" w:eastAsia="Verdana" w:hAnsi="Verdana"/>
          <w:i w:val="1"/>
          <w:sz w:val="14"/>
          <w:szCs w:val="14"/>
          <w:rtl w:val="0"/>
        </w:rPr>
        <w:t xml:space="preserve"> </w:t>
      </w:r>
      <w:r w:rsidDel="00000000" w:rsidR="00000000" w:rsidRPr="00000000">
        <w:rPr>
          <w:rFonts w:ascii="Palatino Linotype" w:cs="Palatino Linotype" w:eastAsia="Palatino Linotype" w:hAnsi="Palatino Linotype"/>
          <w:i w:val="1"/>
          <w:sz w:val="24"/>
          <w:szCs w:val="24"/>
          <w:rtl w:val="0"/>
        </w:rPr>
        <w:t xml:space="preserve">por qué no fundamento el tabulador que se aplican en el cobro de tianguis, así mismo del porque la asociación de COMERCIO DIGNO cobra, cual es el fundamento legal en que se basa el cobro de la asociación mencionada y que beneficios brinda el unirse a comercio digno” </w:t>
      </w: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993"/>
        </w:tabs>
        <w:spacing w:after="0" w:line="276" w:lineRule="auto"/>
        <w:ind w:left="567" w:right="701"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709"/>
          <w:tab w:val="left" w:leader="none" w:pos="851"/>
        </w:tabs>
        <w:spacing w:after="0" w:line="276" w:lineRule="auto"/>
        <w:ind w:left="567" w:right="701"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Razones o motivos de la inconformidad: </w:t>
      </w:r>
      <w:r w:rsidDel="00000000" w:rsidR="00000000" w:rsidRPr="00000000">
        <w:rPr>
          <w:rFonts w:ascii="Palatino Linotype" w:cs="Palatino Linotype" w:eastAsia="Palatino Linotype" w:hAnsi="Palatino Linotype"/>
          <w:sz w:val="24"/>
          <w:szCs w:val="24"/>
          <w:rtl w:val="0"/>
        </w:rPr>
        <w:t xml:space="preserve">En este apartado, la parte Recurrente no hizo valer motivos de inconformidad como se aprecia:</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709"/>
          <w:tab w:val="left" w:leader="none" w:pos="851"/>
        </w:tabs>
        <w:spacing w:after="0" w:line="276" w:lineRule="auto"/>
        <w:ind w:left="567" w:right="7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709"/>
          <w:tab w:val="left" w:leader="none" w:pos="851"/>
        </w:tabs>
        <w:spacing w:after="0" w:line="276" w:lineRule="auto"/>
        <w:ind w:left="567" w:right="70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138332" cy="196124"/>
            <wp:effectExtent b="3175" l="3175" r="3175" t="3175"/>
            <wp:docPr id="1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138332" cy="196124"/>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709"/>
          <w:tab w:val="left" w:leader="none" w:pos="851"/>
        </w:tabs>
        <w:spacing w:after="0" w:line="276" w:lineRule="auto"/>
        <w:ind w:left="567" w:right="7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709"/>
          <w:tab w:val="left" w:leader="none" w:pos="851"/>
        </w:tabs>
        <w:spacing w:after="0" w:line="276" w:lineRule="auto"/>
        <w:ind w:left="567" w:right="70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Adjunto al formato de interposición de recurso de revisión,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anexó un archivo electrónico denominado “</w:t>
      </w:r>
      <w:r w:rsidDel="00000000" w:rsidR="00000000" w:rsidRPr="00000000">
        <w:rPr>
          <w:rFonts w:ascii="Palatino Linotype" w:cs="Palatino Linotype" w:eastAsia="Palatino Linotype" w:hAnsi="Palatino Linotype"/>
          <w:b w:val="1"/>
          <w:i w:val="1"/>
          <w:rtl w:val="0"/>
        </w:rPr>
        <w:t xml:space="preserve">Archivo1699508505918null</w:t>
      </w:r>
      <w:r w:rsidDel="00000000" w:rsidR="00000000" w:rsidRPr="00000000">
        <w:rPr>
          <w:rFonts w:ascii="Palatino Linotype" w:cs="Palatino Linotype" w:eastAsia="Palatino Linotype" w:hAnsi="Palatino Linotype"/>
          <w:rtl w:val="0"/>
        </w:rPr>
        <w:t xml:space="preserve">”; sin embargo, de su consulta se advierte que no se puede abrir.</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709"/>
          <w:tab w:val="left" w:leader="none" w:pos="851"/>
        </w:tabs>
        <w:spacing w:after="0" w:line="276" w:lineRule="auto"/>
        <w:ind w:left="567" w:right="70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Turno.</w:t>
      </w:r>
      <w:r w:rsidDel="00000000" w:rsidR="00000000" w:rsidRPr="00000000">
        <w:rPr>
          <w:rFonts w:ascii="Palatino Linotype" w:cs="Palatino Linotype" w:eastAsia="Palatino Linotype" w:hAnsi="Palatino Linotype"/>
          <w:sz w:val="24"/>
          <w:szCs w:val="24"/>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4"/>
          <w:szCs w:val="24"/>
          <w:rtl w:val="0"/>
        </w:rPr>
        <w:t xml:space="preserve">07829/INFOEM/IP/RR/2023</w:t>
      </w:r>
      <w:r w:rsidDel="00000000" w:rsidR="00000000" w:rsidRPr="00000000">
        <w:rPr>
          <w:rFonts w:ascii="Palatino Linotype" w:cs="Palatino Linotype" w:eastAsia="Palatino Linotype" w:hAnsi="Palatino Linotype"/>
          <w:sz w:val="24"/>
          <w:szCs w:val="24"/>
          <w:rtl w:val="0"/>
        </w:rPr>
        <w:t xml:space="preserve">,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sz w:val="24"/>
          <w:szCs w:val="24"/>
          <w:rtl w:val="0"/>
        </w:rPr>
        <w:t xml:space="preserve">Comisionada Guadalupe Ramírez Peña</w:t>
      </w:r>
      <w:r w:rsidDel="00000000" w:rsidR="00000000" w:rsidRPr="00000000">
        <w:rPr>
          <w:rFonts w:ascii="Palatino Linotype" w:cs="Palatino Linotype" w:eastAsia="Palatino Linotype" w:hAnsi="Palatino Linotype"/>
          <w:sz w:val="24"/>
          <w:szCs w:val="24"/>
          <w:rtl w:val="0"/>
        </w:rPr>
        <w:t xml:space="preserve"> para su análisis, estudio, elaboración del proyecto y presentación ante el Pleno de este Instituto.</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Admisión del recurso de revisión</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trece de noviembre de dos mil veintitrés</w:t>
      </w:r>
      <w:r w:rsidDel="00000000" w:rsidR="00000000" w:rsidRPr="00000000">
        <w:rPr>
          <w:rFonts w:ascii="Palatino Linotype" w:cs="Palatino Linotype" w:eastAsia="Palatino Linotype" w:hAnsi="Palatino Linotype"/>
          <w:sz w:val="24"/>
          <w:szCs w:val="24"/>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presentara su informe justificado.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Informe Justificado. </w:t>
      </w:r>
      <w:r w:rsidDel="00000000" w:rsidR="00000000" w:rsidRPr="00000000">
        <w:rPr>
          <w:rFonts w:ascii="Palatino Linotype" w:cs="Palatino Linotype" w:eastAsia="Palatino Linotype" w:hAnsi="Palatino Linotype"/>
          <w:sz w:val="24"/>
          <w:szCs w:val="24"/>
          <w:rtl w:val="0"/>
        </w:rPr>
        <w:t xml:space="preserve">De las constancias que obran en el expediente electrónico aperturado con motivo del presente medio de impugnación, se advierte que durante el periodo de manifestaciones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fue omiso en rendir su informe justificado y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hacer valer manifestaciones que a su derecho resultaran convenientes como se muestra a continuación:</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5756275" cy="1365885"/>
            <wp:effectExtent b="3175" l="3175" r="3175" t="3175"/>
            <wp:docPr id="1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56275" cy="1365885"/>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Ampliación de plazo:</w:t>
      </w:r>
      <w:r w:rsidDel="00000000" w:rsidR="00000000" w:rsidRPr="00000000">
        <w:rPr>
          <w:rFonts w:ascii="Palatino Linotype" w:cs="Palatino Linotype" w:eastAsia="Palatino Linotype" w:hAnsi="Palatino Linotype"/>
          <w:sz w:val="24"/>
          <w:szCs w:val="24"/>
          <w:rtl w:val="0"/>
        </w:rPr>
        <w:t xml:space="preserve"> El</w:t>
      </w:r>
      <w:r w:rsidDel="00000000" w:rsidR="00000000" w:rsidRPr="00000000">
        <w:rPr>
          <w:rFonts w:ascii="Palatino Linotype" w:cs="Palatino Linotype" w:eastAsia="Palatino Linotype" w:hAnsi="Palatino Linotype"/>
          <w:b w:val="1"/>
          <w:sz w:val="24"/>
          <w:szCs w:val="24"/>
          <w:rtl w:val="0"/>
        </w:rPr>
        <w:t xml:space="preserve"> doce de marzo de dos mil veinticuatro</w:t>
      </w:r>
      <w:r w:rsidDel="00000000" w:rsidR="00000000" w:rsidRPr="00000000">
        <w:rPr>
          <w:rFonts w:ascii="Palatino Linotype" w:cs="Palatino Linotype" w:eastAsia="Palatino Linotype" w:hAnsi="Palatino Linotype"/>
          <w:sz w:val="24"/>
          <w:szCs w:val="24"/>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4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8">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4"/>
          <w:szCs w:val="24"/>
          <w:rtl w:val="0"/>
        </w:rPr>
        <w:t xml:space="preserve">a</w:t>
      </w:r>
      <w:r w:rsidDel="00000000" w:rsidR="00000000" w:rsidRPr="00000000">
        <w:rPr>
          <w:rFonts w:ascii="Palatino Linotype" w:cs="Palatino Linotype" w:eastAsia="Palatino Linotype" w:hAnsi="Palatino Linotype"/>
          <w:b w:val="1"/>
          <w:rtl w:val="0"/>
        </w:rPr>
        <w:t xml:space="preserve">)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49">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4A">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4B">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4C">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4"/>
          <w:szCs w:val="24"/>
          <w:rtl w:val="0"/>
        </w:rPr>
        <w:t xml:space="preserve">, visible en la Gaceta del Seminario Judicial de la Federación con el registro digital 205635.</w:t>
      </w:r>
    </w:p>
    <w:p w:rsidR="00000000" w:rsidDel="00000000" w:rsidP="00000000" w:rsidRDefault="00000000" w:rsidRPr="00000000" w14:paraId="0000005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5">
      <w:pPr>
        <w:spacing w:after="0"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56">
      <w:pPr>
        <w:spacing w:after="0"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7">
      <w:pPr>
        <w:spacing w:after="0"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Cierre de instrucción</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doce de marzo de dos mil veinticuatro</w:t>
      </w:r>
      <w:r w:rsidDel="00000000" w:rsidR="00000000" w:rsidRPr="00000000">
        <w:rPr>
          <w:rFonts w:ascii="Palatino Linotype" w:cs="Palatino Linotype" w:eastAsia="Palatino Linotype" w:hAnsi="Palatino Linotype"/>
          <w:sz w:val="24"/>
          <w:szCs w:val="24"/>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F">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w:t>
        <w:tab/>
        <w:t xml:space="preserve">C O N S I D E R A N D O:</w:t>
      </w:r>
    </w:p>
    <w:p w:rsidR="00000000" w:rsidDel="00000000" w:rsidP="00000000" w:rsidRDefault="00000000" w:rsidRPr="00000000" w14:paraId="0000006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6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w:t>
      </w:r>
      <w:r w:rsidDel="00000000" w:rsidR="00000000" w:rsidRPr="00000000">
        <w:rPr>
          <w:rFonts w:ascii="Palatino Linotype" w:cs="Palatino Linotype" w:eastAsia="Palatino Linotype" w:hAnsi="Palatino Linotype"/>
          <w:sz w:val="24"/>
          <w:szCs w:val="24"/>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sz w:val="24"/>
          <w:szCs w:val="24"/>
        </w:rPr>
      </w:pPr>
      <w:bookmarkStart w:colFirst="0" w:colLast="0" w:name="_heading=h.3znysh7" w:id="3"/>
      <w:bookmarkEnd w:id="3"/>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remitió la respuesta a la solicitud de información el </w:t>
      </w:r>
      <w:r w:rsidDel="00000000" w:rsidR="00000000" w:rsidRPr="00000000">
        <w:rPr>
          <w:rFonts w:ascii="Palatino Linotype" w:cs="Palatino Linotype" w:eastAsia="Palatino Linotype" w:hAnsi="Palatino Linotype"/>
          <w:b w:val="1"/>
          <w:sz w:val="24"/>
          <w:szCs w:val="24"/>
          <w:rtl w:val="0"/>
        </w:rPr>
        <w:t xml:space="preserve">veintiséis de octubre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dos mil veintitrés, </w:t>
      </w:r>
      <w:r w:rsidDel="00000000" w:rsidR="00000000" w:rsidRPr="00000000">
        <w:rPr>
          <w:rFonts w:ascii="Palatino Linotype" w:cs="Palatino Linotype" w:eastAsia="Palatino Linotype" w:hAnsi="Palatino Linotype"/>
          <w:sz w:val="24"/>
          <w:szCs w:val="24"/>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se tuvo por presentado el día </w:t>
      </w:r>
      <w:r w:rsidDel="00000000" w:rsidR="00000000" w:rsidRPr="00000000">
        <w:rPr>
          <w:rFonts w:ascii="Palatino Linotype" w:cs="Palatino Linotype" w:eastAsia="Palatino Linotype" w:hAnsi="Palatino Linotype"/>
          <w:b w:val="1"/>
          <w:sz w:val="24"/>
          <w:szCs w:val="24"/>
          <w:rtl w:val="0"/>
        </w:rPr>
        <w:t xml:space="preserve">ocho de noviembre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dos mil veintitrés, </w:t>
      </w:r>
      <w:r w:rsidDel="00000000" w:rsidR="00000000" w:rsidRPr="00000000">
        <w:rPr>
          <w:rFonts w:ascii="Palatino Linotype" w:cs="Palatino Linotype" w:eastAsia="Palatino Linotype" w:hAnsi="Palatino Linotype"/>
          <w:sz w:val="24"/>
          <w:szCs w:val="24"/>
          <w:rtl w:val="0"/>
        </w:rPr>
        <w:t xml:space="preserve">esto es al </w:t>
      </w:r>
      <w:r w:rsidDel="00000000" w:rsidR="00000000" w:rsidRPr="00000000">
        <w:rPr>
          <w:rFonts w:ascii="Palatino Linotype" w:cs="Palatino Linotype" w:eastAsia="Palatino Linotype" w:hAnsi="Palatino Linotype"/>
          <w:sz w:val="24"/>
          <w:szCs w:val="24"/>
          <w:u w:val="single"/>
          <w:rtl w:val="0"/>
        </w:rPr>
        <w:t xml:space="preserve">octavo</w:t>
      </w:r>
      <w:r w:rsidDel="00000000" w:rsidR="00000000" w:rsidRPr="00000000">
        <w:rPr>
          <w:rFonts w:ascii="Palatino Linotype" w:cs="Palatino Linotype" w:eastAsia="Palatino Linotype" w:hAnsi="Palatino Linotype"/>
          <w:sz w:val="24"/>
          <w:szCs w:val="24"/>
          <w:rtl w:val="0"/>
        </w:rPr>
        <w:t xml:space="preserve"> día hábil siguiente a aquel en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7">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Del="00000000" w:rsidR="00000000" w:rsidRPr="00000000">
        <w:rPr>
          <w:rFonts w:ascii="Palatino Linotype" w:cs="Palatino Linotype" w:eastAsia="Palatino Linotype" w:hAnsi="Palatino Linotype"/>
          <w:b w:val="1"/>
          <w:sz w:val="24"/>
          <w:szCs w:val="24"/>
          <w:rtl w:val="0"/>
        </w:rPr>
        <w:t xml:space="preserve">SAIMEX.</w:t>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es de destacar que del análisis a los agravios hechos valer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su medio de impugnación, </w:t>
      </w:r>
      <w:r w:rsidDel="00000000" w:rsidR="00000000" w:rsidRPr="00000000">
        <w:rPr>
          <w:rFonts w:ascii="Palatino Linotype" w:cs="Palatino Linotype" w:eastAsia="Palatino Linotype" w:hAnsi="Palatino Linotype"/>
          <w:b w:val="1"/>
          <w:sz w:val="24"/>
          <w:szCs w:val="24"/>
          <w:rtl w:val="0"/>
        </w:rPr>
        <w:t xml:space="preserve">no se advirtió que estos actualizaran alguna hipótesis normativa de procedencia contenida en el artículo 179 de la Ley de Transparencia y Acceso a la Información Pública del Estado de México y Municipios.</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Análisis de las causales de improcedencia y sobreseimiento del recurso de revisión.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6C">
      <w:pPr>
        <w:tabs>
          <w:tab w:val="left" w:leader="none" w:pos="1350"/>
        </w:tabs>
        <w:spacing w:after="0" w:line="360" w:lineRule="auto"/>
        <w:jc w:val="both"/>
        <w:rPr>
          <w:rFonts w:ascii="Palatino Linotype" w:cs="Palatino Linotype" w:eastAsia="Palatino Linotype" w:hAnsi="Palatino Linotype"/>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6D">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Del="00000000" w:rsidR="00000000" w:rsidRPr="00000000">
        <w:rPr>
          <w:rtl w:val="0"/>
        </w:rPr>
      </w:r>
    </w:p>
    <w:p w:rsidR="00000000" w:rsidDel="00000000" w:rsidP="00000000" w:rsidRDefault="00000000" w:rsidRPr="00000000" w14:paraId="0000006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70">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 de lo anterior, por cuestión de método se estima pertinente insertar el siguiente cuadro de análisis, en los que se precisarán los requerimientos de la persona solicitante y la respuesta medular emitida por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como se sigue:</w:t>
      </w:r>
    </w:p>
    <w:tbl>
      <w:tblPr>
        <w:tblStyle w:val="Table1"/>
        <w:tblW w:w="904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6"/>
        <w:gridCol w:w="3827"/>
        <w:gridCol w:w="4253"/>
        <w:tblGridChange w:id="0">
          <w:tblGrid>
            <w:gridCol w:w="966"/>
            <w:gridCol w:w="3827"/>
            <w:gridCol w:w="4253"/>
          </w:tblGrid>
        </w:tblGridChange>
      </w:tblGrid>
      <w:tr>
        <w:trPr>
          <w:cantSplit w:val="0"/>
          <w:tblHeader w:val="0"/>
        </w:trPr>
        <w:tc>
          <w:tcPr>
            <w:shd w:fill="f7cbac" w:val="cle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w:t>
            </w:r>
          </w:p>
        </w:tc>
        <w:tc>
          <w:tcPr>
            <w:shd w:fill="f7cbac"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Requerimiento</w:t>
            </w:r>
          </w:p>
        </w:tc>
        <w:tc>
          <w:tcPr>
            <w:shd w:fill="f7cbac"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r>
      <w:tr>
        <w:trPr>
          <w:cantSplit w:val="0"/>
          <w:trHeight w:val="630" w:hRule="atLeast"/>
          <w:tblHeader w:val="0"/>
        </w:trPr>
        <w:tc>
          <w:tcPr>
            <w:tcBorders>
              <w:bottom w:color="000000" w:space="0" w:sz="4" w:val="single"/>
            </w:tcBorders>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1</w:t>
            </w:r>
          </w:p>
        </w:tc>
        <w:tc>
          <w:tcPr>
            <w:tcBorders>
              <w:bottom w:color="000000" w:space="0" w:sz="4" w:val="single"/>
            </w:tcBorders>
            <w:shd w:fill="auto" w:val="clear"/>
          </w:tcPr>
          <w:p w:rsidR="00000000" w:rsidDel="00000000" w:rsidP="00000000" w:rsidRDefault="00000000" w:rsidRPr="00000000" w14:paraId="00000076">
            <w:pPr>
              <w:spacing w:after="0" w:line="36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El fundamento para realizar el incremento a la actividad comercial en tianguis.</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El Titular de la Jefatura de Reglamentos informó que esa área no cuenta con información de la misma, al ser independiente y se regula por sus propios estatutos.</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tl w:val="0"/>
              </w:rPr>
            </w:r>
          </w:p>
        </w:tc>
      </w:tr>
      <w:tr>
        <w:trPr>
          <w:cantSplit w:val="0"/>
          <w:trHeight w:val="1350" w:hRule="atLeast"/>
          <w:tblHeader w:val="0"/>
        </w:trPr>
        <w:tc>
          <w:tcPr>
            <w:tcBorders>
              <w:top w:color="000000" w:space="0" w:sz="4" w:val="single"/>
              <w:bottom w:color="000000" w:space="0" w:sz="4" w:val="single"/>
            </w:tcBorders>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07A">
            <w:pPr>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que se basa para cobrar $25.00 pesos, por metro cuadrado, si el artículo 154 del Código Financiero para el Estado de México, el cálculo es del 0.018 por UMA?</w:t>
            </w:r>
          </w:p>
        </w:tc>
        <w:tc>
          <w:tcPr>
            <w:tcBorders>
              <w:top w:color="000000" w:space="0" w:sz="4" w:val="single"/>
              <w:bottom w:color="000000" w:space="0" w:sz="4" w:val="single"/>
            </w:tcBorders>
            <w:shd w:fill="auto"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Foja del artículo 154 del Código Financiero del Estado de México y Municipios.</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tl w:val="0"/>
              </w:rPr>
            </w:r>
          </w:p>
        </w:tc>
      </w:tr>
      <w:tr>
        <w:trPr>
          <w:cantSplit w:val="0"/>
          <w:trHeight w:val="675" w:hRule="atLeast"/>
          <w:tblHeader w:val="0"/>
        </w:trPr>
        <w:tc>
          <w:tcPr>
            <w:tcBorders>
              <w:top w:color="000000" w:space="0" w:sz="4" w:val="single"/>
              <w:bottom w:color="000000" w:space="0" w:sz="4" w:val="single"/>
            </w:tcBorders>
          </w:tcPr>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3</w:t>
            </w:r>
          </w:p>
        </w:tc>
        <w:tc>
          <w:tcPr>
            <w:tcBorders>
              <w:top w:color="000000" w:space="0" w:sz="4" w:val="single"/>
              <w:bottom w:color="000000" w:space="0" w:sz="4" w:val="single"/>
            </w:tcBorders>
            <w:shd w:fill="auto" w:val="clear"/>
          </w:tcPr>
          <w:p w:rsidR="00000000" w:rsidDel="00000000" w:rsidP="00000000" w:rsidRDefault="00000000" w:rsidRPr="00000000" w14:paraId="0000007E">
            <w:pPr>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¿Quién autoriza el tabulador implementado en tianguis?</w:t>
            </w:r>
          </w:p>
        </w:tc>
        <w:tc>
          <w:tcPr>
            <w:tcBorders>
              <w:top w:color="000000" w:space="0" w:sz="4" w:val="single"/>
              <w:bottom w:color="000000" w:space="0" w:sz="4" w:val="single"/>
            </w:tcBorders>
            <w:shd w:fill="auto"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No hubo pronunciamiento</w:t>
            </w:r>
          </w:p>
        </w:tc>
      </w:tr>
      <w:tr>
        <w:trPr>
          <w:cantSplit w:val="0"/>
          <w:trHeight w:val="660" w:hRule="atLeast"/>
          <w:tblHeader w:val="0"/>
        </w:trPr>
        <w:tc>
          <w:tcPr>
            <w:tcBorders>
              <w:top w:color="000000" w:space="0" w:sz="4" w:val="single"/>
              <w:bottom w:color="000000" w:space="0" w:sz="4" w:val="single"/>
            </w:tcBorders>
          </w:tcPr>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4</w:t>
            </w:r>
          </w:p>
        </w:tc>
        <w:tc>
          <w:tcPr>
            <w:tcBorders>
              <w:top w:color="000000" w:space="0" w:sz="4" w:val="single"/>
              <w:bottom w:color="000000" w:space="0" w:sz="4" w:val="single"/>
            </w:tcBorders>
            <w:shd w:fill="auto" w:val="clear"/>
          </w:tcPr>
          <w:p w:rsidR="00000000" w:rsidDel="00000000" w:rsidP="00000000" w:rsidRDefault="00000000" w:rsidRPr="00000000" w14:paraId="00000081">
            <w:pPr>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indique si el C. Policarpo Sánchez del Real tiene facultades para cobrar.</w:t>
            </w:r>
          </w:p>
        </w:tc>
        <w:tc>
          <w:tcPr>
            <w:tcBorders>
              <w:top w:color="000000" w:space="0" w:sz="4" w:val="single"/>
              <w:bottom w:color="000000" w:space="0" w:sz="4" w:val="single"/>
            </w:tcBorders>
            <w:shd w:fill="auto"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No hubo pronunciamiento</w:t>
            </w:r>
          </w:p>
        </w:tc>
      </w:tr>
      <w:tr>
        <w:trPr>
          <w:cantSplit w:val="0"/>
          <w:trHeight w:val="615" w:hRule="atLeast"/>
          <w:tblHeader w:val="0"/>
        </w:trPr>
        <w:tc>
          <w:tcPr>
            <w:tcBorders>
              <w:top w:color="000000" w:space="0" w:sz="4" w:val="single"/>
              <w:bottom w:color="000000" w:space="0" w:sz="4" w:val="single"/>
            </w:tcBorders>
          </w:tcPr>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5</w:t>
            </w:r>
          </w:p>
        </w:tc>
        <w:tc>
          <w:tcPr>
            <w:tcBorders>
              <w:top w:color="000000" w:space="0" w:sz="4" w:val="single"/>
              <w:bottom w:color="000000" w:space="0" w:sz="4" w:val="single"/>
            </w:tcBorders>
            <w:shd w:fill="auto" w:val="clear"/>
          </w:tcPr>
          <w:p w:rsidR="00000000" w:rsidDel="00000000" w:rsidP="00000000" w:rsidRDefault="00000000" w:rsidRPr="00000000" w14:paraId="00000084">
            <w:pPr>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indique si sólo el C. Juan Flores Suarez está facultado para incrementar cobros.</w:t>
            </w:r>
          </w:p>
        </w:tc>
        <w:tc>
          <w:tcPr>
            <w:tcBorders>
              <w:top w:color="000000" w:space="0" w:sz="4" w:val="single"/>
              <w:bottom w:color="000000" w:space="0" w:sz="4" w:val="single"/>
            </w:tcBorders>
            <w:shd w:fill="auto"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número COORD/INVE/0060A/09/2023 del siete de septiembre de dos mil veintitrés, a través del cual el Titular de la Coordinación de Inspectores, Notificadores, Verificadores y Ejecutores, habilita como inspector, notificador, verificador y ejecutor al C. Juan Flores Suarez durante el periodo comprendido del siete de septiembre al siete de octubre de dos mil veintitrés, para el servidor público adscrito a la Coordinación indicada.</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tl w:val="0"/>
              </w:rPr>
            </w:r>
          </w:p>
        </w:tc>
      </w:tr>
      <w:tr>
        <w:trPr>
          <w:cantSplit w:val="0"/>
          <w:trHeight w:val="840" w:hRule="atLeast"/>
          <w:tblHeader w:val="0"/>
        </w:trPr>
        <w:tc>
          <w:tcPr>
            <w:tcBorders>
              <w:top w:color="000000" w:space="0" w:sz="4" w:val="single"/>
              <w:bottom w:color="000000" w:space="0" w:sz="4" w:val="single"/>
            </w:tcBorders>
          </w:tcPr>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6</w:t>
            </w:r>
          </w:p>
        </w:tc>
        <w:tc>
          <w:tcPr>
            <w:tcBorders>
              <w:top w:color="000000" w:space="0" w:sz="4" w:val="single"/>
              <w:bottom w:color="000000" w:space="0" w:sz="4" w:val="single"/>
            </w:tcBorders>
            <w:shd w:fill="auto" w:val="clear"/>
          </w:tcPr>
          <w:p w:rsidR="00000000" w:rsidDel="00000000" w:rsidP="00000000" w:rsidRDefault="00000000" w:rsidRPr="00000000" w14:paraId="00000088">
            <w:pPr>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proporcione el nombramiento del C. Policarpo Sánchez del Real.</w:t>
            </w:r>
          </w:p>
        </w:tc>
        <w:tc>
          <w:tcPr>
            <w:tcBorders>
              <w:top w:color="000000" w:space="0" w:sz="4" w:val="single"/>
              <w:bottom w:color="000000" w:space="0" w:sz="4" w:val="single"/>
            </w:tcBorders>
            <w:shd w:fill="auto"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Nombramiento de fecha treinta de junio de dos mil veintitrés, del Jefe de Reglamentos.</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tl w:val="0"/>
              </w:rPr>
            </w:r>
          </w:p>
        </w:tc>
      </w:tr>
      <w:tr>
        <w:trPr>
          <w:cantSplit w:val="0"/>
          <w:trHeight w:val="1275" w:hRule="atLeast"/>
          <w:tblHeader w:val="0"/>
        </w:trPr>
        <w:tc>
          <w:tcPr>
            <w:tcBorders>
              <w:top w:color="000000" w:space="0" w:sz="4" w:val="single"/>
              <w:bottom w:color="000000" w:space="0" w:sz="4" w:val="single"/>
            </w:tcBorders>
          </w:tcPr>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7</w:t>
            </w:r>
          </w:p>
        </w:tc>
        <w:tc>
          <w:tcPr>
            <w:tcBorders>
              <w:top w:color="000000" w:space="0" w:sz="4" w:val="single"/>
              <w:bottom w:color="000000" w:space="0" w:sz="4" w:val="single"/>
            </w:tcBorders>
            <w:shd w:fill="auto" w:val="clear"/>
          </w:tcPr>
          <w:p w:rsidR="00000000" w:rsidDel="00000000" w:rsidP="00000000" w:rsidRDefault="00000000" w:rsidRPr="00000000" w14:paraId="0000008C">
            <w:pPr>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proporcione copia certificada de la habilitación del C. Juan Flores Suarez, en virtud de que cobra en tianguis los días sábados y domingos. </w:t>
            </w:r>
          </w:p>
        </w:tc>
        <w:tc>
          <w:tcPr>
            <w:tcBorders>
              <w:top w:color="000000" w:space="0" w:sz="4" w:val="single"/>
              <w:bottom w:color="000000" w:space="0" w:sz="4" w:val="single"/>
            </w:tcBorders>
            <w:shd w:fill="auto"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Oficio número COORD/INVE/0060A/09/2023 del siete de septiembre de dos mil veintitrés, a través del cual el Titular de la Coordinación de Inspectores, Notificadores, Verificadores y Ejecutores, habilita como inspector, notificador, verificador y ejecutor al C. Juan Flores Suarez durante el periodo comprendido del siete de septiembre al siete de octubre de dos mil veintitrés, para el servidor público adscrito a la Coordinación indicada.</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tl w:val="0"/>
              </w:rPr>
            </w:r>
          </w:p>
        </w:tc>
      </w:tr>
      <w:tr>
        <w:trPr>
          <w:cantSplit w:val="0"/>
          <w:trHeight w:val="570" w:hRule="atLeast"/>
          <w:tblHeader w:val="0"/>
        </w:trPr>
        <w:tc>
          <w:tcPr>
            <w:tcBorders>
              <w:top w:color="000000" w:space="0" w:sz="4" w:val="single"/>
              <w:bottom w:color="000000" w:space="0" w:sz="4" w:val="single"/>
            </w:tcBorders>
          </w:tcPr>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8</w:t>
            </w:r>
          </w:p>
        </w:tc>
        <w:tc>
          <w:tcPr>
            <w:tcBorders>
              <w:top w:color="000000" w:space="0" w:sz="4" w:val="single"/>
              <w:bottom w:color="000000" w:space="0" w:sz="4" w:val="single"/>
            </w:tcBorders>
            <w:shd w:fill="auto" w:val="clear"/>
          </w:tcPr>
          <w:p w:rsidR="00000000" w:rsidDel="00000000" w:rsidP="00000000" w:rsidRDefault="00000000" w:rsidRPr="00000000" w14:paraId="00000090">
            <w:pPr>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Copia certificada del organigrama de la Jefatura de Reglamentos.</w:t>
            </w:r>
          </w:p>
        </w:tc>
        <w:tc>
          <w:tcPr>
            <w:tcBorders>
              <w:top w:color="000000" w:space="0" w:sz="4" w:val="single"/>
              <w:bottom w:color="000000" w:space="0" w:sz="4" w:val="single"/>
            </w:tcBorders>
            <w:shd w:fill="auto"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Organigrama de la Jefatura de Reglamentos del ejercicio 2023.</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tl w:val="0"/>
              </w:rPr>
            </w:r>
          </w:p>
        </w:tc>
      </w:tr>
      <w:tr>
        <w:trPr>
          <w:cantSplit w:val="0"/>
          <w:trHeight w:val="930" w:hRule="atLeast"/>
          <w:tblHeader w:val="0"/>
        </w:trPr>
        <w:tc>
          <w:tcPr>
            <w:tcBorders>
              <w:top w:color="000000" w:space="0" w:sz="4" w:val="single"/>
              <w:bottom w:color="000000" w:space="0" w:sz="4" w:val="single"/>
            </w:tcBorders>
          </w:tcPr>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9</w:t>
            </w:r>
          </w:p>
        </w:tc>
        <w:tc>
          <w:tcPr>
            <w:tcBorders>
              <w:top w:color="000000" w:space="0" w:sz="4" w:val="single"/>
              <w:bottom w:color="000000" w:space="0" w:sz="4" w:val="single"/>
            </w:tcBorders>
            <w:shd w:fill="auto" w:val="clear"/>
          </w:tcPr>
          <w:p w:rsidR="00000000" w:rsidDel="00000000" w:rsidP="00000000" w:rsidRDefault="00000000" w:rsidRPr="00000000" w14:paraId="00000094">
            <w:pPr>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Copia certificada del reconocimiento de la asociación de comercio digno por la Jefatura de Reglamentos.</w:t>
            </w:r>
          </w:p>
        </w:tc>
        <w:tc>
          <w:tcPr>
            <w:tcBorders>
              <w:top w:color="000000" w:space="0" w:sz="4" w:val="single"/>
              <w:bottom w:color="000000" w:space="0" w:sz="4" w:val="single"/>
            </w:tcBorders>
            <w:shd w:fill="auto" w:val="clear"/>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El Titular de la Jefatura de Reglamentos informó que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18"/>
                <w:szCs w:val="18"/>
                <w:rtl w:val="0"/>
              </w:rPr>
              <w:t xml:space="preserve">no cuenta con información de la misma, al ser independiente y por regularse la misma bajo sus propios estatutos.</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tl w:val="0"/>
              </w:rPr>
            </w:r>
          </w:p>
        </w:tc>
      </w:tr>
      <w:tr>
        <w:trPr>
          <w:cantSplit w:val="0"/>
          <w:trHeight w:val="1170" w:hRule="atLeast"/>
          <w:tblHeader w:val="0"/>
        </w:trPr>
        <w:tc>
          <w:tcPr>
            <w:tcBorders>
              <w:top w:color="000000" w:space="0" w:sz="4" w:val="single"/>
              <w:bottom w:color="000000" w:space="0" w:sz="4" w:val="single"/>
            </w:tcBorders>
          </w:tcPr>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10</w:t>
            </w:r>
          </w:p>
        </w:tc>
        <w:tc>
          <w:tcPr>
            <w:tcBorders>
              <w:top w:color="000000" w:space="0" w:sz="4" w:val="single"/>
              <w:bottom w:color="000000" w:space="0" w:sz="4" w:val="single"/>
            </w:tcBorders>
            <w:shd w:fill="auto" w:val="clear"/>
          </w:tcPr>
          <w:p w:rsidR="00000000" w:rsidDel="00000000" w:rsidP="00000000" w:rsidRDefault="00000000" w:rsidRPr="00000000" w14:paraId="00000098">
            <w:pPr>
              <w:tabs>
                <w:tab w:val="left" w:leader="none" w:pos="426"/>
              </w:tabs>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indique, si el C. Policarpo Sánchez del Real tiene algún parentesco con el dirigente de la Asociación Comercio digno.</w:t>
            </w:r>
          </w:p>
        </w:tc>
        <w:tc>
          <w:tcPr>
            <w:tcBorders>
              <w:top w:color="000000" w:space="0" w:sz="4" w:val="single"/>
              <w:bottom w:color="000000" w:space="0" w:sz="4" w:val="single"/>
            </w:tcBorders>
            <w:shd w:fill="auto" w:val="clea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El Titular de la Jefatura de Reglamentos informó que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18"/>
                <w:szCs w:val="18"/>
                <w:rtl w:val="0"/>
              </w:rPr>
              <w:t xml:space="preserve">no está dentro de sus atribuciones contestar o cuestionar sobre el parentesco de los servidores públicos.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tl w:val="0"/>
              </w:rPr>
            </w:r>
          </w:p>
        </w:tc>
      </w:tr>
    </w:tbl>
    <w:p w:rsidR="00000000" w:rsidDel="00000000" w:rsidP="00000000" w:rsidRDefault="00000000" w:rsidRPr="00000000" w14:paraId="0000009B">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C">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emitió pronunciamiento sobre los requerimientos analizados bajo los numerales </w:t>
      </w:r>
      <w:r w:rsidDel="00000000" w:rsidR="00000000" w:rsidRPr="00000000">
        <w:rPr>
          <w:rFonts w:ascii="Palatino Linotype" w:cs="Palatino Linotype" w:eastAsia="Palatino Linotype" w:hAnsi="Palatino Linotype"/>
          <w:b w:val="1"/>
          <w:sz w:val="24"/>
          <w:szCs w:val="24"/>
          <w:rtl w:val="0"/>
        </w:rPr>
        <w:t xml:space="preserve">1, 2, y del 5 al 10</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una vez notificada la respuesta, la persona solicitante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interpuso el recurso de revisión que nos ocupa, en el cual señaló como agravios, lo siguiente:</w:t>
      </w:r>
    </w:p>
    <w:p w:rsidR="00000000" w:rsidDel="00000000" w:rsidP="00000000" w:rsidRDefault="00000000" w:rsidRPr="00000000" w14:paraId="0000009E">
      <w:pPr>
        <w:tabs>
          <w:tab w:val="left" w:leader="none" w:pos="2745"/>
        </w:tabs>
        <w:spacing w:after="240" w:before="24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u w:val="single"/>
          <w:rtl w:val="0"/>
        </w:rPr>
        <w:t xml:space="preserve">por qué no fundamento el tabulador que se aplican en el cobro de tianguis</w:t>
      </w:r>
      <w:r w:rsidDel="00000000" w:rsidR="00000000" w:rsidRPr="00000000">
        <w:rPr>
          <w:rFonts w:ascii="Palatino Linotype" w:cs="Palatino Linotype" w:eastAsia="Palatino Linotype" w:hAnsi="Palatino Linotype"/>
          <w:i w:val="1"/>
          <w:rtl w:val="0"/>
        </w:rPr>
        <w:t xml:space="preserve">, así mismo del </w:t>
      </w:r>
      <w:r w:rsidDel="00000000" w:rsidR="00000000" w:rsidRPr="00000000">
        <w:rPr>
          <w:rFonts w:ascii="Palatino Linotype" w:cs="Palatino Linotype" w:eastAsia="Palatino Linotype" w:hAnsi="Palatino Linotype"/>
          <w:b w:val="1"/>
          <w:i w:val="1"/>
          <w:u w:val="single"/>
          <w:rtl w:val="0"/>
        </w:rPr>
        <w:t xml:space="preserve">porque la asociación de COMERCIO DIGNO cobra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cual es el fundamento legal en que se basa el cobro de la asociación mencionada</w:t>
      </w:r>
      <w:r w:rsidDel="00000000" w:rsidR="00000000" w:rsidRPr="00000000">
        <w:rPr>
          <w:rFonts w:ascii="Palatino Linotype" w:cs="Palatino Linotype" w:eastAsia="Palatino Linotype" w:hAnsi="Palatino Linotype"/>
          <w:i w:val="1"/>
          <w:rtl w:val="0"/>
        </w:rPr>
        <w:t xml:space="preserve"> y </w:t>
      </w:r>
      <w:r w:rsidDel="00000000" w:rsidR="00000000" w:rsidRPr="00000000">
        <w:rPr>
          <w:rFonts w:ascii="Palatino Linotype" w:cs="Palatino Linotype" w:eastAsia="Palatino Linotype" w:hAnsi="Palatino Linotype"/>
          <w:b w:val="1"/>
          <w:i w:val="1"/>
          <w:u w:val="single"/>
          <w:rtl w:val="0"/>
        </w:rPr>
        <w:t xml:space="preserve">que beneficios brinda el unirse a comercio digno</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9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Atentos a la inconformidad planteada resulta necesario señalar, en primer lugar, que de la lectura a los agravios hechos valer por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no se advierte que esta hubiera manifestado agravios respecto a la información entregada en respuesta por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así como tampoco que guarden relación con lo inicialmente requerido en la solicitud de información, por el contrario, en su recurso de revisión se advierte que requiere información novedosa que no formó parte de sus requerimientos de origen.</w:t>
      </w:r>
    </w:p>
    <w:p w:rsidR="00000000" w:rsidDel="00000000" w:rsidP="00000000" w:rsidRDefault="00000000" w:rsidRPr="00000000" w14:paraId="000000A0">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Atentos a la inconformidad planteada, es oportuno traer a colación el contenido los artículos 186, 191 y 192 de la Ley en cita, disponen lo siguiente:</w:t>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3">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186. </w:t>
      </w:r>
      <w:r w:rsidDel="00000000" w:rsidR="00000000" w:rsidRPr="00000000">
        <w:rPr>
          <w:rFonts w:ascii="Palatino Linotype" w:cs="Palatino Linotype" w:eastAsia="Palatino Linotype" w:hAnsi="Palatino Linotype"/>
          <w:i w:val="1"/>
          <w:rtl w:val="0"/>
        </w:rPr>
        <w:t xml:space="preserve">Las resoluciones del Instituto podrán:</w:t>
      </w:r>
    </w:p>
    <w:p w:rsidR="00000000" w:rsidDel="00000000" w:rsidP="00000000" w:rsidRDefault="00000000" w:rsidRPr="00000000" w14:paraId="000000A4">
      <w:pPr>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Desechar o sobreseer el recurso;</w:t>
      </w:r>
      <w:r w:rsidDel="00000000" w:rsidR="00000000" w:rsidRPr="00000000">
        <w:rPr>
          <w:rtl w:val="0"/>
        </w:rPr>
      </w:r>
    </w:p>
    <w:p w:rsidR="00000000" w:rsidDel="00000000" w:rsidP="00000000" w:rsidRDefault="00000000" w:rsidRPr="00000000" w14:paraId="000000A5">
      <w:pPr>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 </w:t>
      </w:r>
      <w:r w:rsidDel="00000000" w:rsidR="00000000" w:rsidRPr="00000000">
        <w:rPr>
          <w:rFonts w:ascii="Palatino Linotype" w:cs="Palatino Linotype" w:eastAsia="Palatino Linotype" w:hAnsi="Palatino Linotype"/>
          <w:i w:val="1"/>
          <w:rtl w:val="0"/>
        </w:rPr>
        <w:t xml:space="preserve">Confirmar la respuesta del sujeto obligado;</w:t>
      </w:r>
    </w:p>
    <w:p w:rsidR="00000000" w:rsidDel="00000000" w:rsidP="00000000" w:rsidRDefault="00000000" w:rsidRPr="00000000" w14:paraId="000000A6">
      <w:pPr>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i w:val="1"/>
          <w:rtl w:val="0"/>
        </w:rPr>
        <w:t xml:space="preserve">Revocar o modificar la respuesta del sujeto obligado; y</w:t>
      </w:r>
    </w:p>
    <w:p w:rsidR="00000000" w:rsidDel="00000000" w:rsidP="00000000" w:rsidRDefault="00000000" w:rsidRPr="00000000" w14:paraId="000000A7">
      <w:pPr>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Ordenar la entrega de la información…</w:t>
      </w:r>
    </w:p>
    <w:p w:rsidR="00000000" w:rsidDel="00000000" w:rsidP="00000000" w:rsidRDefault="00000000" w:rsidRPr="00000000" w14:paraId="000000A8">
      <w:pPr>
        <w:spacing w:after="0" w:line="240"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A9">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191. </w:t>
      </w:r>
      <w:r w:rsidDel="00000000" w:rsidR="00000000" w:rsidRPr="00000000">
        <w:rPr>
          <w:rFonts w:ascii="Palatino Linotype" w:cs="Palatino Linotype" w:eastAsia="Palatino Linotype" w:hAnsi="Palatino Linotype"/>
          <w:i w:val="1"/>
          <w:rtl w:val="0"/>
        </w:rPr>
        <w:t xml:space="preserve">El recurso será desechado por improcedente cuando:</w:t>
      </w:r>
    </w:p>
    <w:p w:rsidR="00000000" w:rsidDel="00000000" w:rsidP="00000000" w:rsidRDefault="00000000" w:rsidRPr="00000000" w14:paraId="000000AA">
      <w:pPr>
        <w:tabs>
          <w:tab w:val="left" w:leader="none" w:pos="1276"/>
        </w:tabs>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i w:val="1"/>
          <w:rtl w:val="0"/>
        </w:rPr>
        <w:t xml:space="preserve">Sea extemporáneo por haber transcurrido el plazo establecido en la presente Ley, a partir de la respuesta;</w:t>
      </w:r>
    </w:p>
    <w:p w:rsidR="00000000" w:rsidDel="00000000" w:rsidP="00000000" w:rsidRDefault="00000000" w:rsidRPr="00000000" w14:paraId="000000AB">
      <w:pPr>
        <w:tabs>
          <w:tab w:val="left" w:leader="none" w:pos="1276"/>
        </w:tabs>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 </w:t>
      </w:r>
      <w:r w:rsidDel="00000000" w:rsidR="00000000" w:rsidRPr="00000000">
        <w:rPr>
          <w:rFonts w:ascii="Palatino Linotype" w:cs="Palatino Linotype" w:eastAsia="Palatino Linotype" w:hAnsi="Palatino Linotype"/>
          <w:i w:val="1"/>
          <w:rtl w:val="0"/>
        </w:rPr>
        <w:t xml:space="preserve">Se esté tramitando ante el Poder Judicial de la Federación algún recurso o medio de defensa interpuesto por el recurrente;</w:t>
      </w:r>
    </w:p>
    <w:p w:rsidR="00000000" w:rsidDel="00000000" w:rsidP="00000000" w:rsidRDefault="00000000" w:rsidRPr="00000000" w14:paraId="000000AC">
      <w:pPr>
        <w:tabs>
          <w:tab w:val="left" w:leader="none" w:pos="1276"/>
        </w:tabs>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i w:val="1"/>
          <w:rtl w:val="0"/>
        </w:rPr>
        <w:t xml:space="preserve">No actualice alguno de los supuestos previstos en la presente Ley;</w:t>
      </w:r>
    </w:p>
    <w:p w:rsidR="00000000" w:rsidDel="00000000" w:rsidP="00000000" w:rsidRDefault="00000000" w:rsidRPr="00000000" w14:paraId="000000AD">
      <w:pPr>
        <w:tabs>
          <w:tab w:val="left" w:leader="none" w:pos="1276"/>
        </w:tabs>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No se haya desahogado la prevención en los términos establecidos en la presente Ley;</w:t>
      </w:r>
    </w:p>
    <w:p w:rsidR="00000000" w:rsidDel="00000000" w:rsidP="00000000" w:rsidRDefault="00000000" w:rsidRPr="00000000" w14:paraId="000000AE">
      <w:pPr>
        <w:tabs>
          <w:tab w:val="left" w:leader="none" w:pos="1276"/>
        </w:tabs>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Se impugne la veracidad de la información proporcionada</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0AF">
      <w:pPr>
        <w:tabs>
          <w:tab w:val="left" w:leader="none" w:pos="1276"/>
        </w:tabs>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Se trate de una consulta, o trámite en específico; y</w:t>
      </w:r>
    </w:p>
    <w:p w:rsidR="00000000" w:rsidDel="00000000" w:rsidP="00000000" w:rsidRDefault="00000000" w:rsidRPr="00000000" w14:paraId="000000B0">
      <w:pPr>
        <w:tabs>
          <w:tab w:val="left" w:leader="none" w:pos="1276"/>
        </w:tabs>
        <w:spacing w:after="0" w:line="240" w:lineRule="auto"/>
        <w:ind w:left="1134"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VII. El recurrente amplíe su solicitud en el recurso de revisión, únicamente respecto de los nuevos contenidos.</w:t>
      </w:r>
    </w:p>
    <w:p w:rsidR="00000000" w:rsidDel="00000000" w:rsidP="00000000" w:rsidRDefault="00000000" w:rsidRPr="00000000" w14:paraId="000000B1">
      <w:pPr>
        <w:spacing w:after="0" w:line="240"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B2">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192. </w:t>
      </w:r>
      <w:r w:rsidDel="00000000" w:rsidR="00000000" w:rsidRPr="00000000">
        <w:rPr>
          <w:rFonts w:ascii="Palatino Linotype" w:cs="Palatino Linotype" w:eastAsia="Palatino Linotype" w:hAnsi="Palatino Linotype"/>
          <w:i w:val="1"/>
          <w:rtl w:val="0"/>
        </w:rPr>
        <w:t xml:space="preserve">El recurso será sobreseído, en todo o en parte, cuando una vez admitido, se actualicen alguno de los siguientes supuestos:</w:t>
      </w:r>
    </w:p>
    <w:p w:rsidR="00000000" w:rsidDel="00000000" w:rsidP="00000000" w:rsidRDefault="00000000" w:rsidRPr="00000000" w14:paraId="000000B3">
      <w:pPr>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i w:val="1"/>
          <w:rtl w:val="0"/>
        </w:rPr>
        <w:t xml:space="preserve">El recurrente se desista expresamente del recurso;</w:t>
      </w:r>
    </w:p>
    <w:p w:rsidR="00000000" w:rsidDel="00000000" w:rsidP="00000000" w:rsidRDefault="00000000" w:rsidRPr="00000000" w14:paraId="000000B4">
      <w:pPr>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 </w:t>
      </w:r>
      <w:r w:rsidDel="00000000" w:rsidR="00000000" w:rsidRPr="00000000">
        <w:rPr>
          <w:rFonts w:ascii="Palatino Linotype" w:cs="Palatino Linotype" w:eastAsia="Palatino Linotype" w:hAnsi="Palatino Linotype"/>
          <w:i w:val="1"/>
          <w:rtl w:val="0"/>
        </w:rPr>
        <w:t xml:space="preserve">El recurrente fallezca o, tratándose de personas jurídicas colectivas, se disuelva;</w:t>
      </w:r>
    </w:p>
    <w:p w:rsidR="00000000" w:rsidDel="00000000" w:rsidP="00000000" w:rsidRDefault="00000000" w:rsidRPr="00000000" w14:paraId="000000B5">
      <w:pPr>
        <w:spacing w:after="0" w:line="24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i w:val="1"/>
          <w:rtl w:val="0"/>
        </w:rPr>
        <w:t xml:space="preserve">El sujeto obligado responsable del acto lo modifique o revoque de tal manera que el recurso de revisión quede sin materia;</w:t>
      </w:r>
    </w:p>
    <w:p w:rsidR="00000000" w:rsidDel="00000000" w:rsidP="00000000" w:rsidRDefault="00000000" w:rsidRPr="00000000" w14:paraId="000000B6">
      <w:pPr>
        <w:spacing w:after="0" w:line="240" w:lineRule="auto"/>
        <w:ind w:left="1134"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IV. Admitido el recurso de revisión, aparezca alguna causal de improcedencia en los términos de la presente Ley; y</w:t>
      </w:r>
    </w:p>
    <w:p w:rsidR="00000000" w:rsidDel="00000000" w:rsidP="00000000" w:rsidRDefault="00000000" w:rsidRPr="00000000" w14:paraId="000000B7">
      <w:pPr>
        <w:spacing w:after="0" w:line="240" w:lineRule="auto"/>
        <w:ind w:left="1134"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Cuando por cualquier motivo quede sin materia el recurso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B8">
      <w:pPr>
        <w:spacing w:after="0" w:line="240" w:lineRule="auto"/>
        <w:ind w:left="1134" w:right="902"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presente caso, es de mencionar que del análisis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 fracción VII del artículo 191 de la misma Ley citado con antelación, al no existir elementos de procedencia.</w:t>
      </w:r>
    </w:p>
    <w:p w:rsidR="00000000" w:rsidDel="00000000" w:rsidP="00000000" w:rsidRDefault="00000000" w:rsidRPr="00000000" w14:paraId="000000B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B">
      <w:pPr>
        <w:spacing w:after="0" w:line="360" w:lineRule="auto"/>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sz w:val="24"/>
          <w:szCs w:val="24"/>
          <w:rtl w:val="0"/>
        </w:rPr>
        <w:t xml:space="preserve">Lo anterior se afirma así toda vez que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mediante el recurso de revisión </w:t>
      </w:r>
      <w:r w:rsidDel="00000000" w:rsidR="00000000" w:rsidRPr="00000000">
        <w:rPr>
          <w:rFonts w:ascii="Palatino Linotype" w:cs="Palatino Linotype" w:eastAsia="Palatino Linotype" w:hAnsi="Palatino Linotype"/>
          <w:b w:val="1"/>
          <w:sz w:val="24"/>
          <w:szCs w:val="24"/>
          <w:u w:val="single"/>
          <w:rtl w:val="0"/>
        </w:rPr>
        <w:t xml:space="preserve">solicita le sea entregada información que no formó parte de la solicitud primigenia</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tl w:val="0"/>
        </w:rPr>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un mejor entendimiento, se realiza la confronta a la solicitud de información y las razones o motivos de inconformidad aducidos:</w:t>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BF">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DE INFORMACIÓN</w:t>
            </w:r>
          </w:p>
        </w:tc>
        <w:tc>
          <w:tcPr/>
          <w:p w:rsidR="00000000" w:rsidDel="00000000" w:rsidP="00000000" w:rsidRDefault="00000000" w:rsidRPr="00000000" w14:paraId="000000C0">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r>
          </w:p>
        </w:tc>
      </w:tr>
      <w:tr>
        <w:trPr>
          <w:cantSplit w:val="0"/>
          <w:tblHeader w:val="0"/>
        </w:trPr>
        <w:tc>
          <w:tcPr/>
          <w:p w:rsidR="00000000" w:rsidDel="00000000" w:rsidP="00000000" w:rsidRDefault="00000000" w:rsidRPr="00000000" w14:paraId="000000C1">
            <w:pPr>
              <w:spacing w:after="0" w:line="24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“con base a que fundamento se realizó el incremento a la actividad comercial en tianguis con base al artículo 154 del código financiero para el estado de México el cálculo es del 0.018 por el UMA, en que se basa para cobrar de 25 pesos por metro cuadrado? </w:t>
            </w:r>
            <w:r w:rsidDel="00000000" w:rsidR="00000000" w:rsidRPr="00000000">
              <w:rPr>
                <w:rFonts w:ascii="Palatino Linotype" w:cs="Palatino Linotype" w:eastAsia="Palatino Linotype" w:hAnsi="Palatino Linotype"/>
                <w:i w:val="1"/>
                <w:sz w:val="18"/>
                <w:szCs w:val="18"/>
                <w:u w:val="single"/>
                <w:rtl w:val="0"/>
              </w:rPr>
              <w:t xml:space="preserve">el tabulador implementado en tianguis</w:t>
            </w:r>
            <w:r w:rsidDel="00000000" w:rsidR="00000000" w:rsidRPr="00000000">
              <w:rPr>
                <w:rFonts w:ascii="Palatino Linotype" w:cs="Palatino Linotype" w:eastAsia="Palatino Linotype" w:hAnsi="Palatino Linotype"/>
                <w:b w:val="1"/>
                <w:i w:val="1"/>
                <w:sz w:val="18"/>
                <w:szCs w:val="18"/>
                <w:u w:val="single"/>
                <w:rtl w:val="0"/>
              </w:rPr>
              <w:t xml:space="preserve"> quien lo autoriza?</w:t>
            </w:r>
            <w:r w:rsidDel="00000000" w:rsidR="00000000" w:rsidRPr="00000000">
              <w:rPr>
                <w:rFonts w:ascii="Palatino Linotype" w:cs="Palatino Linotype" w:eastAsia="Palatino Linotype" w:hAnsi="Palatino Linotype"/>
                <w:i w:val="1"/>
                <w:sz w:val="18"/>
                <w:szCs w:val="18"/>
                <w:rtl w:val="0"/>
              </w:rPr>
              <w:t xml:space="preserve"> el señor Policarpo Sánchez del Real tiene facultad para cobrar o solo es titular el señor Juan Flores Suarez, está facultado para incrementar cobros solo porque él lo decide? Nombramiento del C. POLICARPO SANCHEZ DEL REAL Copia certificada de la habilitación del señor JUAN FLORES SUAREZ, ya que cobra en tianguis los días sábados y domingos Copia certificada del organigrama de la jefatura de reglamentos </w:t>
            </w:r>
            <w:r w:rsidDel="00000000" w:rsidR="00000000" w:rsidRPr="00000000">
              <w:rPr>
                <w:rFonts w:ascii="Palatino Linotype" w:cs="Palatino Linotype" w:eastAsia="Palatino Linotype" w:hAnsi="Palatino Linotype"/>
                <w:b w:val="1"/>
                <w:i w:val="1"/>
                <w:sz w:val="18"/>
                <w:szCs w:val="18"/>
                <w:u w:val="single"/>
                <w:rtl w:val="0"/>
              </w:rPr>
              <w:t xml:space="preserve">copia certificada del reconocimiento del la asociación de comercio digno por la jefatura de reglamentos</w:t>
            </w:r>
            <w:r w:rsidDel="00000000" w:rsidR="00000000" w:rsidRPr="00000000">
              <w:rPr>
                <w:rFonts w:ascii="Palatino Linotype" w:cs="Palatino Linotype" w:eastAsia="Palatino Linotype" w:hAnsi="Palatino Linotype"/>
                <w:i w:val="1"/>
                <w:sz w:val="18"/>
                <w:szCs w:val="18"/>
                <w:rtl w:val="0"/>
              </w:rPr>
              <w:t xml:space="preserve"> </w:t>
            </w:r>
            <w:r w:rsidDel="00000000" w:rsidR="00000000" w:rsidRPr="00000000">
              <w:rPr>
                <w:rFonts w:ascii="Palatino Linotype" w:cs="Palatino Linotype" w:eastAsia="Palatino Linotype" w:hAnsi="Palatino Linotype"/>
                <w:b w:val="1"/>
                <w:i w:val="1"/>
                <w:sz w:val="18"/>
                <w:szCs w:val="18"/>
                <w:u w:val="single"/>
                <w:rtl w:val="0"/>
              </w:rPr>
              <w:t xml:space="preserve">existe algún parentesco con el señor POLICARPO SANCHEZ DEL REAL con el señor XXXXXX DIRIGENTE DE LA ASOCIACION DE COMERCIO DIGNO ?” (Sic)</w:t>
            </w:r>
            <w:r w:rsidDel="00000000" w:rsidR="00000000" w:rsidRPr="00000000">
              <w:rPr>
                <w:rtl w:val="0"/>
              </w:rPr>
            </w:r>
          </w:p>
          <w:p w:rsidR="00000000" w:rsidDel="00000000" w:rsidP="00000000" w:rsidRDefault="00000000" w:rsidRPr="00000000" w14:paraId="000000C2">
            <w:pPr>
              <w:spacing w:after="0" w:line="240" w:lineRule="auto"/>
              <w:jc w:val="both"/>
              <w:rPr>
                <w:rFonts w:ascii="Palatino Linotype" w:cs="Palatino Linotype" w:eastAsia="Palatino Linotype" w:hAnsi="Palatino Linotype"/>
                <w:i w:val="1"/>
                <w:sz w:val="24"/>
                <w:szCs w:val="24"/>
              </w:rPr>
            </w:pPr>
            <w:r w:rsidDel="00000000" w:rsidR="00000000" w:rsidRPr="00000000">
              <w:rPr>
                <w:rtl w:val="0"/>
              </w:rPr>
            </w:r>
          </w:p>
        </w:tc>
        <w:tc>
          <w:tcPr/>
          <w:p w:rsidR="00000000" w:rsidDel="00000000" w:rsidP="00000000" w:rsidRDefault="00000000" w:rsidRPr="00000000" w14:paraId="000000C3">
            <w:pPr>
              <w:tabs>
                <w:tab w:val="left" w:leader="none" w:pos="2745"/>
              </w:tabs>
              <w:spacing w:after="0" w:line="240" w:lineRule="auto"/>
              <w:ind w:left="11"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r>
            <w:r w:rsidDel="00000000" w:rsidR="00000000" w:rsidRPr="00000000">
              <w:rPr>
                <w:rFonts w:ascii="Palatino Linotype" w:cs="Palatino Linotype" w:eastAsia="Palatino Linotype" w:hAnsi="Palatino Linotype"/>
                <w:b w:val="1"/>
                <w:i w:val="1"/>
                <w:sz w:val="20"/>
                <w:szCs w:val="20"/>
                <w:u w:val="single"/>
                <w:rtl w:val="0"/>
              </w:rPr>
              <w:t xml:space="preserve">por qué no fundamento el tabulador que se aplican en el cobro de tianguis</w:t>
            </w:r>
            <w:r w:rsidDel="00000000" w:rsidR="00000000" w:rsidRPr="00000000">
              <w:rPr>
                <w:rFonts w:ascii="Palatino Linotype" w:cs="Palatino Linotype" w:eastAsia="Palatino Linotype" w:hAnsi="Palatino Linotype"/>
                <w:i w:val="1"/>
                <w:sz w:val="20"/>
                <w:szCs w:val="20"/>
                <w:rtl w:val="0"/>
              </w:rPr>
              <w:t xml:space="preserve">, así mismo del </w:t>
            </w:r>
            <w:r w:rsidDel="00000000" w:rsidR="00000000" w:rsidRPr="00000000">
              <w:rPr>
                <w:rFonts w:ascii="Palatino Linotype" w:cs="Palatino Linotype" w:eastAsia="Palatino Linotype" w:hAnsi="Palatino Linotype"/>
                <w:b w:val="1"/>
                <w:i w:val="1"/>
                <w:sz w:val="20"/>
                <w:szCs w:val="20"/>
                <w:u w:val="single"/>
                <w:rtl w:val="0"/>
              </w:rPr>
              <w:t xml:space="preserve">porque la asociación de COMERCIO DIGNO cobra</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u w:val="single"/>
                <w:rtl w:val="0"/>
              </w:rPr>
              <w:t xml:space="preserve">cual es el fundamento legal en que se basa el cobro de la asociación mencionada</w:t>
            </w:r>
            <w:r w:rsidDel="00000000" w:rsidR="00000000" w:rsidRPr="00000000">
              <w:rPr>
                <w:rFonts w:ascii="Palatino Linotype" w:cs="Palatino Linotype" w:eastAsia="Palatino Linotype" w:hAnsi="Palatino Linotype"/>
                <w:i w:val="1"/>
                <w:sz w:val="20"/>
                <w:szCs w:val="20"/>
                <w:rtl w:val="0"/>
              </w:rPr>
              <w:t xml:space="preserve"> y </w:t>
            </w:r>
            <w:r w:rsidDel="00000000" w:rsidR="00000000" w:rsidRPr="00000000">
              <w:rPr>
                <w:rFonts w:ascii="Palatino Linotype" w:cs="Palatino Linotype" w:eastAsia="Palatino Linotype" w:hAnsi="Palatino Linotype"/>
                <w:b w:val="1"/>
                <w:i w:val="1"/>
                <w:sz w:val="20"/>
                <w:szCs w:val="20"/>
                <w:u w:val="single"/>
                <w:rtl w:val="0"/>
              </w:rPr>
              <w:t xml:space="preserve">que beneficios brinda el unirse a comercio digno</w:t>
            </w:r>
            <w:r w:rsidDel="00000000" w:rsidR="00000000" w:rsidRPr="00000000">
              <w:rPr>
                <w:rFonts w:ascii="Palatino Linotype" w:cs="Palatino Linotype" w:eastAsia="Palatino Linotype" w:hAnsi="Palatino Linotype"/>
                <w:i w:val="1"/>
                <w:sz w:val="20"/>
                <w:szCs w:val="20"/>
                <w:rtl w:val="0"/>
              </w:rPr>
              <w:t xml:space="preserve">” (sic)</w:t>
            </w:r>
          </w:p>
          <w:p w:rsidR="00000000" w:rsidDel="00000000" w:rsidP="00000000" w:rsidRDefault="00000000" w:rsidRPr="00000000" w14:paraId="000000C4">
            <w:pPr>
              <w:tabs>
                <w:tab w:val="left" w:leader="none" w:pos="2745"/>
              </w:tabs>
              <w:spacing w:after="0" w:line="240" w:lineRule="auto"/>
              <w:ind w:left="11" w:firstLine="0"/>
              <w:jc w:val="both"/>
              <w:rPr>
                <w:rFonts w:ascii="Palatino Linotype" w:cs="Palatino Linotype" w:eastAsia="Palatino Linotype" w:hAnsi="Palatino Linotype"/>
                <w:i w:val="1"/>
                <w:sz w:val="20"/>
                <w:szCs w:val="20"/>
              </w:rPr>
            </w:pPr>
            <w:r w:rsidDel="00000000" w:rsidR="00000000" w:rsidRPr="00000000">
              <w:rPr>
                <w:rtl w:val="0"/>
              </w:rPr>
            </w:r>
          </w:p>
        </w:tc>
      </w:tr>
    </w:tbl>
    <w:p w:rsidR="00000000" w:rsidDel="00000000" w:rsidP="00000000" w:rsidRDefault="00000000" w:rsidRPr="00000000" w14:paraId="000000C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logra advertir de lo anterior, de la inconformidad se advierte que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requiere que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se pronuncie sobre lo siguiente:</w:t>
      </w:r>
    </w:p>
    <w:p w:rsidR="00000000" w:rsidDel="00000000" w:rsidP="00000000" w:rsidRDefault="00000000" w:rsidRPr="00000000" w14:paraId="000000C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¿Porque no se fundamentó el tabulador que se aplica en el cobro de tianguis?</w:t>
      </w:r>
    </w:p>
    <w:p w:rsidR="00000000" w:rsidDel="00000000" w:rsidP="00000000" w:rsidRDefault="00000000" w:rsidRPr="00000000" w14:paraId="000000C9">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¿Porque la asociación de COMERCIO DIGNO cobra? </w:t>
      </w:r>
    </w:p>
    <w:p w:rsidR="00000000" w:rsidDel="00000000" w:rsidP="00000000" w:rsidRDefault="00000000" w:rsidRPr="00000000" w14:paraId="000000CA">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¿Cuál es el fundamento legal en que se basa el cobro de la asociación mencionada?</w:t>
      </w:r>
    </w:p>
    <w:p w:rsidR="00000000" w:rsidDel="00000000" w:rsidP="00000000" w:rsidRDefault="00000000" w:rsidRPr="00000000" w14:paraId="000000CB">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señalen los beneficios que brinda unirse a la asociación comercio digno.</w:t>
      </w:r>
    </w:p>
    <w:p w:rsidR="00000000" w:rsidDel="00000000" w:rsidP="00000000" w:rsidRDefault="00000000" w:rsidRPr="00000000" w14:paraId="000000C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D">
      <w:pPr>
        <w:spacing w:after="0" w:line="360" w:lineRule="auto"/>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sz w:val="24"/>
          <w:szCs w:val="24"/>
          <w:rtl w:val="0"/>
        </w:rPr>
        <w:t xml:space="preserve">Requerimientos que no formaron parte de la solicitud, pues con relación al tabulador para cobro en tianguis, inicialmente se requirió que el ente público indicara </w:t>
      </w:r>
      <w:r w:rsidDel="00000000" w:rsidR="00000000" w:rsidRPr="00000000">
        <w:rPr>
          <w:rFonts w:ascii="Palatino Linotype" w:cs="Palatino Linotype" w:eastAsia="Palatino Linotype" w:hAnsi="Palatino Linotype"/>
          <w:b w:val="1"/>
          <w:sz w:val="24"/>
          <w:szCs w:val="24"/>
          <w:u w:val="single"/>
          <w:rtl w:val="0"/>
        </w:rPr>
        <w:t xml:space="preserve">quien autoriza el mismo.</w:t>
      </w:r>
    </w:p>
    <w:p w:rsidR="00000000" w:rsidDel="00000000" w:rsidP="00000000" w:rsidRDefault="00000000" w:rsidRPr="00000000" w14:paraId="000000C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Consecuentemente, con relación a lo requerido de la asociación de Comercio Digno, en la solicitud se requirió copia certificada del reconocimiento emitido por la Jefatura de Reglamentos, y se indicara si el dirigente de dicha asociación tenía algún parentesco con el servidor público que se indica en la solicitud.</w:t>
      </w:r>
    </w:p>
    <w:p w:rsidR="00000000" w:rsidDel="00000000" w:rsidP="00000000" w:rsidRDefault="00000000" w:rsidRPr="00000000" w14:paraId="000000D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tanto, los agravios hechos valer vía recurso de revisión, constituyen en su totalidad nuevos requerimientos de información, configurándose lo que se conoce como </w:t>
      </w:r>
      <w:r w:rsidDel="00000000" w:rsidR="00000000" w:rsidRPr="00000000">
        <w:rPr>
          <w:rFonts w:ascii="Palatino Linotype" w:cs="Palatino Linotype" w:eastAsia="Palatino Linotype" w:hAnsi="Palatino Linotype"/>
          <w:i w:val="1"/>
          <w:sz w:val="24"/>
          <w:szCs w:val="24"/>
          <w:rtl w:val="0"/>
        </w:rPr>
        <w:t xml:space="preserve">plus petitio</w:t>
      </w:r>
      <w:r w:rsidDel="00000000" w:rsidR="00000000" w:rsidRPr="00000000">
        <w:rPr>
          <w:rFonts w:ascii="Palatino Linotype" w:cs="Palatino Linotype" w:eastAsia="Palatino Linotype" w:hAnsi="Palatino Linotype"/>
          <w:b w:val="1"/>
          <w:i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que consiste en una ampliación a un requerimiento informativo, argumentos que no son susceptibles de ser valorados en términos de la fracción VII del Artículo 191 de la Ley de Transparencia y Acceso a la Información Pública del Estado de México y Municipios, el cual señala la improcedencia cuando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amplíe su solicitud en el Recurso de Revisión, </w:t>
      </w:r>
      <w:r w:rsidDel="00000000" w:rsidR="00000000" w:rsidRPr="00000000">
        <w:rPr>
          <w:rFonts w:ascii="Palatino Linotype" w:cs="Palatino Linotype" w:eastAsia="Palatino Linotype" w:hAnsi="Palatino Linotype"/>
          <w:b w:val="1"/>
          <w:sz w:val="24"/>
          <w:szCs w:val="24"/>
          <w:u w:val="single"/>
          <w:rtl w:val="0"/>
        </w:rPr>
        <w:t xml:space="preserve">únicamente respecto de los nuevos contenidos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cuestión que tuvo lugar en el presente caso, pues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formuló nuevos cuestionamientos, en los que solicitó información que no formó parte de su solicitud inicial y por lo tanto son inatendibles a través del recurso de revisión.</w:t>
      </w:r>
    </w:p>
    <w:p w:rsidR="00000000" w:rsidDel="00000000" w:rsidP="00000000" w:rsidRDefault="00000000" w:rsidRPr="00000000" w14:paraId="000000D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base en lo anterior,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w:t>
      </w:r>
    </w:p>
    <w:p w:rsidR="00000000" w:rsidDel="00000000" w:rsidP="00000000" w:rsidRDefault="00000000" w:rsidRPr="00000000" w14:paraId="000000D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es importante señalar que una vez formulada una solicitud,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 de ahí que tampoco resulte procedente atender sus requerimientos realizados a través de las razones o motivos de inconformidad.</w:t>
      </w:r>
    </w:p>
    <w:p w:rsidR="00000000" w:rsidDel="00000000" w:rsidP="00000000" w:rsidRDefault="00000000" w:rsidRPr="00000000" w14:paraId="000000D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Robustece lo anterior lo plasmado en el criterio orientador número 01/17 emitido por el Instituto Nacional de Transparencia, Acceso a la Información y Protección de Datos Personales, INAI, que lleva por rubro y texto lo que a continuación se transcribe:</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9">
      <w:pPr>
        <w:spacing w:after="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Es improcedente ampliar las solicitudes de acceso a información, a través de la interposición del recurso de revisión. </w:t>
      </w:r>
      <w:r w:rsidDel="00000000" w:rsidR="00000000" w:rsidRPr="00000000">
        <w:rPr>
          <w:rFonts w:ascii="Palatino Linotype" w:cs="Palatino Linotype" w:eastAsia="Palatino Linotype" w:hAnsi="Palatino Linotype"/>
          <w:i w:val="1"/>
          <w:rtl w:val="0"/>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A">
      <w:pPr>
        <w:spacing w:after="0" w:line="240" w:lineRule="auto"/>
        <w:ind w:left="851" w:right="90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B">
      <w:pPr>
        <w:widowControl w:val="0"/>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Derivado de lo anterior, se concluye que el presente caso actualiza la causal de sobreseimiento prevista en la fracción IV del artículo 192 de la Ley de Transparencia y Acceso a la Información Pública del Estado de México y Municipios, en relación con la fracción VII del artículo 191 del mismo ordenamiento, citados con antelación.</w:t>
      </w:r>
    </w:p>
    <w:p w:rsidR="00000000" w:rsidDel="00000000" w:rsidP="00000000" w:rsidRDefault="00000000" w:rsidRPr="00000000" w14:paraId="000000DC">
      <w:pPr>
        <w:widowControl w:val="0"/>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cabe destacar que la Ley da la posibilidad de desechar el recurso de revisión en el momento procesal en que también se puede admitir, por alguno de los supuestos previstos en el artículo 191 de la Ley en la Materia, artículo que tiene un momento de aplicabilidad previo a la admisión del recurso de revisión por no reunir los requisitos de procedibilidad previstos en el artículo 179 de la misma Ley.</w:t>
      </w:r>
    </w:p>
    <w:p w:rsidR="00000000" w:rsidDel="00000000" w:rsidP="00000000" w:rsidRDefault="00000000" w:rsidRPr="00000000" w14:paraId="000000D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Dentro de este orden de ideas, es evidente que no se puede invocar el precepto legal 191 de la Ley en cita ulteriormente a que ha sido admitido, determinando la actualización de un desechamiento</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porque está ya sería posterior a la etapa procedimental en la que debió desecharse.</w:t>
      </w:r>
    </w:p>
    <w:p w:rsidR="00000000" w:rsidDel="00000000" w:rsidP="00000000" w:rsidRDefault="00000000" w:rsidRPr="00000000" w14:paraId="000000E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Cobrando aplicación lo previsto en la fracción IV del artículo 192, en razón a que al haber sido admitido el recurso de revisión y al actualizarse una causal de improcedencia, en este caso la establecida en la fracción VII del artículo 191 de la misma Ley, éste debe ser </w:t>
      </w:r>
      <w:r w:rsidDel="00000000" w:rsidR="00000000" w:rsidRPr="00000000">
        <w:rPr>
          <w:rFonts w:ascii="Palatino Linotype" w:cs="Palatino Linotype" w:eastAsia="Palatino Linotype" w:hAnsi="Palatino Linotype"/>
          <w:i w:val="1"/>
          <w:sz w:val="24"/>
          <w:szCs w:val="24"/>
          <w:rtl w:val="0"/>
        </w:rPr>
        <w:t xml:space="preserve">sobreseído</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E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3">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Atento a los razonamientos lógico jurídicos que han quedado precisados y toda vez que el  </w:t>
      </w:r>
      <w:r w:rsidDel="00000000" w:rsidR="00000000" w:rsidRPr="00000000">
        <w:rPr>
          <w:rFonts w:ascii="Palatino Linotype" w:cs="Palatino Linotype" w:eastAsia="Palatino Linotype" w:hAnsi="Palatino Linotype"/>
          <w:i w:val="1"/>
          <w:sz w:val="24"/>
          <w:szCs w:val="24"/>
          <w:rtl w:val="0"/>
        </w:rPr>
        <w:t xml:space="preserve">sobreseimiento </w:t>
      </w:r>
      <w:r w:rsidDel="00000000" w:rsidR="00000000" w:rsidRPr="00000000">
        <w:rPr>
          <w:rFonts w:ascii="Palatino Linotype" w:cs="Palatino Linotype" w:eastAsia="Palatino Linotype" w:hAnsi="Palatino Linotype"/>
          <w:sz w:val="24"/>
          <w:szCs w:val="24"/>
          <w:rtl w:val="0"/>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Del="00000000" w:rsidR="00000000" w:rsidRPr="00000000">
        <w:rPr>
          <w:rFonts w:ascii="Palatino Linotype" w:cs="Palatino Linotype" w:eastAsia="Palatino Linotype" w:hAnsi="Palatino Linotype"/>
          <w:b w:val="1"/>
          <w:sz w:val="24"/>
          <w:szCs w:val="24"/>
          <w:rtl w:val="0"/>
        </w:rPr>
        <w:t xml:space="preserve">SOBRESEIMIENTO, NO PERMITE ENTRAR AL ESTUDIO DE LAS CUESTIONES DE FONDO</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b w:val="1"/>
          <w:sz w:val="24"/>
          <w:szCs w:val="24"/>
          <w:rtl w:val="0"/>
        </w:rPr>
        <w:t xml:space="preserve">.</w:t>
      </w:r>
    </w:p>
    <w:p w:rsidR="00000000" w:rsidDel="00000000" w:rsidP="00000000" w:rsidRDefault="00000000" w:rsidRPr="00000000" w14:paraId="000000E4">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E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E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7">
      <w:pPr>
        <w:spacing w:after="0" w:line="240"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“DESECHAMIENTO O SOBRESEIMIENTO EN EL JUICIO DE AMPARO. NO IMPLICA DENEGACIÓN DE JUSTICIA NI GENERA INSEGURIDAD JURÍDICA” </w:t>
      </w:r>
    </w:p>
    <w:p w:rsidR="00000000" w:rsidDel="00000000" w:rsidP="00000000" w:rsidRDefault="00000000" w:rsidRPr="00000000" w14:paraId="000000E8">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0E9">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sz w:val="24"/>
          <w:szCs w:val="24"/>
          <w:rtl w:val="0"/>
        </w:rPr>
        <w:tab/>
      </w:r>
      <w:r w:rsidDel="00000000" w:rsidR="00000000" w:rsidRPr="00000000">
        <w:rPr>
          <w:rtl w:val="0"/>
        </w:rPr>
      </w:r>
    </w:p>
    <w:p w:rsidR="00000000" w:rsidDel="00000000" w:rsidP="00000000" w:rsidRDefault="00000000" w:rsidRPr="00000000" w14:paraId="000000E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Bajo ese tenor con fundamento en la segunda hipótesis de la fracción I del artículo 186, de la Ley de Transparencia y Acceso a la Información Pública del Estado de México y Municipios, se </w:t>
      </w:r>
      <w:r w:rsidDel="00000000" w:rsidR="00000000" w:rsidRPr="00000000">
        <w:rPr>
          <w:rFonts w:ascii="Palatino Linotype" w:cs="Palatino Linotype" w:eastAsia="Palatino Linotype" w:hAnsi="Palatino Linotype"/>
          <w:i w:val="1"/>
          <w:sz w:val="24"/>
          <w:szCs w:val="24"/>
          <w:rtl w:val="0"/>
        </w:rPr>
        <w:t xml:space="preserve">Sobresee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el recurso de revisión </w:t>
      </w:r>
      <w:r w:rsidDel="00000000" w:rsidR="00000000" w:rsidRPr="00000000">
        <w:rPr>
          <w:rFonts w:ascii="Palatino Linotype" w:cs="Palatino Linotype" w:eastAsia="Palatino Linotype" w:hAnsi="Palatino Linotype"/>
          <w:b w:val="1"/>
          <w:sz w:val="24"/>
          <w:szCs w:val="24"/>
          <w:rtl w:val="0"/>
        </w:rPr>
        <w:t xml:space="preserve">07829/INFOEM/IP/RR/2023</w:t>
      </w:r>
      <w:r w:rsidDel="00000000" w:rsidR="00000000" w:rsidRPr="00000000">
        <w:rPr>
          <w:rFonts w:ascii="Palatino Linotype" w:cs="Palatino Linotype" w:eastAsia="Palatino Linotype" w:hAnsi="Palatino Linotype"/>
          <w:sz w:val="24"/>
          <w:szCs w:val="24"/>
          <w:rtl w:val="0"/>
        </w:rPr>
        <w:t xml:space="preserve">, que ha sido materia del presente fallo.</w:t>
      </w:r>
    </w:p>
    <w:p w:rsidR="00000000" w:rsidDel="00000000" w:rsidP="00000000" w:rsidRDefault="00000000" w:rsidRPr="00000000" w14:paraId="000000E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 de la Ley de Transparencia y Acceso a la Información Pública del Estado de México y Municipios, este Pleno:</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sz w:val="24"/>
          <w:szCs w:val="24"/>
        </w:rPr>
      </w:pPr>
      <w:bookmarkStart w:colFirst="0" w:colLast="0" w:name="_heading=h.lnxbz9" w:id="4"/>
      <w:bookmarkEnd w:id="4"/>
      <w:r w:rsidDel="00000000" w:rsidR="00000000" w:rsidRPr="00000000">
        <w:rPr>
          <w:rFonts w:ascii="Palatino Linotype" w:cs="Palatino Linotype" w:eastAsia="Palatino Linotype" w:hAnsi="Palatino Linotype"/>
          <w:b w:val="1"/>
          <w:sz w:val="24"/>
          <w:szCs w:val="24"/>
          <w:rtl w:val="0"/>
        </w:rPr>
        <w:t xml:space="preserve">III. R E S U E L V E</w:t>
      </w:r>
    </w:p>
    <w:p w:rsidR="00000000" w:rsidDel="00000000" w:rsidP="00000000" w:rsidRDefault="00000000" w:rsidRPr="00000000" w14:paraId="000000EF">
      <w:pPr>
        <w:tabs>
          <w:tab w:val="left" w:leader="none" w:pos="7936"/>
        </w:tabs>
        <w:spacing w:after="0" w:line="360" w:lineRule="auto"/>
        <w:jc w:val="both"/>
        <w:rPr>
          <w:rFonts w:ascii="Palatino Linotype" w:cs="Palatino Linotype" w:eastAsia="Palatino Linotype" w:hAnsi="Palatino Linotype"/>
          <w:sz w:val="24"/>
          <w:szCs w:val="24"/>
        </w:rPr>
      </w:pPr>
      <w:bookmarkStart w:colFirst="0" w:colLast="0" w:name="_heading=h.3rdcrjn" w:id="5"/>
      <w:bookmarkEnd w:id="5"/>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Se</w:t>
      </w:r>
      <w:r w:rsidDel="00000000" w:rsidR="00000000" w:rsidRPr="00000000">
        <w:rPr>
          <w:rFonts w:ascii="Palatino Linotype" w:cs="Palatino Linotype" w:eastAsia="Palatino Linotype" w:hAnsi="Palatino Linotype"/>
          <w:b w:val="1"/>
          <w:sz w:val="24"/>
          <w:szCs w:val="24"/>
          <w:rtl w:val="0"/>
        </w:rPr>
        <w:t xml:space="preserve"> Sobresee </w:t>
      </w:r>
      <w:r w:rsidDel="00000000" w:rsidR="00000000" w:rsidRPr="00000000">
        <w:rPr>
          <w:rFonts w:ascii="Palatino Linotype" w:cs="Palatino Linotype" w:eastAsia="Palatino Linotype" w:hAnsi="Palatino Linotype"/>
          <w:sz w:val="24"/>
          <w:szCs w:val="24"/>
          <w:rtl w:val="0"/>
        </w:rPr>
        <w:t xml:space="preserve">el recurso de revisión número </w:t>
      </w:r>
      <w:r w:rsidDel="00000000" w:rsidR="00000000" w:rsidRPr="00000000">
        <w:rPr>
          <w:rFonts w:ascii="Palatino Linotype" w:cs="Palatino Linotype" w:eastAsia="Palatino Linotype" w:hAnsi="Palatino Linotype"/>
          <w:b w:val="1"/>
          <w:sz w:val="24"/>
          <w:szCs w:val="24"/>
          <w:rtl w:val="0"/>
        </w:rPr>
        <w:t xml:space="preserve">07829/INFOEM/IP/RR/2023, </w:t>
      </w:r>
      <w:r w:rsidDel="00000000" w:rsidR="00000000" w:rsidRPr="00000000">
        <w:rPr>
          <w:rFonts w:ascii="Palatino Linotype" w:cs="Palatino Linotype" w:eastAsia="Palatino Linotype" w:hAnsi="Palatino Linotype"/>
          <w:sz w:val="24"/>
          <w:szCs w:val="24"/>
          <w:rtl w:val="0"/>
        </w:rPr>
        <w:t xml:space="preserve">por improcedente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por actualizarse la fracción IV del artículo 192, en relación con la fracción VII del artículo 191, ambos, de la Ley de Transparencia y Acceso a la Información Pública del Estado de México y Municipios, en términos del </w:t>
      </w:r>
      <w:r w:rsidDel="00000000" w:rsidR="00000000" w:rsidRPr="00000000">
        <w:rPr>
          <w:rFonts w:ascii="Palatino Linotype" w:cs="Palatino Linotype" w:eastAsia="Palatino Linotype" w:hAnsi="Palatino Linotype"/>
          <w:b w:val="1"/>
          <w:sz w:val="24"/>
          <w:szCs w:val="24"/>
          <w:rtl w:val="0"/>
        </w:rPr>
        <w:t xml:space="preserve">Considerando Tercero</w:t>
      </w:r>
      <w:r w:rsidDel="00000000" w:rsidR="00000000" w:rsidRPr="00000000">
        <w:rPr>
          <w:rFonts w:ascii="Palatino Linotype" w:cs="Palatino Linotype" w:eastAsia="Palatino Linotype" w:hAnsi="Palatino Linotype"/>
          <w:sz w:val="24"/>
          <w:szCs w:val="24"/>
          <w:rtl w:val="0"/>
        </w:rPr>
        <w:t xml:space="preserve"> de la presente resolución.</w:t>
      </w:r>
    </w:p>
    <w:p w:rsidR="00000000" w:rsidDel="00000000" w:rsidP="00000000" w:rsidRDefault="00000000" w:rsidRPr="00000000" w14:paraId="000000F0">
      <w:pPr>
        <w:tabs>
          <w:tab w:val="left" w:leader="none" w:pos="7936"/>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Notifíquese, </w:t>
      </w:r>
      <w:r w:rsidDel="00000000" w:rsidR="00000000" w:rsidRPr="00000000">
        <w:rPr>
          <w:rFonts w:ascii="Palatino Linotype" w:cs="Palatino Linotype" w:eastAsia="Palatino Linotype" w:hAnsi="Palatino Linotype"/>
          <w:sz w:val="24"/>
          <w:szCs w:val="24"/>
          <w:rtl w:val="0"/>
        </w:rPr>
        <w:t xml:space="preserve">vía</w:t>
      </w:r>
      <w:r w:rsidDel="00000000" w:rsidR="00000000" w:rsidRPr="00000000">
        <w:rPr>
          <w:rFonts w:ascii="Palatino Linotype" w:cs="Palatino Linotype" w:eastAsia="Palatino Linotype" w:hAnsi="Palatino Linotype"/>
          <w:b w:val="1"/>
          <w:sz w:val="24"/>
          <w:szCs w:val="24"/>
          <w:rtl w:val="0"/>
        </w:rPr>
        <w:t xml:space="preserve"> SAIMEX</w:t>
      </w:r>
      <w:r w:rsidDel="00000000" w:rsidR="00000000" w:rsidRPr="00000000">
        <w:rPr>
          <w:rFonts w:ascii="Palatino Linotype" w:cs="Palatino Linotype" w:eastAsia="Palatino Linotype" w:hAnsi="Palatino Linotype"/>
          <w:b w:val="1"/>
          <w:i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al Titular de la Unidad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la presente resolución, para su conocimiento.</w:t>
      </w:r>
    </w:p>
    <w:p w:rsidR="00000000" w:rsidDel="00000000" w:rsidP="00000000" w:rsidRDefault="00000000" w:rsidRPr="00000000" w14:paraId="000000F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3">
      <w:pPr>
        <w:spacing w:after="0" w:line="360" w:lineRule="auto"/>
        <w:jc w:val="both"/>
        <w:rPr>
          <w:rFonts w:ascii="Palatino Linotype" w:cs="Palatino Linotype" w:eastAsia="Palatino Linotype" w:hAnsi="Palatino Linotype"/>
          <w:sz w:val="24"/>
          <w:szCs w:val="24"/>
        </w:rPr>
      </w:pPr>
      <w:bookmarkStart w:colFirst="0" w:colLast="0" w:name="_heading=h.26in1rg" w:id="6"/>
      <w:bookmarkEnd w:id="6"/>
      <w:r w:rsidDel="00000000" w:rsidR="00000000" w:rsidRPr="00000000">
        <w:rPr>
          <w:rFonts w:ascii="Palatino Linotype" w:cs="Palatino Linotype" w:eastAsia="Palatino Linotype" w:hAnsi="Palatino Linotype"/>
          <w:b w:val="1"/>
          <w:sz w:val="24"/>
          <w:szCs w:val="24"/>
          <w:rtl w:val="0"/>
        </w:rPr>
        <w:t xml:space="preserve">Tercero. Notifíquese, </w:t>
      </w:r>
      <w:r w:rsidDel="00000000" w:rsidR="00000000" w:rsidRPr="00000000">
        <w:rPr>
          <w:rFonts w:ascii="Palatino Linotype" w:cs="Palatino Linotype" w:eastAsia="Palatino Linotype" w:hAnsi="Palatino Linotype"/>
          <w:sz w:val="24"/>
          <w:szCs w:val="24"/>
          <w:rtl w:val="0"/>
        </w:rPr>
        <w:t xml:space="preserve">vía</w:t>
      </w:r>
      <w:r w:rsidDel="00000000" w:rsidR="00000000" w:rsidRPr="00000000">
        <w:rPr>
          <w:rFonts w:ascii="Palatino Linotype" w:cs="Palatino Linotype" w:eastAsia="Palatino Linotype" w:hAnsi="Palatino Linotype"/>
          <w:b w:val="1"/>
          <w:sz w:val="24"/>
          <w:szCs w:val="24"/>
          <w:rtl w:val="0"/>
        </w:rPr>
        <w:t xml:space="preserve"> SAIMEX</w:t>
      </w:r>
      <w:r w:rsidDel="00000000" w:rsidR="00000000" w:rsidRPr="00000000">
        <w:rPr>
          <w:rFonts w:ascii="Palatino Linotype" w:cs="Palatino Linotype" w:eastAsia="Palatino Linotype" w:hAnsi="Palatino Linotype"/>
          <w:sz w:val="24"/>
          <w:szCs w:val="24"/>
          <w:rtl w:val="0"/>
        </w:rPr>
        <w:t xml:space="preserve">, a</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0F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TRES DE ABRIL DE DOS MIL VEINTICUATRO, ANTE EL SECRETARIO TÉCNICO DEL PLENO ALEXIS TAPIA RAMÍREZ.</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2616200</wp:posOffset>
                </wp:positionV>
                <wp:extent cx="4635500" cy="3340100"/>
                <wp:effectExtent b="0" l="0" r="0" t="0"/>
                <wp:wrapNone/>
                <wp:docPr id="10" name=""/>
                <a:graphic>
                  <a:graphicData uri="http://schemas.microsoft.com/office/word/2010/wordprocessingShape">
                    <wps:wsp>
                      <wps:cNvCnPr/>
                      <wps:spPr>
                        <a:xfrm>
                          <a:off x="3040950" y="2122650"/>
                          <a:ext cx="4610100" cy="331470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2616200</wp:posOffset>
                </wp:positionV>
                <wp:extent cx="4635500" cy="3340100"/>
                <wp:effectExtent b="0" l="0" r="0" t="0"/>
                <wp:wrapNone/>
                <wp:docPr id="10"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4635500" cy="3340100"/>
                        </a:xfrm>
                        <a:prstGeom prst="rect"/>
                        <a:ln/>
                      </pic:spPr>
                    </pic:pic>
                  </a:graphicData>
                </a:graphic>
              </wp:anchor>
            </w:drawing>
          </mc:Fallback>
        </mc:AlternateContent>
      </w:r>
    </w:p>
    <w:p w:rsidR="00000000" w:rsidDel="00000000" w:rsidP="00000000" w:rsidRDefault="00000000" w:rsidRPr="00000000" w14:paraId="000000F6">
      <w:pPr>
        <w:spacing w:after="0" w:line="360" w:lineRule="auto"/>
        <w:jc w:val="both"/>
        <w:rPr>
          <w:rFonts w:ascii="Palatino Linotype" w:cs="Palatino Linotype" w:eastAsia="Palatino Linotype" w:hAnsi="Palatino Linotype"/>
          <w:sz w:val="24"/>
          <w:szCs w:val="24"/>
        </w:rPr>
      </w:pPr>
      <w:bookmarkStart w:colFirst="0" w:colLast="0" w:name="_heading=h.1t3h5sf" w:id="7"/>
      <w:bookmarkEnd w:id="7"/>
      <w:r w:rsidDel="00000000" w:rsidR="00000000" w:rsidRPr="00000000">
        <w:rPr>
          <w:rtl w:val="0"/>
        </w:rPr>
      </w:r>
    </w:p>
    <w:p w:rsidR="00000000" w:rsidDel="00000000" w:rsidP="00000000" w:rsidRDefault="00000000" w:rsidRPr="00000000" w14:paraId="000000F7">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8">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9">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A">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B">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C">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D">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E">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F">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0">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1">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2">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3">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4">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5">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6">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7">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8">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9">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A">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B">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footnote>
  <w:footnote w:id="1">
    <w:p w:rsidR="00000000" w:rsidDel="00000000" w:rsidP="00000000" w:rsidRDefault="00000000" w:rsidRPr="00000000" w14:paraId="0000010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Cuerpo de tesis:</w:t>
      </w:r>
      <w:r w:rsidDel="00000000" w:rsidR="00000000" w:rsidRPr="00000000">
        <w:rPr>
          <w:rFonts w:ascii="Palatino Linotype" w:cs="Palatino Linotype" w:eastAsia="Palatino Linotype" w:hAnsi="Palatino Linotype"/>
          <w:color w:val="000000"/>
          <w:sz w:val="16"/>
          <w:szCs w:val="16"/>
          <w:rtl w:val="0"/>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000000" w:rsidDel="00000000" w:rsidP="00000000" w:rsidRDefault="00000000" w:rsidRPr="00000000" w14:paraId="0000010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Localización</w:t>
      </w:r>
      <w:r w:rsidDel="00000000" w:rsidR="00000000" w:rsidRPr="00000000">
        <w:rPr>
          <w:rFonts w:ascii="Palatino Linotype" w:cs="Palatino Linotype" w:eastAsia="Palatino Linotype" w:hAnsi="Palatino Linotype"/>
          <w:color w:val="000000"/>
          <w:sz w:val="16"/>
          <w:szCs w:val="16"/>
          <w:rtl w:val="0"/>
        </w:rPr>
        <w:t xml:space="preserve">: 2</w:t>
      </w:r>
      <w:r w:rsidDel="00000000" w:rsidR="00000000" w:rsidRPr="00000000">
        <w:rPr>
          <w:rFonts w:ascii="Palatino Linotype" w:cs="Palatino Linotype" w:eastAsia="Palatino Linotype" w:hAnsi="Palatino Linotype"/>
          <w:color w:val="000000"/>
          <w:sz w:val="16"/>
          <w:szCs w:val="16"/>
          <w:highlight w:val="white"/>
          <w:rtl w:val="0"/>
        </w:rPr>
        <w:t xml:space="preserve">13609. II.2o.183 K. Tribunales Colegiados de Circuito. Octava Época. Semanario Judicial de la Federación. Tomo XIII, Febrero de 1994, Pág. 420</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-713099</wp:posOffset>
          </wp:positionH>
          <wp:positionV relativeFrom="paragraph">
            <wp:posOffset>-154934</wp:posOffset>
          </wp:positionV>
          <wp:extent cx="7809876" cy="10165823"/>
          <wp:effectExtent b="0" l="0" r="0" t="0"/>
          <wp:wrapNone/>
          <wp:docPr id="1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07829/INFOEM/IP/RR/2023</w:t>
          </w:r>
        </w:p>
      </w:tc>
    </w:tr>
    <w:tr>
      <w:trPr>
        <w:cantSplit w:val="0"/>
        <w:tblHeader w:val="0"/>
      </w:trPr>
      <w:tc>
        <w:tcPr>
          <w:vAlign w:val="center"/>
        </w:tcPr>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4419"/>
              <w:tab w:val="right" w:leader="none" w:pos="8838"/>
            </w:tabs>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 XXXX XXXXXXX</w:t>
          </w:r>
        </w:p>
      </w:tc>
    </w:tr>
    <w:tr>
      <w:trPr>
        <w:cantSplit w:val="0"/>
        <w:trHeight w:val="228" w:hRule="atLeast"/>
        <w:tblHeader w:val="0"/>
      </w:trPr>
      <w:tc>
        <w:tcPr>
          <w:vAlign w:val="center"/>
        </w:tcPr>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419"/>
              <w:tab w:val="right" w:leader="none" w:pos="8838"/>
            </w:tabs>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Zumpango</w:t>
          </w:r>
        </w:p>
      </w:tc>
    </w:tr>
    <w:tr>
      <w:trPr>
        <w:cantSplit w:val="0"/>
        <w:tblHeader w:val="0"/>
      </w:trPr>
      <w:tc>
        <w:tcPr>
          <w:vAlign w:val="center"/>
        </w:tcPr>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-746119</wp:posOffset>
          </wp:positionH>
          <wp:positionV relativeFrom="paragraph">
            <wp:posOffset>-448304</wp:posOffset>
          </wp:positionV>
          <wp:extent cx="7809876" cy="10165823"/>
          <wp:effectExtent b="0" l="0" r="0" t="0"/>
          <wp:wrapNone/>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4"/>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07829/INFOEM/IP/RR/2023</w:t>
          </w:r>
        </w:p>
      </w:tc>
    </w:tr>
    <w:tr>
      <w:trPr>
        <w:cantSplit w:val="0"/>
        <w:trHeight w:val="228" w:hRule="atLeast"/>
        <w:tblHeader w:val="0"/>
      </w:trPr>
      <w:tc>
        <w:tcPr>
          <w:vAlign w:val="center"/>
        </w:tcPr>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Zumpango</w:t>
          </w:r>
        </w:p>
      </w:tc>
    </w:tr>
    <w:tr>
      <w:trPr>
        <w:cantSplit w:val="0"/>
        <w:tblHeader w:val="0"/>
      </w:trPr>
      <w:tc>
        <w:tcPr>
          <w:vAlign w:val="center"/>
        </w:tcPr>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36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82028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a0" w:customStyle="1">
    <w:basedOn w:val="TableNormal"/>
    <w:pPr>
      <w:spacing w:after="0" w:line="240" w:lineRule="auto"/>
    </w:pPr>
    <w:tblPr>
      <w:tblStyleRowBandSize w:val="1"/>
      <w:tblStyleColBandSize w:val="1"/>
      <w:tblCellMar>
        <w:top w:w="15.0" w:type="dxa"/>
        <w:left w:w="115.0" w:type="dxa"/>
        <w:bottom w:w="15.0" w:type="dxa"/>
        <w:right w:w="115.0" w:type="dxa"/>
      </w:tblCellMar>
    </w:tblPr>
  </w:style>
  <w:style w:type="paragraph" w:styleId="Encabezado">
    <w:name w:val="header"/>
    <w:basedOn w:val="Normal"/>
    <w:link w:val="EncabezadoCar"/>
    <w:uiPriority w:val="99"/>
    <w:unhideWhenUsed w:val="1"/>
    <w:rsid w:val="007F178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F1783"/>
  </w:style>
  <w:style w:type="paragraph" w:styleId="Piedepgina">
    <w:name w:val="footer"/>
    <w:basedOn w:val="Normal"/>
    <w:link w:val="PiedepginaCar"/>
    <w:uiPriority w:val="99"/>
    <w:unhideWhenUsed w:val="1"/>
    <w:rsid w:val="007F178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F1783"/>
  </w:style>
  <w:style w:type="paragraph" w:styleId="Prrafodelista">
    <w:name w:val="List Paragraph"/>
    <w:basedOn w:val="Normal"/>
    <w:uiPriority w:val="34"/>
    <w:qFormat w:val="1"/>
    <w:rsid w:val="002B3F3D"/>
    <w:pPr>
      <w:ind w:left="720"/>
      <w:contextualSpacing w:val="1"/>
    </w:pPr>
  </w:style>
  <w:style w:type="character" w:styleId="Hipervnculo">
    <w:name w:val="Hyperlink"/>
    <w:basedOn w:val="Fuentedeprrafopredeter"/>
    <w:uiPriority w:val="99"/>
    <w:unhideWhenUsed w:val="1"/>
    <w:rsid w:val="00591630"/>
    <w:rPr>
      <w:color w:val="0000ff" w:themeColor="hyperlink"/>
      <w:u w:val="single"/>
    </w:rPr>
  </w:style>
  <w:style w:type="character" w:styleId="Hipervnculovisitado">
    <w:name w:val="FollowedHyperlink"/>
    <w:basedOn w:val="Fuentedeprrafopredeter"/>
    <w:uiPriority w:val="99"/>
    <w:semiHidden w:val="1"/>
    <w:unhideWhenUsed w:val="1"/>
    <w:rsid w:val="0094500F"/>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c5vHnPVIn1lDOccEQmpwxw2/A==">CgMxLjAyCGguZ2pkZ3hzMgloLjJldDkycDAyCWguMzBqMHpsbDIJaC4zem55c2g3MghoLmxueGJ6OTIJaC4zcmRjcmpuMgloLjI2aW4xcmcyCWguMXQzaDVzZjgAciExY1JpZkNLQU9GSzNORV9GbnozeEFNWnJkRkhZWkVoTXc=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2024-04-29T18:34:00Z</dcterms:created>
  <dc:creator>USUARIO</dc:creator>
</cp:coreProperties>
</file>