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A5242" w14:textId="2BD1758B" w:rsidR="002A62BF" w:rsidRPr="00A36329" w:rsidRDefault="00351F3E" w:rsidP="00BF0955">
      <w:pPr>
        <w:spacing w:line="360" w:lineRule="auto"/>
        <w:ind w:right="-28"/>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0E42EC" w:rsidRPr="00A36329">
        <w:rPr>
          <w:rFonts w:ascii="Palatino Linotype" w:eastAsia="Palatino Linotype" w:hAnsi="Palatino Linotype" w:cs="Palatino Linotype"/>
        </w:rPr>
        <w:t>veinti</w:t>
      </w:r>
      <w:r w:rsidR="00B26965" w:rsidRPr="00A36329">
        <w:rPr>
          <w:rFonts w:ascii="Palatino Linotype" w:eastAsia="Palatino Linotype" w:hAnsi="Palatino Linotype" w:cs="Palatino Linotype"/>
        </w:rPr>
        <w:t>siete</w:t>
      </w:r>
      <w:r w:rsidR="000E42EC" w:rsidRPr="00A36329">
        <w:rPr>
          <w:rFonts w:ascii="Palatino Linotype" w:eastAsia="Palatino Linotype" w:hAnsi="Palatino Linotype" w:cs="Palatino Linotype"/>
        </w:rPr>
        <w:t xml:space="preserve"> </w:t>
      </w:r>
      <w:r w:rsidRPr="00A36329">
        <w:rPr>
          <w:rFonts w:ascii="Palatino Linotype" w:eastAsia="Palatino Linotype" w:hAnsi="Palatino Linotype" w:cs="Palatino Linotype"/>
        </w:rPr>
        <w:t>(</w:t>
      </w:r>
      <w:r w:rsidR="000E42EC" w:rsidRPr="00A36329">
        <w:rPr>
          <w:rFonts w:ascii="Palatino Linotype" w:eastAsia="Palatino Linotype" w:hAnsi="Palatino Linotype" w:cs="Palatino Linotype"/>
        </w:rPr>
        <w:t>2</w:t>
      </w:r>
      <w:r w:rsidR="00B26965" w:rsidRPr="00A36329">
        <w:rPr>
          <w:rFonts w:ascii="Palatino Linotype" w:eastAsia="Palatino Linotype" w:hAnsi="Palatino Linotype" w:cs="Palatino Linotype"/>
        </w:rPr>
        <w:t>7</w:t>
      </w:r>
      <w:r w:rsidRPr="00A36329">
        <w:rPr>
          <w:rFonts w:ascii="Palatino Linotype" w:eastAsia="Palatino Linotype" w:hAnsi="Palatino Linotype" w:cs="Palatino Linotype"/>
        </w:rPr>
        <w:t>) de noviembre de dos mil veinticuatro.</w:t>
      </w:r>
    </w:p>
    <w:p w14:paraId="08D28772"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0FA2CF3F" w14:textId="38C0B6B6" w:rsidR="002A62BF" w:rsidRPr="00A36329" w:rsidRDefault="00351F3E" w:rsidP="00BF0955">
      <w:pPr>
        <w:spacing w:line="360" w:lineRule="auto"/>
        <w:ind w:right="-28"/>
        <w:jc w:val="both"/>
        <w:rPr>
          <w:rFonts w:ascii="Palatino Linotype" w:eastAsia="Palatino Linotype" w:hAnsi="Palatino Linotype" w:cs="Palatino Linotype"/>
          <w:b/>
        </w:rPr>
      </w:pPr>
      <w:r w:rsidRPr="00A36329">
        <w:rPr>
          <w:rFonts w:ascii="Palatino Linotype" w:eastAsia="Palatino Linotype" w:hAnsi="Palatino Linotype" w:cs="Palatino Linotype"/>
          <w:b/>
        </w:rPr>
        <w:t>VISTO</w:t>
      </w:r>
      <w:r w:rsidRPr="00A36329">
        <w:rPr>
          <w:rFonts w:ascii="Palatino Linotype" w:eastAsia="Palatino Linotype" w:hAnsi="Palatino Linotype" w:cs="Palatino Linotype"/>
        </w:rPr>
        <w:t xml:space="preserve"> el expediente electrónico formado con motivo del recurso de revisión </w:t>
      </w:r>
      <w:r w:rsidRPr="00A36329">
        <w:rPr>
          <w:rFonts w:ascii="Palatino Linotype" w:eastAsia="Palatino Linotype" w:hAnsi="Palatino Linotype" w:cs="Palatino Linotype"/>
          <w:b/>
        </w:rPr>
        <w:t>0</w:t>
      </w:r>
      <w:r w:rsidR="000E42EC" w:rsidRPr="00A36329">
        <w:rPr>
          <w:rFonts w:ascii="Palatino Linotype" w:eastAsia="Palatino Linotype" w:hAnsi="Palatino Linotype" w:cs="Palatino Linotype"/>
          <w:b/>
        </w:rPr>
        <w:t>3</w:t>
      </w:r>
      <w:r w:rsidR="00B26965" w:rsidRPr="00A36329">
        <w:rPr>
          <w:rFonts w:ascii="Palatino Linotype" w:eastAsia="Palatino Linotype" w:hAnsi="Palatino Linotype" w:cs="Palatino Linotype"/>
          <w:b/>
        </w:rPr>
        <w:t>563</w:t>
      </w:r>
      <w:r w:rsidRPr="00A36329">
        <w:rPr>
          <w:rFonts w:ascii="Palatino Linotype" w:eastAsia="Palatino Linotype" w:hAnsi="Palatino Linotype" w:cs="Palatino Linotype"/>
          <w:b/>
        </w:rPr>
        <w:t xml:space="preserve">/INFOEM/IP/RR/2024, </w:t>
      </w:r>
      <w:r w:rsidRPr="00A36329">
        <w:rPr>
          <w:rFonts w:ascii="Palatino Linotype" w:eastAsia="Palatino Linotype" w:hAnsi="Palatino Linotype" w:cs="Palatino Linotype"/>
        </w:rPr>
        <w:t xml:space="preserve">promovido por </w:t>
      </w:r>
      <w:r w:rsidR="002B62E3">
        <w:rPr>
          <w:rFonts w:ascii="Palatino Linotype" w:eastAsia="Palatino Linotype" w:hAnsi="Palatino Linotype" w:cs="Palatino Linotype"/>
          <w:sz w:val="22"/>
          <w:szCs w:val="22"/>
        </w:rPr>
        <w:t>XXXXXXXXXXXX</w:t>
      </w:r>
      <w:bookmarkStart w:id="0" w:name="_GoBack"/>
      <w:bookmarkEnd w:id="0"/>
      <w:r w:rsidRPr="00A36329">
        <w:rPr>
          <w:rFonts w:ascii="Palatino Linotype" w:eastAsia="Palatino Linotype" w:hAnsi="Palatino Linotype" w:cs="Palatino Linotype"/>
        </w:rPr>
        <w:t xml:space="preserve">, en lo sucesivo se denominará como </w:t>
      </w:r>
      <w:r w:rsidRPr="00A36329">
        <w:rPr>
          <w:rFonts w:ascii="Palatino Linotype" w:eastAsia="Palatino Linotype" w:hAnsi="Palatino Linotype" w:cs="Palatino Linotype"/>
          <w:b/>
        </w:rPr>
        <w:t>RECURRENTE</w:t>
      </w:r>
      <w:r w:rsidRPr="00A36329">
        <w:rPr>
          <w:rFonts w:ascii="Palatino Linotype" w:eastAsia="Palatino Linotype" w:hAnsi="Palatino Linotype" w:cs="Palatino Linotype"/>
        </w:rPr>
        <w:t>, en contra de la respuesta de</w:t>
      </w:r>
      <w:r w:rsidRPr="00A36329">
        <w:rPr>
          <w:rFonts w:ascii="Palatino Linotype" w:eastAsia="Palatino Linotype" w:hAnsi="Palatino Linotype" w:cs="Palatino Linotype"/>
          <w:b/>
          <w:color w:val="000000"/>
        </w:rPr>
        <w:t xml:space="preserve"> </w:t>
      </w:r>
      <w:r w:rsidRPr="00A36329">
        <w:rPr>
          <w:rFonts w:ascii="Palatino Linotype" w:eastAsia="Palatino Linotype" w:hAnsi="Palatino Linotype" w:cs="Palatino Linotype"/>
        </w:rPr>
        <w:t>la</w:t>
      </w:r>
      <w:r w:rsidRPr="00A36329">
        <w:rPr>
          <w:rFonts w:ascii="Palatino Linotype" w:eastAsia="Palatino Linotype" w:hAnsi="Palatino Linotype" w:cs="Palatino Linotype"/>
          <w:b/>
        </w:rPr>
        <w:t xml:space="preserve"> </w:t>
      </w:r>
      <w:r w:rsidR="00B26965" w:rsidRPr="00A36329">
        <w:rPr>
          <w:rFonts w:ascii="Palatino Linotype" w:eastAsia="Palatino Linotype" w:hAnsi="Palatino Linotype" w:cs="Palatino Linotype"/>
          <w:b/>
          <w:color w:val="000000"/>
        </w:rPr>
        <w:t>Secretaría de Movilidad</w:t>
      </w:r>
      <w:r w:rsidRPr="00A36329">
        <w:rPr>
          <w:rFonts w:ascii="Palatino Linotype" w:eastAsia="Palatino Linotype" w:hAnsi="Palatino Linotype" w:cs="Palatino Linotype"/>
          <w:b/>
        </w:rPr>
        <w:t xml:space="preserve">, </w:t>
      </w:r>
      <w:r w:rsidRPr="00A36329">
        <w:rPr>
          <w:rFonts w:ascii="Palatino Linotype" w:eastAsia="Palatino Linotype" w:hAnsi="Palatino Linotype" w:cs="Palatino Linotype"/>
        </w:rPr>
        <w:t>en adelante el</w:t>
      </w:r>
      <w:r w:rsidRPr="00A36329">
        <w:rPr>
          <w:rFonts w:ascii="Palatino Linotype" w:eastAsia="Palatino Linotype" w:hAnsi="Palatino Linotype" w:cs="Palatino Linotype"/>
          <w:b/>
        </w:rPr>
        <w:t xml:space="preserve"> SUJETO OBLIGADO</w:t>
      </w:r>
      <w:r w:rsidRPr="00A36329">
        <w:rPr>
          <w:rFonts w:ascii="Palatino Linotype" w:eastAsia="Palatino Linotype" w:hAnsi="Palatino Linotype" w:cs="Palatino Linotype"/>
        </w:rPr>
        <w:t>, por lo que se procede a dictar la presente resolución, con base en los siguientes:</w:t>
      </w:r>
      <w:r w:rsidR="00821111">
        <w:rPr>
          <w:rFonts w:ascii="Palatino Linotype" w:eastAsia="Palatino Linotype" w:hAnsi="Palatino Linotype" w:cs="Palatino Linotype"/>
        </w:rPr>
        <w:t xml:space="preserve"> </w:t>
      </w:r>
    </w:p>
    <w:p w14:paraId="73F56B84"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292A99AC" w14:textId="77777777" w:rsidR="002A62BF" w:rsidRPr="00A36329" w:rsidRDefault="00351F3E" w:rsidP="00BF0955">
      <w:pPr>
        <w:keepNext/>
        <w:keepLines/>
        <w:spacing w:line="360" w:lineRule="auto"/>
        <w:ind w:right="-28"/>
        <w:jc w:val="center"/>
        <w:rPr>
          <w:rFonts w:ascii="Palatino Linotype" w:eastAsia="Palatino Linotype" w:hAnsi="Palatino Linotype" w:cs="Palatino Linotype"/>
          <w:b/>
        </w:rPr>
      </w:pPr>
      <w:bookmarkStart w:id="1" w:name="_heading=h.gjdgxs" w:colFirst="0" w:colLast="0"/>
      <w:bookmarkEnd w:id="1"/>
      <w:r w:rsidRPr="00A36329">
        <w:rPr>
          <w:rFonts w:ascii="Palatino Linotype" w:eastAsia="Palatino Linotype" w:hAnsi="Palatino Linotype" w:cs="Palatino Linotype"/>
          <w:b/>
        </w:rPr>
        <w:t>A N T E C E D E N T E S</w:t>
      </w:r>
    </w:p>
    <w:p w14:paraId="6256128E" w14:textId="77777777" w:rsidR="002A62BF" w:rsidRPr="00A36329" w:rsidRDefault="002A62BF" w:rsidP="00BF0955">
      <w:pPr>
        <w:spacing w:line="360" w:lineRule="auto"/>
        <w:ind w:right="-28"/>
        <w:rPr>
          <w:rFonts w:ascii="Palatino Linotype" w:eastAsia="Palatino Linotype" w:hAnsi="Palatino Linotype" w:cs="Palatino Linotype"/>
        </w:rPr>
      </w:pPr>
    </w:p>
    <w:p w14:paraId="1B12BED5" w14:textId="261DF972"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El </w:t>
      </w:r>
      <w:r w:rsidR="00B26965" w:rsidRPr="00A36329">
        <w:rPr>
          <w:rFonts w:ascii="Palatino Linotype" w:eastAsia="Palatino Linotype" w:hAnsi="Palatino Linotype" w:cs="Palatino Linotype"/>
        </w:rPr>
        <w:t>cuatro de junio</w:t>
      </w:r>
      <w:r w:rsidR="00BF0955" w:rsidRPr="00A36329">
        <w:rPr>
          <w:rFonts w:ascii="Palatino Linotype" w:eastAsia="Palatino Linotype" w:hAnsi="Palatino Linotype" w:cs="Palatino Linotype"/>
        </w:rPr>
        <w:t xml:space="preserve"> de dos mil veinticuatro</w:t>
      </w:r>
      <w:r w:rsidRPr="00A36329">
        <w:rPr>
          <w:rFonts w:ascii="Palatino Linotype" w:eastAsia="Palatino Linotype" w:hAnsi="Palatino Linotype" w:cs="Palatino Linotype"/>
        </w:rPr>
        <w:t>, la</w:t>
      </w:r>
      <w:r w:rsidRPr="00A36329">
        <w:rPr>
          <w:rFonts w:ascii="Palatino Linotype" w:eastAsia="Palatino Linotype" w:hAnsi="Palatino Linotype" w:cs="Palatino Linotype"/>
          <w:b/>
        </w:rPr>
        <w:t xml:space="preserve"> RECURRENTE </w:t>
      </w:r>
      <w:r w:rsidRPr="00A36329">
        <w:rPr>
          <w:rFonts w:ascii="Palatino Linotype" w:eastAsia="Palatino Linotype" w:hAnsi="Palatino Linotype" w:cs="Palatino Linotype"/>
        </w:rPr>
        <w:t xml:space="preserve">presentó ante el </w:t>
      </w:r>
      <w:r w:rsidRPr="00A36329">
        <w:rPr>
          <w:rFonts w:ascii="Palatino Linotype" w:eastAsia="Palatino Linotype" w:hAnsi="Palatino Linotype" w:cs="Palatino Linotype"/>
          <w:b/>
        </w:rPr>
        <w:t>SUJETO OBLIGADO,</w:t>
      </w:r>
      <w:r w:rsidRPr="00A36329">
        <w:rPr>
          <w:rFonts w:ascii="Palatino Linotype" w:eastAsia="Palatino Linotype" w:hAnsi="Palatino Linotype" w:cs="Palatino Linotype"/>
        </w:rPr>
        <w:t xml:space="preserve"> a través de</w:t>
      </w:r>
      <w:r w:rsidR="000E42EC" w:rsidRPr="00A36329">
        <w:rPr>
          <w:rFonts w:ascii="Palatino Linotype" w:eastAsia="Palatino Linotype" w:hAnsi="Palatino Linotype" w:cs="Palatino Linotype"/>
        </w:rPr>
        <w:t xml:space="preserve"> la Plataforma Nacional de Transparencia y registrada en</w:t>
      </w:r>
      <w:r w:rsidRPr="00A36329">
        <w:rPr>
          <w:rFonts w:ascii="Palatino Linotype" w:eastAsia="Palatino Linotype" w:hAnsi="Palatino Linotype" w:cs="Palatino Linotype"/>
        </w:rPr>
        <w:t xml:space="preserve"> el Sistema de Acceso a la Información Mexiquense </w:t>
      </w:r>
      <w:r w:rsidRPr="00A36329">
        <w:rPr>
          <w:rFonts w:ascii="Palatino Linotype" w:eastAsia="Palatino Linotype" w:hAnsi="Palatino Linotype" w:cs="Palatino Linotype"/>
          <w:b/>
        </w:rPr>
        <w:t>(SAIMEX),</w:t>
      </w:r>
      <w:r w:rsidRPr="00A36329">
        <w:rPr>
          <w:rFonts w:ascii="Palatino Linotype" w:eastAsia="Palatino Linotype" w:hAnsi="Palatino Linotype" w:cs="Palatino Linotype"/>
        </w:rPr>
        <w:t xml:space="preserve"> la solicitud de información pública </w:t>
      </w:r>
      <w:r w:rsidRPr="00A36329">
        <w:rPr>
          <w:rFonts w:ascii="Palatino Linotype" w:eastAsia="Palatino Linotype" w:hAnsi="Palatino Linotype" w:cs="Palatino Linotype"/>
          <w:b/>
        </w:rPr>
        <w:t>0</w:t>
      </w:r>
      <w:r w:rsidR="00B26965" w:rsidRPr="00A36329">
        <w:rPr>
          <w:rFonts w:ascii="Palatino Linotype" w:eastAsia="Palatino Linotype" w:hAnsi="Palatino Linotype" w:cs="Palatino Linotype"/>
          <w:b/>
        </w:rPr>
        <w:t>0392</w:t>
      </w:r>
      <w:r w:rsidRPr="00A36329">
        <w:rPr>
          <w:rFonts w:ascii="Palatino Linotype" w:eastAsia="Palatino Linotype" w:hAnsi="Palatino Linotype" w:cs="Palatino Linotype"/>
          <w:b/>
        </w:rPr>
        <w:t>/</w:t>
      </w:r>
      <w:r w:rsidR="00B26965" w:rsidRPr="00A36329">
        <w:rPr>
          <w:rFonts w:ascii="Palatino Linotype" w:eastAsia="Palatino Linotype" w:hAnsi="Palatino Linotype" w:cs="Palatino Linotype"/>
          <w:b/>
        </w:rPr>
        <w:t>SMOV</w:t>
      </w:r>
      <w:r w:rsidRPr="00A36329">
        <w:rPr>
          <w:rFonts w:ascii="Palatino Linotype" w:eastAsia="Palatino Linotype" w:hAnsi="Palatino Linotype" w:cs="Palatino Linotype"/>
          <w:b/>
        </w:rPr>
        <w:t>/IP/2024</w:t>
      </w:r>
      <w:r w:rsidRPr="00A36329">
        <w:rPr>
          <w:rFonts w:ascii="Palatino Linotype" w:eastAsia="Palatino Linotype" w:hAnsi="Palatino Linotype" w:cs="Palatino Linotype"/>
        </w:rPr>
        <w:t>, en la que se solicitó:</w:t>
      </w:r>
    </w:p>
    <w:p w14:paraId="392FC4C6" w14:textId="77777777" w:rsidR="002A62BF" w:rsidRPr="00A36329" w:rsidRDefault="002A62BF" w:rsidP="00BF0955">
      <w:pPr>
        <w:ind w:right="-28"/>
        <w:jc w:val="both"/>
        <w:rPr>
          <w:rFonts w:ascii="Palatino Linotype" w:eastAsia="Palatino Linotype" w:hAnsi="Palatino Linotype" w:cs="Palatino Linotype"/>
          <w:i/>
        </w:rPr>
      </w:pPr>
    </w:p>
    <w:p w14:paraId="789CC022" w14:textId="00A62B48" w:rsidR="002A62BF" w:rsidRPr="00A36329" w:rsidRDefault="00351F3E" w:rsidP="00B26965">
      <w:pPr>
        <w:pBdr>
          <w:top w:val="nil"/>
          <w:left w:val="nil"/>
          <w:bottom w:val="nil"/>
          <w:right w:val="nil"/>
          <w:between w:val="nil"/>
        </w:pBdr>
        <w:ind w:left="567" w:right="539"/>
        <w:jc w:val="both"/>
        <w:rPr>
          <w:rFonts w:ascii="Palatino Linotype" w:eastAsia="Palatino Linotype" w:hAnsi="Palatino Linotype" w:cs="Palatino Linotype"/>
          <w:i/>
          <w:color w:val="000000"/>
        </w:rPr>
      </w:pPr>
      <w:r w:rsidRPr="00A36329">
        <w:rPr>
          <w:rFonts w:ascii="Palatino Linotype" w:eastAsia="Palatino Linotype" w:hAnsi="Palatino Linotype" w:cs="Palatino Linotype"/>
          <w:i/>
          <w:color w:val="000000"/>
        </w:rPr>
        <w:t>“</w:t>
      </w:r>
      <w:r w:rsidR="00B26965" w:rsidRPr="00A36329">
        <w:rPr>
          <w:rFonts w:ascii="Palatino Linotype" w:hAnsi="Palatino Linotype"/>
          <w:i/>
          <w:color w:val="000000"/>
        </w:rPr>
        <w:t>A quien corresponda: Recientemente se han presentado puntos de revisión comandados por agentes de la policía municipal en Ecatepec de Morelos. Cierran vías principales, por ejemplo, Avenida Central o Vía Morelos, y tienen como objetivo detener a motociclistas. En razón de ello solicito que, por favor, atiendan las siguientes preguntas: ¿Estaban al tanto? De acuerdo a los artículos 2 y 4 del Reglamento de Tránsito del Estado de México, ¿los agentes de policía municipal en Ecatepec de Morelos cuentan con un convenio o “transferencia de tránsito” que les permita ejercer una vigilancia en vialidades intermunicipales? ¿Autorizan el cierre de vialidades principales para esos fines? Si es ilegal el actuar de la policía municipal ¿se puede recurrir a la policía estatal y/o a la Secretaría de Movilidad? Gracias.</w:t>
      </w:r>
      <w:r w:rsidRPr="00A36329">
        <w:rPr>
          <w:rFonts w:ascii="Palatino Linotype" w:eastAsia="Palatino Linotype" w:hAnsi="Palatino Linotype" w:cs="Palatino Linotype"/>
          <w:i/>
          <w:color w:val="000000"/>
        </w:rPr>
        <w:t xml:space="preserve">” (Sic) </w:t>
      </w:r>
    </w:p>
    <w:p w14:paraId="5BD427C9" w14:textId="44F59C30"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lastRenderedPageBreak/>
        <w:t xml:space="preserve">Se hace constar que se señaló como modalidad de entrega de la información a través del </w:t>
      </w:r>
      <w:r w:rsidRPr="00A36329">
        <w:rPr>
          <w:rFonts w:ascii="Palatino Linotype" w:eastAsia="Palatino Linotype" w:hAnsi="Palatino Linotype" w:cs="Palatino Linotype"/>
          <w:b/>
        </w:rPr>
        <w:t>SAIMEX</w:t>
      </w:r>
      <w:r w:rsidR="000E42EC" w:rsidRPr="00A36329">
        <w:rPr>
          <w:rFonts w:ascii="Palatino Linotype" w:eastAsia="Palatino Linotype" w:hAnsi="Palatino Linotype" w:cs="Palatino Linotype"/>
          <w:b/>
        </w:rPr>
        <w:t xml:space="preserve"> y correo electrónico.</w:t>
      </w:r>
    </w:p>
    <w:p w14:paraId="750723A1"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2DEEE0FC" w14:textId="785E169A" w:rsidR="00BF0955"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El siete de </w:t>
      </w:r>
      <w:r w:rsidR="00B26965" w:rsidRPr="00A36329">
        <w:rPr>
          <w:rFonts w:ascii="Palatino Linotype" w:eastAsia="Palatino Linotype" w:hAnsi="Palatino Linotype" w:cs="Palatino Linotype"/>
        </w:rPr>
        <w:t>junio</w:t>
      </w:r>
      <w:r w:rsidRPr="00A36329">
        <w:rPr>
          <w:rFonts w:ascii="Palatino Linotype" w:eastAsia="Palatino Linotype" w:hAnsi="Palatino Linotype" w:cs="Palatino Linotype"/>
        </w:rPr>
        <w:t xml:space="preserve"> de dos mil veinticuatro, el </w:t>
      </w:r>
      <w:r w:rsidRPr="00A36329">
        <w:rPr>
          <w:rFonts w:ascii="Palatino Linotype" w:eastAsia="Palatino Linotype" w:hAnsi="Palatino Linotype" w:cs="Palatino Linotype"/>
          <w:b/>
        </w:rPr>
        <w:t>SUJETO OBLIGADO</w:t>
      </w:r>
      <w:r w:rsidRPr="00A36329">
        <w:rPr>
          <w:rFonts w:ascii="Palatino Linotype" w:eastAsia="Palatino Linotype" w:hAnsi="Palatino Linotype" w:cs="Palatino Linotype"/>
          <w:b/>
          <w:i/>
        </w:rPr>
        <w:t xml:space="preserve"> </w:t>
      </w:r>
      <w:r w:rsidRPr="00A36329">
        <w:rPr>
          <w:rFonts w:ascii="Palatino Linotype" w:eastAsia="Palatino Linotype" w:hAnsi="Palatino Linotype" w:cs="Palatino Linotype"/>
        </w:rPr>
        <w:t>dio respuesta a la solicitud de información, en los siguientes términos:</w:t>
      </w:r>
    </w:p>
    <w:p w14:paraId="07C6BE2A" w14:textId="19142501" w:rsidR="002A62BF" w:rsidRPr="00A36329" w:rsidRDefault="00351F3E" w:rsidP="00A36329">
      <w:pPr>
        <w:ind w:left="567" w:right="963"/>
        <w:jc w:val="both"/>
        <w:rPr>
          <w:rFonts w:ascii="Palatino Linotype" w:eastAsia="Palatino Linotype" w:hAnsi="Palatino Linotype" w:cs="Palatino Linotype"/>
          <w:i/>
          <w:color w:val="000000"/>
          <w:sz w:val="22"/>
        </w:rPr>
      </w:pPr>
      <w:r w:rsidRPr="00A36329">
        <w:rPr>
          <w:rFonts w:ascii="Palatino Linotype" w:eastAsia="Palatino Linotype" w:hAnsi="Palatino Linotype" w:cs="Palatino Linotype"/>
          <w:i/>
          <w:sz w:val="22"/>
        </w:rPr>
        <w:t>“…</w:t>
      </w:r>
      <w:r w:rsidR="00B26965" w:rsidRPr="00A36329">
        <w:rPr>
          <w:rFonts w:ascii="Palatino Linotype" w:hAnsi="Palatino Linotype"/>
          <w:i/>
          <w:color w:val="000000"/>
          <w:sz w:val="22"/>
        </w:rPr>
        <w:t>se anexa respuesta</w:t>
      </w:r>
      <w:r w:rsidRPr="00A36329">
        <w:rPr>
          <w:rFonts w:ascii="Palatino Linotype" w:eastAsia="Palatino Linotype" w:hAnsi="Palatino Linotype" w:cs="Palatino Linotype"/>
          <w:i/>
          <w:color w:val="000000"/>
          <w:sz w:val="22"/>
        </w:rPr>
        <w:t>…” (Sic)</w:t>
      </w:r>
    </w:p>
    <w:p w14:paraId="6E79FD17" w14:textId="77777777" w:rsidR="002A62BF" w:rsidRPr="00A36329" w:rsidRDefault="002A62BF" w:rsidP="00A36329">
      <w:pPr>
        <w:ind w:left="567" w:right="963"/>
        <w:jc w:val="both"/>
        <w:rPr>
          <w:rFonts w:ascii="Palatino Linotype" w:eastAsia="Palatino Linotype" w:hAnsi="Palatino Linotype" w:cs="Palatino Linotype"/>
          <w:i/>
          <w:sz w:val="22"/>
        </w:rPr>
      </w:pPr>
    </w:p>
    <w:p w14:paraId="58EF3F29" w14:textId="3D059883" w:rsidR="002A62BF" w:rsidRPr="00A36329" w:rsidRDefault="00351F3E" w:rsidP="00A36329">
      <w:pPr>
        <w:ind w:left="567" w:right="963"/>
        <w:jc w:val="both"/>
        <w:rPr>
          <w:rFonts w:ascii="Palatino Linotype" w:eastAsia="Palatino Linotype" w:hAnsi="Palatino Linotype" w:cs="Palatino Linotype"/>
          <w:color w:val="000000" w:themeColor="text1"/>
          <w:sz w:val="22"/>
        </w:rPr>
      </w:pPr>
      <w:r w:rsidRPr="00A36329">
        <w:rPr>
          <w:rFonts w:ascii="Palatino Linotype" w:eastAsia="Palatino Linotype" w:hAnsi="Palatino Linotype" w:cs="Palatino Linotype"/>
          <w:color w:val="000000" w:themeColor="text1"/>
          <w:sz w:val="22"/>
        </w:rPr>
        <w:t xml:space="preserve">Adjuntó el archivo electrónico denominado </w:t>
      </w:r>
      <w:hyperlink r:id="rId8" w:tgtFrame="_blank" w:history="1">
        <w:r w:rsidR="00B26965" w:rsidRPr="00A36329">
          <w:rPr>
            <w:rStyle w:val="Hipervnculo"/>
            <w:rFonts w:ascii="Palatino Linotype" w:hAnsi="Palatino Linotype" w:cs="Arial"/>
            <w:b/>
            <w:bCs/>
            <w:color w:val="000000" w:themeColor="text1"/>
            <w:sz w:val="22"/>
            <w:u w:val="none"/>
          </w:rPr>
          <w:t>ACUERDO DE INCOMPETENCIA 392 SAIMEX.pdf</w:t>
        </w:r>
      </w:hyperlink>
      <w:r w:rsidR="00B26965" w:rsidRPr="00A36329">
        <w:rPr>
          <w:rFonts w:ascii="Palatino Linotype" w:hAnsi="Palatino Linotype"/>
          <w:color w:val="000000" w:themeColor="text1"/>
          <w:sz w:val="22"/>
        </w:rPr>
        <w:t xml:space="preserve">, </w:t>
      </w:r>
      <w:r w:rsidRPr="00A36329">
        <w:rPr>
          <w:rFonts w:ascii="Palatino Linotype" w:eastAsia="Palatino Linotype" w:hAnsi="Palatino Linotype" w:cs="Palatino Linotype"/>
          <w:color w:val="000000" w:themeColor="text1"/>
          <w:sz w:val="22"/>
        </w:rPr>
        <w:t xml:space="preserve">consistente en </w:t>
      </w:r>
      <w:r w:rsidR="00B26965" w:rsidRPr="00A36329">
        <w:rPr>
          <w:rFonts w:ascii="Palatino Linotype" w:eastAsia="Palatino Linotype" w:hAnsi="Palatino Linotype" w:cs="Palatino Linotype"/>
          <w:color w:val="000000" w:themeColor="text1"/>
          <w:sz w:val="22"/>
        </w:rPr>
        <w:t>el Acuerdo de Incompetencia Total de la solicitud de información pública número 00392/SMOV/IP/2024.</w:t>
      </w:r>
    </w:p>
    <w:p w14:paraId="6D56DFA2" w14:textId="77777777" w:rsidR="002A62BF" w:rsidRPr="00A36329" w:rsidRDefault="002A62BF" w:rsidP="00BF0955">
      <w:pPr>
        <w:ind w:right="-28"/>
        <w:jc w:val="both"/>
        <w:rPr>
          <w:rFonts w:ascii="Palatino Linotype" w:eastAsia="Palatino Linotype" w:hAnsi="Palatino Linotype" w:cs="Palatino Linotype"/>
          <w:b/>
          <w:i/>
        </w:rPr>
      </w:pPr>
    </w:p>
    <w:p w14:paraId="38CE3E97" w14:textId="7C05C69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El </w:t>
      </w:r>
      <w:r w:rsidR="00B26965" w:rsidRPr="00A36329">
        <w:rPr>
          <w:rFonts w:ascii="Palatino Linotype" w:eastAsia="Palatino Linotype" w:hAnsi="Palatino Linotype" w:cs="Palatino Linotype"/>
        </w:rPr>
        <w:t>on</w:t>
      </w:r>
      <w:r w:rsidR="00430371" w:rsidRPr="00A36329">
        <w:rPr>
          <w:rFonts w:ascii="Palatino Linotype" w:eastAsia="Palatino Linotype" w:hAnsi="Palatino Linotype" w:cs="Palatino Linotype"/>
        </w:rPr>
        <w:t>c</w:t>
      </w:r>
      <w:r w:rsidR="00B26965" w:rsidRPr="00A36329">
        <w:rPr>
          <w:rFonts w:ascii="Palatino Linotype" w:eastAsia="Palatino Linotype" w:hAnsi="Palatino Linotype" w:cs="Palatino Linotype"/>
        </w:rPr>
        <w:t>e de junio</w:t>
      </w:r>
      <w:r w:rsidRPr="00A36329">
        <w:rPr>
          <w:rFonts w:ascii="Palatino Linotype" w:eastAsia="Palatino Linotype" w:hAnsi="Palatino Linotype" w:cs="Palatino Linotype"/>
        </w:rPr>
        <w:t xml:space="preserve"> de dos mil veinticuatro,</w:t>
      </w:r>
      <w:r w:rsidRPr="00A36329">
        <w:rPr>
          <w:rFonts w:ascii="Palatino Linotype" w:eastAsia="Palatino Linotype" w:hAnsi="Palatino Linotype" w:cs="Palatino Linotype"/>
          <w:b/>
        </w:rPr>
        <w:t xml:space="preserve"> </w:t>
      </w:r>
      <w:r w:rsidRPr="00A36329">
        <w:rPr>
          <w:rFonts w:ascii="Palatino Linotype" w:eastAsia="Palatino Linotype" w:hAnsi="Palatino Linotype" w:cs="Palatino Linotype"/>
        </w:rPr>
        <w:t xml:space="preserve">la </w:t>
      </w:r>
      <w:r w:rsidRPr="00A36329">
        <w:rPr>
          <w:rFonts w:ascii="Palatino Linotype" w:eastAsia="Palatino Linotype" w:hAnsi="Palatino Linotype" w:cs="Palatino Linotype"/>
          <w:b/>
        </w:rPr>
        <w:t>RECURRENTE</w:t>
      </w:r>
      <w:r w:rsidRPr="00A36329">
        <w:rPr>
          <w:rFonts w:ascii="Palatino Linotype" w:eastAsia="Palatino Linotype" w:hAnsi="Palatino Linotype" w:cs="Palatino Linotype"/>
        </w:rPr>
        <w:t xml:space="preserve"> interpuso el recurso de revisión en contra de la respuesta, señalando como:</w:t>
      </w:r>
    </w:p>
    <w:p w14:paraId="5ADB7E56" w14:textId="79BCE7DA" w:rsidR="002A62BF" w:rsidRPr="00A36329" w:rsidRDefault="00351F3E" w:rsidP="00A36329">
      <w:pPr>
        <w:ind w:left="567" w:right="963"/>
        <w:jc w:val="both"/>
        <w:rPr>
          <w:rFonts w:ascii="Palatino Linotype" w:eastAsia="Palatino Linotype" w:hAnsi="Palatino Linotype" w:cs="Palatino Linotype"/>
          <w:i/>
          <w:iCs/>
          <w:sz w:val="22"/>
        </w:rPr>
      </w:pPr>
      <w:r w:rsidRPr="00A36329">
        <w:rPr>
          <w:rFonts w:ascii="Palatino Linotype" w:eastAsia="Palatino Linotype" w:hAnsi="Palatino Linotype" w:cs="Palatino Linotype"/>
          <w:b/>
          <w:sz w:val="22"/>
        </w:rPr>
        <w:t>Acto impugnado:</w:t>
      </w:r>
      <w:r w:rsidRPr="00A36329">
        <w:rPr>
          <w:rFonts w:ascii="Palatino Linotype" w:eastAsia="Palatino Linotype" w:hAnsi="Palatino Linotype" w:cs="Palatino Linotype"/>
          <w:i/>
          <w:iCs/>
          <w:color w:val="000000"/>
          <w:sz w:val="22"/>
        </w:rPr>
        <w:t xml:space="preserve"> “</w:t>
      </w:r>
      <w:r w:rsidR="00B26965" w:rsidRPr="00A36329">
        <w:rPr>
          <w:rFonts w:ascii="Palatino Linotype" w:eastAsia="Palatino Linotype" w:hAnsi="Palatino Linotype" w:cs="Palatino Linotype"/>
          <w:i/>
          <w:iCs/>
          <w:color w:val="000000"/>
          <w:sz w:val="22"/>
        </w:rPr>
        <w:t>E</w:t>
      </w:r>
      <w:r w:rsidR="00B26965" w:rsidRPr="00A36329">
        <w:rPr>
          <w:rFonts w:ascii="Palatino Linotype" w:hAnsi="Palatino Linotype"/>
          <w:i/>
          <w:iCs/>
          <w:color w:val="000000"/>
          <w:sz w:val="22"/>
        </w:rPr>
        <w:t xml:space="preserve">l Sujeto Obligado asume que el cierre parcial de vialidades primarias, con la intervención de la policía municipal, no le compete. Primero, he de hacer notar que el Sujeto concluye que los cierres se ejecutan para infraccionar; sin embargo, lo cierto es que se desconoce el motivo. Razón por la cual, considerando que el artículo 55, fracción IV, de la Ley Orgánica de la Administración Pública del Estado de México, dispone que parte de sus obligaciones es “gestionar la seguridad vial y la movilidad urbana”, es perspicuo que sí tiene competencia en el asunto. Es decir, sin importar la meta de la autoridad municipal, los cierres trastocan la movilidad urbana en vialidades principales; afectando al resto de la población que, sin ser motociclistas, se ven afectados. Así, considerando que el artículo 55, fracción VIII, de la Ley Orgánica de la Administración Pública del Estado de México, dispone que el Sujeto Obligado debe “regular, vigilar, inspeccionar y controlar el uso adecuado de la infraestructura vial y movilidad general”, es natural que, cuando menos conteste: ¿Si estaba al tanto de los cierres y si los autoriza? Segundo, a reserva del párrafo anterior, el Sujeto manifiesta que la imposición de infracciones no le compete; sin embargo, el artículo 55, fracción XVII, de la Ley Orgánica de la Administración Pública del Estado de México, señala que se atribuye a la Secretaría de Movilidad el “realizar operativos de control en el ámbito de su competencia”. Circunstancia que le coacciona a responder si los operativos, implementados por la policía </w:t>
      </w:r>
      <w:proofErr w:type="gramStart"/>
      <w:r w:rsidR="00B26965" w:rsidRPr="00A36329">
        <w:rPr>
          <w:rFonts w:ascii="Palatino Linotype" w:hAnsi="Palatino Linotype"/>
          <w:i/>
          <w:iCs/>
          <w:color w:val="000000"/>
          <w:sz w:val="22"/>
        </w:rPr>
        <w:t>municipal</w:t>
      </w:r>
      <w:proofErr w:type="gramEnd"/>
      <w:r w:rsidR="00B26965" w:rsidRPr="00A36329">
        <w:rPr>
          <w:rFonts w:ascii="Palatino Linotype" w:hAnsi="Palatino Linotype"/>
          <w:i/>
          <w:iCs/>
          <w:color w:val="000000"/>
          <w:sz w:val="22"/>
        </w:rPr>
        <w:t xml:space="preserve">, son ejecutados a ruego de la Secretaría de Movilidad. Tercero, es elemental considerar que la Secretaría de Movilidad debe emitir un posicionamiento cuando otra autoridad, aun facultada, emite actos desproporcionados que invaden su competencia; causando una afectación a todas las personas que usen la infraestructura vial primaria. Máxime que los cierres viales se efectúan recurrentemente, sin que en alguno de ellos se observe la presencia de la Secretaría de Movilidad mexiquense. Por ejemplo, el artículo 8, tercer </w:t>
      </w:r>
      <w:r w:rsidR="00B26965" w:rsidRPr="00A36329">
        <w:rPr>
          <w:rFonts w:ascii="Palatino Linotype" w:hAnsi="Palatino Linotype"/>
          <w:i/>
          <w:iCs/>
          <w:color w:val="000000"/>
          <w:sz w:val="22"/>
        </w:rPr>
        <w:lastRenderedPageBreak/>
        <w:t>párrafo, de la Ley de Movilidad del Estado de México, señala: “Los municipios y la Secretaría de Seguridad coadyuvarán con la Secretaría, para que de oficio o a petición de ésta, mantengan las vías primarias y locales libres de obstáculos u objetos que impidan, dificulten u obstruyan el tránsito peatonal, ciclista o vehicular del sistema integral de movilidad y del servicio público de transporte, en el ámbito de su competencia. Bajo esas consideraciones, la Secretaría de Movilidad no puede ignorar la situación y rehuir los cuestionamientos. Gracias.</w:t>
      </w:r>
      <w:r w:rsidR="00BF0955" w:rsidRPr="00A36329">
        <w:rPr>
          <w:rFonts w:ascii="Palatino Linotype" w:eastAsia="Palatino Linotype" w:hAnsi="Palatino Linotype" w:cs="Palatino Linotype"/>
          <w:i/>
          <w:iCs/>
          <w:color w:val="000000"/>
          <w:sz w:val="22"/>
        </w:rPr>
        <w:t xml:space="preserve">” (Sic) </w:t>
      </w:r>
    </w:p>
    <w:p w14:paraId="1E607E05" w14:textId="77777777" w:rsidR="002A62BF" w:rsidRPr="00A36329" w:rsidRDefault="002A62BF" w:rsidP="00A36329">
      <w:pPr>
        <w:ind w:right="963"/>
        <w:jc w:val="both"/>
        <w:rPr>
          <w:rFonts w:ascii="Palatino Linotype" w:eastAsia="Palatino Linotype" w:hAnsi="Palatino Linotype" w:cs="Palatino Linotype"/>
          <w:sz w:val="22"/>
        </w:rPr>
      </w:pPr>
    </w:p>
    <w:p w14:paraId="76CF51CA" w14:textId="0D77951B" w:rsidR="002A62BF" w:rsidRPr="00A36329" w:rsidRDefault="00351F3E" w:rsidP="00A36329">
      <w:pPr>
        <w:spacing w:before="100" w:beforeAutospacing="1" w:after="100" w:afterAutospacing="1"/>
        <w:ind w:left="567" w:right="963"/>
        <w:rPr>
          <w:rFonts w:ascii="Palatino Linotype" w:hAnsi="Palatino Linotype" w:cs="Arial"/>
          <w:color w:val="333333"/>
          <w:sz w:val="22"/>
        </w:rPr>
      </w:pPr>
      <w:r w:rsidRPr="00A36329">
        <w:rPr>
          <w:rFonts w:ascii="Palatino Linotype" w:eastAsia="Palatino Linotype" w:hAnsi="Palatino Linotype" w:cs="Palatino Linotype"/>
          <w:sz w:val="22"/>
        </w:rPr>
        <w:t xml:space="preserve">Se adjuntó el archivo electrónico </w:t>
      </w:r>
      <w:r w:rsidRPr="00A36329">
        <w:rPr>
          <w:rFonts w:ascii="Palatino Linotype" w:eastAsia="Palatino Linotype" w:hAnsi="Palatino Linotype" w:cs="Palatino Linotype"/>
          <w:color w:val="000000" w:themeColor="text1"/>
          <w:sz w:val="22"/>
        </w:rPr>
        <w:t xml:space="preserve">denominado </w:t>
      </w:r>
      <w:hyperlink r:id="rId9" w:tgtFrame="_blank" w:history="1">
        <w:r w:rsidR="00F36DCF" w:rsidRPr="00A36329">
          <w:rPr>
            <w:rStyle w:val="Hipervnculo"/>
            <w:rFonts w:ascii="Palatino Linotype" w:hAnsi="Palatino Linotype" w:cs="Arial"/>
            <w:b/>
            <w:bCs/>
            <w:color w:val="000000" w:themeColor="text1"/>
            <w:sz w:val="22"/>
            <w:u w:val="none"/>
          </w:rPr>
          <w:t>Archivo1716071079365null</w:t>
        </w:r>
      </w:hyperlink>
      <w:r w:rsidRPr="00A36329">
        <w:rPr>
          <w:rFonts w:ascii="Palatino Linotype" w:eastAsia="Palatino Linotype" w:hAnsi="Palatino Linotype" w:cs="Palatino Linotype"/>
          <w:b/>
          <w:color w:val="000000" w:themeColor="text1"/>
          <w:sz w:val="22"/>
        </w:rPr>
        <w:t xml:space="preserve">, </w:t>
      </w:r>
      <w:r w:rsidR="00F36DCF" w:rsidRPr="00A36329">
        <w:rPr>
          <w:rFonts w:ascii="Palatino Linotype" w:eastAsia="Palatino Linotype" w:hAnsi="Palatino Linotype" w:cs="Palatino Linotype"/>
          <w:sz w:val="22"/>
        </w:rPr>
        <w:t>del cual se omite la descripción toda vez que no se puede acceder a su contenido.</w:t>
      </w:r>
    </w:p>
    <w:p w14:paraId="0A81B9A2" w14:textId="77777777" w:rsidR="002A62BF" w:rsidRPr="00A36329" w:rsidRDefault="002A62BF" w:rsidP="00BF0955">
      <w:pPr>
        <w:ind w:right="539"/>
        <w:jc w:val="both"/>
        <w:rPr>
          <w:rFonts w:ascii="Palatino Linotype" w:eastAsia="Palatino Linotype" w:hAnsi="Palatino Linotype" w:cs="Palatino Linotype"/>
        </w:rPr>
      </w:pPr>
    </w:p>
    <w:p w14:paraId="2DBB2A15"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A36329">
        <w:rPr>
          <w:rFonts w:ascii="Palatino Linotype" w:eastAsia="Palatino Linotype" w:hAnsi="Palatino Linotype" w:cs="Palatino Linotype"/>
          <w:b/>
        </w:rPr>
        <w:t xml:space="preserve">Ley de Transparencia y Acceso a la Información Pública del Estado de México y Municipios </w:t>
      </w:r>
      <w:r w:rsidRPr="00A36329">
        <w:rPr>
          <w:rFonts w:ascii="Palatino Linotype" w:eastAsia="Palatino Linotype" w:hAnsi="Palatino Linotype" w:cs="Palatino Linotype"/>
        </w:rPr>
        <w:t xml:space="preserve">se turna a la </w:t>
      </w:r>
      <w:r w:rsidRPr="00A36329">
        <w:rPr>
          <w:rFonts w:ascii="Palatino Linotype" w:eastAsia="Palatino Linotype" w:hAnsi="Palatino Linotype" w:cs="Palatino Linotype"/>
          <w:b/>
        </w:rPr>
        <w:t xml:space="preserve">Comisionada María del Rosario Mejía Ayala, </w:t>
      </w:r>
      <w:r w:rsidRPr="00A36329">
        <w:rPr>
          <w:rFonts w:ascii="Palatino Linotype" w:eastAsia="Palatino Linotype" w:hAnsi="Palatino Linotype" w:cs="Palatino Linotype"/>
        </w:rPr>
        <w:t xml:space="preserve">para su análisis. </w:t>
      </w:r>
    </w:p>
    <w:p w14:paraId="004A443F"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3C28C57B" w14:textId="22199E11"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sidR="00B26965" w:rsidRPr="00A36329">
        <w:rPr>
          <w:rFonts w:ascii="Palatino Linotype" w:eastAsia="Palatino Linotype" w:hAnsi="Palatino Linotype" w:cs="Palatino Linotype"/>
        </w:rPr>
        <w:t>dieciocho de junio</w:t>
      </w:r>
      <w:r w:rsidRPr="00A36329">
        <w:rPr>
          <w:rFonts w:ascii="Palatino Linotype" w:eastAsia="Palatino Linotype" w:hAnsi="Palatino Linotype" w:cs="Palatino Linotype"/>
        </w:rPr>
        <w:t xml:space="preserve"> de dos mil veinticuatro, puso a disposición de las partes el expediente electrónico vía </w:t>
      </w:r>
      <w:r w:rsidRPr="00A36329">
        <w:rPr>
          <w:rFonts w:ascii="Palatino Linotype" w:eastAsia="Palatino Linotype" w:hAnsi="Palatino Linotype" w:cs="Palatino Linotype"/>
          <w:b/>
        </w:rPr>
        <w:t xml:space="preserve">SAIMEX </w:t>
      </w:r>
      <w:r w:rsidRPr="00A36329">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A36329">
        <w:rPr>
          <w:rFonts w:ascii="Palatino Linotype" w:eastAsia="Palatino Linotype" w:hAnsi="Palatino Linotype" w:cs="Palatino Linotype"/>
          <w:b/>
        </w:rPr>
        <w:t>SUJETO OBLIGADO</w:t>
      </w:r>
      <w:r w:rsidRPr="00A36329">
        <w:rPr>
          <w:rFonts w:ascii="Palatino Linotype" w:eastAsia="Palatino Linotype" w:hAnsi="Palatino Linotype" w:cs="Palatino Linotype"/>
        </w:rPr>
        <w:t xml:space="preserve"> presentará el informe justificado procedente. </w:t>
      </w:r>
    </w:p>
    <w:p w14:paraId="032CDA0D" w14:textId="77777777" w:rsidR="002A62BF" w:rsidRPr="00A36329" w:rsidRDefault="002A62BF" w:rsidP="00BF0955">
      <w:pPr>
        <w:ind w:right="-28"/>
        <w:rPr>
          <w:rFonts w:ascii="Palatino Linotype" w:eastAsia="Palatino Linotype" w:hAnsi="Palatino Linotype" w:cs="Palatino Linotype"/>
        </w:rPr>
      </w:pPr>
    </w:p>
    <w:p w14:paraId="6E87CCB1" w14:textId="16BC5CE1" w:rsidR="00B26965" w:rsidRPr="00A36329" w:rsidRDefault="00351F3E" w:rsidP="00B26965">
      <w:pPr>
        <w:numPr>
          <w:ilvl w:val="0"/>
          <w:numId w:val="4"/>
        </w:numPr>
        <w:spacing w:line="360" w:lineRule="auto"/>
        <w:ind w:left="0" w:right="-28" w:firstLine="0"/>
        <w:jc w:val="both"/>
        <w:rPr>
          <w:rFonts w:ascii="Palatino Linotype" w:eastAsia="Palatino Linotype" w:hAnsi="Palatino Linotype" w:cs="Palatino Linotype"/>
          <w:b/>
          <w:bCs/>
        </w:rPr>
      </w:pPr>
      <w:r w:rsidRPr="00A36329">
        <w:rPr>
          <w:rFonts w:ascii="Palatino Linotype" w:eastAsia="Palatino Linotype" w:hAnsi="Palatino Linotype" w:cs="Palatino Linotype"/>
        </w:rPr>
        <w:t>El</w:t>
      </w:r>
      <w:r w:rsidR="00B26965" w:rsidRPr="00A36329">
        <w:rPr>
          <w:rFonts w:ascii="Palatino Linotype" w:eastAsia="Palatino Linotype" w:hAnsi="Palatino Linotype" w:cs="Palatino Linotype"/>
        </w:rPr>
        <w:t xml:space="preserve"> veinticuatro de junio de dos mil veinticuatro, el</w:t>
      </w:r>
      <w:r w:rsidRPr="00A36329">
        <w:rPr>
          <w:rFonts w:ascii="Palatino Linotype" w:eastAsia="Palatino Linotype" w:hAnsi="Palatino Linotype" w:cs="Palatino Linotype"/>
        </w:rPr>
        <w:t xml:space="preserve"> </w:t>
      </w:r>
      <w:r w:rsidRPr="00A36329">
        <w:rPr>
          <w:rFonts w:ascii="Palatino Linotype" w:eastAsia="Palatino Linotype" w:hAnsi="Palatino Linotype" w:cs="Palatino Linotype"/>
          <w:b/>
        </w:rPr>
        <w:t>SUJETO OBLIGADO</w:t>
      </w:r>
      <w:r w:rsidRPr="00A36329">
        <w:rPr>
          <w:rFonts w:ascii="Palatino Linotype" w:eastAsia="Palatino Linotype" w:hAnsi="Palatino Linotype" w:cs="Palatino Linotype"/>
        </w:rPr>
        <w:t xml:space="preserve"> emitió el informe justificado correspondiente</w:t>
      </w:r>
      <w:r w:rsidR="00B26965" w:rsidRPr="00A36329">
        <w:rPr>
          <w:rFonts w:ascii="Palatino Linotype" w:eastAsia="Palatino Linotype" w:hAnsi="Palatino Linotype" w:cs="Palatino Linotype"/>
        </w:rPr>
        <w:t xml:space="preserve">, </w:t>
      </w:r>
      <w:r w:rsidR="00C37A8F" w:rsidRPr="00A36329">
        <w:rPr>
          <w:rFonts w:ascii="Palatino Linotype" w:eastAsia="Palatino Linotype" w:hAnsi="Palatino Linotype" w:cs="Palatino Linotype"/>
        </w:rPr>
        <w:t>a través</w:t>
      </w:r>
      <w:r w:rsidR="00B26965" w:rsidRPr="00A36329">
        <w:rPr>
          <w:rFonts w:ascii="Palatino Linotype" w:eastAsia="Palatino Linotype" w:hAnsi="Palatino Linotype" w:cs="Palatino Linotype"/>
        </w:rPr>
        <w:t xml:space="preserve"> del archivo electrónico denominado </w:t>
      </w:r>
      <w:r w:rsidR="00B26965" w:rsidRPr="00A36329">
        <w:rPr>
          <w:rFonts w:ascii="Palatino Linotype" w:eastAsia="Palatino Linotype" w:hAnsi="Palatino Linotype" w:cs="Palatino Linotype"/>
          <w:b/>
          <w:bCs/>
        </w:rPr>
        <w:t xml:space="preserve">“Informe Justificado 3563.pdf”, </w:t>
      </w:r>
      <w:r w:rsidR="00B26965" w:rsidRPr="00A36329">
        <w:rPr>
          <w:rFonts w:ascii="Palatino Linotype" w:eastAsia="Palatino Linotype" w:hAnsi="Palatino Linotype" w:cs="Palatino Linotype"/>
        </w:rPr>
        <w:t xml:space="preserve">consistente en un oficio suscrito por el Titular de la Unidad de Transparencia, </w:t>
      </w:r>
      <w:r w:rsidR="00C37A8F" w:rsidRPr="00A36329">
        <w:rPr>
          <w:rFonts w:ascii="Palatino Linotype" w:eastAsia="Palatino Linotype" w:hAnsi="Palatino Linotype" w:cs="Palatino Linotype"/>
        </w:rPr>
        <w:t xml:space="preserve">por medio del </w:t>
      </w:r>
      <w:r w:rsidR="00B26965" w:rsidRPr="00A36329">
        <w:rPr>
          <w:rFonts w:ascii="Palatino Linotype" w:eastAsia="Palatino Linotype" w:hAnsi="Palatino Linotype" w:cs="Palatino Linotype"/>
        </w:rPr>
        <w:t>cual,</w:t>
      </w:r>
      <w:r w:rsidR="00B26965" w:rsidRPr="00A36329">
        <w:rPr>
          <w:rFonts w:ascii="Palatino Linotype" w:eastAsia="Palatino Linotype" w:hAnsi="Palatino Linotype" w:cs="Palatino Linotype"/>
          <w:b/>
          <w:bCs/>
        </w:rPr>
        <w:t xml:space="preserve"> ratificó la respuesta.</w:t>
      </w:r>
    </w:p>
    <w:p w14:paraId="6AC49D1B" w14:textId="77777777" w:rsidR="00B26965" w:rsidRPr="00A36329" w:rsidRDefault="00B26965" w:rsidP="00B26965">
      <w:pPr>
        <w:pStyle w:val="Prrafodelista"/>
        <w:rPr>
          <w:rFonts w:ascii="Palatino Linotype" w:eastAsia="Palatino Linotype" w:hAnsi="Palatino Linotype" w:cs="Palatino Linotype"/>
          <w:sz w:val="24"/>
        </w:rPr>
      </w:pPr>
    </w:p>
    <w:p w14:paraId="4D55DEA6" w14:textId="13CC09ED" w:rsidR="002A62BF" w:rsidRPr="00A36329" w:rsidRDefault="00B26965" w:rsidP="00B2696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P</w:t>
      </w:r>
      <w:r w:rsidR="00351F3E" w:rsidRPr="00A36329">
        <w:rPr>
          <w:rFonts w:ascii="Palatino Linotype" w:eastAsia="Palatino Linotype" w:hAnsi="Palatino Linotype" w:cs="Palatino Linotype"/>
        </w:rPr>
        <w:t xml:space="preserve">or su parte, </w:t>
      </w:r>
      <w:r w:rsidR="00F36DCF" w:rsidRPr="00A36329">
        <w:rPr>
          <w:rFonts w:ascii="Palatino Linotype" w:eastAsia="Palatino Linotype" w:hAnsi="Palatino Linotype" w:cs="Palatino Linotype"/>
        </w:rPr>
        <w:t>el</w:t>
      </w:r>
      <w:r w:rsidR="00351F3E" w:rsidRPr="00A36329">
        <w:rPr>
          <w:rFonts w:ascii="Palatino Linotype" w:eastAsia="Palatino Linotype" w:hAnsi="Palatino Linotype" w:cs="Palatino Linotype"/>
        </w:rPr>
        <w:t xml:space="preserve"> </w:t>
      </w:r>
      <w:r w:rsidR="00351F3E" w:rsidRPr="00A36329">
        <w:rPr>
          <w:rFonts w:ascii="Palatino Linotype" w:eastAsia="Palatino Linotype" w:hAnsi="Palatino Linotype" w:cs="Palatino Linotype"/>
          <w:b/>
        </w:rPr>
        <w:t xml:space="preserve">RECURRENTE </w:t>
      </w:r>
      <w:r w:rsidR="00351F3E" w:rsidRPr="00A36329">
        <w:rPr>
          <w:rFonts w:ascii="Palatino Linotype" w:eastAsia="Palatino Linotype" w:hAnsi="Palatino Linotype" w:cs="Palatino Linotype"/>
        </w:rPr>
        <w:t>no realizó manifestaciones, ni ofreció pruebas o alegatos que a su derecho conviniera.</w:t>
      </w:r>
    </w:p>
    <w:p w14:paraId="4E9215AF" w14:textId="68B64810" w:rsidR="002A62BF" w:rsidRPr="00A36329" w:rsidRDefault="00351F3E" w:rsidP="00BF0955">
      <w:pPr>
        <w:numPr>
          <w:ilvl w:val="0"/>
          <w:numId w:val="4"/>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lastRenderedPageBreak/>
        <w:t xml:space="preserve">El </w:t>
      </w:r>
      <w:r w:rsidR="00593C43" w:rsidRPr="00A36329">
        <w:rPr>
          <w:rFonts w:ascii="Palatino Linotype" w:eastAsia="Palatino Linotype" w:hAnsi="Palatino Linotype" w:cs="Palatino Linotype"/>
          <w:color w:val="000000"/>
        </w:rPr>
        <w:t>veintic</w:t>
      </w:r>
      <w:r w:rsidR="00C37A8F" w:rsidRPr="00A36329">
        <w:rPr>
          <w:rFonts w:ascii="Palatino Linotype" w:eastAsia="Palatino Linotype" w:hAnsi="Palatino Linotype" w:cs="Palatino Linotype"/>
          <w:color w:val="000000"/>
        </w:rPr>
        <w:t>inco</w:t>
      </w:r>
      <w:r w:rsidR="00B26965" w:rsidRPr="00A36329">
        <w:rPr>
          <w:rFonts w:ascii="Palatino Linotype" w:eastAsia="Palatino Linotype" w:hAnsi="Palatino Linotype" w:cs="Palatino Linotype"/>
          <w:color w:val="000000"/>
        </w:rPr>
        <w:t xml:space="preserve"> de </w:t>
      </w:r>
      <w:r w:rsidR="00C37A8F" w:rsidRPr="00A36329">
        <w:rPr>
          <w:rFonts w:ascii="Palatino Linotype" w:eastAsia="Palatino Linotype" w:hAnsi="Palatino Linotype" w:cs="Palatino Linotype"/>
          <w:color w:val="000000"/>
        </w:rPr>
        <w:t>septiembre</w:t>
      </w:r>
      <w:r w:rsidRPr="00A36329">
        <w:rPr>
          <w:rFonts w:ascii="Palatino Linotype" w:eastAsia="Palatino Linotype" w:hAnsi="Palatino Linotype" w:cs="Palatino Linotype"/>
          <w:color w:val="000000"/>
        </w:rPr>
        <w:t xml:space="preserve"> de dos mil veinticuatro, se notificó el acuerdo mediante el cual se amplió el plazo para emitir resolución por un periodo de quince días hábiles.</w:t>
      </w:r>
    </w:p>
    <w:p w14:paraId="5556C3B3" w14:textId="77777777" w:rsidR="002A62BF" w:rsidRPr="00A36329" w:rsidRDefault="002A62BF" w:rsidP="00BF0955">
      <w:pPr>
        <w:pBdr>
          <w:top w:val="nil"/>
          <w:left w:val="nil"/>
          <w:bottom w:val="nil"/>
          <w:right w:val="nil"/>
          <w:between w:val="nil"/>
        </w:pBdr>
        <w:tabs>
          <w:tab w:val="left" w:pos="426"/>
        </w:tabs>
        <w:spacing w:line="360" w:lineRule="auto"/>
        <w:ind w:right="-28"/>
        <w:rPr>
          <w:rFonts w:ascii="Palatino Linotype" w:eastAsia="Palatino Linotype" w:hAnsi="Palatino Linotype" w:cs="Palatino Linotype"/>
          <w:color w:val="000000"/>
        </w:rPr>
      </w:pPr>
    </w:p>
    <w:p w14:paraId="7C9E7DCB" w14:textId="77777777" w:rsidR="002A62BF" w:rsidRPr="00A36329" w:rsidRDefault="00351F3E" w:rsidP="00BF0955">
      <w:pPr>
        <w:numPr>
          <w:ilvl w:val="0"/>
          <w:numId w:val="4"/>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74CD7CB" w14:textId="77777777" w:rsidR="002A62BF" w:rsidRPr="00A36329"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b/>
          <w:color w:val="000000"/>
          <w:u w:val="single"/>
        </w:rPr>
      </w:pPr>
    </w:p>
    <w:p w14:paraId="09FF7B1D" w14:textId="77777777" w:rsidR="002A62BF" w:rsidRPr="00A36329" w:rsidRDefault="00351F3E" w:rsidP="00BF0955">
      <w:pPr>
        <w:numPr>
          <w:ilvl w:val="0"/>
          <w:numId w:val="4"/>
        </w:numPr>
        <w:pBdr>
          <w:top w:val="nil"/>
          <w:left w:val="nil"/>
          <w:bottom w:val="nil"/>
          <w:right w:val="nil"/>
          <w:between w:val="nil"/>
        </w:pBdr>
        <w:spacing w:line="360" w:lineRule="auto"/>
        <w:ind w:left="0" w:right="-28" w:hanging="11"/>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922BE62" w14:textId="77777777" w:rsidR="002A62BF" w:rsidRPr="00A36329"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14:paraId="34EE8DF1" w14:textId="77777777" w:rsidR="002A62BF" w:rsidRPr="00A36329"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C8364F" w14:textId="77777777" w:rsidR="002A62BF" w:rsidRPr="00A36329"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14:paraId="21D853C9" w14:textId="77777777" w:rsidR="002A62BF" w:rsidRPr="00A36329"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130CC2" w14:textId="77777777" w:rsidR="002A62BF" w:rsidRPr="00A36329"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14:paraId="0CDD0D93" w14:textId="77777777" w:rsidR="002A62BF" w:rsidRPr="00A36329"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lastRenderedPageBreak/>
        <w:t>Por ello, excepcionalmente, si un asunto es resuelto con posterioridad a los plazos señalados por la norma debe analizarse la razonabilidad del tiempo necesario para su resolución, atentos a los siguientes criterios:</w:t>
      </w:r>
    </w:p>
    <w:p w14:paraId="1FC0EE30" w14:textId="77777777" w:rsidR="002A62BF" w:rsidRPr="00A36329" w:rsidRDefault="00351F3E" w:rsidP="00A36329">
      <w:pPr>
        <w:pBdr>
          <w:top w:val="nil"/>
          <w:left w:val="nil"/>
          <w:bottom w:val="nil"/>
          <w:right w:val="nil"/>
          <w:between w:val="nil"/>
        </w:pBdr>
        <w:ind w:left="567" w:right="963"/>
        <w:jc w:val="both"/>
        <w:rPr>
          <w:rFonts w:ascii="Palatino Linotype" w:eastAsia="Palatino Linotype" w:hAnsi="Palatino Linotype" w:cs="Palatino Linotype"/>
          <w:b/>
          <w:color w:val="000000"/>
          <w:sz w:val="22"/>
        </w:rPr>
      </w:pPr>
      <w:r w:rsidRPr="00A36329">
        <w:rPr>
          <w:rFonts w:ascii="Palatino Linotype" w:eastAsia="Palatino Linotype" w:hAnsi="Palatino Linotype" w:cs="Palatino Linotype"/>
          <w:b/>
          <w:color w:val="000000"/>
          <w:sz w:val="22"/>
        </w:rPr>
        <w:t>a) Complejidad del asunto: La complejidad de la prueba, la pluralidad de sujetos procesales, el tiempo transcurrido, las características y contexto del recurso.</w:t>
      </w:r>
    </w:p>
    <w:p w14:paraId="477E6A89" w14:textId="77777777" w:rsidR="002A62BF" w:rsidRPr="00A36329" w:rsidRDefault="00351F3E" w:rsidP="00A36329">
      <w:pPr>
        <w:pBdr>
          <w:top w:val="nil"/>
          <w:left w:val="nil"/>
          <w:bottom w:val="nil"/>
          <w:right w:val="nil"/>
          <w:between w:val="nil"/>
        </w:pBdr>
        <w:ind w:left="567" w:right="963"/>
        <w:jc w:val="both"/>
        <w:rPr>
          <w:rFonts w:ascii="Palatino Linotype" w:eastAsia="Palatino Linotype" w:hAnsi="Palatino Linotype" w:cs="Palatino Linotype"/>
          <w:b/>
          <w:color w:val="000000"/>
          <w:sz w:val="22"/>
        </w:rPr>
      </w:pPr>
      <w:r w:rsidRPr="00A36329">
        <w:rPr>
          <w:rFonts w:ascii="Palatino Linotype" w:eastAsia="Palatino Linotype" w:hAnsi="Palatino Linotype" w:cs="Palatino Linotype"/>
          <w:b/>
          <w:color w:val="000000"/>
          <w:sz w:val="22"/>
        </w:rPr>
        <w:t>b) Actividad Procesal del interesado: Acciones u omisiones del interesado.</w:t>
      </w:r>
    </w:p>
    <w:p w14:paraId="57C9E9B7" w14:textId="77777777" w:rsidR="002A62BF" w:rsidRPr="00A36329" w:rsidRDefault="00351F3E" w:rsidP="00A36329">
      <w:pPr>
        <w:pBdr>
          <w:top w:val="nil"/>
          <w:left w:val="nil"/>
          <w:bottom w:val="nil"/>
          <w:right w:val="nil"/>
          <w:between w:val="nil"/>
        </w:pBdr>
        <w:ind w:left="567" w:right="963"/>
        <w:jc w:val="both"/>
        <w:rPr>
          <w:rFonts w:ascii="Palatino Linotype" w:eastAsia="Palatino Linotype" w:hAnsi="Palatino Linotype" w:cs="Palatino Linotype"/>
          <w:b/>
          <w:color w:val="000000"/>
          <w:sz w:val="22"/>
        </w:rPr>
      </w:pPr>
      <w:r w:rsidRPr="00A36329">
        <w:rPr>
          <w:rFonts w:ascii="Palatino Linotype" w:eastAsia="Palatino Linotype" w:hAnsi="Palatino Linotype" w:cs="Palatino Linotype"/>
          <w:b/>
          <w:color w:val="000000"/>
          <w:sz w:val="22"/>
        </w:rPr>
        <w:t>c) Conducta de la Autoridad: Las Acciones u omisiones realizadas en el procedimiento. Así como si la autoridad actuó con la debida diligencia.</w:t>
      </w:r>
    </w:p>
    <w:p w14:paraId="7817EED7" w14:textId="77777777" w:rsidR="002A62BF" w:rsidRPr="00A36329" w:rsidRDefault="00351F3E" w:rsidP="00A36329">
      <w:pPr>
        <w:pBdr>
          <w:top w:val="nil"/>
          <w:left w:val="nil"/>
          <w:bottom w:val="nil"/>
          <w:right w:val="nil"/>
          <w:between w:val="nil"/>
        </w:pBdr>
        <w:ind w:left="567" w:right="963"/>
        <w:jc w:val="both"/>
        <w:rPr>
          <w:rFonts w:ascii="Palatino Linotype" w:eastAsia="Palatino Linotype" w:hAnsi="Palatino Linotype" w:cs="Palatino Linotype"/>
          <w:b/>
          <w:color w:val="000000"/>
          <w:sz w:val="22"/>
        </w:rPr>
      </w:pPr>
      <w:r w:rsidRPr="00A36329">
        <w:rPr>
          <w:rFonts w:ascii="Palatino Linotype" w:eastAsia="Palatino Linotype" w:hAnsi="Palatino Linotype" w:cs="Palatino Linotype"/>
          <w:b/>
          <w:color w:val="000000"/>
          <w:sz w:val="22"/>
        </w:rPr>
        <w:t>d) La afectación generada en la situación jurídica de la persona involucrada en el proceso: Violación a sus derechos humanos.</w:t>
      </w:r>
    </w:p>
    <w:p w14:paraId="49329462" w14:textId="77777777" w:rsidR="002A62BF" w:rsidRPr="00A36329"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14:paraId="34734B32" w14:textId="77777777" w:rsidR="002A62BF" w:rsidRPr="00A36329"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187D9A" w14:textId="77777777" w:rsidR="002A62BF" w:rsidRPr="00A36329" w:rsidRDefault="002A62BF"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14:paraId="34975EE1" w14:textId="77777777" w:rsidR="002A62BF" w:rsidRPr="00A36329"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t>Argumento que encuentra sustento en la jurisprudencia P</w:t>
      </w:r>
      <w:proofErr w:type="gramStart"/>
      <w:r w:rsidRPr="00A36329">
        <w:rPr>
          <w:rFonts w:ascii="Palatino Linotype" w:eastAsia="Palatino Linotype" w:hAnsi="Palatino Linotype" w:cs="Palatino Linotype"/>
          <w:color w:val="000000"/>
        </w:rPr>
        <w:t>./</w:t>
      </w:r>
      <w:proofErr w:type="gramEnd"/>
      <w:r w:rsidRPr="00A36329">
        <w:rPr>
          <w:rFonts w:ascii="Palatino Linotype" w:eastAsia="Palatino Linotype" w:hAnsi="Palatino Linotype" w:cs="Palatino Linotype"/>
          <w:color w:val="000000"/>
        </w:rPr>
        <w:t xml:space="preserve">J. 32/92 emitida por el Pleno de la Suprema Corte de Justicia de la Nación </w:t>
      </w:r>
      <w:r w:rsidRPr="00A36329">
        <w:rPr>
          <w:rFonts w:ascii="Palatino Linotype" w:eastAsia="Palatino Linotype" w:hAnsi="Palatino Linotype" w:cs="Palatino Linotype"/>
        </w:rPr>
        <w:t>del rubro</w:t>
      </w:r>
      <w:r w:rsidRPr="00A36329">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A36329">
        <w:rPr>
          <w:rFonts w:ascii="Palatino Linotype" w:eastAsia="Palatino Linotype" w:hAnsi="Palatino Linotype" w:cs="Palatino Linotype"/>
        </w:rPr>
        <w:t>Semanario</w:t>
      </w:r>
      <w:r w:rsidRPr="00A36329">
        <w:rPr>
          <w:rFonts w:ascii="Palatino Linotype" w:eastAsia="Palatino Linotype" w:hAnsi="Palatino Linotype" w:cs="Palatino Linotype"/>
          <w:color w:val="000000"/>
        </w:rPr>
        <w:t xml:space="preserve"> Judicial de la Federación con el registro digital 205635.</w:t>
      </w:r>
    </w:p>
    <w:p w14:paraId="2E1FA0BA" w14:textId="77777777" w:rsidR="00BF0955" w:rsidRPr="00A36329" w:rsidRDefault="00BF0955"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14:paraId="0E65C1E3" w14:textId="77777777" w:rsidR="002A62BF" w:rsidRPr="00A36329"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w:t>
      </w:r>
      <w:r w:rsidRPr="00A36329">
        <w:rPr>
          <w:rFonts w:ascii="Palatino Linotype" w:eastAsia="Palatino Linotype" w:hAnsi="Palatino Linotype" w:cs="Palatino Linotype"/>
          <w:color w:val="000000"/>
        </w:rPr>
        <w:lastRenderedPageBreak/>
        <w:t>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0CBCB6C" w14:textId="77777777" w:rsidR="002A62BF" w:rsidRPr="00A36329" w:rsidRDefault="002A62BF"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14:paraId="5547E3A5" w14:textId="77777777" w:rsidR="002A62BF" w:rsidRPr="00A36329"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A36329">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44EC26C" w14:textId="77777777" w:rsidR="002A62BF" w:rsidRDefault="00351F3E" w:rsidP="00BF0955">
      <w:pPr>
        <w:pBdr>
          <w:top w:val="nil"/>
          <w:left w:val="nil"/>
          <w:bottom w:val="nil"/>
          <w:right w:val="nil"/>
          <w:between w:val="nil"/>
        </w:pBdr>
        <w:ind w:left="567" w:right="539"/>
        <w:jc w:val="both"/>
        <w:rPr>
          <w:rFonts w:ascii="Palatino Linotype" w:eastAsia="Palatino Linotype" w:hAnsi="Palatino Linotype" w:cs="Palatino Linotype"/>
          <w:color w:val="000000"/>
          <w:sz w:val="22"/>
        </w:rPr>
      </w:pPr>
      <w:r w:rsidRPr="00A36329">
        <w:rPr>
          <w:rFonts w:ascii="Palatino Linotype" w:eastAsia="Palatino Linotype" w:hAnsi="Palatino Linotype" w:cs="Palatino Linotype"/>
          <w:color w:val="000000"/>
          <w:sz w:val="22"/>
        </w:rPr>
        <w:t>“PLAZO RAZONABLE PARA RESOLVER. DIMENSIÓN Y EFECTOS DE ESTE CONCEPTO CUANDO SE ADUCE EXCESIVA CARGA DE TRABAJO.” consultable en el Sem</w:t>
      </w:r>
      <w:r w:rsidRPr="00A36329">
        <w:rPr>
          <w:rFonts w:ascii="Palatino Linotype" w:eastAsia="Palatino Linotype" w:hAnsi="Palatino Linotype" w:cs="Palatino Linotype"/>
          <w:sz w:val="22"/>
        </w:rPr>
        <w:t>a</w:t>
      </w:r>
      <w:r w:rsidRPr="00A36329">
        <w:rPr>
          <w:rFonts w:ascii="Palatino Linotype" w:eastAsia="Palatino Linotype" w:hAnsi="Palatino Linotype" w:cs="Palatino Linotype"/>
          <w:color w:val="000000"/>
          <w:sz w:val="22"/>
        </w:rPr>
        <w:t>nario Judicial de la Federación y su gaceta, con el registro digital 2002351.</w:t>
      </w:r>
    </w:p>
    <w:p w14:paraId="73CF3FCA" w14:textId="77777777" w:rsidR="00A36329" w:rsidRPr="00A36329" w:rsidRDefault="00A36329" w:rsidP="00BF0955">
      <w:pPr>
        <w:pBdr>
          <w:top w:val="nil"/>
          <w:left w:val="nil"/>
          <w:bottom w:val="nil"/>
          <w:right w:val="nil"/>
          <w:between w:val="nil"/>
        </w:pBdr>
        <w:ind w:left="567" w:right="539"/>
        <w:jc w:val="both"/>
        <w:rPr>
          <w:rFonts w:ascii="Palatino Linotype" w:eastAsia="Palatino Linotype" w:hAnsi="Palatino Linotype" w:cs="Palatino Linotype"/>
          <w:color w:val="000000"/>
          <w:sz w:val="22"/>
        </w:rPr>
      </w:pPr>
    </w:p>
    <w:p w14:paraId="0C85B07C" w14:textId="3A2D047A" w:rsidR="002A62BF" w:rsidRPr="00A36329" w:rsidRDefault="00351F3E" w:rsidP="00BF0955">
      <w:pPr>
        <w:pBdr>
          <w:top w:val="nil"/>
          <w:left w:val="nil"/>
          <w:bottom w:val="nil"/>
          <w:right w:val="nil"/>
          <w:between w:val="nil"/>
        </w:pBdr>
        <w:spacing w:after="240"/>
        <w:ind w:left="567" w:right="539"/>
        <w:jc w:val="both"/>
        <w:rPr>
          <w:rFonts w:ascii="Palatino Linotype" w:eastAsia="Palatino Linotype" w:hAnsi="Palatino Linotype" w:cs="Palatino Linotype"/>
          <w:color w:val="000000"/>
          <w:sz w:val="22"/>
        </w:rPr>
      </w:pPr>
      <w:r w:rsidRPr="00A36329">
        <w:rPr>
          <w:rFonts w:ascii="Palatino Linotype" w:eastAsia="Palatino Linotype" w:hAnsi="Palatino Linotype" w:cs="Palatino Linotype"/>
          <w:color w:val="000000"/>
          <w:sz w:val="22"/>
        </w:rPr>
        <w:t>PLAZO RAZONABLE PARA RESOLVER. CONCEPTO Y ELEMENTOS QUE LO INTEGRAN A LA LUZ DEL DERECHO INTERNACIONAL DE LOS DERECHOS HUMANOS.”, visible en el Sem</w:t>
      </w:r>
      <w:r w:rsidRPr="00A36329">
        <w:rPr>
          <w:rFonts w:ascii="Palatino Linotype" w:eastAsia="Palatino Linotype" w:hAnsi="Palatino Linotype" w:cs="Palatino Linotype"/>
          <w:sz w:val="22"/>
        </w:rPr>
        <w:t>a</w:t>
      </w:r>
      <w:r w:rsidRPr="00A36329">
        <w:rPr>
          <w:rFonts w:ascii="Palatino Linotype" w:eastAsia="Palatino Linotype" w:hAnsi="Palatino Linotype" w:cs="Palatino Linotype"/>
          <w:color w:val="000000"/>
          <w:sz w:val="22"/>
        </w:rPr>
        <w:t>nario Judicial de la Federación y su gaceta, con el registro digital 2002350.</w:t>
      </w:r>
      <w:r w:rsidR="00593C43" w:rsidRPr="00A36329">
        <w:rPr>
          <w:rFonts w:ascii="Palatino Linotype" w:eastAsia="Palatino Linotype" w:hAnsi="Palatino Linotype" w:cs="Palatino Linotype"/>
          <w:color w:val="000000"/>
          <w:sz w:val="22"/>
        </w:rPr>
        <w:t>”</w:t>
      </w:r>
    </w:p>
    <w:p w14:paraId="7FD03346" w14:textId="77777777" w:rsidR="002A62BF" w:rsidRPr="00A36329" w:rsidRDefault="002A62BF" w:rsidP="00C43E6F">
      <w:pPr>
        <w:spacing w:before="240" w:after="240"/>
        <w:ind w:right="-28"/>
        <w:rPr>
          <w:rFonts w:ascii="Palatino Linotype" w:eastAsia="Palatino Linotype" w:hAnsi="Palatino Linotype" w:cs="Palatino Linotype"/>
        </w:rPr>
      </w:pPr>
    </w:p>
    <w:p w14:paraId="714C0767"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r w:rsidR="00BF0955" w:rsidRPr="00A36329">
        <w:rPr>
          <w:rFonts w:ascii="Palatino Linotype" w:eastAsia="Palatino Linotype" w:hAnsi="Palatino Linotype" w:cs="Palatino Linotype"/>
        </w:rPr>
        <w:t>.</w:t>
      </w:r>
    </w:p>
    <w:p w14:paraId="0CC4E7BE" w14:textId="77777777" w:rsidR="00BF0955" w:rsidRPr="00A36329" w:rsidRDefault="00BF0955" w:rsidP="00BF0955">
      <w:pPr>
        <w:spacing w:line="360" w:lineRule="auto"/>
        <w:ind w:right="-28"/>
        <w:jc w:val="both"/>
        <w:rPr>
          <w:rFonts w:ascii="Palatino Linotype" w:eastAsia="Palatino Linotype" w:hAnsi="Palatino Linotype" w:cs="Palatino Linotype"/>
        </w:rPr>
      </w:pPr>
    </w:p>
    <w:p w14:paraId="78FB1818" w14:textId="3CBE8305" w:rsidR="002A62BF"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La Comisionada Ponente decretó el cierre de instrucción mediante el acuerdo del</w:t>
      </w:r>
      <w:r w:rsidR="00C37A8F" w:rsidRPr="00A36329">
        <w:rPr>
          <w:rFonts w:ascii="Palatino Linotype" w:eastAsia="Palatino Linotype" w:hAnsi="Palatino Linotype" w:cs="Palatino Linotype"/>
        </w:rPr>
        <w:t xml:space="preserve"> veintisiete</w:t>
      </w:r>
      <w:r w:rsidRPr="00A36329">
        <w:rPr>
          <w:rFonts w:ascii="Palatino Linotype" w:eastAsia="Palatino Linotype" w:hAnsi="Palatino Linotype" w:cs="Palatino Linotype"/>
        </w:rPr>
        <w:t xml:space="preserve"> de </w:t>
      </w:r>
      <w:r w:rsidR="00C43E6F" w:rsidRPr="00A36329">
        <w:rPr>
          <w:rFonts w:ascii="Palatino Linotype" w:eastAsia="Palatino Linotype" w:hAnsi="Palatino Linotype" w:cs="Palatino Linotype"/>
        </w:rPr>
        <w:t>noviembre</w:t>
      </w:r>
      <w:r w:rsidRPr="00A36329">
        <w:rPr>
          <w:rFonts w:ascii="Palatino Linotype" w:eastAsia="Palatino Linotype" w:hAnsi="Palatino Linotype" w:cs="Palatino Linotype"/>
        </w:rPr>
        <w:t xml:space="preserve"> de dos mil veinticuatro.-------------------------------------</w:t>
      </w:r>
      <w:r w:rsidR="00A36329">
        <w:rPr>
          <w:rFonts w:ascii="Palatino Linotype" w:eastAsia="Palatino Linotype" w:hAnsi="Palatino Linotype" w:cs="Palatino Linotype"/>
        </w:rPr>
        <w:t>--------------------</w:t>
      </w:r>
    </w:p>
    <w:p w14:paraId="07804112" w14:textId="77777777" w:rsidR="00A36329" w:rsidRDefault="00A36329" w:rsidP="00A36329">
      <w:pPr>
        <w:pStyle w:val="Prrafodelista"/>
        <w:rPr>
          <w:rFonts w:ascii="Palatino Linotype" w:eastAsia="Palatino Linotype" w:hAnsi="Palatino Linotype" w:cs="Palatino Linotype"/>
        </w:rPr>
      </w:pPr>
    </w:p>
    <w:p w14:paraId="73B52603" w14:textId="77777777" w:rsidR="00A36329" w:rsidRPr="00A36329" w:rsidRDefault="00A36329" w:rsidP="00A36329">
      <w:pPr>
        <w:spacing w:line="360" w:lineRule="auto"/>
        <w:ind w:right="-28"/>
        <w:jc w:val="both"/>
        <w:rPr>
          <w:rFonts w:ascii="Palatino Linotype" w:eastAsia="Palatino Linotype" w:hAnsi="Palatino Linotype" w:cs="Palatino Linotype"/>
        </w:rPr>
      </w:pPr>
    </w:p>
    <w:p w14:paraId="53D85A23"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2E06CFA7" w14:textId="77777777" w:rsidR="002A62BF" w:rsidRPr="00A36329" w:rsidRDefault="00351F3E" w:rsidP="00BF0955">
      <w:pPr>
        <w:keepNext/>
        <w:keepLines/>
        <w:spacing w:line="360" w:lineRule="auto"/>
        <w:ind w:right="-28"/>
        <w:jc w:val="center"/>
        <w:rPr>
          <w:rFonts w:ascii="Palatino Linotype" w:eastAsia="Palatino Linotype" w:hAnsi="Palatino Linotype" w:cs="Palatino Linotype"/>
        </w:rPr>
      </w:pPr>
      <w:r w:rsidRPr="00A36329">
        <w:rPr>
          <w:rFonts w:ascii="Palatino Linotype" w:eastAsia="Palatino Linotype" w:hAnsi="Palatino Linotype" w:cs="Palatino Linotype"/>
          <w:b/>
        </w:rPr>
        <w:lastRenderedPageBreak/>
        <w:t xml:space="preserve">C O N S I D E R A N D O </w:t>
      </w:r>
    </w:p>
    <w:p w14:paraId="5658F276" w14:textId="77777777" w:rsidR="002A62BF" w:rsidRPr="00A36329" w:rsidRDefault="002A62BF" w:rsidP="00BF0955">
      <w:pPr>
        <w:spacing w:line="360" w:lineRule="auto"/>
        <w:ind w:right="-28"/>
        <w:rPr>
          <w:rFonts w:ascii="Palatino Linotype" w:eastAsia="Palatino Linotype" w:hAnsi="Palatino Linotype" w:cs="Palatino Linotype"/>
        </w:rPr>
      </w:pPr>
    </w:p>
    <w:p w14:paraId="2D5A8CEF" w14:textId="77777777" w:rsidR="002A62BF" w:rsidRPr="00A36329" w:rsidRDefault="00351F3E" w:rsidP="00BF0955">
      <w:pPr>
        <w:keepNext/>
        <w:keepLines/>
        <w:spacing w:line="360" w:lineRule="auto"/>
        <w:ind w:right="-28"/>
        <w:rPr>
          <w:rFonts w:ascii="Palatino Linotype" w:eastAsia="Palatino Linotype" w:hAnsi="Palatino Linotype" w:cs="Palatino Linotype"/>
          <w:b/>
        </w:rPr>
      </w:pPr>
      <w:bookmarkStart w:id="2" w:name="_heading=h.3znysh7" w:colFirst="0" w:colLast="0"/>
      <w:bookmarkEnd w:id="2"/>
      <w:r w:rsidRPr="00A36329">
        <w:rPr>
          <w:rFonts w:ascii="Palatino Linotype" w:eastAsia="Palatino Linotype" w:hAnsi="Palatino Linotype" w:cs="Palatino Linotype"/>
          <w:b/>
        </w:rPr>
        <w:t>PRIMERO. De la competencia.</w:t>
      </w:r>
    </w:p>
    <w:p w14:paraId="05DD6E2A"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1AD803B9"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6C13881A" w14:textId="77777777" w:rsidR="002A62BF" w:rsidRPr="00A36329" w:rsidRDefault="00351F3E" w:rsidP="00BF0955">
      <w:pPr>
        <w:keepNext/>
        <w:keepLines/>
        <w:spacing w:line="360" w:lineRule="auto"/>
        <w:ind w:right="-28"/>
        <w:rPr>
          <w:rFonts w:ascii="Palatino Linotype" w:eastAsia="Palatino Linotype" w:hAnsi="Palatino Linotype" w:cs="Palatino Linotype"/>
          <w:b/>
        </w:rPr>
      </w:pPr>
      <w:bookmarkStart w:id="3" w:name="_heading=h.2et92p0" w:colFirst="0" w:colLast="0"/>
      <w:bookmarkEnd w:id="3"/>
      <w:r w:rsidRPr="00A36329">
        <w:rPr>
          <w:rFonts w:ascii="Palatino Linotype" w:eastAsia="Palatino Linotype" w:hAnsi="Palatino Linotype" w:cs="Palatino Linotype"/>
          <w:b/>
        </w:rPr>
        <w:t>SEGUNDO. De la oportunidad y procedencia.</w:t>
      </w:r>
    </w:p>
    <w:p w14:paraId="44593A9E" w14:textId="29EC959F"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El medio de impugnación fue presentado a través del </w:t>
      </w:r>
      <w:r w:rsidRPr="00A36329">
        <w:rPr>
          <w:rFonts w:ascii="Palatino Linotype" w:eastAsia="Palatino Linotype" w:hAnsi="Palatino Linotype" w:cs="Palatino Linotype"/>
          <w:b/>
        </w:rPr>
        <w:t>SAIMEX,</w:t>
      </w:r>
      <w:r w:rsidRPr="00A36329">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A36329">
        <w:rPr>
          <w:rFonts w:ascii="Palatino Linotype" w:eastAsia="Palatino Linotype" w:hAnsi="Palatino Linotype" w:cs="Palatino Linotype"/>
          <w:b/>
        </w:rPr>
        <w:t>SUJETO OBLIGADO</w:t>
      </w:r>
      <w:r w:rsidRPr="00A36329">
        <w:rPr>
          <w:rFonts w:ascii="Palatino Linotype" w:eastAsia="Palatino Linotype" w:hAnsi="Palatino Linotype" w:cs="Palatino Linotype"/>
        </w:rPr>
        <w:t xml:space="preserve"> entregó respuesta el siete de </w:t>
      </w:r>
      <w:r w:rsidR="00C37A8F" w:rsidRPr="00A36329">
        <w:rPr>
          <w:rFonts w:ascii="Palatino Linotype" w:eastAsia="Palatino Linotype" w:hAnsi="Palatino Linotype" w:cs="Palatino Linotype"/>
        </w:rPr>
        <w:t>junio</w:t>
      </w:r>
      <w:r w:rsidRPr="00A36329">
        <w:rPr>
          <w:rFonts w:ascii="Palatino Linotype" w:eastAsia="Palatino Linotype" w:hAnsi="Palatino Linotype" w:cs="Palatino Linotype"/>
        </w:rPr>
        <w:t xml:space="preserve"> de dos mil veinticuatro, de tal forma que el plazo para interponer el recurso de revisión transcurrió del </w:t>
      </w:r>
      <w:r w:rsidR="00C37A8F" w:rsidRPr="00A36329">
        <w:rPr>
          <w:rFonts w:ascii="Palatino Linotype" w:eastAsia="Palatino Linotype" w:hAnsi="Palatino Linotype" w:cs="Palatino Linotype"/>
        </w:rPr>
        <w:t>diez al veintiocho de junio</w:t>
      </w:r>
      <w:r w:rsidRPr="00A36329">
        <w:rPr>
          <w:rFonts w:ascii="Palatino Linotype" w:eastAsia="Palatino Linotype" w:hAnsi="Palatino Linotype" w:cs="Palatino Linotype"/>
        </w:rPr>
        <w:t xml:space="preserve"> de dos mil veinticuatro; en consecuencia, presentó su inconformidad el </w:t>
      </w:r>
      <w:r w:rsidR="00C37A8F" w:rsidRPr="00A36329">
        <w:rPr>
          <w:rFonts w:ascii="Palatino Linotype" w:eastAsia="Palatino Linotype" w:hAnsi="Palatino Linotype" w:cs="Palatino Linotype"/>
        </w:rPr>
        <w:t>once de junio</w:t>
      </w:r>
      <w:r w:rsidRPr="00A36329">
        <w:rPr>
          <w:rFonts w:ascii="Palatino Linotype" w:eastAsia="Palatino Linotype" w:hAnsi="Palatino Linotype" w:cs="Palatino Linotype"/>
        </w:rPr>
        <w:t xml:space="preserve"> de dos mil veinticuatro, por lo que se encuentra dentro de los márgenes temporales previstos en el artículo 178 de la </w:t>
      </w:r>
      <w:r w:rsidRPr="00A36329">
        <w:rPr>
          <w:rFonts w:ascii="Palatino Linotype" w:eastAsia="Palatino Linotype" w:hAnsi="Palatino Linotype" w:cs="Palatino Linotype"/>
          <w:b/>
        </w:rPr>
        <w:t xml:space="preserve">Ley de Transparencia y Acceso a la Información Pública del Estado de México y Municipios </w:t>
      </w:r>
      <w:r w:rsidRPr="00A36329">
        <w:rPr>
          <w:rFonts w:ascii="Palatino Linotype" w:eastAsia="Palatino Linotype" w:hAnsi="Palatino Linotype" w:cs="Palatino Linotype"/>
        </w:rPr>
        <w:t>vigente.</w:t>
      </w:r>
    </w:p>
    <w:p w14:paraId="2E2A8BE7"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3145E1DA" w14:textId="7434CC6D"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bookmarkStart w:id="4" w:name="_heading=h.3dy6vkm" w:colFirst="0" w:colLast="0"/>
      <w:bookmarkEnd w:id="4"/>
      <w:r w:rsidRPr="00A36329">
        <w:rPr>
          <w:rFonts w:ascii="Palatino Linotype" w:eastAsia="Palatino Linotype" w:hAnsi="Palatino Linotype" w:cs="Palatino Linotype"/>
        </w:rPr>
        <w:t xml:space="preserve">Por otro lado, el escrito contiene las formalidades previstas por el artículo 180 último párrafo de la Ley de la materia actual, por lo que es procedente que este Instituto de </w:t>
      </w:r>
      <w:r w:rsidRPr="00A36329">
        <w:rPr>
          <w:rFonts w:ascii="Palatino Linotype" w:eastAsia="Palatino Linotype" w:hAnsi="Palatino Linotype" w:cs="Palatino Linotype"/>
        </w:rPr>
        <w:lastRenderedPageBreak/>
        <w:t>Transparencia, Acceso a la Información Pública y Protección de Datos Personales del Estado de México y Municipios, conozca y resuelva el presente recurso.</w:t>
      </w:r>
    </w:p>
    <w:p w14:paraId="28935F5F" w14:textId="77777777" w:rsidR="00C37A8F" w:rsidRPr="00A36329" w:rsidRDefault="00C37A8F" w:rsidP="00C37A8F">
      <w:pPr>
        <w:spacing w:line="360" w:lineRule="auto"/>
        <w:ind w:right="-28"/>
        <w:jc w:val="both"/>
        <w:rPr>
          <w:rFonts w:ascii="Palatino Linotype" w:eastAsia="Palatino Linotype" w:hAnsi="Palatino Linotype" w:cs="Palatino Linotype"/>
        </w:rPr>
      </w:pPr>
    </w:p>
    <w:p w14:paraId="60F6463B" w14:textId="0E34F54B" w:rsidR="002A62BF" w:rsidRPr="00A36329" w:rsidRDefault="00351F3E" w:rsidP="00BF0955">
      <w:pPr>
        <w:spacing w:line="360" w:lineRule="auto"/>
        <w:ind w:right="-28"/>
        <w:jc w:val="both"/>
        <w:rPr>
          <w:rFonts w:ascii="Palatino Linotype" w:eastAsia="Palatino Linotype" w:hAnsi="Palatino Linotype" w:cs="Palatino Linotype"/>
          <w:b/>
        </w:rPr>
      </w:pPr>
      <w:r w:rsidRPr="00A36329">
        <w:rPr>
          <w:rFonts w:ascii="Palatino Linotype" w:eastAsia="Palatino Linotype" w:hAnsi="Palatino Linotype" w:cs="Palatino Linotype"/>
          <w:b/>
        </w:rPr>
        <w:t>TERCERO. Planteamiento de la Litis.</w:t>
      </w:r>
    </w:p>
    <w:p w14:paraId="73D35983" w14:textId="685A0DA3" w:rsidR="00593C43" w:rsidRPr="00A36329" w:rsidRDefault="00351F3E" w:rsidP="00C37A8F">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El </w:t>
      </w:r>
      <w:r w:rsidRPr="00A36329">
        <w:rPr>
          <w:rFonts w:ascii="Palatino Linotype" w:eastAsia="Palatino Linotype" w:hAnsi="Palatino Linotype" w:cs="Palatino Linotype"/>
          <w:b/>
        </w:rPr>
        <w:t>RECURRENTE</w:t>
      </w:r>
      <w:r w:rsidRPr="00A36329">
        <w:rPr>
          <w:rFonts w:ascii="Palatino Linotype" w:eastAsia="Palatino Linotype" w:hAnsi="Palatino Linotype" w:cs="Palatino Linotype"/>
        </w:rPr>
        <w:t xml:space="preserve"> solicitó </w:t>
      </w:r>
      <w:r w:rsidR="00C37A8F" w:rsidRPr="00A36329">
        <w:rPr>
          <w:rFonts w:ascii="Palatino Linotype" w:eastAsia="Palatino Linotype" w:hAnsi="Palatino Linotype" w:cs="Palatino Linotype"/>
        </w:rPr>
        <w:t>se atendieran los siguientes cuestionamientos</w:t>
      </w:r>
      <w:r w:rsidR="00593C43" w:rsidRPr="00A36329">
        <w:rPr>
          <w:rFonts w:ascii="Palatino Linotype" w:eastAsia="Palatino Linotype" w:hAnsi="Palatino Linotype" w:cs="Palatino Linotype"/>
        </w:rPr>
        <w:t>:</w:t>
      </w:r>
      <w:r w:rsidR="00C37A8F" w:rsidRPr="00A36329">
        <w:rPr>
          <w:rFonts w:ascii="Palatino Linotype" w:eastAsia="Palatino Linotype" w:hAnsi="Palatino Linotype" w:cs="Palatino Linotype"/>
        </w:rPr>
        <w:t xml:space="preserve"> “… </w:t>
      </w:r>
      <w:r w:rsidR="00C37A8F" w:rsidRPr="00A36329">
        <w:rPr>
          <w:rFonts w:ascii="Palatino Linotype" w:hAnsi="Palatino Linotype"/>
          <w:i/>
          <w:color w:val="000000"/>
        </w:rPr>
        <w:t xml:space="preserve">Recientemente se han presentado puntos de revisión comandados por agentes de la policía municipal en Ecatepec de Morelos. Cierran vías principales, por ejemplo, Avenida Central o Vía Morelos, y tienen como objetivo detener a motociclistas. En razón de ello solicito que, por favor, atiendan las siguientes preguntas: </w:t>
      </w:r>
      <w:r w:rsidR="00C37A8F" w:rsidRPr="00A36329">
        <w:rPr>
          <w:rFonts w:ascii="Palatino Linotype" w:hAnsi="Palatino Linotype"/>
          <w:b/>
          <w:bCs/>
          <w:i/>
          <w:color w:val="000000"/>
        </w:rPr>
        <w:t>¿Estaban al tanto? De acuerdo a los artículos 2 y 4 del Reglamento de Tránsito del Estado de México, ¿los agentes de policía municipal en Ecatepec de Morelos cuentan con un convenio o “transferencia de tránsito” que les permita ejercer una vigilancia en vialidades intermunicipales? ¿Autorizan el cierre de vialidades principales para esos fines? Si es ilegal el actuar de la policía municipal ¿se puede recurrir a la policía estatal y/o a la Secretaría de Movilidad?</w:t>
      </w:r>
      <w:r w:rsidR="004871FF" w:rsidRPr="00A36329">
        <w:rPr>
          <w:rFonts w:ascii="Palatino Linotype" w:hAnsi="Palatino Linotype"/>
          <w:i/>
          <w:color w:val="000000"/>
        </w:rPr>
        <w:t xml:space="preserve">... </w:t>
      </w:r>
      <w:r w:rsidR="00593C43" w:rsidRPr="00A36329">
        <w:rPr>
          <w:rFonts w:ascii="Palatino Linotype" w:hAnsi="Palatino Linotype"/>
          <w:i/>
          <w:iCs/>
        </w:rPr>
        <w:t>” (Sic)</w:t>
      </w:r>
    </w:p>
    <w:p w14:paraId="570D34D1" w14:textId="0AEB89FB" w:rsidR="002A62BF" w:rsidRPr="00A36329" w:rsidRDefault="002A62BF" w:rsidP="00BF0955">
      <w:pPr>
        <w:spacing w:line="360" w:lineRule="auto"/>
        <w:ind w:right="-28"/>
        <w:jc w:val="both"/>
        <w:rPr>
          <w:rFonts w:ascii="Palatino Linotype" w:eastAsia="Palatino Linotype" w:hAnsi="Palatino Linotype" w:cs="Palatino Linotype"/>
        </w:rPr>
      </w:pPr>
    </w:p>
    <w:p w14:paraId="30B01922" w14:textId="259F2B65"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En respuesta, el </w:t>
      </w:r>
      <w:r w:rsidRPr="00A36329">
        <w:rPr>
          <w:rFonts w:ascii="Palatino Linotype" w:eastAsia="Palatino Linotype" w:hAnsi="Palatino Linotype" w:cs="Palatino Linotype"/>
          <w:b/>
        </w:rPr>
        <w:t xml:space="preserve">SUJETO OBLIGADO </w:t>
      </w:r>
      <w:r w:rsidRPr="00A36329">
        <w:rPr>
          <w:rFonts w:ascii="Palatino Linotype" w:eastAsia="Palatino Linotype" w:hAnsi="Palatino Linotype" w:cs="Palatino Linotype"/>
        </w:rPr>
        <w:t xml:space="preserve">informó su incompetencia para atender </w:t>
      </w:r>
      <w:r w:rsidR="004871FF" w:rsidRPr="00A36329">
        <w:rPr>
          <w:rFonts w:ascii="Palatino Linotype" w:eastAsia="Palatino Linotype" w:hAnsi="Palatino Linotype" w:cs="Palatino Linotype"/>
        </w:rPr>
        <w:t>el requerimiento</w:t>
      </w:r>
      <w:r w:rsidRPr="00A36329">
        <w:rPr>
          <w:rFonts w:ascii="Palatino Linotype" w:eastAsia="Palatino Linotype" w:hAnsi="Palatino Linotype" w:cs="Palatino Linotype"/>
        </w:rPr>
        <w:t xml:space="preserve">, asimismo, </w:t>
      </w:r>
      <w:r w:rsidR="00593C43" w:rsidRPr="00A36329">
        <w:rPr>
          <w:rFonts w:ascii="Palatino Linotype" w:eastAsia="Palatino Linotype" w:hAnsi="Palatino Linotype" w:cs="Palatino Linotype"/>
        </w:rPr>
        <w:t xml:space="preserve">sugirió emitir una nueva solicitud </w:t>
      </w:r>
      <w:r w:rsidR="004871FF" w:rsidRPr="00A36329">
        <w:rPr>
          <w:rFonts w:ascii="Palatino Linotype" w:eastAsia="Palatino Linotype" w:hAnsi="Palatino Linotype" w:cs="Palatino Linotype"/>
        </w:rPr>
        <w:t xml:space="preserve">de información </w:t>
      </w:r>
      <w:r w:rsidR="00593C43" w:rsidRPr="00A36329">
        <w:rPr>
          <w:rFonts w:ascii="Palatino Linotype" w:eastAsia="Palatino Linotype" w:hAnsi="Palatino Linotype" w:cs="Palatino Linotype"/>
        </w:rPr>
        <w:t>a</w:t>
      </w:r>
      <w:r w:rsidR="004871FF" w:rsidRPr="00A36329">
        <w:rPr>
          <w:rFonts w:ascii="Palatino Linotype" w:eastAsia="Palatino Linotype" w:hAnsi="Palatino Linotype" w:cs="Palatino Linotype"/>
        </w:rPr>
        <w:t xml:space="preserve"> la Secretaría de Seguridad del Estado de México</w:t>
      </w:r>
      <w:r w:rsidR="00593C43" w:rsidRPr="00A36329">
        <w:rPr>
          <w:rFonts w:ascii="Palatino Linotype" w:eastAsia="Palatino Linotype" w:hAnsi="Palatino Linotype" w:cs="Palatino Linotype"/>
        </w:rPr>
        <w:t xml:space="preserve"> </w:t>
      </w:r>
      <w:r w:rsidR="004871FF" w:rsidRPr="00A36329">
        <w:rPr>
          <w:rFonts w:ascii="Palatino Linotype" w:eastAsia="Palatino Linotype" w:hAnsi="Palatino Linotype" w:cs="Palatino Linotype"/>
        </w:rPr>
        <w:t xml:space="preserve">y/o a </w:t>
      </w:r>
      <w:r w:rsidR="00593C43" w:rsidRPr="00A36329">
        <w:rPr>
          <w:rFonts w:ascii="Palatino Linotype" w:eastAsia="Palatino Linotype" w:hAnsi="Palatino Linotype" w:cs="Palatino Linotype"/>
        </w:rPr>
        <w:t>las Autoridades Municipales</w:t>
      </w:r>
      <w:r w:rsidR="004871FF" w:rsidRPr="00A36329">
        <w:rPr>
          <w:rFonts w:ascii="Palatino Linotype" w:eastAsia="Palatino Linotype" w:hAnsi="Palatino Linotype" w:cs="Palatino Linotype"/>
        </w:rPr>
        <w:t xml:space="preserve"> correspondientes</w:t>
      </w:r>
      <w:r w:rsidR="00593C43" w:rsidRPr="00A36329">
        <w:rPr>
          <w:rFonts w:ascii="Palatino Linotype" w:eastAsia="Palatino Linotype" w:hAnsi="Palatino Linotype" w:cs="Palatino Linotype"/>
        </w:rPr>
        <w:t>.</w:t>
      </w:r>
      <w:r w:rsidR="000B2D69" w:rsidRPr="00A36329">
        <w:rPr>
          <w:rFonts w:ascii="Palatino Linotype" w:eastAsia="Palatino Linotype" w:hAnsi="Palatino Linotype" w:cs="Palatino Linotype"/>
        </w:rPr>
        <w:t xml:space="preserve"> Motivo de inconformidad del </w:t>
      </w:r>
      <w:r w:rsidR="000B2D69" w:rsidRPr="00A36329">
        <w:rPr>
          <w:rFonts w:ascii="Palatino Linotype" w:eastAsia="Palatino Linotype" w:hAnsi="Palatino Linotype" w:cs="Palatino Linotype"/>
          <w:b/>
          <w:bCs/>
        </w:rPr>
        <w:t>RECURRENTE.</w:t>
      </w:r>
    </w:p>
    <w:p w14:paraId="6EC0F3B5"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7B525618"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En dichas condiciones, la </w:t>
      </w:r>
      <w:r w:rsidRPr="00A36329">
        <w:rPr>
          <w:rFonts w:ascii="Palatino Linotype" w:eastAsia="Palatino Linotype" w:hAnsi="Palatino Linotype" w:cs="Palatino Linotype"/>
          <w:i/>
        </w:rPr>
        <w:t>Litis</w:t>
      </w:r>
      <w:r w:rsidRPr="00A36329">
        <w:rPr>
          <w:rFonts w:ascii="Palatino Linotype" w:eastAsia="Palatino Linotype" w:hAnsi="Palatino Linotype" w:cs="Palatino Linotype"/>
        </w:rPr>
        <w:t xml:space="preserve"> a resolver en el presente recurso de revisión se circunscribe a determinar si se actualizan la causal de procedencia prevista en el artículo 179, fracción</w:t>
      </w:r>
      <w:r w:rsidRPr="00A36329">
        <w:rPr>
          <w:rFonts w:ascii="Palatino Linotype" w:eastAsia="Palatino Linotype" w:hAnsi="Palatino Linotype" w:cs="Palatino Linotype"/>
          <w:b/>
        </w:rPr>
        <w:t xml:space="preserve"> I y IV</w:t>
      </w:r>
      <w:r w:rsidRPr="00A36329">
        <w:rPr>
          <w:rFonts w:ascii="Palatino Linotype" w:eastAsia="Palatino Linotype" w:hAnsi="Palatino Linotype" w:cs="Palatino Linotype"/>
        </w:rPr>
        <w:t xml:space="preserve"> de la </w:t>
      </w:r>
      <w:r w:rsidRPr="00A36329">
        <w:rPr>
          <w:rFonts w:ascii="Palatino Linotype" w:eastAsia="Palatino Linotype" w:hAnsi="Palatino Linotype" w:cs="Palatino Linotype"/>
          <w:b/>
        </w:rPr>
        <w:t>Ley de Transparencia y Acceso a la Información Pública del Estado de México y Municipios</w:t>
      </w:r>
      <w:r w:rsidRPr="00A36329">
        <w:rPr>
          <w:rFonts w:ascii="Palatino Linotype" w:eastAsia="Palatino Linotype" w:hAnsi="Palatino Linotype" w:cs="Palatino Linotype"/>
        </w:rPr>
        <w:t>.</w:t>
      </w:r>
    </w:p>
    <w:p w14:paraId="20BDD3ED" w14:textId="77777777" w:rsidR="00BF0955" w:rsidRPr="00A36329" w:rsidRDefault="00BF0955" w:rsidP="00BF0955">
      <w:pPr>
        <w:spacing w:line="360" w:lineRule="auto"/>
        <w:ind w:right="-28"/>
        <w:jc w:val="both"/>
        <w:rPr>
          <w:rFonts w:ascii="Palatino Linotype" w:eastAsia="Palatino Linotype" w:hAnsi="Palatino Linotype" w:cs="Palatino Linotype"/>
        </w:rPr>
      </w:pPr>
    </w:p>
    <w:p w14:paraId="2D77F2A8" w14:textId="0D9F8191" w:rsidR="002A62BF" w:rsidRPr="00A36329" w:rsidRDefault="00351F3E" w:rsidP="00BF0955">
      <w:pPr>
        <w:pStyle w:val="Ttulo2"/>
        <w:spacing w:before="0" w:line="360" w:lineRule="auto"/>
        <w:ind w:right="-28"/>
        <w:rPr>
          <w:rFonts w:ascii="Palatino Linotype" w:eastAsia="Palatino Linotype" w:hAnsi="Palatino Linotype" w:cs="Palatino Linotype"/>
          <w:b/>
          <w:color w:val="000000"/>
          <w:sz w:val="24"/>
          <w:szCs w:val="24"/>
        </w:rPr>
      </w:pPr>
      <w:bookmarkStart w:id="5" w:name="_heading=h.tyjcwt" w:colFirst="0" w:colLast="0"/>
      <w:bookmarkEnd w:id="5"/>
      <w:r w:rsidRPr="00A36329">
        <w:rPr>
          <w:rFonts w:ascii="Palatino Linotype" w:eastAsia="Palatino Linotype" w:hAnsi="Palatino Linotype" w:cs="Palatino Linotype"/>
          <w:b/>
          <w:color w:val="000000"/>
          <w:sz w:val="24"/>
          <w:szCs w:val="24"/>
        </w:rPr>
        <w:lastRenderedPageBreak/>
        <w:t>CUARTA. Estudio y resolución del asunto.</w:t>
      </w:r>
    </w:p>
    <w:p w14:paraId="68A8AFFD" w14:textId="4F80BC6D"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El </w:t>
      </w:r>
      <w:r w:rsidRPr="00A36329">
        <w:rPr>
          <w:rFonts w:ascii="Palatino Linotype" w:eastAsia="Palatino Linotype" w:hAnsi="Palatino Linotype" w:cs="Palatino Linotype"/>
          <w:color w:val="000000"/>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A36329">
        <w:rPr>
          <w:rFonts w:ascii="Palatino Linotype" w:eastAsia="Palatino Linotype" w:hAnsi="Palatino Linotype" w:cs="Palatino Linotype"/>
        </w:rPr>
        <w:t>Particular</w:t>
      </w:r>
      <w:r w:rsidRPr="00A36329">
        <w:rPr>
          <w:rFonts w:ascii="Palatino Linotype" w:eastAsia="Palatino Linotype" w:hAnsi="Palatino Linotype" w:cs="Palatino Linotype"/>
          <w:color w:val="000000"/>
        </w:rPr>
        <w:t xml:space="preserve"> del Estado de México.</w:t>
      </w:r>
    </w:p>
    <w:p w14:paraId="18C987A7" w14:textId="77777777" w:rsidR="00C37A8F" w:rsidRPr="00A36329" w:rsidRDefault="00C37A8F" w:rsidP="00C37A8F">
      <w:pPr>
        <w:spacing w:line="360" w:lineRule="auto"/>
        <w:ind w:right="-28"/>
        <w:jc w:val="both"/>
        <w:rPr>
          <w:rFonts w:ascii="Palatino Linotype" w:eastAsia="Palatino Linotype" w:hAnsi="Palatino Linotype" w:cs="Palatino Linotype"/>
        </w:rPr>
      </w:pPr>
    </w:p>
    <w:p w14:paraId="2A7462E4"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color w:val="000000"/>
        </w:rPr>
        <w:t xml:space="preserve">Definiendo </w:t>
      </w:r>
      <w:r w:rsidRPr="00A36329">
        <w:rPr>
          <w:rFonts w:ascii="Palatino Linotype" w:eastAsia="Palatino Linotype" w:hAnsi="Palatino Linotype" w:cs="Palatino Linotype"/>
        </w:rPr>
        <w:t xml:space="preserve">el Derecho de Acceso a la Información Pública como: </w:t>
      </w:r>
      <w:r w:rsidRPr="00A36329">
        <w:rPr>
          <w:rFonts w:ascii="Palatino Linotype" w:eastAsia="Palatino Linotype" w:hAnsi="Palatino Linotype" w:cs="Palatino Linotype"/>
          <w:i/>
          <w:color w:val="000000"/>
        </w:rPr>
        <w:t xml:space="preserve">La igualdad de </w:t>
      </w:r>
      <w:r w:rsidRPr="00A36329">
        <w:rPr>
          <w:rFonts w:ascii="Palatino Linotype" w:eastAsia="Palatino Linotype" w:hAnsi="Palatino Linotype" w:cs="Palatino Linotype"/>
        </w:rPr>
        <w:t>oportunidades</w:t>
      </w:r>
      <w:r w:rsidRPr="00A36329">
        <w:rPr>
          <w:rFonts w:ascii="Palatino Linotype" w:eastAsia="Palatino Linotype" w:hAnsi="Palatino Linotype" w:cs="Palatino Linotype"/>
          <w:i/>
          <w:color w:val="000000"/>
        </w:rPr>
        <w:t xml:space="preserve"> para recibir, buscar e impartir información</w:t>
      </w:r>
      <w:r w:rsidRPr="00A36329">
        <w:rPr>
          <w:rFonts w:ascii="Palatino Linotype" w:eastAsia="Palatino Linotype" w:hAnsi="Palatino Linotype" w:cs="Palatino Linotype"/>
          <w:i/>
          <w:color w:val="000000"/>
          <w:vertAlign w:val="superscript"/>
        </w:rPr>
        <w:footnoteReference w:id="1"/>
      </w:r>
      <w:r w:rsidRPr="00A36329">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36329">
        <w:rPr>
          <w:rFonts w:ascii="Palatino Linotype" w:eastAsia="Palatino Linotype" w:hAnsi="Palatino Linotype" w:cs="Palatino Linotype"/>
          <w:i/>
          <w:color w:val="000000"/>
          <w:vertAlign w:val="superscript"/>
        </w:rPr>
        <w:footnoteReference w:id="2"/>
      </w:r>
      <w:r w:rsidRPr="00A36329">
        <w:rPr>
          <w:rFonts w:ascii="Palatino Linotype" w:eastAsia="Palatino Linotype" w:hAnsi="Palatino Linotype" w:cs="Palatino Linotype"/>
          <w:color w:val="000000"/>
        </w:rPr>
        <w:t>que se constituye como una herramienta fundamental para ejercer</w:t>
      </w:r>
      <w:r w:rsidRPr="00A36329">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A36329">
        <w:rPr>
          <w:rFonts w:ascii="Palatino Linotype" w:eastAsia="Palatino Linotype" w:hAnsi="Palatino Linotype" w:cs="Palatino Linotype"/>
          <w:i/>
          <w:color w:val="000000"/>
          <w:vertAlign w:val="superscript"/>
        </w:rPr>
        <w:footnoteReference w:id="3"/>
      </w:r>
      <w:r w:rsidRPr="00A36329">
        <w:rPr>
          <w:rFonts w:ascii="Palatino Linotype" w:eastAsia="Palatino Linotype" w:hAnsi="Palatino Linotype" w:cs="Palatino Linotype"/>
          <w:color w:val="000000"/>
        </w:rPr>
        <w:t>fomentando</w:t>
      </w:r>
      <w:r w:rsidRPr="00A36329">
        <w:rPr>
          <w:rFonts w:ascii="Palatino Linotype" w:eastAsia="Palatino Linotype" w:hAnsi="Palatino Linotype" w:cs="Palatino Linotype"/>
          <w:i/>
          <w:color w:val="000000"/>
        </w:rPr>
        <w:t xml:space="preserve"> la transparencia de las actividades estatales y </w:t>
      </w:r>
      <w:r w:rsidRPr="00A36329">
        <w:rPr>
          <w:rFonts w:ascii="Palatino Linotype" w:eastAsia="Palatino Linotype" w:hAnsi="Palatino Linotype" w:cs="Palatino Linotype"/>
          <w:color w:val="000000"/>
        </w:rPr>
        <w:t>promoviendo</w:t>
      </w:r>
      <w:r w:rsidRPr="00A36329">
        <w:rPr>
          <w:rFonts w:ascii="Palatino Linotype" w:eastAsia="Palatino Linotype" w:hAnsi="Palatino Linotype" w:cs="Palatino Linotype"/>
          <w:i/>
          <w:color w:val="000000"/>
        </w:rPr>
        <w:t xml:space="preserve"> la responsabilidad de los funcionarios sobre su gestión pública,</w:t>
      </w:r>
      <w:r w:rsidRPr="00A36329">
        <w:rPr>
          <w:rFonts w:ascii="Palatino Linotype" w:eastAsia="Palatino Linotype" w:hAnsi="Palatino Linotype" w:cs="Palatino Linotype"/>
          <w:i/>
          <w:color w:val="000000"/>
          <w:vertAlign w:val="superscript"/>
        </w:rPr>
        <w:footnoteReference w:id="4"/>
      </w:r>
      <w:r w:rsidRPr="00A36329">
        <w:rPr>
          <w:rFonts w:ascii="Palatino Linotype" w:eastAsia="Palatino Linotype" w:hAnsi="Palatino Linotype" w:cs="Palatino Linotype"/>
          <w:color w:val="000000"/>
        </w:rPr>
        <w:t>que permite</w:t>
      </w:r>
      <w:r w:rsidRPr="00A36329">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4E028078"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51076BE9"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color w:val="000000"/>
        </w:rPr>
        <w:t xml:space="preserve">En </w:t>
      </w:r>
      <w:r w:rsidRPr="00A36329">
        <w:rPr>
          <w:rFonts w:ascii="Palatino Linotype" w:eastAsia="Palatino Linotype" w:hAnsi="Palatino Linotype" w:cs="Palatino Linotype"/>
        </w:rPr>
        <w:t>México, además de los derechos, están reconocidas las garantías para su protección, en ese sentido el párrafo tercero de artículo primero de la Constitución Política de los Estados Unidos Mexicanos, dispone lo siguiente:</w:t>
      </w:r>
    </w:p>
    <w:p w14:paraId="24C3AE33" w14:textId="77777777" w:rsidR="00BF0955" w:rsidRPr="00A36329" w:rsidRDefault="00BF0955" w:rsidP="00E5155C">
      <w:pPr>
        <w:ind w:right="-28"/>
        <w:jc w:val="both"/>
        <w:rPr>
          <w:rFonts w:ascii="Palatino Linotype" w:eastAsia="Palatino Linotype" w:hAnsi="Palatino Linotype" w:cs="Palatino Linotype"/>
        </w:rPr>
      </w:pPr>
    </w:p>
    <w:p w14:paraId="01FEAB3B"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i/>
          <w:sz w:val="22"/>
        </w:rPr>
        <w:lastRenderedPageBreak/>
        <w:t>“</w:t>
      </w:r>
      <w:r w:rsidRPr="00A36329">
        <w:rPr>
          <w:rFonts w:ascii="Palatino Linotype" w:eastAsia="Palatino Linotype" w:hAnsi="Palatino Linotype" w:cs="Palatino Linotype"/>
          <w:b/>
          <w:i/>
          <w:sz w:val="22"/>
        </w:rPr>
        <w:t>Artículo 1.-</w:t>
      </w:r>
      <w:r w:rsidRPr="00A36329">
        <w:rPr>
          <w:rFonts w:ascii="Palatino Linotype" w:eastAsia="Palatino Linotype" w:hAnsi="Palatino Linotype" w:cs="Palatino Linotype"/>
          <w:i/>
          <w:sz w:val="22"/>
        </w:rPr>
        <w:t xml:space="preserve"> </w:t>
      </w:r>
    </w:p>
    <w:p w14:paraId="21FB9B9A"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i/>
          <w:sz w:val="22"/>
        </w:rPr>
        <w:t>(…)</w:t>
      </w:r>
    </w:p>
    <w:p w14:paraId="4C8D1A05"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i/>
          <w:sz w:val="22"/>
        </w:rPr>
        <w:t>Todas las</w:t>
      </w:r>
      <w:r w:rsidRPr="00A36329">
        <w:rPr>
          <w:rFonts w:ascii="Palatino Linotype" w:eastAsia="Palatino Linotype" w:hAnsi="Palatino Linotype" w:cs="Palatino Linotype"/>
          <w:sz w:val="22"/>
        </w:rPr>
        <w:t xml:space="preserve"> </w:t>
      </w:r>
      <w:r w:rsidRPr="00A36329">
        <w:rPr>
          <w:rFonts w:ascii="Palatino Linotype" w:eastAsia="Palatino Linotype" w:hAnsi="Palatino Linotype" w:cs="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16336B9" w14:textId="738E5D13" w:rsidR="002A62BF" w:rsidRPr="00A36329" w:rsidRDefault="00351F3E" w:rsidP="00A36329">
      <w:pPr>
        <w:ind w:left="567" w:right="963"/>
        <w:jc w:val="both"/>
        <w:rPr>
          <w:rFonts w:ascii="Palatino Linotype" w:eastAsia="Palatino Linotype" w:hAnsi="Palatino Linotype" w:cs="Palatino Linotype"/>
          <w:sz w:val="22"/>
        </w:rPr>
      </w:pPr>
      <w:r w:rsidRPr="00A36329">
        <w:rPr>
          <w:rFonts w:ascii="Palatino Linotype" w:eastAsia="Palatino Linotype" w:hAnsi="Palatino Linotype" w:cs="Palatino Linotype"/>
          <w:i/>
          <w:sz w:val="22"/>
        </w:rPr>
        <w:t>(…)</w:t>
      </w:r>
      <w:r w:rsidRPr="00A36329">
        <w:rPr>
          <w:rFonts w:ascii="Palatino Linotype" w:eastAsia="Palatino Linotype" w:hAnsi="Palatino Linotype" w:cs="Palatino Linotype"/>
          <w:sz w:val="22"/>
        </w:rPr>
        <w:t>”</w:t>
      </w:r>
    </w:p>
    <w:p w14:paraId="787BDB10" w14:textId="77777777" w:rsidR="00E5155C" w:rsidRPr="00A36329" w:rsidRDefault="00E5155C" w:rsidP="00E5155C">
      <w:pPr>
        <w:ind w:right="539"/>
        <w:jc w:val="both"/>
        <w:rPr>
          <w:rFonts w:ascii="Palatino Linotype" w:eastAsia="Palatino Linotype" w:hAnsi="Palatino Linotype" w:cs="Palatino Linotype"/>
        </w:rPr>
      </w:pPr>
    </w:p>
    <w:p w14:paraId="39B5A0D5" w14:textId="2935DE3A"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color w:val="000000"/>
        </w:rPr>
        <w:t xml:space="preserve">Por </w:t>
      </w:r>
      <w:r w:rsidRPr="00A36329">
        <w:rPr>
          <w:rFonts w:ascii="Palatino Linotype" w:eastAsia="Palatino Linotype" w:hAnsi="Palatino Linotype" w:cs="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129B2A8B" w14:textId="77777777" w:rsidR="004871FF" w:rsidRPr="00A36329" w:rsidRDefault="004871FF" w:rsidP="004871FF">
      <w:pPr>
        <w:spacing w:line="360" w:lineRule="auto"/>
        <w:ind w:right="-28"/>
        <w:jc w:val="both"/>
        <w:rPr>
          <w:rFonts w:ascii="Palatino Linotype" w:eastAsia="Palatino Linotype" w:hAnsi="Palatino Linotype" w:cs="Palatino Linotype"/>
        </w:rPr>
      </w:pPr>
    </w:p>
    <w:p w14:paraId="07E7D8EF"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color w:val="000000"/>
        </w:rPr>
        <w:t xml:space="preserve">Así </w:t>
      </w:r>
      <w:r w:rsidRPr="00A36329">
        <w:rPr>
          <w:rFonts w:ascii="Palatino Linotype" w:eastAsia="Palatino Linotype" w:hAnsi="Palatino Linotype" w:cs="Palatino Linotype"/>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6CE07C6" w14:textId="77777777" w:rsidR="002A62BF" w:rsidRPr="00A36329" w:rsidRDefault="00351F3E" w:rsidP="00A36329">
      <w:pPr>
        <w:ind w:left="567" w:right="963"/>
        <w:jc w:val="center"/>
        <w:rPr>
          <w:rFonts w:ascii="Palatino Linotype" w:eastAsia="Palatino Linotype" w:hAnsi="Palatino Linotype" w:cs="Palatino Linotype"/>
          <w:b/>
          <w:i/>
          <w:sz w:val="22"/>
        </w:rPr>
      </w:pPr>
      <w:r w:rsidRPr="00A36329">
        <w:rPr>
          <w:rFonts w:ascii="Palatino Linotype" w:eastAsia="Palatino Linotype" w:hAnsi="Palatino Linotype" w:cs="Palatino Linotype"/>
          <w:b/>
          <w:i/>
          <w:sz w:val="22"/>
        </w:rPr>
        <w:t>Constitución Política de los Estados Unidos Mexicanos</w:t>
      </w:r>
    </w:p>
    <w:p w14:paraId="190D1471" w14:textId="77777777" w:rsidR="002A62BF" w:rsidRPr="00A36329" w:rsidRDefault="002A62BF" w:rsidP="00A36329">
      <w:pPr>
        <w:ind w:left="567" w:right="963"/>
        <w:jc w:val="center"/>
        <w:rPr>
          <w:rFonts w:ascii="Palatino Linotype" w:eastAsia="Palatino Linotype" w:hAnsi="Palatino Linotype" w:cs="Palatino Linotype"/>
          <w:b/>
          <w:i/>
          <w:sz w:val="22"/>
        </w:rPr>
      </w:pPr>
    </w:p>
    <w:p w14:paraId="25D600E7" w14:textId="77777777" w:rsidR="002A62BF" w:rsidRPr="00A36329" w:rsidRDefault="00351F3E" w:rsidP="00A36329">
      <w:pPr>
        <w:ind w:left="567" w:right="963"/>
        <w:jc w:val="center"/>
        <w:rPr>
          <w:rFonts w:ascii="Palatino Linotype" w:eastAsia="Palatino Linotype" w:hAnsi="Palatino Linotype" w:cs="Palatino Linotype"/>
          <w:b/>
          <w:i/>
          <w:sz w:val="22"/>
        </w:rPr>
      </w:pPr>
      <w:r w:rsidRPr="00A36329">
        <w:rPr>
          <w:rFonts w:ascii="Palatino Linotype" w:eastAsia="Palatino Linotype" w:hAnsi="Palatino Linotype" w:cs="Palatino Linotype"/>
          <w:b/>
          <w:i/>
          <w:sz w:val="22"/>
        </w:rPr>
        <w:t>“Artículo 6.</w:t>
      </w:r>
      <w:r w:rsidRPr="00A36329">
        <w:rPr>
          <w:rFonts w:ascii="Palatino Linotype" w:eastAsia="Palatino Linotype" w:hAnsi="Palatino Linotype" w:cs="Palatino Linotype"/>
          <w:i/>
          <w:sz w:val="22"/>
        </w:rPr>
        <w:t xml:space="preserve"> …</w:t>
      </w:r>
    </w:p>
    <w:p w14:paraId="1DED6D32"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i/>
          <w:sz w:val="22"/>
        </w:rPr>
        <w:t>…</w:t>
      </w:r>
    </w:p>
    <w:p w14:paraId="3882D162"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i/>
          <w:sz w:val="22"/>
        </w:rPr>
        <w:t>Para efectos de lo dispuesto en el presente artículo se observará lo siguiente:</w:t>
      </w:r>
    </w:p>
    <w:p w14:paraId="0DA77B9D" w14:textId="77777777" w:rsidR="002A62BF" w:rsidRPr="00A36329" w:rsidRDefault="00351F3E" w:rsidP="00A36329">
      <w:pPr>
        <w:ind w:left="567" w:right="963"/>
        <w:jc w:val="both"/>
        <w:rPr>
          <w:rFonts w:ascii="Palatino Linotype" w:eastAsia="Palatino Linotype" w:hAnsi="Palatino Linotype" w:cs="Palatino Linotype"/>
          <w:b/>
          <w:i/>
          <w:sz w:val="22"/>
        </w:rPr>
      </w:pPr>
      <w:r w:rsidRPr="00A36329">
        <w:rPr>
          <w:rFonts w:ascii="Palatino Linotype" w:eastAsia="Palatino Linotype" w:hAnsi="Palatino Linotype" w:cs="Palatino Linotype"/>
          <w:b/>
          <w:i/>
          <w:sz w:val="22"/>
        </w:rPr>
        <w:t>A</w:t>
      </w:r>
      <w:r w:rsidRPr="00A36329">
        <w:rPr>
          <w:rFonts w:ascii="Palatino Linotype" w:eastAsia="Palatino Linotype" w:hAnsi="Palatino Linotype" w:cs="Palatino Linotype"/>
          <w:i/>
          <w:sz w:val="22"/>
        </w:rPr>
        <w:t xml:space="preserve">. </w:t>
      </w:r>
      <w:r w:rsidRPr="00A36329">
        <w:rPr>
          <w:rFonts w:ascii="Palatino Linotype" w:eastAsia="Palatino Linotype" w:hAnsi="Palatino Linotype" w:cs="Palatino Linotype"/>
          <w:b/>
          <w:i/>
          <w:sz w:val="22"/>
        </w:rPr>
        <w:t>Para el ejercicio del derecho de acceso a la información</w:t>
      </w:r>
      <w:r w:rsidRPr="00A36329">
        <w:rPr>
          <w:rFonts w:ascii="Palatino Linotype" w:eastAsia="Palatino Linotype" w:hAnsi="Palatino Linotype" w:cs="Palatino Linotype"/>
          <w:i/>
          <w:sz w:val="22"/>
        </w:rPr>
        <w:t xml:space="preserve">, la Federación y </w:t>
      </w:r>
      <w:r w:rsidRPr="00A36329">
        <w:rPr>
          <w:rFonts w:ascii="Palatino Linotype" w:eastAsia="Palatino Linotype" w:hAnsi="Palatino Linotype" w:cs="Palatino Linotype"/>
          <w:b/>
          <w:i/>
          <w:sz w:val="22"/>
        </w:rPr>
        <w:t>las entidades federativas, en el ámbito de sus respectivas competencias, se regirán por los siguientes principios y bases:</w:t>
      </w:r>
    </w:p>
    <w:p w14:paraId="6D3DF5CC"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b/>
          <w:i/>
          <w:sz w:val="22"/>
        </w:rPr>
        <w:t xml:space="preserve">I. </w:t>
      </w:r>
      <w:r w:rsidRPr="00A36329">
        <w:rPr>
          <w:rFonts w:ascii="Palatino Linotype" w:eastAsia="Palatino Linotype" w:hAnsi="Palatino Linotype" w:cs="Palatino Linotype"/>
          <w:b/>
          <w:i/>
          <w:sz w:val="22"/>
        </w:rPr>
        <w:tab/>
        <w:t>Toda la información en posesión de cualquier</w:t>
      </w:r>
      <w:r w:rsidRPr="00A36329">
        <w:rPr>
          <w:rFonts w:ascii="Palatino Linotype" w:eastAsia="Palatino Linotype" w:hAnsi="Palatino Linotype" w:cs="Palatino Linotype"/>
          <w:i/>
          <w:sz w:val="22"/>
        </w:rPr>
        <w:t xml:space="preserve"> </w:t>
      </w:r>
      <w:r w:rsidRPr="00A36329">
        <w:rPr>
          <w:rFonts w:ascii="Palatino Linotype" w:eastAsia="Palatino Linotype" w:hAnsi="Palatino Linotype" w:cs="Palatino Linotype"/>
          <w:b/>
          <w:i/>
          <w:sz w:val="22"/>
        </w:rPr>
        <w:t>autoridad</w:t>
      </w:r>
      <w:r w:rsidRPr="00A36329">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36329">
        <w:rPr>
          <w:rFonts w:ascii="Palatino Linotype" w:eastAsia="Palatino Linotype" w:hAnsi="Palatino Linotype" w:cs="Palatino Linotype"/>
          <w:b/>
          <w:i/>
          <w:sz w:val="22"/>
        </w:rPr>
        <w:t>municipal</w:t>
      </w:r>
      <w:r w:rsidRPr="00A36329">
        <w:rPr>
          <w:rFonts w:ascii="Palatino Linotype" w:eastAsia="Palatino Linotype" w:hAnsi="Palatino Linotype" w:cs="Palatino Linotype"/>
          <w:i/>
          <w:sz w:val="22"/>
        </w:rPr>
        <w:t xml:space="preserve">, </w:t>
      </w:r>
      <w:r w:rsidRPr="00A36329">
        <w:rPr>
          <w:rFonts w:ascii="Palatino Linotype" w:eastAsia="Palatino Linotype" w:hAnsi="Palatino Linotype" w:cs="Palatino Linotype"/>
          <w:b/>
          <w:i/>
          <w:sz w:val="22"/>
        </w:rPr>
        <w:t>es pública</w:t>
      </w:r>
      <w:r w:rsidRPr="00A36329">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A36329">
        <w:rPr>
          <w:rFonts w:ascii="Palatino Linotype" w:eastAsia="Palatino Linotype" w:hAnsi="Palatino Linotype" w:cs="Palatino Linotype"/>
          <w:b/>
          <w:i/>
          <w:sz w:val="22"/>
        </w:rPr>
        <w:t xml:space="preserve">En la interpretación de este derecho deberá prevalecer el principio de máxima publicidad. Los sujetos obligados deberán documentar todo acto que derive del ejercicio de sus facultades, </w:t>
      </w:r>
      <w:r w:rsidRPr="00A36329">
        <w:rPr>
          <w:rFonts w:ascii="Palatino Linotype" w:eastAsia="Palatino Linotype" w:hAnsi="Palatino Linotype" w:cs="Palatino Linotype"/>
          <w:b/>
          <w:i/>
          <w:sz w:val="22"/>
        </w:rPr>
        <w:lastRenderedPageBreak/>
        <w:t>competencias o funciones</w:t>
      </w:r>
      <w:r w:rsidRPr="00A36329">
        <w:rPr>
          <w:rFonts w:ascii="Palatino Linotype" w:eastAsia="Palatino Linotype" w:hAnsi="Palatino Linotype" w:cs="Palatino Linotype"/>
          <w:i/>
          <w:sz w:val="22"/>
        </w:rPr>
        <w:t>, la ley determinará los supuestos específicos bajo los cuales procederá la declaración de inexistencia de la información.”</w:t>
      </w:r>
    </w:p>
    <w:p w14:paraId="7D0B830D" w14:textId="77777777" w:rsidR="002A62BF" w:rsidRPr="00A36329" w:rsidRDefault="002A62BF" w:rsidP="00A36329">
      <w:pPr>
        <w:tabs>
          <w:tab w:val="left" w:pos="426"/>
          <w:tab w:val="left" w:pos="567"/>
        </w:tabs>
        <w:ind w:left="567" w:right="963"/>
        <w:jc w:val="both"/>
        <w:rPr>
          <w:rFonts w:ascii="Palatino Linotype" w:eastAsia="Palatino Linotype" w:hAnsi="Palatino Linotype" w:cs="Palatino Linotype"/>
          <w:color w:val="000000"/>
          <w:sz w:val="22"/>
        </w:rPr>
      </w:pPr>
    </w:p>
    <w:p w14:paraId="3DAF71F3" w14:textId="77777777" w:rsidR="002A62BF" w:rsidRPr="00A36329" w:rsidRDefault="00351F3E" w:rsidP="00A36329">
      <w:pPr>
        <w:ind w:left="567" w:right="963"/>
        <w:jc w:val="center"/>
        <w:rPr>
          <w:rFonts w:ascii="Palatino Linotype" w:eastAsia="Palatino Linotype" w:hAnsi="Palatino Linotype" w:cs="Palatino Linotype"/>
          <w:b/>
          <w:i/>
          <w:sz w:val="22"/>
        </w:rPr>
      </w:pPr>
      <w:r w:rsidRPr="00A36329">
        <w:rPr>
          <w:rFonts w:ascii="Palatino Linotype" w:eastAsia="Palatino Linotype" w:hAnsi="Palatino Linotype" w:cs="Palatino Linotype"/>
          <w:b/>
          <w:i/>
          <w:sz w:val="22"/>
        </w:rPr>
        <w:t>Constitución Política del Estado Libre y Soberano de México</w:t>
      </w:r>
    </w:p>
    <w:p w14:paraId="0EB3443B" w14:textId="77777777" w:rsidR="002A62BF" w:rsidRPr="00A36329" w:rsidRDefault="00351F3E" w:rsidP="00A36329">
      <w:pPr>
        <w:ind w:left="567" w:right="963"/>
        <w:jc w:val="center"/>
        <w:rPr>
          <w:rFonts w:ascii="Palatino Linotype" w:eastAsia="Palatino Linotype" w:hAnsi="Palatino Linotype" w:cs="Palatino Linotype"/>
          <w:i/>
          <w:sz w:val="22"/>
        </w:rPr>
      </w:pPr>
      <w:r w:rsidRPr="00A36329">
        <w:rPr>
          <w:rFonts w:ascii="Palatino Linotype" w:eastAsia="Palatino Linotype" w:hAnsi="Palatino Linotype" w:cs="Palatino Linotype"/>
          <w:b/>
          <w:i/>
          <w:sz w:val="22"/>
        </w:rPr>
        <w:t>“Artículo 5</w:t>
      </w:r>
      <w:r w:rsidRPr="00A36329">
        <w:rPr>
          <w:rFonts w:ascii="Palatino Linotype" w:eastAsia="Palatino Linotype" w:hAnsi="Palatino Linotype" w:cs="Palatino Linotype"/>
          <w:i/>
          <w:sz w:val="22"/>
        </w:rPr>
        <w:t>.-…</w:t>
      </w:r>
    </w:p>
    <w:p w14:paraId="0E4D53D1" w14:textId="77777777" w:rsidR="002A62BF" w:rsidRPr="00A36329" w:rsidRDefault="00351F3E" w:rsidP="00A36329">
      <w:pPr>
        <w:ind w:left="567" w:right="963"/>
        <w:rPr>
          <w:rFonts w:ascii="Palatino Linotype" w:eastAsia="Palatino Linotype" w:hAnsi="Palatino Linotype" w:cs="Palatino Linotype"/>
          <w:i/>
          <w:sz w:val="22"/>
        </w:rPr>
      </w:pPr>
      <w:r w:rsidRPr="00A36329">
        <w:rPr>
          <w:rFonts w:ascii="Palatino Linotype" w:eastAsia="Palatino Linotype" w:hAnsi="Palatino Linotype" w:cs="Palatino Linotype"/>
          <w:i/>
          <w:sz w:val="22"/>
        </w:rPr>
        <w:t>…</w:t>
      </w:r>
    </w:p>
    <w:p w14:paraId="47953E3C"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A36329">
        <w:rPr>
          <w:rFonts w:ascii="Palatino Linotype" w:eastAsia="Palatino Linotype" w:hAnsi="Palatino Linotype" w:cs="Palatino Linotype"/>
          <w:i/>
          <w:sz w:val="22"/>
        </w:rPr>
        <w:t>.</w:t>
      </w:r>
    </w:p>
    <w:p w14:paraId="43815E4F"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50BE6B9" w14:textId="77777777" w:rsidR="002A62BF" w:rsidRPr="00A36329" w:rsidRDefault="002A62BF" w:rsidP="00A36329">
      <w:pPr>
        <w:ind w:left="567" w:right="963"/>
        <w:jc w:val="both"/>
        <w:rPr>
          <w:rFonts w:ascii="Palatino Linotype" w:eastAsia="Palatino Linotype" w:hAnsi="Palatino Linotype" w:cs="Palatino Linotype"/>
          <w:i/>
          <w:sz w:val="22"/>
        </w:rPr>
      </w:pPr>
    </w:p>
    <w:p w14:paraId="449F21DF"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b/>
          <w:i/>
          <w:sz w:val="22"/>
        </w:rPr>
        <w:t>Este derecho se regirá por los principios y bases siguientes</w:t>
      </w:r>
      <w:r w:rsidRPr="00A36329">
        <w:rPr>
          <w:rFonts w:ascii="Palatino Linotype" w:eastAsia="Palatino Linotype" w:hAnsi="Palatino Linotype" w:cs="Palatino Linotype"/>
          <w:i/>
          <w:sz w:val="22"/>
        </w:rPr>
        <w:t>:</w:t>
      </w:r>
    </w:p>
    <w:p w14:paraId="27E3399C" w14:textId="77777777" w:rsidR="002A62BF" w:rsidRPr="00A36329" w:rsidRDefault="00351F3E" w:rsidP="00A36329">
      <w:pPr>
        <w:ind w:left="567" w:right="963"/>
        <w:jc w:val="both"/>
        <w:rPr>
          <w:rFonts w:ascii="Palatino Linotype" w:eastAsia="Palatino Linotype" w:hAnsi="Palatino Linotype" w:cs="Palatino Linotype"/>
          <w:sz w:val="22"/>
        </w:rPr>
      </w:pPr>
      <w:r w:rsidRPr="00A36329">
        <w:rPr>
          <w:rFonts w:ascii="Palatino Linotype" w:eastAsia="Palatino Linotype" w:hAnsi="Palatino Linotype" w:cs="Palatino Linotype"/>
          <w:b/>
          <w:i/>
          <w:sz w:val="22"/>
        </w:rPr>
        <w:t>Toda la información en posesión de cualquier autoridad, entidad, órgano y organismos de los</w:t>
      </w:r>
      <w:r w:rsidRPr="00A36329">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A36329">
        <w:rPr>
          <w:rFonts w:ascii="Palatino Linotype" w:eastAsia="Palatino Linotype" w:hAnsi="Palatino Linotype" w:cs="Palatino Linotype"/>
          <w:b/>
          <w:i/>
          <w:sz w:val="22"/>
        </w:rPr>
        <w:t>municipales</w:t>
      </w:r>
      <w:r w:rsidRPr="00A36329">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36329">
        <w:rPr>
          <w:rFonts w:ascii="Palatino Linotype" w:eastAsia="Palatino Linotype" w:hAnsi="Palatino Linotype" w:cs="Palatino Linotype"/>
          <w:b/>
          <w:i/>
          <w:sz w:val="22"/>
        </w:rPr>
        <w:t>es pública</w:t>
      </w:r>
      <w:r w:rsidRPr="00A36329">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A36329">
        <w:rPr>
          <w:rFonts w:ascii="Palatino Linotype" w:eastAsia="Palatino Linotype" w:hAnsi="Palatino Linotype" w:cs="Palatino Linotype"/>
          <w:b/>
          <w:i/>
          <w:sz w:val="22"/>
        </w:rPr>
        <w:t>En la interpretación de este derecho deberá prevalecer el principio de máxima publicidad</w:t>
      </w:r>
      <w:r w:rsidRPr="00A36329">
        <w:rPr>
          <w:rFonts w:ascii="Palatino Linotype" w:eastAsia="Palatino Linotype" w:hAnsi="Palatino Linotype" w:cs="Palatino Linotype"/>
          <w:i/>
          <w:sz w:val="22"/>
        </w:rPr>
        <w:t xml:space="preserve">. </w:t>
      </w:r>
      <w:r w:rsidRPr="00A36329">
        <w:rPr>
          <w:rFonts w:ascii="Palatino Linotype" w:eastAsia="Palatino Linotype" w:hAnsi="Palatino Linotype" w:cs="Palatino Linotype"/>
          <w:b/>
          <w:i/>
          <w:sz w:val="22"/>
        </w:rPr>
        <w:t>Los sujetos obligados deberán documentar todo acto que derive del ejercicio de sus facultades, competencias o funciones</w:t>
      </w:r>
      <w:r w:rsidRPr="00A36329">
        <w:rPr>
          <w:rFonts w:ascii="Palatino Linotype" w:eastAsia="Palatino Linotype" w:hAnsi="Palatino Linotype" w:cs="Palatino Linotype"/>
          <w:i/>
          <w:sz w:val="22"/>
        </w:rPr>
        <w:t>, la ley determinará los supuestos específicos bajo los cuales procederá la declaración de inexistencia de la información.”</w:t>
      </w:r>
    </w:p>
    <w:p w14:paraId="5325E818"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7045B310"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color w:val="000000"/>
        </w:rPr>
        <w:t xml:space="preserve">Según </w:t>
      </w:r>
      <w:r w:rsidRPr="00A36329">
        <w:rPr>
          <w:rFonts w:ascii="Palatino Linotype" w:eastAsia="Palatino Linotype" w:hAnsi="Palatino Linotype" w:cs="Palatino Linotype"/>
        </w:rPr>
        <w:t xml:space="preserve">el artículo 150 de la Ley de Transparencia del Estado, la solicitud es la garantía primaria del Derecho de Acceso a la Información, además, establece que se regirá </w:t>
      </w:r>
      <w:r w:rsidRPr="00A36329">
        <w:rPr>
          <w:rFonts w:ascii="Palatino Linotype" w:eastAsia="Palatino Linotype" w:hAnsi="Palatino Linotype" w:cs="Palatino Linotype"/>
          <w:i/>
        </w:rPr>
        <w:t>por los principios de simplicidad, rapidez gratuidad del procedimiento, auxilio y orientación a los particulares</w:t>
      </w:r>
      <w:r w:rsidRPr="00A36329">
        <w:rPr>
          <w:rFonts w:ascii="Palatino Linotype" w:eastAsia="Palatino Linotype" w:hAnsi="Palatino Linotype" w:cs="Palatino Linotype"/>
        </w:rPr>
        <w:t>, contemplando el derecho de las personas con discapacidad y hablantes de lengua indígena.</w:t>
      </w:r>
    </w:p>
    <w:p w14:paraId="3CF35E8E"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5F7F3D3C"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color w:val="000000"/>
        </w:rPr>
        <w:t xml:space="preserve">El </w:t>
      </w:r>
      <w:r w:rsidRPr="00A36329">
        <w:rPr>
          <w:rFonts w:ascii="Palatino Linotype" w:eastAsia="Palatino Linotype" w:hAnsi="Palatino Linotype" w:cs="Palatino Linotype"/>
        </w:rPr>
        <w:t xml:space="preserve">Derecho de Acceso a la Información se garantiza y respeta oportunamente, y según lo que dispone la Ley, las </w:t>
      </w:r>
      <w:r w:rsidRPr="00A36329">
        <w:rPr>
          <w:rFonts w:ascii="Palatino Linotype" w:eastAsia="Palatino Linotype" w:hAnsi="Palatino Linotype" w:cs="Palatino Linotype"/>
          <w:i/>
        </w:rPr>
        <w:t>solicitudes de acceso a la información</w:t>
      </w:r>
      <w:r w:rsidRPr="00A36329">
        <w:rPr>
          <w:rFonts w:ascii="Palatino Linotype" w:eastAsia="Palatino Linotype" w:hAnsi="Palatino Linotype" w:cs="Palatino Linotype"/>
        </w:rPr>
        <w:t>.</w:t>
      </w:r>
    </w:p>
    <w:p w14:paraId="2F5D03DC"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5DC32D27" w14:textId="04A07EE1" w:rsidR="002A62BF" w:rsidRPr="00A36329" w:rsidRDefault="00351F3E" w:rsidP="00E5155C">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color w:val="000000"/>
        </w:rPr>
        <w:lastRenderedPageBreak/>
        <w:t xml:space="preserve">Así </w:t>
      </w:r>
      <w:r w:rsidRPr="00A36329">
        <w:rPr>
          <w:rFonts w:ascii="Palatino Linotype" w:eastAsia="Palatino Linotype" w:hAnsi="Palatino Linotype" w:cs="Palatino Linotype"/>
        </w:rPr>
        <w:t xml:space="preserve">entonces, se procede analizar, en primer lugar, si el </w:t>
      </w:r>
      <w:r w:rsidRPr="00A36329">
        <w:rPr>
          <w:rFonts w:ascii="Palatino Linotype" w:eastAsia="Palatino Linotype" w:hAnsi="Palatino Linotype" w:cs="Palatino Linotype"/>
          <w:b/>
        </w:rPr>
        <w:t>SUJETO OBLIGADO</w:t>
      </w:r>
      <w:r w:rsidRPr="00A36329">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1C302022" w14:textId="77777777" w:rsidR="00430371" w:rsidRPr="00A36329" w:rsidRDefault="00430371" w:rsidP="00430371">
      <w:pPr>
        <w:spacing w:line="360" w:lineRule="auto"/>
        <w:ind w:right="-28"/>
        <w:jc w:val="both"/>
        <w:rPr>
          <w:rFonts w:ascii="Palatino Linotype" w:eastAsia="Palatino Linotype" w:hAnsi="Palatino Linotype" w:cs="Palatino Linotype"/>
        </w:rPr>
      </w:pPr>
    </w:p>
    <w:p w14:paraId="23A80F81" w14:textId="77777777" w:rsidR="002A62BF" w:rsidRPr="00A36329" w:rsidRDefault="00351F3E" w:rsidP="00BF0955">
      <w:pPr>
        <w:keepNext/>
        <w:keepLines/>
        <w:numPr>
          <w:ilvl w:val="1"/>
          <w:numId w:val="3"/>
        </w:numPr>
        <w:spacing w:line="360" w:lineRule="auto"/>
        <w:ind w:left="567" w:right="-28"/>
        <w:jc w:val="both"/>
        <w:rPr>
          <w:rFonts w:ascii="Palatino Linotype" w:eastAsia="Palatino Linotype" w:hAnsi="Palatino Linotype" w:cs="Palatino Linotype"/>
          <w:b/>
        </w:rPr>
      </w:pPr>
      <w:bookmarkStart w:id="6" w:name="_heading=h.lnxbz9" w:colFirst="0" w:colLast="0"/>
      <w:bookmarkEnd w:id="6"/>
      <w:r w:rsidRPr="00A36329">
        <w:rPr>
          <w:rFonts w:ascii="Palatino Linotype" w:eastAsia="Palatino Linotype" w:hAnsi="Palatino Linotype" w:cs="Palatino Linotype"/>
          <w:b/>
        </w:rPr>
        <w:t>De la información solicitada y la respuesta del SUJETO OBLIGADO.</w:t>
      </w:r>
    </w:p>
    <w:p w14:paraId="7DE47CE1"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4197CECE" w14:textId="77777777" w:rsidR="002A62BF" w:rsidRPr="00A36329" w:rsidRDefault="002A62BF" w:rsidP="00E5155C">
      <w:pPr>
        <w:spacing w:line="360" w:lineRule="auto"/>
        <w:ind w:right="-28"/>
        <w:jc w:val="both"/>
        <w:rPr>
          <w:rFonts w:ascii="Palatino Linotype" w:eastAsia="Palatino Linotype" w:hAnsi="Palatino Linotype" w:cs="Palatino Linotype"/>
        </w:rPr>
      </w:pPr>
    </w:p>
    <w:p w14:paraId="67FCF73C" w14:textId="27F89B10" w:rsidR="004871FF" w:rsidRPr="00A36329" w:rsidRDefault="00351F3E" w:rsidP="004871FF">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Ahora bien, del análisis de la solicitud de información motivo del recurso de revisión, se advierte que el </w:t>
      </w:r>
      <w:r w:rsidR="004871FF" w:rsidRPr="00A36329">
        <w:rPr>
          <w:rFonts w:ascii="Palatino Linotype" w:eastAsia="Palatino Linotype" w:hAnsi="Palatino Linotype" w:cs="Palatino Linotype"/>
        </w:rPr>
        <w:t>P</w:t>
      </w:r>
      <w:r w:rsidRPr="00A36329">
        <w:rPr>
          <w:rFonts w:ascii="Palatino Linotype" w:eastAsia="Palatino Linotype" w:hAnsi="Palatino Linotype" w:cs="Palatino Linotype"/>
        </w:rPr>
        <w:t xml:space="preserve">articular </w:t>
      </w:r>
      <w:r w:rsidR="004871FF" w:rsidRPr="00A36329">
        <w:rPr>
          <w:rFonts w:ascii="Palatino Linotype" w:eastAsia="Palatino Linotype" w:hAnsi="Palatino Linotype" w:cs="Palatino Linotype"/>
        </w:rPr>
        <w:t xml:space="preserve">requirió que se atendieran los siguientes cuestionamientos: </w:t>
      </w:r>
      <w:r w:rsidR="004871FF" w:rsidRPr="00A36329">
        <w:rPr>
          <w:rFonts w:ascii="Palatino Linotype" w:eastAsia="Palatino Linotype" w:hAnsi="Palatino Linotype" w:cs="Palatino Linotype"/>
          <w:b/>
          <w:bCs/>
        </w:rPr>
        <w:t xml:space="preserve">“… </w:t>
      </w:r>
      <w:r w:rsidR="004871FF" w:rsidRPr="00A36329">
        <w:rPr>
          <w:rFonts w:ascii="Palatino Linotype" w:hAnsi="Palatino Linotype"/>
          <w:b/>
          <w:bCs/>
          <w:i/>
          <w:color w:val="000000"/>
        </w:rPr>
        <w:t>Recientemente se han presentado puntos de revisión comandados por agentes de la policía municipal en Ecatepec de Morelos. Cierran vías principales, por ejemplo, Avenida Central o Vía Morelos, y tienen como objetivo detener a motociclistas. En razón de ello solicito que, por favor, atiendan las siguientes preguntas: ¿Estaban al tanto? De acuerdo a los artículos 2 y 4 del Reglamento de Tránsito del Estado de México, ¿los agentes de policía municipal en Ecatepec de Morelos cuentan con un convenio o “transferencia de tránsito” que les permita ejercer una vigilancia en vialidades intermunicipales? ¿Autorizan el cierre de vialidades principales para esos fines? Si es ilegal el actuar de la policía municipal ¿se puede recurrir a la policía estatal y/o a la Secretaría de Movilidad?</w:t>
      </w:r>
      <w:r w:rsidR="004871FF" w:rsidRPr="00A36329">
        <w:rPr>
          <w:rFonts w:ascii="Palatino Linotype" w:hAnsi="Palatino Linotype"/>
          <w:i/>
          <w:color w:val="000000"/>
        </w:rPr>
        <w:t xml:space="preserve">... </w:t>
      </w:r>
      <w:r w:rsidR="004871FF" w:rsidRPr="00A36329">
        <w:rPr>
          <w:rFonts w:ascii="Palatino Linotype" w:hAnsi="Palatino Linotype"/>
          <w:i/>
          <w:iCs/>
        </w:rPr>
        <w:t>” (Sic)</w:t>
      </w:r>
    </w:p>
    <w:p w14:paraId="5880BD13" w14:textId="77777777" w:rsidR="004871F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lastRenderedPageBreak/>
        <w:t xml:space="preserve">Por su parte, el </w:t>
      </w:r>
      <w:r w:rsidRPr="00A36329">
        <w:rPr>
          <w:rFonts w:ascii="Palatino Linotype" w:eastAsia="Palatino Linotype" w:hAnsi="Palatino Linotype" w:cs="Palatino Linotype"/>
          <w:b/>
        </w:rPr>
        <w:t>SUJETO OBLIGADO</w:t>
      </w:r>
      <w:r w:rsidRPr="00A36329">
        <w:rPr>
          <w:rFonts w:ascii="Palatino Linotype" w:eastAsia="Palatino Linotype" w:hAnsi="Palatino Linotype" w:cs="Palatino Linotype"/>
        </w:rPr>
        <w:t xml:space="preserve"> se declaró incompetente para </w:t>
      </w:r>
      <w:r w:rsidR="004871FF" w:rsidRPr="00A36329">
        <w:rPr>
          <w:rFonts w:ascii="Palatino Linotype" w:eastAsia="Palatino Linotype" w:hAnsi="Palatino Linotype" w:cs="Palatino Linotype"/>
        </w:rPr>
        <w:t>atender lo</w:t>
      </w:r>
      <w:r w:rsidR="000B2D69" w:rsidRPr="00A36329">
        <w:rPr>
          <w:rFonts w:ascii="Palatino Linotype" w:eastAsia="Palatino Linotype" w:hAnsi="Palatino Linotype" w:cs="Palatino Linotype"/>
        </w:rPr>
        <w:t xml:space="preserve"> requerido</w:t>
      </w:r>
      <w:r w:rsidRPr="00A36329">
        <w:rPr>
          <w:rFonts w:ascii="Palatino Linotype" w:eastAsia="Palatino Linotype" w:hAnsi="Palatino Linotype" w:cs="Palatino Linotype"/>
        </w:rPr>
        <w:t xml:space="preserve">, orientando al Particular para que solicite la información </w:t>
      </w:r>
      <w:r w:rsidR="004871FF" w:rsidRPr="00A36329">
        <w:rPr>
          <w:rFonts w:ascii="Palatino Linotype" w:eastAsia="Palatino Linotype" w:hAnsi="Palatino Linotype" w:cs="Palatino Linotype"/>
        </w:rPr>
        <w:t>a la Secretaría de Seguridad del Estado de México y/o a las Autoridades Municipales correspondientes.</w:t>
      </w:r>
    </w:p>
    <w:p w14:paraId="5DE260AF" w14:textId="77777777" w:rsidR="004871FF" w:rsidRPr="00A36329" w:rsidRDefault="004871FF" w:rsidP="004871FF">
      <w:pPr>
        <w:pStyle w:val="Prrafodelista"/>
        <w:rPr>
          <w:rFonts w:ascii="Palatino Linotype" w:eastAsia="Palatino Linotype" w:hAnsi="Palatino Linotype" w:cs="Palatino Linotype"/>
          <w:sz w:val="24"/>
        </w:rPr>
      </w:pPr>
    </w:p>
    <w:p w14:paraId="36FCE214" w14:textId="20E53435" w:rsidR="002A62BF" w:rsidRPr="00A36329" w:rsidRDefault="004871FF"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En consecuencia, el </w:t>
      </w:r>
      <w:r w:rsidR="002C112B" w:rsidRPr="00A36329">
        <w:rPr>
          <w:rFonts w:ascii="Palatino Linotype" w:eastAsia="Palatino Linotype" w:hAnsi="Palatino Linotype" w:cs="Palatino Linotype"/>
          <w:b/>
        </w:rPr>
        <w:t>RECURRENTE</w:t>
      </w:r>
      <w:r w:rsidRPr="00A36329">
        <w:rPr>
          <w:rFonts w:ascii="Palatino Linotype" w:eastAsia="Palatino Linotype" w:hAnsi="Palatino Linotype" w:cs="Palatino Linotype"/>
          <w:b/>
        </w:rPr>
        <w:t xml:space="preserve"> </w:t>
      </w:r>
      <w:r w:rsidRPr="00A36329">
        <w:rPr>
          <w:rFonts w:ascii="Palatino Linotype" w:eastAsia="Palatino Linotype" w:hAnsi="Palatino Linotype" w:cs="Palatino Linotype"/>
          <w:bCs/>
        </w:rPr>
        <w:t xml:space="preserve">se inconformó por la declaratoria de incompetencia del </w:t>
      </w:r>
      <w:r w:rsidRPr="00A36329">
        <w:rPr>
          <w:rFonts w:ascii="Palatino Linotype" w:eastAsia="Palatino Linotype" w:hAnsi="Palatino Linotype" w:cs="Palatino Linotype"/>
          <w:b/>
        </w:rPr>
        <w:t>SUJETO OBLIGADO.</w:t>
      </w:r>
    </w:p>
    <w:p w14:paraId="05BDA421" w14:textId="77777777" w:rsidR="002C112B" w:rsidRPr="00A36329" w:rsidRDefault="002C112B" w:rsidP="002C112B">
      <w:pPr>
        <w:spacing w:line="360" w:lineRule="auto"/>
        <w:ind w:right="-28"/>
        <w:jc w:val="both"/>
        <w:rPr>
          <w:rFonts w:ascii="Palatino Linotype" w:eastAsia="Palatino Linotype" w:hAnsi="Palatino Linotype" w:cs="Palatino Linotype"/>
        </w:rPr>
      </w:pPr>
    </w:p>
    <w:p w14:paraId="1D479A0E" w14:textId="09D50B1F" w:rsidR="004871FF" w:rsidRPr="00A36329" w:rsidRDefault="004871FF" w:rsidP="004871FF">
      <w:pPr>
        <w:numPr>
          <w:ilvl w:val="0"/>
          <w:numId w:val="4"/>
        </w:numPr>
        <w:spacing w:line="360" w:lineRule="auto"/>
        <w:ind w:left="0" w:right="-28" w:firstLine="0"/>
        <w:jc w:val="both"/>
        <w:rPr>
          <w:rFonts w:ascii="Palatino Linotype" w:eastAsia="Palatino Linotype" w:hAnsi="Palatino Linotype" w:cs="Palatino Linotype"/>
          <w:bCs/>
        </w:rPr>
      </w:pPr>
      <w:r w:rsidRPr="00A36329">
        <w:rPr>
          <w:rFonts w:ascii="Palatino Linotype" w:eastAsia="Palatino Linotype" w:hAnsi="Palatino Linotype" w:cs="Palatino Linotype"/>
          <w:bCs/>
        </w:rPr>
        <w:t>Expuesto lo anterior,</w:t>
      </w:r>
      <w:r w:rsidR="002C112B" w:rsidRPr="00A36329">
        <w:rPr>
          <w:rFonts w:ascii="Palatino Linotype" w:eastAsia="Palatino Linotype" w:hAnsi="Palatino Linotype" w:cs="Palatino Linotype"/>
          <w:bCs/>
        </w:rPr>
        <w:t xml:space="preserve"> resulta conveniente referir </w:t>
      </w:r>
      <w:r w:rsidRPr="00A36329">
        <w:rPr>
          <w:rFonts w:ascii="Palatino Linotype" w:eastAsia="Palatino Linotype" w:hAnsi="Palatino Linotype" w:cs="Palatino Linotype"/>
          <w:bCs/>
        </w:rPr>
        <w:t>que</w:t>
      </w:r>
      <w:r w:rsidR="002C112B" w:rsidRPr="00A36329">
        <w:rPr>
          <w:rFonts w:ascii="Palatino Linotype" w:eastAsia="Palatino Linotype" w:hAnsi="Palatino Linotype" w:cs="Palatino Linotype"/>
          <w:bCs/>
        </w:rPr>
        <w:t xml:space="preserve"> el artículo </w:t>
      </w:r>
      <w:r w:rsidRPr="00A36329">
        <w:rPr>
          <w:rFonts w:ascii="Palatino Linotype" w:eastAsia="Palatino Linotype" w:hAnsi="Palatino Linotype" w:cs="Palatino Linotype"/>
          <w:bCs/>
        </w:rPr>
        <w:t xml:space="preserve">143 de la Constitución </w:t>
      </w:r>
      <w:r w:rsidRPr="00A36329">
        <w:rPr>
          <w:rFonts w:ascii="Palatino Linotype" w:hAnsi="Palatino Linotype"/>
        </w:rPr>
        <w:t>Política del Estado Libre y Soberano de México, indica que las autoridades administrativas únicamente pueden hacer lo que la ley expresamente les confiere.</w:t>
      </w:r>
    </w:p>
    <w:p w14:paraId="620AA81A" w14:textId="132B5437" w:rsidR="004871FF" w:rsidRPr="00A36329" w:rsidRDefault="004871FF" w:rsidP="004871FF">
      <w:pPr>
        <w:rPr>
          <w:rFonts w:ascii="Palatino Linotype" w:eastAsia="Palatino Linotype" w:hAnsi="Palatino Linotype" w:cs="Palatino Linotype"/>
          <w:bCs/>
        </w:rPr>
      </w:pPr>
    </w:p>
    <w:p w14:paraId="004A8E69" w14:textId="43960F5E" w:rsidR="00B465CC" w:rsidRPr="00A36329" w:rsidRDefault="00B465CC" w:rsidP="00A36329">
      <w:pPr>
        <w:ind w:left="567" w:right="963"/>
        <w:jc w:val="both"/>
        <w:rPr>
          <w:rFonts w:ascii="Palatino Linotype" w:eastAsia="Palatino Linotype" w:hAnsi="Palatino Linotype" w:cs="Palatino Linotype"/>
          <w:b/>
          <w:bCs/>
          <w:i/>
          <w:iCs/>
          <w:sz w:val="22"/>
        </w:rPr>
      </w:pPr>
      <w:r w:rsidRPr="00A36329">
        <w:rPr>
          <w:rFonts w:ascii="Palatino Linotype" w:hAnsi="Palatino Linotype"/>
          <w:b/>
          <w:bCs/>
          <w:i/>
          <w:iCs/>
          <w:sz w:val="22"/>
        </w:rPr>
        <w:t xml:space="preserve">“Artículo 143.- </w:t>
      </w:r>
      <w:r w:rsidRPr="00A36329">
        <w:rPr>
          <w:rFonts w:ascii="Palatino Linotype" w:hAnsi="Palatino Linotype"/>
          <w:i/>
          <w:iCs/>
          <w:sz w:val="22"/>
        </w:rPr>
        <w:t>Las autoridades del Estado sólo tienen las facultades que expresamente les confieren las leyes y otros ordenamientos jurídicos.”</w:t>
      </w:r>
    </w:p>
    <w:p w14:paraId="65E4E454" w14:textId="77777777" w:rsidR="00B465CC" w:rsidRPr="00A36329" w:rsidRDefault="00B465CC" w:rsidP="004871FF">
      <w:pPr>
        <w:rPr>
          <w:rFonts w:ascii="Palatino Linotype" w:eastAsia="Palatino Linotype" w:hAnsi="Palatino Linotype" w:cs="Palatino Linotype"/>
          <w:bCs/>
        </w:rPr>
      </w:pPr>
    </w:p>
    <w:p w14:paraId="76FF70FF" w14:textId="51CC4401" w:rsidR="004871FF" w:rsidRPr="00A36329" w:rsidRDefault="00B465CC" w:rsidP="00B465CC">
      <w:pPr>
        <w:numPr>
          <w:ilvl w:val="0"/>
          <w:numId w:val="4"/>
        </w:numPr>
        <w:spacing w:line="360" w:lineRule="auto"/>
        <w:ind w:left="0" w:right="-28" w:firstLine="0"/>
        <w:jc w:val="both"/>
        <w:rPr>
          <w:rFonts w:ascii="Palatino Linotype" w:eastAsia="Palatino Linotype" w:hAnsi="Palatino Linotype" w:cs="Palatino Linotype"/>
          <w:bCs/>
        </w:rPr>
      </w:pPr>
      <w:r w:rsidRPr="00A36329">
        <w:rPr>
          <w:rFonts w:ascii="Palatino Linotype" w:eastAsia="Palatino Linotype" w:hAnsi="Palatino Linotype" w:cs="Palatino Linotype"/>
          <w:bCs/>
        </w:rPr>
        <w:t xml:space="preserve">Correlativo a lo anterior, el artículo 54 de la </w:t>
      </w:r>
      <w:r w:rsidRPr="00A36329">
        <w:rPr>
          <w:rFonts w:ascii="Palatino Linotype" w:hAnsi="Palatino Linotype"/>
        </w:rPr>
        <w:t>Ley Orgánica de la Administración Pública del Estado de México, establece el actuar de la Secretaría de Movilidad, en los siguientes términos:</w:t>
      </w:r>
    </w:p>
    <w:p w14:paraId="23E6B816" w14:textId="781E1070" w:rsidR="00B465CC" w:rsidRPr="00A36329" w:rsidRDefault="00B465CC" w:rsidP="00A36329">
      <w:pPr>
        <w:ind w:left="567" w:right="963"/>
        <w:jc w:val="both"/>
        <w:rPr>
          <w:rFonts w:ascii="Palatino Linotype" w:eastAsia="Palatino Linotype" w:hAnsi="Palatino Linotype" w:cs="Palatino Linotype"/>
          <w:bCs/>
          <w:i/>
          <w:iCs/>
          <w:sz w:val="22"/>
        </w:rPr>
      </w:pPr>
      <w:r w:rsidRPr="00A36329">
        <w:rPr>
          <w:rFonts w:ascii="Palatino Linotype" w:hAnsi="Palatino Linotype"/>
          <w:i/>
          <w:iCs/>
          <w:sz w:val="22"/>
        </w:rPr>
        <w:t>“</w:t>
      </w:r>
      <w:r w:rsidRPr="00A36329">
        <w:rPr>
          <w:rFonts w:ascii="Palatino Linotype" w:hAnsi="Palatino Linotype"/>
          <w:b/>
          <w:bCs/>
          <w:i/>
          <w:iCs/>
          <w:sz w:val="22"/>
        </w:rPr>
        <w:t>Artículo 54.</w:t>
      </w:r>
      <w:r w:rsidRPr="00A36329">
        <w:rPr>
          <w:rFonts w:ascii="Palatino Linotype" w:hAnsi="Palatino Linotype"/>
          <w:i/>
          <w:iCs/>
          <w:sz w:val="22"/>
        </w:rPr>
        <w:t xml:space="preserve">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14:paraId="1FE07015" w14:textId="77777777" w:rsidR="00B465CC" w:rsidRPr="00A36329" w:rsidRDefault="00B465CC" w:rsidP="00B465CC">
      <w:pPr>
        <w:spacing w:line="360" w:lineRule="auto"/>
        <w:ind w:right="-28"/>
        <w:jc w:val="both"/>
        <w:rPr>
          <w:rFonts w:ascii="Palatino Linotype" w:eastAsia="Palatino Linotype" w:hAnsi="Palatino Linotype" w:cs="Palatino Linotype"/>
          <w:bCs/>
        </w:rPr>
      </w:pPr>
    </w:p>
    <w:p w14:paraId="2BF64D40" w14:textId="4F40B9C5" w:rsidR="004871FF" w:rsidRPr="00A36329" w:rsidRDefault="00B465CC" w:rsidP="002C112B">
      <w:pPr>
        <w:numPr>
          <w:ilvl w:val="0"/>
          <w:numId w:val="4"/>
        </w:numPr>
        <w:spacing w:line="360" w:lineRule="auto"/>
        <w:ind w:left="0" w:right="-28" w:firstLine="0"/>
        <w:jc w:val="both"/>
        <w:rPr>
          <w:rFonts w:ascii="Palatino Linotype" w:eastAsia="Palatino Linotype" w:hAnsi="Palatino Linotype" w:cs="Palatino Linotype"/>
          <w:bCs/>
        </w:rPr>
      </w:pPr>
      <w:r w:rsidRPr="00A36329">
        <w:rPr>
          <w:rFonts w:ascii="Palatino Linotype" w:eastAsia="Palatino Linotype" w:hAnsi="Palatino Linotype" w:cs="Palatino Linotype"/>
          <w:bCs/>
        </w:rPr>
        <w:t xml:space="preserve">En atención a los preceptos legales citados, se advierte que el </w:t>
      </w:r>
      <w:r w:rsidRPr="00A36329">
        <w:rPr>
          <w:rFonts w:ascii="Palatino Linotype" w:eastAsia="Palatino Linotype" w:hAnsi="Palatino Linotype" w:cs="Palatino Linotype"/>
          <w:b/>
        </w:rPr>
        <w:t>SUJETO OBLIGADO</w:t>
      </w:r>
      <w:r w:rsidRPr="00A36329">
        <w:rPr>
          <w:rFonts w:ascii="Palatino Linotype" w:eastAsia="Palatino Linotype" w:hAnsi="Palatino Linotype" w:cs="Palatino Linotype"/>
          <w:bCs/>
        </w:rPr>
        <w:t xml:space="preserve"> no cuenta con las facultades para concer de lo requerido en la solicitud de información.</w:t>
      </w:r>
    </w:p>
    <w:p w14:paraId="40585C3F" w14:textId="77777777" w:rsidR="000B2D69" w:rsidRPr="00A36329" w:rsidRDefault="000B2D69" w:rsidP="000B2D69">
      <w:pPr>
        <w:rPr>
          <w:rFonts w:ascii="Palatino Linotype" w:eastAsia="Palatino Linotype" w:hAnsi="Palatino Linotype" w:cs="Palatino Linotype"/>
        </w:rPr>
      </w:pPr>
    </w:p>
    <w:p w14:paraId="499681A8" w14:textId="2411A34E" w:rsidR="00B465CC" w:rsidRPr="00A36329" w:rsidRDefault="00351F3E" w:rsidP="000B2D69">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En atención a </w:t>
      </w:r>
      <w:r w:rsidR="00B465CC" w:rsidRPr="00A36329">
        <w:rPr>
          <w:rFonts w:ascii="Palatino Linotype" w:eastAsia="Palatino Linotype" w:hAnsi="Palatino Linotype" w:cs="Palatino Linotype"/>
        </w:rPr>
        <w:t>los preceptos legales citados</w:t>
      </w:r>
      <w:r w:rsidRPr="00A36329">
        <w:rPr>
          <w:rFonts w:ascii="Palatino Linotype" w:eastAsia="Palatino Linotype" w:hAnsi="Palatino Linotype" w:cs="Palatino Linotype"/>
        </w:rPr>
        <w:t xml:space="preserve">, no se advierte que </w:t>
      </w:r>
      <w:r w:rsidR="000B2D69" w:rsidRPr="00A36329">
        <w:rPr>
          <w:rFonts w:ascii="Palatino Linotype" w:eastAsia="Palatino Linotype" w:hAnsi="Palatino Linotype" w:cs="Palatino Linotype"/>
        </w:rPr>
        <w:t xml:space="preserve">el </w:t>
      </w:r>
      <w:r w:rsidR="000B2D69" w:rsidRPr="00A36329">
        <w:rPr>
          <w:rFonts w:ascii="Palatino Linotype" w:eastAsia="Palatino Linotype" w:hAnsi="Palatino Linotype" w:cs="Palatino Linotype"/>
          <w:b/>
          <w:bCs/>
        </w:rPr>
        <w:t>SUJETO OBLIGADO</w:t>
      </w:r>
      <w:r w:rsidR="000B2D69" w:rsidRPr="00A36329">
        <w:rPr>
          <w:rFonts w:ascii="Palatino Linotype" w:eastAsia="Palatino Linotype" w:hAnsi="Palatino Linotype" w:cs="Palatino Linotype"/>
        </w:rPr>
        <w:t xml:space="preserve"> </w:t>
      </w:r>
      <w:r w:rsidRPr="00A36329">
        <w:rPr>
          <w:rFonts w:ascii="Palatino Linotype" w:eastAsia="Palatino Linotype" w:hAnsi="Palatino Linotype" w:cs="Palatino Linotype"/>
        </w:rPr>
        <w:t>tenga acceso, administre o posea los documentos</w:t>
      </w:r>
      <w:r w:rsidR="002C112B" w:rsidRPr="00A36329">
        <w:rPr>
          <w:rFonts w:ascii="Palatino Linotype" w:eastAsia="Palatino Linotype" w:hAnsi="Palatino Linotype" w:cs="Palatino Linotype"/>
        </w:rPr>
        <w:t xml:space="preserve"> donde se </w:t>
      </w:r>
      <w:r w:rsidR="00B465CC" w:rsidRPr="00A36329">
        <w:rPr>
          <w:rFonts w:ascii="Palatino Linotype" w:eastAsia="Palatino Linotype" w:hAnsi="Palatino Linotype" w:cs="Palatino Linotype"/>
        </w:rPr>
        <w:t xml:space="preserve">conste </w:t>
      </w:r>
      <w:r w:rsidR="002C112B" w:rsidRPr="00A36329">
        <w:rPr>
          <w:rFonts w:ascii="Palatino Linotype" w:eastAsia="Palatino Linotype" w:hAnsi="Palatino Linotype" w:cs="Palatino Linotype"/>
        </w:rPr>
        <w:t xml:space="preserve">la información solicitada, </w:t>
      </w:r>
      <w:r w:rsidR="00B465CC" w:rsidRPr="00A36329">
        <w:rPr>
          <w:rFonts w:ascii="Palatino Linotype" w:eastAsia="Palatino Linotype" w:hAnsi="Palatino Linotype" w:cs="Palatino Linotype"/>
        </w:rPr>
        <w:t>toda vez que, no cuenta con facultades para conocer de lo requerido.</w:t>
      </w:r>
    </w:p>
    <w:p w14:paraId="28D35A19" w14:textId="37B2BC25" w:rsidR="000B2D69" w:rsidRPr="00A36329" w:rsidRDefault="00B465CC" w:rsidP="000B2D69">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lastRenderedPageBreak/>
        <w:t>N</w:t>
      </w:r>
      <w:r w:rsidR="002C112B" w:rsidRPr="00A36329">
        <w:rPr>
          <w:rFonts w:ascii="Palatino Linotype" w:eastAsia="Palatino Linotype" w:hAnsi="Palatino Linotype" w:cs="Palatino Linotype"/>
        </w:rPr>
        <w:t>o obstante</w:t>
      </w:r>
      <w:r w:rsidR="00351F3E" w:rsidRPr="00A36329">
        <w:rPr>
          <w:rFonts w:ascii="Palatino Linotype" w:eastAsia="Palatino Linotype" w:hAnsi="Palatino Linotype" w:cs="Palatino Linotype"/>
        </w:rPr>
        <w:t>,</w:t>
      </w:r>
      <w:r w:rsidR="002C112B" w:rsidRPr="00A36329">
        <w:rPr>
          <w:rFonts w:ascii="Palatino Linotype" w:eastAsia="Palatino Linotype" w:hAnsi="Palatino Linotype" w:cs="Palatino Linotype"/>
        </w:rPr>
        <w:t xml:space="preserve"> </w:t>
      </w:r>
      <w:r w:rsidR="00FF7A57" w:rsidRPr="00A36329">
        <w:rPr>
          <w:rFonts w:ascii="Palatino Linotype" w:eastAsia="Palatino Linotype" w:hAnsi="Palatino Linotype" w:cs="Palatino Linotype"/>
        </w:rPr>
        <w:t>refiri</w:t>
      </w:r>
      <w:r w:rsidR="00430371" w:rsidRPr="00A36329">
        <w:rPr>
          <w:rFonts w:ascii="Palatino Linotype" w:eastAsia="Palatino Linotype" w:hAnsi="Palatino Linotype" w:cs="Palatino Linotype"/>
        </w:rPr>
        <w:t>ó</w:t>
      </w:r>
      <w:r w:rsidR="00FF7A57" w:rsidRPr="00A36329">
        <w:rPr>
          <w:rFonts w:ascii="Palatino Linotype" w:eastAsia="Palatino Linotype" w:hAnsi="Palatino Linotype" w:cs="Palatino Linotype"/>
        </w:rPr>
        <w:t xml:space="preserve"> que </w:t>
      </w:r>
      <w:r w:rsidRPr="00A36329">
        <w:rPr>
          <w:rFonts w:ascii="Palatino Linotype" w:eastAsia="Palatino Linotype" w:hAnsi="Palatino Linotype" w:cs="Palatino Linotype"/>
        </w:rPr>
        <w:t>la Secretaría de Seguridad del Estado de México o bien las Autoridades Municipales correspondientes</w:t>
      </w:r>
      <w:r w:rsidR="002C112B" w:rsidRPr="00A36329">
        <w:rPr>
          <w:rFonts w:ascii="Palatino Linotype" w:eastAsia="Palatino Linotype" w:hAnsi="Palatino Linotype" w:cs="Palatino Linotype"/>
        </w:rPr>
        <w:t>, podría</w:t>
      </w:r>
      <w:r w:rsidRPr="00A36329">
        <w:rPr>
          <w:rFonts w:ascii="Palatino Linotype" w:eastAsia="Palatino Linotype" w:hAnsi="Palatino Linotype" w:cs="Palatino Linotype"/>
        </w:rPr>
        <w:t>n</w:t>
      </w:r>
      <w:r w:rsidR="002C112B" w:rsidRPr="00A36329">
        <w:rPr>
          <w:rFonts w:ascii="Palatino Linotype" w:eastAsia="Palatino Linotype" w:hAnsi="Palatino Linotype" w:cs="Palatino Linotype"/>
        </w:rPr>
        <w:t xml:space="preserve"> ser, de manera enunciativa más no limitativa,</w:t>
      </w:r>
      <w:r w:rsidR="00351F3E" w:rsidRPr="00A36329">
        <w:rPr>
          <w:rFonts w:ascii="Palatino Linotype" w:eastAsia="Palatino Linotype" w:hAnsi="Palatino Linotype" w:cs="Palatino Linotype"/>
        </w:rPr>
        <w:t xml:space="preserve"> </w:t>
      </w:r>
      <w:r w:rsidR="00FF7A57" w:rsidRPr="00A36329">
        <w:rPr>
          <w:rFonts w:ascii="Palatino Linotype" w:eastAsia="Palatino Linotype" w:hAnsi="Palatino Linotype" w:cs="Palatino Linotype"/>
        </w:rPr>
        <w:t>los</w:t>
      </w:r>
      <w:r w:rsidR="00351F3E" w:rsidRPr="00A36329">
        <w:rPr>
          <w:rFonts w:ascii="Palatino Linotype" w:eastAsia="Palatino Linotype" w:hAnsi="Palatino Linotype" w:cs="Palatino Linotype"/>
        </w:rPr>
        <w:t xml:space="preserve"> Sujeto</w:t>
      </w:r>
      <w:r w:rsidR="00FF7A57" w:rsidRPr="00A36329">
        <w:rPr>
          <w:rFonts w:ascii="Palatino Linotype" w:eastAsia="Palatino Linotype" w:hAnsi="Palatino Linotype" w:cs="Palatino Linotype"/>
        </w:rPr>
        <w:t>s</w:t>
      </w:r>
      <w:r w:rsidR="00351F3E" w:rsidRPr="00A36329">
        <w:rPr>
          <w:rFonts w:ascii="Palatino Linotype" w:eastAsia="Palatino Linotype" w:hAnsi="Palatino Linotype" w:cs="Palatino Linotype"/>
        </w:rPr>
        <w:t xml:space="preserve"> Obligado</w:t>
      </w:r>
      <w:r w:rsidR="00FF7A57" w:rsidRPr="00A36329">
        <w:rPr>
          <w:rFonts w:ascii="Palatino Linotype" w:eastAsia="Palatino Linotype" w:hAnsi="Palatino Linotype" w:cs="Palatino Linotype"/>
        </w:rPr>
        <w:t>s</w:t>
      </w:r>
      <w:r w:rsidR="00351F3E" w:rsidRPr="00A36329">
        <w:rPr>
          <w:rFonts w:ascii="Palatino Linotype" w:eastAsia="Palatino Linotype" w:hAnsi="Palatino Linotype" w:cs="Palatino Linotype"/>
        </w:rPr>
        <w:t xml:space="preserve"> competente</w:t>
      </w:r>
      <w:r w:rsidR="00FF7A57" w:rsidRPr="00A36329">
        <w:rPr>
          <w:rFonts w:ascii="Palatino Linotype" w:eastAsia="Palatino Linotype" w:hAnsi="Palatino Linotype" w:cs="Palatino Linotype"/>
        </w:rPr>
        <w:t>s</w:t>
      </w:r>
      <w:r w:rsidR="00351F3E" w:rsidRPr="00A36329">
        <w:rPr>
          <w:rFonts w:ascii="Palatino Linotype" w:eastAsia="Palatino Linotype" w:hAnsi="Palatino Linotype" w:cs="Palatino Linotype"/>
        </w:rPr>
        <w:t xml:space="preserve"> que pudiera</w:t>
      </w:r>
      <w:r w:rsidR="00FF7A57" w:rsidRPr="00A36329">
        <w:rPr>
          <w:rFonts w:ascii="Palatino Linotype" w:eastAsia="Palatino Linotype" w:hAnsi="Palatino Linotype" w:cs="Palatino Linotype"/>
        </w:rPr>
        <w:t>n</w:t>
      </w:r>
      <w:r w:rsidR="00351F3E" w:rsidRPr="00A36329">
        <w:rPr>
          <w:rFonts w:ascii="Palatino Linotype" w:eastAsia="Palatino Linotype" w:hAnsi="Palatino Linotype" w:cs="Palatino Linotype"/>
        </w:rPr>
        <w:t xml:space="preserve"> conocer de </w:t>
      </w:r>
      <w:r w:rsidR="002C112B" w:rsidRPr="00A36329">
        <w:rPr>
          <w:rFonts w:ascii="Palatino Linotype" w:eastAsia="Palatino Linotype" w:hAnsi="Palatino Linotype" w:cs="Palatino Linotype"/>
        </w:rPr>
        <w:t xml:space="preserve">lo </w:t>
      </w:r>
      <w:r w:rsidR="00FF7A57" w:rsidRPr="00A36329">
        <w:rPr>
          <w:rFonts w:ascii="Palatino Linotype" w:eastAsia="Palatino Linotype" w:hAnsi="Palatino Linotype" w:cs="Palatino Linotype"/>
        </w:rPr>
        <w:t>solicitado</w:t>
      </w:r>
      <w:r w:rsidR="002C112B" w:rsidRPr="00A36329">
        <w:rPr>
          <w:rFonts w:ascii="Palatino Linotype" w:eastAsia="Palatino Linotype" w:hAnsi="Palatino Linotype" w:cs="Palatino Linotype"/>
        </w:rPr>
        <w:t xml:space="preserve"> por el</w:t>
      </w:r>
      <w:r w:rsidR="00351F3E" w:rsidRPr="00A36329">
        <w:rPr>
          <w:rFonts w:ascii="Palatino Linotype" w:eastAsia="Palatino Linotype" w:hAnsi="Palatino Linotype" w:cs="Palatino Linotype"/>
        </w:rPr>
        <w:t xml:space="preserve"> </w:t>
      </w:r>
      <w:r w:rsidR="00351F3E" w:rsidRPr="00A36329">
        <w:rPr>
          <w:rFonts w:ascii="Palatino Linotype" w:eastAsia="Palatino Linotype" w:hAnsi="Palatino Linotype" w:cs="Palatino Linotype"/>
          <w:b/>
        </w:rPr>
        <w:t>RECURRENTE.</w:t>
      </w:r>
    </w:p>
    <w:p w14:paraId="0F00C792" w14:textId="77777777" w:rsidR="00B465CC" w:rsidRPr="00A36329" w:rsidRDefault="00B465CC" w:rsidP="003E0339">
      <w:pPr>
        <w:rPr>
          <w:rFonts w:ascii="Palatino Linotype" w:eastAsia="Palatino Linotype" w:hAnsi="Palatino Linotype" w:cs="Palatino Linotype"/>
        </w:rPr>
      </w:pPr>
    </w:p>
    <w:p w14:paraId="0FCE0B8F" w14:textId="161B16EC" w:rsidR="00FF7A57" w:rsidRPr="00A36329" w:rsidRDefault="00B465CC" w:rsidP="00FF7A57">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Lo anterior, tomando en consideración</w:t>
      </w:r>
      <w:r w:rsidR="00FF7A57" w:rsidRPr="00A36329">
        <w:rPr>
          <w:rFonts w:ascii="Palatino Linotype" w:eastAsia="Palatino Linotype" w:hAnsi="Palatino Linotype" w:cs="Palatino Linotype"/>
        </w:rPr>
        <w:t xml:space="preserve"> que,</w:t>
      </w:r>
      <w:r w:rsidRPr="00A36329">
        <w:rPr>
          <w:rFonts w:ascii="Palatino Linotype" w:eastAsia="Palatino Linotype" w:hAnsi="Palatino Linotype" w:cs="Palatino Linotype"/>
        </w:rPr>
        <w:t xml:space="preserve"> </w:t>
      </w:r>
      <w:r w:rsidR="00FF7A57" w:rsidRPr="00A36329">
        <w:rPr>
          <w:rFonts w:ascii="Palatino Linotype" w:hAnsi="Palatino Linotype"/>
        </w:rPr>
        <w:t>el Sujeto Obligado que cuenta con las facultades necesarias para conocer lo referente a las multas o infracciones impuestas a los vehículos que circulan dentro de esta Entidad, es exclusiva de las autoridades de tránsito, adscritas a la Secretaría de Seguridad del Estado de México, o en su caso, de las corporaciones policiacas de los ayuntamientos que tengan atribuciones para tal efecto.</w:t>
      </w:r>
      <w:r w:rsidR="00FF7A57" w:rsidRPr="00A36329">
        <w:rPr>
          <w:rFonts w:ascii="Palatino Linotype" w:eastAsia="Palatino Linotype" w:hAnsi="Palatino Linotype" w:cs="Palatino Linotype"/>
        </w:rPr>
        <w:t xml:space="preserve"> Esto, en atención a lo establecido en el artículo 2 y 5 del Reglamento de Tr</w:t>
      </w:r>
      <w:r w:rsidR="00430371" w:rsidRPr="00A36329">
        <w:rPr>
          <w:rFonts w:ascii="Palatino Linotype" w:eastAsia="Palatino Linotype" w:hAnsi="Palatino Linotype" w:cs="Palatino Linotype"/>
        </w:rPr>
        <w:t>á</w:t>
      </w:r>
      <w:r w:rsidR="00FF7A57" w:rsidRPr="00A36329">
        <w:rPr>
          <w:rFonts w:ascii="Palatino Linotype" w:eastAsia="Palatino Linotype" w:hAnsi="Palatino Linotype" w:cs="Palatino Linotype"/>
        </w:rPr>
        <w:t>nsito del Estado de México, preceptos legales que se transcriben a continuación:</w:t>
      </w:r>
    </w:p>
    <w:p w14:paraId="25030958" w14:textId="60438D92" w:rsidR="00FF7A57" w:rsidRPr="00A36329" w:rsidRDefault="00FF7A57" w:rsidP="00FF7A57">
      <w:pPr>
        <w:ind w:left="567" w:right="680"/>
        <w:jc w:val="both"/>
        <w:rPr>
          <w:rFonts w:ascii="Palatino Linotype" w:hAnsi="Palatino Linotype"/>
          <w:i/>
          <w:iCs/>
          <w:sz w:val="22"/>
        </w:rPr>
      </w:pPr>
      <w:r w:rsidRPr="00A36329">
        <w:rPr>
          <w:rFonts w:ascii="Palatino Linotype" w:hAnsi="Palatino Linotype"/>
          <w:i/>
          <w:iCs/>
          <w:sz w:val="22"/>
        </w:rPr>
        <w:t>“</w:t>
      </w:r>
      <w:r w:rsidRPr="00A36329">
        <w:rPr>
          <w:rFonts w:ascii="Palatino Linotype" w:hAnsi="Palatino Linotype"/>
          <w:b/>
          <w:bCs/>
          <w:i/>
          <w:iCs/>
          <w:sz w:val="22"/>
        </w:rPr>
        <w:t>Artículo 2.</w:t>
      </w:r>
      <w:r w:rsidRPr="00A36329">
        <w:rPr>
          <w:rFonts w:ascii="Palatino Linotype" w:hAnsi="Palatino Linotype"/>
          <w:i/>
          <w:iCs/>
          <w:sz w:val="22"/>
        </w:rPr>
        <w:t xml:space="preserve"> La aplicación del presente reglamento compete a las </w:t>
      </w:r>
      <w:r w:rsidRPr="00A36329">
        <w:rPr>
          <w:rFonts w:ascii="Palatino Linotype" w:hAnsi="Palatino Linotype"/>
          <w:b/>
          <w:bCs/>
          <w:i/>
          <w:iCs/>
          <w:sz w:val="22"/>
        </w:rPr>
        <w:t xml:space="preserve">autoridades estatales y a las municipales </w:t>
      </w:r>
      <w:r w:rsidRPr="00A36329">
        <w:rPr>
          <w:rFonts w:ascii="Palatino Linotype" w:hAnsi="Palatino Linotype"/>
          <w:i/>
          <w:iCs/>
          <w:sz w:val="22"/>
        </w:rPr>
        <w:t xml:space="preserve">que cuenten con la transferencia de tránsito, en las respectivas esferas de su competencia, de acuerdo con lo previsto en la ley de la materia, en este reglamento, en los convenios y acuerdos que se suscriban y demás disposiciones legales.” </w:t>
      </w:r>
    </w:p>
    <w:p w14:paraId="1A9B13A6" w14:textId="77777777" w:rsidR="00FF7A57" w:rsidRPr="00A36329" w:rsidRDefault="00FF7A57" w:rsidP="00FF7A57">
      <w:pPr>
        <w:ind w:left="567" w:right="680"/>
        <w:jc w:val="both"/>
        <w:rPr>
          <w:rFonts w:ascii="Palatino Linotype" w:hAnsi="Palatino Linotype"/>
          <w:i/>
          <w:iCs/>
          <w:sz w:val="22"/>
        </w:rPr>
      </w:pPr>
    </w:p>
    <w:p w14:paraId="50EABBD1" w14:textId="77777777" w:rsidR="00FF7A57" w:rsidRPr="00A36329" w:rsidRDefault="00FF7A57" w:rsidP="00FF7A57">
      <w:pPr>
        <w:ind w:left="567" w:right="680"/>
        <w:jc w:val="both"/>
        <w:rPr>
          <w:rFonts w:ascii="Palatino Linotype" w:hAnsi="Palatino Linotype"/>
          <w:i/>
          <w:iCs/>
          <w:sz w:val="22"/>
        </w:rPr>
      </w:pPr>
      <w:r w:rsidRPr="00A36329">
        <w:rPr>
          <w:rFonts w:ascii="Palatino Linotype" w:hAnsi="Palatino Linotype"/>
          <w:i/>
          <w:iCs/>
          <w:sz w:val="22"/>
        </w:rPr>
        <w:t>“</w:t>
      </w:r>
      <w:r w:rsidRPr="00A36329">
        <w:rPr>
          <w:rFonts w:ascii="Palatino Linotype" w:hAnsi="Palatino Linotype"/>
          <w:b/>
          <w:bCs/>
          <w:i/>
          <w:iCs/>
          <w:sz w:val="22"/>
        </w:rPr>
        <w:t>Artículo 5.-</w:t>
      </w:r>
      <w:r w:rsidRPr="00A36329">
        <w:rPr>
          <w:rFonts w:ascii="Palatino Linotype" w:hAnsi="Palatino Linotype"/>
          <w:i/>
          <w:iCs/>
          <w:sz w:val="22"/>
        </w:rPr>
        <w:t xml:space="preserve"> Corresponde a la </w:t>
      </w:r>
      <w:r w:rsidRPr="00A36329">
        <w:rPr>
          <w:rFonts w:ascii="Palatino Linotype" w:hAnsi="Palatino Linotype"/>
          <w:b/>
          <w:bCs/>
          <w:i/>
          <w:iCs/>
          <w:sz w:val="22"/>
        </w:rPr>
        <w:t>Secretaría de Seguridad</w:t>
      </w:r>
      <w:r w:rsidRPr="00A36329">
        <w:rPr>
          <w:rFonts w:ascii="Palatino Linotype" w:hAnsi="Palatino Linotype"/>
          <w:i/>
          <w:iCs/>
          <w:sz w:val="22"/>
        </w:rPr>
        <w:t xml:space="preserve"> en materia de tránsito: </w:t>
      </w:r>
    </w:p>
    <w:p w14:paraId="27E020D5" w14:textId="45301287" w:rsidR="00FF7A57" w:rsidRPr="00A36329" w:rsidRDefault="00FF7A57" w:rsidP="00FF7A57">
      <w:pPr>
        <w:ind w:left="567" w:right="680"/>
        <w:jc w:val="both"/>
        <w:rPr>
          <w:rFonts w:ascii="Palatino Linotype" w:hAnsi="Palatino Linotype"/>
          <w:i/>
          <w:iCs/>
          <w:sz w:val="22"/>
        </w:rPr>
      </w:pPr>
      <w:r w:rsidRPr="00A36329">
        <w:rPr>
          <w:rFonts w:ascii="Palatino Linotype" w:hAnsi="Palatino Linotype"/>
          <w:i/>
          <w:iCs/>
          <w:sz w:val="22"/>
        </w:rPr>
        <w:t>(…)</w:t>
      </w:r>
    </w:p>
    <w:p w14:paraId="1E09872D" w14:textId="77777777" w:rsidR="00FF7A57" w:rsidRPr="00A36329" w:rsidRDefault="00FF7A57" w:rsidP="00FF7A57">
      <w:pPr>
        <w:ind w:left="567" w:right="680"/>
        <w:jc w:val="both"/>
        <w:rPr>
          <w:rFonts w:ascii="Palatino Linotype" w:hAnsi="Palatino Linotype"/>
          <w:b/>
          <w:bCs/>
          <w:i/>
          <w:iCs/>
          <w:sz w:val="22"/>
        </w:rPr>
      </w:pPr>
      <w:r w:rsidRPr="00A36329">
        <w:rPr>
          <w:rFonts w:ascii="Palatino Linotype" w:hAnsi="Palatino Linotype"/>
          <w:b/>
          <w:bCs/>
          <w:i/>
          <w:iCs/>
          <w:sz w:val="22"/>
        </w:rPr>
        <w:t xml:space="preserve">XIX. Imponer las sanciones por infracciones al presente reglamento, siempre que no correspondan a los ayuntamientos; </w:t>
      </w:r>
    </w:p>
    <w:p w14:paraId="16A72120" w14:textId="13AB827C" w:rsidR="00FF7A57" w:rsidRPr="00A36329" w:rsidRDefault="00FF7A57" w:rsidP="00FF7A57">
      <w:pPr>
        <w:ind w:left="567" w:right="680"/>
        <w:jc w:val="both"/>
        <w:rPr>
          <w:rFonts w:ascii="Palatino Linotype" w:eastAsia="Palatino Linotype" w:hAnsi="Palatino Linotype" w:cs="Palatino Linotype"/>
          <w:i/>
          <w:iCs/>
          <w:sz w:val="22"/>
        </w:rPr>
      </w:pPr>
      <w:r w:rsidRPr="00A36329">
        <w:rPr>
          <w:rFonts w:ascii="Palatino Linotype" w:hAnsi="Palatino Linotype"/>
          <w:i/>
          <w:iCs/>
          <w:sz w:val="22"/>
        </w:rPr>
        <w:t>(…)“</w:t>
      </w:r>
    </w:p>
    <w:p w14:paraId="06098DD1" w14:textId="77777777" w:rsidR="00B465CC" w:rsidRPr="00A36329" w:rsidRDefault="00B465CC" w:rsidP="00B465CC">
      <w:pPr>
        <w:spacing w:line="360" w:lineRule="auto"/>
        <w:ind w:right="-28"/>
        <w:jc w:val="both"/>
        <w:rPr>
          <w:rFonts w:ascii="Palatino Linotype" w:eastAsia="Palatino Linotype" w:hAnsi="Palatino Linotype" w:cs="Palatino Linotype"/>
        </w:rPr>
      </w:pPr>
    </w:p>
    <w:p w14:paraId="7F96BA74"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Precisado lo anterior, se advierte que, tanto el acto impugnado como los motivos de inconformidad hechos valer por el </w:t>
      </w:r>
      <w:r w:rsidRPr="00A36329">
        <w:rPr>
          <w:rFonts w:ascii="Palatino Linotype" w:eastAsia="Palatino Linotype" w:hAnsi="Palatino Linotype" w:cs="Palatino Linotype"/>
          <w:b/>
        </w:rPr>
        <w:t>RECURRENTE</w:t>
      </w:r>
      <w:r w:rsidRPr="00A36329">
        <w:rPr>
          <w:rFonts w:ascii="Palatino Linotype" w:eastAsia="Palatino Linotype" w:hAnsi="Palatino Linotype" w:cs="Palatino Linotype"/>
        </w:rPr>
        <w:t xml:space="preserve"> son improcedentes, </w:t>
      </w:r>
      <w:r w:rsidRPr="00A36329">
        <w:rPr>
          <w:rFonts w:ascii="Palatino Linotype" w:eastAsia="Palatino Linotype" w:hAnsi="Palatino Linotype" w:cs="Palatino Linotype"/>
          <w:b/>
        </w:rPr>
        <w:t xml:space="preserve">puesto que la información que solicitó es competencia de un Sujeto Obligado distinto al que se le formuló la solicitud. </w:t>
      </w:r>
    </w:p>
    <w:p w14:paraId="547BF145" w14:textId="77777777" w:rsidR="002A62BF" w:rsidRPr="00A36329" w:rsidRDefault="002A62BF" w:rsidP="00BF0955">
      <w:pPr>
        <w:ind w:right="-28"/>
        <w:rPr>
          <w:rFonts w:ascii="Palatino Linotype" w:eastAsia="Palatino Linotype" w:hAnsi="Palatino Linotype" w:cs="Palatino Linotype"/>
        </w:rPr>
      </w:pPr>
    </w:p>
    <w:p w14:paraId="31E3CB18"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lastRenderedPageBreak/>
        <w:t>Entonces, al ser dos entes distintos en materia de transparencia, resulta en obviedad que uno no puede atender las solicitudes de información de otro, puesto que es información que cada Sujeto Obligado posee, genera y administra.</w:t>
      </w:r>
    </w:p>
    <w:p w14:paraId="0AF32832" w14:textId="77777777" w:rsidR="002A62BF" w:rsidRPr="00A36329" w:rsidRDefault="002A62BF" w:rsidP="00BF0955">
      <w:pPr>
        <w:ind w:right="-28"/>
        <w:rPr>
          <w:rFonts w:ascii="Palatino Linotype" w:eastAsia="Palatino Linotype" w:hAnsi="Palatino Linotype" w:cs="Palatino Linotype"/>
        </w:rPr>
      </w:pPr>
    </w:p>
    <w:p w14:paraId="2D59BCCA"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Ahora bien, este Órgano Garante estima que el actuar del </w:t>
      </w:r>
      <w:r w:rsidRPr="00A36329">
        <w:rPr>
          <w:rFonts w:ascii="Palatino Linotype" w:eastAsia="Palatino Linotype" w:hAnsi="Palatino Linotype" w:cs="Palatino Linotype"/>
          <w:b/>
        </w:rPr>
        <w:t>SUJETO OBLIGADO</w:t>
      </w:r>
      <w:r w:rsidRPr="00A36329">
        <w:rPr>
          <w:rFonts w:ascii="Palatino Linotype" w:eastAsia="Palatino Linotype" w:hAnsi="Palatino Linotype" w:cs="Palatino Linotype"/>
        </w:rPr>
        <w:t xml:space="preserve"> encuadra en lo preceptuado por la Ley de la materia, por lo que es necesario señalar los siguientes preceptos legales:</w:t>
      </w:r>
    </w:p>
    <w:p w14:paraId="7C3EC20B"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b/>
          <w:i/>
          <w:sz w:val="22"/>
        </w:rPr>
        <w:t>“Artículo 53</w:t>
      </w:r>
      <w:r w:rsidRPr="00A36329">
        <w:rPr>
          <w:rFonts w:ascii="Palatino Linotype" w:eastAsia="Palatino Linotype" w:hAnsi="Palatino Linotype" w:cs="Palatino Linotype"/>
          <w:i/>
          <w:sz w:val="22"/>
        </w:rPr>
        <w:t xml:space="preserve">. Las Unidades de Transparencia tendrán las siguientes funciones: </w:t>
      </w:r>
    </w:p>
    <w:p w14:paraId="0EA72453"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i/>
          <w:sz w:val="22"/>
        </w:rPr>
        <w:t>(…)</w:t>
      </w:r>
    </w:p>
    <w:p w14:paraId="3D292F3D" w14:textId="77777777" w:rsidR="002A62BF" w:rsidRPr="00A36329" w:rsidRDefault="00351F3E" w:rsidP="00A36329">
      <w:pPr>
        <w:ind w:left="567" w:right="963"/>
        <w:jc w:val="both"/>
        <w:rPr>
          <w:rFonts w:ascii="Palatino Linotype" w:eastAsia="Palatino Linotype" w:hAnsi="Palatino Linotype" w:cs="Palatino Linotype"/>
          <w:b/>
          <w:i/>
          <w:sz w:val="22"/>
        </w:rPr>
      </w:pPr>
      <w:r w:rsidRPr="00A36329">
        <w:rPr>
          <w:rFonts w:ascii="Palatino Linotype" w:eastAsia="Palatino Linotype" w:hAnsi="Palatino Linotype" w:cs="Palatino Linotype"/>
          <w:b/>
          <w:i/>
          <w:sz w:val="22"/>
        </w:rPr>
        <w:t>III. Auxiliar a los particulares en la elaboración de solicitudes de acceso a la información y, en su caso, orientarlos sobre los sujetos obligados competentes conforme a la normatividad aplicable;</w:t>
      </w:r>
    </w:p>
    <w:p w14:paraId="7005FBA4" w14:textId="77777777" w:rsidR="002A62BF" w:rsidRPr="00A36329" w:rsidRDefault="00351F3E" w:rsidP="00A36329">
      <w:pPr>
        <w:ind w:left="567" w:right="963"/>
        <w:jc w:val="both"/>
        <w:rPr>
          <w:rFonts w:ascii="Palatino Linotype" w:eastAsia="Palatino Linotype" w:hAnsi="Palatino Linotype" w:cs="Palatino Linotype"/>
          <w:i/>
          <w:sz w:val="22"/>
        </w:rPr>
      </w:pPr>
      <w:r w:rsidRPr="00A36329">
        <w:rPr>
          <w:rFonts w:ascii="Palatino Linotype" w:eastAsia="Palatino Linotype" w:hAnsi="Palatino Linotype" w:cs="Palatino Linotype"/>
          <w:i/>
          <w:sz w:val="22"/>
        </w:rPr>
        <w:t>(…)”</w:t>
      </w:r>
    </w:p>
    <w:p w14:paraId="3093C388" w14:textId="77777777" w:rsidR="002A62BF" w:rsidRPr="00A36329" w:rsidRDefault="00351F3E" w:rsidP="00A36329">
      <w:pPr>
        <w:pBdr>
          <w:top w:val="nil"/>
          <w:left w:val="nil"/>
          <w:bottom w:val="nil"/>
          <w:right w:val="nil"/>
          <w:between w:val="nil"/>
        </w:pBdr>
        <w:spacing w:before="240"/>
        <w:ind w:left="567" w:right="963"/>
        <w:jc w:val="center"/>
        <w:rPr>
          <w:rFonts w:ascii="Palatino Linotype" w:eastAsia="Palatino Linotype" w:hAnsi="Palatino Linotype" w:cs="Palatino Linotype"/>
          <w:b/>
          <w:i/>
          <w:color w:val="000000"/>
          <w:sz w:val="22"/>
        </w:rPr>
      </w:pPr>
      <w:r w:rsidRPr="00A36329">
        <w:rPr>
          <w:rFonts w:ascii="Palatino Linotype" w:eastAsia="Palatino Linotype" w:hAnsi="Palatino Linotype" w:cs="Palatino Linotype"/>
          <w:b/>
          <w:i/>
          <w:color w:val="000000"/>
          <w:sz w:val="22"/>
        </w:rPr>
        <w:t>Capítulo I</w:t>
      </w:r>
    </w:p>
    <w:p w14:paraId="2FC1031C" w14:textId="77777777" w:rsidR="002A62BF" w:rsidRPr="00A36329" w:rsidRDefault="00351F3E" w:rsidP="00A36329">
      <w:pPr>
        <w:pBdr>
          <w:top w:val="nil"/>
          <w:left w:val="nil"/>
          <w:bottom w:val="nil"/>
          <w:right w:val="nil"/>
          <w:between w:val="nil"/>
        </w:pBdr>
        <w:ind w:left="567" w:right="963"/>
        <w:jc w:val="center"/>
        <w:rPr>
          <w:rFonts w:ascii="Palatino Linotype" w:eastAsia="Palatino Linotype" w:hAnsi="Palatino Linotype" w:cs="Palatino Linotype"/>
          <w:b/>
          <w:i/>
          <w:color w:val="000000"/>
          <w:sz w:val="22"/>
        </w:rPr>
      </w:pPr>
      <w:r w:rsidRPr="00A36329">
        <w:rPr>
          <w:rFonts w:ascii="Palatino Linotype" w:eastAsia="Palatino Linotype" w:hAnsi="Palatino Linotype" w:cs="Palatino Linotype"/>
          <w:b/>
          <w:i/>
          <w:color w:val="000000"/>
          <w:sz w:val="22"/>
        </w:rPr>
        <w:t>Del Procedimiento de Acceso a la Información Pública</w:t>
      </w:r>
    </w:p>
    <w:p w14:paraId="1AA126AF" w14:textId="77777777" w:rsidR="002A62BF" w:rsidRPr="00A36329" w:rsidRDefault="002A62BF" w:rsidP="00A36329">
      <w:pPr>
        <w:pBdr>
          <w:top w:val="nil"/>
          <w:left w:val="nil"/>
          <w:bottom w:val="nil"/>
          <w:right w:val="nil"/>
          <w:between w:val="nil"/>
        </w:pBdr>
        <w:ind w:left="567" w:right="963"/>
        <w:jc w:val="center"/>
        <w:rPr>
          <w:rFonts w:ascii="Palatino Linotype" w:eastAsia="Palatino Linotype" w:hAnsi="Palatino Linotype" w:cs="Palatino Linotype"/>
          <w:b/>
          <w:i/>
          <w:color w:val="000000"/>
          <w:sz w:val="22"/>
        </w:rPr>
      </w:pPr>
    </w:p>
    <w:p w14:paraId="3355D56D" w14:textId="77777777" w:rsidR="002A62BF" w:rsidRPr="00A36329" w:rsidRDefault="00351F3E" w:rsidP="00A36329">
      <w:pPr>
        <w:pBdr>
          <w:top w:val="nil"/>
          <w:left w:val="nil"/>
          <w:bottom w:val="nil"/>
          <w:right w:val="nil"/>
          <w:between w:val="nil"/>
        </w:pBdr>
        <w:spacing w:after="240"/>
        <w:ind w:left="567" w:right="963"/>
        <w:jc w:val="both"/>
        <w:rPr>
          <w:rFonts w:ascii="Palatino Linotype" w:eastAsia="Palatino Linotype" w:hAnsi="Palatino Linotype" w:cs="Palatino Linotype"/>
          <w:i/>
          <w:color w:val="000000"/>
          <w:sz w:val="22"/>
        </w:rPr>
      </w:pPr>
      <w:r w:rsidRPr="00A36329">
        <w:rPr>
          <w:rFonts w:ascii="Palatino Linotype" w:eastAsia="Palatino Linotype" w:hAnsi="Palatino Linotype" w:cs="Palatino Linotype"/>
          <w:b/>
          <w:i/>
          <w:color w:val="000000"/>
          <w:sz w:val="22"/>
        </w:rPr>
        <w:t>“Artículo 150.</w:t>
      </w:r>
      <w:r w:rsidRPr="00A36329">
        <w:rPr>
          <w:rFonts w:ascii="Palatino Linotype" w:eastAsia="Palatino Linotype" w:hAnsi="Palatino Linotype" w:cs="Palatino Linotype"/>
          <w:i/>
          <w:color w:val="000000"/>
          <w:sz w:val="22"/>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7EE985DE"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5FC19C98" w14:textId="17A3BD2B"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De los artículos transcritos se deriva que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w:t>
      </w:r>
      <w:r w:rsidRPr="00A36329">
        <w:rPr>
          <w:rFonts w:ascii="Palatino Linotype" w:eastAsia="Palatino Linotype" w:hAnsi="Palatino Linotype" w:cs="Palatino Linotype"/>
          <w:b/>
        </w:rPr>
        <w:t>tres días hábiles</w:t>
      </w:r>
      <w:r w:rsidRPr="00A36329">
        <w:rPr>
          <w:rFonts w:ascii="Palatino Linotype" w:eastAsia="Palatino Linotype" w:hAnsi="Palatino Linotype" w:cs="Palatino Linotype"/>
        </w:rPr>
        <w:t xml:space="preserve"> posteriores a la recepción de la solicitud; en caso de no hacerlo en dicho plazo, podrá canalizar la solicitud al Sujeto Obligado competente.</w:t>
      </w:r>
    </w:p>
    <w:p w14:paraId="7F9CD07E" w14:textId="77777777" w:rsidR="003E0339" w:rsidRPr="00A36329" w:rsidRDefault="003E0339" w:rsidP="003E0339">
      <w:pPr>
        <w:spacing w:line="360" w:lineRule="auto"/>
        <w:ind w:right="-28"/>
        <w:jc w:val="both"/>
        <w:rPr>
          <w:rFonts w:ascii="Palatino Linotype" w:eastAsia="Palatino Linotype" w:hAnsi="Palatino Linotype" w:cs="Palatino Linotype"/>
        </w:rPr>
      </w:pPr>
    </w:p>
    <w:p w14:paraId="6B51E9D2" w14:textId="284B0EC3" w:rsidR="002C112B" w:rsidRPr="00A36329" w:rsidRDefault="00FF7A57" w:rsidP="003E0339">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lastRenderedPageBreak/>
        <w:t xml:space="preserve">En el caso particular, se precisa que el Particular ingresó la solicitud de información el </w:t>
      </w:r>
      <w:r w:rsidRPr="00A36329">
        <w:rPr>
          <w:rFonts w:ascii="Palatino Linotype" w:eastAsia="Palatino Linotype" w:hAnsi="Palatino Linotype" w:cs="Palatino Linotype"/>
          <w:b/>
          <w:bCs/>
        </w:rPr>
        <w:t>cuatro de junio de dos mil veinticuatro</w:t>
      </w:r>
      <w:r w:rsidRPr="00A36329">
        <w:rPr>
          <w:rFonts w:ascii="Palatino Linotype" w:eastAsia="Palatino Linotype" w:hAnsi="Palatino Linotype" w:cs="Palatino Linotype"/>
        </w:rPr>
        <w:t>, posterio</w:t>
      </w:r>
      <w:r w:rsidR="00430371" w:rsidRPr="00A36329">
        <w:rPr>
          <w:rFonts w:ascii="Palatino Linotype" w:eastAsia="Palatino Linotype" w:hAnsi="Palatino Linotype" w:cs="Palatino Linotype"/>
        </w:rPr>
        <w:t>r</w:t>
      </w:r>
      <w:r w:rsidRPr="00A36329">
        <w:rPr>
          <w:rFonts w:ascii="Palatino Linotype" w:eastAsia="Palatino Linotype" w:hAnsi="Palatino Linotype" w:cs="Palatino Linotype"/>
        </w:rPr>
        <w:t xml:space="preserve">mente el </w:t>
      </w:r>
      <w:r w:rsidRPr="00A36329">
        <w:rPr>
          <w:rFonts w:ascii="Palatino Linotype" w:eastAsia="Palatino Linotype" w:hAnsi="Palatino Linotype" w:cs="Palatino Linotype"/>
          <w:b/>
          <w:bCs/>
        </w:rPr>
        <w:t>SUJETO OBLIGADO</w:t>
      </w:r>
      <w:r w:rsidRPr="00A36329">
        <w:rPr>
          <w:rFonts w:ascii="Palatino Linotype" w:eastAsia="Palatino Linotype" w:hAnsi="Palatino Linotype" w:cs="Palatino Linotype"/>
        </w:rPr>
        <w:t xml:space="preserve"> </w:t>
      </w:r>
      <w:r w:rsidR="00351F3E" w:rsidRPr="00A36329">
        <w:rPr>
          <w:rFonts w:ascii="Palatino Linotype" w:eastAsia="Palatino Linotype" w:hAnsi="Palatino Linotype" w:cs="Palatino Linotype"/>
        </w:rPr>
        <w:t xml:space="preserve">determinó su incompetencia para atender la solicitud </w:t>
      </w:r>
      <w:r w:rsidR="003E0339" w:rsidRPr="00A36329">
        <w:rPr>
          <w:rFonts w:ascii="Palatino Linotype" w:eastAsia="Palatino Linotype" w:hAnsi="Palatino Linotype" w:cs="Palatino Linotype"/>
        </w:rPr>
        <w:t xml:space="preserve">el </w:t>
      </w:r>
      <w:r w:rsidR="003E0339" w:rsidRPr="00A36329">
        <w:rPr>
          <w:rFonts w:ascii="Palatino Linotype" w:eastAsia="Palatino Linotype" w:hAnsi="Palatino Linotype" w:cs="Palatino Linotype"/>
          <w:b/>
          <w:bCs/>
        </w:rPr>
        <w:t>siete de junio de dos mil veinticuatro</w:t>
      </w:r>
      <w:r w:rsidR="003E0339" w:rsidRPr="00A36329">
        <w:rPr>
          <w:rFonts w:ascii="Palatino Linotype" w:eastAsia="Palatino Linotype" w:hAnsi="Palatino Linotype" w:cs="Palatino Linotype"/>
        </w:rPr>
        <w:t xml:space="preserve">, es decir, </w:t>
      </w:r>
      <w:r w:rsidRPr="00A36329">
        <w:rPr>
          <w:rFonts w:ascii="Palatino Linotype" w:eastAsia="Palatino Linotype" w:hAnsi="Palatino Linotype" w:cs="Palatino Linotype"/>
        </w:rPr>
        <w:t xml:space="preserve">al </w:t>
      </w:r>
      <w:r w:rsidRPr="00A36329">
        <w:rPr>
          <w:rFonts w:ascii="Palatino Linotype" w:eastAsia="Palatino Linotype" w:hAnsi="Palatino Linotype" w:cs="Palatino Linotype"/>
          <w:b/>
          <w:bCs/>
        </w:rPr>
        <w:t>tercer día hábil</w:t>
      </w:r>
      <w:r w:rsidRPr="00A36329">
        <w:rPr>
          <w:rFonts w:ascii="Palatino Linotype" w:eastAsia="Palatino Linotype" w:hAnsi="Palatino Linotype" w:cs="Palatino Linotype"/>
        </w:rPr>
        <w:t xml:space="preserve"> posterior a la recepción de la solicitud, </w:t>
      </w:r>
      <w:r w:rsidR="003E0339" w:rsidRPr="00A36329">
        <w:rPr>
          <w:rFonts w:ascii="Palatino Linotype" w:eastAsia="Palatino Linotype" w:hAnsi="Palatino Linotype" w:cs="Palatino Linotype"/>
        </w:rPr>
        <w:t>por lo cual, se encuentra dentro d</w:t>
      </w:r>
      <w:r w:rsidRPr="00A36329">
        <w:rPr>
          <w:rFonts w:ascii="Palatino Linotype" w:eastAsia="Palatino Linotype" w:hAnsi="Palatino Linotype" w:cs="Palatino Linotype"/>
        </w:rPr>
        <w:t>e</w:t>
      </w:r>
      <w:r w:rsidR="003E0339" w:rsidRPr="00A36329">
        <w:rPr>
          <w:rFonts w:ascii="Palatino Linotype" w:eastAsia="Palatino Linotype" w:hAnsi="Palatino Linotype" w:cs="Palatino Linotype"/>
        </w:rPr>
        <w:t>l</w:t>
      </w:r>
      <w:r w:rsidR="00351F3E" w:rsidRPr="00A36329">
        <w:rPr>
          <w:rFonts w:ascii="Palatino Linotype" w:eastAsia="Palatino Linotype" w:hAnsi="Palatino Linotype" w:cs="Palatino Linotype"/>
        </w:rPr>
        <w:t xml:space="preserve"> plazo </w:t>
      </w:r>
      <w:r w:rsidR="003E0339" w:rsidRPr="00A36329">
        <w:rPr>
          <w:rFonts w:ascii="Palatino Linotype" w:eastAsia="Palatino Linotype" w:hAnsi="Palatino Linotype" w:cs="Palatino Linotype"/>
        </w:rPr>
        <w:t>establecido</w:t>
      </w:r>
      <w:r w:rsidR="00351F3E" w:rsidRPr="00A36329">
        <w:rPr>
          <w:rFonts w:ascii="Palatino Linotype" w:eastAsia="Palatino Linotype" w:hAnsi="Palatino Linotype" w:cs="Palatino Linotype"/>
        </w:rPr>
        <w:t xml:space="preserve"> en el artículo 167 de la Ley de Transparencia Local</w:t>
      </w:r>
      <w:r w:rsidR="002C112B" w:rsidRPr="00A36329">
        <w:rPr>
          <w:rFonts w:ascii="Palatino Linotype" w:eastAsia="Palatino Linotype" w:hAnsi="Palatino Linotype" w:cs="Palatino Linotype"/>
        </w:rPr>
        <w:t>.</w:t>
      </w:r>
    </w:p>
    <w:p w14:paraId="570BF22A" w14:textId="77777777" w:rsidR="002C112B" w:rsidRPr="00A36329" w:rsidRDefault="002C112B" w:rsidP="00E5155C">
      <w:pPr>
        <w:rPr>
          <w:rFonts w:ascii="Palatino Linotype" w:hAnsi="Palatino Linotype" w:cs="Arial"/>
          <w:lang w:val="es-ES"/>
        </w:rPr>
      </w:pPr>
    </w:p>
    <w:p w14:paraId="6613770B" w14:textId="739CCC1D" w:rsidR="002C112B" w:rsidRPr="00A36329" w:rsidRDefault="002C112B"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hAnsi="Palatino Linotype" w:cs="Arial"/>
          <w:lang w:val="es-ES"/>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w:t>
      </w:r>
      <w:r w:rsidR="00ED627F" w:rsidRPr="00A36329">
        <w:rPr>
          <w:rFonts w:ascii="Palatino Linotype" w:hAnsi="Palatino Linotype" w:cs="Arial"/>
          <w:lang w:val="es-ES"/>
        </w:rPr>
        <w:t xml:space="preserve">e dejan a salvo los derechos del </w:t>
      </w:r>
      <w:r w:rsidRPr="00A36329">
        <w:rPr>
          <w:rFonts w:ascii="Palatino Linotype" w:hAnsi="Palatino Linotype" w:cs="Arial"/>
          <w:b/>
          <w:lang w:val="es-ES"/>
        </w:rPr>
        <w:t>RECURRENTE</w:t>
      </w:r>
      <w:r w:rsidRPr="00A36329">
        <w:rPr>
          <w:rFonts w:ascii="Palatino Linotype" w:hAnsi="Palatino Linotype" w:cs="Arial"/>
          <w:lang w:val="es-ES"/>
        </w:rPr>
        <w:t xml:space="preserve"> para que pueda realizar la solicitud de información ante el Sujeto Obligado correspondiente.</w:t>
      </w:r>
    </w:p>
    <w:p w14:paraId="17079100"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18526832"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r w:rsidRPr="00A36329">
        <w:rPr>
          <w:rFonts w:ascii="Palatino Linotype" w:eastAsia="Palatino Linotype" w:hAnsi="Palatino Linotype" w:cs="Palatino Linotype"/>
        </w:rPr>
        <w:t xml:space="preserve">En este sentido, resultan </w:t>
      </w:r>
      <w:r w:rsidRPr="00A36329">
        <w:rPr>
          <w:rFonts w:ascii="Palatino Linotype" w:eastAsia="Palatino Linotype" w:hAnsi="Palatino Linotype" w:cs="Palatino Linotype"/>
          <w:b/>
        </w:rPr>
        <w:t>INFUNDADAS</w:t>
      </w:r>
      <w:r w:rsidRPr="00A36329">
        <w:rPr>
          <w:rFonts w:ascii="Palatino Linotype" w:eastAsia="Palatino Linotype" w:hAnsi="Palatino Linotype" w:cs="Palatino Linotype"/>
        </w:rPr>
        <w:t xml:space="preserve"> las razones o motivos de inconformidad hechos valer por el </w:t>
      </w:r>
      <w:r w:rsidRPr="00A36329">
        <w:rPr>
          <w:rFonts w:ascii="Palatino Linotype" w:eastAsia="Palatino Linotype" w:hAnsi="Palatino Linotype" w:cs="Palatino Linotype"/>
          <w:b/>
        </w:rPr>
        <w:t>RECURRENTE,</w:t>
      </w:r>
      <w:r w:rsidRPr="00A36329">
        <w:rPr>
          <w:rFonts w:ascii="Palatino Linotype" w:eastAsia="Palatino Linotype" w:hAnsi="Palatino Linotype" w:cs="Palatino Linotype"/>
        </w:rPr>
        <w:t xml:space="preserve"> toda vez que no se actualizan las hipótesis de procedencia contenidas en el artículo 179 de la Ley de Transparencia y Acceso a la Información Pública del Estado de México y Municipios, de tal manera que se </w:t>
      </w:r>
      <w:r w:rsidRPr="00A36329">
        <w:rPr>
          <w:rFonts w:ascii="Palatino Linotype" w:eastAsia="Palatino Linotype" w:hAnsi="Palatino Linotype" w:cs="Palatino Linotype"/>
          <w:b/>
        </w:rPr>
        <w:t>CONFIRMA</w:t>
      </w:r>
      <w:r w:rsidRPr="00A36329">
        <w:rPr>
          <w:rFonts w:ascii="Palatino Linotype" w:eastAsia="Palatino Linotype" w:hAnsi="Palatino Linotype" w:cs="Palatino Linotype"/>
        </w:rPr>
        <w:t xml:space="preserve"> la respuesta del </w:t>
      </w:r>
      <w:r w:rsidRPr="00A36329">
        <w:rPr>
          <w:rFonts w:ascii="Palatino Linotype" w:eastAsia="Palatino Linotype" w:hAnsi="Palatino Linotype" w:cs="Palatino Linotype"/>
          <w:b/>
        </w:rPr>
        <w:t>SUJETO OBLIGADO.</w:t>
      </w:r>
    </w:p>
    <w:p w14:paraId="2C740CAC" w14:textId="77777777" w:rsidR="00BF0955" w:rsidRPr="00A36329" w:rsidRDefault="00BF0955" w:rsidP="00BF0955">
      <w:pPr>
        <w:spacing w:line="360" w:lineRule="auto"/>
        <w:ind w:right="-28"/>
        <w:jc w:val="both"/>
        <w:rPr>
          <w:rFonts w:ascii="Palatino Linotype" w:eastAsia="Palatino Linotype" w:hAnsi="Palatino Linotype" w:cs="Palatino Linotype"/>
        </w:rPr>
      </w:pPr>
    </w:p>
    <w:p w14:paraId="7B16F966" w14:textId="77777777" w:rsidR="002A62BF" w:rsidRPr="00A36329" w:rsidRDefault="00351F3E" w:rsidP="00BF0955">
      <w:pPr>
        <w:numPr>
          <w:ilvl w:val="0"/>
          <w:numId w:val="4"/>
        </w:numPr>
        <w:spacing w:line="360" w:lineRule="auto"/>
        <w:ind w:left="0" w:right="-28" w:firstLine="0"/>
        <w:jc w:val="both"/>
        <w:rPr>
          <w:rFonts w:ascii="Palatino Linotype" w:eastAsia="Palatino Linotype" w:hAnsi="Palatino Linotype" w:cs="Palatino Linotype"/>
        </w:rPr>
      </w:pPr>
      <w:bookmarkStart w:id="7" w:name="_heading=h.3rdcrjn" w:colFirst="0" w:colLast="0"/>
      <w:bookmarkEnd w:id="7"/>
      <w:r w:rsidRPr="00A36329">
        <w:rPr>
          <w:rFonts w:ascii="Palatino Linotype" w:eastAsia="Palatino Linotype" w:hAnsi="Palatino Linotype" w:cs="Palatino Linotype"/>
          <w:color w:val="222222"/>
        </w:rPr>
        <w:t xml:space="preserve">Por lo anteriormente expuesto y fundado, este </w:t>
      </w:r>
      <w:r w:rsidRPr="00A36329">
        <w:rPr>
          <w:rFonts w:ascii="Palatino Linotype" w:eastAsia="Palatino Linotype" w:hAnsi="Palatino Linotype" w:cs="Palatino Linotype"/>
          <w:b/>
          <w:color w:val="222222"/>
        </w:rPr>
        <w:t>ÓRGANO GARANTE</w:t>
      </w:r>
      <w:r w:rsidRPr="00A36329">
        <w:rPr>
          <w:rFonts w:ascii="Palatino Linotype" w:eastAsia="Palatino Linotype" w:hAnsi="Palatino Linotype" w:cs="Palatino Linotype"/>
          <w:color w:val="222222"/>
        </w:rPr>
        <w:t xml:space="preserve"> emite los siguientes:</w:t>
      </w:r>
    </w:p>
    <w:p w14:paraId="3B6AB2DE"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075CCF62" w14:textId="77777777" w:rsidR="002A62BF" w:rsidRPr="00A36329" w:rsidRDefault="00351F3E" w:rsidP="00BF0955">
      <w:pPr>
        <w:keepNext/>
        <w:keepLines/>
        <w:spacing w:line="360" w:lineRule="auto"/>
        <w:ind w:right="-28"/>
        <w:jc w:val="center"/>
        <w:rPr>
          <w:rFonts w:ascii="Palatino Linotype" w:eastAsia="Palatino Linotype" w:hAnsi="Palatino Linotype" w:cs="Palatino Linotype"/>
          <w:b/>
          <w:color w:val="000000"/>
        </w:rPr>
      </w:pPr>
      <w:r w:rsidRPr="00A36329">
        <w:rPr>
          <w:rFonts w:ascii="Palatino Linotype" w:eastAsia="Palatino Linotype" w:hAnsi="Palatino Linotype" w:cs="Palatino Linotype"/>
          <w:b/>
          <w:color w:val="000000"/>
        </w:rPr>
        <w:lastRenderedPageBreak/>
        <w:t>R E S O L U T I V O S</w:t>
      </w:r>
    </w:p>
    <w:p w14:paraId="0E8CA930" w14:textId="77777777" w:rsidR="002A62BF" w:rsidRPr="00A36329" w:rsidRDefault="002A62BF" w:rsidP="00BF0955">
      <w:pPr>
        <w:keepNext/>
        <w:keepLines/>
        <w:spacing w:line="360" w:lineRule="auto"/>
        <w:ind w:right="-28"/>
        <w:jc w:val="center"/>
        <w:rPr>
          <w:rFonts w:ascii="Palatino Linotype" w:eastAsia="Palatino Linotype" w:hAnsi="Palatino Linotype" w:cs="Palatino Linotype"/>
          <w:b/>
        </w:rPr>
      </w:pPr>
    </w:p>
    <w:p w14:paraId="45434DF6" w14:textId="220A07E1" w:rsidR="002A62BF" w:rsidRPr="00A36329" w:rsidRDefault="00351F3E" w:rsidP="00BF0955">
      <w:pPr>
        <w:spacing w:line="360" w:lineRule="auto"/>
        <w:ind w:right="-28"/>
        <w:jc w:val="both"/>
        <w:rPr>
          <w:rFonts w:ascii="Palatino Linotype" w:eastAsia="Palatino Linotype" w:hAnsi="Palatino Linotype" w:cs="Palatino Linotype"/>
        </w:rPr>
      </w:pPr>
      <w:r w:rsidRPr="00A36329">
        <w:rPr>
          <w:rFonts w:ascii="Palatino Linotype" w:eastAsia="Palatino Linotype" w:hAnsi="Palatino Linotype" w:cs="Palatino Linotype"/>
          <w:b/>
        </w:rPr>
        <w:t xml:space="preserve">PRIMERO. </w:t>
      </w:r>
      <w:r w:rsidRPr="00A36329">
        <w:rPr>
          <w:rFonts w:ascii="Palatino Linotype" w:eastAsia="Palatino Linotype" w:hAnsi="Palatino Linotype" w:cs="Palatino Linotype"/>
        </w:rPr>
        <w:t>Resultan infundadas las</w:t>
      </w:r>
      <w:r w:rsidRPr="00A36329">
        <w:rPr>
          <w:rFonts w:ascii="Palatino Linotype" w:eastAsia="Palatino Linotype" w:hAnsi="Palatino Linotype" w:cs="Palatino Linotype"/>
          <w:b/>
        </w:rPr>
        <w:t xml:space="preserve"> </w:t>
      </w:r>
      <w:r w:rsidRPr="00A36329">
        <w:rPr>
          <w:rFonts w:ascii="Palatino Linotype" w:eastAsia="Palatino Linotype" w:hAnsi="Palatino Linotype" w:cs="Palatino Linotype"/>
        </w:rPr>
        <w:t>razones o motivos de inconformidad hechos valer en el recurso de revisión</w:t>
      </w:r>
      <w:r w:rsidRPr="00A36329">
        <w:rPr>
          <w:rFonts w:ascii="Palatino Linotype" w:eastAsia="Palatino Linotype" w:hAnsi="Palatino Linotype" w:cs="Palatino Linotype"/>
          <w:b/>
        </w:rPr>
        <w:t xml:space="preserve"> 0</w:t>
      </w:r>
      <w:r w:rsidR="000B2D69" w:rsidRPr="00A36329">
        <w:rPr>
          <w:rFonts w:ascii="Palatino Linotype" w:eastAsia="Palatino Linotype" w:hAnsi="Palatino Linotype" w:cs="Palatino Linotype"/>
          <w:b/>
        </w:rPr>
        <w:t>3</w:t>
      </w:r>
      <w:r w:rsidR="003E0339" w:rsidRPr="00A36329">
        <w:rPr>
          <w:rFonts w:ascii="Palatino Linotype" w:eastAsia="Palatino Linotype" w:hAnsi="Palatino Linotype" w:cs="Palatino Linotype"/>
          <w:b/>
        </w:rPr>
        <w:t>563</w:t>
      </w:r>
      <w:r w:rsidRPr="00A36329">
        <w:rPr>
          <w:rFonts w:ascii="Palatino Linotype" w:eastAsia="Palatino Linotype" w:hAnsi="Palatino Linotype" w:cs="Palatino Linotype"/>
          <w:b/>
        </w:rPr>
        <w:t xml:space="preserve">/INFOEM/IP/RR/2024, </w:t>
      </w:r>
      <w:r w:rsidRPr="00A36329">
        <w:rPr>
          <w:rFonts w:ascii="Palatino Linotype" w:eastAsia="Palatino Linotype" w:hAnsi="Palatino Linotype" w:cs="Palatino Linotype"/>
        </w:rPr>
        <w:t xml:space="preserve">en términos del </w:t>
      </w:r>
      <w:r w:rsidRPr="00A36329">
        <w:rPr>
          <w:rFonts w:ascii="Palatino Linotype" w:eastAsia="Palatino Linotype" w:hAnsi="Palatino Linotype" w:cs="Palatino Linotype"/>
          <w:b/>
        </w:rPr>
        <w:t>Considerando</w:t>
      </w:r>
      <w:r w:rsidRPr="00A36329">
        <w:rPr>
          <w:rFonts w:ascii="Palatino Linotype" w:eastAsia="Palatino Linotype" w:hAnsi="Palatino Linotype" w:cs="Palatino Linotype"/>
        </w:rPr>
        <w:t xml:space="preserve"> </w:t>
      </w:r>
      <w:r w:rsidRPr="00A36329">
        <w:rPr>
          <w:rFonts w:ascii="Palatino Linotype" w:eastAsia="Palatino Linotype" w:hAnsi="Palatino Linotype" w:cs="Palatino Linotype"/>
          <w:b/>
        </w:rPr>
        <w:t>CUARTO</w:t>
      </w:r>
      <w:r w:rsidRPr="00A36329">
        <w:rPr>
          <w:rFonts w:ascii="Palatino Linotype" w:eastAsia="Palatino Linotype" w:hAnsi="Palatino Linotype" w:cs="Palatino Linotype"/>
        </w:rPr>
        <w:t xml:space="preserve"> de la presente resolución.</w:t>
      </w:r>
    </w:p>
    <w:p w14:paraId="4212A0B2"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5FABADB2" w14:textId="2CC17532" w:rsidR="002A62BF" w:rsidRPr="00A36329" w:rsidRDefault="00351F3E" w:rsidP="00BF0955">
      <w:pPr>
        <w:spacing w:line="360" w:lineRule="auto"/>
        <w:ind w:right="-28"/>
        <w:jc w:val="both"/>
        <w:rPr>
          <w:rFonts w:ascii="Palatino Linotype" w:eastAsia="Palatino Linotype" w:hAnsi="Palatino Linotype" w:cs="Palatino Linotype"/>
          <w:b/>
        </w:rPr>
      </w:pPr>
      <w:r w:rsidRPr="00A36329">
        <w:rPr>
          <w:rFonts w:ascii="Palatino Linotype" w:eastAsia="Palatino Linotype" w:hAnsi="Palatino Linotype" w:cs="Palatino Linotype"/>
          <w:b/>
        </w:rPr>
        <w:t>SEGUNDO.</w:t>
      </w:r>
      <w:r w:rsidRPr="00A36329">
        <w:rPr>
          <w:rFonts w:ascii="Palatino Linotype" w:eastAsia="Palatino Linotype" w:hAnsi="Palatino Linotype" w:cs="Palatino Linotype"/>
          <w:b/>
          <w:color w:val="2E75B5"/>
        </w:rPr>
        <w:t xml:space="preserve"> </w:t>
      </w:r>
      <w:r w:rsidRPr="00A36329">
        <w:rPr>
          <w:rFonts w:ascii="Palatino Linotype" w:eastAsia="Palatino Linotype" w:hAnsi="Palatino Linotype" w:cs="Palatino Linotype"/>
        </w:rPr>
        <w:t>Se</w:t>
      </w:r>
      <w:r w:rsidRPr="00A36329">
        <w:rPr>
          <w:rFonts w:ascii="Palatino Linotype" w:eastAsia="Palatino Linotype" w:hAnsi="Palatino Linotype" w:cs="Palatino Linotype"/>
          <w:b/>
        </w:rPr>
        <w:t xml:space="preserve"> CONFIRMA </w:t>
      </w:r>
      <w:r w:rsidRPr="00A36329">
        <w:rPr>
          <w:rFonts w:ascii="Palatino Linotype" w:eastAsia="Palatino Linotype" w:hAnsi="Palatino Linotype" w:cs="Palatino Linotype"/>
        </w:rPr>
        <w:t xml:space="preserve">la respuesta emitida por la </w:t>
      </w:r>
      <w:r w:rsidR="003E0339" w:rsidRPr="00A36329">
        <w:rPr>
          <w:rFonts w:ascii="Palatino Linotype" w:eastAsia="Palatino Linotype" w:hAnsi="Palatino Linotype" w:cs="Palatino Linotype"/>
          <w:b/>
        </w:rPr>
        <w:t>Secretaría de Movilidad</w:t>
      </w:r>
      <w:r w:rsidR="000B2D69" w:rsidRPr="00A36329">
        <w:rPr>
          <w:rFonts w:ascii="Palatino Linotype" w:eastAsia="Palatino Linotype" w:hAnsi="Palatino Linotype" w:cs="Palatino Linotype"/>
          <w:b/>
        </w:rPr>
        <w:t xml:space="preserve"> </w:t>
      </w:r>
      <w:r w:rsidRPr="00A36329">
        <w:rPr>
          <w:rFonts w:ascii="Palatino Linotype" w:eastAsia="Palatino Linotype" w:hAnsi="Palatino Linotype" w:cs="Palatino Linotype"/>
        </w:rPr>
        <w:t xml:space="preserve">a la solicitud </w:t>
      </w:r>
      <w:r w:rsidRPr="00A36329">
        <w:rPr>
          <w:rFonts w:ascii="Palatino Linotype" w:eastAsia="Palatino Linotype" w:hAnsi="Palatino Linotype" w:cs="Palatino Linotype"/>
          <w:b/>
        </w:rPr>
        <w:t>00</w:t>
      </w:r>
      <w:r w:rsidR="003E0339" w:rsidRPr="00A36329">
        <w:rPr>
          <w:rFonts w:ascii="Palatino Linotype" w:eastAsia="Palatino Linotype" w:hAnsi="Palatino Linotype" w:cs="Palatino Linotype"/>
          <w:b/>
        </w:rPr>
        <w:t>392/SMOV</w:t>
      </w:r>
      <w:r w:rsidRPr="00A36329">
        <w:rPr>
          <w:rFonts w:ascii="Palatino Linotype" w:eastAsia="Palatino Linotype" w:hAnsi="Palatino Linotype" w:cs="Palatino Linotype"/>
          <w:b/>
        </w:rPr>
        <w:t>/IP/2024.</w:t>
      </w:r>
    </w:p>
    <w:p w14:paraId="5833681E" w14:textId="77777777" w:rsidR="002A62BF" w:rsidRPr="00A36329" w:rsidRDefault="002A62BF" w:rsidP="00BF0955">
      <w:pPr>
        <w:spacing w:line="360" w:lineRule="auto"/>
        <w:ind w:right="-28"/>
        <w:jc w:val="both"/>
        <w:rPr>
          <w:rFonts w:ascii="Palatino Linotype" w:eastAsia="Palatino Linotype" w:hAnsi="Palatino Linotype" w:cs="Palatino Linotype"/>
          <w:b/>
        </w:rPr>
      </w:pPr>
    </w:p>
    <w:p w14:paraId="472E3AAA" w14:textId="77777777" w:rsidR="002A62BF" w:rsidRPr="00A36329" w:rsidRDefault="00351F3E" w:rsidP="00BF0955">
      <w:pPr>
        <w:tabs>
          <w:tab w:val="left" w:pos="8080"/>
        </w:tabs>
        <w:spacing w:line="360" w:lineRule="auto"/>
        <w:ind w:right="-28"/>
        <w:jc w:val="both"/>
        <w:rPr>
          <w:rFonts w:ascii="Palatino Linotype" w:eastAsia="Palatino Linotype" w:hAnsi="Palatino Linotype" w:cs="Palatino Linotype"/>
          <w:b/>
        </w:rPr>
      </w:pPr>
      <w:r w:rsidRPr="00A36329">
        <w:rPr>
          <w:rFonts w:ascii="Palatino Linotype" w:eastAsia="Palatino Linotype" w:hAnsi="Palatino Linotype" w:cs="Palatino Linotype"/>
          <w:b/>
        </w:rPr>
        <w:t xml:space="preserve">TERCERO. REMÍTASE, </w:t>
      </w:r>
      <w:r w:rsidRPr="00A36329">
        <w:rPr>
          <w:rFonts w:ascii="Palatino Linotype" w:eastAsia="Palatino Linotype" w:hAnsi="Palatino Linotype" w:cs="Palatino Linotype"/>
        </w:rPr>
        <w:t xml:space="preserve">vía Sistema de Acceso a la Información Mexiquense </w:t>
      </w:r>
      <w:r w:rsidRPr="00A36329">
        <w:rPr>
          <w:rFonts w:ascii="Palatino Linotype" w:eastAsia="Palatino Linotype" w:hAnsi="Palatino Linotype" w:cs="Palatino Linotype"/>
          <w:b/>
          <w:bCs/>
        </w:rPr>
        <w:t>(SAIMEX),</w:t>
      </w:r>
      <w:r w:rsidRPr="00A36329">
        <w:rPr>
          <w:rFonts w:ascii="Palatino Linotype" w:eastAsia="Palatino Linotype" w:hAnsi="Palatino Linotype" w:cs="Palatino Linotype"/>
        </w:rPr>
        <w:t xml:space="preserve"> la presente resolución al Titular de la Unidad de Transparencia del </w:t>
      </w:r>
      <w:r w:rsidRPr="00A36329">
        <w:rPr>
          <w:rFonts w:ascii="Palatino Linotype" w:eastAsia="Palatino Linotype" w:hAnsi="Palatino Linotype" w:cs="Palatino Linotype"/>
          <w:b/>
        </w:rPr>
        <w:t>SUJETO OBLIGADO.</w:t>
      </w:r>
    </w:p>
    <w:p w14:paraId="538D5796" w14:textId="77777777" w:rsidR="002A62BF" w:rsidRPr="00A36329" w:rsidRDefault="002A62BF" w:rsidP="00BF0955">
      <w:pPr>
        <w:tabs>
          <w:tab w:val="left" w:pos="8080"/>
        </w:tabs>
        <w:spacing w:line="360" w:lineRule="auto"/>
        <w:ind w:right="-28"/>
        <w:jc w:val="both"/>
        <w:rPr>
          <w:rFonts w:ascii="Palatino Linotype" w:eastAsia="Palatino Linotype" w:hAnsi="Palatino Linotype" w:cs="Palatino Linotype"/>
          <w:b/>
        </w:rPr>
      </w:pPr>
    </w:p>
    <w:p w14:paraId="7065E86F" w14:textId="509F03BB" w:rsidR="002A62BF" w:rsidRPr="00A36329" w:rsidRDefault="00351F3E" w:rsidP="00BF0955">
      <w:pPr>
        <w:shd w:val="clear" w:color="auto" w:fill="FFFFFF"/>
        <w:spacing w:line="360" w:lineRule="auto"/>
        <w:ind w:right="-28"/>
        <w:jc w:val="both"/>
        <w:rPr>
          <w:rFonts w:ascii="Palatino Linotype" w:eastAsia="Palatino Linotype" w:hAnsi="Palatino Linotype" w:cs="Palatino Linotype"/>
        </w:rPr>
      </w:pPr>
      <w:r w:rsidRPr="00A36329">
        <w:rPr>
          <w:rFonts w:ascii="Palatino Linotype" w:eastAsia="Palatino Linotype" w:hAnsi="Palatino Linotype" w:cs="Palatino Linotype"/>
          <w:b/>
        </w:rPr>
        <w:t xml:space="preserve">CUARTO. </w:t>
      </w:r>
      <w:r w:rsidRPr="00A36329">
        <w:rPr>
          <w:rFonts w:ascii="Palatino Linotype" w:eastAsia="Palatino Linotype" w:hAnsi="Palatino Linotype" w:cs="Palatino Linotype"/>
          <w:b/>
          <w:color w:val="222222"/>
        </w:rPr>
        <w:t>Notifíquese al RECURRENTE</w:t>
      </w:r>
      <w:r w:rsidRPr="00A36329">
        <w:rPr>
          <w:rFonts w:ascii="Palatino Linotype" w:eastAsia="Palatino Linotype" w:hAnsi="Palatino Linotype" w:cs="Palatino Linotype"/>
          <w:b/>
        </w:rPr>
        <w:t xml:space="preserve"> </w:t>
      </w:r>
      <w:r w:rsidRPr="00A36329">
        <w:rPr>
          <w:rFonts w:ascii="Palatino Linotype" w:eastAsia="Palatino Linotype" w:hAnsi="Palatino Linotype" w:cs="Palatino Linotype"/>
        </w:rPr>
        <w:t xml:space="preserve">la presente resolución a través del </w:t>
      </w:r>
      <w:r w:rsidRPr="00A36329">
        <w:rPr>
          <w:rFonts w:ascii="Palatino Linotype" w:eastAsia="Palatino Linotype" w:hAnsi="Palatino Linotype" w:cs="Palatino Linotype"/>
          <w:b/>
        </w:rPr>
        <w:t>SAIMEX</w:t>
      </w:r>
      <w:r w:rsidR="000B2D69" w:rsidRPr="00A36329">
        <w:rPr>
          <w:rFonts w:ascii="Palatino Linotype" w:eastAsia="Palatino Linotype" w:hAnsi="Palatino Linotype" w:cs="Palatino Linotype"/>
          <w:b/>
        </w:rPr>
        <w:t xml:space="preserve"> y correo electrónico</w:t>
      </w:r>
      <w:r w:rsidRPr="00A36329">
        <w:rPr>
          <w:rFonts w:ascii="Palatino Linotype" w:eastAsia="Palatino Linotype" w:hAnsi="Palatino Linotype" w:cs="Palatino Linotype"/>
          <w:b/>
        </w:rPr>
        <w:t>.</w:t>
      </w:r>
    </w:p>
    <w:p w14:paraId="1092ED74" w14:textId="77777777" w:rsidR="002A62BF" w:rsidRPr="00A36329" w:rsidRDefault="00351F3E" w:rsidP="00BF0955">
      <w:pPr>
        <w:spacing w:before="240" w:after="240" w:line="360" w:lineRule="auto"/>
        <w:ind w:right="-28"/>
        <w:jc w:val="both"/>
        <w:rPr>
          <w:rFonts w:ascii="Palatino Linotype" w:eastAsia="Palatino Linotype" w:hAnsi="Palatino Linotype" w:cs="Palatino Linotype"/>
        </w:rPr>
      </w:pPr>
      <w:r w:rsidRPr="00A36329">
        <w:rPr>
          <w:rFonts w:ascii="Palatino Linotype" w:eastAsia="Palatino Linotype" w:hAnsi="Palatino Linotype" w:cs="Palatino Linotype"/>
          <w:b/>
        </w:rPr>
        <w:t>QUINTO.</w:t>
      </w:r>
      <w:r w:rsidRPr="00A36329">
        <w:rPr>
          <w:rFonts w:ascii="Palatino Linotype" w:eastAsia="Palatino Linotype" w:hAnsi="Palatino Linotype" w:cs="Palatino Linotype"/>
        </w:rPr>
        <w:t xml:space="preserve"> Se hace del conocimiento del </w:t>
      </w:r>
      <w:r w:rsidRPr="00A36329">
        <w:rPr>
          <w:rFonts w:ascii="Palatino Linotype" w:eastAsia="Palatino Linotype" w:hAnsi="Palatino Linotype" w:cs="Palatino Linotype"/>
          <w:b/>
          <w:color w:val="222222"/>
        </w:rPr>
        <w:t>RECURRENTE</w:t>
      </w:r>
      <w:r w:rsidRPr="00A36329">
        <w:rPr>
          <w:rFonts w:ascii="Palatino Linotype" w:eastAsia="Palatino Linotype" w:hAnsi="Palatino Linotype" w:cs="Palatino Linotype"/>
          <w:b/>
        </w:rPr>
        <w:t xml:space="preserve"> </w:t>
      </w:r>
      <w:r w:rsidRPr="00A36329">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E590236" w14:textId="77777777" w:rsidR="00821111" w:rsidRPr="003C7186" w:rsidRDefault="00821111" w:rsidP="00821111">
      <w:pPr>
        <w:spacing w:line="360" w:lineRule="auto"/>
        <w:ind w:left="-142" w:right="-234" w:firstLine="1"/>
        <w:jc w:val="both"/>
        <w:rPr>
          <w:rFonts w:ascii="Palatino Linotype" w:hAnsi="Palatino Linotype"/>
        </w:rPr>
      </w:pPr>
      <w:bookmarkStart w:id="8" w:name="_heading=h.30j0zll" w:colFirst="0" w:colLast="0"/>
      <w:bookmarkEnd w:id="8"/>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PRIMERA </w:t>
      </w:r>
      <w:r w:rsidRPr="003C7186">
        <w:rPr>
          <w:rFonts w:ascii="Palatino Linotype" w:hAnsi="Palatino Linotype"/>
        </w:rPr>
        <w:t xml:space="preserve">SESIÓN ORDINARIA </w:t>
      </w:r>
      <w:r w:rsidRPr="003C7186">
        <w:rPr>
          <w:rFonts w:ascii="Palatino Linotype" w:hAnsi="Palatino Linotype"/>
        </w:rPr>
        <w:lastRenderedPageBreak/>
        <w:t xml:space="preserve">CELEBRADA EL </w:t>
      </w:r>
      <w:r>
        <w:rPr>
          <w:rFonts w:ascii="Palatino Linotype" w:hAnsi="Palatino Linotype"/>
        </w:rPr>
        <w:t>VEINTISIETE</w:t>
      </w:r>
      <w:r w:rsidRPr="003C7186">
        <w:rPr>
          <w:rFonts w:ascii="Palatino Linotype" w:hAnsi="Palatino Linotype"/>
        </w:rPr>
        <w:t xml:space="preserve"> </w:t>
      </w:r>
      <w:r>
        <w:rPr>
          <w:rFonts w:ascii="Palatino Linotype" w:hAnsi="Palatino Linotype"/>
        </w:rPr>
        <w:t>(27) DE NOVIEMBRE</w:t>
      </w:r>
      <w:r w:rsidRPr="003C7186">
        <w:rPr>
          <w:rFonts w:ascii="Palatino Linotype" w:hAnsi="Palatino Linotype"/>
        </w:rPr>
        <w:t xml:space="preserve"> DE DOS MIL VEINTICUATRO, ANTE EL SECRETARIO TÉCNICO DEL PLENO ALEXIS TAPIA RAMÍREZ. </w:t>
      </w:r>
    </w:p>
    <w:p w14:paraId="6EB75413" w14:textId="77777777" w:rsidR="002A62BF" w:rsidRPr="00A36329" w:rsidRDefault="002A62BF" w:rsidP="00BF0955">
      <w:pPr>
        <w:spacing w:before="240" w:after="240" w:line="360" w:lineRule="auto"/>
        <w:ind w:right="-28"/>
        <w:jc w:val="both"/>
        <w:rPr>
          <w:rFonts w:ascii="Palatino Linotype" w:eastAsia="Palatino Linotype" w:hAnsi="Palatino Linotype" w:cs="Palatino Linotype"/>
        </w:rPr>
      </w:pPr>
    </w:p>
    <w:p w14:paraId="0A214774" w14:textId="77777777" w:rsidR="002A62BF" w:rsidRPr="00A36329" w:rsidRDefault="002A62BF" w:rsidP="00BF0955">
      <w:pPr>
        <w:spacing w:line="360" w:lineRule="auto"/>
        <w:ind w:right="-28"/>
        <w:rPr>
          <w:rFonts w:ascii="Palatino Linotype" w:eastAsia="Palatino Linotype" w:hAnsi="Palatino Linotype" w:cs="Palatino Linotype"/>
        </w:rPr>
      </w:pPr>
    </w:p>
    <w:p w14:paraId="39BEEC02"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6C70CB69"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3E386E4F"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15ECAD96"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33CC01A6"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346812F3"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17ABBF5C"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32D8E00C"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45180BF8"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468FFA3E"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1C7FEB80"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727A5235"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59B0AABF" w14:textId="77777777" w:rsidR="002A62BF" w:rsidRPr="00A36329" w:rsidRDefault="002A62BF" w:rsidP="00BF0955">
      <w:pPr>
        <w:spacing w:line="360" w:lineRule="auto"/>
        <w:ind w:right="-28"/>
        <w:jc w:val="both"/>
        <w:rPr>
          <w:rFonts w:ascii="Palatino Linotype" w:eastAsia="Palatino Linotype" w:hAnsi="Palatino Linotype" w:cs="Palatino Linotype"/>
        </w:rPr>
      </w:pPr>
    </w:p>
    <w:p w14:paraId="69934603" w14:textId="77777777" w:rsidR="002A62BF" w:rsidRPr="00A36329" w:rsidRDefault="002A62BF" w:rsidP="00BF0955">
      <w:pPr>
        <w:spacing w:line="360" w:lineRule="auto"/>
        <w:ind w:right="-28"/>
        <w:rPr>
          <w:rFonts w:ascii="Palatino Linotype" w:eastAsia="Palatino Linotype" w:hAnsi="Palatino Linotype" w:cs="Palatino Linotype"/>
        </w:rPr>
      </w:pPr>
    </w:p>
    <w:p w14:paraId="51F1DF1E" w14:textId="77777777" w:rsidR="002A62BF" w:rsidRPr="00A36329" w:rsidRDefault="002A62BF" w:rsidP="00BF0955">
      <w:pPr>
        <w:spacing w:line="360" w:lineRule="auto"/>
        <w:ind w:right="-28"/>
        <w:rPr>
          <w:rFonts w:ascii="Palatino Linotype" w:eastAsia="Palatino Linotype" w:hAnsi="Palatino Linotype" w:cs="Palatino Linotype"/>
        </w:rPr>
      </w:pPr>
    </w:p>
    <w:p w14:paraId="47096FAB" w14:textId="77777777" w:rsidR="002A62BF" w:rsidRPr="00A36329" w:rsidRDefault="002A62BF" w:rsidP="00BF0955">
      <w:pPr>
        <w:spacing w:line="360" w:lineRule="auto"/>
        <w:ind w:right="-28"/>
        <w:rPr>
          <w:rFonts w:ascii="Palatino Linotype" w:eastAsia="Palatino Linotype" w:hAnsi="Palatino Linotype" w:cs="Palatino Linotype"/>
        </w:rPr>
      </w:pPr>
    </w:p>
    <w:p w14:paraId="500DD0EE" w14:textId="77777777" w:rsidR="002A62BF" w:rsidRPr="00A36329" w:rsidRDefault="002A62BF" w:rsidP="00BF0955">
      <w:pPr>
        <w:spacing w:line="360" w:lineRule="auto"/>
        <w:ind w:right="-28"/>
        <w:rPr>
          <w:rFonts w:ascii="Palatino Linotype" w:eastAsia="Palatino Linotype" w:hAnsi="Palatino Linotype" w:cs="Palatino Linotype"/>
        </w:rPr>
      </w:pPr>
    </w:p>
    <w:p w14:paraId="3D15242F" w14:textId="77777777" w:rsidR="002A62BF" w:rsidRPr="00A36329" w:rsidRDefault="002A62BF" w:rsidP="00BF0955">
      <w:pPr>
        <w:spacing w:line="360" w:lineRule="auto"/>
        <w:ind w:right="-28"/>
        <w:rPr>
          <w:rFonts w:ascii="Palatino Linotype" w:eastAsia="Palatino Linotype" w:hAnsi="Palatino Linotype" w:cs="Palatino Linotype"/>
        </w:rPr>
      </w:pPr>
    </w:p>
    <w:p w14:paraId="6F1A043A" w14:textId="77777777" w:rsidR="002A62BF" w:rsidRPr="00A36329" w:rsidRDefault="002A62BF" w:rsidP="00BF0955">
      <w:pPr>
        <w:spacing w:line="360" w:lineRule="auto"/>
        <w:ind w:right="-28"/>
        <w:rPr>
          <w:rFonts w:ascii="Palatino Linotype" w:eastAsia="Palatino Linotype" w:hAnsi="Palatino Linotype" w:cs="Palatino Linotype"/>
        </w:rPr>
      </w:pPr>
    </w:p>
    <w:p w14:paraId="54210727" w14:textId="77777777" w:rsidR="002A62BF" w:rsidRPr="00A36329" w:rsidRDefault="002A62BF" w:rsidP="00BF0955">
      <w:pPr>
        <w:spacing w:line="360" w:lineRule="auto"/>
        <w:ind w:right="-28"/>
        <w:rPr>
          <w:rFonts w:ascii="Palatino Linotype" w:eastAsia="Palatino Linotype" w:hAnsi="Palatino Linotype" w:cs="Palatino Linotype"/>
        </w:rPr>
      </w:pPr>
    </w:p>
    <w:sectPr w:rsidR="002A62BF" w:rsidRPr="00A36329" w:rsidSect="00A36329">
      <w:headerReference w:type="even" r:id="rId10"/>
      <w:headerReference w:type="default" r:id="rId11"/>
      <w:footerReference w:type="default" r:id="rId12"/>
      <w:headerReference w:type="first" r:id="rId13"/>
      <w:footerReference w:type="first" r:id="rId14"/>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56A64" w14:textId="77777777" w:rsidR="00A21679" w:rsidRDefault="00A21679">
      <w:r>
        <w:separator/>
      </w:r>
    </w:p>
  </w:endnote>
  <w:endnote w:type="continuationSeparator" w:id="0">
    <w:p w14:paraId="39CA904D" w14:textId="77777777" w:rsidR="00A21679" w:rsidRDefault="00A2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B8C8" w14:textId="77777777" w:rsidR="00ED627F" w:rsidRDefault="00ED627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B62E3">
      <w:rPr>
        <w:b/>
        <w:noProof/>
        <w:color w:val="000000"/>
      </w:rPr>
      <w:t>18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B62E3">
      <w:rPr>
        <w:b/>
        <w:noProof/>
        <w:color w:val="000000"/>
      </w:rPr>
      <w:t>18</w:t>
    </w:r>
    <w:r>
      <w:rPr>
        <w:b/>
        <w:color w:val="000000"/>
      </w:rPr>
      <w:fldChar w:fldCharType="end"/>
    </w:r>
  </w:p>
  <w:p w14:paraId="662CA938" w14:textId="77777777" w:rsidR="00ED627F" w:rsidRDefault="00ED627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BDBC2" w14:textId="77777777" w:rsidR="00ED627F" w:rsidRDefault="00ED627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B62E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B62E3">
      <w:rPr>
        <w:b/>
        <w:noProof/>
        <w:color w:val="000000"/>
      </w:rPr>
      <w:t>18</w:t>
    </w:r>
    <w:r>
      <w:rPr>
        <w:b/>
        <w:color w:val="000000"/>
      </w:rPr>
      <w:fldChar w:fldCharType="end"/>
    </w:r>
  </w:p>
  <w:p w14:paraId="580A76E5" w14:textId="77777777" w:rsidR="00ED627F" w:rsidRDefault="00ED627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50DB1" w14:textId="77777777" w:rsidR="00A21679" w:rsidRDefault="00A21679">
      <w:r>
        <w:separator/>
      </w:r>
    </w:p>
  </w:footnote>
  <w:footnote w:type="continuationSeparator" w:id="0">
    <w:p w14:paraId="216B023D" w14:textId="77777777" w:rsidR="00A21679" w:rsidRDefault="00A21679">
      <w:r>
        <w:continuationSeparator/>
      </w:r>
    </w:p>
  </w:footnote>
  <w:footnote w:id="1">
    <w:p w14:paraId="7307832D" w14:textId="77777777" w:rsidR="00ED627F" w:rsidRDefault="00ED627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02403EB3" w14:textId="77777777" w:rsidR="00ED627F" w:rsidRDefault="00ED627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5B21B7C" w14:textId="77777777" w:rsidR="00ED627F" w:rsidRDefault="00ED627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4CD568AC" w14:textId="77777777" w:rsidR="00ED627F" w:rsidRDefault="00ED627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4B5DD" w14:textId="77777777" w:rsidR="00ED627F" w:rsidRDefault="00A21679">
    <w:pPr>
      <w:pBdr>
        <w:top w:val="nil"/>
        <w:left w:val="nil"/>
        <w:bottom w:val="nil"/>
        <w:right w:val="nil"/>
        <w:between w:val="nil"/>
      </w:pBdr>
      <w:tabs>
        <w:tab w:val="center" w:pos="4419"/>
        <w:tab w:val="right" w:pos="8838"/>
      </w:tabs>
      <w:rPr>
        <w:color w:val="000000"/>
      </w:rPr>
    </w:pPr>
    <w:r>
      <w:rPr>
        <w:color w:val="000000"/>
      </w:rPr>
      <w:pict w14:anchorId="6BE5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589.8pt;height:768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
      <w:tblW w:w="9390" w:type="dxa"/>
      <w:tblInd w:w="0" w:type="dxa"/>
      <w:tblLayout w:type="fixed"/>
      <w:tblLook w:val="0400" w:firstRow="0" w:lastRow="0" w:firstColumn="0" w:lastColumn="0" w:noHBand="0" w:noVBand="1"/>
    </w:tblPr>
    <w:tblGrid>
      <w:gridCol w:w="2311"/>
      <w:gridCol w:w="7079"/>
    </w:tblGrid>
    <w:tr w:rsidR="00ED627F" w14:paraId="73CBDF99" w14:textId="77777777" w:rsidTr="00A36329">
      <w:trPr>
        <w:trHeight w:val="917"/>
      </w:trPr>
      <w:tc>
        <w:tcPr>
          <w:tcW w:w="2311" w:type="dxa"/>
          <w:shd w:val="clear" w:color="auto" w:fill="auto"/>
        </w:tcPr>
        <w:p w14:paraId="081CF586" w14:textId="77777777" w:rsidR="00ED627F" w:rsidRDefault="00ED627F">
          <w:pPr>
            <w:tabs>
              <w:tab w:val="right" w:pos="4273"/>
            </w:tabs>
            <w:rPr>
              <w:rFonts w:ascii="Garamond" w:eastAsia="Garamond" w:hAnsi="Garamond" w:cs="Garamond"/>
              <w:sz w:val="16"/>
              <w:szCs w:val="16"/>
            </w:rPr>
          </w:pPr>
        </w:p>
      </w:tc>
      <w:tc>
        <w:tcPr>
          <w:tcW w:w="7079" w:type="dxa"/>
          <w:shd w:val="clear" w:color="auto" w:fill="auto"/>
        </w:tcPr>
        <w:tbl>
          <w:tblPr>
            <w:tblStyle w:val="af0"/>
            <w:tblW w:w="6696" w:type="dxa"/>
            <w:tblInd w:w="43" w:type="dxa"/>
            <w:tblLayout w:type="fixed"/>
            <w:tblLook w:val="0400" w:firstRow="0" w:lastRow="0" w:firstColumn="0" w:lastColumn="0" w:noHBand="0" w:noVBand="1"/>
          </w:tblPr>
          <w:tblGrid>
            <w:gridCol w:w="3287"/>
            <w:gridCol w:w="3409"/>
          </w:tblGrid>
          <w:tr w:rsidR="00ED627F" w14:paraId="6BA38CFE" w14:textId="77777777" w:rsidTr="00A36329">
            <w:trPr>
              <w:trHeight w:val="68"/>
            </w:trPr>
            <w:tc>
              <w:tcPr>
                <w:tcW w:w="3287" w:type="dxa"/>
                <w:shd w:val="clear" w:color="auto" w:fill="auto"/>
              </w:tcPr>
              <w:p w14:paraId="5CB6674F" w14:textId="77777777" w:rsidR="00ED627F" w:rsidRDefault="00ED627F">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9" w:type="dxa"/>
                <w:shd w:val="clear" w:color="auto" w:fill="auto"/>
              </w:tcPr>
              <w:p w14:paraId="5CA61C96" w14:textId="2C4394C9" w:rsidR="00ED627F" w:rsidRDefault="00ED627F">
                <w:pPr>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w:t>
                </w:r>
                <w:r w:rsidR="00B26965">
                  <w:rPr>
                    <w:rFonts w:ascii="Palatino Linotype" w:eastAsia="Palatino Linotype" w:hAnsi="Palatino Linotype" w:cs="Palatino Linotype"/>
                    <w:sz w:val="22"/>
                    <w:szCs w:val="22"/>
                  </w:rPr>
                  <w:t>563</w:t>
                </w:r>
                <w:r>
                  <w:rPr>
                    <w:rFonts w:ascii="Palatino Linotype" w:eastAsia="Palatino Linotype" w:hAnsi="Palatino Linotype" w:cs="Palatino Linotype"/>
                    <w:sz w:val="22"/>
                    <w:szCs w:val="22"/>
                  </w:rPr>
                  <w:t>/INFOEM/IP/RR/2024</w:t>
                </w:r>
              </w:p>
            </w:tc>
          </w:tr>
          <w:tr w:rsidR="00ED627F" w14:paraId="1C13F77A" w14:textId="77777777" w:rsidTr="00A36329">
            <w:trPr>
              <w:trHeight w:val="135"/>
            </w:trPr>
            <w:tc>
              <w:tcPr>
                <w:tcW w:w="3287" w:type="dxa"/>
                <w:shd w:val="clear" w:color="auto" w:fill="auto"/>
              </w:tcPr>
              <w:p w14:paraId="7C64D8B1" w14:textId="77777777" w:rsidR="00ED627F" w:rsidRDefault="00ED627F">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9" w:type="dxa"/>
                <w:shd w:val="clear" w:color="auto" w:fill="auto"/>
              </w:tcPr>
              <w:p w14:paraId="43D9F836" w14:textId="07A38923" w:rsidR="00ED627F" w:rsidRDefault="00B26965">
                <w:pPr>
                  <w:tabs>
                    <w:tab w:val="left" w:pos="2834"/>
                  </w:tabs>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Movilidad</w:t>
                </w:r>
              </w:p>
            </w:tc>
          </w:tr>
          <w:tr w:rsidR="00ED627F" w14:paraId="46D431A9" w14:textId="77777777" w:rsidTr="00A36329">
            <w:trPr>
              <w:trHeight w:val="135"/>
            </w:trPr>
            <w:tc>
              <w:tcPr>
                <w:tcW w:w="3287" w:type="dxa"/>
                <w:shd w:val="clear" w:color="auto" w:fill="auto"/>
              </w:tcPr>
              <w:p w14:paraId="4509BE37" w14:textId="5142C4A5" w:rsidR="00ED627F" w:rsidRDefault="00ED627F">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9" w:type="dxa"/>
                <w:shd w:val="clear" w:color="auto" w:fill="auto"/>
              </w:tcPr>
              <w:p w14:paraId="21D314FB" w14:textId="61ABBF57" w:rsidR="00ED627F" w:rsidRDefault="00ED627F">
                <w:pPr>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9D8A239" w14:textId="77777777" w:rsidR="00ED627F" w:rsidRDefault="00ED627F">
                <w:pPr>
                  <w:ind w:right="-986"/>
                  <w:rPr>
                    <w:rFonts w:ascii="Palatino Linotype" w:eastAsia="Palatino Linotype" w:hAnsi="Palatino Linotype" w:cs="Palatino Linotype"/>
                    <w:sz w:val="22"/>
                    <w:szCs w:val="22"/>
                  </w:rPr>
                </w:pPr>
              </w:p>
            </w:tc>
          </w:tr>
        </w:tbl>
        <w:p w14:paraId="5581E8C6" w14:textId="77777777" w:rsidR="00ED627F" w:rsidRDefault="00ED627F">
          <w:pPr>
            <w:tabs>
              <w:tab w:val="right" w:pos="8838"/>
            </w:tabs>
            <w:ind w:left="-28"/>
            <w:jc w:val="both"/>
            <w:rPr>
              <w:rFonts w:ascii="Arial" w:eastAsia="Arial" w:hAnsi="Arial" w:cs="Arial"/>
              <w:b/>
              <w:sz w:val="22"/>
              <w:szCs w:val="22"/>
            </w:rPr>
          </w:pPr>
        </w:p>
      </w:tc>
    </w:tr>
  </w:tbl>
  <w:p w14:paraId="6F4DF175" w14:textId="77777777" w:rsidR="00ED627F" w:rsidRDefault="00A21679">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41C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7.45pt;margin-top:-110.35pt;width:589.8pt;height:768pt;z-index:-251659776;mso-wrap-edited:f;mso-width-percent:0;mso-height-percent:0;mso-position-horizontal-relative:margin;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1"/>
      <w:tblW w:w="10350" w:type="dxa"/>
      <w:tblInd w:w="0" w:type="dxa"/>
      <w:tblLayout w:type="fixed"/>
      <w:tblLook w:val="0400" w:firstRow="0" w:lastRow="0" w:firstColumn="0" w:lastColumn="0" w:noHBand="0" w:noVBand="1"/>
    </w:tblPr>
    <w:tblGrid>
      <w:gridCol w:w="3092"/>
      <w:gridCol w:w="7258"/>
    </w:tblGrid>
    <w:tr w:rsidR="00ED627F" w14:paraId="09B7E4A8" w14:textId="77777777">
      <w:trPr>
        <w:trHeight w:val="2303"/>
      </w:trPr>
      <w:tc>
        <w:tcPr>
          <w:tcW w:w="3092" w:type="dxa"/>
          <w:shd w:val="clear" w:color="auto" w:fill="auto"/>
        </w:tcPr>
        <w:p w14:paraId="7CDB74A1" w14:textId="77777777" w:rsidR="00ED627F" w:rsidRDefault="00ED627F">
          <w:pPr>
            <w:tabs>
              <w:tab w:val="right" w:pos="4273"/>
            </w:tabs>
            <w:rPr>
              <w:rFonts w:ascii="Garamond" w:eastAsia="Garamond" w:hAnsi="Garamond" w:cs="Garamond"/>
              <w:sz w:val="22"/>
              <w:szCs w:val="22"/>
            </w:rPr>
          </w:pPr>
        </w:p>
      </w:tc>
      <w:tc>
        <w:tcPr>
          <w:tcW w:w="7258" w:type="dxa"/>
          <w:shd w:val="clear" w:color="auto" w:fill="auto"/>
        </w:tcPr>
        <w:tbl>
          <w:tblPr>
            <w:tblStyle w:val="af2"/>
            <w:tblW w:w="6060" w:type="dxa"/>
            <w:tblInd w:w="621" w:type="dxa"/>
            <w:tblLayout w:type="fixed"/>
            <w:tblLook w:val="0400" w:firstRow="0" w:lastRow="0" w:firstColumn="0" w:lastColumn="0" w:noHBand="0" w:noVBand="1"/>
          </w:tblPr>
          <w:tblGrid>
            <w:gridCol w:w="2522"/>
            <w:gridCol w:w="3538"/>
          </w:tblGrid>
          <w:tr w:rsidR="00ED627F" w14:paraId="7B39B2E9" w14:textId="77777777" w:rsidTr="00CB7D69">
            <w:trPr>
              <w:trHeight w:val="144"/>
            </w:trPr>
            <w:tc>
              <w:tcPr>
                <w:tcW w:w="2522" w:type="dxa"/>
                <w:shd w:val="clear" w:color="auto" w:fill="auto"/>
              </w:tcPr>
              <w:p w14:paraId="14729F52" w14:textId="77777777" w:rsidR="00ED627F" w:rsidRDefault="00ED627F">
                <w:pPr>
                  <w:tabs>
                    <w:tab w:val="right" w:pos="8838"/>
                  </w:tabs>
                  <w:ind w:left="-264" w:right="-105" w:firstLine="26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38" w:type="dxa"/>
                <w:shd w:val="clear" w:color="auto" w:fill="auto"/>
              </w:tcPr>
              <w:p w14:paraId="0C56DBC4" w14:textId="0E807764" w:rsidR="00ED627F" w:rsidRDefault="00ED627F">
                <w:pPr>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w:t>
                </w:r>
                <w:r w:rsidR="00B26965">
                  <w:rPr>
                    <w:rFonts w:ascii="Palatino Linotype" w:eastAsia="Palatino Linotype" w:hAnsi="Palatino Linotype" w:cs="Palatino Linotype"/>
                    <w:sz w:val="22"/>
                    <w:szCs w:val="22"/>
                  </w:rPr>
                  <w:t>563</w:t>
                </w:r>
                <w:r>
                  <w:rPr>
                    <w:rFonts w:ascii="Palatino Linotype" w:eastAsia="Palatino Linotype" w:hAnsi="Palatino Linotype" w:cs="Palatino Linotype"/>
                    <w:sz w:val="22"/>
                    <w:szCs w:val="22"/>
                  </w:rPr>
                  <w:t>/INFOEM/IP/RR/2024</w:t>
                </w:r>
              </w:p>
            </w:tc>
          </w:tr>
          <w:tr w:rsidR="00ED627F" w14:paraId="259762B6" w14:textId="77777777" w:rsidTr="00CB7D69">
            <w:trPr>
              <w:trHeight w:val="144"/>
            </w:trPr>
            <w:tc>
              <w:tcPr>
                <w:tcW w:w="2522" w:type="dxa"/>
                <w:shd w:val="clear" w:color="auto" w:fill="auto"/>
              </w:tcPr>
              <w:p w14:paraId="6F918423" w14:textId="77777777" w:rsidR="00ED627F" w:rsidRDefault="00ED627F">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38" w:type="dxa"/>
                <w:shd w:val="clear" w:color="auto" w:fill="auto"/>
              </w:tcPr>
              <w:p w14:paraId="3C871758" w14:textId="44A3A9F3" w:rsidR="002B62E3" w:rsidRDefault="002B62E3">
                <w:pPr>
                  <w:tabs>
                    <w:tab w:val="left" w:pos="3122"/>
                  </w:tabs>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w:t>
                </w:r>
              </w:p>
            </w:tc>
          </w:tr>
          <w:tr w:rsidR="00ED627F" w14:paraId="472825F7" w14:textId="77777777" w:rsidTr="00CB7D69">
            <w:trPr>
              <w:trHeight w:val="283"/>
            </w:trPr>
            <w:tc>
              <w:tcPr>
                <w:tcW w:w="2522" w:type="dxa"/>
                <w:shd w:val="clear" w:color="auto" w:fill="auto"/>
              </w:tcPr>
              <w:p w14:paraId="3BB2AE7E" w14:textId="77777777" w:rsidR="00ED627F" w:rsidRDefault="00ED627F">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38" w:type="dxa"/>
                <w:shd w:val="clear" w:color="auto" w:fill="auto"/>
              </w:tcPr>
              <w:p w14:paraId="50DCF176" w14:textId="3B3AB542" w:rsidR="00ED627F" w:rsidRDefault="00B26965">
                <w:pPr>
                  <w:tabs>
                    <w:tab w:val="left" w:pos="2834"/>
                  </w:tabs>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Movilidad</w:t>
                </w:r>
              </w:p>
            </w:tc>
          </w:tr>
          <w:tr w:rsidR="00ED627F" w14:paraId="0040698B" w14:textId="77777777" w:rsidTr="00CB7D69">
            <w:trPr>
              <w:trHeight w:val="283"/>
            </w:trPr>
            <w:tc>
              <w:tcPr>
                <w:tcW w:w="2522" w:type="dxa"/>
                <w:shd w:val="clear" w:color="auto" w:fill="auto"/>
              </w:tcPr>
              <w:p w14:paraId="6A45565C" w14:textId="77777777" w:rsidR="00ED627F" w:rsidRDefault="00ED627F">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38" w:type="dxa"/>
                <w:shd w:val="clear" w:color="auto" w:fill="auto"/>
              </w:tcPr>
              <w:p w14:paraId="010EFB44" w14:textId="77777777" w:rsidR="00ED627F" w:rsidRDefault="00ED627F">
                <w:pPr>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6CA0C23" w14:textId="77777777" w:rsidR="00ED627F" w:rsidRDefault="00ED627F">
                <w:pPr>
                  <w:ind w:right="77"/>
                  <w:rPr>
                    <w:rFonts w:ascii="Palatino Linotype" w:eastAsia="Palatino Linotype" w:hAnsi="Palatino Linotype" w:cs="Palatino Linotype"/>
                    <w:sz w:val="22"/>
                    <w:szCs w:val="22"/>
                  </w:rPr>
                </w:pPr>
              </w:p>
            </w:tc>
          </w:tr>
        </w:tbl>
        <w:p w14:paraId="421DBBBC" w14:textId="77777777" w:rsidR="00ED627F" w:rsidRDefault="00ED627F">
          <w:pPr>
            <w:tabs>
              <w:tab w:val="right" w:pos="8838"/>
            </w:tabs>
            <w:ind w:left="-28"/>
            <w:jc w:val="both"/>
            <w:rPr>
              <w:rFonts w:ascii="Arial" w:eastAsia="Arial" w:hAnsi="Arial" w:cs="Arial"/>
              <w:b/>
              <w:sz w:val="22"/>
              <w:szCs w:val="22"/>
            </w:rPr>
          </w:pPr>
        </w:p>
      </w:tc>
    </w:tr>
  </w:tbl>
  <w:p w14:paraId="6ECBBC39" w14:textId="77777777" w:rsidR="00ED627F" w:rsidRDefault="00A21679">
    <w:pPr>
      <w:pBdr>
        <w:top w:val="nil"/>
        <w:left w:val="nil"/>
        <w:bottom w:val="nil"/>
        <w:right w:val="nil"/>
        <w:between w:val="nil"/>
      </w:pBdr>
      <w:tabs>
        <w:tab w:val="center" w:pos="4419"/>
        <w:tab w:val="right" w:pos="8838"/>
      </w:tabs>
      <w:rPr>
        <w:color w:val="000000"/>
        <w:sz w:val="2"/>
        <w:szCs w:val="2"/>
      </w:rPr>
    </w:pPr>
    <w:r>
      <w:rPr>
        <w:color w:val="000000"/>
        <w:sz w:val="2"/>
        <w:szCs w:val="2"/>
      </w:rPr>
      <w:pict w14:anchorId="23BD6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85.1pt;margin-top:-148.15pt;width:589.8pt;height:768pt;z-index:-251658752;mso-wrap-edited:f;mso-width-percent:0;mso-height-percent:0;mso-position-horizontal-relative:margin;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0B00"/>
    <w:multiLevelType w:val="multilevel"/>
    <w:tmpl w:val="7592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E1674"/>
    <w:multiLevelType w:val="multilevel"/>
    <w:tmpl w:val="3C783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581DBB"/>
    <w:multiLevelType w:val="multilevel"/>
    <w:tmpl w:val="960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E3636"/>
    <w:multiLevelType w:val="multilevel"/>
    <w:tmpl w:val="0C8CD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E8302F"/>
    <w:multiLevelType w:val="multilevel"/>
    <w:tmpl w:val="79CCE82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6D2190"/>
    <w:multiLevelType w:val="multilevel"/>
    <w:tmpl w:val="6D5820A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BF"/>
    <w:rsid w:val="00001BCC"/>
    <w:rsid w:val="0001372C"/>
    <w:rsid w:val="000B2D69"/>
    <w:rsid w:val="000D310E"/>
    <w:rsid w:val="000E42EC"/>
    <w:rsid w:val="0024239E"/>
    <w:rsid w:val="00282EBE"/>
    <w:rsid w:val="002A62BF"/>
    <w:rsid w:val="002B62E3"/>
    <w:rsid w:val="002C112B"/>
    <w:rsid w:val="002F75D5"/>
    <w:rsid w:val="00351F3E"/>
    <w:rsid w:val="00397DDB"/>
    <w:rsid w:val="003E0339"/>
    <w:rsid w:val="00430371"/>
    <w:rsid w:val="00484F4B"/>
    <w:rsid w:val="004871FF"/>
    <w:rsid w:val="005829D4"/>
    <w:rsid w:val="00593C43"/>
    <w:rsid w:val="0066518E"/>
    <w:rsid w:val="0071448D"/>
    <w:rsid w:val="00821111"/>
    <w:rsid w:val="00900AE3"/>
    <w:rsid w:val="00903270"/>
    <w:rsid w:val="00980864"/>
    <w:rsid w:val="00A21679"/>
    <w:rsid w:val="00A36329"/>
    <w:rsid w:val="00A43535"/>
    <w:rsid w:val="00B233AC"/>
    <w:rsid w:val="00B26965"/>
    <w:rsid w:val="00B465CC"/>
    <w:rsid w:val="00BF0955"/>
    <w:rsid w:val="00C37A8F"/>
    <w:rsid w:val="00C43E6F"/>
    <w:rsid w:val="00CB7D69"/>
    <w:rsid w:val="00D84859"/>
    <w:rsid w:val="00E5155C"/>
    <w:rsid w:val="00ED627F"/>
    <w:rsid w:val="00F36DCF"/>
    <w:rsid w:val="00FB227B"/>
    <w:rsid w:val="00FC0A66"/>
    <w:rsid w:val="00FF7A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B81324"/>
  <w15:docId w15:val="{408F10E8-3870-4E7B-9866-9075E413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de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2"/>
    <w:rPr>
      <w:color w:val="000000"/>
    </w:rPr>
    <w:tblPr>
      <w:tblStyleRowBandSize w:val="1"/>
      <w:tblStyleColBandSize w:val="1"/>
      <w:tblCellMar>
        <w:left w:w="115" w:type="dxa"/>
        <w:right w:w="115" w:type="dxa"/>
      </w:tblCellMar>
    </w:tblPr>
  </w:style>
  <w:style w:type="table" w:customStyle="1" w:styleId="a6">
    <w:basedOn w:val="TableNormal2"/>
    <w:rPr>
      <w:color w:val="000000"/>
    </w:rPr>
    <w:tblPr>
      <w:tblStyleRowBandSize w:val="1"/>
      <w:tblStyleColBandSize w:val="1"/>
      <w:tblCellMar>
        <w:left w:w="115" w:type="dxa"/>
        <w:right w:w="115" w:type="dxa"/>
      </w:tblCellMar>
    </w:tblPr>
  </w:style>
  <w:style w:type="table" w:customStyle="1" w:styleId="a7">
    <w:basedOn w:val="TableNormal2"/>
    <w:rPr>
      <w:color w:val="000000"/>
    </w:rPr>
    <w:tblPr>
      <w:tblStyleRowBandSize w:val="1"/>
      <w:tblStyleColBandSize w:val="1"/>
      <w:tblCellMar>
        <w:left w:w="115" w:type="dxa"/>
        <w:right w:w="115" w:type="dxa"/>
      </w:tblCellMar>
    </w:tblPr>
  </w:style>
  <w:style w:type="table" w:customStyle="1" w:styleId="a8">
    <w:basedOn w:val="TableNormal2"/>
    <w:rPr>
      <w:color w:val="00000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 w:type="character" w:styleId="Refdecomentario">
    <w:name w:val="annotation reference"/>
    <w:basedOn w:val="Fuentedeprrafopredeter"/>
    <w:uiPriority w:val="99"/>
    <w:semiHidden/>
    <w:unhideWhenUsed/>
    <w:rsid w:val="00E60A26"/>
    <w:rPr>
      <w:sz w:val="16"/>
      <w:szCs w:val="16"/>
    </w:rPr>
  </w:style>
  <w:style w:type="paragraph" w:styleId="Textocomentario">
    <w:name w:val="annotation text"/>
    <w:basedOn w:val="Normal"/>
    <w:link w:val="TextocomentarioCar"/>
    <w:uiPriority w:val="99"/>
    <w:semiHidden/>
    <w:unhideWhenUsed/>
    <w:rsid w:val="00E60A26"/>
    <w:rPr>
      <w:sz w:val="20"/>
      <w:szCs w:val="20"/>
    </w:rPr>
  </w:style>
  <w:style w:type="character" w:customStyle="1" w:styleId="TextocomentarioCar">
    <w:name w:val="Texto comentario Car"/>
    <w:basedOn w:val="Fuentedeprrafopredeter"/>
    <w:link w:val="Textocomentario"/>
    <w:uiPriority w:val="99"/>
    <w:semiHidden/>
    <w:rsid w:val="00E60A26"/>
    <w:rPr>
      <w:sz w:val="20"/>
      <w:szCs w:val="20"/>
    </w:rPr>
  </w:style>
  <w:style w:type="paragraph" w:styleId="Asuntodelcomentario">
    <w:name w:val="annotation subject"/>
    <w:basedOn w:val="Textocomentario"/>
    <w:next w:val="Textocomentario"/>
    <w:link w:val="AsuntodelcomentarioCar"/>
    <w:uiPriority w:val="99"/>
    <w:semiHidden/>
    <w:unhideWhenUsed/>
    <w:rsid w:val="00E60A26"/>
    <w:rPr>
      <w:b/>
      <w:bCs/>
    </w:rPr>
  </w:style>
  <w:style w:type="character" w:customStyle="1" w:styleId="AsuntodelcomentarioCar">
    <w:name w:val="Asunto del comentario Car"/>
    <w:basedOn w:val="TextocomentarioCar"/>
    <w:link w:val="Asuntodelcomentario"/>
    <w:uiPriority w:val="99"/>
    <w:semiHidden/>
    <w:rsid w:val="00E60A26"/>
    <w:rPr>
      <w:b/>
      <w:bCs/>
      <w:sz w:val="20"/>
      <w:szCs w:val="20"/>
    </w:rPr>
  </w:style>
  <w:style w:type="paragraph" w:styleId="Textodeglobo">
    <w:name w:val="Balloon Text"/>
    <w:basedOn w:val="Normal"/>
    <w:link w:val="TextodegloboCar"/>
    <w:uiPriority w:val="99"/>
    <w:semiHidden/>
    <w:unhideWhenUsed/>
    <w:rsid w:val="00E60A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A26"/>
    <w:rPr>
      <w:rFonts w:ascii="Segoe UI" w:hAnsi="Segoe UI" w:cs="Segoe UI"/>
      <w:sz w:val="18"/>
      <w:szCs w:val="18"/>
    </w:rPr>
  </w:style>
  <w:style w:type="table" w:styleId="Tablaconcuadrcula">
    <w:name w:val="Table Grid"/>
    <w:basedOn w:val="Tablanormal"/>
    <w:uiPriority w:val="39"/>
    <w:rsid w:val="00D46DD8"/>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1"/>
    <w:rPr>
      <w:rFonts w:ascii="Calibri" w:eastAsia="Calibri" w:hAnsi="Calibri" w:cs="Calibri"/>
      <w:color w:val="00000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rPr>
      <w:color w:val="000000"/>
    </w:rPr>
    <w:tblPr>
      <w:tblStyleRowBandSize w:val="1"/>
      <w:tblStyleColBandSize w:val="1"/>
      <w:tblCellMar>
        <w:left w:w="115" w:type="dxa"/>
        <w:right w:w="115" w:type="dxa"/>
      </w:tblCellMar>
    </w:tblPr>
  </w:style>
  <w:style w:type="table" w:customStyle="1" w:styleId="ac">
    <w:basedOn w:val="TableNormal1"/>
    <w:rPr>
      <w:color w:val="000000"/>
    </w:rPr>
    <w:tblPr>
      <w:tblStyleRowBandSize w:val="1"/>
      <w:tblStyleColBandSize w:val="1"/>
      <w:tblCellMar>
        <w:left w:w="115" w:type="dxa"/>
        <w:right w:w="115" w:type="dxa"/>
      </w:tblCellMar>
    </w:tblPr>
  </w:style>
  <w:style w:type="table" w:customStyle="1" w:styleId="ad">
    <w:basedOn w:val="TableNormal1"/>
    <w:rPr>
      <w:color w:val="000000"/>
    </w:rPr>
    <w:tblPr>
      <w:tblStyleRowBandSize w:val="1"/>
      <w:tblStyleColBandSize w:val="1"/>
      <w:tblCellMar>
        <w:left w:w="115" w:type="dxa"/>
        <w:right w:w="115" w:type="dxa"/>
      </w:tblCellMar>
    </w:tblPr>
  </w:style>
  <w:style w:type="table" w:customStyle="1" w:styleId="ae">
    <w:basedOn w:val="TableNormal1"/>
    <w:rPr>
      <w:color w:val="000000"/>
    </w:rPr>
    <w:tblPr>
      <w:tblStyleRowBandSize w:val="1"/>
      <w:tblStyleColBandSize w:val="1"/>
      <w:tblCellMar>
        <w:left w:w="115" w:type="dxa"/>
        <w:right w:w="115" w:type="dxa"/>
      </w:tblCellMar>
    </w:tblPr>
  </w:style>
  <w:style w:type="table" w:customStyle="1" w:styleId="af">
    <w:basedOn w:val="TableNormal0"/>
    <w:rPr>
      <w:rFonts w:ascii="Calibri" w:eastAsia="Calibri" w:hAnsi="Calibri" w:cs="Calibri"/>
      <w:color w:val="000000"/>
    </w:rPr>
    <w:tblPr>
      <w:tblStyleRowBandSize w:val="1"/>
      <w:tblStyleColBandSize w:val="1"/>
      <w:tblCellMar>
        <w:left w:w="115" w:type="dxa"/>
        <w:right w:w="115" w:type="dxa"/>
      </w:tblCellMar>
    </w:tblPr>
  </w:style>
  <w:style w:type="table" w:customStyle="1" w:styleId="af0">
    <w:basedOn w:val="TableNormal0"/>
    <w:rPr>
      <w:rFonts w:ascii="Calibri" w:eastAsia="Calibri" w:hAnsi="Calibri" w:cs="Calibri"/>
      <w:color w:val="000000"/>
    </w:rPr>
    <w:tblPr>
      <w:tblStyleRowBandSize w:val="1"/>
      <w:tblStyleColBandSize w:val="1"/>
      <w:tblCellMar>
        <w:left w:w="115" w:type="dxa"/>
        <w:right w:w="115" w:type="dxa"/>
      </w:tblCellMar>
    </w:tblPr>
  </w:style>
  <w:style w:type="table" w:customStyle="1" w:styleId="af1">
    <w:basedOn w:val="TableNormal0"/>
    <w:rPr>
      <w:rFonts w:ascii="Calibri" w:eastAsia="Calibri" w:hAnsi="Calibri" w:cs="Calibri"/>
      <w:color w:val="000000"/>
    </w:rPr>
    <w:tblPr>
      <w:tblStyleRowBandSize w:val="1"/>
      <w:tblStyleColBandSize w:val="1"/>
      <w:tblCellMar>
        <w:left w:w="115" w:type="dxa"/>
        <w:right w:w="115" w:type="dxa"/>
      </w:tblCellMar>
    </w:tblPr>
  </w:style>
  <w:style w:type="table" w:customStyle="1" w:styleId="af2">
    <w:basedOn w:val="TableNormal0"/>
    <w:rPr>
      <w:rFonts w:ascii="Calibri" w:eastAsia="Calibri" w:hAnsi="Calibri" w:cs="Calibri"/>
      <w:color w:val="000000"/>
    </w:rPr>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A3632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1499">
      <w:bodyDiv w:val="1"/>
      <w:marLeft w:val="0"/>
      <w:marRight w:val="0"/>
      <w:marTop w:val="0"/>
      <w:marBottom w:val="0"/>
      <w:divBdr>
        <w:top w:val="none" w:sz="0" w:space="0" w:color="auto"/>
        <w:left w:val="none" w:sz="0" w:space="0" w:color="auto"/>
        <w:bottom w:val="none" w:sz="0" w:space="0" w:color="auto"/>
        <w:right w:val="none" w:sz="0" w:space="0" w:color="auto"/>
      </w:divBdr>
    </w:div>
    <w:div w:id="647127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33711.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107052.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43sVYyUXw4ypqMhk3BWF3A4MfA==">CgMxLjAyCGguZ2pkZ3hzMgloLjN6bnlzaDcyCWguMmV0OTJwMDIJaC4zZHk2dmttMghoLnR5amN3dDIIaC5sbnhiejkyCWguM3JkY3JqbjIJaC4zMGowemxsOAByITExbjBVSXF6NHhUel9nWGxGNEJEdzVWdzR2NmVQV1lKcQ==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4833</Words>
  <Characters>26582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INFOEM403</cp:lastModifiedBy>
  <cp:revision>8</cp:revision>
  <dcterms:created xsi:type="dcterms:W3CDTF">2024-11-21T07:33:00Z</dcterms:created>
  <dcterms:modified xsi:type="dcterms:W3CDTF">2025-01-21T16:20:00Z</dcterms:modified>
</cp:coreProperties>
</file>