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2A" w:rsidRPr="0024200F" w:rsidRDefault="00381F2A" w:rsidP="00381F2A">
      <w:pPr>
        <w:spacing w:line="360" w:lineRule="auto"/>
        <w:rPr>
          <w:rFonts w:ascii="Palatino Linotype" w:hAnsi="Palatino Linotype"/>
        </w:rPr>
      </w:pPr>
      <w:r w:rsidRPr="0024200F">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490343">
        <w:rPr>
          <w:rFonts w:ascii="Palatino Linotype" w:hAnsi="Palatino Linotype"/>
        </w:rPr>
        <w:t>a</w:t>
      </w:r>
      <w:r w:rsidRPr="0024200F">
        <w:rPr>
          <w:rFonts w:ascii="Palatino Linotype" w:hAnsi="Palatino Linotype"/>
        </w:rPr>
        <w:t xml:space="preserve"> </w:t>
      </w:r>
      <w:r>
        <w:rPr>
          <w:rFonts w:ascii="Palatino Linotype" w:hAnsi="Palatino Linotype"/>
        </w:rPr>
        <w:t>once de septiembre de dos mil veinticuatro.</w:t>
      </w:r>
    </w:p>
    <w:p w:rsidR="00381F2A" w:rsidRPr="0024200F" w:rsidRDefault="00381F2A" w:rsidP="00381F2A">
      <w:pPr>
        <w:spacing w:line="360" w:lineRule="auto"/>
        <w:jc w:val="both"/>
        <w:rPr>
          <w:rFonts w:ascii="Palatino Linotype" w:hAnsi="Palatino Linotype"/>
        </w:rPr>
      </w:pPr>
    </w:p>
    <w:p w:rsidR="00381F2A" w:rsidRPr="00BF0355" w:rsidRDefault="00381F2A" w:rsidP="00381F2A">
      <w:pPr>
        <w:tabs>
          <w:tab w:val="left" w:pos="1701"/>
        </w:tabs>
        <w:spacing w:line="360" w:lineRule="auto"/>
        <w:jc w:val="both"/>
        <w:rPr>
          <w:rFonts w:ascii="Palatino Linotype" w:eastAsiaTheme="minorHAnsi" w:hAnsi="Palatino Linotype" w:cs="Arial"/>
          <w:b/>
          <w:lang w:val="es-MX" w:eastAsia="en-US"/>
        </w:rPr>
      </w:pPr>
      <w:r w:rsidRPr="007F0C84">
        <w:rPr>
          <w:rFonts w:ascii="Palatino Linotype" w:hAnsi="Palatino Linotype"/>
          <w:b/>
        </w:rPr>
        <w:t>VISTO</w:t>
      </w:r>
      <w:r>
        <w:rPr>
          <w:rFonts w:ascii="Palatino Linotype" w:hAnsi="Palatino Linotype"/>
        </w:rPr>
        <w:t xml:space="preserve"> e</w:t>
      </w:r>
      <w:r w:rsidRPr="0024200F">
        <w:rPr>
          <w:rFonts w:ascii="Palatino Linotype" w:hAnsi="Palatino Linotype"/>
        </w:rPr>
        <w:t xml:space="preserve">l expediente formado con motivo del recurso de revisión </w:t>
      </w:r>
      <w:bookmarkStart w:id="0" w:name="_GoBack"/>
      <w:r w:rsidR="005900AB">
        <w:rPr>
          <w:rFonts w:ascii="Palatino Linotype" w:hAnsi="Palatino Linotype"/>
          <w:b/>
        </w:rPr>
        <w:t>0</w:t>
      </w:r>
      <w:r>
        <w:rPr>
          <w:rFonts w:ascii="Palatino Linotype" w:hAnsi="Palatino Linotype"/>
          <w:b/>
        </w:rPr>
        <w:t>5065/INFOEM/IP/RR/2024</w:t>
      </w:r>
      <w:bookmarkEnd w:id="0"/>
      <w:r>
        <w:rPr>
          <w:rFonts w:ascii="Palatino Linotype" w:hAnsi="Palatino Linotype"/>
          <w:b/>
        </w:rPr>
        <w:t xml:space="preserve">, </w:t>
      </w:r>
      <w:r w:rsidRPr="00BF0355">
        <w:rPr>
          <w:rFonts w:ascii="Palatino Linotype" w:eastAsiaTheme="minorHAnsi" w:hAnsi="Palatino Linotype" w:cs="Arial"/>
          <w:lang w:val="es-MX" w:eastAsia="en-US"/>
        </w:rPr>
        <w:t xml:space="preserve">interpuesto por </w:t>
      </w:r>
      <w:r>
        <w:rPr>
          <w:rFonts w:ascii="Palatino Linotype" w:hAnsi="Palatino Linotype"/>
        </w:rPr>
        <w:t>un particular que no proporcionó nombre o seudónimo</w:t>
      </w:r>
      <w:r w:rsidRPr="00BF0355">
        <w:rPr>
          <w:rFonts w:ascii="Palatino Linotype" w:eastAsiaTheme="minorHAnsi" w:hAnsi="Palatino Linotype" w:cs="Arial"/>
          <w:lang w:val="es-MX" w:eastAsia="en-US"/>
        </w:rPr>
        <w:t xml:space="preserve">, en lo sucesivo </w:t>
      </w:r>
      <w:r>
        <w:rPr>
          <w:rFonts w:ascii="Palatino Linotype" w:eastAsiaTheme="minorHAnsi" w:hAnsi="Palatino Linotype" w:cs="Arial"/>
          <w:b/>
          <w:lang w:val="es-MX" w:eastAsia="en-US"/>
        </w:rPr>
        <w:t xml:space="preserve">la parte </w:t>
      </w:r>
      <w:r w:rsidRPr="00BF0355">
        <w:rPr>
          <w:rFonts w:ascii="Palatino Linotype" w:eastAsiaTheme="minorHAnsi" w:hAnsi="Palatino Linotype" w:cs="Arial"/>
          <w:b/>
          <w:lang w:val="es-MX" w:eastAsia="en-US"/>
        </w:rPr>
        <w:t>Recurrente</w:t>
      </w:r>
      <w:r w:rsidRPr="00BF0355">
        <w:rPr>
          <w:rFonts w:ascii="Palatino Linotype" w:eastAsiaTheme="minorHAnsi" w:hAnsi="Palatino Linotype" w:cs="Arial"/>
          <w:lang w:val="es-MX" w:eastAsia="en-US"/>
        </w:rPr>
        <w:t xml:space="preserve">, en contra de la respuesta </w:t>
      </w:r>
      <w:r>
        <w:rPr>
          <w:rFonts w:ascii="Palatino Linotype" w:eastAsiaTheme="minorHAnsi" w:hAnsi="Palatino Linotype" w:cs="Arial"/>
          <w:lang w:val="es-MX" w:eastAsia="en-US"/>
        </w:rPr>
        <w:t>del</w:t>
      </w:r>
      <w:r w:rsidRPr="00BF0355">
        <w:rPr>
          <w:rFonts w:ascii="Palatino Linotype" w:eastAsiaTheme="minorHAnsi" w:hAnsi="Palatino Linotype" w:cs="Arial"/>
          <w:lang w:val="es-MX" w:eastAsia="en-US"/>
        </w:rPr>
        <w:t xml:space="preserve"> </w:t>
      </w:r>
      <w:r w:rsidRPr="00381F2A">
        <w:rPr>
          <w:rFonts w:ascii="Palatino Linotype" w:hAnsi="Palatino Linotype"/>
          <w:b/>
        </w:rPr>
        <w:t>Instituto Municipal de Cultura Física y Deporte de Zumpango</w:t>
      </w:r>
      <w:r w:rsidRPr="00BF0355">
        <w:rPr>
          <w:rFonts w:ascii="Palatino Linotype" w:eastAsiaTheme="minorHAnsi" w:hAnsi="Palatino Linotype" w:cs="Arial"/>
          <w:b/>
          <w:lang w:val="es-MX" w:eastAsia="en-US"/>
        </w:rPr>
        <w:t xml:space="preserve">, </w:t>
      </w:r>
      <w:r w:rsidRPr="00BF0355">
        <w:rPr>
          <w:rFonts w:ascii="Palatino Linotype" w:eastAsiaTheme="minorHAnsi" w:hAnsi="Palatino Linotype" w:cs="Arial"/>
          <w:lang w:val="es-MX" w:eastAsia="en-US"/>
        </w:rPr>
        <w:t>en lo subsecuente</w:t>
      </w:r>
      <w:r w:rsidRPr="00BF0355">
        <w:rPr>
          <w:rFonts w:ascii="Palatino Linotype" w:eastAsiaTheme="minorHAnsi" w:hAnsi="Palatino Linotype" w:cs="Arial"/>
          <w:b/>
          <w:lang w:val="es-MX" w:eastAsia="en-US"/>
        </w:rPr>
        <w:t xml:space="preserve"> el Sujeto Obligado, </w:t>
      </w:r>
      <w:r w:rsidRPr="00BF0355">
        <w:rPr>
          <w:rFonts w:ascii="Palatino Linotype" w:eastAsiaTheme="minorHAnsi" w:hAnsi="Palatino Linotype" w:cs="Arial"/>
          <w:lang w:val="es-MX" w:eastAsia="en-US"/>
        </w:rPr>
        <w:t>se procede a dictar la presente resolución.</w:t>
      </w:r>
    </w:p>
    <w:p w:rsidR="00381F2A" w:rsidRPr="002478BC" w:rsidRDefault="00381F2A" w:rsidP="00381F2A">
      <w:pPr>
        <w:spacing w:line="360" w:lineRule="auto"/>
        <w:jc w:val="both"/>
        <w:rPr>
          <w:rFonts w:ascii="Palatino Linotype" w:hAnsi="Palatino Linotype"/>
          <w:b/>
          <w:bCs/>
          <w:spacing w:val="60"/>
          <w:lang w:val="es-ES_tradnl"/>
        </w:rPr>
      </w:pPr>
    </w:p>
    <w:p w:rsidR="00381F2A" w:rsidRPr="0024200F" w:rsidRDefault="00381F2A" w:rsidP="00381F2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RESULTANDO</w:t>
      </w:r>
    </w:p>
    <w:p w:rsidR="00381F2A" w:rsidRPr="0024200F" w:rsidRDefault="00381F2A" w:rsidP="00381F2A">
      <w:pPr>
        <w:spacing w:line="360" w:lineRule="auto"/>
        <w:jc w:val="center"/>
        <w:rPr>
          <w:rFonts w:ascii="Palatino Linotype" w:hAnsi="Palatino Linotype"/>
          <w:b/>
          <w:bCs/>
          <w:spacing w:val="60"/>
          <w:lang w:val="es-ES_tradnl"/>
        </w:rPr>
      </w:pPr>
    </w:p>
    <w:p w:rsidR="00381F2A" w:rsidRDefault="00381F2A" w:rsidP="00381F2A">
      <w:pPr>
        <w:spacing w:line="360" w:lineRule="auto"/>
        <w:jc w:val="both"/>
        <w:rPr>
          <w:rFonts w:ascii="Palatino Linotype" w:hAnsi="Palatino Linotype"/>
          <w:b/>
          <w:sz w:val="28"/>
          <w:szCs w:val="28"/>
        </w:rPr>
      </w:pPr>
      <w:r w:rsidRPr="0024200F">
        <w:rPr>
          <w:rFonts w:ascii="Palatino Linotype" w:hAnsi="Palatino Linotype"/>
          <w:b/>
          <w:sz w:val="28"/>
          <w:szCs w:val="28"/>
        </w:rPr>
        <w:t xml:space="preserve">PRIMERO. </w:t>
      </w:r>
      <w:r w:rsidRPr="004A5A38">
        <w:rPr>
          <w:rFonts w:ascii="Palatino Linotype" w:hAnsi="Palatino Linotype"/>
          <w:b/>
          <w:sz w:val="28"/>
          <w:szCs w:val="28"/>
        </w:rPr>
        <w:t>De la Solicitud de Información</w:t>
      </w:r>
      <w:r w:rsidRPr="002C3EC8">
        <w:rPr>
          <w:rFonts w:ascii="Palatino Linotype" w:hAnsi="Palatino Linotype"/>
          <w:b/>
          <w:sz w:val="28"/>
          <w:szCs w:val="28"/>
        </w:rPr>
        <w:t>.</w:t>
      </w:r>
    </w:p>
    <w:p w:rsidR="00381F2A" w:rsidRPr="0024200F" w:rsidRDefault="00381F2A" w:rsidP="00381F2A">
      <w:pPr>
        <w:spacing w:line="360" w:lineRule="auto"/>
        <w:jc w:val="both"/>
        <w:rPr>
          <w:rFonts w:ascii="Palatino Linotype" w:hAnsi="Palatino Linotype"/>
        </w:rPr>
      </w:pPr>
      <w:r w:rsidRPr="0024200F">
        <w:rPr>
          <w:rFonts w:ascii="Palatino Linotype" w:hAnsi="Palatino Linotype"/>
        </w:rPr>
        <w:t>En fecha</w:t>
      </w:r>
      <w:r>
        <w:rPr>
          <w:rFonts w:ascii="Palatino Linotype" w:hAnsi="Palatino Linotype"/>
        </w:rPr>
        <w:t xml:space="preserve"> primero de julio de dos mil veinticuatro</w:t>
      </w:r>
      <w:r w:rsidRPr="0024200F">
        <w:rPr>
          <w:rFonts w:ascii="Palatino Linotype" w:hAnsi="Palatino Linotype"/>
        </w:rPr>
        <w:t>, el</w:t>
      </w:r>
      <w:r w:rsidRPr="0024200F">
        <w:rPr>
          <w:rFonts w:ascii="Palatino Linotype" w:hAnsi="Palatino Linotype"/>
          <w:b/>
        </w:rPr>
        <w:t xml:space="preserve"> </w:t>
      </w:r>
      <w:r w:rsidRPr="00EB0CBC">
        <w:rPr>
          <w:rFonts w:ascii="Palatino Linotype" w:hAnsi="Palatino Linotype"/>
          <w:b/>
        </w:rPr>
        <w:t>Recurrente</w:t>
      </w:r>
      <w:r w:rsidRPr="0024200F">
        <w:rPr>
          <w:rFonts w:ascii="Palatino Linotype" w:hAnsi="Palatino Linotype"/>
        </w:rPr>
        <w:t xml:space="preserve"> presentó a través </w:t>
      </w:r>
      <w:r>
        <w:rPr>
          <w:rFonts w:ascii="Palatino Linotype" w:hAnsi="Palatino Linotype"/>
        </w:rPr>
        <w:t xml:space="preserve">del </w:t>
      </w:r>
      <w:r w:rsidRPr="0024200F">
        <w:rPr>
          <w:rFonts w:ascii="Palatino Linotype" w:hAnsi="Palatino Linotype"/>
        </w:rPr>
        <w:t>Sistema de Acceso a la Información Mexiquense</w:t>
      </w:r>
      <w:r>
        <w:rPr>
          <w:rFonts w:ascii="Palatino Linotype" w:hAnsi="Palatino Linotype"/>
        </w:rPr>
        <w:t xml:space="preserve"> (</w:t>
      </w:r>
      <w:r w:rsidRPr="0024200F">
        <w:rPr>
          <w:rFonts w:ascii="Palatino Linotype" w:hAnsi="Palatino Linotype"/>
          <w:b/>
        </w:rPr>
        <w:t>SAIMEX</w:t>
      </w:r>
      <w:r>
        <w:rPr>
          <w:rFonts w:ascii="Palatino Linotype" w:hAnsi="Palatino Linotype"/>
          <w:b/>
        </w:rPr>
        <w:t>)</w:t>
      </w:r>
      <w:r w:rsidRPr="0024200F">
        <w:rPr>
          <w:rFonts w:ascii="Palatino Linotype" w:hAnsi="Palatino Linotype"/>
        </w:rPr>
        <w:t>, ante el</w:t>
      </w:r>
      <w:r w:rsidRPr="0024200F">
        <w:rPr>
          <w:rFonts w:ascii="Palatino Linotype" w:hAnsi="Palatino Linotype"/>
          <w:b/>
        </w:rPr>
        <w:t xml:space="preserve"> </w:t>
      </w:r>
      <w:r w:rsidRPr="00EB0CBC">
        <w:rPr>
          <w:rFonts w:ascii="Palatino Linotype" w:hAnsi="Palatino Linotype"/>
          <w:b/>
        </w:rPr>
        <w:t>Sujeto Obligado</w:t>
      </w:r>
      <w:r w:rsidRPr="0024200F">
        <w:rPr>
          <w:rFonts w:ascii="Palatino Linotype" w:hAnsi="Palatino Linotype"/>
        </w:rPr>
        <w:t>, solicitud de acceso a</w:t>
      </w:r>
      <w:r>
        <w:rPr>
          <w:rFonts w:ascii="Palatino Linotype" w:hAnsi="Palatino Linotype"/>
        </w:rPr>
        <w:t xml:space="preserve"> la</w:t>
      </w:r>
      <w:r w:rsidRPr="0024200F">
        <w:rPr>
          <w:rFonts w:ascii="Palatino Linotype" w:hAnsi="Palatino Linotype"/>
        </w:rPr>
        <w:t xml:space="preserve"> información pública, a la que se le</w:t>
      </w:r>
      <w:r>
        <w:rPr>
          <w:rFonts w:ascii="Palatino Linotype" w:hAnsi="Palatino Linotype"/>
        </w:rPr>
        <w:t>s</w:t>
      </w:r>
      <w:r w:rsidRPr="0024200F">
        <w:rPr>
          <w:rFonts w:ascii="Palatino Linotype" w:hAnsi="Palatino Linotype"/>
        </w:rPr>
        <w:t xml:space="preserve"> asignó el número de expediente </w:t>
      </w:r>
      <w:r>
        <w:rPr>
          <w:rFonts w:ascii="Palatino Linotype" w:hAnsi="Palatino Linotype"/>
          <w:b/>
          <w:bCs/>
        </w:rPr>
        <w:t xml:space="preserve">00001/IMCUFIDEZUMPA/IP/2024, </w:t>
      </w:r>
      <w:r w:rsidRPr="0024200F">
        <w:rPr>
          <w:rFonts w:ascii="Palatino Linotype" w:hAnsi="Palatino Linotype"/>
        </w:rPr>
        <w:t>mediante la cual solicitó, lo siguiente:</w:t>
      </w:r>
    </w:p>
    <w:p w:rsidR="00381F2A" w:rsidRDefault="00381F2A" w:rsidP="00381F2A">
      <w:pPr>
        <w:spacing w:line="360" w:lineRule="auto"/>
        <w:jc w:val="both"/>
        <w:rPr>
          <w:rFonts w:ascii="Palatino Linotype" w:hAnsi="Palatino Linotype" w:cs="Arial"/>
        </w:rPr>
      </w:pPr>
    </w:p>
    <w:p w:rsidR="00381F2A" w:rsidRPr="008B31F6" w:rsidRDefault="00381F2A" w:rsidP="00381F2A">
      <w:pPr>
        <w:spacing w:line="276" w:lineRule="auto"/>
        <w:ind w:left="567" w:right="616"/>
        <w:jc w:val="both"/>
        <w:rPr>
          <w:rFonts w:ascii="Palatino Linotype" w:hAnsi="Palatino Linotype"/>
          <w:bCs/>
          <w:i/>
          <w:sz w:val="22"/>
        </w:rPr>
      </w:pPr>
      <w:r w:rsidRPr="00157DDD">
        <w:rPr>
          <w:rFonts w:ascii="Palatino Linotype" w:hAnsi="Palatino Linotype"/>
          <w:bCs/>
          <w:i/>
          <w:sz w:val="22"/>
        </w:rPr>
        <w:t>“</w:t>
      </w:r>
      <w:r w:rsidRPr="00381F2A">
        <w:rPr>
          <w:rFonts w:ascii="Palatino Linotype" w:hAnsi="Palatino Linotype"/>
          <w:bCs/>
          <w:i/>
          <w:sz w:val="22"/>
        </w:rPr>
        <w:t>¿Por qué el titular de transparencia no se baña?</w:t>
      </w:r>
      <w:r>
        <w:rPr>
          <w:rFonts w:ascii="Palatino Linotype" w:hAnsi="Palatino Linotype"/>
          <w:bCs/>
          <w:i/>
          <w:sz w:val="22"/>
        </w:rPr>
        <w:t xml:space="preserve">” </w:t>
      </w:r>
      <w:r w:rsidRPr="008B31F6">
        <w:rPr>
          <w:rFonts w:ascii="Palatino Linotype" w:hAnsi="Palatino Linotype"/>
          <w:bCs/>
          <w:i/>
          <w:sz w:val="22"/>
        </w:rPr>
        <w:t>(Sic)</w:t>
      </w:r>
    </w:p>
    <w:p w:rsidR="00381F2A" w:rsidRPr="00B02F4C" w:rsidRDefault="00381F2A" w:rsidP="00381F2A">
      <w:pPr>
        <w:spacing w:line="360" w:lineRule="auto"/>
        <w:ind w:left="567" w:right="616"/>
        <w:jc w:val="both"/>
        <w:rPr>
          <w:rFonts w:ascii="Palatino Linotype" w:hAnsi="Palatino Linotype"/>
          <w:bCs/>
        </w:rPr>
      </w:pPr>
    </w:p>
    <w:p w:rsidR="00381F2A" w:rsidRPr="003500B0" w:rsidRDefault="00381F2A" w:rsidP="00381F2A">
      <w:pPr>
        <w:spacing w:line="360" w:lineRule="auto"/>
        <w:jc w:val="both"/>
        <w:rPr>
          <w:rFonts w:ascii="Palatino Linotype" w:hAnsi="Palatino Linotype"/>
          <w:szCs w:val="28"/>
          <w:lang w:val="es-MX"/>
        </w:rPr>
      </w:pPr>
    </w:p>
    <w:p w:rsidR="00381F2A" w:rsidRDefault="00381F2A" w:rsidP="00381F2A">
      <w:pPr>
        <w:spacing w:line="360" w:lineRule="auto"/>
        <w:jc w:val="both"/>
        <w:rPr>
          <w:rFonts w:ascii="Palatino Linotype" w:hAnsi="Palatino Linotype"/>
          <w:szCs w:val="28"/>
          <w:lang w:val="es-MX"/>
        </w:rPr>
      </w:pPr>
      <w:r w:rsidRPr="0024200F">
        <w:rPr>
          <w:rFonts w:ascii="Palatino Linotype" w:hAnsi="Palatino Linotype"/>
          <w:szCs w:val="28"/>
          <w:lang w:val="es-MX"/>
        </w:rPr>
        <w:t>Modalidad de entrega:</w:t>
      </w:r>
      <w:r w:rsidRPr="00E41476">
        <w:rPr>
          <w:rFonts w:ascii="Palatino Linotype" w:hAnsi="Palatino Linotype"/>
          <w:b/>
          <w:i/>
          <w:szCs w:val="28"/>
          <w:lang w:val="es-MX"/>
        </w:rPr>
        <w:t xml:space="preserve"> a través del SAIMEX</w:t>
      </w:r>
      <w:r>
        <w:rPr>
          <w:rFonts w:ascii="Palatino Linotype" w:hAnsi="Palatino Linotype"/>
          <w:b/>
          <w:i/>
          <w:szCs w:val="28"/>
          <w:lang w:val="es-MX"/>
        </w:rPr>
        <w:t xml:space="preserve">   </w:t>
      </w:r>
    </w:p>
    <w:p w:rsidR="00381F2A" w:rsidRDefault="00381F2A" w:rsidP="00381F2A">
      <w:pPr>
        <w:spacing w:line="360" w:lineRule="auto"/>
        <w:jc w:val="both"/>
        <w:rPr>
          <w:rFonts w:ascii="Palatino Linotype" w:hAnsi="Palatino Linotype"/>
          <w:b/>
          <w:sz w:val="28"/>
          <w:szCs w:val="28"/>
          <w:lang w:val="es-MX"/>
        </w:rPr>
      </w:pPr>
    </w:p>
    <w:p w:rsidR="00381F2A" w:rsidRPr="002B69BB" w:rsidRDefault="00381F2A" w:rsidP="00381F2A">
      <w:pPr>
        <w:pBdr>
          <w:top w:val="nil"/>
          <w:left w:val="nil"/>
          <w:bottom w:val="nil"/>
          <w:right w:val="nil"/>
          <w:between w:val="nil"/>
        </w:pBdr>
        <w:spacing w:line="360" w:lineRule="auto"/>
        <w:jc w:val="both"/>
        <w:rPr>
          <w:rFonts w:ascii="Palatino Linotype" w:eastAsia="Palatino Linotype" w:hAnsi="Palatino Linotype" w:cs="Palatino Linotype"/>
          <w:color w:val="000000"/>
          <w:sz w:val="28"/>
        </w:rPr>
      </w:pPr>
      <w:r w:rsidRPr="002B69BB">
        <w:rPr>
          <w:rFonts w:ascii="Palatino Linotype" w:eastAsia="Palatino Linotype" w:hAnsi="Palatino Linotype" w:cs="Palatino Linotype"/>
          <w:b/>
          <w:color w:val="000000"/>
          <w:sz w:val="28"/>
        </w:rPr>
        <w:lastRenderedPageBreak/>
        <w:t>SEGUNDO. De la falta de respuesta del Sujeto Obligado.</w:t>
      </w:r>
    </w:p>
    <w:p w:rsidR="00381F2A" w:rsidRDefault="00381F2A" w:rsidP="00381F2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E</w:t>
      </w:r>
      <w:r>
        <w:rPr>
          <w:rFonts w:ascii="Palatino Linotype" w:eastAsia="Palatino Linotype" w:hAnsi="Palatino Linotype" w:cs="Palatino Linotype"/>
        </w:rPr>
        <w:t xml:space="preserv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no proporcionó respuesta a las solicitudes de información </w:t>
      </w:r>
      <w:r>
        <w:rPr>
          <w:rFonts w:ascii="Palatino Linotype" w:eastAsia="Palatino Linotype" w:hAnsi="Palatino Linotype" w:cs="Palatino Linotype"/>
          <w:color w:val="000000"/>
        </w:rPr>
        <w:t>dentro del plazo de quince días establecido en el artículo 163 de la Ley de Transparencia y Acceso a la Información Pública del Estado de México y Municipios.</w:t>
      </w:r>
    </w:p>
    <w:p w:rsidR="00381F2A" w:rsidRDefault="00381F2A" w:rsidP="00381F2A">
      <w:pPr>
        <w:spacing w:line="360" w:lineRule="auto"/>
        <w:ind w:right="616"/>
        <w:jc w:val="both"/>
        <w:rPr>
          <w:rFonts w:ascii="Palatino Linotype" w:hAnsi="Palatino Linotype"/>
          <w:bCs/>
        </w:rPr>
      </w:pPr>
    </w:p>
    <w:p w:rsidR="00381F2A" w:rsidRDefault="00381F2A" w:rsidP="00381F2A">
      <w:pPr>
        <w:spacing w:line="360" w:lineRule="auto"/>
        <w:ind w:right="51"/>
        <w:jc w:val="both"/>
        <w:rPr>
          <w:rFonts w:ascii="Palatino Linotype" w:hAnsi="Palatino Linotype"/>
          <w:b/>
          <w:sz w:val="28"/>
        </w:rPr>
      </w:pPr>
      <w:r>
        <w:rPr>
          <w:rFonts w:ascii="Palatino Linotype" w:hAnsi="Palatino Linotype" w:cs="Arial"/>
          <w:b/>
          <w:sz w:val="28"/>
          <w:szCs w:val="28"/>
        </w:rPr>
        <w:t>TERCERO</w:t>
      </w:r>
      <w:r w:rsidRPr="0024200F">
        <w:rPr>
          <w:rFonts w:ascii="Palatino Linotype" w:hAnsi="Palatino Linotype" w:cs="Arial"/>
          <w:b/>
          <w:sz w:val="28"/>
          <w:szCs w:val="28"/>
        </w:rPr>
        <w:t>.</w:t>
      </w:r>
      <w:r w:rsidRPr="0024200F">
        <w:rPr>
          <w:rFonts w:ascii="Palatino Linotype" w:hAnsi="Palatino Linotype" w:cs="Arial"/>
          <w:b/>
          <w:sz w:val="28"/>
        </w:rPr>
        <w:t xml:space="preserve"> </w:t>
      </w:r>
      <w:r w:rsidRPr="002C3EC8">
        <w:rPr>
          <w:rFonts w:ascii="Palatino Linotype" w:hAnsi="Palatino Linotype"/>
          <w:b/>
          <w:sz w:val="28"/>
        </w:rPr>
        <w:t>Del recurso de revisión.</w:t>
      </w:r>
    </w:p>
    <w:p w:rsidR="00381F2A" w:rsidRDefault="00381F2A" w:rsidP="00381F2A">
      <w:pPr>
        <w:spacing w:line="360" w:lineRule="auto"/>
        <w:ind w:right="51"/>
        <w:jc w:val="both"/>
        <w:rPr>
          <w:rFonts w:ascii="Palatino Linotype" w:hAnsi="Palatino Linotype" w:cs="Arial"/>
        </w:rPr>
      </w:pPr>
      <w:r w:rsidRPr="0024200F">
        <w:rPr>
          <w:rFonts w:ascii="Palatino Linotype" w:hAnsi="Palatino Linotype" w:cs="Arial"/>
        </w:rPr>
        <w:t xml:space="preserve">Inconforme </w:t>
      </w:r>
      <w:r>
        <w:rPr>
          <w:rFonts w:ascii="Palatino Linotype" w:hAnsi="Palatino Linotype" w:cs="Arial"/>
        </w:rPr>
        <w:t>ante</w:t>
      </w:r>
      <w:r w:rsidRPr="0024200F">
        <w:rPr>
          <w:rFonts w:ascii="Palatino Linotype" w:hAnsi="Palatino Linotype" w:cs="Arial"/>
        </w:rPr>
        <w:t xml:space="preserve"> la respuesta</w:t>
      </w:r>
      <w:r>
        <w:rPr>
          <w:rFonts w:ascii="Palatino Linotype" w:hAnsi="Palatino Linotype" w:cs="Arial"/>
        </w:rPr>
        <w:t xml:space="preserve"> emitida por parte del </w:t>
      </w:r>
      <w:r w:rsidRPr="00EB0CBC">
        <w:rPr>
          <w:rFonts w:ascii="Palatino Linotype" w:hAnsi="Palatino Linotype" w:cs="Arial"/>
          <w:b/>
        </w:rPr>
        <w:t>Sujeto Obligado</w:t>
      </w:r>
      <w:r w:rsidRPr="0024200F">
        <w:rPr>
          <w:rFonts w:ascii="Palatino Linotype" w:hAnsi="Palatino Linotype" w:cs="Arial"/>
        </w:rPr>
        <w:t xml:space="preserve">, el </w:t>
      </w:r>
      <w:r>
        <w:rPr>
          <w:rFonts w:ascii="Palatino Linotype" w:hAnsi="Palatino Linotype" w:cs="Arial"/>
        </w:rPr>
        <w:t xml:space="preserve">día </w:t>
      </w:r>
      <w:r>
        <w:rPr>
          <w:rFonts w:ascii="Palatino Linotype" w:hAnsi="Palatino Linotype"/>
        </w:rPr>
        <w:t>veintidós de agosto de dos mil veinticuatro</w:t>
      </w:r>
      <w:r>
        <w:rPr>
          <w:rFonts w:ascii="Palatino Linotype" w:hAnsi="Palatino Linotype" w:cs="Arial"/>
        </w:rPr>
        <w:t>, la parte</w:t>
      </w:r>
      <w:r w:rsidRPr="0024200F">
        <w:rPr>
          <w:rFonts w:ascii="Palatino Linotype" w:hAnsi="Palatino Linotype" w:cs="Arial"/>
          <w:b/>
          <w:color w:val="000000"/>
        </w:rPr>
        <w:t xml:space="preserve"> </w:t>
      </w:r>
      <w:r w:rsidRPr="00EB0CBC">
        <w:rPr>
          <w:rFonts w:ascii="Palatino Linotype" w:hAnsi="Palatino Linotype" w:cs="Arial"/>
          <w:b/>
          <w:color w:val="000000"/>
        </w:rPr>
        <w:t>Recurrente</w:t>
      </w:r>
      <w:r w:rsidRPr="0024200F">
        <w:rPr>
          <w:rFonts w:ascii="Palatino Linotype" w:hAnsi="Palatino Linotype" w:cs="Arial"/>
          <w:color w:val="000000"/>
        </w:rPr>
        <w:t xml:space="preserve"> </w:t>
      </w:r>
      <w:r w:rsidRPr="0024200F">
        <w:rPr>
          <w:rFonts w:ascii="Palatino Linotype" w:hAnsi="Palatino Linotype" w:cs="Arial"/>
        </w:rPr>
        <w:t>interpuso</w:t>
      </w:r>
      <w:r>
        <w:rPr>
          <w:rFonts w:ascii="Palatino Linotype" w:hAnsi="Palatino Linotype" w:cs="Arial"/>
        </w:rPr>
        <w:t xml:space="preserve"> el presente</w:t>
      </w:r>
      <w:r w:rsidRPr="0024200F">
        <w:rPr>
          <w:rFonts w:ascii="Palatino Linotype" w:hAnsi="Palatino Linotype" w:cs="Arial"/>
        </w:rPr>
        <w:t xml:space="preserve"> recurso de revisión,</w:t>
      </w:r>
      <w:r>
        <w:rPr>
          <w:rFonts w:ascii="Palatino Linotype" w:hAnsi="Palatino Linotype" w:cs="Arial"/>
        </w:rPr>
        <w:t xml:space="preserve"> quedando </w:t>
      </w:r>
      <w:r w:rsidRPr="0024200F">
        <w:rPr>
          <w:rFonts w:ascii="Palatino Linotype" w:hAnsi="Palatino Linotype" w:cs="Arial"/>
        </w:rPr>
        <w:t>registrado en el</w:t>
      </w:r>
      <w:r w:rsidRPr="0024200F">
        <w:rPr>
          <w:rFonts w:ascii="Palatino Linotype" w:eastAsia="Arial Unicode MS" w:hAnsi="Palatino Linotype" w:cs="Arial"/>
          <w:b/>
        </w:rPr>
        <w:t xml:space="preserve"> SAIMEX</w:t>
      </w:r>
      <w:r>
        <w:rPr>
          <w:rFonts w:ascii="Palatino Linotype" w:eastAsia="Arial Unicode MS" w:hAnsi="Palatino Linotype" w:cs="Arial"/>
        </w:rPr>
        <w:t xml:space="preserve"> con el número de recurso </w:t>
      </w:r>
      <w:r w:rsidR="005900AB">
        <w:rPr>
          <w:rFonts w:ascii="Palatino Linotype" w:eastAsia="Arial Unicode MS" w:hAnsi="Palatino Linotype" w:cs="Arial"/>
          <w:b/>
        </w:rPr>
        <w:t>0</w:t>
      </w:r>
      <w:r>
        <w:rPr>
          <w:rFonts w:ascii="Palatino Linotype" w:eastAsia="Arial Unicode MS" w:hAnsi="Palatino Linotype" w:cs="Arial"/>
          <w:b/>
        </w:rPr>
        <w:t>5065/INFOEM/IP/RR/2024</w:t>
      </w:r>
      <w:r>
        <w:rPr>
          <w:rFonts w:ascii="Palatino Linotype" w:hAnsi="Palatino Linotype"/>
          <w:b/>
        </w:rPr>
        <w:t xml:space="preserve">, </w:t>
      </w:r>
      <w:r>
        <w:rPr>
          <w:rFonts w:ascii="Palatino Linotype" w:hAnsi="Palatino Linotype" w:cs="Arial"/>
        </w:rPr>
        <w:t>en e</w:t>
      </w:r>
      <w:r w:rsidRPr="0024200F">
        <w:rPr>
          <w:rFonts w:ascii="Palatino Linotype" w:hAnsi="Palatino Linotype" w:cs="Arial"/>
        </w:rPr>
        <w:t>l que expresó c</w:t>
      </w:r>
      <w:r>
        <w:rPr>
          <w:rFonts w:ascii="Palatino Linotype" w:hAnsi="Palatino Linotype" w:cs="Arial"/>
        </w:rPr>
        <w:t>omo:</w:t>
      </w:r>
    </w:p>
    <w:p w:rsidR="00381F2A" w:rsidRDefault="00381F2A" w:rsidP="00381F2A">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A</w:t>
      </w:r>
      <w:r w:rsidRPr="00CA3287">
        <w:rPr>
          <w:rFonts w:ascii="Palatino Linotype" w:hAnsi="Palatino Linotype" w:cs="Arial"/>
          <w:b/>
        </w:rPr>
        <w:t>cto impugnado</w:t>
      </w:r>
      <w:r>
        <w:rPr>
          <w:rFonts w:ascii="Palatino Linotype" w:hAnsi="Palatino Linotype" w:cs="Arial"/>
        </w:rPr>
        <w:t>:</w:t>
      </w:r>
    </w:p>
    <w:p w:rsidR="00381F2A" w:rsidRDefault="00381F2A" w:rsidP="00381F2A">
      <w:pPr>
        <w:pStyle w:val="INFOEM"/>
        <w:spacing w:line="240" w:lineRule="auto"/>
      </w:pPr>
      <w:r>
        <w:t>“</w:t>
      </w:r>
      <w:r w:rsidRPr="00381F2A">
        <w:t>Falta de respuesta</w:t>
      </w:r>
      <w:r>
        <w:t>” (Sic)</w:t>
      </w:r>
    </w:p>
    <w:p w:rsidR="00381F2A" w:rsidRPr="00CA3287" w:rsidRDefault="00381F2A" w:rsidP="00381F2A">
      <w:pPr>
        <w:pStyle w:val="Prrafodelista"/>
        <w:numPr>
          <w:ilvl w:val="0"/>
          <w:numId w:val="1"/>
        </w:numPr>
        <w:spacing w:line="360" w:lineRule="auto"/>
        <w:ind w:right="51"/>
        <w:jc w:val="both"/>
        <w:rPr>
          <w:rFonts w:ascii="Palatino Linotype" w:hAnsi="Palatino Linotype" w:cs="Arial"/>
        </w:rPr>
      </w:pPr>
      <w:r>
        <w:rPr>
          <w:rFonts w:ascii="Palatino Linotype" w:hAnsi="Palatino Linotype" w:cs="Arial"/>
          <w:b/>
        </w:rPr>
        <w:t>M</w:t>
      </w:r>
      <w:r w:rsidRPr="00CA3287">
        <w:rPr>
          <w:rFonts w:ascii="Palatino Linotype" w:hAnsi="Palatino Linotype" w:cs="Arial"/>
          <w:b/>
        </w:rPr>
        <w:t>otivos o razones de inconformidad</w:t>
      </w:r>
      <w:r>
        <w:rPr>
          <w:rFonts w:ascii="Palatino Linotype" w:hAnsi="Palatino Linotype" w:cs="Arial"/>
        </w:rPr>
        <w:t>:</w:t>
      </w:r>
    </w:p>
    <w:p w:rsidR="00381F2A" w:rsidRDefault="00381F2A" w:rsidP="00381F2A">
      <w:pPr>
        <w:pStyle w:val="INFOEM"/>
        <w:spacing w:line="240" w:lineRule="auto"/>
        <w:ind w:left="780"/>
      </w:pPr>
      <w:r>
        <w:t>“</w:t>
      </w:r>
      <w:r w:rsidRPr="00381F2A">
        <w:t>Falta de respuesta</w:t>
      </w:r>
      <w:r>
        <w:t>” (Sic)</w:t>
      </w:r>
    </w:p>
    <w:p w:rsidR="00381F2A" w:rsidRDefault="00381F2A" w:rsidP="00381F2A">
      <w:pPr>
        <w:spacing w:before="240" w:line="360" w:lineRule="auto"/>
        <w:jc w:val="both"/>
        <w:rPr>
          <w:rFonts w:ascii="Palatino Linotype" w:hAnsi="Palatino Linotype" w:cs="Arial"/>
          <w:b/>
          <w:sz w:val="28"/>
          <w:szCs w:val="22"/>
          <w:lang w:val="es-MX"/>
        </w:rPr>
      </w:pPr>
    </w:p>
    <w:p w:rsidR="00381F2A" w:rsidRPr="002C3EC8" w:rsidRDefault="00381F2A" w:rsidP="00381F2A">
      <w:pPr>
        <w:spacing w:before="240" w:line="360" w:lineRule="auto"/>
        <w:jc w:val="both"/>
        <w:rPr>
          <w:rFonts w:ascii="Palatino Linotype" w:hAnsi="Palatino Linotype" w:cs="Arial"/>
          <w:b/>
        </w:rPr>
      </w:pPr>
      <w:r>
        <w:rPr>
          <w:rFonts w:ascii="Palatino Linotype" w:hAnsi="Palatino Linotype" w:cs="Arial"/>
          <w:b/>
          <w:sz w:val="28"/>
          <w:szCs w:val="22"/>
          <w:lang w:val="es-MX"/>
        </w:rPr>
        <w:t>CUARTO</w:t>
      </w:r>
      <w:r w:rsidRPr="0024200F">
        <w:rPr>
          <w:rFonts w:ascii="Palatino Linotype" w:hAnsi="Palatino Linotype" w:cs="Arial"/>
          <w:b/>
          <w:sz w:val="28"/>
          <w:szCs w:val="22"/>
          <w:lang w:val="es-MX"/>
        </w:rPr>
        <w:t>.</w:t>
      </w:r>
      <w:r w:rsidRPr="0024200F">
        <w:rPr>
          <w:rFonts w:ascii="Palatino Linotype" w:hAnsi="Palatino Linotype" w:cs="Arial"/>
          <w:b/>
          <w:szCs w:val="22"/>
          <w:lang w:val="es-MX"/>
        </w:rPr>
        <w:t xml:space="preserve"> </w:t>
      </w:r>
      <w:r w:rsidRPr="002C3EC8">
        <w:rPr>
          <w:rFonts w:ascii="Palatino Linotype" w:hAnsi="Palatino Linotype" w:cs="Arial"/>
          <w:b/>
          <w:sz w:val="28"/>
          <w:szCs w:val="28"/>
        </w:rPr>
        <w:t xml:space="preserve">Del turno </w:t>
      </w:r>
      <w:r>
        <w:rPr>
          <w:rFonts w:ascii="Palatino Linotype" w:hAnsi="Palatino Linotype" w:cs="Arial"/>
          <w:b/>
          <w:sz w:val="28"/>
          <w:szCs w:val="28"/>
        </w:rPr>
        <w:t xml:space="preserve">y admisión </w:t>
      </w:r>
      <w:r w:rsidRPr="002C3EC8">
        <w:rPr>
          <w:rFonts w:ascii="Palatino Linotype" w:hAnsi="Palatino Linotype" w:cs="Arial"/>
          <w:b/>
          <w:sz w:val="28"/>
          <w:szCs w:val="28"/>
        </w:rPr>
        <w:t>del recurso de revisión.</w:t>
      </w:r>
    </w:p>
    <w:p w:rsidR="00381F2A" w:rsidRPr="002C3EC8" w:rsidRDefault="00381F2A" w:rsidP="00381F2A">
      <w:pPr>
        <w:spacing w:before="240" w:line="360" w:lineRule="auto"/>
        <w:jc w:val="both"/>
        <w:rPr>
          <w:rFonts w:ascii="Palatino Linotype" w:hAnsi="Palatino Linotype" w:cs="Arial"/>
          <w:sz w:val="28"/>
        </w:rPr>
      </w:pPr>
      <w:r>
        <w:rPr>
          <w:rFonts w:ascii="Palatino Linotype" w:hAnsi="Palatino Linotype"/>
        </w:rPr>
        <w:t>El medio de impugnación fue turnado al Comisionado Presidente</w:t>
      </w:r>
      <w:r w:rsidRPr="002C3EC8">
        <w:rPr>
          <w:rFonts w:ascii="Palatino Linotype" w:hAnsi="Palatino Linotype"/>
        </w:rPr>
        <w:t xml:space="preserve"> </w:t>
      </w:r>
      <w:r>
        <w:rPr>
          <w:rFonts w:ascii="Palatino Linotype" w:hAnsi="Palatino Linotype"/>
          <w:b/>
        </w:rPr>
        <w:t>José Martínez Vilchis,</w:t>
      </w:r>
      <w:r w:rsidRPr="002C3EC8">
        <w:rPr>
          <w:rFonts w:ascii="Palatino Linotype" w:hAnsi="Palatino Linotype"/>
        </w:rPr>
        <w:t xml:space="preserve"> por medio del sistema elect</w:t>
      </w:r>
      <w:r>
        <w:rPr>
          <w:rFonts w:ascii="Palatino Linotype" w:hAnsi="Palatino Linotype"/>
        </w:rPr>
        <w:t>rónico SAIMEX, en términos del artículo</w:t>
      </w:r>
      <w:r w:rsidRPr="002C3EC8">
        <w:rPr>
          <w:rFonts w:ascii="Palatino Linotype" w:hAnsi="Palatino Linotype"/>
        </w:rPr>
        <w:t xml:space="preserve"> 185, fracción I, de la Ley de Transparencia y Acceso a la información Pública del Estado de México y Mu</w:t>
      </w:r>
      <w:r>
        <w:rPr>
          <w:rFonts w:ascii="Palatino Linotype" w:hAnsi="Palatino Linotype"/>
        </w:rPr>
        <w:t>nicipios, del cual recayó acuerdo</w:t>
      </w:r>
      <w:r w:rsidRPr="002C3EC8">
        <w:rPr>
          <w:rFonts w:ascii="Palatino Linotype" w:hAnsi="Palatino Linotype"/>
        </w:rPr>
        <w:t xml:space="preserve"> de </w:t>
      </w:r>
      <w:r w:rsidRPr="00E52C83">
        <w:rPr>
          <w:rFonts w:ascii="Palatino Linotype" w:hAnsi="Palatino Linotype"/>
          <w:b/>
        </w:rPr>
        <w:t>admisión</w:t>
      </w:r>
      <w:r w:rsidRPr="002C3EC8">
        <w:rPr>
          <w:rFonts w:ascii="Palatino Linotype" w:hAnsi="Palatino Linotype"/>
        </w:rPr>
        <w:t xml:space="preserve"> en fecha </w:t>
      </w:r>
      <w:r>
        <w:rPr>
          <w:rFonts w:ascii="Palatino Linotype" w:hAnsi="Palatino Linotype"/>
          <w:b/>
        </w:rPr>
        <w:t>veintiséis de agosto de dos mil veinticuatro</w:t>
      </w:r>
      <w:r w:rsidRPr="002C3EC8">
        <w:rPr>
          <w:rFonts w:ascii="Palatino Linotype" w:hAnsi="Palatino Linotype"/>
        </w:rPr>
        <w:t xml:space="preserve">, determinándose en ellos, un plazo de siete días para </w:t>
      </w:r>
      <w:r w:rsidRPr="002C3EC8">
        <w:rPr>
          <w:rFonts w:ascii="Palatino Linotype" w:hAnsi="Palatino Linotype"/>
        </w:rPr>
        <w:lastRenderedPageBreak/>
        <w:t>que las partes manifestaran lo que a su derecho corresponda en términos del numeral ya citado.</w:t>
      </w:r>
    </w:p>
    <w:p w:rsidR="00381F2A" w:rsidRDefault="00381F2A" w:rsidP="00381F2A">
      <w:pPr>
        <w:spacing w:line="360" w:lineRule="auto"/>
        <w:ind w:right="49"/>
        <w:jc w:val="both"/>
        <w:rPr>
          <w:rFonts w:ascii="Palatino Linotype" w:hAnsi="Palatino Linotype" w:cs="Arial"/>
          <w:lang w:val="es-ES_tradnl"/>
        </w:rPr>
      </w:pPr>
    </w:p>
    <w:p w:rsidR="00381F2A" w:rsidRPr="002C5D52" w:rsidRDefault="00381F2A" w:rsidP="00381F2A">
      <w:pPr>
        <w:spacing w:line="360" w:lineRule="auto"/>
        <w:ind w:right="49"/>
        <w:jc w:val="both"/>
        <w:rPr>
          <w:rFonts w:ascii="Palatino Linotype" w:eastAsia="Calibri" w:hAnsi="Palatino Linotype" w:cs="Arial"/>
          <w:lang w:val="es-MX" w:eastAsia="en-US"/>
        </w:rPr>
      </w:pPr>
      <w:r>
        <w:rPr>
          <w:rFonts w:ascii="Palatino Linotype" w:hAnsi="Palatino Linotype" w:cs="Arial"/>
          <w:b/>
          <w:sz w:val="28"/>
          <w:szCs w:val="28"/>
          <w:lang w:val="es-ES_tradnl"/>
        </w:rPr>
        <w:t>QUINTO</w:t>
      </w:r>
      <w:r w:rsidRPr="0024200F">
        <w:rPr>
          <w:rFonts w:ascii="Palatino Linotype" w:hAnsi="Palatino Linotype" w:cs="Arial"/>
          <w:b/>
          <w:lang w:val="es-ES_tradnl"/>
        </w:rPr>
        <w:t>.</w:t>
      </w:r>
      <w:r>
        <w:rPr>
          <w:rFonts w:ascii="Palatino Linotype" w:hAnsi="Palatino Linotype" w:cs="Arial"/>
          <w:lang w:val="es-ES_tradnl"/>
        </w:rPr>
        <w:t xml:space="preserve"> </w:t>
      </w:r>
      <w:r w:rsidRPr="002C3EC8">
        <w:rPr>
          <w:rFonts w:ascii="Palatino Linotype" w:hAnsi="Palatino Linotype" w:cs="Arial"/>
          <w:b/>
          <w:sz w:val="28"/>
          <w:szCs w:val="28"/>
        </w:rPr>
        <w:t>De la etapa de instrucción</w:t>
      </w:r>
      <w:r>
        <w:rPr>
          <w:rFonts w:ascii="Palatino Linotype" w:hAnsi="Palatino Linotype" w:cs="Arial"/>
          <w:b/>
          <w:sz w:val="28"/>
          <w:szCs w:val="28"/>
        </w:rPr>
        <w:t>.</w:t>
      </w:r>
    </w:p>
    <w:p w:rsidR="00381F2A" w:rsidRDefault="00381F2A" w:rsidP="00381F2A">
      <w:pPr>
        <w:spacing w:line="360" w:lineRule="auto"/>
        <w:jc w:val="both"/>
        <w:rPr>
          <w:rFonts w:ascii="Palatino Linotype" w:hAnsi="Palatino Linotype"/>
        </w:rPr>
      </w:pPr>
      <w:r w:rsidRPr="00DD2E32">
        <w:rPr>
          <w:rFonts w:ascii="Palatino Linotype" w:hAnsi="Palatino Linotype" w:cs="Arial"/>
        </w:rPr>
        <w:t>De las constancias que obran en el</w:t>
      </w:r>
      <w:r>
        <w:rPr>
          <w:rFonts w:ascii="Palatino Linotype" w:hAnsi="Palatino Linotype" w:cs="Arial"/>
        </w:rPr>
        <w:t xml:space="preserve"> expediente electrónico del</w:t>
      </w:r>
      <w:r w:rsidRPr="00DD2E32">
        <w:rPr>
          <w:rFonts w:ascii="Palatino Linotype" w:hAnsi="Palatino Linotype" w:cs="Arial"/>
        </w:rPr>
        <w:t xml:space="preserve"> SAIMEX, se advierte que el Sujeto Obligado </w:t>
      </w:r>
      <w:r>
        <w:rPr>
          <w:rFonts w:ascii="Palatino Linotype" w:hAnsi="Palatino Linotype" w:cs="Arial"/>
        </w:rPr>
        <w:t xml:space="preserve">fue omiso al rendir su informe justificado. </w:t>
      </w:r>
      <w:r w:rsidRPr="0006745F">
        <w:rPr>
          <w:rFonts w:ascii="Palatino Linotype" w:hAnsi="Palatino Linotype" w:cs="Arial"/>
        </w:rPr>
        <w:t>De igual manera, se advierte que el Recurrente</w:t>
      </w:r>
      <w:r w:rsidRPr="0006745F">
        <w:rPr>
          <w:rFonts w:ascii="Palatino Linotype" w:hAnsi="Palatino Linotype" w:cs="Arial"/>
          <w:b/>
        </w:rPr>
        <w:t>,</w:t>
      </w:r>
      <w:r w:rsidRPr="0006745F">
        <w:rPr>
          <w:rFonts w:ascii="Palatino Linotype" w:hAnsi="Palatino Linotype" w:cs="Arial"/>
        </w:rPr>
        <w:t xml:space="preserve"> omitió rendir dentro del término de Ley, las manifestaciones que a sus intereses conviniera.</w:t>
      </w:r>
    </w:p>
    <w:p w:rsidR="00381F2A" w:rsidRPr="00DD2E32" w:rsidRDefault="00381F2A" w:rsidP="00381F2A">
      <w:pPr>
        <w:spacing w:line="360" w:lineRule="auto"/>
        <w:jc w:val="both"/>
        <w:rPr>
          <w:rFonts w:ascii="Palatino Linotype" w:hAnsi="Palatino Linotype" w:cs="Arial"/>
        </w:rPr>
      </w:pPr>
    </w:p>
    <w:p w:rsidR="00381F2A" w:rsidRDefault="00381F2A" w:rsidP="00381F2A">
      <w:pPr>
        <w:spacing w:line="360" w:lineRule="auto"/>
        <w:jc w:val="both"/>
        <w:rPr>
          <w:rFonts w:ascii="Palatino Linotype" w:hAnsi="Palatino Linotype" w:cs="Arial"/>
        </w:rPr>
      </w:pPr>
      <w:r w:rsidRPr="00DD2E32">
        <w:rPr>
          <w:rFonts w:ascii="Palatino Linotype" w:hAnsi="Palatino Linotype"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w:t>
      </w:r>
      <w:r>
        <w:rPr>
          <w:rFonts w:ascii="Palatino Linotype" w:hAnsi="Palatino Linotype" w:cs="Arial"/>
        </w:rPr>
        <w:t>l Estado de México y Municipios.</w:t>
      </w:r>
    </w:p>
    <w:p w:rsidR="00381F2A" w:rsidRDefault="00381F2A" w:rsidP="00381F2A">
      <w:pPr>
        <w:spacing w:line="360" w:lineRule="auto"/>
        <w:jc w:val="both"/>
        <w:rPr>
          <w:rFonts w:ascii="Palatino Linotype" w:eastAsia="Calibri" w:hAnsi="Palatino Linotype" w:cs="Arial"/>
          <w:b/>
          <w:sz w:val="28"/>
          <w:szCs w:val="28"/>
          <w:lang w:val="es-MX" w:eastAsia="en-US"/>
        </w:rPr>
      </w:pPr>
    </w:p>
    <w:p w:rsidR="00381F2A" w:rsidRDefault="00381F2A" w:rsidP="00381F2A">
      <w:pPr>
        <w:spacing w:line="360" w:lineRule="auto"/>
        <w:jc w:val="both"/>
        <w:rPr>
          <w:rFonts w:ascii="Palatino Linotype" w:hAnsi="Palatino Linotype" w:cs="Arial"/>
          <w:b/>
          <w:sz w:val="28"/>
          <w:szCs w:val="28"/>
        </w:rPr>
      </w:pPr>
      <w:r>
        <w:rPr>
          <w:rFonts w:ascii="Palatino Linotype" w:eastAsia="Calibri" w:hAnsi="Palatino Linotype" w:cs="Arial"/>
          <w:b/>
          <w:sz w:val="28"/>
          <w:szCs w:val="28"/>
          <w:lang w:val="es-MX" w:eastAsia="en-US"/>
        </w:rPr>
        <w:t>SEXTO</w:t>
      </w:r>
      <w:r w:rsidRPr="00E3454E">
        <w:rPr>
          <w:rFonts w:ascii="Palatino Linotype" w:eastAsia="Calibri" w:hAnsi="Palatino Linotype" w:cs="Arial"/>
          <w:b/>
          <w:sz w:val="28"/>
          <w:szCs w:val="28"/>
          <w:lang w:val="es-MX" w:eastAsia="en-US"/>
        </w:rPr>
        <w:t xml:space="preserve">. </w:t>
      </w:r>
      <w:r w:rsidRPr="002C3EC8">
        <w:rPr>
          <w:rFonts w:ascii="Palatino Linotype" w:hAnsi="Palatino Linotype" w:cs="Arial"/>
          <w:b/>
          <w:sz w:val="28"/>
          <w:szCs w:val="28"/>
        </w:rPr>
        <w:t>Del Cierre de Instrucción.</w:t>
      </w:r>
    </w:p>
    <w:p w:rsidR="00381F2A" w:rsidRDefault="00381F2A" w:rsidP="00381F2A">
      <w:pPr>
        <w:spacing w:line="360" w:lineRule="auto"/>
        <w:jc w:val="both"/>
        <w:rPr>
          <w:rFonts w:ascii="Palatino Linotype" w:eastAsia="Calibri" w:hAnsi="Palatino Linotype" w:cs="Arial"/>
          <w:lang w:val="es-MX" w:eastAsia="en-US"/>
        </w:rPr>
      </w:pPr>
      <w:r w:rsidRPr="00E3454E">
        <w:rPr>
          <w:rFonts w:ascii="Palatino Linotype" w:eastAsia="Calibri" w:hAnsi="Palatino Linotype" w:cs="Arial"/>
          <w:lang w:val="es-MX" w:eastAsia="en-US"/>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w:t>
      </w:r>
      <w:r w:rsidRPr="002C5D52">
        <w:rPr>
          <w:rFonts w:ascii="Palatino Linotype" w:eastAsia="Calibri" w:hAnsi="Palatino Linotype" w:cs="Arial"/>
          <w:b/>
          <w:lang w:val="es-MX" w:eastAsia="en-US"/>
        </w:rPr>
        <w:t>cierre de instrucción</w:t>
      </w:r>
      <w:r w:rsidRPr="00E3454E">
        <w:rPr>
          <w:rFonts w:ascii="Palatino Linotype" w:eastAsia="Calibri" w:hAnsi="Palatino Linotype" w:cs="Arial"/>
          <w:lang w:val="es-MX" w:eastAsia="en-US"/>
        </w:rPr>
        <w:t xml:space="preserve"> en fecha </w:t>
      </w:r>
      <w:r>
        <w:rPr>
          <w:rFonts w:ascii="Palatino Linotype" w:eastAsia="Calibri" w:hAnsi="Palatino Linotype" w:cs="Arial"/>
          <w:b/>
          <w:lang w:val="es-MX" w:eastAsia="en-US"/>
        </w:rPr>
        <w:t>cinco de septiembre de dos mil veinticuatro</w:t>
      </w:r>
      <w:r w:rsidRPr="00E3454E">
        <w:rPr>
          <w:rFonts w:ascii="Palatino Linotype" w:eastAsia="Calibri" w:hAnsi="Palatino Linotype" w:cs="Arial"/>
          <w:lang w:val="es-MX" w:eastAsia="en-US"/>
        </w:rPr>
        <w:t>, en términos del artículo 185 fracción VI de la Ley de Transparencia y Acceso a la Información Pública del Estado de México y Municipios, ordenándose turnar los expedientes a la resolución que en derecho proceda.</w:t>
      </w:r>
    </w:p>
    <w:p w:rsidR="00381F2A" w:rsidRDefault="00381F2A" w:rsidP="00381F2A">
      <w:pPr>
        <w:spacing w:line="360" w:lineRule="auto"/>
        <w:jc w:val="both"/>
        <w:rPr>
          <w:rFonts w:ascii="Palatino Linotype" w:eastAsia="Calibri" w:hAnsi="Palatino Linotype" w:cs="Arial"/>
          <w:lang w:val="es-MX" w:eastAsia="en-US"/>
        </w:rPr>
      </w:pPr>
    </w:p>
    <w:p w:rsidR="00381F2A" w:rsidRPr="00E3454E" w:rsidRDefault="00381F2A" w:rsidP="00381F2A">
      <w:pPr>
        <w:spacing w:line="360" w:lineRule="auto"/>
        <w:jc w:val="both"/>
        <w:rPr>
          <w:rFonts w:ascii="Palatino Linotype" w:eastAsia="Calibri" w:hAnsi="Palatino Linotype" w:cs="Arial"/>
          <w:lang w:val="es-MX" w:eastAsia="en-US"/>
        </w:rPr>
      </w:pPr>
    </w:p>
    <w:p w:rsidR="00381F2A" w:rsidRPr="0024200F" w:rsidRDefault="00381F2A" w:rsidP="00381F2A">
      <w:pPr>
        <w:spacing w:line="360" w:lineRule="auto"/>
        <w:jc w:val="center"/>
        <w:rPr>
          <w:rFonts w:ascii="Palatino Linotype" w:hAnsi="Palatino Linotype"/>
          <w:b/>
          <w:bCs/>
          <w:spacing w:val="60"/>
          <w:sz w:val="28"/>
          <w:lang w:val="es-ES_tradnl"/>
        </w:rPr>
      </w:pPr>
      <w:r w:rsidRPr="0024200F">
        <w:rPr>
          <w:rFonts w:ascii="Palatino Linotype" w:hAnsi="Palatino Linotype"/>
          <w:b/>
          <w:bCs/>
          <w:spacing w:val="60"/>
          <w:sz w:val="28"/>
          <w:lang w:val="es-ES_tradnl"/>
        </w:rPr>
        <w:t>CONSIDERANDO</w:t>
      </w:r>
    </w:p>
    <w:p w:rsidR="00381F2A" w:rsidRPr="00825F67" w:rsidRDefault="00381F2A" w:rsidP="00381F2A">
      <w:pPr>
        <w:spacing w:line="360" w:lineRule="auto"/>
        <w:ind w:right="49"/>
        <w:jc w:val="both"/>
        <w:rPr>
          <w:rFonts w:ascii="Palatino Linotype" w:hAnsi="Palatino Linotype"/>
          <w:szCs w:val="28"/>
        </w:rPr>
      </w:pPr>
    </w:p>
    <w:p w:rsidR="00381F2A" w:rsidRPr="00FB3150" w:rsidRDefault="00381F2A" w:rsidP="00381F2A">
      <w:pPr>
        <w:spacing w:line="360" w:lineRule="auto"/>
        <w:ind w:right="49"/>
        <w:jc w:val="both"/>
        <w:rPr>
          <w:rFonts w:ascii="Palatino Linotype" w:hAnsi="Palatino Linotype"/>
          <w:b/>
          <w:sz w:val="28"/>
          <w:szCs w:val="28"/>
        </w:rPr>
      </w:pPr>
      <w:r w:rsidRPr="00FB3150">
        <w:rPr>
          <w:rFonts w:ascii="Palatino Linotype" w:hAnsi="Palatino Linotype"/>
          <w:b/>
          <w:sz w:val="28"/>
          <w:szCs w:val="28"/>
        </w:rPr>
        <w:t>PRIMERO.</w:t>
      </w:r>
      <w:r w:rsidRPr="00FB3150">
        <w:rPr>
          <w:rFonts w:ascii="Palatino Linotype" w:hAnsi="Palatino Linotype"/>
          <w:sz w:val="28"/>
          <w:szCs w:val="28"/>
        </w:rPr>
        <w:t xml:space="preserve"> </w:t>
      </w:r>
      <w:r w:rsidRPr="00FB3150">
        <w:rPr>
          <w:rFonts w:ascii="Palatino Linotype" w:hAnsi="Palatino Linotype"/>
          <w:b/>
          <w:sz w:val="28"/>
          <w:szCs w:val="28"/>
        </w:rPr>
        <w:t xml:space="preserve">Competencia. </w:t>
      </w:r>
    </w:p>
    <w:p w:rsidR="00381F2A" w:rsidRPr="007C6AB6" w:rsidRDefault="00381F2A" w:rsidP="00381F2A">
      <w:pPr>
        <w:tabs>
          <w:tab w:val="left" w:pos="3402"/>
        </w:tabs>
        <w:spacing w:line="360" w:lineRule="auto"/>
        <w:jc w:val="both"/>
        <w:rPr>
          <w:rFonts w:ascii="Palatino Linotype" w:hAnsi="Palatino Linotype"/>
        </w:rPr>
      </w:pPr>
      <w:r w:rsidRPr="007C6AB6">
        <w:rPr>
          <w:rFonts w:ascii="Palatino Linotype" w:hAnsi="Palatino Linotype"/>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w:t>
      </w:r>
      <w:r>
        <w:rPr>
          <w:rFonts w:ascii="Palatino Linotype" w:hAnsi="Palatino Linotype"/>
        </w:rPr>
        <w:t xml:space="preserve"> y </w:t>
      </w:r>
      <w:r w:rsidRPr="007C6AB6">
        <w:rPr>
          <w:rFonts w:ascii="Palatino Linotype" w:hAnsi="Palatino Linotype"/>
        </w:rPr>
        <w:t xml:space="preserve">trigésimo </w:t>
      </w:r>
      <w:r>
        <w:rPr>
          <w:rFonts w:ascii="Palatino Linotype" w:hAnsi="Palatino Linotype"/>
        </w:rPr>
        <w:t>cuarto</w:t>
      </w:r>
      <w:r w:rsidRPr="007C6AB6">
        <w:rPr>
          <w:rFonts w:ascii="Palatino Linotype" w:hAnsi="Palatino Linotype"/>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81F2A" w:rsidRPr="002C3EC8" w:rsidRDefault="00381F2A" w:rsidP="00381F2A">
      <w:pPr>
        <w:spacing w:before="240" w:line="360" w:lineRule="auto"/>
        <w:jc w:val="both"/>
        <w:rPr>
          <w:rFonts w:ascii="Palatino Linotype" w:eastAsia="Calibri" w:hAnsi="Palatino Linotype"/>
          <w:b/>
          <w:color w:val="000000" w:themeColor="text1"/>
        </w:rPr>
      </w:pPr>
    </w:p>
    <w:p w:rsidR="00381F2A" w:rsidRPr="002C3EC8" w:rsidRDefault="00381F2A" w:rsidP="00381F2A">
      <w:pPr>
        <w:pStyle w:val="Prrafodelista"/>
        <w:autoSpaceDE w:val="0"/>
        <w:autoSpaceDN w:val="0"/>
        <w:adjustRightInd w:val="0"/>
        <w:spacing w:before="240" w:after="160" w:line="360" w:lineRule="auto"/>
        <w:ind w:left="0"/>
        <w:jc w:val="both"/>
        <w:rPr>
          <w:rFonts w:ascii="Palatino Linotype" w:hAnsi="Palatino Linotype" w:cs="Arial"/>
          <w:b/>
        </w:rPr>
      </w:pPr>
      <w:r w:rsidRPr="00DB16C5">
        <w:rPr>
          <w:rFonts w:ascii="Palatino Linotype" w:hAnsi="Palatino Linotype" w:cs="Arial"/>
          <w:b/>
          <w:sz w:val="28"/>
        </w:rPr>
        <w:t>SEGUNDO</w:t>
      </w:r>
      <w:r w:rsidRPr="002C3EC8">
        <w:rPr>
          <w:rFonts w:ascii="Palatino Linotype" w:hAnsi="Palatino Linotype" w:cs="Arial"/>
          <w:b/>
        </w:rPr>
        <w:t xml:space="preserve">. </w:t>
      </w:r>
      <w:r w:rsidRPr="00F94FF2">
        <w:rPr>
          <w:rFonts w:ascii="Palatino Linotype" w:hAnsi="Palatino Linotype" w:cs="Arial"/>
          <w:b/>
          <w:sz w:val="28"/>
        </w:rPr>
        <w:t>De</w:t>
      </w:r>
      <w:r>
        <w:rPr>
          <w:rFonts w:ascii="Palatino Linotype" w:hAnsi="Palatino Linotype" w:cs="Arial"/>
          <w:b/>
          <w:sz w:val="28"/>
          <w:szCs w:val="28"/>
        </w:rPr>
        <w:t xml:space="preserve"> los alcances del </w:t>
      </w:r>
      <w:r w:rsidRPr="002C3EC8">
        <w:rPr>
          <w:rFonts w:ascii="Palatino Linotype" w:hAnsi="Palatino Linotype" w:cs="Arial"/>
          <w:b/>
          <w:sz w:val="28"/>
          <w:szCs w:val="28"/>
        </w:rPr>
        <w:t>recurso</w:t>
      </w:r>
      <w:r>
        <w:rPr>
          <w:rFonts w:ascii="Palatino Linotype" w:hAnsi="Palatino Linotype" w:cs="Arial"/>
          <w:b/>
          <w:sz w:val="28"/>
          <w:szCs w:val="28"/>
        </w:rPr>
        <w:t xml:space="preserve"> </w:t>
      </w:r>
      <w:r w:rsidRPr="002C3EC8">
        <w:rPr>
          <w:rFonts w:ascii="Palatino Linotype" w:hAnsi="Palatino Linotype" w:cs="Arial"/>
          <w:b/>
          <w:sz w:val="28"/>
          <w:szCs w:val="28"/>
        </w:rPr>
        <w:t>de revisión.</w:t>
      </w:r>
      <w:r w:rsidRPr="002C3EC8">
        <w:rPr>
          <w:rFonts w:ascii="Palatino Linotype" w:hAnsi="Palatino Linotype" w:cs="Arial"/>
          <w:b/>
        </w:rPr>
        <w:t xml:space="preserve"> </w:t>
      </w:r>
    </w:p>
    <w:p w:rsidR="00381F2A" w:rsidRPr="00207E23" w:rsidRDefault="00381F2A" w:rsidP="00381F2A">
      <w:pPr>
        <w:autoSpaceDE w:val="0"/>
        <w:autoSpaceDN w:val="0"/>
        <w:adjustRightInd w:val="0"/>
        <w:spacing w:line="360" w:lineRule="auto"/>
        <w:jc w:val="both"/>
        <w:rPr>
          <w:rFonts w:ascii="Palatino Linotype" w:hAnsi="Palatino Linotype" w:cs="Arial"/>
        </w:rPr>
      </w:pPr>
      <w:r w:rsidRPr="00207E23">
        <w:rPr>
          <w:rFonts w:ascii="Palatino Linotype" w:hAnsi="Palatino Linotype" w:cs="Arial"/>
        </w:rPr>
        <w:t xml:space="preserve">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w:t>
      </w:r>
      <w:r w:rsidRPr="00207E23">
        <w:rPr>
          <w:rFonts w:ascii="Palatino Linotype" w:hAnsi="Palatino Linotype" w:cs="Arial"/>
        </w:rPr>
        <w:lastRenderedPageBreak/>
        <w:t>obren en el expediente electrónico, con la finalidad de reparar cualquier posible afectación al derecho de acceso a la información pública y garantizando el principio rector de máxima publicidad.</w:t>
      </w:r>
    </w:p>
    <w:p w:rsidR="00381F2A" w:rsidRPr="00821CCD" w:rsidRDefault="00381F2A" w:rsidP="00381F2A">
      <w:pPr>
        <w:autoSpaceDE w:val="0"/>
        <w:autoSpaceDN w:val="0"/>
        <w:adjustRightInd w:val="0"/>
        <w:spacing w:before="240" w:line="360" w:lineRule="auto"/>
        <w:jc w:val="both"/>
        <w:rPr>
          <w:rFonts w:ascii="Palatino Linotype" w:hAnsi="Palatino Linotype" w:cs="Arial"/>
        </w:rPr>
      </w:pPr>
      <w:r w:rsidRPr="00821CCD">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381F2A" w:rsidRPr="00821CCD" w:rsidRDefault="00381F2A" w:rsidP="00381F2A">
      <w:pPr>
        <w:autoSpaceDE w:val="0"/>
        <w:autoSpaceDN w:val="0"/>
        <w:adjustRightInd w:val="0"/>
        <w:spacing w:before="240" w:line="360" w:lineRule="auto"/>
        <w:ind w:left="1134"/>
        <w:jc w:val="both"/>
        <w:rPr>
          <w:rFonts w:ascii="Palatino Linotype" w:hAnsi="Palatino Linotype" w:cs="Arial"/>
          <w:i/>
        </w:rPr>
      </w:pPr>
      <w:r w:rsidRPr="00821CCD">
        <w:rPr>
          <w:rFonts w:ascii="Palatino Linotype" w:hAnsi="Palatino Linotype" w:cs="Arial"/>
          <w:i/>
        </w:rPr>
        <w:t xml:space="preserve">“Artículo 180. El recurso de revisión contendrá: </w:t>
      </w:r>
    </w:p>
    <w:p w:rsidR="00381F2A" w:rsidRPr="00821CCD" w:rsidRDefault="00381F2A" w:rsidP="00381F2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 xml:space="preserve">I. El sujeto obligado ante la cual se presentó la solicitud; </w:t>
      </w:r>
    </w:p>
    <w:p w:rsidR="00381F2A" w:rsidRPr="00821CCD" w:rsidRDefault="00381F2A" w:rsidP="00381F2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b/>
          <w:i/>
          <w:lang w:val="es-ES_tradnl"/>
        </w:rPr>
        <w:t>II. El nombre del solicitante que recurre</w:t>
      </w:r>
      <w:r w:rsidRPr="00821CCD">
        <w:rPr>
          <w:rFonts w:ascii="Palatino Linotype" w:hAnsi="Palatino Linotype" w:cs="Arial"/>
          <w:i/>
          <w:lang w:val="es-ES_tradnl"/>
        </w:rPr>
        <w:t xml:space="preserve"> o de su representante y, en su caso, del tercero interesado, así como la dirección o medio que señale para recibir notificaciones;</w:t>
      </w:r>
    </w:p>
    <w:p w:rsidR="00381F2A" w:rsidRPr="00821CCD" w:rsidRDefault="00381F2A" w:rsidP="00381F2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III. El número de folio de respuesta de la solicitud de acceso;</w:t>
      </w:r>
    </w:p>
    <w:p w:rsidR="00381F2A" w:rsidRPr="00821CCD" w:rsidRDefault="00381F2A" w:rsidP="00381F2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381F2A" w:rsidRPr="00821CCD" w:rsidRDefault="00381F2A" w:rsidP="00381F2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V. El acto que se recurre;</w:t>
      </w:r>
    </w:p>
    <w:p w:rsidR="00381F2A" w:rsidRPr="00821CCD" w:rsidRDefault="00381F2A" w:rsidP="00381F2A">
      <w:pPr>
        <w:autoSpaceDE w:val="0"/>
        <w:autoSpaceDN w:val="0"/>
        <w:adjustRightInd w:val="0"/>
        <w:ind w:left="1134"/>
        <w:jc w:val="both"/>
        <w:rPr>
          <w:rFonts w:ascii="Palatino Linotype" w:hAnsi="Palatino Linotype" w:cs="Arial"/>
          <w:i/>
          <w:lang w:val="es-ES_tradnl"/>
        </w:rPr>
      </w:pPr>
      <w:r w:rsidRPr="00821CCD">
        <w:rPr>
          <w:rFonts w:ascii="Palatino Linotype" w:hAnsi="Palatino Linotype" w:cs="Arial"/>
          <w:i/>
          <w:lang w:val="es-ES_tradnl"/>
        </w:rPr>
        <w:t>VI. Las razones o motivos de inconformidad;</w:t>
      </w:r>
    </w:p>
    <w:p w:rsidR="00381F2A" w:rsidRPr="00821CCD" w:rsidRDefault="00381F2A" w:rsidP="00381F2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 La copia de la respuesta que se impugna y, en su caso, de la notificación correspondiente, en el caso de respuesta de la solicitud; y </w:t>
      </w:r>
    </w:p>
    <w:p w:rsidR="00381F2A" w:rsidRPr="00821CCD" w:rsidRDefault="00381F2A" w:rsidP="00381F2A">
      <w:pPr>
        <w:autoSpaceDE w:val="0"/>
        <w:autoSpaceDN w:val="0"/>
        <w:adjustRightInd w:val="0"/>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VIII. Firma del recurrente, en su caso, cuando se presente por escrito, requisito sin el cual se dará trámite al recurso. </w:t>
      </w:r>
    </w:p>
    <w:p w:rsidR="00381F2A" w:rsidRPr="00821CCD" w:rsidRDefault="00381F2A" w:rsidP="00381F2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Adicionalmente, se podrán anexar las pruebas y demás elementos que considere procedentes someter a juicio del Instituto. </w:t>
      </w:r>
    </w:p>
    <w:p w:rsidR="00381F2A" w:rsidRPr="00821CCD" w:rsidRDefault="00381F2A" w:rsidP="00381F2A">
      <w:pPr>
        <w:autoSpaceDE w:val="0"/>
        <w:autoSpaceDN w:val="0"/>
        <w:adjustRightInd w:val="0"/>
        <w:spacing w:before="240" w:line="276" w:lineRule="auto"/>
        <w:ind w:left="1134" w:right="567"/>
        <w:jc w:val="both"/>
        <w:rPr>
          <w:rFonts w:ascii="Palatino Linotype" w:hAnsi="Palatino Linotype" w:cs="Arial"/>
          <w:i/>
          <w:lang w:val="es-ES_tradnl"/>
        </w:rPr>
      </w:pPr>
      <w:r w:rsidRPr="00821CCD">
        <w:rPr>
          <w:rFonts w:ascii="Palatino Linotype" w:hAnsi="Palatino Linotype" w:cs="Arial"/>
          <w:i/>
          <w:lang w:val="es-ES_tradnl"/>
        </w:rPr>
        <w:t xml:space="preserve">En ningún caso será necesario que el particular ratifique el recurso de revisión interpuesto. </w:t>
      </w:r>
    </w:p>
    <w:p w:rsidR="00381F2A" w:rsidRPr="00821CCD" w:rsidRDefault="00381F2A" w:rsidP="00381F2A">
      <w:pPr>
        <w:autoSpaceDE w:val="0"/>
        <w:autoSpaceDN w:val="0"/>
        <w:adjustRightInd w:val="0"/>
        <w:spacing w:before="240" w:line="360" w:lineRule="auto"/>
        <w:ind w:left="1134" w:right="567"/>
        <w:jc w:val="both"/>
        <w:rPr>
          <w:rFonts w:ascii="Palatino Linotype" w:hAnsi="Palatino Linotype" w:cs="Arial"/>
        </w:rPr>
      </w:pPr>
      <w:r w:rsidRPr="00821CCD">
        <w:rPr>
          <w:rFonts w:ascii="Palatino Linotype" w:eastAsia="Calibri" w:hAnsi="Palatino Linotype" w:cs="Arial"/>
          <w:b/>
          <w:i/>
        </w:rPr>
        <w:lastRenderedPageBreak/>
        <w:t>En caso de que el recurso se interponga de manera electrónica no será indispensable que contengan los requisitos establecidos en las fracciones II, IV, VII y VIII.”</w:t>
      </w:r>
    </w:p>
    <w:p w:rsidR="00381F2A" w:rsidRPr="00821CCD" w:rsidRDefault="00381F2A" w:rsidP="00381F2A">
      <w:pPr>
        <w:autoSpaceDE w:val="0"/>
        <w:autoSpaceDN w:val="0"/>
        <w:adjustRightInd w:val="0"/>
        <w:spacing w:before="240" w:line="360" w:lineRule="auto"/>
        <w:jc w:val="both"/>
        <w:rPr>
          <w:rFonts w:ascii="Palatino Linotype" w:hAnsi="Palatino Linotype"/>
        </w:rPr>
      </w:pPr>
    </w:p>
    <w:p w:rsidR="00381F2A" w:rsidRPr="00821CCD" w:rsidRDefault="00381F2A" w:rsidP="00381F2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381F2A" w:rsidRPr="00821CCD" w:rsidTr="008F3573">
        <w:trPr>
          <w:trHeight w:val="1360"/>
        </w:trPr>
        <w:tc>
          <w:tcPr>
            <w:tcW w:w="7982" w:type="dxa"/>
          </w:tcPr>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381F2A" w:rsidRPr="00821CCD" w:rsidRDefault="00381F2A" w:rsidP="00381F2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381F2A" w:rsidRPr="00821CCD" w:rsidTr="008F3573">
        <w:trPr>
          <w:jc w:val="center"/>
        </w:trPr>
        <w:tc>
          <w:tcPr>
            <w:tcW w:w="8075" w:type="dxa"/>
          </w:tcPr>
          <w:p w:rsidR="00381F2A" w:rsidRPr="00821CCD" w:rsidRDefault="00381F2A" w:rsidP="008F3573">
            <w:pPr>
              <w:autoSpaceDE w:val="0"/>
              <w:autoSpaceDN w:val="0"/>
              <w:adjustRightInd w:val="0"/>
              <w:spacing w:before="240" w:line="360" w:lineRule="auto"/>
              <w:jc w:val="center"/>
              <w:rPr>
                <w:rFonts w:ascii="Palatino Linotype" w:hAnsi="Palatino Linotype"/>
                <w:b/>
                <w:i/>
              </w:rPr>
            </w:pPr>
            <w:r w:rsidRPr="00821CCD">
              <w:rPr>
                <w:rFonts w:ascii="Palatino Linotype" w:hAnsi="Palatino Linotype"/>
                <w:b/>
                <w:i/>
              </w:rPr>
              <w:t xml:space="preserve">Constitución Política de los Estados Unidos Mexicanos </w:t>
            </w:r>
          </w:p>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w:t>
            </w:r>
            <w:r w:rsidRPr="00821CCD">
              <w:rPr>
                <w:rFonts w:ascii="Palatino Linotype" w:hAnsi="Palatino Linotype"/>
                <w:i/>
              </w:rPr>
              <w:lastRenderedPageBreak/>
              <w:t xml:space="preserve">derecho de réplica será ejercido en los términos dispuestos por la ley. El derecho a la información será garantizado por el Estado. </w:t>
            </w:r>
          </w:p>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w:t>
            </w:r>
          </w:p>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 xml:space="preserve"> (…) </w:t>
            </w:r>
          </w:p>
          <w:p w:rsidR="00381F2A" w:rsidRPr="00821CCD" w:rsidRDefault="00381F2A" w:rsidP="008F3573">
            <w:pPr>
              <w:autoSpaceDE w:val="0"/>
              <w:autoSpaceDN w:val="0"/>
              <w:adjustRightInd w:val="0"/>
              <w:spacing w:before="240" w:line="360" w:lineRule="auto"/>
              <w:jc w:val="both"/>
              <w:rPr>
                <w:rFonts w:ascii="Palatino Linotype" w:hAnsi="Palatino Linotype"/>
                <w:i/>
              </w:rPr>
            </w:pPr>
            <w:r w:rsidRPr="00821CCD">
              <w:rPr>
                <w:rFonts w:ascii="Palatino Linotype" w:hAnsi="Palatino Linotype"/>
                <w:i/>
              </w:rPr>
              <w:t>III. Toda persona, sin necesidad de acreditar interés alguno o justificar su utilización, tendrá acceso gratuito a la información pública, a sus datos personales o a la rectificación de éstos.</w:t>
            </w:r>
          </w:p>
          <w:p w:rsidR="00381F2A" w:rsidRPr="00821CCD" w:rsidRDefault="00381F2A" w:rsidP="008F3573">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381F2A" w:rsidRPr="00821CCD" w:rsidRDefault="00381F2A" w:rsidP="008F3573">
            <w:pPr>
              <w:autoSpaceDE w:val="0"/>
              <w:autoSpaceDN w:val="0"/>
              <w:adjustRightInd w:val="0"/>
              <w:spacing w:before="240" w:line="360" w:lineRule="auto"/>
              <w:jc w:val="both"/>
              <w:rPr>
                <w:rFonts w:ascii="Palatino Linotype" w:hAnsi="Palatino Linotype" w:cs="Arial"/>
                <w:b/>
                <w:i/>
              </w:rPr>
            </w:pPr>
            <w:r w:rsidRPr="00821CCD">
              <w:rPr>
                <w:rFonts w:ascii="Palatino Linotype" w:hAnsi="Palatino Linotype" w:cs="Arial"/>
                <w:b/>
                <w:i/>
              </w:rPr>
              <w:t>Constitución Política del Estado Libre y Soberano de México</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w:t>
            </w:r>
            <w:r w:rsidRPr="00821CCD">
              <w:rPr>
                <w:rFonts w:ascii="Palatino Linotype" w:eastAsia="Calibri" w:hAnsi="Palatino Linotype" w:cs="Arial"/>
                <w:i/>
                <w:lang w:val="es-ES_tradnl" w:eastAsia="es-MX"/>
              </w:rPr>
              <w:lastRenderedPageBreak/>
              <w:t>en los casos y bajo las condiciones que la Constitución Política de los Estados Unidos Mexicanos establece.</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El derecho a la información será garantizado por el Estado. La ley establecerá las previsiones que permitan asegurar la protección, el respeto y la difusión de este derecho.</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381F2A" w:rsidRPr="00821CCD" w:rsidRDefault="00381F2A" w:rsidP="008F3573">
            <w:pPr>
              <w:autoSpaceDE w:val="0"/>
              <w:autoSpaceDN w:val="0"/>
              <w:adjustRightInd w:val="0"/>
              <w:spacing w:before="240" w:line="360" w:lineRule="auto"/>
              <w:jc w:val="both"/>
              <w:rPr>
                <w:rFonts w:ascii="Palatino Linotype" w:eastAsia="Calibri" w:hAnsi="Palatino Linotype" w:cs="Arial"/>
                <w:i/>
                <w:lang w:val="es-ES_tradnl" w:eastAsia="es-MX"/>
              </w:rPr>
            </w:pPr>
            <w:r w:rsidRPr="00821CCD">
              <w:rPr>
                <w:rFonts w:ascii="Palatino Linotype" w:eastAsia="Calibri" w:hAnsi="Palatino Linotype" w:cs="Arial"/>
                <w:i/>
                <w:lang w:val="es-ES_tradnl" w:eastAsia="es-MX"/>
              </w:rPr>
              <w:lastRenderedPageBreak/>
              <w:t>IV. Se establecerán mecanismos de acceso a la información y procedimientos de revisión expeditos que se sustanciarán ante el organismo autónomo especializado e imparcial que establece esta Constitución.</w:t>
            </w:r>
          </w:p>
          <w:p w:rsidR="00381F2A" w:rsidRPr="00821CCD" w:rsidRDefault="00381F2A" w:rsidP="008F3573">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w:t>
            </w:r>
          </w:p>
          <w:p w:rsidR="00381F2A" w:rsidRPr="00821CCD" w:rsidRDefault="00381F2A" w:rsidP="008F3573">
            <w:pPr>
              <w:autoSpaceDE w:val="0"/>
              <w:autoSpaceDN w:val="0"/>
              <w:adjustRightInd w:val="0"/>
              <w:spacing w:before="240" w:line="360" w:lineRule="auto"/>
              <w:jc w:val="both"/>
              <w:rPr>
                <w:rFonts w:ascii="Palatino Linotype" w:hAnsi="Palatino Linotype" w:cs="Arial"/>
                <w:i/>
              </w:rPr>
            </w:pPr>
            <w:r w:rsidRPr="00821CCD">
              <w:rPr>
                <w:rFonts w:ascii="Palatino Linotype" w:hAnsi="Palatino Linotype" w:cs="Arial"/>
                <w:i/>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tc>
      </w:tr>
    </w:tbl>
    <w:p w:rsidR="00381F2A" w:rsidRPr="00821CCD" w:rsidRDefault="00381F2A" w:rsidP="00381F2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21CCD">
        <w:rPr>
          <w:rFonts w:ascii="Palatino Linotype" w:hAnsi="Palatino Linotype"/>
          <w:b/>
          <w:u w:val="single"/>
        </w:rPr>
        <w:t>incluso, la solicitud de acceso a la información pueda ser anónima o no contener un nombre que identifique al solicitante o que permita tener certeza sobre su identidad</w:t>
      </w:r>
      <w:r w:rsidRPr="00821CCD">
        <w:rPr>
          <w:rFonts w:ascii="Palatino Linotype" w:hAnsi="Palatino Linotype"/>
        </w:rPr>
        <w:t xml:space="preserve">. </w:t>
      </w:r>
    </w:p>
    <w:p w:rsidR="00381F2A" w:rsidRPr="00821CCD" w:rsidRDefault="00381F2A" w:rsidP="00381F2A">
      <w:pPr>
        <w:autoSpaceDE w:val="0"/>
        <w:autoSpaceDN w:val="0"/>
        <w:adjustRightInd w:val="0"/>
        <w:spacing w:before="240" w:line="360" w:lineRule="auto"/>
        <w:jc w:val="both"/>
        <w:rPr>
          <w:rFonts w:ascii="Palatino Linotype" w:hAnsi="Palatino Linotype"/>
        </w:rPr>
      </w:pPr>
      <w:r w:rsidRPr="00821CCD">
        <w:rPr>
          <w:rFonts w:ascii="Palatino Linotype" w:hAnsi="Palatino Linotype"/>
        </w:rPr>
        <w:t xml:space="preserve">En conclusión, se cubrieron los requisitos de procedencia y </w:t>
      </w:r>
      <w:proofErr w:type="spellStart"/>
      <w:r w:rsidRPr="00821CCD">
        <w:rPr>
          <w:rFonts w:ascii="Palatino Linotype" w:hAnsi="Palatino Linotype"/>
        </w:rPr>
        <w:t>procedibilidad</w:t>
      </w:r>
      <w:proofErr w:type="spellEnd"/>
      <w:r w:rsidRPr="00821CCD">
        <w:rPr>
          <w:rFonts w:ascii="Palatino Linotype" w:hAnsi="Palatino Linotype"/>
        </w:rPr>
        <w:t xml:space="preserve"> y conforme a las constancias que obran en el expediente.</w:t>
      </w:r>
    </w:p>
    <w:p w:rsidR="00381F2A" w:rsidRDefault="00381F2A" w:rsidP="00381F2A">
      <w:pPr>
        <w:pStyle w:val="Prrafodelista"/>
        <w:autoSpaceDE w:val="0"/>
        <w:autoSpaceDN w:val="0"/>
        <w:adjustRightInd w:val="0"/>
        <w:spacing w:before="240" w:after="160" w:line="360" w:lineRule="auto"/>
        <w:ind w:left="0"/>
        <w:jc w:val="both"/>
        <w:rPr>
          <w:rFonts w:ascii="Palatino Linotype" w:hAnsi="Palatino Linotype" w:cs="Arial"/>
          <w:b/>
          <w:sz w:val="28"/>
        </w:rPr>
      </w:pPr>
    </w:p>
    <w:p w:rsidR="00381F2A" w:rsidRDefault="00381F2A" w:rsidP="00381F2A">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Pr>
          <w:rFonts w:ascii="Palatino Linotype" w:hAnsi="Palatino Linotype" w:cs="Arial"/>
          <w:b/>
          <w:sz w:val="28"/>
        </w:rPr>
        <w:t>TERCERO</w:t>
      </w:r>
      <w:r w:rsidRPr="009510B5">
        <w:rPr>
          <w:rFonts w:ascii="Palatino Linotype" w:hAnsi="Palatino Linotype" w:cs="Arial"/>
          <w:b/>
        </w:rPr>
        <w:t xml:space="preserve">. </w:t>
      </w:r>
      <w:r w:rsidRPr="009510B5">
        <w:rPr>
          <w:rFonts w:ascii="Palatino Linotype" w:hAnsi="Palatino Linotype" w:cs="Arial"/>
          <w:b/>
          <w:sz w:val="28"/>
          <w:szCs w:val="28"/>
        </w:rPr>
        <w:t>Del estudio de las causas de improcedencia y sobreseimiento</w:t>
      </w:r>
    </w:p>
    <w:p w:rsidR="00381F2A" w:rsidRPr="00B21190" w:rsidRDefault="00381F2A" w:rsidP="00381F2A">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B21190">
        <w:rPr>
          <w:rFonts w:ascii="Palatino Linotype" w:hAnsi="Palatino Linotype" w:cs="Arial"/>
        </w:rPr>
        <w:t>procedibilidad</w:t>
      </w:r>
      <w:proofErr w:type="spellEnd"/>
      <w:r w:rsidRPr="00B21190">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381F2A" w:rsidRPr="00B21190" w:rsidRDefault="00381F2A" w:rsidP="00381F2A">
      <w:pPr>
        <w:pStyle w:val="Prrafodelista"/>
        <w:autoSpaceDE w:val="0"/>
        <w:autoSpaceDN w:val="0"/>
        <w:adjustRightInd w:val="0"/>
        <w:spacing w:line="360" w:lineRule="auto"/>
        <w:ind w:left="0"/>
        <w:jc w:val="both"/>
        <w:rPr>
          <w:rFonts w:ascii="Palatino Linotype" w:hAnsi="Palatino Linotype" w:cs="Arial"/>
        </w:rPr>
      </w:pPr>
    </w:p>
    <w:p w:rsidR="00381F2A" w:rsidRDefault="00381F2A" w:rsidP="00381F2A">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B21190">
        <w:rPr>
          <w:rFonts w:ascii="Palatino Linotype" w:hAnsi="Palatino Linotype" w:cs="Arial"/>
        </w:rPr>
        <w:t>Resolutor</w:t>
      </w:r>
      <w:proofErr w:type="spellEnd"/>
      <w:r w:rsidRPr="00B21190">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rsidR="00381F2A" w:rsidRPr="00B21190" w:rsidRDefault="00381F2A" w:rsidP="00381F2A">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B21190">
        <w:rPr>
          <w:rStyle w:val="Refdenotaalpie"/>
          <w:rFonts w:ascii="Palatino Linotype" w:eastAsiaTheme="minorEastAsia" w:hAnsi="Palatino Linotype" w:cs="Arial"/>
        </w:rPr>
        <w:footnoteReference w:id="1"/>
      </w:r>
      <w:r w:rsidRPr="00B21190">
        <w:rPr>
          <w:rFonts w:ascii="Palatino Linotype" w:hAnsi="Palatino Linotype" w:cs="Arial"/>
        </w:rPr>
        <w:t>.</w:t>
      </w: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lastRenderedPageBreak/>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rsidR="00381F2A" w:rsidRPr="00B21190" w:rsidRDefault="00381F2A" w:rsidP="00381F2A">
      <w:pPr>
        <w:pStyle w:val="Prrafodelista"/>
        <w:autoSpaceDE w:val="0"/>
        <w:autoSpaceDN w:val="0"/>
        <w:adjustRightInd w:val="0"/>
        <w:spacing w:line="360" w:lineRule="auto"/>
        <w:ind w:left="0"/>
        <w:jc w:val="both"/>
        <w:rPr>
          <w:rFonts w:ascii="Palatino Linotype" w:hAnsi="Palatino Linotype" w:cs="Arial"/>
        </w:rPr>
      </w:pPr>
      <w:r w:rsidRPr="00B21190">
        <w:rPr>
          <w:rFonts w:ascii="Palatino Linotype" w:hAnsi="Palatino Linotype" w:cs="Arial"/>
        </w:rPr>
        <w:t xml:space="preserve">Ya que el planteamiento del problema es de toral importancia, a efecto de determinar la intención o voluntad del </w:t>
      </w:r>
      <w:r>
        <w:rPr>
          <w:rFonts w:ascii="Palatino Linotype" w:hAnsi="Palatino Linotype" w:cs="Arial"/>
        </w:rPr>
        <w:t>R</w:t>
      </w:r>
      <w:r w:rsidRPr="00B21190">
        <w:rPr>
          <w:rFonts w:ascii="Palatino Linotype" w:hAnsi="Palatino Linotype" w:cs="Arial"/>
        </w:rPr>
        <w:t>ecurrente a la luz de la interpretación de las solicitudes de información, y que puede generar de forma objetiva y material el sujeto obligado que se relacione con esa intención, respecto del presente asunto se realiza a continuación.</w:t>
      </w:r>
    </w:p>
    <w:p w:rsidR="00381F2A" w:rsidRPr="006A6545" w:rsidRDefault="00381F2A" w:rsidP="00381F2A">
      <w:pPr>
        <w:pStyle w:val="Prrafodelista"/>
        <w:autoSpaceDE w:val="0"/>
        <w:autoSpaceDN w:val="0"/>
        <w:adjustRightInd w:val="0"/>
        <w:spacing w:before="240" w:after="160" w:line="360" w:lineRule="auto"/>
        <w:ind w:left="0"/>
        <w:jc w:val="both"/>
        <w:rPr>
          <w:rFonts w:ascii="Palatino Linotype" w:hAnsi="Palatino Linotype" w:cs="Arial"/>
        </w:rPr>
      </w:pPr>
      <w:r w:rsidRPr="00B21190">
        <w:rPr>
          <w:rFonts w:ascii="Palatino Linotype" w:hAnsi="Palatino Linotype" w:cs="Arial"/>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B21190">
        <w:rPr>
          <w:rFonts w:ascii="Palatino Linotype" w:hAnsi="Palatino Linotype" w:cs="Arial"/>
        </w:rPr>
        <w:lastRenderedPageBreak/>
        <w:t>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381F2A" w:rsidRDefault="00381F2A" w:rsidP="00381F2A">
      <w:pPr>
        <w:tabs>
          <w:tab w:val="left" w:pos="709"/>
        </w:tabs>
        <w:spacing w:line="360" w:lineRule="auto"/>
        <w:jc w:val="both"/>
        <w:rPr>
          <w:rFonts w:ascii="Palatino Linotype" w:hAnsi="Palatino Linotype" w:cs="Arial"/>
        </w:rPr>
      </w:pPr>
    </w:p>
    <w:p w:rsidR="00381F2A" w:rsidRPr="004D52B1" w:rsidRDefault="00381F2A" w:rsidP="00381F2A">
      <w:pPr>
        <w:tabs>
          <w:tab w:val="left" w:pos="709"/>
        </w:tabs>
        <w:spacing w:line="360" w:lineRule="auto"/>
        <w:jc w:val="both"/>
        <w:rPr>
          <w:rFonts w:ascii="Palatino Linotype" w:hAnsi="Palatino Linotype" w:cs="Arial"/>
        </w:rPr>
      </w:pPr>
      <w:r w:rsidRPr="004D52B1">
        <w:rPr>
          <w:rFonts w:ascii="Palatino Linotype" w:hAnsi="Palatino Linotype" w:cs="Arial"/>
        </w:rPr>
        <w:t xml:space="preserve">La Ley de Transparencia de la entidad, en su artículo 192, contempla la figura jurídica del sobreseimiento, y específicamente en sus hipótesis inmersas en las fracciones III y IV, refieren que se sobreseerá el asunto cuando </w:t>
      </w:r>
      <w:r w:rsidRPr="004D52B1">
        <w:rPr>
          <w:rFonts w:ascii="Palatino Linotype" w:hAnsi="Palatino Linotype" w:cs="Arial"/>
          <w:b/>
        </w:rPr>
        <w:t>El Sujeto Obligado</w:t>
      </w:r>
      <w:r w:rsidRPr="004D52B1">
        <w:rPr>
          <w:rFonts w:ascii="Palatino Linotype" w:hAnsi="Palatino Linotype" w:cs="Arial"/>
        </w:rPr>
        <w:t xml:space="preserve"> responsable del acto lo modifique o revoque de tal manera que el recurso de revisión quede sin materia o admitido el recurso de revisión, aparezca alguna causal de improcedencia en los términos de la presente Ley.</w:t>
      </w:r>
    </w:p>
    <w:p w:rsidR="00381F2A" w:rsidRPr="004D52B1" w:rsidRDefault="00381F2A" w:rsidP="00381F2A">
      <w:pPr>
        <w:tabs>
          <w:tab w:val="left" w:pos="709"/>
        </w:tabs>
        <w:spacing w:line="360" w:lineRule="auto"/>
        <w:jc w:val="both"/>
        <w:rPr>
          <w:rFonts w:ascii="Palatino Linotype" w:hAnsi="Palatino Linotype" w:cs="Arial"/>
        </w:rPr>
      </w:pPr>
    </w:p>
    <w:p w:rsidR="00381F2A" w:rsidRDefault="00381F2A" w:rsidP="00381F2A">
      <w:pPr>
        <w:tabs>
          <w:tab w:val="left" w:pos="709"/>
        </w:tabs>
        <w:spacing w:line="360" w:lineRule="auto"/>
        <w:jc w:val="both"/>
        <w:rPr>
          <w:rFonts w:ascii="Palatino Linotype" w:hAnsi="Palatino Linotype" w:cs="Arial"/>
        </w:rPr>
      </w:pPr>
      <w:r w:rsidRPr="004D52B1">
        <w:rPr>
          <w:rFonts w:ascii="Palatino Linotype" w:hAnsi="Palatino Linotype" w:cs="Arial"/>
        </w:rPr>
        <w:t xml:space="preserve">Bajo esa línea, con la finalidad de determinar si se modificó o revocó el acto u omisión del </w:t>
      </w:r>
      <w:r w:rsidRPr="004D52B1">
        <w:rPr>
          <w:rFonts w:ascii="Palatino Linotype" w:hAnsi="Palatino Linotype" w:cs="Arial"/>
          <w:b/>
        </w:rPr>
        <w:t>Sujeto Obligado</w:t>
      </w:r>
      <w:r w:rsidRPr="004D52B1">
        <w:rPr>
          <w:rFonts w:ascii="Palatino Linotype" w:hAnsi="Palatino Linotype" w:cs="Arial"/>
        </w:rPr>
        <w:t xml:space="preserve"> o</w:t>
      </w:r>
      <w:r w:rsidRPr="004D52B1">
        <w:t xml:space="preserve"> </w:t>
      </w:r>
      <w:r w:rsidRPr="004D52B1">
        <w:rPr>
          <w:rFonts w:ascii="Palatino Linotype" w:hAnsi="Palatino Linotype" w:cs="Arial"/>
        </w:rPr>
        <w:t>admitido el recurso de revisión, aparezca alguna causal de improcedencia para el efecto de que quede sin materia el recurso de revisión, es necesario realizar una valoración de la información solicitada, así como la remitida y determinar si dicha consecuencia se subsume en el presupuesto procesal que establecen la fracción IV,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rsidR="00381F2A" w:rsidRDefault="00381F2A" w:rsidP="00381F2A">
      <w:pPr>
        <w:tabs>
          <w:tab w:val="left" w:pos="709"/>
        </w:tabs>
        <w:spacing w:line="360" w:lineRule="auto"/>
        <w:jc w:val="both"/>
        <w:rPr>
          <w:rFonts w:ascii="Palatino Linotype" w:hAnsi="Palatino Linotype" w:cs="Arial"/>
        </w:rPr>
      </w:pPr>
    </w:p>
    <w:p w:rsidR="00381F2A" w:rsidRDefault="00381F2A" w:rsidP="00381F2A">
      <w:pPr>
        <w:tabs>
          <w:tab w:val="left" w:pos="709"/>
        </w:tabs>
        <w:spacing w:line="360" w:lineRule="auto"/>
        <w:jc w:val="both"/>
        <w:rPr>
          <w:rFonts w:ascii="Palatino Linotype" w:hAnsi="Palatino Linotype" w:cs="Arial"/>
        </w:rPr>
      </w:pPr>
      <w:r>
        <w:rPr>
          <w:rFonts w:ascii="Palatino Linotype" w:hAnsi="Palatino Linotype" w:cs="Arial"/>
        </w:rPr>
        <w:lastRenderedPageBreak/>
        <w:t>Inicialmente se destaca que la Primera Sala de la Suprema Corte de Justicia de la Nación ha señalado que el estudio de causales de improcedencia deberá de hacerse de manera preferencial y oficiosa. Lo anterior, mediante la jurisprudencia con número de registro 194697, visible en la foja 13 del Semanario Judicial de la Federación, Tomo IX, Enero de 1999, Materia Común, cuyo rubro y texto disponen a la literalidad lo siguiente:</w:t>
      </w:r>
    </w:p>
    <w:p w:rsidR="00381F2A" w:rsidRPr="00F74FB1" w:rsidRDefault="00381F2A" w:rsidP="00381F2A">
      <w:pPr>
        <w:pStyle w:val="Citas"/>
        <w:rPr>
          <w:b/>
          <w:bCs/>
        </w:rPr>
      </w:pPr>
      <w:r>
        <w:rPr>
          <w:b/>
          <w:bCs/>
        </w:rPr>
        <w:t>“</w:t>
      </w:r>
      <w:r w:rsidRPr="00F74FB1">
        <w:rPr>
          <w:b/>
          <w:bCs/>
        </w:rPr>
        <w:t>IMPROCEDENCIA. ESTUDIO PREFERENCIAL DE LAS CAUSALES PREVISTAS EN EL ARTÍCULO 73 DE LA LEY DE AMPARO.</w:t>
      </w:r>
    </w:p>
    <w:p w:rsidR="00381F2A" w:rsidRDefault="00381F2A" w:rsidP="00381F2A">
      <w:pPr>
        <w:pStyle w:val="Citas"/>
      </w:pPr>
      <w:r>
        <w:t xml:space="preserve">De conformidad con lo dispuesto en el </w:t>
      </w:r>
      <w:r w:rsidRPr="00F74FB1">
        <w:t>último párrafo del artículo </w:t>
      </w:r>
      <w:hyperlink r:id="rId7" w:history="1">
        <w:r w:rsidRPr="00F74FB1">
          <w:t>73 de la Ley de Amparo</w:t>
        </w:r>
      </w:hyperlink>
      <w:r w:rsidRPr="00F74FB1">
        <w:t> las causales de improcedencia deben</w:t>
      </w:r>
      <w:r>
        <w:t xml:space="preserve"> ser examinadas de oficio y debe abordarse en cualquier instancia en que el juicio se encuentre; de tal manera que si en la revisión se advierte que existen otras causas de </w:t>
      </w:r>
      <w:r w:rsidRPr="00F74FB1">
        <w:t>estudio preferente</w:t>
      </w:r>
      <w:r>
        <w:t xml:space="preserve"> a la invocada por el Juez para sobreseer, habrán de analizarse, sin atender razonamiento alguno expresado por el recurrente. Esto es así porque si bien el artículo 73 prevé diversas causas de improcedencia y todas ellas conducen a decretar el sobreseimiento en el juicio, sin analizar el fondo del asunto, de entre ellas existen algunas cuyo orden de importancia amerita que se estudien de </w:t>
      </w:r>
      <w:r w:rsidRPr="00F74FB1">
        <w:t>forma preferente.</w:t>
      </w:r>
      <w:r>
        <w:t xml:space="preserve"> Una de estas causas es la inobservancia al principio de </w:t>
      </w:r>
      <w:proofErr w:type="spellStart"/>
      <w:r>
        <w:t>definitividad</w:t>
      </w:r>
      <w:proofErr w:type="spellEnd"/>
      <w: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w:t>
      </w:r>
      <w:r w:rsidRPr="00F74FB1">
        <w:t>estudio preferente</w:t>
      </w:r>
      <w:r>
        <w:t xml:space="preserve"> (inobservancia al principio de </w:t>
      </w:r>
      <w:proofErr w:type="spellStart"/>
      <w:r>
        <w:t>definitividad</w:t>
      </w:r>
      <w:proofErr w:type="spellEnd"/>
      <w:r>
        <w:t xml:space="preserve">) que daría lugar al sobreseimiento total en el juicio y que, por ello, resultarían inatendibles </w:t>
      </w:r>
      <w:r>
        <w:lastRenderedPageBreak/>
        <w:t>los agravios que se hubieren hecho valer, lo procedente es invocar tal motivo de sobreseimiento y con base en él confirmar la sentencia, aun cuando por diversos motivos, al sustentado por el referido Juez de Distrito.</w:t>
      </w:r>
    </w:p>
    <w:p w:rsidR="00381F2A" w:rsidRDefault="00381F2A" w:rsidP="00381F2A">
      <w:pPr>
        <w:pStyle w:val="Citas"/>
      </w:pPr>
      <w:r>
        <w:t>Amparo en revisión 355/98. Raúl Salinas de Gortari. 1o. de abril de 1998. Cinco votos. Ponente: José de Jesús Gudiño Pelayo. Secretario: Mario Flores García.</w:t>
      </w:r>
    </w:p>
    <w:p w:rsidR="00381F2A" w:rsidRDefault="00381F2A" w:rsidP="00381F2A">
      <w:pPr>
        <w:pStyle w:val="Citas"/>
      </w:pPr>
      <w:r>
        <w:t>Amparo en revisión 807/98. Byron Jackson Co., S.A. de C.V. 24 de junio de 1998. Cinco votos. Ponente: José de Jesús Gudiño Pelayo. Secretario: Miguel Ángel Ramírez González.</w:t>
      </w:r>
    </w:p>
    <w:p w:rsidR="00381F2A" w:rsidRDefault="00381F2A" w:rsidP="00381F2A">
      <w:pPr>
        <w:pStyle w:val="Citas"/>
      </w:pPr>
      <w:r w:rsidRPr="00A65594">
        <w:t>A</w:t>
      </w:r>
      <w:r>
        <w:t>mparo en revisión 2257/97. Servicios Hoteleros Presidente San José del Cabo, S.A. de C.V. 4 de noviembre de 1998. Unanimidad de cuatro votos. Ausente: Juan N. Silva Meza. Ponente: Humberto Román Palacios. Secretario: Álvaro Tovilla León.</w:t>
      </w:r>
    </w:p>
    <w:p w:rsidR="00381F2A" w:rsidRDefault="00381F2A" w:rsidP="00381F2A">
      <w:pPr>
        <w:pStyle w:val="Citas"/>
      </w:pPr>
      <w:r>
        <w:t>Amparo en revisión 1753/98. Seguros Comercial América, S.A. de C.V. 11 de noviembre de 1998. Unanimidad de cuatro votos. Ausente: José de Jesús Gudiño Pelayo. Ponente: José de Jesús Gudiño Pelayo; en su ausencia hizo suyo el asunto el Ministro Juan N. Silva Meza. Secretario: Mario Flores García.</w:t>
      </w:r>
    </w:p>
    <w:p w:rsidR="00381F2A" w:rsidRDefault="00381F2A" w:rsidP="00381F2A">
      <w:pPr>
        <w:pStyle w:val="Citas"/>
      </w:pPr>
      <w:r>
        <w:t>Amparo en revisión 2447/98. José Virgilio Hernández. 18 de noviembre de 1998. Unanimidad de cuatro votos. Ausente: José de Jesús Gudiño Pelayo. Ponente: Humberto Román Palacios. Secretario: Urbano Martínez Hernández.</w:t>
      </w:r>
    </w:p>
    <w:p w:rsidR="00381F2A" w:rsidRPr="00F74FB1" w:rsidRDefault="00381F2A" w:rsidP="00381F2A">
      <w:pPr>
        <w:pStyle w:val="Citas"/>
        <w:rPr>
          <w:b/>
          <w:bCs/>
        </w:rPr>
      </w:pPr>
      <w:r>
        <w:t xml:space="preserve">Tesis de jurisprudencia 3/99. Aprobada por la Primera Sala de esta Suprema Corte de Justicia de la Nación, en sesión de trece de enero de mil novecientos noventa y nueve, por unanimidad de cinco votos de los señores Ministros: presidente Humberto Román Palacios, Juventino V. Castro y Castro, José de Jesús Gudiño Pelayo, Juan N. Silva Meza y Olga Sánchez Cordero de García Villegas” </w:t>
      </w:r>
      <w:r>
        <w:rPr>
          <w:b/>
          <w:bCs/>
        </w:rPr>
        <w:t>(Sic)</w:t>
      </w:r>
    </w:p>
    <w:p w:rsidR="00381F2A" w:rsidRDefault="00381F2A" w:rsidP="00381F2A">
      <w:pPr>
        <w:tabs>
          <w:tab w:val="left" w:pos="709"/>
        </w:tabs>
        <w:spacing w:line="360" w:lineRule="auto"/>
        <w:jc w:val="both"/>
        <w:rPr>
          <w:rFonts w:ascii="Palatino Linotype" w:hAnsi="Palatino Linotype" w:cs="Arial"/>
        </w:rPr>
      </w:pPr>
    </w:p>
    <w:p w:rsidR="00381F2A" w:rsidRDefault="00381F2A" w:rsidP="00381F2A">
      <w:pPr>
        <w:spacing w:line="360" w:lineRule="auto"/>
        <w:jc w:val="both"/>
        <w:rPr>
          <w:rFonts w:ascii="Palatino Linotype" w:hAnsi="Palatino Linotype" w:cs="Arial"/>
        </w:rPr>
      </w:pPr>
      <w:r w:rsidRPr="00C13F8E">
        <w:rPr>
          <w:rFonts w:ascii="Palatino Linotype" w:hAnsi="Palatino Linotype" w:cs="Arial"/>
        </w:rPr>
        <w:t xml:space="preserve">Así, tenemos en un primer plano de estudio el texto de la solicitud de información, plasmada por </w:t>
      </w:r>
      <w:r>
        <w:rPr>
          <w:rFonts w:ascii="Palatino Linotype" w:hAnsi="Palatino Linotype" w:cs="Arial"/>
          <w:b/>
          <w:bCs/>
        </w:rPr>
        <w:t>El</w:t>
      </w:r>
      <w:r w:rsidRPr="00C13F8E">
        <w:rPr>
          <w:rFonts w:ascii="Palatino Linotype" w:hAnsi="Palatino Linotype" w:cs="Arial"/>
          <w:b/>
          <w:bCs/>
        </w:rPr>
        <w:t xml:space="preserve"> Recurrente,</w:t>
      </w:r>
      <w:r w:rsidRPr="00C13F8E">
        <w:rPr>
          <w:rFonts w:ascii="Palatino Linotype" w:hAnsi="Palatino Linotype" w:cs="Arial"/>
        </w:rPr>
        <w:t xml:space="preserve"> ello a efecto de poder determinar la materia de la solicitud de información que nos ocupa, así </w:t>
      </w:r>
      <w:r>
        <w:rPr>
          <w:rFonts w:ascii="Palatino Linotype" w:hAnsi="Palatino Linotype" w:cs="Arial"/>
        </w:rPr>
        <w:t>el</w:t>
      </w:r>
      <w:r w:rsidRPr="00C13F8E">
        <w:rPr>
          <w:rFonts w:ascii="Palatino Linotype" w:hAnsi="Palatino Linotype" w:cs="Arial"/>
        </w:rPr>
        <w:t xml:space="preserve"> particular </w:t>
      </w:r>
      <w:r>
        <w:rPr>
          <w:rFonts w:ascii="Palatino Linotype" w:hAnsi="Palatino Linotype" w:cs="Arial"/>
        </w:rPr>
        <w:t xml:space="preserve">formuló la solicitud de información </w:t>
      </w:r>
      <w:r>
        <w:rPr>
          <w:rFonts w:ascii="Palatino Linotype" w:hAnsi="Palatino Linotype" w:cs="Arial"/>
          <w:b/>
          <w:bCs/>
        </w:rPr>
        <w:t xml:space="preserve">00001/IMCUFIDEZUMPA/IP/2024, </w:t>
      </w:r>
      <w:r>
        <w:rPr>
          <w:rFonts w:ascii="Palatino Linotype" w:hAnsi="Palatino Linotype" w:cs="Arial"/>
        </w:rPr>
        <w:t xml:space="preserve">que dispone a la literalidad lo siguiente: </w:t>
      </w:r>
    </w:p>
    <w:p w:rsidR="00381F2A" w:rsidRDefault="00381F2A" w:rsidP="00381F2A">
      <w:pPr>
        <w:pStyle w:val="Citas"/>
        <w:rPr>
          <w:b/>
          <w:bCs/>
          <w:lang w:val="en-US"/>
        </w:rPr>
      </w:pPr>
      <w:r>
        <w:t>“</w:t>
      </w:r>
      <w:r w:rsidRPr="00381F2A">
        <w:t xml:space="preserve">¿Por qué el titular de transparencia no se baña? </w:t>
      </w:r>
      <w:r w:rsidRPr="00547C4C">
        <w:rPr>
          <w:lang w:val="en-US"/>
        </w:rPr>
        <w:t>“(</w:t>
      </w:r>
      <w:r w:rsidRPr="00381F2A">
        <w:rPr>
          <w:bCs/>
          <w:lang w:val="en-US"/>
        </w:rPr>
        <w:t>Sic)</w:t>
      </w:r>
    </w:p>
    <w:p w:rsidR="00381F2A" w:rsidRDefault="00381F2A" w:rsidP="00381F2A">
      <w:pPr>
        <w:spacing w:before="240" w:line="360" w:lineRule="auto"/>
        <w:jc w:val="both"/>
        <w:rPr>
          <w:rFonts w:ascii="Palatino Linotype" w:eastAsiaTheme="minorHAnsi" w:hAnsi="Palatino Linotype" w:cs="Arial"/>
          <w:b/>
          <w:bCs/>
          <w:i/>
          <w:szCs w:val="22"/>
          <w:lang w:val="en-US" w:eastAsia="en-US"/>
        </w:rPr>
      </w:pPr>
    </w:p>
    <w:p w:rsidR="00381F2A" w:rsidRDefault="00381F2A" w:rsidP="00381F2A">
      <w:pPr>
        <w:spacing w:before="240" w:line="360" w:lineRule="auto"/>
        <w:jc w:val="both"/>
        <w:rPr>
          <w:rFonts w:ascii="Palatino Linotype" w:hAnsi="Palatino Linotype"/>
        </w:rPr>
      </w:pPr>
      <w:r w:rsidRPr="00060EA5">
        <w:rPr>
          <w:rFonts w:ascii="Palatino Linotype" w:hAnsi="Palatino Linotype"/>
        </w:rPr>
        <w:t>Inconforme con la</w:t>
      </w:r>
      <w:r>
        <w:rPr>
          <w:rFonts w:ascii="Palatino Linotype" w:hAnsi="Palatino Linotype"/>
        </w:rPr>
        <w:t xml:space="preserve"> falta de respuesta del </w:t>
      </w:r>
      <w:r>
        <w:rPr>
          <w:rFonts w:ascii="Palatino Linotype" w:hAnsi="Palatino Linotype"/>
          <w:b/>
          <w:bCs/>
        </w:rPr>
        <w:t xml:space="preserve">Sujeto Obligado, El Recurrente </w:t>
      </w:r>
      <w:r>
        <w:rPr>
          <w:rFonts w:ascii="Palatino Linotype" w:hAnsi="Palatino Linotype"/>
        </w:rPr>
        <w:t>interpuso recurso de revisión señalando como acto impugnado y como razones o motivos de inconformidad:</w:t>
      </w:r>
    </w:p>
    <w:p w:rsidR="00381F2A" w:rsidRDefault="00381F2A" w:rsidP="00381F2A">
      <w:pPr>
        <w:spacing w:before="240" w:line="360" w:lineRule="auto"/>
        <w:jc w:val="both"/>
        <w:rPr>
          <w:rFonts w:ascii="Palatino Linotype" w:hAnsi="Palatino Linotype" w:cs="Arial"/>
          <w:b/>
        </w:rPr>
      </w:pPr>
      <w:r>
        <w:rPr>
          <w:rFonts w:ascii="Palatino Linotype" w:hAnsi="Palatino Linotype" w:cs="Arial"/>
          <w:b/>
        </w:rPr>
        <w:t>Acto Impugnado y Razones o Motivos de Inconformidad:</w:t>
      </w:r>
    </w:p>
    <w:p w:rsidR="00381F2A" w:rsidRPr="00F10B2F" w:rsidRDefault="00381F2A" w:rsidP="00381F2A">
      <w:pPr>
        <w:pStyle w:val="Citas"/>
        <w:rPr>
          <w:b/>
          <w:bCs/>
        </w:rPr>
      </w:pPr>
      <w:r w:rsidRPr="0070251A">
        <w:t>“</w:t>
      </w:r>
      <w:r w:rsidRPr="00381F2A">
        <w:t>Falta de respuesta</w:t>
      </w:r>
      <w:r w:rsidRPr="0070251A">
        <w:t>”</w:t>
      </w:r>
      <w:r w:rsidRPr="00F10B2F">
        <w:t xml:space="preserve"> </w:t>
      </w:r>
      <w:r>
        <w:rPr>
          <w:b/>
          <w:bCs/>
        </w:rPr>
        <w:t>(Sic)</w:t>
      </w:r>
    </w:p>
    <w:p w:rsidR="00381F2A" w:rsidRDefault="00381F2A" w:rsidP="00381F2A">
      <w:pPr>
        <w:pStyle w:val="Prrafodelista"/>
        <w:spacing w:line="360" w:lineRule="auto"/>
        <w:ind w:left="0"/>
        <w:contextualSpacing/>
        <w:jc w:val="both"/>
        <w:rPr>
          <w:rFonts w:ascii="Palatino Linotype" w:hAnsi="Palatino Linotype"/>
          <w:iCs/>
        </w:rPr>
      </w:pPr>
    </w:p>
    <w:p w:rsidR="00381F2A" w:rsidRPr="00C94BC0" w:rsidRDefault="00381F2A" w:rsidP="00381F2A">
      <w:pPr>
        <w:spacing w:line="360" w:lineRule="auto"/>
        <w:jc w:val="both"/>
        <w:rPr>
          <w:lang w:val="es-ES_tradnl"/>
        </w:rPr>
      </w:pPr>
      <w:r>
        <w:rPr>
          <w:rFonts w:ascii="Palatino Linotype" w:hAnsi="Palatino Linotype"/>
          <w:iCs/>
        </w:rPr>
        <w:t>Ahora bien</w:t>
      </w:r>
      <w:r w:rsidRPr="00C94BC0">
        <w:rPr>
          <w:rFonts w:ascii="Palatino Linotype" w:hAnsi="Palatino Linotype"/>
          <w:iCs/>
        </w:rPr>
        <w:t xml:space="preserve">, el criterio </w:t>
      </w:r>
      <w:r w:rsidRPr="00C94BC0">
        <w:rPr>
          <w:rFonts w:ascii="Palatino Linotype" w:hAnsi="Palatino Linotype" w:cs="Arial"/>
          <w:color w:val="000000"/>
          <w:lang w:val="es-ES_tradnl"/>
        </w:rPr>
        <w:t xml:space="preserve">03-17, emitido por </w:t>
      </w:r>
      <w:r w:rsidRPr="00C94BC0">
        <w:rPr>
          <w:rFonts w:ascii="Palatino Linotype" w:eastAsia="Arial Unicode MS" w:hAnsi="Palatino Linotype" w:cs="Arial"/>
          <w:color w:val="000000"/>
          <w:lang w:val="es-ES_tradnl"/>
        </w:rPr>
        <w:t>el Instituto Nacional de Transparencia, Acceso a la Información y Protección de Datos Personales cuyo rubro y te</w:t>
      </w:r>
      <w:r>
        <w:rPr>
          <w:rFonts w:ascii="Palatino Linotype" w:eastAsia="Arial Unicode MS" w:hAnsi="Palatino Linotype" w:cs="Arial"/>
          <w:color w:val="000000"/>
          <w:lang w:val="es-ES_tradnl"/>
        </w:rPr>
        <w:t>xto dispone a la literalidad lo</w:t>
      </w:r>
      <w:r w:rsidRPr="00C94BC0">
        <w:rPr>
          <w:rFonts w:ascii="Palatino Linotype" w:eastAsia="Arial Unicode MS" w:hAnsi="Palatino Linotype" w:cs="Arial"/>
          <w:color w:val="000000"/>
          <w:lang w:val="es-ES_tradnl"/>
        </w:rPr>
        <w:t xml:space="preserve"> siguiente: </w:t>
      </w:r>
    </w:p>
    <w:p w:rsidR="00381F2A" w:rsidRDefault="00381F2A" w:rsidP="00381F2A">
      <w:pPr>
        <w:pStyle w:val="Citas"/>
        <w:rPr>
          <w:b/>
          <w:spacing w:val="18"/>
        </w:rPr>
      </w:pPr>
      <w:r>
        <w:rPr>
          <w:b/>
        </w:rPr>
        <w:t xml:space="preserve">“NO EXISTE OBLIGACIÓN DE ELABORAR </w:t>
      </w:r>
      <w:r w:rsidRPr="00465B9A">
        <w:rPr>
          <w:b/>
          <w:spacing w:val="-3"/>
        </w:rPr>
        <w:t>D</w:t>
      </w:r>
      <w:r w:rsidRPr="00465B9A">
        <w:rPr>
          <w:b/>
        </w:rPr>
        <w:t>OCUM</w:t>
      </w:r>
      <w:r w:rsidRPr="00465B9A">
        <w:rPr>
          <w:b/>
          <w:spacing w:val="1"/>
        </w:rPr>
        <w:t>E</w:t>
      </w:r>
      <w:r w:rsidRPr="00465B9A">
        <w:rPr>
          <w:b/>
        </w:rPr>
        <w:t>N</w:t>
      </w:r>
      <w:r w:rsidRPr="00465B9A">
        <w:rPr>
          <w:b/>
          <w:spacing w:val="-1"/>
        </w:rPr>
        <w:t>T</w:t>
      </w:r>
      <w:r w:rsidRPr="00465B9A">
        <w:rPr>
          <w:b/>
        </w:rPr>
        <w:t>OS</w:t>
      </w:r>
      <w:r w:rsidRPr="00465B9A">
        <w:rPr>
          <w:b/>
          <w:spacing w:val="14"/>
        </w:rPr>
        <w:t xml:space="preserve"> </w:t>
      </w:r>
      <w:r w:rsidRPr="00465B9A">
        <w:rPr>
          <w:b/>
          <w:spacing w:val="-1"/>
        </w:rPr>
        <w:t xml:space="preserve">AD </w:t>
      </w:r>
      <w:r w:rsidRPr="00465B9A">
        <w:rPr>
          <w:b/>
        </w:rPr>
        <w:t>HOC</w:t>
      </w:r>
      <w:r w:rsidRPr="00465B9A">
        <w:rPr>
          <w:b/>
          <w:spacing w:val="11"/>
        </w:rPr>
        <w:t xml:space="preserve"> </w:t>
      </w:r>
      <w:r w:rsidRPr="00465B9A">
        <w:rPr>
          <w:b/>
        </w:rPr>
        <w:t>PARA</w:t>
      </w:r>
      <w:r w:rsidRPr="00465B9A">
        <w:rPr>
          <w:b/>
          <w:spacing w:val="10"/>
        </w:rPr>
        <w:t xml:space="preserve"> </w:t>
      </w:r>
      <w:r>
        <w:rPr>
          <w:b/>
        </w:rPr>
        <w:t>ATENDER LAS S</w:t>
      </w:r>
      <w:r w:rsidRPr="00465B9A">
        <w:rPr>
          <w:b/>
        </w:rPr>
        <w:t>OL</w:t>
      </w:r>
      <w:r w:rsidRPr="00465B9A">
        <w:rPr>
          <w:b/>
          <w:spacing w:val="-2"/>
        </w:rPr>
        <w:t>I</w:t>
      </w:r>
      <w:r w:rsidRPr="00465B9A">
        <w:rPr>
          <w:b/>
          <w:spacing w:val="1"/>
        </w:rPr>
        <w:t>C</w:t>
      </w:r>
      <w:r w:rsidRPr="00465B9A">
        <w:rPr>
          <w:b/>
        </w:rPr>
        <w:t>ITUD</w:t>
      </w:r>
      <w:r>
        <w:rPr>
          <w:b/>
        </w:rPr>
        <w:t>ES</w:t>
      </w:r>
      <w:r w:rsidRPr="00465B9A">
        <w:rPr>
          <w:b/>
          <w:spacing w:val="10"/>
        </w:rPr>
        <w:t xml:space="preserve"> </w:t>
      </w:r>
      <w:r w:rsidRPr="00465B9A">
        <w:rPr>
          <w:b/>
        </w:rPr>
        <w:t>DE</w:t>
      </w:r>
      <w:r w:rsidRPr="00465B9A">
        <w:rPr>
          <w:b/>
          <w:spacing w:val="9"/>
        </w:rPr>
        <w:t xml:space="preserve"> </w:t>
      </w:r>
      <w:r w:rsidRPr="00465B9A">
        <w:rPr>
          <w:b/>
          <w:spacing w:val="1"/>
        </w:rPr>
        <w:t>AC</w:t>
      </w:r>
      <w:r w:rsidRPr="00465B9A">
        <w:rPr>
          <w:b/>
          <w:spacing w:val="-1"/>
        </w:rPr>
        <w:t>C</w:t>
      </w:r>
      <w:r w:rsidRPr="00465B9A">
        <w:rPr>
          <w:b/>
          <w:spacing w:val="1"/>
        </w:rPr>
        <w:t>ES</w:t>
      </w:r>
      <w:r w:rsidRPr="00465B9A">
        <w:rPr>
          <w:b/>
        </w:rPr>
        <w:t>O</w:t>
      </w:r>
      <w:r w:rsidRPr="00465B9A">
        <w:rPr>
          <w:b/>
          <w:spacing w:val="11"/>
        </w:rPr>
        <w:t xml:space="preserve"> </w:t>
      </w:r>
      <w:r w:rsidRPr="00465B9A">
        <w:rPr>
          <w:b/>
        </w:rPr>
        <w:t>A</w:t>
      </w:r>
      <w:r w:rsidRPr="00465B9A">
        <w:rPr>
          <w:b/>
          <w:spacing w:val="9"/>
        </w:rPr>
        <w:t xml:space="preserve"> </w:t>
      </w:r>
      <w:r w:rsidRPr="00465B9A">
        <w:rPr>
          <w:b/>
        </w:rPr>
        <w:t>LA</w:t>
      </w:r>
      <w:r w:rsidRPr="00465B9A">
        <w:rPr>
          <w:b/>
          <w:spacing w:val="10"/>
        </w:rPr>
        <w:t xml:space="preserve"> </w:t>
      </w:r>
      <w:r w:rsidRPr="00465B9A">
        <w:rPr>
          <w:b/>
        </w:rPr>
        <w:t>INFORMA</w:t>
      </w:r>
      <w:r w:rsidRPr="00465B9A">
        <w:rPr>
          <w:b/>
          <w:spacing w:val="1"/>
        </w:rPr>
        <w:t>C</w:t>
      </w:r>
      <w:r w:rsidRPr="00465B9A">
        <w:rPr>
          <w:b/>
        </w:rPr>
        <w:t>IÓ</w:t>
      </w:r>
      <w:r w:rsidRPr="00465B9A">
        <w:rPr>
          <w:b/>
          <w:spacing w:val="-2"/>
        </w:rPr>
        <w:t>N</w:t>
      </w:r>
      <w:r w:rsidRPr="00465B9A">
        <w:rPr>
          <w:b/>
        </w:rPr>
        <w:t>.</w:t>
      </w:r>
      <w:r w:rsidRPr="00465B9A">
        <w:rPr>
          <w:b/>
          <w:spacing w:val="18"/>
        </w:rPr>
        <w:t xml:space="preserve"> </w:t>
      </w:r>
    </w:p>
    <w:p w:rsidR="00381F2A" w:rsidRPr="00465B9A" w:rsidRDefault="00381F2A" w:rsidP="00381F2A">
      <w:pPr>
        <w:pStyle w:val="Citas"/>
      </w:pPr>
      <w:r w:rsidRPr="009805D7">
        <w:rPr>
          <w:spacing w:val="18"/>
        </w:rPr>
        <w:t>L</w:t>
      </w:r>
      <w:r>
        <w:rPr>
          <w:spacing w:val="-1"/>
        </w:rPr>
        <w:t xml:space="preserve">os </w:t>
      </w:r>
      <w:r w:rsidRPr="00465B9A">
        <w:rPr>
          <w:spacing w:val="1"/>
        </w:rPr>
        <w:t>a</w:t>
      </w:r>
      <w:r w:rsidRPr="00465B9A">
        <w:t>rt</w:t>
      </w:r>
      <w:r w:rsidRPr="00465B9A">
        <w:rPr>
          <w:spacing w:val="-2"/>
        </w:rPr>
        <w:t>í</w:t>
      </w:r>
      <w:r w:rsidRPr="00465B9A">
        <w:t>c</w:t>
      </w:r>
      <w:r w:rsidRPr="00465B9A">
        <w:rPr>
          <w:spacing w:val="1"/>
        </w:rPr>
        <w:t>u</w:t>
      </w:r>
      <w:r w:rsidRPr="00465B9A">
        <w:t>lo</w:t>
      </w:r>
      <w:r>
        <w:t>s</w:t>
      </w:r>
      <w:r w:rsidRPr="00465B9A">
        <w:rPr>
          <w:spacing w:val="8"/>
        </w:rPr>
        <w:t xml:space="preserve"> </w:t>
      </w:r>
      <w:r>
        <w:rPr>
          <w:spacing w:val="8"/>
        </w:rPr>
        <w:t xml:space="preserve">129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t>General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y </w:t>
      </w:r>
      <w:r>
        <w:rPr>
          <w:spacing w:val="8"/>
        </w:rPr>
        <w:t xml:space="preserve">130, párrafo cuarto, </w:t>
      </w:r>
      <w:r w:rsidRPr="00465B9A">
        <w:rPr>
          <w:spacing w:val="1"/>
        </w:rPr>
        <w:t>d</w:t>
      </w:r>
      <w:r w:rsidRPr="00465B9A">
        <w:t>e</w:t>
      </w:r>
      <w:r w:rsidRPr="00465B9A">
        <w:rPr>
          <w:spacing w:val="9"/>
        </w:rPr>
        <w:t xml:space="preserve"> </w:t>
      </w:r>
      <w:r w:rsidRPr="00465B9A">
        <w:t>la</w:t>
      </w:r>
      <w:r w:rsidRPr="00465B9A">
        <w:rPr>
          <w:spacing w:val="10"/>
        </w:rPr>
        <w:t xml:space="preserve"> </w:t>
      </w:r>
      <w:r w:rsidRPr="00465B9A">
        <w:rPr>
          <w:spacing w:val="-1"/>
        </w:rPr>
        <w:t>L</w:t>
      </w:r>
      <w:r w:rsidRPr="00465B9A">
        <w:rPr>
          <w:spacing w:val="1"/>
        </w:rPr>
        <w:t>e</w:t>
      </w:r>
      <w:r w:rsidRPr="00465B9A">
        <w:t>y</w:t>
      </w:r>
      <w:r w:rsidRPr="00465B9A">
        <w:rPr>
          <w:spacing w:val="8"/>
        </w:rPr>
        <w:t xml:space="preserve"> </w:t>
      </w:r>
      <w:r w:rsidRPr="00465B9A">
        <w:t>Fe</w:t>
      </w:r>
      <w:r w:rsidRPr="00465B9A">
        <w:rPr>
          <w:spacing w:val="1"/>
        </w:rPr>
        <w:t>de</w:t>
      </w:r>
      <w:r w:rsidRPr="00465B9A">
        <w:t>ral</w:t>
      </w:r>
      <w:r w:rsidRPr="00465B9A">
        <w:rPr>
          <w:spacing w:val="10"/>
        </w:rPr>
        <w:t xml:space="preserve"> </w:t>
      </w:r>
      <w:r w:rsidRPr="00465B9A">
        <w:rPr>
          <w:spacing w:val="-1"/>
        </w:rPr>
        <w:t>d</w:t>
      </w:r>
      <w:r w:rsidRPr="00465B9A">
        <w:t>e</w:t>
      </w:r>
      <w:r w:rsidRPr="00465B9A">
        <w:rPr>
          <w:spacing w:val="9"/>
        </w:rPr>
        <w:t xml:space="preserve"> </w:t>
      </w:r>
      <w:r w:rsidRPr="00465B9A">
        <w:rPr>
          <w:spacing w:val="2"/>
        </w:rPr>
        <w:t>T</w:t>
      </w:r>
      <w:r w:rsidRPr="00465B9A">
        <w:t>r</w:t>
      </w:r>
      <w:r w:rsidRPr="00465B9A">
        <w:rPr>
          <w:spacing w:val="-2"/>
        </w:rPr>
        <w:t>a</w:t>
      </w:r>
      <w:r w:rsidRPr="00465B9A">
        <w:rPr>
          <w:spacing w:val="1"/>
        </w:rPr>
        <w:t>n</w:t>
      </w:r>
      <w:r w:rsidRPr="00465B9A">
        <w:t>s</w:t>
      </w:r>
      <w:r w:rsidRPr="00465B9A">
        <w:rPr>
          <w:spacing w:val="1"/>
        </w:rPr>
        <w:t>pa</w:t>
      </w:r>
      <w:r w:rsidRPr="00465B9A">
        <w:t>r</w:t>
      </w:r>
      <w:r w:rsidRPr="00465B9A">
        <w:rPr>
          <w:spacing w:val="-2"/>
        </w:rPr>
        <w:t>e</w:t>
      </w:r>
      <w:r w:rsidRPr="00465B9A">
        <w:rPr>
          <w:spacing w:val="1"/>
        </w:rPr>
        <w:t>n</w:t>
      </w:r>
      <w:r w:rsidRPr="00465B9A">
        <w:t>cia y Acc</w:t>
      </w:r>
      <w:r w:rsidRPr="00465B9A">
        <w:rPr>
          <w:spacing w:val="1"/>
        </w:rPr>
        <w:t>e</w:t>
      </w:r>
      <w:r w:rsidRPr="00465B9A">
        <w:t>so</w:t>
      </w:r>
      <w:r w:rsidRPr="00465B9A">
        <w:rPr>
          <w:spacing w:val="3"/>
        </w:rPr>
        <w:t xml:space="preserve"> </w:t>
      </w:r>
      <w:r w:rsidRPr="00465B9A">
        <w:t>a</w:t>
      </w:r>
      <w:r w:rsidRPr="00465B9A">
        <w:rPr>
          <w:spacing w:val="1"/>
        </w:rPr>
        <w:t xml:space="preserve"> </w:t>
      </w:r>
      <w:r w:rsidRPr="00465B9A">
        <w:t>la I</w:t>
      </w:r>
      <w:r w:rsidRPr="00465B9A">
        <w:rPr>
          <w:spacing w:val="-1"/>
        </w:rPr>
        <w:t>n</w:t>
      </w:r>
      <w:r w:rsidRPr="00465B9A">
        <w:t>f</w:t>
      </w:r>
      <w:r w:rsidRPr="00465B9A">
        <w:rPr>
          <w:spacing w:val="1"/>
        </w:rPr>
        <w:t>o</w:t>
      </w:r>
      <w:r w:rsidRPr="00465B9A">
        <w:rPr>
          <w:spacing w:val="-3"/>
        </w:rPr>
        <w:t>r</w:t>
      </w:r>
      <w:r w:rsidRPr="00465B9A">
        <w:rPr>
          <w:spacing w:val="1"/>
        </w:rPr>
        <w:t>ma</w:t>
      </w:r>
      <w:r w:rsidRPr="00465B9A">
        <w:t>ci</w:t>
      </w:r>
      <w:r w:rsidRPr="00465B9A">
        <w:rPr>
          <w:spacing w:val="-2"/>
        </w:rPr>
        <w:t>ó</w:t>
      </w:r>
      <w:r w:rsidRPr="00465B9A">
        <w:t>n</w:t>
      </w:r>
      <w:r w:rsidRPr="00465B9A">
        <w:rPr>
          <w:spacing w:val="6"/>
        </w:rPr>
        <w:t xml:space="preserve"> </w:t>
      </w:r>
      <w:r w:rsidRPr="00465B9A">
        <w:rPr>
          <w:spacing w:val="-2"/>
        </w:rPr>
        <w:t>P</w:t>
      </w:r>
      <w:r w:rsidRPr="00465B9A">
        <w:rPr>
          <w:spacing w:val="1"/>
        </w:rPr>
        <w:t>úb</w:t>
      </w:r>
      <w:r w:rsidRPr="00465B9A">
        <w:t>l</w:t>
      </w:r>
      <w:r w:rsidRPr="00465B9A">
        <w:rPr>
          <w:spacing w:val="-1"/>
        </w:rPr>
        <w:t>i</w:t>
      </w:r>
      <w:r w:rsidRPr="00465B9A">
        <w:t>ca</w:t>
      </w:r>
      <w:r>
        <w:t xml:space="preserve">, </w:t>
      </w:r>
      <w:r>
        <w:rPr>
          <w:spacing w:val="-1"/>
        </w:rPr>
        <w:t>señalan</w:t>
      </w:r>
      <w:r w:rsidRPr="00465B9A">
        <w:rPr>
          <w:spacing w:val="1"/>
        </w:rPr>
        <w:t xml:space="preserve"> </w:t>
      </w:r>
      <w:r w:rsidRPr="00465B9A">
        <w:rPr>
          <w:spacing w:val="-1"/>
        </w:rPr>
        <w:t>q</w:t>
      </w:r>
      <w:r w:rsidRPr="00465B9A">
        <w:rPr>
          <w:spacing w:val="1"/>
        </w:rPr>
        <w:t>u</w:t>
      </w:r>
      <w:r w:rsidRPr="00465B9A">
        <w:t>e</w:t>
      </w:r>
      <w:r>
        <w:t xml:space="preserve"> los sujetos obligados</w:t>
      </w:r>
      <w:r w:rsidRPr="00465B9A">
        <w:t xml:space="preserve"> </w:t>
      </w:r>
      <w:r>
        <w:t xml:space="preserve">deberán otorgar acceso a los </w:t>
      </w:r>
      <w:r>
        <w:lastRenderedPageBreak/>
        <w:t>d</w:t>
      </w:r>
      <w:r w:rsidRPr="00465B9A">
        <w:t xml:space="preserve">ocumentos que se encuentren en </w:t>
      </w:r>
      <w:r>
        <w:t>sus</w:t>
      </w:r>
      <w:r w:rsidRPr="00465B9A">
        <w:t xml:space="preserve"> archivos</w:t>
      </w:r>
      <w:r>
        <w:t xml:space="preserve"> </w:t>
      </w:r>
      <w:r w:rsidRPr="00465B9A">
        <w:t>o que estén obligados a documentar</w:t>
      </w:r>
      <w:r>
        <w:t>,</w:t>
      </w:r>
      <w:r w:rsidRPr="00465B9A">
        <w:t xml:space="preserve"> de acuerdo con sus facultades, competencias o funciones</w:t>
      </w:r>
      <w:r>
        <w:t>,</w:t>
      </w:r>
      <w:r w:rsidRPr="00465B9A">
        <w:t xml:space="preserve"> conforme a las características físicas de la información o del lugar donde se encuentre</w:t>
      </w:r>
      <w:r>
        <w:t xml:space="preserve">. Por lo anterior, los sujetos obligados </w:t>
      </w:r>
      <w:r w:rsidRPr="007B5B03">
        <w:t xml:space="preserve">deben garantizar el </w:t>
      </w:r>
      <w:r>
        <w:t xml:space="preserve">derecho de </w:t>
      </w:r>
      <w:r w:rsidRPr="007B5B03">
        <w:t>acceso a la información</w:t>
      </w:r>
      <w:r>
        <w:t xml:space="preserve"> del particular, proporcionando la información con la que cuentan en el formato en que la misma obre en sus archivos;</w:t>
      </w:r>
      <w:r w:rsidRPr="00465B9A">
        <w:rPr>
          <w:spacing w:val="-1"/>
        </w:rPr>
        <w:t xml:space="preserve"> </w:t>
      </w:r>
      <w:r>
        <w:rPr>
          <w:spacing w:val="-1"/>
        </w:rPr>
        <w:t>sin necesidad de</w:t>
      </w:r>
      <w:r>
        <w:rPr>
          <w:spacing w:val="1"/>
        </w:rPr>
        <w:t xml:space="preserve"> </w:t>
      </w:r>
      <w:r w:rsidRPr="00465B9A">
        <w:rPr>
          <w:spacing w:val="1"/>
        </w:rPr>
        <w:t>e</w:t>
      </w:r>
      <w:r w:rsidRPr="00465B9A">
        <w:t>la</w:t>
      </w:r>
      <w:r w:rsidRPr="00465B9A">
        <w:rPr>
          <w:spacing w:val="1"/>
        </w:rPr>
        <w:t>bo</w:t>
      </w:r>
      <w:r w:rsidRPr="00465B9A">
        <w:t xml:space="preserve">rar </w:t>
      </w:r>
      <w:r w:rsidRPr="00465B9A">
        <w:rPr>
          <w:spacing w:val="1"/>
        </w:rPr>
        <w:t>do</w:t>
      </w:r>
      <w:r w:rsidRPr="00465B9A">
        <w:rPr>
          <w:spacing w:val="-2"/>
        </w:rPr>
        <w:t>c</w:t>
      </w:r>
      <w:r w:rsidRPr="00465B9A">
        <w:rPr>
          <w:spacing w:val="1"/>
        </w:rPr>
        <w:t>u</w:t>
      </w:r>
      <w:r w:rsidRPr="00465B9A">
        <w:rPr>
          <w:spacing w:val="-1"/>
        </w:rPr>
        <w:t>m</w:t>
      </w:r>
      <w:r w:rsidRPr="00465B9A">
        <w:rPr>
          <w:spacing w:val="1"/>
        </w:rPr>
        <w:t>en</w:t>
      </w:r>
      <w:r w:rsidRPr="00465B9A">
        <w:rPr>
          <w:spacing w:val="-2"/>
        </w:rPr>
        <w:t>t</w:t>
      </w:r>
      <w:r w:rsidRPr="00465B9A">
        <w:rPr>
          <w:spacing w:val="1"/>
        </w:rPr>
        <w:t>o</w:t>
      </w:r>
      <w:r w:rsidRPr="00465B9A">
        <w:t>s</w:t>
      </w:r>
      <w:r w:rsidRPr="00465B9A">
        <w:rPr>
          <w:spacing w:val="3"/>
        </w:rPr>
        <w:t xml:space="preserve"> </w:t>
      </w:r>
      <w:r w:rsidRPr="00465B9A">
        <w:rPr>
          <w:spacing w:val="1"/>
        </w:rPr>
        <w:t>a</w:t>
      </w:r>
      <w:r w:rsidRPr="00465B9A">
        <w:t>d</w:t>
      </w:r>
      <w:r w:rsidRPr="00465B9A">
        <w:rPr>
          <w:spacing w:val="1"/>
        </w:rPr>
        <w:t xml:space="preserve"> ho</w:t>
      </w:r>
      <w:r w:rsidRPr="00465B9A">
        <w:t>c</w:t>
      </w:r>
      <w:r w:rsidRPr="00465B9A">
        <w:rPr>
          <w:spacing w:val="2"/>
        </w:rPr>
        <w:t xml:space="preserve"> </w:t>
      </w:r>
      <w:r w:rsidRPr="00465B9A">
        <w:rPr>
          <w:spacing w:val="1"/>
        </w:rPr>
        <w:t>pa</w:t>
      </w:r>
      <w:r w:rsidRPr="00465B9A">
        <w:t xml:space="preserve">ra </w:t>
      </w:r>
      <w:r w:rsidRPr="00465B9A">
        <w:rPr>
          <w:spacing w:val="1"/>
        </w:rPr>
        <w:t>a</w:t>
      </w:r>
      <w:r w:rsidRPr="00465B9A">
        <w:t>t</w:t>
      </w:r>
      <w:r w:rsidRPr="00465B9A">
        <w:rPr>
          <w:spacing w:val="-1"/>
        </w:rPr>
        <w:t>e</w:t>
      </w:r>
      <w:r w:rsidRPr="00465B9A">
        <w:rPr>
          <w:spacing w:val="1"/>
        </w:rPr>
        <w:t>n</w:t>
      </w:r>
      <w:r w:rsidRPr="00465B9A">
        <w:rPr>
          <w:spacing w:val="-1"/>
        </w:rPr>
        <w:t>d</w:t>
      </w:r>
      <w:r w:rsidRPr="00465B9A">
        <w:rPr>
          <w:spacing w:val="1"/>
        </w:rPr>
        <w:t>e</w:t>
      </w:r>
      <w:r w:rsidRPr="00465B9A">
        <w:t>r</w:t>
      </w:r>
      <w:r w:rsidRPr="00465B9A">
        <w:rPr>
          <w:spacing w:val="2"/>
        </w:rPr>
        <w:t xml:space="preserve"> </w:t>
      </w:r>
      <w:r w:rsidRPr="00465B9A">
        <w:t>l</w:t>
      </w:r>
      <w:r w:rsidRPr="00465B9A">
        <w:rPr>
          <w:spacing w:val="-2"/>
        </w:rPr>
        <w:t>a</w:t>
      </w:r>
      <w:r w:rsidRPr="00465B9A">
        <w:t>s</w:t>
      </w:r>
      <w:r w:rsidRPr="00465B9A">
        <w:rPr>
          <w:spacing w:val="2"/>
        </w:rPr>
        <w:t xml:space="preserve"> </w:t>
      </w:r>
      <w:r w:rsidRPr="00465B9A">
        <w:t>s</w:t>
      </w:r>
      <w:r w:rsidRPr="00465B9A">
        <w:rPr>
          <w:spacing w:val="1"/>
        </w:rPr>
        <w:t>o</w:t>
      </w:r>
      <w:r w:rsidRPr="00465B9A">
        <w:t>l</w:t>
      </w:r>
      <w:r w:rsidRPr="00465B9A">
        <w:rPr>
          <w:spacing w:val="-1"/>
        </w:rPr>
        <w:t>i</w:t>
      </w:r>
      <w:r w:rsidRPr="00465B9A">
        <w:t>cit</w:t>
      </w:r>
      <w:r w:rsidRPr="00465B9A">
        <w:rPr>
          <w:spacing w:val="1"/>
        </w:rPr>
        <w:t>ude</w:t>
      </w:r>
      <w:r w:rsidRPr="00465B9A">
        <w:t>s</w:t>
      </w:r>
      <w:r w:rsidRPr="00465B9A">
        <w:rPr>
          <w:spacing w:val="4"/>
        </w:rPr>
        <w:t xml:space="preserve"> </w:t>
      </w:r>
      <w:r w:rsidRPr="00465B9A">
        <w:rPr>
          <w:spacing w:val="-1"/>
        </w:rPr>
        <w:t>d</w:t>
      </w:r>
      <w:r w:rsidRPr="00465B9A">
        <w:t>e</w:t>
      </w:r>
      <w:r w:rsidRPr="00465B9A">
        <w:rPr>
          <w:spacing w:val="3"/>
        </w:rPr>
        <w:t xml:space="preserve"> </w:t>
      </w:r>
      <w:r w:rsidRPr="00465B9A">
        <w:t>i</w:t>
      </w:r>
      <w:r w:rsidRPr="00465B9A">
        <w:rPr>
          <w:spacing w:val="-2"/>
        </w:rPr>
        <w:t>n</w:t>
      </w:r>
      <w:r w:rsidRPr="00465B9A">
        <w:t>f</w:t>
      </w:r>
      <w:r w:rsidRPr="00465B9A">
        <w:rPr>
          <w:spacing w:val="1"/>
        </w:rPr>
        <w:t>o</w:t>
      </w:r>
      <w:r w:rsidRPr="00465B9A">
        <w:t>r</w:t>
      </w:r>
      <w:r w:rsidRPr="00465B9A">
        <w:rPr>
          <w:spacing w:val="-1"/>
        </w:rPr>
        <w:t>m</w:t>
      </w:r>
      <w:r w:rsidRPr="00465B9A">
        <w:rPr>
          <w:spacing w:val="1"/>
        </w:rPr>
        <w:t>a</w:t>
      </w:r>
      <w:r w:rsidRPr="00465B9A">
        <w:t>ció</w:t>
      </w:r>
      <w:r w:rsidRPr="00465B9A">
        <w:rPr>
          <w:spacing w:val="1"/>
        </w:rPr>
        <w:t>n</w:t>
      </w:r>
      <w:r w:rsidRPr="007B5B03">
        <w:t>.</w:t>
      </w:r>
    </w:p>
    <w:p w:rsidR="00381F2A" w:rsidRDefault="00381F2A" w:rsidP="00381F2A">
      <w:pPr>
        <w:pStyle w:val="Citas"/>
        <w:rPr>
          <w:b/>
        </w:rPr>
      </w:pPr>
      <w:r>
        <w:rPr>
          <w:b/>
        </w:rPr>
        <w:t>Resoluciones</w:t>
      </w:r>
      <w:r w:rsidRPr="00015541">
        <w:rPr>
          <w:b/>
        </w:rPr>
        <w:t>:</w:t>
      </w:r>
    </w:p>
    <w:p w:rsidR="00381F2A" w:rsidRDefault="00381F2A" w:rsidP="00381F2A">
      <w:pPr>
        <w:pStyle w:val="Citas"/>
      </w:pPr>
      <w:r w:rsidRPr="00015541">
        <w:rPr>
          <w:b/>
        </w:rPr>
        <w:t xml:space="preserve">RRA </w:t>
      </w:r>
      <w:r>
        <w:rPr>
          <w:b/>
        </w:rPr>
        <w:t>0050</w:t>
      </w:r>
      <w:r w:rsidRPr="00015541">
        <w:rPr>
          <w:b/>
        </w:rPr>
        <w:t>/16.</w:t>
      </w:r>
      <w:r w:rsidRPr="00015541">
        <w:t xml:space="preserve"> </w:t>
      </w:r>
      <w:r w:rsidRPr="004D1288">
        <w:t>Instituto Nacional para la Evaluación de la Educación</w:t>
      </w:r>
      <w:r w:rsidRPr="00015541">
        <w:t xml:space="preserve">. </w:t>
      </w:r>
      <w:r>
        <w:t>13 julio d</w:t>
      </w:r>
      <w:r w:rsidRPr="00015541">
        <w:t xml:space="preserve">e 2016. Por unanimidad. </w:t>
      </w:r>
      <w:r>
        <w:t>Comisionado Ponente</w:t>
      </w:r>
      <w:r w:rsidRPr="004D1288">
        <w:t>: Francisco Javier Acuña Llamas</w:t>
      </w:r>
      <w:r w:rsidRPr="00015541">
        <w:t>.</w:t>
      </w:r>
    </w:p>
    <w:p w:rsidR="00381F2A" w:rsidRPr="008C50C4" w:rsidRDefault="00381F2A" w:rsidP="00381F2A">
      <w:pPr>
        <w:pStyle w:val="Citas"/>
        <w:rPr>
          <w:rFonts w:ascii="Times New Roman" w:hAnsi="Times New Roman" w:cs="Times New Roman"/>
        </w:rPr>
      </w:pPr>
      <w:r w:rsidRPr="008C50C4">
        <w:rPr>
          <w:b/>
        </w:rPr>
        <w:t xml:space="preserve">RRA 0310/16. </w:t>
      </w:r>
      <w:r>
        <w:t>Instituto Nacional de Transparencia, Acceso a la Información y Protección de Datos Personales</w:t>
      </w:r>
      <w:r w:rsidRPr="00015541">
        <w:t xml:space="preserve">. </w:t>
      </w:r>
      <w:r>
        <w:t>10</w:t>
      </w:r>
      <w:r w:rsidRPr="00015541">
        <w:t xml:space="preserve"> de </w:t>
      </w:r>
      <w:r>
        <w:t>agosto</w:t>
      </w:r>
      <w:r w:rsidRPr="00015541">
        <w:t xml:space="preserve"> de 2016. Por unanimidad. Comisionada Ponente. Areli Cano Guadiana.</w:t>
      </w:r>
    </w:p>
    <w:p w:rsidR="00381F2A" w:rsidRPr="003A136D" w:rsidRDefault="00381F2A" w:rsidP="00381F2A">
      <w:pPr>
        <w:pStyle w:val="Citas"/>
        <w:rPr>
          <w:b/>
        </w:rPr>
      </w:pPr>
      <w:r w:rsidRPr="008C50C4">
        <w:rPr>
          <w:b/>
        </w:rPr>
        <w:t xml:space="preserve">RRA 1889/16. </w:t>
      </w:r>
      <w:r w:rsidRPr="002A3CCA">
        <w:t>Secretaría de Hacienda y Crédito Público. 05 de octubre de 2016. Por unanimidad. Comisionada Ponente. Ximena Puente de la Mora</w:t>
      </w:r>
      <w:r>
        <w:t xml:space="preserve">” </w:t>
      </w:r>
      <w:r>
        <w:rPr>
          <w:b/>
        </w:rPr>
        <w:t>[Sic]</w:t>
      </w:r>
    </w:p>
    <w:p w:rsidR="00381F2A" w:rsidRDefault="00381F2A" w:rsidP="00381F2A">
      <w:pPr>
        <w:autoSpaceDE w:val="0"/>
        <w:autoSpaceDN w:val="0"/>
        <w:adjustRightInd w:val="0"/>
        <w:spacing w:line="360" w:lineRule="auto"/>
        <w:jc w:val="both"/>
        <w:rPr>
          <w:rFonts w:ascii="Palatino Linotype" w:hAnsi="Palatino Linotype"/>
          <w:color w:val="000000"/>
          <w:lang w:val="es-ES_tradnl"/>
        </w:rPr>
      </w:pPr>
    </w:p>
    <w:p w:rsidR="00381F2A" w:rsidRPr="008F6BAF" w:rsidRDefault="00381F2A" w:rsidP="00381F2A">
      <w:pPr>
        <w:autoSpaceDE w:val="0"/>
        <w:autoSpaceDN w:val="0"/>
        <w:adjustRightInd w:val="0"/>
        <w:spacing w:line="360" w:lineRule="auto"/>
        <w:jc w:val="both"/>
        <w:rPr>
          <w:rFonts w:ascii="Palatino Linotype" w:eastAsia="MS Mincho" w:hAnsi="Palatino Linotype"/>
          <w:b/>
          <w:i/>
          <w:lang w:val="es-ES_tradnl"/>
        </w:rPr>
      </w:pPr>
      <w:r w:rsidRPr="008F6BAF">
        <w:rPr>
          <w:rFonts w:ascii="Palatino Linotype" w:hAnsi="Palatino Linotype"/>
          <w:color w:val="000000"/>
          <w:lang w:val="es-ES_tradnl"/>
        </w:rPr>
        <w:t xml:space="preserve">En las generalizaciones anteriores y con referencia al derecho de petición, el </w:t>
      </w:r>
      <w:r w:rsidRPr="008F6BAF">
        <w:rPr>
          <w:rFonts w:ascii="Palatino Linotype" w:eastAsia="MS Mincho" w:hAnsi="Palatino Linotype"/>
          <w:lang w:val="es-ES_tradnl"/>
        </w:rPr>
        <w:t>Maestro Ignacio Burgoa Orihuela refiere: “…</w:t>
      </w:r>
      <w:r w:rsidRPr="008F6BAF">
        <w:rPr>
          <w:rFonts w:ascii="Palatino Linotype" w:eastAsia="MS Mincho" w:hAnsi="Palatino Linotype"/>
          <w:i/>
          <w:lang w:val="es-ES_tradnl"/>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8F6BAF">
        <w:rPr>
          <w:rFonts w:ascii="Palatino Linotype" w:eastAsia="MS Mincho" w:hAnsi="Palatino Linotype"/>
          <w:i/>
          <w:vertAlign w:val="superscript"/>
          <w:lang w:val="es-ES_tradnl"/>
        </w:rPr>
        <w:footnoteReference w:id="2"/>
      </w:r>
      <w:r w:rsidRPr="008F6BAF">
        <w:rPr>
          <w:rFonts w:ascii="Palatino Linotype" w:eastAsia="MS Mincho" w:hAnsi="Palatino Linotype"/>
          <w:i/>
          <w:lang w:val="es-ES_tradnl"/>
        </w:rPr>
        <w:t xml:space="preserve">  “</w:t>
      </w:r>
      <w:r w:rsidRPr="008F6BAF">
        <w:rPr>
          <w:rFonts w:ascii="Palatino Linotype" w:eastAsia="MS Mincho" w:hAnsi="Palatino Linotype"/>
          <w:b/>
          <w:i/>
          <w:lang w:val="es-ES_tradnl"/>
        </w:rPr>
        <w:t>[Sic]</w:t>
      </w:r>
    </w:p>
    <w:p w:rsidR="00381F2A" w:rsidRDefault="00381F2A" w:rsidP="00381F2A">
      <w:pPr>
        <w:pStyle w:val="Sinespaciado"/>
        <w:spacing w:line="360" w:lineRule="auto"/>
        <w:jc w:val="both"/>
        <w:rPr>
          <w:rFonts w:ascii="Palatino Linotype" w:hAnsi="Palatino Linotype"/>
          <w:sz w:val="24"/>
          <w:lang w:val="es-ES_tradnl"/>
        </w:rPr>
      </w:pPr>
    </w:p>
    <w:p w:rsidR="00381F2A" w:rsidRPr="00DF5FBA" w:rsidRDefault="00381F2A" w:rsidP="00381F2A">
      <w:pPr>
        <w:pStyle w:val="Sinespaciado"/>
        <w:spacing w:line="360" w:lineRule="auto"/>
        <w:jc w:val="both"/>
        <w:rPr>
          <w:rFonts w:ascii="Palatino Linotype" w:hAnsi="Palatino Linotype"/>
          <w:b/>
          <w:lang w:val="es-ES_tradnl"/>
        </w:rPr>
      </w:pPr>
      <w:r w:rsidRPr="009F100D">
        <w:rPr>
          <w:rFonts w:ascii="Palatino Linotype" w:hAnsi="Palatino Linotype"/>
          <w:sz w:val="24"/>
          <w:lang w:val="es-ES_tradnl"/>
        </w:rPr>
        <w:t xml:space="preserve">Por su parte, David Cienfuegos Salgado, concibe al derecho de petición como </w:t>
      </w:r>
      <w:r w:rsidRPr="009F100D">
        <w:rPr>
          <w:rFonts w:ascii="Palatino Linotype" w:hAnsi="Palatino Linotype"/>
          <w:i/>
          <w:sz w:val="24"/>
          <w:lang w:val="es-ES_tradnl"/>
        </w:rPr>
        <w:t>“el derecho de toda persona a ser escuchado por quienes ejercen el poder público.</w:t>
      </w:r>
      <w:r w:rsidRPr="009F100D">
        <w:rPr>
          <w:rFonts w:ascii="Palatino Linotype" w:hAnsi="Palatino Linotype"/>
          <w:i/>
          <w:sz w:val="24"/>
          <w:vertAlign w:val="superscript"/>
          <w:lang w:val="es-ES_tradnl"/>
        </w:rPr>
        <w:footnoteReference w:id="3"/>
      </w:r>
      <w:r w:rsidRPr="009F100D">
        <w:rPr>
          <w:rFonts w:ascii="Palatino Linotype" w:hAnsi="Palatino Linotype"/>
          <w:i/>
          <w:sz w:val="24"/>
          <w:lang w:val="es-ES_tradnl"/>
        </w:rPr>
        <w:t xml:space="preserve">” </w:t>
      </w:r>
      <w:r w:rsidRPr="009F100D">
        <w:rPr>
          <w:rFonts w:ascii="Palatino Linotype" w:hAnsi="Palatino Linotype"/>
          <w:b/>
          <w:i/>
          <w:sz w:val="24"/>
          <w:lang w:val="es-ES_tradnl"/>
        </w:rPr>
        <w:t>[Sic]</w:t>
      </w:r>
    </w:p>
    <w:p w:rsidR="00381F2A" w:rsidRDefault="00381F2A" w:rsidP="00381F2A">
      <w:pPr>
        <w:pStyle w:val="Sinespaciado"/>
        <w:spacing w:line="360" w:lineRule="auto"/>
        <w:jc w:val="both"/>
        <w:rPr>
          <w:rFonts w:ascii="Palatino Linotype" w:hAnsi="Palatino Linotype"/>
          <w:lang w:val="es-ES_tradnl"/>
        </w:rPr>
      </w:pPr>
    </w:p>
    <w:p w:rsidR="00381F2A" w:rsidRDefault="00381F2A" w:rsidP="00381F2A">
      <w:pPr>
        <w:pStyle w:val="Sinespaciado"/>
        <w:spacing w:line="360" w:lineRule="auto"/>
        <w:jc w:val="both"/>
        <w:rPr>
          <w:rFonts w:ascii="Palatino Linotype" w:hAnsi="Palatino Linotype"/>
          <w:i/>
          <w:lang w:val="es-ES_tradnl"/>
        </w:rPr>
      </w:pPr>
      <w:r w:rsidRPr="001E0635">
        <w:rPr>
          <w:rFonts w:ascii="Palatino Linotype" w:hAnsi="Palatino Linotype"/>
          <w:sz w:val="24"/>
          <w:lang w:val="es-ES_tradnl"/>
        </w:rPr>
        <w:t xml:space="preserve">A este respecto, y para diferenciar el derecho de petición al derecho de acceso a la información, resulta conducente señalar que José Guadalupe Robles, conceptualiza el derecho a la información como </w:t>
      </w:r>
      <w:r w:rsidRPr="009F100D">
        <w:rPr>
          <w:rFonts w:ascii="Palatino Linotype" w:hAnsi="Palatino Linotype"/>
          <w:i/>
          <w:sz w:val="24"/>
          <w:lang w:val="es-ES_tradnl"/>
        </w:rPr>
        <w:t xml:space="preserve">“un derecho fundamental tanto de carácter individual como colectivo, cuyas limitaciones deben estar establecida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pública. </w:t>
      </w:r>
      <w:r w:rsidRPr="009F100D">
        <w:rPr>
          <w:rFonts w:ascii="Palatino Linotype" w:hAnsi="Palatino Linotype"/>
          <w:i/>
          <w:sz w:val="24"/>
          <w:vertAlign w:val="superscript"/>
          <w:lang w:val="es-ES_tradnl"/>
        </w:rPr>
        <w:footnoteReference w:id="4"/>
      </w:r>
      <w:r w:rsidRPr="009F100D">
        <w:rPr>
          <w:rFonts w:ascii="Palatino Linotype" w:hAnsi="Palatino Linotype"/>
          <w:i/>
          <w:sz w:val="24"/>
          <w:lang w:val="es-ES_tradnl"/>
        </w:rPr>
        <w:t>“</w:t>
      </w:r>
      <w:r w:rsidRPr="009F100D">
        <w:rPr>
          <w:rFonts w:ascii="Palatino Linotype" w:hAnsi="Palatino Linotype"/>
          <w:b/>
          <w:i/>
          <w:sz w:val="24"/>
          <w:lang w:val="es-ES_tradnl"/>
        </w:rPr>
        <w:t>[Sic]</w:t>
      </w:r>
      <w:r w:rsidRPr="009F100D">
        <w:rPr>
          <w:rFonts w:ascii="Palatino Linotype" w:hAnsi="Palatino Linotype"/>
          <w:i/>
          <w:sz w:val="24"/>
          <w:lang w:val="es-ES_tradnl"/>
        </w:rPr>
        <w:t xml:space="preserve"> </w:t>
      </w:r>
    </w:p>
    <w:p w:rsidR="00381F2A" w:rsidRDefault="00381F2A" w:rsidP="00381F2A">
      <w:pPr>
        <w:pStyle w:val="Sinespaciado"/>
        <w:spacing w:line="360" w:lineRule="auto"/>
        <w:jc w:val="both"/>
        <w:rPr>
          <w:rFonts w:ascii="Palatino Linotype" w:hAnsi="Palatino Linotype"/>
          <w:i/>
          <w:lang w:val="es-ES_tradnl"/>
        </w:rPr>
      </w:pPr>
    </w:p>
    <w:p w:rsidR="00381F2A" w:rsidRPr="00440D64" w:rsidRDefault="00381F2A" w:rsidP="00381F2A">
      <w:pPr>
        <w:pStyle w:val="Sinespaciado"/>
        <w:spacing w:line="360" w:lineRule="auto"/>
        <w:jc w:val="both"/>
        <w:rPr>
          <w:rFonts w:ascii="Palatino Linotype" w:hAnsi="Palatino Linotype"/>
          <w:i/>
          <w:sz w:val="24"/>
          <w:szCs w:val="24"/>
          <w:lang w:val="es-ES_tradnl"/>
        </w:rPr>
      </w:pPr>
      <w:r w:rsidRPr="001E0635">
        <w:rPr>
          <w:rFonts w:ascii="Palatino Linotype" w:hAnsi="Palatino Linotype"/>
          <w:sz w:val="24"/>
          <w:lang w:val="es-ES_tradnl"/>
        </w:rPr>
        <w:t xml:space="preserve">Además,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sz w:val="24"/>
          <w:lang w:val="es-ES_tradnl"/>
        </w:rPr>
        <w:t>Villanueva</w:t>
      </w:r>
      <w:proofErr w:type="spellEnd"/>
      <w:r w:rsidRPr="001E0635">
        <w:rPr>
          <w:rFonts w:ascii="Palatino Linotype" w:hAnsi="Palatino Linotype"/>
          <w:sz w:val="24"/>
          <w:lang w:val="es-ES_tradnl"/>
        </w:rPr>
        <w:t xml:space="preserve"> que dice: </w:t>
      </w:r>
      <w:r w:rsidRPr="00440D64">
        <w:rPr>
          <w:rFonts w:ascii="Palatino Linotype" w:hAnsi="Palatino Linotype"/>
          <w:i/>
          <w:sz w:val="24"/>
          <w:szCs w:val="24"/>
          <w:lang w:val="es-ES_tradnl"/>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440D64">
        <w:rPr>
          <w:rFonts w:ascii="Palatino Linotype" w:hAnsi="Palatino Linotype"/>
          <w:i/>
          <w:sz w:val="24"/>
          <w:szCs w:val="24"/>
          <w:vertAlign w:val="superscript"/>
          <w:lang w:val="es-ES_tradnl"/>
        </w:rPr>
        <w:footnoteReference w:id="5"/>
      </w:r>
      <w:r w:rsidRPr="00440D64">
        <w:rPr>
          <w:rFonts w:ascii="Palatino Linotype" w:hAnsi="Palatino Linotype"/>
          <w:i/>
          <w:sz w:val="24"/>
          <w:szCs w:val="24"/>
          <w:lang w:val="es-ES_tradnl"/>
        </w:rPr>
        <w:t xml:space="preserve">” </w:t>
      </w:r>
      <w:r w:rsidRPr="00440D64">
        <w:rPr>
          <w:rFonts w:ascii="Palatino Linotype" w:hAnsi="Palatino Linotype"/>
          <w:b/>
          <w:i/>
          <w:sz w:val="24"/>
          <w:szCs w:val="24"/>
          <w:lang w:val="es-ES_tradnl"/>
        </w:rPr>
        <w:t>[Sic]</w:t>
      </w:r>
    </w:p>
    <w:p w:rsidR="00381F2A" w:rsidRPr="00440D64" w:rsidRDefault="00381F2A" w:rsidP="00381F2A">
      <w:pPr>
        <w:autoSpaceDE w:val="0"/>
        <w:autoSpaceDN w:val="0"/>
        <w:adjustRightInd w:val="0"/>
        <w:spacing w:line="360" w:lineRule="auto"/>
        <w:jc w:val="both"/>
        <w:rPr>
          <w:rFonts w:ascii="Palatino Linotype" w:hAnsi="Palatino Linotype" w:cs="Arial"/>
          <w:i/>
          <w:iCs/>
        </w:rPr>
      </w:pPr>
    </w:p>
    <w:p w:rsidR="00381F2A" w:rsidRPr="00440D64" w:rsidRDefault="00381F2A" w:rsidP="00381F2A">
      <w:pPr>
        <w:pStyle w:val="Sinespaciado"/>
        <w:spacing w:line="360" w:lineRule="auto"/>
        <w:jc w:val="both"/>
        <w:rPr>
          <w:rFonts w:ascii="Palatino Linotype" w:hAnsi="Palatino Linotype" w:cs="Arial"/>
          <w:sz w:val="24"/>
          <w:szCs w:val="24"/>
        </w:rPr>
      </w:pPr>
      <w:r w:rsidRPr="00440D64">
        <w:rPr>
          <w:rFonts w:ascii="Palatino Linotype" w:hAnsi="Palatino Linotype" w:cs="Arial"/>
          <w:sz w:val="24"/>
          <w:szCs w:val="24"/>
        </w:rPr>
        <w:lastRenderedPageBreak/>
        <w:t xml:space="preserve">Ahora bien, para entender los alcances de la información pública se considera importante citar el criterio </w:t>
      </w:r>
      <w:r w:rsidRPr="00440D64">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440D64">
        <w:rPr>
          <w:rFonts w:ascii="Palatino Linotype" w:hAnsi="Palatino Linotype" w:cs="Arial"/>
          <w:sz w:val="24"/>
          <w:szCs w:val="24"/>
        </w:rPr>
        <w:t>cuyo rubro y texto dispone:</w:t>
      </w:r>
    </w:p>
    <w:p w:rsidR="00381F2A" w:rsidRPr="00200064" w:rsidRDefault="00381F2A" w:rsidP="00381F2A">
      <w:pPr>
        <w:pStyle w:val="Citas"/>
        <w:rPr>
          <w:b/>
          <w:lang w:eastAsia="es-MX"/>
        </w:rPr>
      </w:pPr>
      <w:r>
        <w:rPr>
          <w:b/>
          <w:lang w:eastAsia="es-MX"/>
        </w:rPr>
        <w:t>“</w:t>
      </w:r>
      <w:r w:rsidRPr="00200064">
        <w:rPr>
          <w:b/>
          <w:lang w:eastAsia="es-MX"/>
        </w:rPr>
        <w:t xml:space="preserve">INFORMACIÓN PÚBLICA, CONCEPTO DE, EN MATERIA DE TRANSPARENCIA. INTERPRETACIÓN TEMÁTICA DE LOS ARTÍCULOS 2, FRACCIÓN </w:t>
      </w:r>
      <w:r w:rsidRPr="00200064">
        <w:rPr>
          <w:b/>
          <w:bCs/>
          <w:lang w:eastAsia="es-MX"/>
        </w:rPr>
        <w:t xml:space="preserve">V, XV, Y XVI, </w:t>
      </w:r>
      <w:r w:rsidRPr="00200064">
        <w:rPr>
          <w:b/>
          <w:lang w:eastAsia="es-MX"/>
        </w:rPr>
        <w:t xml:space="preserve">32, 4,11 Y 41. </w:t>
      </w:r>
    </w:p>
    <w:p w:rsidR="00381F2A" w:rsidRDefault="00381F2A" w:rsidP="00381F2A">
      <w:pPr>
        <w:pStyle w:val="Citas"/>
        <w:rPr>
          <w:lang w:eastAsia="es-MX"/>
        </w:rPr>
      </w:pPr>
      <w:r>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381F2A" w:rsidRDefault="00381F2A" w:rsidP="00381F2A">
      <w:pPr>
        <w:pStyle w:val="Citas"/>
        <w:rPr>
          <w:lang w:eastAsia="es-MX"/>
        </w:rPr>
      </w:pPr>
      <w:r>
        <w:rPr>
          <w:lang w:eastAsia="es-MX"/>
        </w:rPr>
        <w:t>En consecuencia el acceso a la información se refiere a que se cumplan cualquiera de los siguientes tres supuestos:</w:t>
      </w:r>
    </w:p>
    <w:p w:rsidR="00381F2A" w:rsidRDefault="00381F2A" w:rsidP="00381F2A">
      <w:pPr>
        <w:pStyle w:val="Citas"/>
        <w:rPr>
          <w:lang w:eastAsia="es-MX"/>
        </w:rPr>
      </w:pPr>
      <w:r>
        <w:rPr>
          <w:lang w:eastAsia="es-MX"/>
        </w:rPr>
        <w:t>Que se trate de información registrada en cualquier soporte documental, que en ejercicio de las atribuciones conferidas, sea generada por los Sujetos Obligados;</w:t>
      </w:r>
    </w:p>
    <w:p w:rsidR="00381F2A" w:rsidRDefault="00381F2A" w:rsidP="00381F2A">
      <w:pPr>
        <w:pStyle w:val="Citas"/>
        <w:rPr>
          <w:lang w:eastAsia="es-MX"/>
        </w:rPr>
      </w:pPr>
      <w:r>
        <w:rPr>
          <w:lang w:eastAsia="es-MX"/>
        </w:rPr>
        <w:t>Que se trate de información registrada en cualquier soporte documental, que en ejercicio de las atribuciones conferidas, sea administrada por los Sujetos Obligados, y</w:t>
      </w:r>
    </w:p>
    <w:p w:rsidR="00381F2A" w:rsidRPr="00200064" w:rsidRDefault="00381F2A" w:rsidP="00381F2A">
      <w:pPr>
        <w:pStyle w:val="Citas"/>
        <w:rPr>
          <w:b/>
          <w:lang w:eastAsia="es-MX"/>
        </w:rPr>
      </w:pPr>
      <w:r>
        <w:rPr>
          <w:lang w:eastAsia="es-MX"/>
        </w:rPr>
        <w:lastRenderedPageBreak/>
        <w:t xml:space="preserve">Que se trate de información registrada en cualquier soporte documental, que en ejercicio de las atribuciones conferidas, se encuentre en posesión de los Sujetos Obligados.” </w:t>
      </w:r>
      <w:r>
        <w:rPr>
          <w:b/>
          <w:lang w:eastAsia="es-MX"/>
        </w:rPr>
        <w:t>[Sic]</w:t>
      </w:r>
    </w:p>
    <w:p w:rsidR="00381F2A" w:rsidRDefault="00381F2A" w:rsidP="00381F2A">
      <w:pPr>
        <w:pStyle w:val="Sinespaciado"/>
        <w:spacing w:line="360" w:lineRule="auto"/>
        <w:jc w:val="both"/>
        <w:rPr>
          <w:rFonts w:ascii="Palatino Linotype" w:hAnsi="Palatino Linotype"/>
          <w:lang w:eastAsia="es-MX"/>
        </w:rPr>
      </w:pPr>
    </w:p>
    <w:p w:rsidR="00381F2A" w:rsidRDefault="00381F2A" w:rsidP="00381F2A">
      <w:pPr>
        <w:pStyle w:val="Sinespaciado"/>
        <w:spacing w:line="360" w:lineRule="auto"/>
        <w:jc w:val="both"/>
        <w:rPr>
          <w:rFonts w:ascii="Palatino Linotype" w:hAnsi="Palatino Linotype"/>
          <w:i/>
          <w:lang w:eastAsia="es-MX"/>
        </w:rPr>
      </w:pPr>
      <w:r w:rsidRPr="001E0635">
        <w:rPr>
          <w:rFonts w:ascii="Palatino Linotype" w:hAnsi="Palatino Linotype"/>
          <w:sz w:val="24"/>
          <w:lang w:eastAsia="es-MX"/>
        </w:rPr>
        <w:t xml:space="preserve">Es decir, 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1E0635">
        <w:rPr>
          <w:rFonts w:ascii="Palatino Linotype" w:hAnsi="Palatino Linotype"/>
          <w:sz w:val="24"/>
          <w:lang w:eastAsia="es-MX"/>
        </w:rPr>
        <w:t>Villanueva</w:t>
      </w:r>
      <w:proofErr w:type="spellEnd"/>
      <w:r w:rsidRPr="001E0635">
        <w:rPr>
          <w:rFonts w:ascii="Palatino Linotype" w:hAnsi="Palatino Linotype"/>
          <w:sz w:val="24"/>
          <w:lang w:eastAsia="es-MX"/>
        </w:rPr>
        <w:t xml:space="preserve"> que dice:</w:t>
      </w:r>
      <w:r>
        <w:rPr>
          <w:rFonts w:ascii="Palatino Linotype" w:hAnsi="Palatino Linotype"/>
          <w:lang w:eastAsia="es-MX"/>
        </w:rPr>
        <w:t xml:space="preserve"> </w:t>
      </w:r>
      <w:r w:rsidRPr="001E0635">
        <w:rPr>
          <w:rFonts w:ascii="Palatino Linotype" w:hAnsi="Palatino Linotype"/>
          <w:sz w:val="24"/>
          <w:lang w:eastAsia="es-MX"/>
        </w:rPr>
        <w:t>“</w:t>
      </w:r>
      <w:r w:rsidRPr="001E0635">
        <w:rPr>
          <w:rFonts w:ascii="Palatino Linotype" w:hAnsi="Palatino Linotype"/>
          <w:i/>
          <w:sz w:val="24"/>
          <w:lang w:eastAsia="es-MX"/>
        </w:rPr>
        <w:t xml:space="preserve">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 </w:t>
      </w:r>
      <w:r w:rsidRPr="001E0635">
        <w:rPr>
          <w:rFonts w:ascii="Palatino Linotype" w:hAnsi="Palatino Linotype"/>
          <w:b/>
          <w:i/>
          <w:sz w:val="24"/>
          <w:lang w:val="es-ES_tradnl"/>
        </w:rPr>
        <w:t>[Sic]</w:t>
      </w:r>
    </w:p>
    <w:p w:rsidR="00381F2A" w:rsidRDefault="00381F2A" w:rsidP="00381F2A">
      <w:pPr>
        <w:spacing w:line="360" w:lineRule="auto"/>
        <w:jc w:val="both"/>
        <w:rPr>
          <w:rFonts w:ascii="Palatino Linotype" w:hAnsi="Palatino Linotype"/>
        </w:rPr>
      </w:pPr>
    </w:p>
    <w:p w:rsidR="00381F2A" w:rsidRDefault="00381F2A" w:rsidP="00381F2A">
      <w:pPr>
        <w:spacing w:line="360" w:lineRule="auto"/>
        <w:jc w:val="both"/>
        <w:rPr>
          <w:rFonts w:ascii="Palatino Linotype" w:hAnsi="Palatino Linotype"/>
        </w:rPr>
      </w:pPr>
      <w:r>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rPr>
        <w:t>E</w:t>
      </w:r>
      <w:r w:rsidRPr="008356AF">
        <w:rPr>
          <w:rFonts w:ascii="Palatino Linotype" w:hAnsi="Palatino Linotype"/>
          <w:b/>
        </w:rPr>
        <w:t>l Sujeto Obligado</w:t>
      </w:r>
      <w:r>
        <w:rPr>
          <w:rFonts w:ascii="Palatino Linotype" w:hAnsi="Palatino Linotype"/>
        </w:rPr>
        <w:t xml:space="preserve"> no se encuentra constreñido a emitir una respuesta al mismo.</w:t>
      </w:r>
    </w:p>
    <w:p w:rsidR="00381F2A" w:rsidRDefault="00381F2A" w:rsidP="00381F2A">
      <w:pPr>
        <w:spacing w:line="360" w:lineRule="auto"/>
        <w:jc w:val="both"/>
        <w:rPr>
          <w:rFonts w:ascii="Palatino Linotype" w:hAnsi="Palatino Linotype"/>
        </w:rPr>
      </w:pPr>
    </w:p>
    <w:p w:rsidR="00381F2A" w:rsidRPr="00E5738E" w:rsidRDefault="00381F2A" w:rsidP="00381F2A">
      <w:pPr>
        <w:spacing w:line="360" w:lineRule="auto"/>
        <w:jc w:val="both"/>
        <w:rPr>
          <w:rFonts w:ascii="Palatino Linotype" w:hAnsi="Palatino Linotype" w:cs="Arial"/>
        </w:rPr>
      </w:pPr>
      <w:r>
        <w:rPr>
          <w:rFonts w:ascii="Palatino Linotype" w:hAnsi="Palatino Linotype"/>
        </w:rPr>
        <w:t xml:space="preserve">Una vez precisado lo anterior, </w:t>
      </w:r>
      <w:r w:rsidRPr="00E5738E">
        <w:rPr>
          <w:rFonts w:ascii="Palatino Linotype" w:hAnsi="Palatino Linotype" w:cs="Arial"/>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381F2A" w:rsidRPr="0004467E" w:rsidRDefault="00381F2A" w:rsidP="00381F2A">
      <w:pPr>
        <w:spacing w:line="360" w:lineRule="auto"/>
        <w:ind w:left="851" w:right="851"/>
        <w:jc w:val="both"/>
        <w:rPr>
          <w:rFonts w:ascii="Palatino Linotype" w:hAnsi="Palatino Linotype" w:cs="Arial"/>
          <w:b/>
          <w:i/>
        </w:rPr>
      </w:pPr>
      <w:r w:rsidRPr="0004467E">
        <w:rPr>
          <w:rFonts w:ascii="Palatino Linotype" w:hAnsi="Palatino Linotype" w:cs="Arial"/>
          <w:b/>
          <w:i/>
        </w:rPr>
        <w:t>“SOBRESEIMIENTO EN EL JUICIO DE AMPARO DIRECTO. IMPIDE EL ESTUDIO DE LAS VIOLACIONES PROCESALES PLANTEADAS EN LOS CONCEPTOS DE VIOLACIÓN.</w:t>
      </w:r>
    </w:p>
    <w:p w:rsidR="00381F2A" w:rsidRPr="0004467E" w:rsidRDefault="00381F2A" w:rsidP="00381F2A">
      <w:pPr>
        <w:spacing w:line="360" w:lineRule="auto"/>
        <w:ind w:left="851" w:right="851"/>
        <w:jc w:val="both"/>
        <w:rPr>
          <w:rFonts w:ascii="Palatino Linotype" w:hAnsi="Palatino Linotype"/>
          <w:i/>
          <w:color w:val="000000"/>
        </w:rPr>
      </w:pPr>
      <w:r w:rsidRPr="00BE0E81">
        <w:rPr>
          <w:rFonts w:ascii="Palatino Linotype" w:hAnsi="Palatino Linotype" w:cs="Arial"/>
          <w:b/>
          <w:i/>
          <w:u w:val="single"/>
        </w:rPr>
        <w:lastRenderedPageBreak/>
        <w:t>El sobreseimiento</w:t>
      </w:r>
      <w:r w:rsidRPr="0004467E">
        <w:rPr>
          <w:rFonts w:ascii="Palatino Linotype" w:hAnsi="Palatino Linotype" w:cs="Arial"/>
          <w:b/>
          <w:i/>
        </w:rPr>
        <w:t xml:space="preserve"> </w:t>
      </w:r>
      <w:r w:rsidRPr="0004467E">
        <w:rPr>
          <w:rFonts w:ascii="Palatino Linotype" w:hAnsi="Palatino Linotype" w:cs="Arial"/>
          <w:i/>
        </w:rPr>
        <w:t xml:space="preserve">en el juicio de amparo directo </w:t>
      </w:r>
      <w:r w:rsidRPr="00BE0E81">
        <w:rPr>
          <w:rFonts w:ascii="Palatino Linotype" w:hAnsi="Palatino Linotype" w:cs="Arial"/>
          <w:b/>
          <w:i/>
          <w:u w:val="single"/>
        </w:rPr>
        <w:t>provoca la terminación de la controversia planteada</w:t>
      </w:r>
      <w:r w:rsidRPr="0004467E">
        <w:rPr>
          <w:rFonts w:ascii="Palatino Linotype" w:hAnsi="Palatino Linotype" w:cs="Arial"/>
          <w:b/>
          <w:i/>
        </w:rPr>
        <w:t xml:space="preserve"> </w:t>
      </w:r>
      <w:r w:rsidRPr="0004467E">
        <w:rPr>
          <w:rFonts w:ascii="Palatino Linotype" w:hAnsi="Palatino Linotype" w:cs="Arial"/>
          <w:i/>
        </w:rPr>
        <w:t>por el quejoso en la demanda de amparo</w:t>
      </w:r>
      <w:r w:rsidRPr="0004467E">
        <w:rPr>
          <w:rFonts w:ascii="Calibri" w:hAnsi="Calibri"/>
          <w:color w:val="000000"/>
          <w:sz w:val="26"/>
          <w:szCs w:val="26"/>
        </w:rPr>
        <w:t xml:space="preserve"> </w:t>
      </w:r>
      <w:r w:rsidRPr="0004467E">
        <w:rPr>
          <w:rFonts w:ascii="Palatino Linotype" w:hAnsi="Palatino Linotype"/>
          <w:i/>
          <w:color w:val="000000"/>
        </w:rPr>
        <w:t xml:space="preserve">provoca la terminación de la controversia planteada por el quejoso en la demanda de </w:t>
      </w:r>
      <w:r w:rsidRPr="0004467E">
        <w:rPr>
          <w:rFonts w:ascii="Palatino Linotype" w:hAnsi="Palatino Linotype"/>
          <w:b/>
          <w:i/>
          <w:color w:val="000000"/>
        </w:rPr>
        <w:t>amparo</w:t>
      </w:r>
      <w:r w:rsidRPr="0004467E">
        <w:rPr>
          <w:rFonts w:ascii="Palatino Linotype" w:hAnsi="Palatino Linotype"/>
          <w:i/>
          <w:color w:val="000000"/>
        </w:rPr>
        <w:t>, sin hacer un pronunciamiento de fondo sobre la legalidad o ilegalidad de la sentencia reclamada. Por consiguiente, si al sobreseerse en el</w:t>
      </w:r>
      <w:r w:rsidRPr="0004467E">
        <w:rPr>
          <w:rFonts w:ascii="Palatino Linotype" w:hAnsi="Palatino Linotype"/>
          <w:b/>
          <w:i/>
          <w:color w:val="000000"/>
        </w:rPr>
        <w:t xml:space="preserve"> juicio </w:t>
      </w:r>
      <w:r w:rsidRPr="0004467E">
        <w:rPr>
          <w:rFonts w:ascii="Palatino Linotype" w:hAnsi="Palatino Linotype"/>
          <w:i/>
          <w:color w:val="000000"/>
        </w:rPr>
        <w:t xml:space="preserve">de </w:t>
      </w:r>
      <w:r w:rsidRPr="0004467E">
        <w:rPr>
          <w:rFonts w:ascii="Palatino Linotype" w:hAnsi="Palatino Linotype"/>
          <w:b/>
          <w:i/>
          <w:color w:val="000000"/>
        </w:rPr>
        <w:t>amparo</w:t>
      </w:r>
      <w:r w:rsidRPr="0004467E">
        <w:rPr>
          <w:rFonts w:ascii="Palatino Linotype" w:hAnsi="Palatino Linotype"/>
          <w:i/>
          <w:color w:val="000000"/>
        </w:rPr>
        <w:t xml:space="preserve"> no se pueden estudiar los planteamientos que se hacen valer en contra del fallo reclamado, tampoco se deben analizar las</w:t>
      </w:r>
      <w:r w:rsidRPr="0004467E">
        <w:rPr>
          <w:rFonts w:ascii="Palatino Linotype" w:hAnsi="Palatino Linotype"/>
          <w:b/>
          <w:i/>
          <w:color w:val="000000"/>
        </w:rPr>
        <w:t xml:space="preserve"> violaciones procesales</w:t>
      </w:r>
      <w:r w:rsidRPr="0004467E">
        <w:rPr>
          <w:rFonts w:ascii="Palatino Linotype" w:hAnsi="Palatino Linotype"/>
          <w:i/>
          <w:color w:val="000000"/>
        </w:rPr>
        <w:t xml:space="preserve"> propuestas en los </w:t>
      </w:r>
      <w:r w:rsidRPr="0004467E">
        <w:rPr>
          <w:rFonts w:ascii="Palatino Linotype" w:hAnsi="Palatino Linotype"/>
          <w:b/>
          <w:i/>
          <w:color w:val="000000"/>
        </w:rPr>
        <w:t xml:space="preserve">conceptos </w:t>
      </w:r>
      <w:r w:rsidRPr="0004467E">
        <w:rPr>
          <w:rFonts w:ascii="Palatino Linotype" w:hAnsi="Palatino Linotype"/>
          <w:i/>
          <w:color w:val="000000"/>
        </w:rPr>
        <w:t xml:space="preserve">de </w:t>
      </w:r>
      <w:r w:rsidRPr="0004467E">
        <w:rPr>
          <w:rFonts w:ascii="Palatino Linotype" w:hAnsi="Palatino Linotype"/>
          <w:b/>
          <w:i/>
          <w:color w:val="000000"/>
        </w:rPr>
        <w:t>violación</w:t>
      </w:r>
      <w:r w:rsidRPr="0004467E">
        <w:rPr>
          <w:rFonts w:ascii="Palatino Linotype" w:hAnsi="Palatino Linotype"/>
          <w:i/>
          <w:color w:val="000000"/>
        </w:rPr>
        <w:t xml:space="preserve">, dado que, la principal consecuencia del </w:t>
      </w:r>
      <w:r w:rsidRPr="0004467E">
        <w:rPr>
          <w:rFonts w:ascii="Palatino Linotype" w:hAnsi="Palatino Linotype"/>
          <w:b/>
          <w:i/>
          <w:color w:val="000000"/>
        </w:rPr>
        <w:t>sobreseimiento</w:t>
      </w:r>
      <w:r w:rsidRPr="0004467E">
        <w:rPr>
          <w:rFonts w:ascii="Palatino Linotype" w:hAnsi="Palatino Linotype"/>
          <w:i/>
          <w:color w:val="000000"/>
        </w:rPr>
        <w:t xml:space="preserve"> es poner fin al </w:t>
      </w:r>
      <w:r w:rsidRPr="0004467E">
        <w:rPr>
          <w:rFonts w:ascii="Palatino Linotype" w:hAnsi="Palatino Linotype"/>
          <w:b/>
          <w:i/>
          <w:color w:val="000000"/>
        </w:rPr>
        <w:t xml:space="preserve">juicio </w:t>
      </w:r>
      <w:r w:rsidRPr="0004467E">
        <w:rPr>
          <w:rFonts w:ascii="Palatino Linotype" w:hAnsi="Palatino Linotype"/>
          <w:i/>
          <w:color w:val="000000"/>
        </w:rPr>
        <w:t xml:space="preserve">de </w:t>
      </w:r>
      <w:r w:rsidRPr="0004467E">
        <w:rPr>
          <w:rFonts w:ascii="Palatino Linotype" w:hAnsi="Palatino Linotype"/>
          <w:b/>
          <w:i/>
          <w:color w:val="000000"/>
        </w:rPr>
        <w:t xml:space="preserve">amparo </w:t>
      </w:r>
      <w:r w:rsidRPr="0004467E">
        <w:rPr>
          <w:rFonts w:ascii="Palatino Linotype" w:hAnsi="Palatino Linotype"/>
          <w:i/>
          <w:color w:val="000000"/>
        </w:rPr>
        <w:t>sin resolver la controversia en sus méritos.  </w:t>
      </w:r>
    </w:p>
    <w:p w:rsidR="00381F2A" w:rsidRPr="0004467E" w:rsidRDefault="00381F2A" w:rsidP="00381F2A">
      <w:pPr>
        <w:spacing w:line="360" w:lineRule="auto"/>
        <w:ind w:left="851" w:right="851"/>
        <w:jc w:val="both"/>
        <w:rPr>
          <w:rFonts w:ascii="Palatino Linotype" w:hAnsi="Palatino Linotype" w:cs="Arial"/>
          <w:b/>
          <w:i/>
        </w:rPr>
      </w:pPr>
      <w:r w:rsidRPr="0004467E">
        <w:rPr>
          <w:rFonts w:ascii="Palatino Linotype" w:hAnsi="Palatino Linotype" w:cs="Arial"/>
          <w:b/>
          <w:i/>
        </w:rPr>
        <w:t>SÉPTIMO TRIBUNAL COLEGIADO EN MATERIA CIVIL DEL PRIMER CIRCUITO.</w:t>
      </w:r>
    </w:p>
    <w:p w:rsidR="00381F2A" w:rsidRPr="0004467E" w:rsidRDefault="00381F2A" w:rsidP="00381F2A">
      <w:pPr>
        <w:spacing w:line="360" w:lineRule="auto"/>
        <w:ind w:left="851" w:right="851"/>
        <w:jc w:val="both"/>
        <w:rPr>
          <w:rFonts w:ascii="Palatino Linotype" w:hAnsi="Palatino Linotype" w:cs="Arial"/>
          <w:i/>
        </w:rPr>
      </w:pPr>
      <w:r w:rsidRPr="0004467E">
        <w:rPr>
          <w:rFonts w:ascii="Palatino Linotype" w:hAnsi="Palatino Linotype" w:cs="Arial"/>
          <w:i/>
        </w:rPr>
        <w:t xml:space="preserve">Amparo directo 699/2008. Mariana Leticia González </w:t>
      </w:r>
      <w:proofErr w:type="spellStart"/>
      <w:r w:rsidRPr="0004467E">
        <w:rPr>
          <w:rFonts w:ascii="Palatino Linotype" w:hAnsi="Palatino Linotype" w:cs="Arial"/>
          <w:i/>
        </w:rPr>
        <w:t>Steele</w:t>
      </w:r>
      <w:proofErr w:type="spellEnd"/>
      <w:r w:rsidRPr="0004467E">
        <w:rPr>
          <w:rFonts w:ascii="Palatino Linotype" w:hAnsi="Palatino Linotype" w:cs="Arial"/>
          <w:i/>
        </w:rPr>
        <w:t>. 13 de noviembre de 2008. Unanimidad de votos. Ponente: Sara Judith Montalvo Trejo. Secretario: Arnulfo Mateos García.”</w:t>
      </w:r>
      <w:r w:rsidRPr="0004467E">
        <w:rPr>
          <w:rFonts w:ascii="Palatino Linotype" w:hAnsi="Palatino Linotype"/>
          <w:b/>
          <w:i/>
          <w:lang w:val="es-ES_tradnl"/>
        </w:rPr>
        <w:t xml:space="preserve"> [Sic]</w:t>
      </w:r>
    </w:p>
    <w:p w:rsidR="00381F2A" w:rsidRPr="0004467E" w:rsidRDefault="00381F2A" w:rsidP="00381F2A">
      <w:pPr>
        <w:ind w:right="141"/>
        <w:jc w:val="both"/>
        <w:rPr>
          <w:rFonts w:ascii="Palatino Linotype" w:hAnsi="Palatino Linotype" w:cs="Arial"/>
        </w:rPr>
      </w:pPr>
    </w:p>
    <w:p w:rsidR="00381F2A" w:rsidRPr="001F0DB0" w:rsidRDefault="00381F2A" w:rsidP="00381F2A">
      <w:pPr>
        <w:spacing w:line="360" w:lineRule="auto"/>
        <w:jc w:val="both"/>
        <w:rPr>
          <w:rFonts w:ascii="Palatino Linotype" w:hAnsi="Palatino Linotype" w:cs="Arial"/>
        </w:rPr>
      </w:pPr>
      <w:r w:rsidRPr="0004467E">
        <w:rPr>
          <w:rFonts w:ascii="Palatino Linotype" w:hAnsi="Palatino Linotype" w:cs="Arial"/>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04467E">
        <w:rPr>
          <w:rFonts w:ascii="Palatino Linotype" w:hAnsi="Palatino Linotype" w:cs="Arial"/>
          <w:b/>
        </w:rPr>
        <w:t xml:space="preserve">artículo 192 </w:t>
      </w:r>
      <w:r w:rsidRPr="0004467E">
        <w:rPr>
          <w:rFonts w:ascii="Palatino Linotype" w:hAnsi="Palatino Linotype" w:cs="Arial"/>
        </w:rPr>
        <w:t xml:space="preserve">de la </w:t>
      </w:r>
      <w:r w:rsidRPr="0004467E">
        <w:rPr>
          <w:rFonts w:ascii="Palatino Linotype" w:hAnsi="Palatino Linotype" w:cs="Arial"/>
          <w:b/>
        </w:rPr>
        <w:t xml:space="preserve">Ley de Transparencia y Acceso a la Información Pública del Estado de México y Municipios, </w:t>
      </w:r>
      <w:r w:rsidRPr="0004467E">
        <w:rPr>
          <w:rFonts w:ascii="Palatino Linotype" w:hAnsi="Palatino Linotype" w:cs="Arial"/>
        </w:rPr>
        <w:t xml:space="preserve">nos encontramos ante un sobreseimiento definitivo toda vez que pone fin </w:t>
      </w:r>
      <w:r w:rsidRPr="001F0DB0">
        <w:rPr>
          <w:rFonts w:ascii="Palatino Linotype" w:hAnsi="Palatino Linotype" w:cs="Arial"/>
        </w:rPr>
        <w:t xml:space="preserve">al procedimiento sin entrar al estudio de fondo del mismo. </w:t>
      </w:r>
    </w:p>
    <w:p w:rsidR="00381F2A" w:rsidRDefault="00381F2A" w:rsidP="00381F2A">
      <w:pPr>
        <w:autoSpaceDE w:val="0"/>
        <w:autoSpaceDN w:val="0"/>
        <w:adjustRightInd w:val="0"/>
        <w:spacing w:before="240" w:line="360" w:lineRule="auto"/>
        <w:ind w:right="-18"/>
        <w:jc w:val="both"/>
        <w:rPr>
          <w:rFonts w:ascii="Palatino Linotype" w:hAnsi="Palatino Linotype"/>
          <w:b/>
          <w:bCs/>
          <w:u w:val="single"/>
        </w:rPr>
      </w:pPr>
      <w:r w:rsidRPr="001F0DB0">
        <w:rPr>
          <w:rFonts w:ascii="Palatino Linotype" w:hAnsi="Palatino Linotype"/>
          <w:b/>
          <w:bCs/>
          <w:u w:val="single"/>
        </w:rPr>
        <w:t>Para los efectos de esta resolución, resulta oportuno precisar la improcedencia del recurso por no actualizar alguno de los supuestos previstos en la ley de transparencia</w:t>
      </w:r>
      <w:r>
        <w:rPr>
          <w:rFonts w:ascii="Palatino Linotype" w:hAnsi="Palatino Linotype"/>
          <w:b/>
          <w:bCs/>
          <w:u w:val="single"/>
        </w:rPr>
        <w:t xml:space="preserve"> </w:t>
      </w:r>
      <w:r>
        <w:rPr>
          <w:rFonts w:ascii="Palatino Linotype" w:hAnsi="Palatino Linotype"/>
          <w:b/>
          <w:bCs/>
          <w:u w:val="single"/>
        </w:rPr>
        <w:lastRenderedPageBreak/>
        <w:t>y por tratarse de una consulta (Artículo 191 fracciones III y VI y 192 fracción IV de la Ley de Transparencia local)</w:t>
      </w:r>
    </w:p>
    <w:p w:rsidR="00381F2A" w:rsidRPr="001F0DB0" w:rsidRDefault="00381F2A" w:rsidP="00381F2A">
      <w:pPr>
        <w:tabs>
          <w:tab w:val="left" w:pos="5415"/>
        </w:tabs>
        <w:spacing w:before="240" w:line="360" w:lineRule="auto"/>
        <w:ind w:right="51"/>
        <w:jc w:val="both"/>
        <w:rPr>
          <w:rFonts w:ascii="Palatino Linotype" w:hAnsi="Palatino Linotype" w:cs="Arial"/>
        </w:rPr>
      </w:pPr>
      <w:r w:rsidRPr="001F0DB0">
        <w:rPr>
          <w:rFonts w:ascii="Palatino Linotype" w:hAnsi="Palatino Linotype" w:cs="Arial"/>
        </w:rPr>
        <w:t xml:space="preserve">Bajo este contexto, cobra particular relevancia la corriente que emana de la Segunda Sala de la Suprema Corte de Justicia de la Nación, a través de la jurisprudencia con número de registro digital </w:t>
      </w:r>
      <w:r w:rsidRPr="001F0DB0">
        <w:rPr>
          <w:rFonts w:ascii="Palatino Linotype" w:hAnsi="Palatino Linotype" w:cs="Arial"/>
          <w:b/>
        </w:rPr>
        <w:t>195744</w:t>
      </w:r>
      <w:r w:rsidRPr="001F0DB0">
        <w:rPr>
          <w:rFonts w:ascii="Palatino Linotype" w:hAnsi="Palatino Linotype" w:cs="Arial"/>
        </w:rPr>
        <w:t xml:space="preserve"> de la Novena Época, visible en el Semanario Judicial de la Federación y su Gaceta, Tomo VIII, de agosto de 1998, tesis 2a/J. 54/98 en materia común, en la que se establece lo siguiente:</w:t>
      </w:r>
    </w:p>
    <w:p w:rsidR="00381F2A" w:rsidRPr="003B439E" w:rsidRDefault="00381F2A" w:rsidP="00381F2A">
      <w:pPr>
        <w:pStyle w:val="Citas"/>
        <w:rPr>
          <w:b/>
          <w:lang w:eastAsia="es-MX"/>
        </w:rPr>
      </w:pPr>
      <w:r w:rsidRPr="001F0DB0">
        <w:rPr>
          <w:b/>
          <w:lang w:eastAsia="es-MX"/>
        </w:rPr>
        <w:t>“SOBRESEIMIENTO. BASTA EL ESTUDIO DE UNA SOLA CAUSAL DE IMPROCEDENCIA.</w:t>
      </w:r>
    </w:p>
    <w:p w:rsidR="00381F2A" w:rsidRPr="003B439E" w:rsidRDefault="00381F2A" w:rsidP="00381F2A">
      <w:pPr>
        <w:pStyle w:val="Citas"/>
        <w:rPr>
          <w:lang w:eastAsia="es-MX"/>
        </w:rPr>
      </w:pPr>
      <w:r w:rsidRPr="003B439E">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rsidR="00381F2A" w:rsidRPr="003B439E" w:rsidRDefault="00381F2A" w:rsidP="00381F2A">
      <w:pPr>
        <w:pStyle w:val="Citas"/>
        <w:rPr>
          <w:lang w:eastAsia="es-MX"/>
        </w:rPr>
      </w:pPr>
      <w:r w:rsidRPr="003B439E">
        <w:rPr>
          <w:lang w:eastAsia="es-MX"/>
        </w:rPr>
        <w:t xml:space="preserve">Amparo en revisión 7488/81. Maximino Juárez Miguel (Poblado de San Francisco </w:t>
      </w:r>
      <w:proofErr w:type="spellStart"/>
      <w:r w:rsidRPr="003B439E">
        <w:rPr>
          <w:lang w:eastAsia="es-MX"/>
        </w:rPr>
        <w:t>Jaltepetongo</w:t>
      </w:r>
      <w:proofErr w:type="spellEnd"/>
      <w:r w:rsidRPr="003B439E">
        <w:rPr>
          <w:lang w:eastAsia="es-MX"/>
        </w:rPr>
        <w:t>, Municipio del mismo nombre, Estado de Oaxaca. Acumulados). 29 de noviembre de 1982. Cinco votos. Ponente: Carlos del Río Rodríguez. Secretario: Wilfrido Castañón León.</w:t>
      </w:r>
    </w:p>
    <w:p w:rsidR="00381F2A" w:rsidRPr="003B439E" w:rsidRDefault="00381F2A" w:rsidP="00381F2A">
      <w:pPr>
        <w:pStyle w:val="Citas"/>
        <w:rPr>
          <w:lang w:eastAsia="es-MX"/>
        </w:rPr>
      </w:pPr>
      <w:r w:rsidRPr="003B439E">
        <w:rPr>
          <w:lang w:eastAsia="es-MX"/>
        </w:rPr>
        <w:t>Amparo en revisión 540/97. Bancomer, S.A., Institución de Banca Múltiple y Grupo Financiero. 30 de enero de 1998. Cinco votos. Ponente: Sergio Salvador Aguirre Anguiano. Secretaria: Alma Delia Aguilar Chávez Nava.</w:t>
      </w:r>
    </w:p>
    <w:p w:rsidR="00381F2A" w:rsidRPr="003B439E" w:rsidRDefault="00381F2A" w:rsidP="00381F2A">
      <w:pPr>
        <w:pStyle w:val="Citas"/>
      </w:pPr>
      <w:r w:rsidRPr="003B439E">
        <w:rPr>
          <w:lang w:eastAsia="es-MX"/>
        </w:rPr>
        <w:t xml:space="preserve">Amparo en revisión 3059/97. Francisco Cañedo Zavaleta. 30 de enero de 1998. Cinco votos. Ponente: Sergio Salvador Aguirre Anguiano. Secretaria: Adela Domínguez </w:t>
      </w:r>
      <w:r w:rsidRPr="003B439E">
        <w:rPr>
          <w:lang w:eastAsia="es-MX"/>
        </w:rPr>
        <w:lastRenderedPageBreak/>
        <w:t>Salazar.</w:t>
      </w:r>
      <w:r w:rsidRPr="003B439E">
        <w:br/>
        <w:t xml:space="preserve">Amparo en revisión 1634/96. Arturo </w:t>
      </w:r>
      <w:proofErr w:type="spellStart"/>
      <w:r w:rsidRPr="003B439E">
        <w:t>Veana</w:t>
      </w:r>
      <w:proofErr w:type="spellEnd"/>
      <w:r w:rsidRPr="003B439E">
        <w:t xml:space="preserve"> Espinosa. 20 de febrero de 1998. Cinco votos. Ponente: Sergio Salvador Aguirre Anguiano. Secretaria: Adela Domínguez Salazar.</w:t>
      </w:r>
    </w:p>
    <w:p w:rsidR="00381F2A" w:rsidRPr="003B439E" w:rsidRDefault="00381F2A" w:rsidP="00381F2A">
      <w:pPr>
        <w:pStyle w:val="Citas"/>
        <w:rPr>
          <w:lang w:eastAsia="es-MX"/>
        </w:rPr>
      </w:pPr>
      <w:r w:rsidRPr="003B439E">
        <w:rPr>
          <w:lang w:eastAsia="es-MX"/>
        </w:rPr>
        <w:t xml:space="preserve">Amparo en revisión 2204/97. De </w:t>
      </w:r>
      <w:proofErr w:type="spellStart"/>
      <w:r w:rsidRPr="003B439E">
        <w:rPr>
          <w:lang w:eastAsia="es-MX"/>
        </w:rPr>
        <w:t>Raffaelo</w:t>
      </w:r>
      <w:proofErr w:type="spellEnd"/>
      <w:r w:rsidRPr="003B439E">
        <w:rPr>
          <w:lang w:eastAsia="es-MX"/>
        </w:rPr>
        <w:t>, S.A. de C.V. 27 de mayo de 1998. Cinco votos. Ponente: Juan Díaz Romero. Secretario: Aristeo Martínez Cruz.</w:t>
      </w:r>
    </w:p>
    <w:p w:rsidR="00381F2A" w:rsidRDefault="00381F2A" w:rsidP="00381F2A">
      <w:pPr>
        <w:pStyle w:val="Citas"/>
        <w:rPr>
          <w:b/>
          <w:lang w:eastAsia="es-MX"/>
        </w:rPr>
      </w:pPr>
      <w:r w:rsidRPr="003B439E">
        <w:rPr>
          <w:lang w:eastAsia="es-MX"/>
        </w:rPr>
        <w:t>Tesis de jurisprudencia 54/98. Aprobada por la Segunda Sala de este Alto Tribunal, en sesión privada del veintiséis de junio de mil novecientos noventa y ocho.</w:t>
      </w:r>
      <w:r>
        <w:rPr>
          <w:lang w:eastAsia="es-MX"/>
        </w:rPr>
        <w:t xml:space="preserve">” </w:t>
      </w:r>
      <w:r>
        <w:rPr>
          <w:b/>
          <w:lang w:eastAsia="es-MX"/>
        </w:rPr>
        <w:t xml:space="preserve">[Sic] </w:t>
      </w:r>
    </w:p>
    <w:p w:rsidR="00381F2A" w:rsidRDefault="00381F2A" w:rsidP="00381F2A">
      <w:pPr>
        <w:spacing w:before="240" w:line="360" w:lineRule="auto"/>
        <w:jc w:val="both"/>
        <w:rPr>
          <w:rFonts w:ascii="Palatino Linotype" w:hAnsi="Palatino Linotype"/>
        </w:rPr>
      </w:pPr>
    </w:p>
    <w:p w:rsidR="00381F2A" w:rsidRDefault="00381F2A" w:rsidP="00381F2A">
      <w:pPr>
        <w:spacing w:before="240" w:line="360" w:lineRule="auto"/>
        <w:jc w:val="both"/>
        <w:rPr>
          <w:rFonts w:ascii="Palatino Linotype" w:hAnsi="Palatino Linotype"/>
        </w:rPr>
      </w:pPr>
      <w:r>
        <w:rPr>
          <w:rFonts w:ascii="Palatino Linotype" w:hAnsi="Palatino Linotype"/>
        </w:rPr>
        <w:t xml:space="preserve">Luego entonces debemos destacar que, en la solicitud de información planteada por el particular, se observa en </w:t>
      </w:r>
      <w:r w:rsidRPr="008A7D00">
        <w:rPr>
          <w:rFonts w:ascii="Palatino Linotype" w:hAnsi="Palatino Linotype"/>
          <w:color w:val="000000"/>
        </w:rPr>
        <w:t xml:space="preserve">primer lugar que la información fue formulada a través de planteamientos en donde </w:t>
      </w:r>
      <w:r w:rsidRPr="008A7D00">
        <w:rPr>
          <w:rFonts w:ascii="Palatino Linotype" w:hAnsi="Palatino Linotype" w:cs="Arial"/>
          <w:bCs/>
          <w:iCs/>
          <w:color w:val="222222"/>
        </w:rPr>
        <w:t>no se identifica un documento en específico</w:t>
      </w:r>
      <w:r w:rsidRPr="008A7D00">
        <w:rPr>
          <w:rFonts w:ascii="Palatino Linotype" w:hAnsi="Palatino Linotype"/>
          <w:color w:val="000000"/>
        </w:rPr>
        <w:t xml:space="preserve">, en segundo lugar, se aprecia que en la misma se vierten manifestaciones subjetivas que no pueden ser atendidas mediante el Derecho de Acceso a la Información, </w:t>
      </w:r>
      <w:r w:rsidRPr="008A7D00">
        <w:rPr>
          <w:rFonts w:ascii="Palatino Linotype" w:hAnsi="Palatino Linotype" w:cs="Arial"/>
        </w:rPr>
        <w:t xml:space="preserve">es decir, </w:t>
      </w:r>
      <w:r w:rsidRPr="008A7D00">
        <w:rPr>
          <w:rFonts w:ascii="Palatino Linotype" w:hAnsi="Palatino Linotype"/>
        </w:rPr>
        <w:t xml:space="preserve">no existe materia de derecho de acceso a la información sobre la que el </w:t>
      </w:r>
      <w:r w:rsidRPr="008A7D00">
        <w:rPr>
          <w:rFonts w:ascii="Palatino Linotype" w:hAnsi="Palatino Linotype"/>
          <w:b/>
          <w:bCs/>
        </w:rPr>
        <w:t>Sujeto Obligado</w:t>
      </w:r>
      <w:r w:rsidRPr="008A7D00">
        <w:rPr>
          <w:rFonts w:ascii="Palatino Linotype" w:hAnsi="Palatino Linotype"/>
        </w:rPr>
        <w:t xml:space="preserve"> </w:t>
      </w:r>
      <w:r>
        <w:rPr>
          <w:rFonts w:ascii="Palatino Linotype" w:hAnsi="Palatino Linotype"/>
        </w:rPr>
        <w:t xml:space="preserve">o sujeto obligado diverso </w:t>
      </w:r>
      <w:r w:rsidRPr="008A7D00">
        <w:rPr>
          <w:rFonts w:ascii="Palatino Linotype" w:hAnsi="Palatino Linotype"/>
        </w:rPr>
        <w:t>pueda entregar información alguna</w:t>
      </w:r>
      <w:r>
        <w:rPr>
          <w:rFonts w:ascii="Palatino Linotype" w:hAnsi="Palatino Linotype"/>
        </w:rPr>
        <w:t xml:space="preserve">, ello es así porque </w:t>
      </w:r>
      <w:r>
        <w:rPr>
          <w:rFonts w:ascii="Palatino Linotype" w:hAnsi="Palatino Linotype"/>
          <w:b/>
          <w:bCs/>
        </w:rPr>
        <w:t xml:space="preserve">El Recurrente </w:t>
      </w:r>
      <w:r>
        <w:rPr>
          <w:rFonts w:ascii="Palatino Linotype" w:hAnsi="Palatino Linotype"/>
        </w:rPr>
        <w:t xml:space="preserve">requiere la contestación de un cuestionamiento de manifestaciones subjetivas. </w:t>
      </w:r>
    </w:p>
    <w:p w:rsidR="00381F2A" w:rsidRDefault="00381F2A" w:rsidP="00381F2A">
      <w:pPr>
        <w:pStyle w:val="Prrafodelista"/>
        <w:autoSpaceDE w:val="0"/>
        <w:autoSpaceDN w:val="0"/>
        <w:adjustRightInd w:val="0"/>
        <w:spacing w:line="360" w:lineRule="auto"/>
        <w:ind w:left="0"/>
        <w:contextualSpacing/>
        <w:jc w:val="both"/>
        <w:rPr>
          <w:rFonts w:ascii="Palatino Linotype" w:hAnsi="Palatino Linotype"/>
        </w:rPr>
      </w:pPr>
    </w:p>
    <w:p w:rsidR="00381F2A" w:rsidRPr="00B21190" w:rsidRDefault="00381F2A" w:rsidP="00381F2A">
      <w:pPr>
        <w:pStyle w:val="Prrafodelista"/>
        <w:autoSpaceDE w:val="0"/>
        <w:autoSpaceDN w:val="0"/>
        <w:adjustRightInd w:val="0"/>
        <w:spacing w:line="360" w:lineRule="auto"/>
        <w:ind w:left="0"/>
        <w:contextualSpacing/>
        <w:jc w:val="both"/>
        <w:rPr>
          <w:rFonts w:ascii="Palatino Linotype" w:hAnsi="Palatino Linotype" w:cs="Arial"/>
          <w:lang w:val="es-MX"/>
        </w:rPr>
      </w:pPr>
      <w:r w:rsidRPr="00B21190">
        <w:rPr>
          <w:rFonts w:ascii="Palatino Linotype" w:hAnsi="Palatino Linotype"/>
        </w:rPr>
        <w:t xml:space="preserve">Bajo éste tenor cabe aclarar que cuando los planteamientos que formulen los particulares se pueda colmar con la entrega de </w:t>
      </w:r>
      <w:r w:rsidRPr="00B21190">
        <w:rPr>
          <w:rFonts w:ascii="Palatino Linotype" w:hAnsi="Palatino Linotype" w:cs="Arial"/>
        </w:rPr>
        <w:t xml:space="preserve">documentos que los </w:t>
      </w:r>
      <w:r w:rsidRPr="009A4152">
        <w:rPr>
          <w:rFonts w:ascii="Palatino Linotype" w:hAnsi="Palatino Linotype" w:cs="Arial"/>
          <w:b/>
          <w:bCs/>
        </w:rPr>
        <w:t>Sujetos Obligados</w:t>
      </w:r>
      <w:r w:rsidRPr="00B21190">
        <w:rPr>
          <w:rFonts w:ascii="Palatino Linotype" w:hAnsi="Palatino Linotype" w:cs="Arial"/>
        </w:rPr>
        <w:t xml:space="preserve"> generen, posean o administren en ejercicio de sus atribuciones, se está en presencia del derecho fundamental de acceso a la información, previsto en el artículo 6, Apartado </w:t>
      </w:r>
      <w:r w:rsidRPr="00B21190">
        <w:rPr>
          <w:rFonts w:ascii="Palatino Linotype" w:hAnsi="Palatino Linotype"/>
        </w:rPr>
        <w:t xml:space="preserve">A, fracción IV de la Constitución Política de los Estados Unidos Mexicanos, el cual deberá </w:t>
      </w:r>
      <w:r w:rsidRPr="00B21190">
        <w:rPr>
          <w:rFonts w:ascii="Palatino Linotype" w:hAnsi="Palatino Linotype"/>
        </w:rPr>
        <w:lastRenderedPageBreak/>
        <w:t>garantizarse ordenando la entrega de tales documentales, siempre y cuando éstas sean de acceso público.</w:t>
      </w:r>
    </w:p>
    <w:p w:rsidR="00381F2A" w:rsidRPr="00B21190" w:rsidRDefault="00381F2A" w:rsidP="00381F2A">
      <w:pPr>
        <w:pStyle w:val="Prrafodelista"/>
        <w:autoSpaceDE w:val="0"/>
        <w:autoSpaceDN w:val="0"/>
        <w:adjustRightInd w:val="0"/>
        <w:spacing w:line="360" w:lineRule="auto"/>
        <w:ind w:left="0"/>
        <w:jc w:val="both"/>
        <w:rPr>
          <w:rFonts w:ascii="Palatino Linotype" w:hAnsi="Palatino Linotype" w:cs="Arial"/>
        </w:rPr>
      </w:pPr>
    </w:p>
    <w:p w:rsidR="00381F2A" w:rsidRPr="00B21190" w:rsidRDefault="00381F2A" w:rsidP="00381F2A">
      <w:pPr>
        <w:pStyle w:val="Prrafodelista"/>
        <w:autoSpaceDE w:val="0"/>
        <w:autoSpaceDN w:val="0"/>
        <w:adjustRightInd w:val="0"/>
        <w:spacing w:line="360" w:lineRule="auto"/>
        <w:ind w:left="0"/>
        <w:contextualSpacing/>
        <w:jc w:val="both"/>
        <w:rPr>
          <w:rFonts w:ascii="Palatino Linotype" w:hAnsi="Palatino Linotype" w:cs="Arial"/>
          <w:color w:val="000000" w:themeColor="text1"/>
        </w:rPr>
      </w:pPr>
      <w:r w:rsidRPr="00B21190">
        <w:rPr>
          <w:rFonts w:ascii="Palatino Linotype" w:hAnsi="Palatino Linotype" w:cs="Arial"/>
          <w:color w:val="000000" w:themeColor="text1"/>
        </w:rPr>
        <w:t>Sirve de sustento a lo anterior, el</w:t>
      </w:r>
      <w:r w:rsidRPr="00B21190">
        <w:rPr>
          <w:rStyle w:val="apple-converted-space"/>
          <w:rFonts w:ascii="Palatino Linotype" w:hAnsi="Palatino Linotype" w:cs="Arial"/>
          <w:color w:val="000000" w:themeColor="text1"/>
        </w:rPr>
        <w:t xml:space="preserve"> </w:t>
      </w:r>
      <w:r w:rsidRPr="00B21190">
        <w:rPr>
          <w:rStyle w:val="il"/>
          <w:rFonts w:ascii="Palatino Linotype" w:eastAsiaTheme="majorEastAsia" w:hAnsi="Palatino Linotype" w:cs="Arial"/>
          <w:color w:val="000000" w:themeColor="text1"/>
        </w:rPr>
        <w:t>Criterio</w:t>
      </w:r>
      <w:r w:rsidRPr="00B21190">
        <w:rPr>
          <w:rStyle w:val="apple-converted-space"/>
          <w:rFonts w:ascii="Palatino Linotype" w:hAnsi="Palatino Linotype" w:cs="Arial"/>
          <w:color w:val="000000" w:themeColor="text1"/>
        </w:rPr>
        <w:t xml:space="preserve"> </w:t>
      </w:r>
      <w:r w:rsidRPr="008A7D00">
        <w:rPr>
          <w:rStyle w:val="il"/>
          <w:rFonts w:ascii="Palatino Linotype" w:eastAsiaTheme="majorEastAsia" w:hAnsi="Palatino Linotype" w:cs="Arial"/>
          <w:b/>
          <w:bCs/>
          <w:color w:val="000000" w:themeColor="text1"/>
        </w:rPr>
        <w:t>028</w:t>
      </w:r>
      <w:r w:rsidRPr="008A7D00">
        <w:rPr>
          <w:rFonts w:ascii="Palatino Linotype" w:hAnsi="Palatino Linotype" w:cs="Arial"/>
          <w:b/>
          <w:bCs/>
          <w:color w:val="000000" w:themeColor="text1"/>
        </w:rPr>
        <w:t>-</w:t>
      </w:r>
      <w:r w:rsidRPr="008A7D00">
        <w:rPr>
          <w:rStyle w:val="il"/>
          <w:rFonts w:ascii="Palatino Linotype" w:eastAsiaTheme="majorEastAsia" w:hAnsi="Palatino Linotype" w:cs="Arial"/>
          <w:b/>
          <w:bCs/>
          <w:color w:val="000000" w:themeColor="text1"/>
        </w:rPr>
        <w:t>10</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emitido por el Pleno del entonces llamado</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Instituto Federal de Acceso a la Información y Protección de Datos, ahora Instituto Nacional de Transparencia, Acceso a la Información y Protección de Datos Personales que establece que se deberá garantizar</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B21190">
        <w:rPr>
          <w:rStyle w:val="apple-converted-space"/>
          <w:rFonts w:ascii="Palatino Linotype" w:hAnsi="Palatino Linotype" w:cs="Arial"/>
          <w:i/>
          <w:iCs/>
          <w:color w:val="000000" w:themeColor="text1"/>
        </w:rPr>
        <w:t xml:space="preserve"> </w:t>
      </w:r>
      <w:r w:rsidRPr="00B21190">
        <w:rPr>
          <w:rFonts w:ascii="Palatino Linotype" w:hAnsi="Palatino Linotype" w:cs="Arial"/>
          <w:color w:val="000000" w:themeColor="text1"/>
        </w:rPr>
        <w:t xml:space="preserve">aunque el particular lleve a cabo una solicitud de información sin identificar de forma precisa la documentación, </w:t>
      </w:r>
      <w:r>
        <w:rPr>
          <w:rFonts w:ascii="Palatino Linotype" w:hAnsi="Palatino Linotype" w:cs="Arial"/>
          <w:b/>
          <w:color w:val="000000" w:themeColor="text1"/>
        </w:rPr>
        <w:t>e</w:t>
      </w:r>
      <w:r w:rsidRPr="00B21190">
        <w:rPr>
          <w:rFonts w:ascii="Palatino Linotype" w:hAnsi="Palatino Linotype" w:cs="Arial"/>
          <w:b/>
          <w:color w:val="000000" w:themeColor="text1"/>
        </w:rPr>
        <w:t xml:space="preserve">l Sujeto </w:t>
      </w:r>
      <w:r>
        <w:rPr>
          <w:rFonts w:ascii="Palatino Linotype" w:hAnsi="Palatino Linotype" w:cs="Arial"/>
          <w:b/>
          <w:color w:val="000000" w:themeColor="text1"/>
        </w:rPr>
        <w:t>o</w:t>
      </w:r>
      <w:r w:rsidRPr="00B21190">
        <w:rPr>
          <w:rFonts w:ascii="Palatino Linotype" w:hAnsi="Palatino Linotype" w:cs="Arial"/>
          <w:b/>
          <w:color w:val="000000" w:themeColor="text1"/>
        </w:rPr>
        <w:t>bligado</w:t>
      </w:r>
      <w:r w:rsidRPr="00B21190">
        <w:rPr>
          <w:rStyle w:val="apple-converted-space"/>
          <w:rFonts w:ascii="Palatino Linotype" w:hAnsi="Palatino Linotype" w:cs="Arial"/>
          <w:b/>
          <w:color w:val="000000" w:themeColor="text1"/>
        </w:rPr>
        <w:t xml:space="preserve"> </w:t>
      </w:r>
      <w:r w:rsidRPr="00B21190">
        <w:rPr>
          <w:rFonts w:ascii="Palatino Linotype" w:hAnsi="Palatino Linotype" w:cs="Arial"/>
          <w:color w:val="000000" w:themeColor="text1"/>
        </w:rPr>
        <w:t>deberá hacer entrega del mismo al solicitante</w:t>
      </w:r>
      <w:r w:rsidRPr="00B21190">
        <w:rPr>
          <w:rStyle w:val="apple-converted-space"/>
          <w:rFonts w:ascii="Palatino Linotype" w:hAnsi="Palatino Linotype" w:cs="Arial"/>
          <w:color w:val="000000" w:themeColor="text1"/>
        </w:rPr>
        <w:t xml:space="preserve"> </w:t>
      </w:r>
      <w:r w:rsidRPr="00B21190">
        <w:rPr>
          <w:rFonts w:ascii="Palatino Linotype" w:hAnsi="Palatino Linotype" w:cs="Arial"/>
          <w:color w:val="000000" w:themeColor="text1"/>
        </w:rPr>
        <w:t>mismo que a continuación se cita:</w:t>
      </w:r>
    </w:p>
    <w:p w:rsidR="00381F2A" w:rsidRPr="008A7D00" w:rsidRDefault="00381F2A" w:rsidP="00381F2A">
      <w:pPr>
        <w:pStyle w:val="Citas"/>
        <w:rPr>
          <w:rStyle w:val="apple-converted-space"/>
          <w:b/>
          <w:bCs/>
          <w:i w:val="0"/>
          <w:iCs/>
          <w:color w:val="000000" w:themeColor="text1"/>
          <w:lang w:val="es-ES_tradnl"/>
        </w:rPr>
      </w:pPr>
      <w:r w:rsidRPr="008A7D00">
        <w:rPr>
          <w:b/>
          <w:bCs/>
          <w:lang w:val="es-ES_tradnl"/>
        </w:rPr>
        <w:t>“CUANDO EN UNA SOLICITUD DE INFORMACIÓN NO SE IDENTIFIQUE UN DOCUMENTO EN ESPECÍFICO, SI ÉSTA TIENE UNA EXPRESIÓN DOCUMENTAL, EL SUJETO OBLIGADO DEBERÁ ENTREGAR AL PARTICULAR EL DOCUMENTO EN ESPECÍFICO.</w:t>
      </w:r>
      <w:r w:rsidRPr="008A7D00">
        <w:rPr>
          <w:rStyle w:val="apple-converted-space"/>
          <w:b/>
          <w:bCs/>
          <w:i w:val="0"/>
          <w:iCs/>
          <w:color w:val="000000" w:themeColor="text1"/>
          <w:lang w:val="es-ES_tradnl"/>
        </w:rPr>
        <w:t xml:space="preserve"> </w:t>
      </w:r>
    </w:p>
    <w:p w:rsidR="00381F2A" w:rsidRDefault="00381F2A" w:rsidP="00381F2A">
      <w:pPr>
        <w:pStyle w:val="Citas"/>
        <w:rPr>
          <w:lang w:val="es-ES_tradnl"/>
        </w:rPr>
      </w:pPr>
      <w:r w:rsidRPr="00B21190">
        <w:rPr>
          <w:lang w:val="es-ES_tradnl"/>
        </w:rPr>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w:t>
      </w:r>
      <w:r w:rsidRPr="00B21190">
        <w:rPr>
          <w:lang w:val="es-ES_tradnl"/>
        </w:rPr>
        <w:lastRenderedPageBreak/>
        <w:t>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381F2A" w:rsidRPr="009A4152" w:rsidRDefault="00381F2A" w:rsidP="00381F2A">
      <w:pPr>
        <w:pStyle w:val="Citas"/>
        <w:rPr>
          <w:b/>
          <w:bCs/>
        </w:rPr>
      </w:pPr>
      <w:r w:rsidRPr="009A4152">
        <w:rPr>
          <w:b/>
          <w:bCs/>
        </w:rPr>
        <w:t>Precedentes:</w:t>
      </w:r>
    </w:p>
    <w:p w:rsidR="00381F2A" w:rsidRPr="001F5B23" w:rsidRDefault="00381F2A" w:rsidP="00381F2A">
      <w:pPr>
        <w:pStyle w:val="Citas"/>
        <w:numPr>
          <w:ilvl w:val="0"/>
          <w:numId w:val="5"/>
        </w:numPr>
      </w:pPr>
      <w:r w:rsidRPr="001F5B23">
        <w:t xml:space="preserve">Acceso a la información pública. 2790/09. Sesión del 19 de agosto de 2009. Votación por unanimidad. Sin votos disidentes o particulares. Notimex, S.A. de C.V. Comisionado Ponente Juan Pablo Guerrero </w:t>
      </w:r>
      <w:proofErr w:type="spellStart"/>
      <w:r w:rsidRPr="001F5B23">
        <w:t>Amparán</w:t>
      </w:r>
      <w:proofErr w:type="spellEnd"/>
      <w:r w:rsidRPr="001F5B23">
        <w:t>.</w:t>
      </w:r>
    </w:p>
    <w:p w:rsidR="00381F2A" w:rsidRPr="001F5B23" w:rsidRDefault="00381F2A" w:rsidP="00381F2A">
      <w:pPr>
        <w:pStyle w:val="Citas"/>
        <w:numPr>
          <w:ilvl w:val="0"/>
          <w:numId w:val="5"/>
        </w:numPr>
      </w:pPr>
      <w:r w:rsidRPr="001F5B23">
        <w:t>Acceso a la información pública. 2677/09. Sesión del 26 de agosto de 2009. Votación por unanimidad. Sin votos disidentes o particulares. Comisión Federal para la Protección Contra Riesgos Sanitarios. Comisionado Ponente Alonso Gómez-Robledo V.</w:t>
      </w:r>
    </w:p>
    <w:p w:rsidR="00381F2A" w:rsidRPr="001F5B23" w:rsidRDefault="00381F2A" w:rsidP="00381F2A">
      <w:pPr>
        <w:pStyle w:val="Citas"/>
        <w:numPr>
          <w:ilvl w:val="0"/>
          <w:numId w:val="5"/>
        </w:numPr>
      </w:pPr>
      <w:r w:rsidRPr="001F5B23">
        <w:t xml:space="preserve">Acceso a la información pública. 4262/09. Sesión del 11 de noviembre de 2009. Votación por unanimidad. Sin votos disidentes o particulares. Secretaría de la Defensa Nacional. Comisionada Ponente Jacqueline </w:t>
      </w:r>
      <w:proofErr w:type="spellStart"/>
      <w:r w:rsidRPr="001F5B23">
        <w:t>Peschard</w:t>
      </w:r>
      <w:proofErr w:type="spellEnd"/>
      <w:r w:rsidRPr="001F5B23">
        <w:t xml:space="preserve"> Mariscal.</w:t>
      </w:r>
    </w:p>
    <w:p w:rsidR="00381F2A" w:rsidRPr="001F5B23" w:rsidRDefault="00381F2A" w:rsidP="00381F2A">
      <w:pPr>
        <w:pStyle w:val="Citas"/>
        <w:numPr>
          <w:ilvl w:val="0"/>
          <w:numId w:val="5"/>
        </w:numPr>
      </w:pPr>
      <w:r w:rsidRPr="001F5B23">
        <w:t xml:space="preserve">Acceso a la información pública. 0315/10. Sesión del 07 de abril de 2010. Votación por unanimidad. Sin votos disidentes o particulares. Secretaría de </w:t>
      </w:r>
      <w:r w:rsidRPr="001F5B23">
        <w:lastRenderedPageBreak/>
        <w:t>Agricultura, Ganadería, Desarrollo Rural, Pesca y Alimentación. Comisionado Ponente Ángel Trinidad Zaldívar.</w:t>
      </w:r>
    </w:p>
    <w:p w:rsidR="00381F2A" w:rsidRPr="008A7D00" w:rsidRDefault="00381F2A" w:rsidP="00381F2A">
      <w:pPr>
        <w:pStyle w:val="Citas"/>
        <w:numPr>
          <w:ilvl w:val="0"/>
          <w:numId w:val="5"/>
        </w:numPr>
        <w:rPr>
          <w:bCs/>
        </w:rPr>
      </w:pPr>
      <w:r w:rsidRPr="001F5B23">
        <w:t xml:space="preserve">Acceso a la información pública. 2731/10. Sesión del 02 de junio de 2010. Votación por unanimidad. Sin votos disidentes o particulares. Administración Portuaria Integral de Veracruz, S.A. de C.V. Comisionada Ponente Sigrid </w:t>
      </w:r>
      <w:proofErr w:type="spellStart"/>
      <w:r w:rsidRPr="001F5B23">
        <w:t>Arzt</w:t>
      </w:r>
      <w:proofErr w:type="spellEnd"/>
      <w:r>
        <w:t xml:space="preserve"> Colunga” </w:t>
      </w:r>
      <w:r>
        <w:rPr>
          <w:b/>
          <w:bCs/>
        </w:rPr>
        <w:t>(Sic)</w:t>
      </w:r>
    </w:p>
    <w:p w:rsidR="00381F2A" w:rsidRDefault="00381F2A" w:rsidP="00381F2A">
      <w:pPr>
        <w:autoSpaceDE w:val="0"/>
        <w:autoSpaceDN w:val="0"/>
        <w:adjustRightInd w:val="0"/>
        <w:spacing w:line="360" w:lineRule="auto"/>
        <w:jc w:val="both"/>
        <w:rPr>
          <w:rFonts w:ascii="Palatino Linotype" w:hAnsi="Palatino Linotype" w:cs="Arial"/>
        </w:rPr>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w:t>
      </w:r>
      <w:proofErr w:type="spellStart"/>
      <w:r w:rsidRPr="00B21190">
        <w:rPr>
          <w:rFonts w:ascii="Palatino Linotype" w:hAnsi="Palatino Linotype" w:cs="Arial"/>
        </w:rPr>
        <w:t>Resolutor</w:t>
      </w:r>
      <w:proofErr w:type="spellEnd"/>
      <w:r w:rsidRPr="00B21190">
        <w:rPr>
          <w:rFonts w:ascii="Palatino Linotype" w:hAnsi="Palatino Linotype" w:cs="Arial"/>
        </w:rPr>
        <w:t xml:space="preserve">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ajustar su actuación fundando y motivando las resoluciones y actos en las normas aplicables.</w:t>
      </w:r>
    </w:p>
    <w:p w:rsidR="00381F2A" w:rsidRPr="00B21190" w:rsidRDefault="00381F2A" w:rsidP="00381F2A">
      <w:pPr>
        <w:autoSpaceDE w:val="0"/>
        <w:autoSpaceDN w:val="0"/>
        <w:adjustRightInd w:val="0"/>
        <w:spacing w:line="360" w:lineRule="auto"/>
        <w:jc w:val="both"/>
        <w:rPr>
          <w:rFonts w:ascii="Palatino Linotype" w:hAnsi="Palatino Linotype" w:cs="Arial"/>
        </w:rPr>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De lo anterior, este </w:t>
      </w:r>
      <w:proofErr w:type="spellStart"/>
      <w:r w:rsidRPr="00B21190">
        <w:rPr>
          <w:rFonts w:ascii="Palatino Linotype" w:hAnsi="Palatino Linotype" w:cs="Arial"/>
        </w:rPr>
        <w:t>Resolutor</w:t>
      </w:r>
      <w:proofErr w:type="spellEnd"/>
      <w:r w:rsidRPr="00B21190">
        <w:rPr>
          <w:rFonts w:ascii="Palatino Linotype" w:hAnsi="Palatino Linotype" w:cs="Arial"/>
        </w:rPr>
        <w:t xml:space="preserve"> en aras de tutelar el derecho de acceso a la información de los particulares, tiene la obligación de apegarse en todo momento a lo que dispone la Ley de Transparencia y Acceso a la Información Pública del Estado de México y Municipios garantizando los principios de imparcialidad y legalidad en el procedimiento de impugnación y resolución del recurso planteado, por lo que bajo tal guisa </w:t>
      </w:r>
      <w:r w:rsidRPr="00B21190">
        <w:rPr>
          <w:rFonts w:ascii="Palatino Linotype" w:hAnsi="Palatino Linotype" w:cs="Arial"/>
          <w:b/>
          <w:u w:val="single"/>
        </w:rPr>
        <w:t xml:space="preserve">es menester precisar que la naturaleza del derecho de acceso a la información impide que se dé contestación a requerimientos que conllevan al pronunciamiento </w:t>
      </w:r>
      <w:r w:rsidRPr="00B21190">
        <w:rPr>
          <w:rFonts w:ascii="Palatino Linotype" w:hAnsi="Palatino Linotype" w:cs="Arial"/>
          <w:b/>
          <w:u w:val="single"/>
        </w:rPr>
        <w:lastRenderedPageBreak/>
        <w:t>específico de interrogantes sobre variados temas, se brinde una asesoría legal o se requiera una consulta específica mediante el SAIMEX</w:t>
      </w:r>
      <w:r w:rsidRPr="00B21190">
        <w:rPr>
          <w:rFonts w:ascii="Palatino Linotype" w:hAnsi="Palatino Linotype" w:cs="Arial"/>
        </w:rPr>
        <w:t>, resultando inconcuso que su solicitud de información es improcedente porque el requerimiento consiste en un pronunciamiento sobre cuestionamientos derivados de juicios subjetivos por parte de</w:t>
      </w:r>
      <w:r>
        <w:rPr>
          <w:rFonts w:ascii="Palatino Linotype" w:hAnsi="Palatino Linotype" w:cs="Arial"/>
        </w:rPr>
        <w:t>l</w:t>
      </w:r>
      <w:r w:rsidRPr="00B21190">
        <w:rPr>
          <w:rFonts w:ascii="Palatino Linotype" w:hAnsi="Palatino Linotype" w:cs="Arial"/>
        </w:rPr>
        <w:t xml:space="preserve"> </w:t>
      </w:r>
      <w:r w:rsidRPr="00B21190">
        <w:rPr>
          <w:rFonts w:ascii="Palatino Linotype" w:hAnsi="Palatino Linotype" w:cs="Arial"/>
          <w:b/>
        </w:rPr>
        <w:t>Recurrente</w:t>
      </w:r>
      <w:r w:rsidRPr="00B21190">
        <w:rPr>
          <w:rFonts w:ascii="Palatino Linotype" w:hAnsi="Palatino Linotype" w:cs="Arial"/>
        </w:rPr>
        <w:t xml:space="preserve">, sin que se requiriera específicamente un documento al cual deseara acceder que permitiera al </w:t>
      </w:r>
      <w:r w:rsidRPr="00B21190">
        <w:rPr>
          <w:rFonts w:ascii="Palatino Linotype" w:hAnsi="Palatino Linotype" w:cs="Arial"/>
          <w:b/>
        </w:rPr>
        <w:t>Sujeto Obligado</w:t>
      </w:r>
      <w:r w:rsidRPr="00B21190">
        <w:rPr>
          <w:rFonts w:ascii="Palatino Linotype" w:hAnsi="Palatino Linotype" w:cs="Arial"/>
        </w:rPr>
        <w:t xml:space="preserve"> localizarlo y en su caso ponerlo a su disposición.</w:t>
      </w:r>
    </w:p>
    <w:p w:rsidR="00381F2A" w:rsidRPr="00B21190" w:rsidRDefault="00381F2A" w:rsidP="00381F2A">
      <w:pPr>
        <w:pStyle w:val="Sinespaciado"/>
        <w:rPr>
          <w:lang w:val="es-ES"/>
        </w:rPr>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En sustento a lo anterior, cobra aplicación lo establecido por el artículo 6 apartado A fracciones I, II y III de la Constitución Política de los Estados Unidos Mexicanos que a la letra señalan:</w:t>
      </w:r>
    </w:p>
    <w:p w:rsidR="00381F2A" w:rsidRPr="00B21190" w:rsidRDefault="00381F2A" w:rsidP="00381F2A">
      <w:pPr>
        <w:pStyle w:val="Citas"/>
      </w:pPr>
      <w:r w:rsidRPr="00B21190">
        <w:t>“Artículo 6o.</w:t>
      </w:r>
    </w:p>
    <w:p w:rsidR="00381F2A" w:rsidRPr="00B21190" w:rsidRDefault="00381F2A" w:rsidP="00381F2A">
      <w:pPr>
        <w:pStyle w:val="Citas"/>
      </w:pPr>
      <w:r w:rsidRPr="00B21190">
        <w:t>[...]</w:t>
      </w:r>
    </w:p>
    <w:p w:rsidR="00381F2A" w:rsidRPr="00B21190" w:rsidRDefault="00381F2A" w:rsidP="00381F2A">
      <w:pPr>
        <w:pStyle w:val="Citas"/>
        <w:rPr>
          <w:color w:val="000000"/>
        </w:rPr>
      </w:pPr>
      <w:r w:rsidRPr="00B21190">
        <w:rPr>
          <w:bCs/>
          <w:color w:val="000000"/>
          <w:lang w:val="es-ES_tradnl"/>
        </w:rPr>
        <w:t xml:space="preserve">A. </w:t>
      </w:r>
      <w:r w:rsidRPr="00B21190">
        <w:t xml:space="preserve">Para el ejercicio del derecho de acceso a la información, la Federación y </w:t>
      </w:r>
      <w:r w:rsidRPr="00B21190">
        <w:rPr>
          <w:u w:val="single"/>
        </w:rPr>
        <w:t>las entidades federativas</w:t>
      </w:r>
      <w:r w:rsidRPr="00B21190">
        <w:t>, en el ámbito de sus respectivas competencias, se regirán por los siguientes principios y bases:</w:t>
      </w:r>
    </w:p>
    <w:p w:rsidR="00381F2A" w:rsidRPr="00B21190" w:rsidRDefault="00381F2A" w:rsidP="00381F2A">
      <w:pPr>
        <w:pStyle w:val="Citas"/>
        <w:rPr>
          <w:rFonts w:cs="Courier New"/>
          <w:color w:val="000000"/>
        </w:rPr>
      </w:pPr>
      <w:r w:rsidRPr="008A7D00">
        <w:rPr>
          <w:b/>
          <w:bCs/>
          <w:color w:val="000000"/>
          <w:u w:val="single"/>
        </w:rPr>
        <w:t> I. Toda la información en posesión de cualquier autoridad, entidad, órgano y organismo de los Poderes Ejecutivo, Legislativo y Judicial, órganos autónomos</w:t>
      </w:r>
      <w:r w:rsidRPr="00B21190">
        <w:rPr>
          <w:color w:val="000000"/>
        </w:rPr>
        <w:t xml:space="preserve">,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w:t>
      </w:r>
      <w:r w:rsidRPr="00B21190">
        <w:rPr>
          <w:color w:val="000000"/>
        </w:rPr>
        <w:lastRenderedPageBreak/>
        <w:t>que derive del ejercicio de sus facultades, competencias o funciones, la ley determinará los supuestos específicos bajo los cuales procederá la declaración de inexistencia de la información.</w:t>
      </w:r>
    </w:p>
    <w:p w:rsidR="00381F2A" w:rsidRPr="00B21190" w:rsidRDefault="00381F2A" w:rsidP="00381F2A">
      <w:pPr>
        <w:pStyle w:val="Citas"/>
        <w:rPr>
          <w:color w:val="000000"/>
        </w:rPr>
      </w:pPr>
      <w:r w:rsidRPr="00B21190">
        <w:rPr>
          <w:color w:val="000000"/>
        </w:rPr>
        <w:t> </w:t>
      </w:r>
      <w:r w:rsidRPr="00B21190">
        <w:rPr>
          <w:bCs/>
          <w:color w:val="000000"/>
        </w:rPr>
        <w:t xml:space="preserve">II. </w:t>
      </w:r>
      <w:r w:rsidRPr="00B21190">
        <w:rPr>
          <w:color w:val="000000"/>
        </w:rPr>
        <w:t>La información que se refiere a la vida privada y los datos personales será protegida en los términos y con las excepciones que fijen las leyes.</w:t>
      </w:r>
    </w:p>
    <w:p w:rsidR="00381F2A" w:rsidRPr="008A7D00" w:rsidRDefault="00381F2A" w:rsidP="00381F2A">
      <w:pPr>
        <w:pStyle w:val="Citas"/>
        <w:rPr>
          <w:b/>
          <w:bCs/>
          <w:sz w:val="24"/>
          <w:szCs w:val="24"/>
        </w:rPr>
      </w:pPr>
      <w:r w:rsidRPr="008A7D00">
        <w:rPr>
          <w:b/>
          <w:bCs/>
          <w:color w:val="000000"/>
        </w:rPr>
        <w:t xml:space="preserve"> III. </w:t>
      </w:r>
      <w:r w:rsidRPr="008A7D00">
        <w:rPr>
          <w:b/>
          <w:bCs/>
          <w:color w:val="000000"/>
          <w:u w:val="single"/>
        </w:rPr>
        <w:t>Toda persona, sin necesidad de acreditar interés alguno o justificar su utilización, tendrá acceso gratuito a la información pública,</w:t>
      </w:r>
      <w:r w:rsidRPr="008A7D00">
        <w:rPr>
          <w:b/>
          <w:bCs/>
          <w:color w:val="000000"/>
        </w:rPr>
        <w:t xml:space="preserve"> </w:t>
      </w:r>
      <w:r w:rsidRPr="00B21190">
        <w:rPr>
          <w:color w:val="000000"/>
        </w:rPr>
        <w:t xml:space="preserve">a sus datos personales o a la rectificación de éstos.” </w:t>
      </w:r>
      <w:r>
        <w:rPr>
          <w:b/>
          <w:bCs/>
          <w:color w:val="000000"/>
        </w:rPr>
        <w:t>(Sic)</w:t>
      </w:r>
    </w:p>
    <w:p w:rsidR="00381F2A" w:rsidRPr="00B21190" w:rsidRDefault="00381F2A" w:rsidP="00381F2A">
      <w:pPr>
        <w:autoSpaceDE w:val="0"/>
        <w:autoSpaceDN w:val="0"/>
        <w:adjustRightInd w:val="0"/>
        <w:spacing w:line="360" w:lineRule="auto"/>
        <w:jc w:val="both"/>
        <w:rPr>
          <w:rFonts w:ascii="Palatino Linotype" w:hAnsi="Palatino Linotype" w:cs="Arial"/>
        </w:rPr>
      </w:pPr>
    </w:p>
    <w:p w:rsidR="00381F2A"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Dispositivo constitucional que regula que toda información en posesión de cualquier autoridad es pública y sólo podrá ser reservada por interés público y seguridad, es decir, entendiéndose como aquella que posea al momento de la solicitud, sin que se conmine a su generación derivado de una solicitud de información en específico que conlleve a realizar un procesamiento o investigaciones de la información. </w:t>
      </w:r>
    </w:p>
    <w:p w:rsidR="00381F2A" w:rsidRPr="00B21190" w:rsidRDefault="00381F2A" w:rsidP="00381F2A">
      <w:pPr>
        <w:pStyle w:val="Sinespaciado"/>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Lo anterior se concatena con lo establecido en los artículos 4 y 12, de la Ley de Transparencia y Acceso a la Información Pública del Estado de México y Municipios, los cuales esgrimen: </w:t>
      </w:r>
    </w:p>
    <w:p w:rsidR="00381F2A" w:rsidRPr="00B21190" w:rsidRDefault="00381F2A" w:rsidP="00381F2A">
      <w:pPr>
        <w:pStyle w:val="Citas"/>
      </w:pPr>
      <w:r>
        <w:rPr>
          <w:b/>
        </w:rPr>
        <w:t>“</w:t>
      </w:r>
      <w:r w:rsidRPr="00B21190">
        <w:rPr>
          <w:b/>
        </w:rPr>
        <w:t>Artículo 4.</w:t>
      </w:r>
      <w:r w:rsidRPr="00B21190">
        <w:t xml:space="preserve"> El derecho humano de acceso a la información pública es la prerrogativa de las personas para buscar, difundir, investigar, recabar, recibir y solicitar información pública, sin necesidad de acreditar personalidad ni interés jurídico.</w:t>
      </w:r>
    </w:p>
    <w:p w:rsidR="00381F2A" w:rsidRPr="00B21190" w:rsidRDefault="00381F2A" w:rsidP="00381F2A">
      <w:pPr>
        <w:pStyle w:val="Citas"/>
      </w:pPr>
      <w:r w:rsidRPr="008A7D00">
        <w:rPr>
          <w:b/>
          <w:bCs/>
          <w:u w:val="single"/>
        </w:rPr>
        <w:t xml:space="preserve">Toda la información generada, obtenida, adquirida, transformada, administrada o en posesión de los sujetos obligados es pública y accesible de </w:t>
      </w:r>
      <w:r w:rsidRPr="008A7D00">
        <w:rPr>
          <w:b/>
          <w:bCs/>
          <w:u w:val="single"/>
        </w:rPr>
        <w:lastRenderedPageBreak/>
        <w:t>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B21190">
        <w:t xml:space="preserve"> Solo podrá ser clasificada excepcionalmente como reservada temporalmente por razones de interés público, en los términos de las causas legítimas y estrictamente necesarias previstas por esta Ley.</w:t>
      </w:r>
    </w:p>
    <w:p w:rsidR="00381F2A" w:rsidRPr="00B21190" w:rsidRDefault="00381F2A" w:rsidP="00381F2A">
      <w:pPr>
        <w:pStyle w:val="Citas"/>
      </w:pPr>
      <w:r>
        <w:t>(…)</w:t>
      </w:r>
    </w:p>
    <w:p w:rsidR="00381F2A" w:rsidRPr="00B21190" w:rsidRDefault="00381F2A" w:rsidP="00381F2A">
      <w:pPr>
        <w:pStyle w:val="Citas"/>
      </w:pPr>
      <w:r w:rsidRPr="00B21190">
        <w:rPr>
          <w:b/>
        </w:rPr>
        <w:t>Artículo 12.</w:t>
      </w:r>
      <w:r w:rsidRPr="00B21190">
        <w:t xml:space="preserve"> Quienes generen, recopilen, administren, manejen, procesen, archiven o conserven información pública serán responsables de la misma en los términos de las disposiciones jurídicas aplicables.</w:t>
      </w:r>
    </w:p>
    <w:p w:rsidR="00381F2A" w:rsidRPr="008A7D00" w:rsidRDefault="00381F2A" w:rsidP="00381F2A">
      <w:pPr>
        <w:pStyle w:val="Citas"/>
        <w:rPr>
          <w:b/>
          <w:bCs/>
        </w:rPr>
      </w:pPr>
      <w:r w:rsidRPr="008A7D00">
        <w:rPr>
          <w:b/>
          <w:bCs/>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Pr>
          <w:b/>
          <w:bCs/>
          <w:u w:val="single"/>
        </w:rPr>
        <w:t xml:space="preserve">” </w:t>
      </w:r>
      <w:r>
        <w:rPr>
          <w:b/>
          <w:bCs/>
        </w:rPr>
        <w:t>(Sic)</w:t>
      </w:r>
    </w:p>
    <w:p w:rsidR="00381F2A" w:rsidRDefault="00381F2A" w:rsidP="00381F2A">
      <w:pPr>
        <w:autoSpaceDE w:val="0"/>
        <w:autoSpaceDN w:val="0"/>
        <w:adjustRightInd w:val="0"/>
        <w:spacing w:line="360" w:lineRule="auto"/>
        <w:jc w:val="both"/>
        <w:rPr>
          <w:rFonts w:ascii="Palatino Linotype" w:hAnsi="Palatino Linotype" w:cs="Arial"/>
        </w:rPr>
      </w:pPr>
    </w:p>
    <w:p w:rsidR="00381F2A"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Bajo ese tenor, es evidente que toda la información generada, obtenida, adquirida, transformada, administrada o en posesión de los sujetos obligados es pública y accesible de manera permanente a cualquier persona, empero, en los términos que establezca la normatividad aplicable, conminando a los sujetos obligado</w:t>
      </w:r>
      <w:r>
        <w:rPr>
          <w:rFonts w:ascii="Palatino Linotype" w:hAnsi="Palatino Linotype" w:cs="Arial"/>
        </w:rPr>
        <w:t>s</w:t>
      </w:r>
      <w:r w:rsidRPr="00B21190">
        <w:rPr>
          <w:rFonts w:ascii="Palatino Linotype" w:hAnsi="Palatino Linotype" w:cs="Arial"/>
        </w:rPr>
        <w:t xml:space="preserve"> a sólo proporcionar la información que se les requiera y que obre en sus archivos y en el estado en que ésta se encuentre, sin que se comprenda el procesamiento de la misma, </w:t>
      </w:r>
      <w:r w:rsidRPr="00B21190">
        <w:rPr>
          <w:rFonts w:ascii="Palatino Linotype" w:hAnsi="Palatino Linotype" w:cs="Arial"/>
        </w:rPr>
        <w:lastRenderedPageBreak/>
        <w:t>el presentarla conforme al interés del solicitante, ni generarla, resumirla, efectuar cálculos o practicar investigaciones.</w:t>
      </w:r>
    </w:p>
    <w:p w:rsidR="00381F2A" w:rsidRDefault="00381F2A" w:rsidP="00381F2A">
      <w:pPr>
        <w:autoSpaceDE w:val="0"/>
        <w:autoSpaceDN w:val="0"/>
        <w:adjustRightInd w:val="0"/>
        <w:spacing w:line="360" w:lineRule="auto"/>
        <w:jc w:val="both"/>
        <w:rPr>
          <w:rFonts w:ascii="Palatino Linotype" w:hAnsi="Palatino Linotype" w:cs="Arial"/>
        </w:rPr>
      </w:pPr>
    </w:p>
    <w:p w:rsidR="00381F2A" w:rsidRPr="00B21190" w:rsidRDefault="00381F2A" w:rsidP="00381F2A">
      <w:pPr>
        <w:spacing w:line="360" w:lineRule="auto"/>
        <w:jc w:val="both"/>
        <w:rPr>
          <w:rFonts w:ascii="Palatino Linotype" w:hAnsi="Palatino Linotype" w:cs="Arial"/>
        </w:rPr>
      </w:pPr>
      <w:r w:rsidRPr="00B21190">
        <w:rPr>
          <w:rFonts w:ascii="Palatino Linotype" w:hAnsi="Palatino Linotype" w:cs="Arial"/>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B21190">
        <w:rPr>
          <w:rFonts w:ascii="Palatino Linotype" w:hAnsi="Palatino Linotype" w:cs="Arial"/>
          <w:i/>
        </w:rPr>
        <w:t>a contrario sensu</w:t>
      </w:r>
      <w:r w:rsidRPr="00B21190">
        <w:rPr>
          <w:rFonts w:ascii="Palatino Linotype" w:hAnsi="Palatino Linotype" w:cs="Arial"/>
        </w:rPr>
        <w:t xml:space="preserve"> significa que no se está obligado a proporcionar lo que no obre en sus archivos.</w:t>
      </w:r>
    </w:p>
    <w:p w:rsidR="00381F2A" w:rsidRPr="00B21190" w:rsidRDefault="00381F2A" w:rsidP="00381F2A">
      <w:pPr>
        <w:autoSpaceDE w:val="0"/>
        <w:autoSpaceDN w:val="0"/>
        <w:adjustRightInd w:val="0"/>
        <w:spacing w:line="360" w:lineRule="auto"/>
        <w:jc w:val="both"/>
      </w:pPr>
    </w:p>
    <w:p w:rsidR="00381F2A" w:rsidRPr="00BF5AF4" w:rsidRDefault="00381F2A" w:rsidP="00381F2A">
      <w:pPr>
        <w:spacing w:line="360" w:lineRule="auto"/>
        <w:jc w:val="both"/>
        <w:rPr>
          <w:rFonts w:ascii="Palatino Linotype" w:hAnsi="Palatino Linotype"/>
        </w:rPr>
      </w:pPr>
      <w:r w:rsidRPr="00486536">
        <w:rPr>
          <w:rFonts w:ascii="Palatino Linotype" w:hAnsi="Palatino Linotype"/>
        </w:rPr>
        <w:t xml:space="preserve">Por lo anterior, al no constituirse dicho cuestionamiento como materia del derecho de acceso a la información, se considera que </w:t>
      </w:r>
      <w:r>
        <w:rPr>
          <w:rFonts w:ascii="Palatino Linotype" w:hAnsi="Palatino Linotype"/>
          <w:b/>
          <w:bCs/>
        </w:rPr>
        <w:t>E</w:t>
      </w:r>
      <w:r w:rsidRPr="00914CF1">
        <w:rPr>
          <w:rFonts w:ascii="Palatino Linotype" w:hAnsi="Palatino Linotype"/>
          <w:b/>
          <w:bCs/>
        </w:rPr>
        <w:t>l Sujeto Obligado</w:t>
      </w:r>
      <w:r w:rsidRPr="00486536">
        <w:rPr>
          <w:rFonts w:ascii="Palatino Linotype" w:hAnsi="Palatino Linotype"/>
        </w:rPr>
        <w:t xml:space="preserve"> no está constreñido a emitir una respuesta al mismo, por lo que se estima infundado el motivo de inconformidad de</w:t>
      </w:r>
      <w:r>
        <w:rPr>
          <w:rFonts w:ascii="Palatino Linotype" w:hAnsi="Palatino Linotype"/>
        </w:rPr>
        <w:t>l</w:t>
      </w:r>
      <w:r w:rsidRPr="00486536">
        <w:rPr>
          <w:rFonts w:ascii="Palatino Linotype" w:hAnsi="Palatino Linotype"/>
        </w:rPr>
        <w:t xml:space="preserve"> Recurrente.</w:t>
      </w: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 xml:space="preserve">En conclusión, la ley de la materia establece como causas de improcedencia que se trate de una consulta, o tramite en específico, lo que en la especie actualiza la fracción VI, del arábigo 191, de la multicitada </w:t>
      </w:r>
      <w:r>
        <w:rPr>
          <w:rFonts w:ascii="Palatino Linotype" w:hAnsi="Palatino Linotype" w:cs="Arial"/>
        </w:rPr>
        <w:t>ley, que a la letra reza:</w:t>
      </w:r>
    </w:p>
    <w:p w:rsidR="00381F2A" w:rsidRPr="00B21190" w:rsidRDefault="00381F2A" w:rsidP="00381F2A">
      <w:pPr>
        <w:pStyle w:val="Citas"/>
      </w:pPr>
      <w:r w:rsidRPr="00B21190">
        <w:t xml:space="preserve">“Artículo 191. El recurso será desechado por improcedente cuando: </w:t>
      </w:r>
      <w:r>
        <w:tab/>
      </w:r>
    </w:p>
    <w:p w:rsidR="00381F2A" w:rsidRPr="00B21190" w:rsidRDefault="00381F2A" w:rsidP="00381F2A">
      <w:pPr>
        <w:pStyle w:val="Citas"/>
        <w:numPr>
          <w:ilvl w:val="0"/>
          <w:numId w:val="2"/>
        </w:numPr>
        <w:rPr>
          <w:rFonts w:cs="Times New Roman"/>
          <w:lang w:val="es-ES" w:eastAsia="es-ES"/>
        </w:rPr>
      </w:pPr>
      <w:r w:rsidRPr="00B21190">
        <w:rPr>
          <w:rFonts w:cs="Times New Roman"/>
          <w:lang w:val="es-ES" w:eastAsia="es-ES"/>
        </w:rPr>
        <w:t xml:space="preserve">Sea extemporáneo por haber transcurrido el plazo establecido en la presente Ley, a partir de la respuesta; </w:t>
      </w:r>
    </w:p>
    <w:p w:rsidR="00381F2A" w:rsidRPr="00B21190" w:rsidRDefault="00381F2A" w:rsidP="00381F2A">
      <w:pPr>
        <w:pStyle w:val="Citas"/>
        <w:numPr>
          <w:ilvl w:val="0"/>
          <w:numId w:val="2"/>
        </w:numPr>
        <w:rPr>
          <w:lang w:val="es-ES" w:eastAsia="es-ES"/>
        </w:rPr>
      </w:pPr>
      <w:r w:rsidRPr="00B21190">
        <w:rPr>
          <w:rFonts w:cs="Times New Roman"/>
          <w:lang w:val="es-ES" w:eastAsia="es-ES"/>
        </w:rPr>
        <w:t xml:space="preserve">Se esté tramitando ante el Poder Judicial de la Federación algún recurso o medio de defensa interpuesto por el recurrente; </w:t>
      </w:r>
    </w:p>
    <w:p w:rsidR="00381F2A" w:rsidRPr="006479FA" w:rsidRDefault="00381F2A" w:rsidP="00381F2A">
      <w:pPr>
        <w:pStyle w:val="Citas"/>
        <w:numPr>
          <w:ilvl w:val="0"/>
          <w:numId w:val="2"/>
        </w:numPr>
        <w:rPr>
          <w:lang w:val="es-ES" w:eastAsia="es-ES"/>
        </w:rPr>
      </w:pPr>
      <w:r w:rsidRPr="006479FA">
        <w:rPr>
          <w:rFonts w:cs="Times New Roman"/>
          <w:lang w:val="es-ES" w:eastAsia="es-ES"/>
        </w:rPr>
        <w:t xml:space="preserve">No actualice alguno de los supuestos previstos en la presente Ley; </w:t>
      </w:r>
    </w:p>
    <w:p w:rsidR="00381F2A" w:rsidRPr="00B21190" w:rsidRDefault="00381F2A" w:rsidP="00381F2A">
      <w:pPr>
        <w:pStyle w:val="Citas"/>
        <w:numPr>
          <w:ilvl w:val="0"/>
          <w:numId w:val="2"/>
        </w:numPr>
        <w:rPr>
          <w:lang w:val="es-ES" w:eastAsia="es-ES"/>
        </w:rPr>
      </w:pPr>
      <w:r w:rsidRPr="00B21190">
        <w:rPr>
          <w:rFonts w:cs="Times New Roman"/>
          <w:lang w:val="es-ES" w:eastAsia="es-ES"/>
        </w:rPr>
        <w:lastRenderedPageBreak/>
        <w:t xml:space="preserve">No se haya desahogado la prevención en los términos establecidos en la presente Ley; </w:t>
      </w:r>
    </w:p>
    <w:p w:rsidR="00381F2A" w:rsidRPr="00B21190" w:rsidRDefault="00381F2A" w:rsidP="00381F2A">
      <w:pPr>
        <w:pStyle w:val="Citas"/>
        <w:numPr>
          <w:ilvl w:val="0"/>
          <w:numId w:val="2"/>
        </w:numPr>
        <w:rPr>
          <w:lang w:val="es-ES" w:eastAsia="es-ES"/>
        </w:rPr>
      </w:pPr>
      <w:r w:rsidRPr="00B21190">
        <w:rPr>
          <w:rFonts w:cs="Times New Roman"/>
          <w:lang w:val="es-ES" w:eastAsia="es-ES"/>
        </w:rPr>
        <w:t xml:space="preserve">Se impugne la veracidad de la información proporcionada; </w:t>
      </w:r>
    </w:p>
    <w:p w:rsidR="00381F2A" w:rsidRPr="00F771AA" w:rsidRDefault="00381F2A" w:rsidP="00381F2A">
      <w:pPr>
        <w:pStyle w:val="Citas"/>
        <w:numPr>
          <w:ilvl w:val="0"/>
          <w:numId w:val="2"/>
        </w:numPr>
        <w:rPr>
          <w:b/>
          <w:bCs/>
          <w:u w:val="single"/>
          <w:lang w:val="es-ES" w:eastAsia="es-ES"/>
        </w:rPr>
      </w:pPr>
      <w:r w:rsidRPr="00F771AA">
        <w:rPr>
          <w:rFonts w:cs="Times New Roman"/>
          <w:b/>
          <w:bCs/>
          <w:u w:val="single"/>
          <w:lang w:val="es-ES" w:eastAsia="es-ES"/>
        </w:rPr>
        <w:t xml:space="preserve">Se trate de una consulta, o trámite en específico; y </w:t>
      </w:r>
    </w:p>
    <w:p w:rsidR="00381F2A" w:rsidRPr="00B21190" w:rsidRDefault="00381F2A" w:rsidP="00381F2A">
      <w:pPr>
        <w:pStyle w:val="Citas"/>
        <w:numPr>
          <w:ilvl w:val="0"/>
          <w:numId w:val="2"/>
        </w:numPr>
        <w:rPr>
          <w:lang w:val="es-ES" w:eastAsia="es-ES"/>
        </w:rPr>
      </w:pPr>
      <w:r w:rsidRPr="00B21190">
        <w:rPr>
          <w:rFonts w:cs="Times New Roman"/>
          <w:lang w:val="es-ES" w:eastAsia="es-ES"/>
        </w:rPr>
        <w:t>El recurrente amplíe su solicitud en el recurso de revisión, únicamente respecto de los nuevos contenidos.</w:t>
      </w:r>
      <w:r>
        <w:rPr>
          <w:rFonts w:cs="Times New Roman"/>
          <w:lang w:val="es-ES" w:eastAsia="es-ES"/>
        </w:rPr>
        <w:t xml:space="preserve">” </w:t>
      </w:r>
      <w:r>
        <w:rPr>
          <w:rFonts w:cs="Times New Roman"/>
          <w:b/>
          <w:bCs/>
          <w:lang w:val="es-ES" w:eastAsia="es-ES"/>
        </w:rPr>
        <w:t>(Sic)</w:t>
      </w:r>
    </w:p>
    <w:p w:rsidR="00381F2A" w:rsidRPr="00B21190" w:rsidRDefault="00381F2A" w:rsidP="00381F2A">
      <w:pPr>
        <w:autoSpaceDE w:val="0"/>
        <w:autoSpaceDN w:val="0"/>
        <w:adjustRightInd w:val="0"/>
        <w:spacing w:line="360" w:lineRule="auto"/>
        <w:jc w:val="both"/>
        <w:rPr>
          <w:rFonts w:ascii="Palatino Linotype" w:hAnsi="Palatino Linotype" w:cs="Arial"/>
        </w:rPr>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t>Artículo que conca</w:t>
      </w:r>
      <w:r>
        <w:rPr>
          <w:rFonts w:ascii="Palatino Linotype" w:hAnsi="Palatino Linotype" w:cs="Arial"/>
        </w:rPr>
        <w:t>tenado con lo establecido en la fracción</w:t>
      </w:r>
      <w:r w:rsidRPr="00B21190">
        <w:rPr>
          <w:rFonts w:ascii="Palatino Linotype" w:hAnsi="Palatino Linotype" w:cs="Arial"/>
        </w:rPr>
        <w:t xml:space="preserve"> IV, del numeral 192, de la Ley de Transparencia vigente en la entidad, que a la letra establece:</w:t>
      </w:r>
    </w:p>
    <w:p w:rsidR="00381F2A" w:rsidRPr="00B21190" w:rsidRDefault="00381F2A" w:rsidP="00381F2A">
      <w:pPr>
        <w:pStyle w:val="Citas"/>
        <w:rPr>
          <w:lang w:val="es-ES" w:eastAsia="es-ES"/>
        </w:rPr>
      </w:pPr>
      <w:r w:rsidRPr="00B21190">
        <w:rPr>
          <w:lang w:val="es-ES" w:eastAsia="es-ES"/>
        </w:rPr>
        <w:t>“Artículo 192. El recurso será sobreseído, en todo o en parte, cuando una vez admitido, se actualicen alguno de los siguientes supuestos:</w:t>
      </w:r>
    </w:p>
    <w:p w:rsidR="00381F2A" w:rsidRPr="00B21190" w:rsidRDefault="00381F2A" w:rsidP="00381F2A">
      <w:pPr>
        <w:pStyle w:val="Citas"/>
        <w:numPr>
          <w:ilvl w:val="0"/>
          <w:numId w:val="3"/>
        </w:numPr>
        <w:rPr>
          <w:lang w:val="es-ES" w:eastAsia="es-ES"/>
        </w:rPr>
      </w:pPr>
      <w:r w:rsidRPr="00B21190">
        <w:rPr>
          <w:lang w:val="es-ES" w:eastAsia="es-ES"/>
        </w:rPr>
        <w:t xml:space="preserve">El recurrente se desista expresamente del recurso; </w:t>
      </w:r>
    </w:p>
    <w:p w:rsidR="00381F2A" w:rsidRPr="00B21190" w:rsidRDefault="00381F2A" w:rsidP="00381F2A">
      <w:pPr>
        <w:pStyle w:val="Citas"/>
        <w:numPr>
          <w:ilvl w:val="0"/>
          <w:numId w:val="3"/>
        </w:numPr>
        <w:rPr>
          <w:lang w:val="es-ES" w:eastAsia="es-ES"/>
        </w:rPr>
      </w:pPr>
      <w:r w:rsidRPr="00B21190">
        <w:rPr>
          <w:lang w:val="es-ES" w:eastAsia="es-ES"/>
        </w:rPr>
        <w:t xml:space="preserve">El recurrente fallezca o, tratándose de personas jurídicas colectivas, se disuelva; </w:t>
      </w:r>
    </w:p>
    <w:p w:rsidR="00381F2A" w:rsidRPr="00B21190" w:rsidRDefault="00381F2A" w:rsidP="00381F2A">
      <w:pPr>
        <w:pStyle w:val="Citas"/>
        <w:numPr>
          <w:ilvl w:val="0"/>
          <w:numId w:val="3"/>
        </w:numPr>
        <w:rPr>
          <w:lang w:val="es-ES" w:eastAsia="es-ES"/>
        </w:rPr>
      </w:pPr>
      <w:r w:rsidRPr="00B21190">
        <w:rPr>
          <w:lang w:val="es-ES" w:eastAsia="es-ES"/>
        </w:rPr>
        <w:t xml:space="preserve">El sujeto obligado responsable del acto lo modifique o revoque de tal manera que el recurso de revisión quede sin materia; </w:t>
      </w:r>
    </w:p>
    <w:p w:rsidR="00381F2A" w:rsidRPr="006E359D" w:rsidRDefault="00381F2A" w:rsidP="00381F2A">
      <w:pPr>
        <w:pStyle w:val="Citas"/>
        <w:numPr>
          <w:ilvl w:val="0"/>
          <w:numId w:val="3"/>
        </w:numPr>
        <w:rPr>
          <w:b/>
          <w:bCs/>
          <w:u w:val="single"/>
          <w:lang w:val="es-ES" w:eastAsia="es-ES"/>
        </w:rPr>
      </w:pPr>
      <w:r w:rsidRPr="006E359D">
        <w:rPr>
          <w:b/>
          <w:bCs/>
          <w:u w:val="single"/>
          <w:lang w:val="es-ES" w:eastAsia="es-ES"/>
        </w:rPr>
        <w:t xml:space="preserve">Admitido el recurso de revisión, aparezca alguna causal de improcedencia en los términos de la presente Ley; y </w:t>
      </w:r>
    </w:p>
    <w:p w:rsidR="00381F2A" w:rsidRPr="00B21190" w:rsidRDefault="00381F2A" w:rsidP="00381F2A">
      <w:pPr>
        <w:pStyle w:val="Citas"/>
        <w:numPr>
          <w:ilvl w:val="0"/>
          <w:numId w:val="3"/>
        </w:numPr>
        <w:rPr>
          <w:lang w:val="es-ES" w:eastAsia="es-ES"/>
        </w:rPr>
      </w:pPr>
      <w:r w:rsidRPr="00B21190">
        <w:rPr>
          <w:lang w:val="es-ES" w:eastAsia="es-ES"/>
        </w:rPr>
        <w:t>Cuando por cualquier motivo quede sin materia el recurso.”</w:t>
      </w:r>
      <w:r>
        <w:rPr>
          <w:lang w:val="es-ES" w:eastAsia="es-ES"/>
        </w:rPr>
        <w:t xml:space="preserve"> </w:t>
      </w:r>
      <w:r>
        <w:rPr>
          <w:b/>
          <w:bCs/>
          <w:lang w:val="es-ES" w:eastAsia="es-ES"/>
        </w:rPr>
        <w:t>(Sic)</w:t>
      </w:r>
    </w:p>
    <w:p w:rsidR="00381F2A" w:rsidRDefault="00381F2A" w:rsidP="00381F2A">
      <w:pPr>
        <w:autoSpaceDE w:val="0"/>
        <w:autoSpaceDN w:val="0"/>
        <w:adjustRightInd w:val="0"/>
        <w:spacing w:line="360" w:lineRule="auto"/>
        <w:jc w:val="both"/>
        <w:rPr>
          <w:rFonts w:ascii="Palatino Linotype" w:hAnsi="Palatino Linotype" w:cs="Arial"/>
        </w:rPr>
      </w:pPr>
    </w:p>
    <w:p w:rsidR="00381F2A" w:rsidRPr="00B21190" w:rsidRDefault="00381F2A" w:rsidP="00381F2A">
      <w:pPr>
        <w:autoSpaceDE w:val="0"/>
        <w:autoSpaceDN w:val="0"/>
        <w:adjustRightInd w:val="0"/>
        <w:spacing w:line="360" w:lineRule="auto"/>
        <w:jc w:val="both"/>
        <w:rPr>
          <w:rFonts w:ascii="Palatino Linotype" w:hAnsi="Palatino Linotype" w:cs="Arial"/>
        </w:rPr>
      </w:pPr>
      <w:r w:rsidRPr="00B21190">
        <w:rPr>
          <w:rFonts w:ascii="Palatino Linotype" w:hAnsi="Palatino Linotype" w:cs="Arial"/>
        </w:rPr>
        <w:lastRenderedPageBreak/>
        <w:t>Por lo que hace a los requisitos de procedencia del sobreseimiento en términos del artículo 191, de la ley de transparencia estatal se establece lo siguiente:</w:t>
      </w:r>
    </w:p>
    <w:p w:rsidR="00381F2A" w:rsidRDefault="00381F2A" w:rsidP="00381F2A">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Mediante acuerdo de fecha </w:t>
      </w:r>
      <w:r>
        <w:rPr>
          <w:rFonts w:ascii="Palatino Linotype" w:hAnsi="Palatino Linotype" w:cs="Arial"/>
        </w:rPr>
        <w:t xml:space="preserve">veintiséis de agosto de dos mil veinticuatro, el Comisionado Presidente José Martínez Vilchis admitió a trámite el recurso de revisión que nos ocupa. </w:t>
      </w:r>
    </w:p>
    <w:p w:rsidR="00381F2A" w:rsidRPr="00B21190" w:rsidRDefault="00381F2A" w:rsidP="00381F2A">
      <w:pPr>
        <w:pStyle w:val="Sinespaciado"/>
        <w:rPr>
          <w:lang w:val="es-ES"/>
        </w:rPr>
      </w:pPr>
    </w:p>
    <w:p w:rsidR="00381F2A" w:rsidRPr="00B21190" w:rsidRDefault="00381F2A" w:rsidP="00381F2A">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B21190">
        <w:rPr>
          <w:rFonts w:ascii="Palatino Linotype" w:hAnsi="Palatino Linotype" w:cs="Arial"/>
        </w:rPr>
        <w:t xml:space="preserve">Lo esgrimido por </w:t>
      </w:r>
      <w:r>
        <w:rPr>
          <w:rFonts w:ascii="Palatino Linotype" w:hAnsi="Palatino Linotype" w:cs="Arial"/>
          <w:b/>
        </w:rPr>
        <w:t>El</w:t>
      </w:r>
      <w:r w:rsidRPr="00B21190">
        <w:rPr>
          <w:rFonts w:ascii="Palatino Linotype" w:hAnsi="Palatino Linotype" w:cs="Arial"/>
          <w:b/>
        </w:rPr>
        <w:t xml:space="preserve"> Recurrente</w:t>
      </w:r>
      <w:r w:rsidRPr="00B21190">
        <w:rPr>
          <w:rFonts w:ascii="Palatino Linotype" w:hAnsi="Palatino Linotype" w:cs="Arial"/>
        </w:rPr>
        <w:t xml:space="preserve"> </w:t>
      </w:r>
      <w:r>
        <w:rPr>
          <w:rFonts w:ascii="Palatino Linotype" w:hAnsi="Palatino Linotype" w:cs="Arial"/>
        </w:rPr>
        <w:t>en su solicitud</w:t>
      </w:r>
      <w:r w:rsidRPr="00B21190">
        <w:rPr>
          <w:rFonts w:ascii="Palatino Linotype" w:hAnsi="Palatino Linotype" w:cs="Arial"/>
        </w:rPr>
        <w:t xml:space="preserve">, se observa </w:t>
      </w:r>
      <w:r>
        <w:rPr>
          <w:rFonts w:ascii="Palatino Linotype" w:hAnsi="Palatino Linotype" w:cs="Arial"/>
        </w:rPr>
        <w:t>no corresponde al Derecho de Acceso a la Información</w:t>
      </w:r>
      <w:r w:rsidRPr="00B21190">
        <w:rPr>
          <w:rFonts w:ascii="Palatino Linotype" w:hAnsi="Palatino Linotype" w:cs="Arial"/>
        </w:rPr>
        <w:t xml:space="preserve">, lo que arguye en que </w:t>
      </w:r>
      <w:r w:rsidRPr="00B21190">
        <w:rPr>
          <w:rFonts w:ascii="Palatino Linotype" w:hAnsi="Palatino Linotype" w:cs="Arial"/>
          <w:b/>
        </w:rPr>
        <w:t xml:space="preserve">El Sujeto Obligado </w:t>
      </w:r>
      <w:r w:rsidRPr="00B21190">
        <w:rPr>
          <w:rFonts w:ascii="Palatino Linotype" w:hAnsi="Palatino Linotype" w:cs="Arial"/>
        </w:rPr>
        <w:t>realice pronunciamientos, lo cual resulta incongruente con lo establecido en el segundo párrafo del artículo 12, de la Ley de Transparencia y Acceso a la Información Pública del Estado de México y Municipios.</w:t>
      </w:r>
    </w:p>
    <w:p w:rsidR="00381F2A" w:rsidRPr="00B21190" w:rsidRDefault="00381F2A" w:rsidP="00381F2A">
      <w:pPr>
        <w:pStyle w:val="Sinespaciado"/>
        <w:rPr>
          <w:lang w:val="es-ES"/>
        </w:rPr>
      </w:pPr>
    </w:p>
    <w:p w:rsidR="00381F2A" w:rsidRPr="00E775D6" w:rsidRDefault="00381F2A" w:rsidP="00381F2A">
      <w:pPr>
        <w:numPr>
          <w:ilvl w:val="0"/>
          <w:numId w:val="4"/>
        </w:numPr>
        <w:autoSpaceDE w:val="0"/>
        <w:autoSpaceDN w:val="0"/>
        <w:adjustRightInd w:val="0"/>
        <w:spacing w:line="360" w:lineRule="auto"/>
        <w:ind w:left="851" w:right="850" w:firstLine="10"/>
        <w:jc w:val="both"/>
        <w:rPr>
          <w:rFonts w:ascii="Palatino Linotype" w:hAnsi="Palatino Linotype" w:cs="Arial"/>
        </w:rPr>
      </w:pPr>
      <w:r w:rsidRPr="00E775D6">
        <w:rPr>
          <w:rFonts w:ascii="Palatino Linotype" w:hAnsi="Palatino Linotype" w:cs="Arial"/>
        </w:rPr>
        <w:t xml:space="preserve">El recurso </w:t>
      </w:r>
      <w:r>
        <w:rPr>
          <w:rFonts w:ascii="Palatino Linotype" w:hAnsi="Palatino Linotype" w:cs="Arial"/>
          <w:b/>
          <w:bCs/>
        </w:rPr>
        <w:t>5065/INFOEM/IP/RR/2024</w:t>
      </w:r>
      <w:r w:rsidRPr="00E775D6">
        <w:rPr>
          <w:rFonts w:ascii="Palatino Linotype" w:hAnsi="Palatino Linotype" w:cs="Arial"/>
          <w:bCs/>
        </w:rPr>
        <w:t>,</w:t>
      </w:r>
      <w:r w:rsidRPr="00E775D6">
        <w:rPr>
          <w:rFonts w:ascii="Palatino Linotype" w:hAnsi="Palatino Linotype" w:cs="Arial"/>
        </w:rPr>
        <w:t xml:space="preserve"> </w:t>
      </w:r>
      <w:r w:rsidRPr="00E775D6">
        <w:rPr>
          <w:rFonts w:ascii="Palatino Linotype" w:hAnsi="Palatino Linotype" w:cs="Arial"/>
          <w:lang w:val="es-ES_tradnl"/>
        </w:rPr>
        <w:t>actualiza la causal de improced</w:t>
      </w:r>
      <w:r>
        <w:rPr>
          <w:rFonts w:ascii="Palatino Linotype" w:hAnsi="Palatino Linotype" w:cs="Arial"/>
          <w:lang w:val="es-ES_tradnl"/>
        </w:rPr>
        <w:t>encia contenida en la fracción VI</w:t>
      </w:r>
      <w:r w:rsidRPr="00E775D6">
        <w:rPr>
          <w:rFonts w:ascii="Palatino Linotype" w:hAnsi="Palatino Linotype" w:cs="Arial"/>
          <w:lang w:val="es-ES_tradnl"/>
        </w:rPr>
        <w:t>, del artículo 191</w:t>
      </w:r>
      <w:r w:rsidRPr="00E775D6">
        <w:rPr>
          <w:rFonts w:ascii="Palatino Linotype" w:hAnsi="Palatino Linotype" w:cs="Arial"/>
        </w:rPr>
        <w:t>, de la Ley de la materia vigente en la entidad.</w:t>
      </w:r>
    </w:p>
    <w:p w:rsidR="00381F2A" w:rsidRPr="00B21190" w:rsidRDefault="00381F2A" w:rsidP="00381F2A">
      <w:pPr>
        <w:pStyle w:val="Sinespaciado"/>
      </w:pPr>
    </w:p>
    <w:p w:rsidR="00381F2A" w:rsidRDefault="00381F2A" w:rsidP="00381F2A">
      <w:pPr>
        <w:autoSpaceDE w:val="0"/>
        <w:autoSpaceDN w:val="0"/>
        <w:adjustRightInd w:val="0"/>
        <w:spacing w:line="360" w:lineRule="auto"/>
        <w:jc w:val="both"/>
        <w:rPr>
          <w:rFonts w:ascii="Palatino Linotype" w:hAnsi="Palatino Linotype"/>
        </w:rPr>
      </w:pPr>
    </w:p>
    <w:p w:rsidR="00381F2A" w:rsidRPr="00B21190" w:rsidRDefault="00381F2A" w:rsidP="00381F2A">
      <w:pPr>
        <w:autoSpaceDE w:val="0"/>
        <w:autoSpaceDN w:val="0"/>
        <w:adjustRightInd w:val="0"/>
        <w:spacing w:line="360" w:lineRule="auto"/>
        <w:jc w:val="both"/>
        <w:rPr>
          <w:rFonts w:ascii="Palatino Linotype" w:hAnsi="Palatino Linotype"/>
        </w:rPr>
      </w:pPr>
      <w:r w:rsidRPr="00B21190">
        <w:rPr>
          <w:rFonts w:ascii="Palatino Linotype" w:hAnsi="Palatino Linotype"/>
        </w:rPr>
        <w:t xml:space="preserve">Es importante resaltar a manera de analogía que la Suprema Corte de Justicia de la Nación mediante el número 2, de la Serie </w:t>
      </w:r>
      <w:r w:rsidRPr="006E359D">
        <w:rPr>
          <w:rFonts w:ascii="Palatino Linotype" w:hAnsi="Palatino Linotype"/>
          <w:b/>
          <w:bCs/>
          <w:i/>
        </w:rPr>
        <w:t>Estudios Introductorios sobre el Juicio de Amparo</w:t>
      </w:r>
      <w:r w:rsidRPr="00B21190">
        <w:rPr>
          <w:rFonts w:ascii="Palatino Linotype" w:hAnsi="Palatino Linotype"/>
          <w:i/>
        </w:rPr>
        <w:t xml:space="preserve"> </w:t>
      </w:r>
      <w:r w:rsidRPr="00B21190">
        <w:rPr>
          <w:rFonts w:ascii="Palatino Linotype" w:hAnsi="Palatino Linotype"/>
        </w:rPr>
        <w:t xml:space="preserve">relativo a </w:t>
      </w:r>
      <w:r w:rsidRPr="006E359D">
        <w:rPr>
          <w:rFonts w:ascii="Palatino Linotype" w:hAnsi="Palatino Linotype"/>
          <w:b/>
          <w:bCs/>
          <w:i/>
        </w:rPr>
        <w:t>LA IMPROCEDENCIA DE LA ACCIÓN DE AMPARO</w:t>
      </w:r>
      <w:r w:rsidRPr="00B21190">
        <w:rPr>
          <w:rFonts w:ascii="Palatino Linotype" w:hAnsi="Palatino Linotype"/>
          <w:i/>
        </w:rPr>
        <w:t xml:space="preserve"> </w:t>
      </w:r>
      <w:r w:rsidRPr="00B21190">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w:t>
      </w:r>
      <w:r w:rsidRPr="00B21190">
        <w:rPr>
          <w:rFonts w:ascii="Palatino Linotype" w:hAnsi="Palatino Linotype"/>
        </w:rPr>
        <w:lastRenderedPageBreak/>
        <w:t xml:space="preserve">acreditada desde el momento en que se presenta la demanda de amparo, </w:t>
      </w:r>
      <w:r w:rsidRPr="00B21190">
        <w:rPr>
          <w:rFonts w:ascii="Palatino Linotype" w:hAnsi="Palatino Linotype"/>
          <w:b/>
          <w:u w:val="single"/>
        </w:rPr>
        <w:t>lo que generará que la demanda sea desechada; o bien, después de admitida la demanda, lo que tendrá como consecuencia que se sobresea en el juicio.</w:t>
      </w:r>
    </w:p>
    <w:p w:rsidR="00381F2A" w:rsidRPr="00B21190" w:rsidRDefault="00381F2A" w:rsidP="00381F2A"/>
    <w:p w:rsidR="00381F2A" w:rsidRPr="00B21190" w:rsidRDefault="00381F2A" w:rsidP="00381F2A">
      <w:pPr>
        <w:pStyle w:val="Prrafodelista"/>
        <w:spacing w:line="360" w:lineRule="auto"/>
        <w:ind w:left="0" w:right="51"/>
        <w:jc w:val="both"/>
        <w:rPr>
          <w:rFonts w:ascii="Palatino Linotype" w:hAnsi="Palatino Linotype" w:cs="Arial"/>
          <w:bCs/>
          <w:lang w:eastAsia="es-MX"/>
        </w:rPr>
      </w:pPr>
      <w:r w:rsidRPr="00B21190">
        <w:rPr>
          <w:rFonts w:ascii="Palatino Linotype" w:hAnsi="Palatino Linotype" w:cs="Arial"/>
        </w:rPr>
        <w:t>En mérito de lo expuesto en líneas anteriores</w:t>
      </w:r>
      <w:r w:rsidRPr="00B21190">
        <w:rPr>
          <w:rFonts w:ascii="Palatino Linotype" w:hAnsi="Palatino Linotype"/>
          <w:noProof/>
          <w:lang w:eastAsia="es-MX"/>
        </w:rPr>
        <w:t xml:space="preserve">, resultan inoperantes los motivos de inconformidad que arguye </w:t>
      </w:r>
      <w:r>
        <w:rPr>
          <w:rFonts w:ascii="Palatino Linotype" w:hAnsi="Palatino Linotype"/>
          <w:b/>
          <w:noProof/>
          <w:lang w:eastAsia="es-MX"/>
        </w:rPr>
        <w:t>El</w:t>
      </w:r>
      <w:r w:rsidRPr="00B21190">
        <w:rPr>
          <w:rFonts w:ascii="Palatino Linotype" w:hAnsi="Palatino Linotype"/>
          <w:b/>
          <w:noProof/>
          <w:lang w:eastAsia="es-MX"/>
        </w:rPr>
        <w:t xml:space="preserve"> Recurrente</w:t>
      </w:r>
      <w:r w:rsidRPr="00B21190">
        <w:rPr>
          <w:rFonts w:ascii="Palatino Linotype" w:hAnsi="Palatino Linotype"/>
          <w:noProof/>
          <w:lang w:eastAsia="es-MX"/>
        </w:rPr>
        <w:t xml:space="preserve"> en su medio de impugnación que fue materia de estudio, </w:t>
      </w:r>
      <w:r w:rsidRPr="00B21190">
        <w:rPr>
          <w:rFonts w:ascii="Palatino Linotype" w:hAnsi="Palatino Linotype" w:cs="Arial"/>
        </w:rPr>
        <w:t xml:space="preserve">por ello con fundamento en el artículo 192, fracción IV, de la Ley de Transparencia y Acceso a la Información Pública del Estado de México y Municipios, se </w:t>
      </w:r>
      <w:r w:rsidRPr="00B21190">
        <w:rPr>
          <w:rFonts w:ascii="Palatino Linotype" w:hAnsi="Palatino Linotype" w:cs="Arial"/>
          <w:b/>
        </w:rPr>
        <w:t>SOBRESEE</w:t>
      </w:r>
      <w:r w:rsidRPr="00B21190">
        <w:rPr>
          <w:rFonts w:ascii="Palatino Linotype" w:hAnsi="Palatino Linotype" w:cs="Arial"/>
        </w:rPr>
        <w:t xml:space="preserve"> el recurso de revisión</w:t>
      </w:r>
      <w:r w:rsidRPr="00FC5A5C">
        <w:t xml:space="preserve"> </w:t>
      </w:r>
      <w:r w:rsidR="005900AB" w:rsidRPr="005900AB">
        <w:rPr>
          <w:rFonts w:ascii="Palatino Linotype" w:hAnsi="Palatino Linotype"/>
          <w:b/>
        </w:rPr>
        <w:t>0</w:t>
      </w:r>
      <w:r>
        <w:rPr>
          <w:rFonts w:ascii="Palatino Linotype" w:hAnsi="Palatino Linotype"/>
          <w:b/>
          <w:bCs/>
        </w:rPr>
        <w:t xml:space="preserve">5065/INFOEM/IP/RR/2024 </w:t>
      </w:r>
      <w:r w:rsidRPr="00986A5D">
        <w:rPr>
          <w:rFonts w:ascii="Palatino Linotype" w:eastAsiaTheme="minorEastAsia" w:hAnsi="Palatino Linotype"/>
          <w:b/>
          <w:lang w:val="es-ES_tradnl"/>
        </w:rPr>
        <w:t>por actualizarse la causal de improcedencia, establecid</w:t>
      </w:r>
      <w:r>
        <w:rPr>
          <w:rFonts w:ascii="Palatino Linotype" w:eastAsiaTheme="minorEastAsia" w:hAnsi="Palatino Linotype"/>
          <w:b/>
          <w:lang w:val="es-ES_tradnl"/>
        </w:rPr>
        <w:t xml:space="preserve">a en el artículo 191, fracción </w:t>
      </w:r>
      <w:r w:rsidRPr="00381F2A">
        <w:rPr>
          <w:rFonts w:ascii="Palatino Linotype" w:eastAsiaTheme="minorEastAsia" w:hAnsi="Palatino Linotype"/>
          <w:b/>
          <w:lang w:val="es-ES_tradnl"/>
        </w:rPr>
        <w:t>VI,</w:t>
      </w:r>
      <w:r w:rsidRPr="00986A5D">
        <w:rPr>
          <w:rFonts w:ascii="Palatino Linotype" w:eastAsiaTheme="minorEastAsia" w:hAnsi="Palatino Linotype"/>
          <w:b/>
          <w:lang w:val="es-ES_tradnl"/>
        </w:rPr>
        <w:t xml:space="preserve"> esto es el Recurso se presentó en forma de consulta</w:t>
      </w:r>
      <w:r w:rsidRPr="00B21190">
        <w:rPr>
          <w:rFonts w:ascii="Palatino Linotype" w:eastAsiaTheme="minorEastAsia" w:hAnsi="Palatino Linotype"/>
          <w:lang w:val="es-ES_tradnl"/>
        </w:rPr>
        <w:t>,</w:t>
      </w:r>
      <w:r w:rsidRPr="00B21190">
        <w:rPr>
          <w:rFonts w:ascii="Palatino Linotype" w:eastAsiaTheme="minorEastAsia" w:hAnsi="Palatino Linotype"/>
          <w:b/>
          <w:lang w:val="es-ES_tradnl"/>
        </w:rPr>
        <w:t xml:space="preserve"> </w:t>
      </w:r>
      <w:r w:rsidRPr="00B21190">
        <w:rPr>
          <w:rFonts w:ascii="Palatino Linotype" w:hAnsi="Palatino Linotype" w:cs="Arial"/>
          <w:bCs/>
          <w:lang w:eastAsia="es-MX"/>
        </w:rPr>
        <w:t>que ha sido materia del presente fallo.</w:t>
      </w:r>
    </w:p>
    <w:p w:rsidR="00381F2A" w:rsidRPr="00B21190" w:rsidRDefault="00381F2A" w:rsidP="00381F2A">
      <w:pPr>
        <w:autoSpaceDE w:val="0"/>
        <w:autoSpaceDN w:val="0"/>
        <w:adjustRightInd w:val="0"/>
        <w:spacing w:line="276" w:lineRule="auto"/>
        <w:ind w:right="-234"/>
        <w:jc w:val="both"/>
        <w:rPr>
          <w:rFonts w:ascii="Palatino Linotype" w:hAnsi="Palatino Linotype" w:cs="Arial"/>
          <w:sz w:val="18"/>
        </w:rPr>
      </w:pPr>
    </w:p>
    <w:p w:rsidR="00381F2A" w:rsidRPr="00B21190" w:rsidRDefault="00381F2A" w:rsidP="00381F2A">
      <w:pPr>
        <w:autoSpaceDE w:val="0"/>
        <w:autoSpaceDN w:val="0"/>
        <w:adjustRightInd w:val="0"/>
        <w:spacing w:line="276" w:lineRule="auto"/>
        <w:ind w:right="-234"/>
        <w:jc w:val="both"/>
        <w:rPr>
          <w:rFonts w:ascii="Palatino Linotype" w:hAnsi="Palatino Linotype" w:cs="Arial"/>
        </w:rPr>
      </w:pPr>
      <w:r w:rsidRPr="00B21190">
        <w:rPr>
          <w:rFonts w:ascii="Palatino Linotype" w:hAnsi="Palatino Linotype" w:cs="Arial"/>
        </w:rPr>
        <w:t>Por lo antes expuesto y fundado es de resolverse y,</w:t>
      </w:r>
    </w:p>
    <w:p w:rsidR="00381F2A" w:rsidRDefault="00381F2A" w:rsidP="00381F2A">
      <w:pPr>
        <w:pStyle w:val="Citas"/>
        <w:ind w:left="0" w:right="-18"/>
        <w:rPr>
          <w:i w:val="0"/>
          <w:iCs/>
          <w:sz w:val="24"/>
          <w:szCs w:val="24"/>
        </w:rPr>
      </w:pPr>
    </w:p>
    <w:p w:rsidR="00381F2A" w:rsidRPr="00B21190" w:rsidRDefault="00381F2A" w:rsidP="00381F2A">
      <w:pPr>
        <w:spacing w:line="276" w:lineRule="auto"/>
        <w:ind w:right="-234" w:firstLine="567"/>
        <w:jc w:val="center"/>
        <w:rPr>
          <w:rFonts w:ascii="Palatino Linotype" w:hAnsi="Palatino Linotype"/>
          <w:b/>
          <w:sz w:val="28"/>
          <w:lang w:val="pt-BR"/>
        </w:rPr>
      </w:pPr>
      <w:r w:rsidRPr="00B21190">
        <w:rPr>
          <w:rFonts w:ascii="Palatino Linotype" w:hAnsi="Palatino Linotype"/>
          <w:b/>
          <w:sz w:val="28"/>
          <w:lang w:val="pt-BR"/>
        </w:rPr>
        <w:t>SE   R E S U E L V E</w:t>
      </w:r>
    </w:p>
    <w:p w:rsidR="00381F2A" w:rsidRPr="00D85087" w:rsidRDefault="00381F2A" w:rsidP="00381F2A">
      <w:pPr>
        <w:spacing w:line="360" w:lineRule="auto"/>
        <w:jc w:val="both"/>
        <w:rPr>
          <w:rFonts w:ascii="Palatino Linotype" w:hAnsi="Palatino Linotype" w:cs="Palatino Linotype"/>
        </w:rPr>
      </w:pPr>
    </w:p>
    <w:p w:rsidR="00381F2A" w:rsidRDefault="00381F2A" w:rsidP="00381F2A">
      <w:pPr>
        <w:spacing w:line="360" w:lineRule="auto"/>
        <w:jc w:val="both"/>
        <w:rPr>
          <w:rFonts w:ascii="Palatino Linotype" w:hAnsi="Palatino Linotype" w:cs="Arial"/>
          <w:lang w:val="es-ES_tradnl"/>
        </w:rPr>
      </w:pPr>
      <w:r w:rsidRPr="00986A5D">
        <w:rPr>
          <w:rFonts w:ascii="Palatino Linotype" w:hAnsi="Palatino Linotype" w:cs="Arial"/>
          <w:b/>
          <w:lang w:val="es-ES_tradnl"/>
        </w:rPr>
        <w:t>PRIMERO.</w:t>
      </w:r>
      <w:r w:rsidRPr="00986A5D">
        <w:rPr>
          <w:rFonts w:ascii="Palatino Linotype" w:hAnsi="Palatino Linotype" w:cs="Arial"/>
          <w:lang w:val="es-ES_tradnl"/>
        </w:rPr>
        <w:t xml:space="preserve"> Se </w:t>
      </w:r>
      <w:r w:rsidRPr="00986A5D">
        <w:rPr>
          <w:rFonts w:ascii="Palatino Linotype" w:hAnsi="Palatino Linotype" w:cs="Arial"/>
          <w:b/>
          <w:lang w:val="es-ES_tradnl"/>
        </w:rPr>
        <w:t xml:space="preserve">SOBRESEE </w:t>
      </w:r>
      <w:r w:rsidRPr="00986A5D">
        <w:rPr>
          <w:rFonts w:ascii="Palatino Linotype" w:hAnsi="Palatino Linotype" w:cs="Arial"/>
          <w:lang w:val="es-ES_tradnl"/>
        </w:rPr>
        <w:t xml:space="preserve">el recurso de revisión número </w:t>
      </w:r>
      <w:r w:rsidR="005900AB">
        <w:rPr>
          <w:rFonts w:ascii="Palatino Linotype" w:hAnsi="Palatino Linotype" w:cs="Arial"/>
          <w:b/>
          <w:lang w:val="es-ES_tradnl"/>
        </w:rPr>
        <w:t>0</w:t>
      </w:r>
      <w:r>
        <w:rPr>
          <w:rFonts w:ascii="Palatino Linotype" w:hAnsi="Palatino Linotype" w:cs="Arial"/>
          <w:b/>
          <w:lang w:val="es-ES_tradnl"/>
        </w:rPr>
        <w:t>5065/INFOEM/IP/RR/2024</w:t>
      </w:r>
      <w:r w:rsidRPr="00986A5D">
        <w:rPr>
          <w:rFonts w:ascii="Palatino Linotype" w:hAnsi="Palatino Linotype" w:cs="Arial"/>
          <w:lang w:val="es-ES_tradnl"/>
        </w:rPr>
        <w:t xml:space="preserve">, de conformidad con el artículo 192, fracción IV por actualizarse la causal de improcedencia </w:t>
      </w:r>
      <w:r>
        <w:rPr>
          <w:rFonts w:ascii="Palatino Linotype" w:hAnsi="Palatino Linotype" w:cs="Arial"/>
          <w:lang w:val="es-ES_tradnl"/>
        </w:rPr>
        <w:t>contenida</w:t>
      </w:r>
      <w:r w:rsidRPr="00986A5D">
        <w:rPr>
          <w:rFonts w:ascii="Palatino Linotype" w:hAnsi="Palatino Linotype" w:cs="Arial"/>
          <w:lang w:val="es-ES_tradnl"/>
        </w:rPr>
        <w:t xml:space="preserve"> e</w:t>
      </w:r>
      <w:r>
        <w:rPr>
          <w:rFonts w:ascii="Palatino Linotype" w:hAnsi="Palatino Linotype" w:cs="Arial"/>
          <w:lang w:val="es-ES_tradnl"/>
        </w:rPr>
        <w:t xml:space="preserve">n la fracción </w:t>
      </w:r>
      <w:r w:rsidRPr="00381F2A">
        <w:rPr>
          <w:rFonts w:ascii="Palatino Linotype" w:hAnsi="Palatino Linotype" w:cs="Arial"/>
          <w:lang w:val="es-ES_tradnl"/>
        </w:rPr>
        <w:t>VI,</w:t>
      </w:r>
      <w:r w:rsidRPr="00986A5D">
        <w:rPr>
          <w:rFonts w:ascii="Palatino Linotype" w:hAnsi="Palatino Linotype" w:cs="Arial"/>
          <w:lang w:val="es-ES_tradnl"/>
        </w:rPr>
        <w:t xml:space="preserve"> del artículo 191, </w:t>
      </w:r>
      <w:r>
        <w:rPr>
          <w:rFonts w:ascii="Palatino Linotype" w:hAnsi="Palatino Linotype" w:cs="Arial"/>
          <w:lang w:val="es-ES_tradnl"/>
        </w:rPr>
        <w:t xml:space="preserve">ambos </w:t>
      </w:r>
      <w:r w:rsidRPr="00986A5D">
        <w:rPr>
          <w:rFonts w:ascii="Palatino Linotype" w:hAnsi="Palatino Linotype" w:cs="Arial"/>
          <w:lang w:val="es-ES_tradnl"/>
        </w:rPr>
        <w:t xml:space="preserve">de la Ley de Transparencia </w:t>
      </w:r>
      <w:r w:rsidRPr="00F51FFB">
        <w:rPr>
          <w:rFonts w:ascii="Palatino Linotype" w:hAnsi="Palatino Linotype" w:cs="Arial"/>
          <w:lang w:val="es-ES_tradnl"/>
        </w:rPr>
        <w:t>y Acceso a la Información Pública del Estado de México y Municipios</w:t>
      </w:r>
      <w:r w:rsidRPr="00986A5D">
        <w:rPr>
          <w:rFonts w:ascii="Palatino Linotype" w:hAnsi="Palatino Linotype" w:cs="Arial"/>
          <w:lang w:val="es-ES_tradnl"/>
        </w:rPr>
        <w:t xml:space="preserve">, en términos del Considerando </w:t>
      </w:r>
      <w:r w:rsidRPr="00986A5D">
        <w:rPr>
          <w:rFonts w:ascii="Palatino Linotype" w:hAnsi="Palatino Linotype" w:cs="Arial"/>
          <w:b/>
          <w:lang w:val="es-ES_tradnl"/>
        </w:rPr>
        <w:t>TERCERO</w:t>
      </w:r>
      <w:r w:rsidRPr="00986A5D">
        <w:rPr>
          <w:rFonts w:ascii="Palatino Linotype" w:hAnsi="Palatino Linotype" w:cs="Arial"/>
          <w:lang w:val="es-ES_tradnl"/>
        </w:rPr>
        <w:t xml:space="preserve"> de la presente resolución.</w:t>
      </w:r>
    </w:p>
    <w:p w:rsidR="00381F2A" w:rsidRPr="00986A5D" w:rsidRDefault="00381F2A" w:rsidP="00381F2A">
      <w:pPr>
        <w:spacing w:line="360" w:lineRule="auto"/>
        <w:jc w:val="both"/>
        <w:rPr>
          <w:rFonts w:ascii="Palatino Linotype" w:hAnsi="Palatino Linotype" w:cs="Arial"/>
          <w:lang w:val="es-ES_tradnl"/>
        </w:rPr>
      </w:pPr>
    </w:p>
    <w:p w:rsidR="00381F2A" w:rsidRDefault="00381F2A" w:rsidP="00381F2A">
      <w:pPr>
        <w:spacing w:line="360" w:lineRule="auto"/>
        <w:jc w:val="both"/>
        <w:rPr>
          <w:rFonts w:ascii="Palatino Linotype" w:hAnsi="Palatino Linotype" w:cs="Palatino Linotype"/>
        </w:rPr>
      </w:pPr>
      <w:r>
        <w:rPr>
          <w:rFonts w:ascii="Palatino Linotype" w:hAnsi="Palatino Linotype" w:cs="Palatino Linotype"/>
          <w:b/>
        </w:rPr>
        <w:lastRenderedPageBreak/>
        <w:t>SEGUNDO.</w:t>
      </w:r>
      <w:r>
        <w:rPr>
          <w:rFonts w:ascii="Palatino Linotype" w:hAnsi="Palatino Linotype" w:cs="Palatino Linotype"/>
        </w:rPr>
        <w:t xml:space="preserve"> </w:t>
      </w:r>
      <w:r>
        <w:rPr>
          <w:rFonts w:ascii="Palatino Linotype" w:hAnsi="Palatino Linotype" w:cs="Palatino Linotype"/>
          <w:b/>
        </w:rPr>
        <w:t>Notifíquese</w:t>
      </w:r>
      <w:r>
        <w:rPr>
          <w:rFonts w:ascii="Palatino Linotype" w:hAnsi="Palatino Linotype" w:cs="Palatino Linotype"/>
        </w:rPr>
        <w:t xml:space="preserve"> la presente resolución al Titular de la Unidad de Transparencia del Sujeto Obligado mediante el Sistema de Acceso a la Información Mexiquense (SAIMEX).</w:t>
      </w:r>
    </w:p>
    <w:p w:rsidR="00381F2A" w:rsidRDefault="00381F2A" w:rsidP="00381F2A">
      <w:pPr>
        <w:spacing w:line="360" w:lineRule="auto"/>
        <w:jc w:val="both"/>
        <w:rPr>
          <w:rFonts w:ascii="Palatino Linotype" w:hAnsi="Palatino Linotype" w:cs="Palatino Linotype"/>
        </w:rPr>
      </w:pPr>
    </w:p>
    <w:p w:rsidR="00381F2A" w:rsidRDefault="00381F2A" w:rsidP="00381F2A">
      <w:pPr>
        <w:spacing w:line="360" w:lineRule="auto"/>
        <w:jc w:val="both"/>
        <w:rPr>
          <w:rFonts w:ascii="Palatino Linotype" w:hAnsi="Palatino Linotype" w:cs="Palatino Linotype"/>
        </w:rPr>
      </w:pPr>
      <w:r>
        <w:rPr>
          <w:rFonts w:ascii="Palatino Linotype" w:hAnsi="Palatino Linotype" w:cs="Palatino Linotype"/>
          <w:b/>
        </w:rPr>
        <w:t>TERCERO. Notifíquese</w:t>
      </w:r>
      <w:r>
        <w:rPr>
          <w:rFonts w:ascii="Palatino Linotype" w:hAnsi="Palatino Linotype" w:cs="Palatino Linotype"/>
        </w:rPr>
        <w:t xml:space="preserve"> la presente resolución al Recurrente</w:t>
      </w:r>
      <w:r>
        <w:t xml:space="preserve"> </w:t>
      </w:r>
      <w:r>
        <w:rPr>
          <w:rFonts w:ascii="Palatino Linotype" w:hAnsi="Palatino Linotype" w:cs="Palatino Linotype"/>
        </w:rPr>
        <w:t>a través del Sistema de Acceso a la Información Mexiquense (SAIMEX), y hágase de su conocimiento que, en caso de considerar que la misma le causa algún perjuicio, podrá promover el Juicio de Amparo en los términos de las leyes aplicables, de acuerdo a lo estipulado por el artículo 196 de la Ley de Transparencia y Acceso a la Información Pública del Estado de México y Municipios.</w:t>
      </w:r>
    </w:p>
    <w:p w:rsidR="00381F2A" w:rsidRDefault="00381F2A" w:rsidP="00381F2A">
      <w:pPr>
        <w:autoSpaceDE w:val="0"/>
        <w:autoSpaceDN w:val="0"/>
        <w:adjustRightInd w:val="0"/>
        <w:spacing w:line="360" w:lineRule="auto"/>
        <w:jc w:val="both"/>
        <w:rPr>
          <w:rFonts w:ascii="Palatino Linotype" w:hAnsi="Palatino Linotype" w:cs="Arial"/>
        </w:rPr>
      </w:pPr>
    </w:p>
    <w:p w:rsidR="00381F2A" w:rsidRPr="007C3942" w:rsidRDefault="00381F2A" w:rsidP="00381F2A">
      <w:pPr>
        <w:spacing w:line="360" w:lineRule="auto"/>
        <w:jc w:val="both"/>
        <w:rPr>
          <w:rFonts w:ascii="Palatino Linotype" w:hAnsi="Palatino Linotype" w:cs="Arial"/>
        </w:rPr>
      </w:pPr>
      <w:r w:rsidRPr="007C3942">
        <w:rPr>
          <w:rFonts w:ascii="Palatino Linotype" w:hAnsi="Palatino Linotype" w:cs="Arial"/>
        </w:rPr>
        <w:t xml:space="preserve">ASÍ LO RESUELVE, POR </w:t>
      </w:r>
      <w:r>
        <w:rPr>
          <w:rFonts w:ascii="Palatino Linotype" w:hAnsi="Palatino Linotype" w:cs="Arial"/>
        </w:rPr>
        <w:t xml:space="preserve">UNANIMIDAD </w:t>
      </w:r>
      <w:r w:rsidRPr="007C3942">
        <w:rPr>
          <w:rFonts w:ascii="Palatino Linotype" w:hAnsi="Palatino Linotype" w:cs="Arial"/>
        </w:rPr>
        <w:t>DE VOTOS EL PLENO DEL</w:t>
      </w:r>
      <w:r w:rsidRPr="007C3942">
        <w:rPr>
          <w:rFonts w:ascii="Palatino Linotype" w:eastAsia="Arial Unicode MS" w:hAnsi="Palatino Linotype" w:cs="Arial"/>
        </w:rPr>
        <w:t xml:space="preserve"> INSTITUTO DE TRANSPARENCIA, ACCESO A LA INFORMACIÓN PÚBLICA Y PROTECCIÓN DE DATOS PERSONALES DEL ESTADO DE MÉXICO Y MUNICIPIOS</w:t>
      </w:r>
      <w:r w:rsidRPr="007C3942">
        <w:rPr>
          <w:rFonts w:ascii="Palatino Linotype" w:hAnsi="Palatino Linotype" w:cs="Arial"/>
        </w:rPr>
        <w:t xml:space="preserve">, CONFORMADO POR LOS COMISIONADOS JOSÉ MARTÍNEZ VILCHIS, MARÍA DEL ROSARIO MEJÍA AYALA, SHARON CRISTINA MORALES MARTÍNEZ, LUIS GUSTAVO PARRA NORIEGA </w:t>
      </w:r>
      <w:r>
        <w:rPr>
          <w:rFonts w:ascii="Palatino Linotype" w:hAnsi="Palatino Linotype" w:cs="Arial"/>
        </w:rPr>
        <w:t xml:space="preserve">Y GUADALUPE RAMÍREZ PEÑA, EN LA TRIGÉSIMA SEGUNDA </w:t>
      </w:r>
      <w:r w:rsidRPr="007C3942">
        <w:rPr>
          <w:rFonts w:ascii="Palatino Linotype" w:hAnsi="Palatino Linotype" w:cs="Arial"/>
        </w:rPr>
        <w:t>SESIÓN ORDINARIA CELEBRADA</w:t>
      </w:r>
      <w:r w:rsidR="00490343">
        <w:rPr>
          <w:rFonts w:ascii="Palatino Linotype" w:hAnsi="Palatino Linotype" w:cs="Arial"/>
        </w:rPr>
        <w:t xml:space="preserve"> EL</w:t>
      </w:r>
      <w:r w:rsidRPr="007C3942">
        <w:rPr>
          <w:rFonts w:ascii="Palatino Linotype" w:hAnsi="Palatino Linotype" w:cs="Arial"/>
        </w:rPr>
        <w:t xml:space="preserve"> </w:t>
      </w:r>
      <w:r>
        <w:rPr>
          <w:rFonts w:ascii="Palatino Linotype" w:hAnsi="Palatino Linotype" w:cs="Arial"/>
        </w:rPr>
        <w:t>ONCE DE SEPTIEMBRE DE DOS MIL VEINTICUATRO</w:t>
      </w:r>
      <w:r w:rsidRPr="007C3942">
        <w:rPr>
          <w:rFonts w:ascii="Palatino Linotype" w:hAnsi="Palatino Linotype" w:cs="Arial"/>
        </w:rPr>
        <w:t>, ANTE EL SECRETARIO TÉCNICO DEL PLENO, ALEXIS TAPIA RAMÍREZ. ------------------------------------------</w:t>
      </w:r>
      <w:r>
        <w:rPr>
          <w:rFonts w:ascii="Palatino Linotype" w:hAnsi="Palatino Linotype" w:cs="Arial"/>
        </w:rPr>
        <w:t>-------------</w:t>
      </w:r>
      <w:r w:rsidRPr="007C3942">
        <w:rPr>
          <w:rFonts w:ascii="Palatino Linotype" w:hAnsi="Palatino Linotype" w:cs="Arial"/>
        </w:rPr>
        <w:t>----------------------</w:t>
      </w:r>
      <w:r>
        <w:rPr>
          <w:rFonts w:ascii="Palatino Linotype" w:hAnsi="Palatino Linotype" w:cs="Arial"/>
        </w:rPr>
        <w:t>--------------------------------------------------------------------------------------------------------------------------------------------------------------------------------------------------------------------------------------------------------------------------------------</w:t>
      </w:r>
      <w:r w:rsidR="005900AB">
        <w:rPr>
          <w:rFonts w:ascii="Palatino Linotype" w:hAnsi="Palatino Linotype" w:cs="Arial"/>
        </w:rPr>
        <w:t>---------------------------------------------</w:t>
      </w:r>
    </w:p>
    <w:p w:rsidR="00381F2A" w:rsidRPr="00E11432" w:rsidRDefault="00381F2A" w:rsidP="00381F2A">
      <w:pPr>
        <w:pStyle w:val="Textoindependiente"/>
        <w:spacing w:after="0" w:line="360" w:lineRule="auto"/>
        <w:jc w:val="both"/>
        <w:rPr>
          <w:rFonts w:ascii="Palatino Linotype" w:eastAsiaTheme="minorEastAsia" w:hAnsi="Palatino Linotype"/>
          <w:color w:val="000000" w:themeColor="text1"/>
          <w:sz w:val="24"/>
          <w:szCs w:val="24"/>
          <w:lang w:val="es-ES_tradnl" w:eastAsia="es-ES"/>
        </w:rPr>
      </w:pPr>
      <w:r>
        <w:rPr>
          <w:rFonts w:ascii="Palatino Linotype" w:hAnsi="Palatino Linotype" w:cs="Arial"/>
          <w:sz w:val="20"/>
        </w:rPr>
        <w:t>JMV/</w:t>
      </w:r>
      <w:r w:rsidRPr="007C3942">
        <w:rPr>
          <w:rFonts w:ascii="Palatino Linotype" w:hAnsi="Palatino Linotype" w:cs="Arial"/>
          <w:sz w:val="20"/>
        </w:rPr>
        <w:t>CCR/</w:t>
      </w:r>
      <w:r>
        <w:rPr>
          <w:rFonts w:ascii="Palatino Linotype" w:hAnsi="Palatino Linotype" w:cs="Arial"/>
          <w:sz w:val="20"/>
        </w:rPr>
        <w:t>LMST</w:t>
      </w:r>
    </w:p>
    <w:p w:rsidR="00381F2A" w:rsidRPr="005323D1" w:rsidRDefault="00381F2A" w:rsidP="00381F2A">
      <w:pPr>
        <w:spacing w:line="360" w:lineRule="auto"/>
        <w:jc w:val="both"/>
        <w:rPr>
          <w:rFonts w:ascii="Palatino Linotype" w:hAnsi="Palatino Linotype" w:cs="Arial"/>
          <w:sz w:val="20"/>
        </w:rPr>
      </w:pPr>
    </w:p>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381F2A" w:rsidRDefault="00381F2A" w:rsidP="00381F2A"/>
    <w:p w:rsidR="00C73C95" w:rsidRDefault="00C73C95"/>
    <w:sectPr w:rsidR="00C73C95" w:rsidSect="009A63BD">
      <w:headerReference w:type="default" r:id="rId8"/>
      <w:footerReference w:type="default" r:id="rId9"/>
      <w:headerReference w:type="first" r:id="rId10"/>
      <w:footerReference w:type="first" r:id="rId11"/>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F2A" w:rsidRDefault="00381F2A" w:rsidP="00381F2A">
      <w:r>
        <w:separator/>
      </w:r>
    </w:p>
  </w:endnote>
  <w:endnote w:type="continuationSeparator" w:id="0">
    <w:p w:rsidR="00381F2A" w:rsidRDefault="00381F2A" w:rsidP="0038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BD" w:rsidRPr="00A2780F" w:rsidRDefault="005C3B99"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F5412">
      <w:rPr>
        <w:rFonts w:ascii="Arial" w:hAnsi="Arial" w:cs="Arial"/>
        <w:b/>
        <w:bCs/>
        <w:noProof/>
        <w:sz w:val="20"/>
        <w:szCs w:val="20"/>
      </w:rPr>
      <w:t>21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F5412">
      <w:rPr>
        <w:rFonts w:ascii="Arial" w:hAnsi="Arial" w:cs="Arial"/>
        <w:b/>
        <w:bCs/>
        <w:noProof/>
        <w:sz w:val="20"/>
        <w:szCs w:val="20"/>
      </w:rPr>
      <w:t>34</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BD" w:rsidRPr="00070856" w:rsidRDefault="005C3B99" w:rsidP="009A63BD">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DF5412">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DF5412">
      <w:rPr>
        <w:rFonts w:ascii="Arial" w:hAnsi="Arial" w:cs="Arial"/>
        <w:b/>
        <w:bCs/>
        <w:noProof/>
        <w:sz w:val="20"/>
        <w:szCs w:val="20"/>
      </w:rPr>
      <w:t>34</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F2A" w:rsidRDefault="00381F2A" w:rsidP="00381F2A">
      <w:r>
        <w:separator/>
      </w:r>
    </w:p>
  </w:footnote>
  <w:footnote w:type="continuationSeparator" w:id="0">
    <w:p w:rsidR="00381F2A" w:rsidRDefault="00381F2A" w:rsidP="00381F2A">
      <w:r>
        <w:continuationSeparator/>
      </w:r>
    </w:p>
  </w:footnote>
  <w:footnote w:id="1">
    <w:p w:rsidR="00381F2A" w:rsidRPr="00911081" w:rsidRDefault="00381F2A" w:rsidP="00381F2A">
      <w:pPr>
        <w:jc w:val="both"/>
        <w:rPr>
          <w:rFonts w:ascii="Palatino Linotype" w:hAnsi="Palatino Linotype"/>
          <w:b/>
          <w:bCs/>
          <w:i/>
          <w:sz w:val="16"/>
          <w:szCs w:val="16"/>
        </w:rPr>
      </w:pPr>
      <w:r>
        <w:rPr>
          <w:rStyle w:val="Refdenotaalpie"/>
          <w:rFonts w:asciiTheme="minorHAnsi" w:eastAsiaTheme="minorEastAsia" w:hAnsiTheme="minorHAnsi"/>
          <w:sz w:val="22"/>
          <w:szCs w:val="22"/>
          <w:lang w:val="es-MX" w:eastAsia="en-US"/>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381F2A" w:rsidRDefault="00381F2A" w:rsidP="00381F2A">
      <w:pPr>
        <w:jc w:val="both"/>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381F2A" w:rsidRDefault="00381F2A" w:rsidP="00381F2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MX"/>
        </w:rPr>
        <w:t xml:space="preserve">BURGOA ORIHUELA Ignacio. </w:t>
      </w:r>
      <w:r>
        <w:rPr>
          <w:rFonts w:ascii="Palatino Linotype" w:eastAsia="MS Mincho" w:hAnsi="Palatino Linotype" w:cs="Arial"/>
          <w:i/>
          <w:sz w:val="16"/>
          <w:szCs w:val="16"/>
          <w:lang w:eastAsia="es-MX"/>
        </w:rPr>
        <w:t>Diccionario De Derecho Constitucional, Garantías y Amparo</w:t>
      </w:r>
      <w:r>
        <w:rPr>
          <w:rFonts w:ascii="Palatino Linotype" w:eastAsia="MS Mincho" w:hAnsi="Palatino Linotype" w:cs="Arial"/>
          <w:sz w:val="16"/>
          <w:szCs w:val="16"/>
          <w:lang w:eastAsia="es-MX"/>
        </w:rPr>
        <w:t>. Ed. Porrúa, S.A., México. 1992. p. 115.</w:t>
      </w:r>
    </w:p>
  </w:footnote>
  <w:footnote w:id="3">
    <w:p w:rsidR="00381F2A" w:rsidRDefault="00381F2A" w:rsidP="00381F2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CIENFUEGOS SALGADO David. </w:t>
      </w:r>
      <w:r>
        <w:rPr>
          <w:rFonts w:ascii="Palatino Linotype" w:eastAsia="MS Mincho" w:hAnsi="Palatino Linotype" w:cs="Arial"/>
          <w:i/>
          <w:sz w:val="16"/>
          <w:szCs w:val="16"/>
          <w:lang w:val="es-ES_tradnl" w:eastAsia="es-ES"/>
        </w:rPr>
        <w:t xml:space="preserve">El Derecho de Petición en México. </w:t>
      </w:r>
      <w:r>
        <w:rPr>
          <w:rFonts w:ascii="Palatino Linotype" w:eastAsia="MS Mincho" w:hAnsi="Palatino Linotype" w:cs="Arial"/>
          <w:sz w:val="16"/>
          <w:szCs w:val="16"/>
          <w:lang w:val="es-ES_tradnl" w:eastAsia="es-ES"/>
        </w:rPr>
        <w:t>Ed. Instituto de Investigaciones Jurídica UNAM. México 2004. p. 31</w:t>
      </w:r>
    </w:p>
  </w:footnote>
  <w:footnote w:id="4">
    <w:p w:rsidR="00381F2A" w:rsidRDefault="00381F2A" w:rsidP="00381F2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val="es-ES_tradnl" w:eastAsia="es-ES"/>
        </w:rPr>
        <w:t xml:space="preserve">ROBLES HERNÁNDEZ José Guadalupe. </w:t>
      </w:r>
      <w:r>
        <w:rPr>
          <w:rFonts w:ascii="Palatino Linotype" w:eastAsia="MS Mincho" w:hAnsi="Palatino Linotype" w:cs="Arial"/>
          <w:i/>
          <w:sz w:val="16"/>
          <w:szCs w:val="16"/>
          <w:lang w:val="es-ES_tradnl" w:eastAsia="es-ES"/>
        </w:rPr>
        <w:t xml:space="preserve">Derecho de la Información y Comunicación Pública. </w:t>
      </w:r>
      <w:r>
        <w:rPr>
          <w:rFonts w:ascii="Palatino Linotype" w:eastAsia="MS Mincho" w:hAnsi="Palatino Linotype" w:cs="Arial"/>
          <w:sz w:val="16"/>
          <w:szCs w:val="16"/>
          <w:lang w:val="es-ES_tradnl" w:eastAsia="es-ES"/>
        </w:rPr>
        <w:t>Ed. Universidad de Occidente. México. 2004, p. 72</w:t>
      </w:r>
    </w:p>
  </w:footnote>
  <w:footnote w:id="5">
    <w:p w:rsidR="00381F2A" w:rsidRDefault="00381F2A" w:rsidP="00381F2A">
      <w:pPr>
        <w:pStyle w:val="Textonotapie"/>
      </w:pPr>
      <w:r>
        <w:rPr>
          <w:rStyle w:val="Refdenotaalpie"/>
          <w:rFonts w:eastAsiaTheme="minorEastAsia"/>
        </w:rPr>
        <w:footnoteRef/>
      </w:r>
      <w:r>
        <w:t xml:space="preserve"> </w:t>
      </w:r>
      <w:r>
        <w:rPr>
          <w:rFonts w:ascii="Palatino Linotype" w:eastAsia="MS Mincho" w:hAnsi="Palatino Linotype" w:cs="Arial"/>
          <w:sz w:val="16"/>
          <w:szCs w:val="16"/>
          <w:lang w:eastAsia="es-ES"/>
        </w:rPr>
        <w:t xml:space="preserve">VILLANUEVA </w:t>
      </w:r>
      <w:proofErr w:type="spellStart"/>
      <w:r>
        <w:rPr>
          <w:rFonts w:ascii="Palatino Linotype" w:eastAsia="MS Mincho" w:hAnsi="Palatino Linotype" w:cs="Arial"/>
          <w:sz w:val="16"/>
          <w:szCs w:val="16"/>
          <w:lang w:eastAsia="es-ES"/>
        </w:rPr>
        <w:t>VILLANUEVA</w:t>
      </w:r>
      <w:proofErr w:type="spellEnd"/>
      <w:r>
        <w:rPr>
          <w:rFonts w:ascii="Palatino Linotype" w:eastAsia="MS Mincho" w:hAnsi="Palatino Linotype" w:cs="Arial"/>
          <w:sz w:val="16"/>
          <w:szCs w:val="16"/>
          <w:lang w:eastAsia="es-ES"/>
        </w:rPr>
        <w:t xml:space="preserve"> Ernesto. Derecho de la Información, Ed. Porrúa. </w:t>
      </w:r>
      <w:r>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9A63BD" w:rsidRPr="008F2CCC" w:rsidTr="009A63BD">
      <w:tc>
        <w:tcPr>
          <w:tcW w:w="3620" w:type="dxa"/>
          <w:shd w:val="clear" w:color="auto" w:fill="auto"/>
        </w:tcPr>
        <w:p w:rsidR="009A63BD" w:rsidRPr="007E5FC4" w:rsidRDefault="005C3B99"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252" w:type="dxa"/>
          <w:shd w:val="clear" w:color="auto" w:fill="auto"/>
          <w:vAlign w:val="center"/>
        </w:tcPr>
        <w:p w:rsidR="009A63BD" w:rsidRPr="00664658" w:rsidRDefault="005900AB"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381F2A">
            <w:rPr>
              <w:rFonts w:ascii="Palatino Linotype" w:hAnsi="Palatino Linotype"/>
              <w:b/>
              <w:sz w:val="22"/>
              <w:szCs w:val="22"/>
              <w:lang w:val="es-ES_tradnl"/>
            </w:rPr>
            <w:t>5065</w:t>
          </w:r>
          <w:r w:rsidR="005C3B99">
            <w:rPr>
              <w:rFonts w:ascii="Palatino Linotype" w:hAnsi="Palatino Linotype"/>
              <w:b/>
              <w:sz w:val="22"/>
              <w:szCs w:val="22"/>
              <w:lang w:val="es-ES_tradnl"/>
            </w:rPr>
            <w:t>/INFOEM/IP/RR/2024</w:t>
          </w:r>
        </w:p>
      </w:tc>
    </w:tr>
    <w:tr w:rsidR="009A63BD" w:rsidRPr="008F2CCC" w:rsidTr="009A63BD">
      <w:tc>
        <w:tcPr>
          <w:tcW w:w="3620" w:type="dxa"/>
          <w:shd w:val="clear" w:color="auto" w:fill="auto"/>
        </w:tcPr>
        <w:p w:rsidR="009A63BD" w:rsidRPr="007E5FC4" w:rsidRDefault="005C3B99"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252" w:type="dxa"/>
          <w:shd w:val="clear" w:color="auto" w:fill="auto"/>
          <w:vAlign w:val="center"/>
        </w:tcPr>
        <w:p w:rsidR="009A63BD" w:rsidRPr="00664658" w:rsidRDefault="00381F2A" w:rsidP="009A63BD">
          <w:pPr>
            <w:spacing w:line="276" w:lineRule="auto"/>
            <w:jc w:val="right"/>
            <w:rPr>
              <w:rFonts w:ascii="Palatino Linotype" w:hAnsi="Palatino Linotype"/>
              <w:b/>
              <w:sz w:val="22"/>
              <w:szCs w:val="22"/>
              <w:lang w:val="es-ES_tradnl"/>
            </w:rPr>
          </w:pPr>
          <w:r w:rsidRPr="00381F2A">
            <w:rPr>
              <w:rFonts w:ascii="Palatino Linotype" w:hAnsi="Palatino Linotype"/>
              <w:b/>
              <w:sz w:val="22"/>
              <w:szCs w:val="22"/>
            </w:rPr>
            <w:t>Instituto Municipal de Cultura Física y Deporte de Zumpango</w:t>
          </w:r>
        </w:p>
      </w:tc>
    </w:tr>
    <w:tr w:rsidR="009A63BD" w:rsidRPr="008F2CCC" w:rsidTr="009A63BD">
      <w:trPr>
        <w:trHeight w:val="228"/>
      </w:trPr>
      <w:tc>
        <w:tcPr>
          <w:tcW w:w="3620" w:type="dxa"/>
          <w:shd w:val="clear" w:color="auto" w:fill="auto"/>
        </w:tcPr>
        <w:p w:rsidR="009A63BD" w:rsidRPr="007E5FC4" w:rsidRDefault="005C3B99" w:rsidP="009A63BD">
          <w:pPr>
            <w:spacing w:line="276"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252" w:type="dxa"/>
          <w:shd w:val="clear" w:color="auto" w:fill="auto"/>
        </w:tcPr>
        <w:p w:rsidR="009A63BD" w:rsidRPr="00664658" w:rsidRDefault="005C3B99" w:rsidP="009A63BD">
          <w:pPr>
            <w:spacing w:line="276"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A63BD" w:rsidRDefault="00DF5412" w:rsidP="009A63BD">
    <w:pPr>
      <w:pStyle w:val="Encabezado"/>
      <w:tabs>
        <w:tab w:val="clear" w:pos="4252"/>
        <w:tab w:val="clear" w:pos="8504"/>
        <w:tab w:val="left" w:pos="2326"/>
      </w:tabs>
      <w:rPr>
        <w:rFonts w:ascii="Palatino Linotype" w:hAnsi="Palatino Linotype"/>
        <w:sz w:val="20"/>
      </w:rPr>
    </w:pPr>
  </w:p>
  <w:p w:rsidR="009A63BD" w:rsidRPr="001779E0" w:rsidRDefault="005C3B99" w:rsidP="009A63BD">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7961F16" wp14:editId="3533811C">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9A63BD" w:rsidRPr="008F2CCC" w:rsidTr="009A63BD">
      <w:tc>
        <w:tcPr>
          <w:tcW w:w="2977" w:type="dxa"/>
          <w:shd w:val="clear" w:color="auto" w:fill="auto"/>
        </w:tcPr>
        <w:p w:rsidR="009A63BD" w:rsidRPr="007E5FC4" w:rsidRDefault="005C3B99"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9A63BD" w:rsidRPr="008F2CCC" w:rsidRDefault="005900AB"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0</w:t>
          </w:r>
          <w:r w:rsidR="00381F2A">
            <w:rPr>
              <w:rFonts w:ascii="Palatino Linotype" w:hAnsi="Palatino Linotype"/>
              <w:b/>
              <w:sz w:val="22"/>
              <w:szCs w:val="22"/>
              <w:lang w:val="es-ES_tradnl"/>
            </w:rPr>
            <w:t>5065</w:t>
          </w:r>
          <w:r w:rsidR="005C3B99">
            <w:rPr>
              <w:rFonts w:ascii="Palatino Linotype" w:hAnsi="Palatino Linotype"/>
              <w:b/>
              <w:sz w:val="22"/>
              <w:szCs w:val="22"/>
              <w:lang w:val="es-ES_tradnl"/>
            </w:rPr>
            <w:t>/INFOEM/IP/RR/2024</w:t>
          </w:r>
        </w:p>
      </w:tc>
    </w:tr>
    <w:tr w:rsidR="009A63BD" w:rsidRPr="008F2CCC" w:rsidTr="009A63BD">
      <w:tc>
        <w:tcPr>
          <w:tcW w:w="2977" w:type="dxa"/>
          <w:shd w:val="clear" w:color="auto" w:fill="auto"/>
          <w:vAlign w:val="center"/>
        </w:tcPr>
        <w:p w:rsidR="009A63BD" w:rsidRPr="007E5FC4" w:rsidRDefault="005C3B99"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9A63BD" w:rsidRPr="008F2CCC" w:rsidRDefault="00DF5412" w:rsidP="009A63BD">
          <w:pPr>
            <w:spacing w:line="360" w:lineRule="auto"/>
            <w:jc w:val="right"/>
            <w:rPr>
              <w:rFonts w:ascii="Palatino Linotype" w:hAnsi="Palatino Linotype"/>
              <w:b/>
              <w:sz w:val="22"/>
              <w:szCs w:val="22"/>
              <w:lang w:val="es-ES_tradnl"/>
            </w:rPr>
          </w:pPr>
          <w:r>
            <w:rPr>
              <w:rFonts w:ascii="Palatino Linotype" w:hAnsi="Palatino Linotype"/>
              <w:b/>
              <w:bCs/>
              <w:sz w:val="22"/>
              <w:szCs w:val="22"/>
            </w:rPr>
            <w:t>XXXX</w:t>
          </w:r>
          <w:r w:rsidR="005C3B99">
            <w:rPr>
              <w:rFonts w:ascii="Palatino Linotype" w:hAnsi="Palatino Linotype"/>
              <w:b/>
              <w:bCs/>
              <w:sz w:val="22"/>
              <w:szCs w:val="22"/>
            </w:rPr>
            <w:t xml:space="preserve"> </w:t>
          </w:r>
        </w:p>
      </w:tc>
    </w:tr>
    <w:tr w:rsidR="009A63BD" w:rsidRPr="008F2CCC" w:rsidTr="009A63BD">
      <w:trPr>
        <w:trHeight w:val="228"/>
      </w:trPr>
      <w:tc>
        <w:tcPr>
          <w:tcW w:w="2977" w:type="dxa"/>
          <w:shd w:val="clear" w:color="auto" w:fill="auto"/>
        </w:tcPr>
        <w:p w:rsidR="009A63BD" w:rsidRPr="007E5FC4" w:rsidRDefault="005C3B99"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9A63BD" w:rsidRPr="00DC41C8" w:rsidRDefault="00381F2A" w:rsidP="009A63BD">
          <w:pPr>
            <w:spacing w:line="360" w:lineRule="auto"/>
            <w:jc w:val="right"/>
            <w:rPr>
              <w:rFonts w:ascii="Palatino Linotype" w:hAnsi="Palatino Linotype"/>
              <w:b/>
              <w:sz w:val="22"/>
              <w:szCs w:val="22"/>
            </w:rPr>
          </w:pPr>
          <w:r w:rsidRPr="00381F2A">
            <w:rPr>
              <w:rFonts w:ascii="Palatino Linotype" w:hAnsi="Palatino Linotype"/>
              <w:b/>
              <w:sz w:val="22"/>
              <w:szCs w:val="22"/>
            </w:rPr>
            <w:t>Instituto Municipal de Cultura Física y Deporte de Zumpango</w:t>
          </w:r>
        </w:p>
      </w:tc>
    </w:tr>
    <w:tr w:rsidR="009A63BD" w:rsidRPr="008F2CCC" w:rsidTr="009A63BD">
      <w:tc>
        <w:tcPr>
          <w:tcW w:w="2977" w:type="dxa"/>
          <w:shd w:val="clear" w:color="auto" w:fill="auto"/>
        </w:tcPr>
        <w:p w:rsidR="009A63BD" w:rsidRPr="007E5FC4" w:rsidRDefault="005C3B99" w:rsidP="009A63BD">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9A63BD" w:rsidRPr="008F2CCC" w:rsidRDefault="005C3B99" w:rsidP="009A63BD">
          <w:pPr>
            <w:spacing w:line="360" w:lineRule="auto"/>
            <w:jc w:val="right"/>
            <w:rPr>
              <w:rFonts w:ascii="Palatino Linotype" w:hAnsi="Palatino Linotype"/>
              <w:b/>
              <w:sz w:val="22"/>
              <w:szCs w:val="22"/>
              <w:lang w:val="es-ES_tradnl"/>
            </w:rPr>
          </w:pPr>
          <w:r>
            <w:rPr>
              <w:rFonts w:ascii="Palatino Linotype" w:hAnsi="Palatino Linotype"/>
              <w:b/>
              <w:sz w:val="22"/>
              <w:szCs w:val="22"/>
              <w:lang w:val="es-ES_tradnl"/>
            </w:rPr>
            <w:t>José Martínez Vilchis</w:t>
          </w:r>
        </w:p>
      </w:tc>
    </w:tr>
  </w:tbl>
  <w:p w:rsidR="009A63BD" w:rsidRPr="009F1AB6" w:rsidRDefault="005C3B99">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13ECDB27" wp14:editId="00A021B1">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B6"/>
    <w:multiLevelType w:val="hybridMultilevel"/>
    <w:tmpl w:val="ACD6FBA0"/>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15:restartNumberingAfterBreak="0">
    <w:nsid w:val="32406E06"/>
    <w:multiLevelType w:val="hybridMultilevel"/>
    <w:tmpl w:val="BAE8FBF8"/>
    <w:lvl w:ilvl="0" w:tplc="F3EC5DB2">
      <w:start w:val="1"/>
      <w:numFmt w:val="decimal"/>
      <w:lvlText w:val="%1."/>
      <w:lvlJc w:val="left"/>
      <w:pPr>
        <w:ind w:left="2258" w:hanging="720"/>
      </w:pPr>
      <w:rPr>
        <w:rFonts w:cs="Times New Roman" w:hint="default"/>
        <w:b/>
      </w:rPr>
    </w:lvl>
    <w:lvl w:ilvl="1" w:tplc="080A0019" w:tentative="1">
      <w:start w:val="1"/>
      <w:numFmt w:val="lowerLetter"/>
      <w:lvlText w:val="%2."/>
      <w:lvlJc w:val="left"/>
      <w:pPr>
        <w:ind w:left="2210" w:hanging="360"/>
      </w:pPr>
      <w:rPr>
        <w:rFonts w:cs="Times New Roman"/>
      </w:rPr>
    </w:lvl>
    <w:lvl w:ilvl="2" w:tplc="080A001B" w:tentative="1">
      <w:start w:val="1"/>
      <w:numFmt w:val="lowerRoman"/>
      <w:lvlText w:val="%3."/>
      <w:lvlJc w:val="right"/>
      <w:pPr>
        <w:ind w:left="2930" w:hanging="180"/>
      </w:pPr>
      <w:rPr>
        <w:rFonts w:cs="Times New Roman"/>
      </w:rPr>
    </w:lvl>
    <w:lvl w:ilvl="3" w:tplc="080A000F" w:tentative="1">
      <w:start w:val="1"/>
      <w:numFmt w:val="decimal"/>
      <w:lvlText w:val="%4."/>
      <w:lvlJc w:val="left"/>
      <w:pPr>
        <w:ind w:left="3650" w:hanging="360"/>
      </w:pPr>
      <w:rPr>
        <w:rFonts w:cs="Times New Roman"/>
      </w:rPr>
    </w:lvl>
    <w:lvl w:ilvl="4" w:tplc="080A0019" w:tentative="1">
      <w:start w:val="1"/>
      <w:numFmt w:val="lowerLetter"/>
      <w:lvlText w:val="%5."/>
      <w:lvlJc w:val="left"/>
      <w:pPr>
        <w:ind w:left="4370" w:hanging="360"/>
      </w:pPr>
      <w:rPr>
        <w:rFonts w:cs="Times New Roman"/>
      </w:rPr>
    </w:lvl>
    <w:lvl w:ilvl="5" w:tplc="080A001B" w:tentative="1">
      <w:start w:val="1"/>
      <w:numFmt w:val="lowerRoman"/>
      <w:lvlText w:val="%6."/>
      <w:lvlJc w:val="right"/>
      <w:pPr>
        <w:ind w:left="5090" w:hanging="180"/>
      </w:pPr>
      <w:rPr>
        <w:rFonts w:cs="Times New Roman"/>
      </w:rPr>
    </w:lvl>
    <w:lvl w:ilvl="6" w:tplc="080A000F" w:tentative="1">
      <w:start w:val="1"/>
      <w:numFmt w:val="decimal"/>
      <w:lvlText w:val="%7."/>
      <w:lvlJc w:val="left"/>
      <w:pPr>
        <w:ind w:left="5810" w:hanging="360"/>
      </w:pPr>
      <w:rPr>
        <w:rFonts w:cs="Times New Roman"/>
      </w:rPr>
    </w:lvl>
    <w:lvl w:ilvl="7" w:tplc="080A0019" w:tentative="1">
      <w:start w:val="1"/>
      <w:numFmt w:val="lowerLetter"/>
      <w:lvlText w:val="%8."/>
      <w:lvlJc w:val="left"/>
      <w:pPr>
        <w:ind w:left="6530" w:hanging="360"/>
      </w:pPr>
      <w:rPr>
        <w:rFonts w:cs="Times New Roman"/>
      </w:rPr>
    </w:lvl>
    <w:lvl w:ilvl="8" w:tplc="080A001B" w:tentative="1">
      <w:start w:val="1"/>
      <w:numFmt w:val="lowerRoman"/>
      <w:lvlText w:val="%9."/>
      <w:lvlJc w:val="right"/>
      <w:pPr>
        <w:ind w:left="7250" w:hanging="180"/>
      </w:pPr>
      <w:rPr>
        <w:rFonts w:cs="Times New Roman"/>
      </w:rPr>
    </w:lvl>
  </w:abstractNum>
  <w:abstractNum w:abstractNumId="2" w15:restartNumberingAfterBreak="0">
    <w:nsid w:val="435A09ED"/>
    <w:multiLevelType w:val="hybridMultilevel"/>
    <w:tmpl w:val="FB6E5326"/>
    <w:lvl w:ilvl="0" w:tplc="810ABD94">
      <w:start w:val="1"/>
      <w:numFmt w:val="upperRoman"/>
      <w:lvlText w:val="%1."/>
      <w:lvlJc w:val="left"/>
      <w:pPr>
        <w:ind w:left="1571" w:hanging="360"/>
      </w:pPr>
      <w:rPr>
        <w:rFonts w:cs="Times New Roman" w:hint="default"/>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3" w15:restartNumberingAfterBreak="0">
    <w:nsid w:val="470F3D96"/>
    <w:multiLevelType w:val="hybridMultilevel"/>
    <w:tmpl w:val="CC20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DC48AB"/>
    <w:multiLevelType w:val="hybridMultilevel"/>
    <w:tmpl w:val="74CC2D7E"/>
    <w:lvl w:ilvl="0" w:tplc="04090001">
      <w:start w:val="1"/>
      <w:numFmt w:val="bullet"/>
      <w:lvlText w:val=""/>
      <w:lvlJc w:val="left"/>
      <w:pPr>
        <w:ind w:left="1571" w:hanging="360"/>
      </w:pPr>
      <w:rPr>
        <w:rFonts w:ascii="Symbol" w:hAnsi="Symbol" w:hint="default"/>
      </w:rPr>
    </w:lvl>
    <w:lvl w:ilvl="1" w:tplc="FFFFFFFF" w:tentative="1">
      <w:start w:val="1"/>
      <w:numFmt w:val="lowerLetter"/>
      <w:lvlText w:val="%2."/>
      <w:lvlJc w:val="left"/>
      <w:pPr>
        <w:ind w:left="2291" w:hanging="360"/>
      </w:pPr>
      <w:rPr>
        <w:rFonts w:cs="Times New Roman"/>
      </w:rPr>
    </w:lvl>
    <w:lvl w:ilvl="2" w:tplc="FFFFFFFF" w:tentative="1">
      <w:start w:val="1"/>
      <w:numFmt w:val="lowerRoman"/>
      <w:lvlText w:val="%3."/>
      <w:lvlJc w:val="right"/>
      <w:pPr>
        <w:ind w:left="3011" w:hanging="180"/>
      </w:pPr>
      <w:rPr>
        <w:rFonts w:cs="Times New Roman"/>
      </w:rPr>
    </w:lvl>
    <w:lvl w:ilvl="3" w:tplc="FFFFFFFF" w:tentative="1">
      <w:start w:val="1"/>
      <w:numFmt w:val="decimal"/>
      <w:lvlText w:val="%4."/>
      <w:lvlJc w:val="left"/>
      <w:pPr>
        <w:ind w:left="3731" w:hanging="360"/>
      </w:pPr>
      <w:rPr>
        <w:rFonts w:cs="Times New Roman"/>
      </w:rPr>
    </w:lvl>
    <w:lvl w:ilvl="4" w:tplc="FFFFFFFF" w:tentative="1">
      <w:start w:val="1"/>
      <w:numFmt w:val="lowerLetter"/>
      <w:lvlText w:val="%5."/>
      <w:lvlJc w:val="left"/>
      <w:pPr>
        <w:ind w:left="4451" w:hanging="360"/>
      </w:pPr>
      <w:rPr>
        <w:rFonts w:cs="Times New Roman"/>
      </w:rPr>
    </w:lvl>
    <w:lvl w:ilvl="5" w:tplc="FFFFFFFF" w:tentative="1">
      <w:start w:val="1"/>
      <w:numFmt w:val="lowerRoman"/>
      <w:lvlText w:val="%6."/>
      <w:lvlJc w:val="right"/>
      <w:pPr>
        <w:ind w:left="5171" w:hanging="180"/>
      </w:pPr>
      <w:rPr>
        <w:rFonts w:cs="Times New Roman"/>
      </w:rPr>
    </w:lvl>
    <w:lvl w:ilvl="6" w:tplc="FFFFFFFF" w:tentative="1">
      <w:start w:val="1"/>
      <w:numFmt w:val="decimal"/>
      <w:lvlText w:val="%7."/>
      <w:lvlJc w:val="left"/>
      <w:pPr>
        <w:ind w:left="5891" w:hanging="360"/>
      </w:pPr>
      <w:rPr>
        <w:rFonts w:cs="Times New Roman"/>
      </w:rPr>
    </w:lvl>
    <w:lvl w:ilvl="7" w:tplc="FFFFFFFF" w:tentative="1">
      <w:start w:val="1"/>
      <w:numFmt w:val="lowerLetter"/>
      <w:lvlText w:val="%8."/>
      <w:lvlJc w:val="left"/>
      <w:pPr>
        <w:ind w:left="6611" w:hanging="360"/>
      </w:pPr>
      <w:rPr>
        <w:rFonts w:cs="Times New Roman"/>
      </w:rPr>
    </w:lvl>
    <w:lvl w:ilvl="8" w:tplc="FFFFFFFF" w:tentative="1">
      <w:start w:val="1"/>
      <w:numFmt w:val="lowerRoman"/>
      <w:lvlText w:val="%9."/>
      <w:lvlJc w:val="right"/>
      <w:pPr>
        <w:ind w:left="7331" w:hanging="180"/>
      </w:pPr>
      <w:rPr>
        <w:rFonts w:cs="Times New Roman"/>
      </w:rPr>
    </w:lvl>
  </w:abstractNum>
  <w:abstractNum w:abstractNumId="5" w15:restartNumberingAfterBreak="0">
    <w:nsid w:val="79FB755A"/>
    <w:multiLevelType w:val="hybridMultilevel"/>
    <w:tmpl w:val="4A08A07C"/>
    <w:lvl w:ilvl="0" w:tplc="623C2982">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2A"/>
    <w:rsid w:val="00381F2A"/>
    <w:rsid w:val="00490343"/>
    <w:rsid w:val="005900AB"/>
    <w:rsid w:val="005C3B99"/>
    <w:rsid w:val="00C73C95"/>
    <w:rsid w:val="00DF5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EB3B3-6045-42E7-BD5E-39D286C8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F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F2A"/>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381F2A"/>
    <w:rPr>
      <w:rFonts w:eastAsiaTheme="minorEastAsia"/>
      <w:sz w:val="24"/>
      <w:szCs w:val="24"/>
      <w:lang w:val="es-ES_tradnl" w:eastAsia="es-ES"/>
    </w:rPr>
  </w:style>
  <w:style w:type="paragraph" w:styleId="Piedepgina">
    <w:name w:val="footer"/>
    <w:basedOn w:val="Normal"/>
    <w:link w:val="PiedepginaCar"/>
    <w:uiPriority w:val="99"/>
    <w:unhideWhenUsed/>
    <w:rsid w:val="00381F2A"/>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381F2A"/>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81F2A"/>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381F2A"/>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381F2A"/>
    <w:pPr>
      <w:spacing w:after="0" w:line="240" w:lineRule="auto"/>
    </w:pPr>
  </w:style>
  <w:style w:type="character" w:customStyle="1" w:styleId="SinespaciadoCar">
    <w:name w:val="Sin espaciado Car"/>
    <w:aliases w:val="Francesa Car,INAI Car"/>
    <w:link w:val="Sinespaciado"/>
    <w:uiPriority w:val="1"/>
    <w:locked/>
    <w:rsid w:val="00381F2A"/>
  </w:style>
  <w:style w:type="character" w:styleId="Hipervnculo">
    <w:name w:val="Hyperlink"/>
    <w:aliases w:val="Hipervínculo1,Hipervínculo11,Hipervínculo12,Hipervínculo13,Hipervínculo14,Hipervínculo15"/>
    <w:basedOn w:val="Fuentedeprrafopredeter"/>
    <w:uiPriority w:val="99"/>
    <w:unhideWhenUsed/>
    <w:rsid w:val="00381F2A"/>
    <w:rPr>
      <w:color w:val="0563C1" w:themeColor="hyperlink"/>
      <w:u w:val="single"/>
    </w:rPr>
  </w:style>
  <w:style w:type="paragraph" w:customStyle="1" w:styleId="INFOEM">
    <w:name w:val="INFOEM"/>
    <w:basedOn w:val="Normal"/>
    <w:qFormat/>
    <w:rsid w:val="00381F2A"/>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381F2A"/>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381F2A"/>
    <w:rPr>
      <w:vertAlign w:val="superscript"/>
    </w:rPr>
  </w:style>
  <w:style w:type="paragraph" w:customStyle="1" w:styleId="Citas">
    <w:name w:val="Citas"/>
    <w:basedOn w:val="Normal"/>
    <w:qFormat/>
    <w:rsid w:val="00381F2A"/>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1">
    <w:name w:val="Tabla con cuadrícula1"/>
    <w:basedOn w:val="Tablanormal"/>
    <w:next w:val="Tablaconcuadrcula"/>
    <w:uiPriority w:val="39"/>
    <w:rsid w:val="0038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381F2A"/>
    <w:rPr>
      <w:rFonts w:asciiTheme="minorHAnsi" w:hAnsiTheme="minorHAnsi"/>
      <w:sz w:val="20"/>
      <w:szCs w:val="20"/>
      <w:lang w:val="es-MX" w:eastAsia="en-US"/>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rsid w:val="00381F2A"/>
    <w:rPr>
      <w:rFonts w:eastAsia="Times New Roman" w:cs="Times New Roman"/>
      <w:sz w:val="20"/>
      <w:szCs w:val="20"/>
    </w:rPr>
  </w:style>
  <w:style w:type="character" w:customStyle="1" w:styleId="il">
    <w:name w:val="il"/>
    <w:basedOn w:val="Fuentedeprrafopredeter"/>
    <w:rsid w:val="00381F2A"/>
    <w:rPr>
      <w:rFonts w:cs="Times New Roman"/>
    </w:rPr>
  </w:style>
  <w:style w:type="paragraph" w:styleId="Textoindependiente">
    <w:name w:val="Body Text"/>
    <w:basedOn w:val="Normal"/>
    <w:link w:val="TextoindependienteCar"/>
    <w:uiPriority w:val="1"/>
    <w:unhideWhenUsed/>
    <w:qFormat/>
    <w:rsid w:val="00381F2A"/>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381F2A"/>
  </w:style>
  <w:style w:type="table" w:styleId="Tablaconcuadrcula">
    <w:name w:val="Table Grid"/>
    <w:basedOn w:val="Tablanormal"/>
    <w:uiPriority w:val="39"/>
    <w:rsid w:val="0038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7412</Words>
  <Characters>40768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Libni Santana</dc:creator>
  <cp:keywords/>
  <dc:description/>
  <cp:lastModifiedBy>INFOEM557</cp:lastModifiedBy>
  <cp:revision>5</cp:revision>
  <dcterms:created xsi:type="dcterms:W3CDTF">2024-09-03T19:42:00Z</dcterms:created>
  <dcterms:modified xsi:type="dcterms:W3CDTF">2024-09-26T23:23:00Z</dcterms:modified>
</cp:coreProperties>
</file>