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E1B7C" w14:textId="77777777" w:rsidR="00926FC4" w:rsidRPr="00D0172C" w:rsidRDefault="00C47ACD">
      <w:pPr>
        <w:spacing w:before="240" w:after="240" w:line="360" w:lineRule="auto"/>
        <w:jc w:val="both"/>
        <w:rPr>
          <w:rFonts w:ascii="Palatino Linotype" w:eastAsia="Palatino Linotype" w:hAnsi="Palatino Linotype" w:cs="Palatino Linotype"/>
        </w:rPr>
      </w:pPr>
      <w:r w:rsidRPr="00D0172C">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D0172C">
        <w:rPr>
          <w:rFonts w:ascii="Palatino Linotype" w:eastAsia="Palatino Linotype" w:hAnsi="Palatino Linotype" w:cs="Palatino Linotype"/>
          <w:b/>
        </w:rPr>
        <w:t>catorce de febrero de dos mil veinticuatro</w:t>
      </w:r>
      <w:r w:rsidRPr="00D0172C">
        <w:rPr>
          <w:rFonts w:ascii="Palatino Linotype" w:eastAsia="Palatino Linotype" w:hAnsi="Palatino Linotype" w:cs="Palatino Linotype"/>
        </w:rPr>
        <w:t xml:space="preserve">. </w:t>
      </w:r>
    </w:p>
    <w:p w14:paraId="5F014EAB" w14:textId="304DF831" w:rsidR="00926FC4" w:rsidRPr="00D0172C" w:rsidRDefault="00C47ACD">
      <w:pPr>
        <w:spacing w:before="240" w:after="240" w:line="360" w:lineRule="auto"/>
        <w:jc w:val="both"/>
        <w:rPr>
          <w:rFonts w:ascii="Palatino Linotype" w:eastAsia="Palatino Linotype" w:hAnsi="Palatino Linotype" w:cs="Palatino Linotype"/>
        </w:rPr>
      </w:pPr>
      <w:r w:rsidRPr="00D0172C">
        <w:rPr>
          <w:rFonts w:ascii="Palatino Linotype" w:eastAsia="Palatino Linotype" w:hAnsi="Palatino Linotype" w:cs="Palatino Linotype"/>
          <w:b/>
        </w:rPr>
        <w:t>Visto</w:t>
      </w:r>
      <w:r w:rsidRPr="00D0172C">
        <w:rPr>
          <w:rFonts w:ascii="Palatino Linotype" w:eastAsia="Palatino Linotype" w:hAnsi="Palatino Linotype" w:cs="Palatino Linotype"/>
        </w:rPr>
        <w:t xml:space="preserve"> el expediente formado con motivo del recurso de revisión </w:t>
      </w:r>
      <w:r w:rsidRPr="00D0172C">
        <w:rPr>
          <w:rFonts w:ascii="Palatino Linotype" w:eastAsia="Palatino Linotype" w:hAnsi="Palatino Linotype" w:cs="Palatino Linotype"/>
          <w:b/>
        </w:rPr>
        <w:t>07254/INFOEM/IP/RR/2023</w:t>
      </w:r>
      <w:r w:rsidRPr="00D0172C">
        <w:rPr>
          <w:rFonts w:ascii="Palatino Linotype" w:eastAsia="Palatino Linotype" w:hAnsi="Palatino Linotype" w:cs="Palatino Linotype"/>
        </w:rPr>
        <w:t>, por interpuesto por</w:t>
      </w:r>
      <w:r w:rsidRPr="00D0172C">
        <w:rPr>
          <w:rFonts w:ascii="Palatino Linotype" w:eastAsia="Palatino Linotype" w:hAnsi="Palatino Linotype" w:cs="Palatino Linotype"/>
          <w:b/>
        </w:rPr>
        <w:t xml:space="preserve"> </w:t>
      </w:r>
      <w:r w:rsidR="00E866FE">
        <w:rPr>
          <w:rFonts w:ascii="Palatino Linotype" w:eastAsia="Palatino Linotype" w:hAnsi="Palatino Linotype" w:cs="Palatino Linotype"/>
          <w:b/>
        </w:rPr>
        <w:t>XXXXXXXX XXXXXX XXXXXX,</w:t>
      </w:r>
      <w:r w:rsidRPr="00D0172C">
        <w:rPr>
          <w:rFonts w:ascii="Palatino Linotype" w:eastAsia="Palatino Linotype" w:hAnsi="Palatino Linotype" w:cs="Palatino Linotype"/>
        </w:rPr>
        <w:t xml:space="preserve"> en lo sucesivo </w:t>
      </w:r>
      <w:r w:rsidRPr="00D0172C">
        <w:rPr>
          <w:rFonts w:ascii="Palatino Linotype" w:eastAsia="Palatino Linotype" w:hAnsi="Palatino Linotype" w:cs="Palatino Linotype"/>
          <w:b/>
        </w:rPr>
        <w:t>la parte Recurrente,</w:t>
      </w:r>
      <w:r w:rsidRPr="00D0172C">
        <w:rPr>
          <w:rFonts w:ascii="Palatino Linotype" w:eastAsia="Palatino Linotype" w:hAnsi="Palatino Linotype" w:cs="Palatino Linotype"/>
        </w:rPr>
        <w:t xml:space="preserve"> en contra de la respuesta a su solicitud por parte del </w:t>
      </w:r>
      <w:r w:rsidRPr="00D0172C">
        <w:rPr>
          <w:rFonts w:ascii="Palatino Linotype" w:eastAsia="Palatino Linotype" w:hAnsi="Palatino Linotype" w:cs="Palatino Linotype"/>
          <w:b/>
        </w:rPr>
        <w:t xml:space="preserve">Tribunal Estatal de Conciliación y Arbitraje, </w:t>
      </w:r>
      <w:r w:rsidRPr="00D0172C">
        <w:rPr>
          <w:rFonts w:ascii="Palatino Linotype" w:eastAsia="Palatino Linotype" w:hAnsi="Palatino Linotype" w:cs="Palatino Linotype"/>
        </w:rPr>
        <w:t xml:space="preserve">en lo sucesivo el </w:t>
      </w:r>
      <w:r w:rsidRPr="00D0172C">
        <w:rPr>
          <w:rFonts w:ascii="Palatino Linotype" w:eastAsia="Palatino Linotype" w:hAnsi="Palatino Linotype" w:cs="Palatino Linotype"/>
          <w:b/>
        </w:rPr>
        <w:t xml:space="preserve">Sujeto Obligado, </w:t>
      </w:r>
      <w:r w:rsidRPr="00D0172C">
        <w:rPr>
          <w:rFonts w:ascii="Palatino Linotype" w:eastAsia="Palatino Linotype" w:hAnsi="Palatino Linotype" w:cs="Palatino Linotype"/>
        </w:rPr>
        <w:t xml:space="preserve">se procede a dictar la presente resolución con base en los siguientes: </w:t>
      </w:r>
    </w:p>
    <w:p w14:paraId="5033E22B" w14:textId="77777777" w:rsidR="00926FC4" w:rsidRPr="00D0172C" w:rsidRDefault="00C47ACD">
      <w:pPr>
        <w:spacing w:before="240" w:after="240" w:line="360" w:lineRule="auto"/>
        <w:jc w:val="center"/>
        <w:rPr>
          <w:rFonts w:ascii="Palatino Linotype" w:eastAsia="Palatino Linotype" w:hAnsi="Palatino Linotype" w:cs="Palatino Linotype"/>
          <w:b/>
        </w:rPr>
      </w:pPr>
      <w:r w:rsidRPr="00D0172C">
        <w:rPr>
          <w:rFonts w:ascii="Palatino Linotype" w:eastAsia="Palatino Linotype" w:hAnsi="Palatino Linotype" w:cs="Palatino Linotype"/>
          <w:b/>
        </w:rPr>
        <w:t>I. A N T E C E D E N T E S</w:t>
      </w:r>
    </w:p>
    <w:p w14:paraId="7178629C" w14:textId="77777777" w:rsidR="00926FC4" w:rsidRPr="00D0172C" w:rsidRDefault="00C47ACD">
      <w:pPr>
        <w:spacing w:before="240" w:after="240" w:line="360" w:lineRule="auto"/>
        <w:jc w:val="both"/>
        <w:rPr>
          <w:rFonts w:ascii="Palatino Linotype" w:eastAsia="Palatino Linotype" w:hAnsi="Palatino Linotype" w:cs="Palatino Linotype"/>
        </w:rPr>
      </w:pPr>
      <w:r w:rsidRPr="00D0172C">
        <w:rPr>
          <w:rFonts w:ascii="Palatino Linotype" w:eastAsia="Palatino Linotype" w:hAnsi="Palatino Linotype" w:cs="Palatino Linotype"/>
          <w:b/>
        </w:rPr>
        <w:t>1. Solicitud de acceso a la información.</w:t>
      </w:r>
      <w:r w:rsidRPr="00D0172C">
        <w:rPr>
          <w:rFonts w:ascii="Palatino Linotype" w:eastAsia="Palatino Linotype" w:hAnsi="Palatino Linotype" w:cs="Palatino Linotype"/>
        </w:rPr>
        <w:t xml:space="preserve"> El </w:t>
      </w:r>
      <w:r w:rsidRPr="00D0172C">
        <w:rPr>
          <w:rFonts w:ascii="Palatino Linotype" w:eastAsia="Palatino Linotype" w:hAnsi="Palatino Linotype" w:cs="Palatino Linotype"/>
          <w:b/>
        </w:rPr>
        <w:t>veintiocho</w:t>
      </w:r>
      <w:r w:rsidRPr="00D0172C">
        <w:rPr>
          <w:rFonts w:ascii="Palatino Linotype" w:eastAsia="Palatino Linotype" w:hAnsi="Palatino Linotype" w:cs="Palatino Linotype"/>
        </w:rPr>
        <w:t xml:space="preserve"> </w:t>
      </w:r>
      <w:r w:rsidRPr="00D0172C">
        <w:rPr>
          <w:rFonts w:ascii="Palatino Linotype" w:eastAsia="Palatino Linotype" w:hAnsi="Palatino Linotype" w:cs="Palatino Linotype"/>
          <w:b/>
        </w:rPr>
        <w:t>de septiembre del dos mil veintitrés,</w:t>
      </w:r>
      <w:r w:rsidRPr="00D0172C">
        <w:rPr>
          <w:rFonts w:ascii="Palatino Linotype" w:eastAsia="Palatino Linotype" w:hAnsi="Palatino Linotype" w:cs="Palatino Linotype"/>
        </w:rPr>
        <w:t xml:space="preserve"> </w:t>
      </w:r>
      <w:r w:rsidRPr="00D0172C">
        <w:rPr>
          <w:rFonts w:ascii="Palatino Linotype" w:eastAsia="Palatino Linotype" w:hAnsi="Palatino Linotype" w:cs="Palatino Linotype"/>
          <w:b/>
        </w:rPr>
        <w:t xml:space="preserve">la parte Recurrente </w:t>
      </w:r>
      <w:r w:rsidRPr="00D0172C">
        <w:rPr>
          <w:rFonts w:ascii="Palatino Linotype" w:eastAsia="Palatino Linotype" w:hAnsi="Palatino Linotype" w:cs="Palatino Linotype"/>
        </w:rPr>
        <w:t xml:space="preserve">presentó, a través del Sistema de Acceso a la Información Mexiquense, en lo subsecuente el </w:t>
      </w:r>
      <w:r w:rsidRPr="00D0172C">
        <w:rPr>
          <w:rFonts w:ascii="Palatino Linotype" w:eastAsia="Palatino Linotype" w:hAnsi="Palatino Linotype" w:cs="Palatino Linotype"/>
          <w:b/>
        </w:rPr>
        <w:t>SAIMEX,</w:t>
      </w:r>
      <w:r w:rsidRPr="00D0172C">
        <w:rPr>
          <w:rFonts w:ascii="Palatino Linotype" w:eastAsia="Palatino Linotype" w:hAnsi="Palatino Linotype" w:cs="Palatino Linotype"/>
        </w:rPr>
        <w:t xml:space="preserve"> ante el </w:t>
      </w:r>
      <w:r w:rsidRPr="00D0172C">
        <w:rPr>
          <w:rFonts w:ascii="Palatino Linotype" w:eastAsia="Palatino Linotype" w:hAnsi="Palatino Linotype" w:cs="Palatino Linotype"/>
          <w:b/>
        </w:rPr>
        <w:t>Sujeto Obligado</w:t>
      </w:r>
      <w:r w:rsidRPr="00D0172C">
        <w:rPr>
          <w:rFonts w:ascii="Palatino Linotype" w:eastAsia="Palatino Linotype" w:hAnsi="Palatino Linotype" w:cs="Palatino Linotype"/>
        </w:rPr>
        <w:t>, la solicitud de acceso a la información pública, a la que se le asignó el número</w:t>
      </w:r>
      <w:r w:rsidRPr="00D0172C">
        <w:rPr>
          <w:rFonts w:ascii="Palatino Linotype" w:eastAsia="Palatino Linotype" w:hAnsi="Palatino Linotype" w:cs="Palatino Linotype"/>
          <w:b/>
        </w:rPr>
        <w:t xml:space="preserve"> 00116/TRIECA/IP/2023, </w:t>
      </w:r>
      <w:r w:rsidRPr="00D0172C">
        <w:rPr>
          <w:rFonts w:ascii="Palatino Linotype" w:eastAsia="Palatino Linotype" w:hAnsi="Palatino Linotype" w:cs="Palatino Linotype"/>
        </w:rPr>
        <w:t xml:space="preserve">mediante la cual requirió la información siguiente: </w:t>
      </w:r>
    </w:p>
    <w:p w14:paraId="326BF674" w14:textId="77777777" w:rsidR="00926FC4" w:rsidRPr="00D0172C" w:rsidRDefault="00C47ACD">
      <w:pPr>
        <w:spacing w:before="240"/>
        <w:ind w:left="851" w:right="902"/>
        <w:jc w:val="both"/>
        <w:rPr>
          <w:rFonts w:ascii="Palatino Linotype" w:eastAsia="Palatino Linotype" w:hAnsi="Palatino Linotype" w:cs="Palatino Linotype"/>
          <w:b/>
          <w:i/>
          <w:sz w:val="22"/>
          <w:szCs w:val="22"/>
          <w:u w:val="single"/>
        </w:rPr>
      </w:pPr>
      <w:bookmarkStart w:id="0" w:name="_heading=h.gjdgxs" w:colFirst="0" w:colLast="0"/>
      <w:bookmarkEnd w:id="0"/>
      <w:r w:rsidRPr="00D0172C">
        <w:rPr>
          <w:rFonts w:ascii="Palatino Linotype" w:eastAsia="Palatino Linotype" w:hAnsi="Palatino Linotype" w:cs="Palatino Linotype"/>
          <w:i/>
          <w:sz w:val="22"/>
          <w:szCs w:val="22"/>
        </w:rPr>
        <w:t>“SOLICITO EL DIRECTORIO ACTUALIZADO DEL TRIBUNAL ESTATAL DE CONCILIACIÓN Y ARBITRAJE, DE LA SALA AUXILIAR DE ECATEPEC Y DE LA SALA AUXILIAR DE TLALNEPANTLA, ESPECIFICANDO EL PERSONAL DE CONFIANZA Y EL PERSONAL OPERATIVO.” (Sic)</w:t>
      </w:r>
    </w:p>
    <w:p w14:paraId="72DA9CAD" w14:textId="77777777" w:rsidR="00926FC4" w:rsidRPr="00D0172C" w:rsidRDefault="00926FC4">
      <w:pPr>
        <w:spacing w:line="360" w:lineRule="auto"/>
        <w:ind w:right="900"/>
        <w:jc w:val="both"/>
        <w:rPr>
          <w:rFonts w:ascii="Palatino Linotype" w:eastAsia="Palatino Linotype" w:hAnsi="Palatino Linotype" w:cs="Palatino Linotype"/>
        </w:rPr>
      </w:pPr>
    </w:p>
    <w:p w14:paraId="47B97F33" w14:textId="77777777" w:rsidR="00926FC4" w:rsidRPr="00D0172C" w:rsidRDefault="00C47ACD">
      <w:pPr>
        <w:spacing w:line="360" w:lineRule="auto"/>
        <w:jc w:val="both"/>
        <w:rPr>
          <w:rFonts w:ascii="Palatino Linotype" w:eastAsia="Palatino Linotype" w:hAnsi="Palatino Linotype" w:cs="Palatino Linotype"/>
        </w:rPr>
      </w:pPr>
      <w:r w:rsidRPr="00D0172C">
        <w:rPr>
          <w:rFonts w:ascii="Palatino Linotype" w:eastAsia="Palatino Linotype" w:hAnsi="Palatino Linotype" w:cs="Palatino Linotype"/>
          <w:b/>
        </w:rPr>
        <w:t>Modalidad de Entrega:</w:t>
      </w:r>
      <w:r w:rsidRPr="00D0172C">
        <w:rPr>
          <w:rFonts w:ascii="Palatino Linotype" w:eastAsia="Palatino Linotype" w:hAnsi="Palatino Linotype" w:cs="Palatino Linotype"/>
        </w:rPr>
        <w:t xml:space="preserve"> A través de </w:t>
      </w:r>
      <w:r w:rsidRPr="00D0172C">
        <w:rPr>
          <w:rFonts w:ascii="Palatino Linotype" w:eastAsia="Palatino Linotype" w:hAnsi="Palatino Linotype" w:cs="Palatino Linotype"/>
          <w:b/>
        </w:rPr>
        <w:t>SAIMEX</w:t>
      </w:r>
      <w:r w:rsidRPr="00D0172C">
        <w:rPr>
          <w:rFonts w:ascii="Palatino Linotype" w:eastAsia="Palatino Linotype" w:hAnsi="Palatino Linotype" w:cs="Palatino Linotype"/>
        </w:rPr>
        <w:t>.</w:t>
      </w:r>
    </w:p>
    <w:p w14:paraId="3251A62A" w14:textId="77777777" w:rsidR="00926FC4" w:rsidRPr="00D0172C" w:rsidRDefault="00926FC4">
      <w:pPr>
        <w:spacing w:line="360" w:lineRule="auto"/>
        <w:jc w:val="both"/>
        <w:rPr>
          <w:rFonts w:ascii="Palatino Linotype" w:eastAsia="Palatino Linotype" w:hAnsi="Palatino Linotype" w:cs="Palatino Linotype"/>
        </w:rPr>
      </w:pPr>
    </w:p>
    <w:p w14:paraId="01605C8C" w14:textId="77777777" w:rsidR="00926FC4" w:rsidRPr="00D0172C" w:rsidRDefault="00C47ACD">
      <w:pPr>
        <w:spacing w:after="240" w:line="360" w:lineRule="auto"/>
        <w:jc w:val="both"/>
        <w:rPr>
          <w:rFonts w:ascii="Palatino Linotype" w:eastAsia="Palatino Linotype" w:hAnsi="Palatino Linotype" w:cs="Palatino Linotype"/>
          <w:b/>
        </w:rPr>
      </w:pPr>
      <w:r w:rsidRPr="00D0172C">
        <w:rPr>
          <w:rFonts w:ascii="Palatino Linotype" w:eastAsia="Palatino Linotype" w:hAnsi="Palatino Linotype" w:cs="Palatino Linotype"/>
          <w:b/>
        </w:rPr>
        <w:lastRenderedPageBreak/>
        <w:t xml:space="preserve">2. Respuesta. </w:t>
      </w:r>
      <w:r w:rsidRPr="00D0172C">
        <w:rPr>
          <w:rFonts w:ascii="Palatino Linotype" w:eastAsia="Palatino Linotype" w:hAnsi="Palatino Linotype" w:cs="Palatino Linotype"/>
        </w:rPr>
        <w:t xml:space="preserve">El </w:t>
      </w:r>
      <w:r w:rsidRPr="00D0172C">
        <w:rPr>
          <w:rFonts w:ascii="Palatino Linotype" w:eastAsia="Palatino Linotype" w:hAnsi="Palatino Linotype" w:cs="Palatino Linotype"/>
          <w:b/>
        </w:rPr>
        <w:t>diecinueve de octubre de dos mil veintitrés</w:t>
      </w:r>
      <w:r w:rsidRPr="00D0172C">
        <w:rPr>
          <w:rFonts w:ascii="Palatino Linotype" w:eastAsia="Palatino Linotype" w:hAnsi="Palatino Linotype" w:cs="Palatino Linotype"/>
        </w:rPr>
        <w:t xml:space="preserve">, el </w:t>
      </w:r>
      <w:r w:rsidRPr="00D0172C">
        <w:rPr>
          <w:rFonts w:ascii="Palatino Linotype" w:eastAsia="Palatino Linotype" w:hAnsi="Palatino Linotype" w:cs="Palatino Linotype"/>
          <w:b/>
        </w:rPr>
        <w:t xml:space="preserve">Sujeto Obligado </w:t>
      </w:r>
      <w:r w:rsidRPr="00D0172C">
        <w:rPr>
          <w:rFonts w:ascii="Palatino Linotype" w:eastAsia="Palatino Linotype" w:hAnsi="Palatino Linotype" w:cs="Palatino Linotype"/>
        </w:rPr>
        <w:t xml:space="preserve">remitió su respuesta a la solicitud de acceso a la información a través de SAIMEX, sustancialmente en los términos siguientes:   </w:t>
      </w:r>
    </w:p>
    <w:p w14:paraId="68CB1EAE" w14:textId="77777777" w:rsidR="00926FC4" w:rsidRPr="00D0172C" w:rsidRDefault="00C47ACD">
      <w:pPr>
        <w:spacing w:before="240" w:after="240"/>
        <w:ind w:left="567" w:right="902"/>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i/>
          <w:sz w:val="22"/>
          <w:szCs w:val="22"/>
        </w:rPr>
        <w:t>“En respuesta a su solicitud 00116/TRIECA/IP/2023 donde "SOLICITO EL DIRECTORIO ACTUALIZADO DEL TRIBUNAL ESTATAL DE CONCILIACIÓN Y ARBITRAJE, DE LA SALA AUXILIAR DE ECATEPEC Y DE LA SALA AUXILIAR DE TLALNEPANTLA, ESPECIFICANDO EL PERSONAL DE CONFIANZA Y EL PERSONAL OPERATIVO." Se solicito el apoyo a la Unidad de Apoyo Administrativo del tribunal y se adjunta la respuesta.</w:t>
      </w:r>
    </w:p>
    <w:p w14:paraId="5364DF6A" w14:textId="77777777" w:rsidR="00926FC4" w:rsidRPr="00D0172C" w:rsidRDefault="00C47ACD">
      <w:pPr>
        <w:spacing w:before="240" w:after="240"/>
        <w:ind w:left="567" w:right="902"/>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i/>
          <w:sz w:val="22"/>
          <w:szCs w:val="22"/>
        </w:rPr>
        <w:t>ATENTAMENTE</w:t>
      </w:r>
    </w:p>
    <w:p w14:paraId="5FDBC185" w14:textId="77777777" w:rsidR="00926FC4" w:rsidRPr="00D0172C" w:rsidRDefault="00C47ACD">
      <w:pPr>
        <w:spacing w:before="240" w:after="240"/>
        <w:ind w:left="567" w:right="902"/>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i/>
          <w:sz w:val="22"/>
          <w:szCs w:val="22"/>
        </w:rPr>
        <w:t>LIC. GONZALO GUERRA SANTÍN GUERRA SANTÍN” (Sic)</w:t>
      </w:r>
    </w:p>
    <w:p w14:paraId="0C9BE742" w14:textId="77777777" w:rsidR="00926FC4" w:rsidRPr="00D0172C" w:rsidRDefault="00C47ACD">
      <w:pPr>
        <w:spacing w:before="240" w:after="240"/>
        <w:ind w:left="567" w:right="902"/>
        <w:jc w:val="both"/>
        <w:rPr>
          <w:rFonts w:ascii="Palatino Linotype" w:eastAsia="Palatino Linotype" w:hAnsi="Palatino Linotype" w:cs="Palatino Linotype"/>
          <w:b/>
          <w:sz w:val="22"/>
          <w:szCs w:val="22"/>
        </w:rPr>
      </w:pPr>
      <w:r w:rsidRPr="00D0172C">
        <w:rPr>
          <w:rFonts w:ascii="Palatino Linotype" w:eastAsia="Palatino Linotype" w:hAnsi="Palatino Linotype" w:cs="Palatino Linotype"/>
          <w:b/>
          <w:sz w:val="22"/>
          <w:szCs w:val="22"/>
        </w:rPr>
        <w:t>Archivos adjuntos:</w:t>
      </w:r>
    </w:p>
    <w:p w14:paraId="54037D95" w14:textId="77777777" w:rsidR="00926FC4" w:rsidRPr="00D0172C" w:rsidRDefault="00C47ACD">
      <w:pPr>
        <w:spacing w:before="240" w:after="240" w:line="360" w:lineRule="auto"/>
        <w:ind w:left="567" w:right="902"/>
        <w:jc w:val="both"/>
        <w:rPr>
          <w:rFonts w:ascii="Palatino Linotype" w:eastAsia="Palatino Linotype" w:hAnsi="Palatino Linotype" w:cs="Palatino Linotype"/>
        </w:rPr>
      </w:pPr>
      <w:r w:rsidRPr="00D0172C">
        <w:rPr>
          <w:rFonts w:ascii="Palatino Linotype" w:eastAsia="Palatino Linotype" w:hAnsi="Palatino Linotype" w:cs="Palatino Linotype"/>
          <w:b/>
          <w:i/>
          <w:sz w:val="22"/>
          <w:szCs w:val="22"/>
        </w:rPr>
        <w:t xml:space="preserve">“116.pdf”: </w:t>
      </w:r>
      <w:r w:rsidRPr="00D0172C">
        <w:rPr>
          <w:rFonts w:ascii="Palatino Linotype" w:eastAsia="Palatino Linotype" w:hAnsi="Palatino Linotype" w:cs="Palatino Linotype"/>
        </w:rPr>
        <w:t xml:space="preserve">Documento de dos fojas en el que se aprecia un oficio signado por la </w:t>
      </w:r>
      <w:proofErr w:type="gramStart"/>
      <w:r w:rsidRPr="00D0172C">
        <w:rPr>
          <w:rFonts w:ascii="Palatino Linotype" w:eastAsia="Palatino Linotype" w:hAnsi="Palatino Linotype" w:cs="Palatino Linotype"/>
        </w:rPr>
        <w:t>Jefa</w:t>
      </w:r>
      <w:proofErr w:type="gramEnd"/>
      <w:r w:rsidRPr="00D0172C">
        <w:rPr>
          <w:rFonts w:ascii="Palatino Linotype" w:eastAsia="Palatino Linotype" w:hAnsi="Palatino Linotype" w:cs="Palatino Linotype"/>
        </w:rPr>
        <w:t xml:space="preserve"> de la Unidad de Apoyo Administrativo, quien refiere adjuntar un listado del personal adscrito a las Salas Auxiliares Ecatepec y Tlalnepantla del Tribunal Estatal de Conciliación y Arbitraje, mismo que se visualiza de la siguiente manera: </w:t>
      </w:r>
    </w:p>
    <w:p w14:paraId="24F59638" w14:textId="77777777" w:rsidR="00926FC4" w:rsidRPr="00D0172C" w:rsidRDefault="00C47ACD">
      <w:pPr>
        <w:spacing w:before="240" w:after="240" w:line="360" w:lineRule="auto"/>
        <w:ind w:left="567" w:right="902"/>
        <w:jc w:val="both"/>
        <w:rPr>
          <w:rFonts w:ascii="Palatino Linotype" w:eastAsia="Palatino Linotype" w:hAnsi="Palatino Linotype" w:cs="Palatino Linotype"/>
        </w:rPr>
      </w:pPr>
      <w:r w:rsidRPr="00D0172C">
        <w:rPr>
          <w:rFonts w:ascii="Palatino Linotype" w:eastAsia="Palatino Linotype" w:hAnsi="Palatino Linotype" w:cs="Palatino Linotype"/>
          <w:noProof/>
          <w:lang w:val="es-MX"/>
        </w:rPr>
        <w:lastRenderedPageBreak/>
        <w:drawing>
          <wp:inline distT="0" distB="0" distL="0" distR="0" wp14:anchorId="69936A84" wp14:editId="576A486E">
            <wp:extent cx="5163271" cy="5820587"/>
            <wp:effectExtent l="0" t="0" r="0" b="0"/>
            <wp:docPr id="6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163271" cy="5820587"/>
                    </a:xfrm>
                    <a:prstGeom prst="rect">
                      <a:avLst/>
                    </a:prstGeom>
                    <a:ln/>
                  </pic:spPr>
                </pic:pic>
              </a:graphicData>
            </a:graphic>
          </wp:inline>
        </w:drawing>
      </w:r>
    </w:p>
    <w:p w14:paraId="7C90BB0E" w14:textId="77777777" w:rsidR="00926FC4" w:rsidRPr="00D0172C" w:rsidRDefault="00C47ACD">
      <w:pPr>
        <w:spacing w:before="240" w:after="240" w:line="360" w:lineRule="auto"/>
        <w:ind w:right="49"/>
        <w:jc w:val="both"/>
        <w:rPr>
          <w:rFonts w:ascii="Palatino Linotype" w:eastAsia="Palatino Linotype" w:hAnsi="Palatino Linotype" w:cs="Palatino Linotype"/>
        </w:rPr>
      </w:pPr>
      <w:r w:rsidRPr="00D0172C">
        <w:rPr>
          <w:rFonts w:ascii="Palatino Linotype" w:eastAsia="Palatino Linotype" w:hAnsi="Palatino Linotype" w:cs="Palatino Linotype"/>
          <w:b/>
        </w:rPr>
        <w:t xml:space="preserve">3. Interposición del recurso de revisión. </w:t>
      </w:r>
      <w:r w:rsidRPr="00D0172C">
        <w:rPr>
          <w:rFonts w:ascii="Palatino Linotype" w:eastAsia="Palatino Linotype" w:hAnsi="Palatino Linotype" w:cs="Palatino Linotype"/>
        </w:rPr>
        <w:t xml:space="preserve">Inconforme con los términos de la respuesta emitida por parte del </w:t>
      </w:r>
      <w:r w:rsidRPr="00D0172C">
        <w:rPr>
          <w:rFonts w:ascii="Palatino Linotype" w:eastAsia="Palatino Linotype" w:hAnsi="Palatino Linotype" w:cs="Palatino Linotype"/>
          <w:b/>
        </w:rPr>
        <w:t>Sujeto Obligado</w:t>
      </w:r>
      <w:r w:rsidRPr="00D0172C">
        <w:rPr>
          <w:rFonts w:ascii="Palatino Linotype" w:eastAsia="Palatino Linotype" w:hAnsi="Palatino Linotype" w:cs="Palatino Linotype"/>
        </w:rPr>
        <w:t xml:space="preserve">, el </w:t>
      </w:r>
      <w:r w:rsidRPr="00D0172C">
        <w:rPr>
          <w:rFonts w:ascii="Palatino Linotype" w:eastAsia="Palatino Linotype" w:hAnsi="Palatino Linotype" w:cs="Palatino Linotype"/>
          <w:b/>
        </w:rPr>
        <w:t>diecinueve de octubre de dos mil veintitrés,</w:t>
      </w:r>
      <w:r w:rsidRPr="00D0172C">
        <w:rPr>
          <w:rFonts w:ascii="Palatino Linotype" w:eastAsia="Palatino Linotype" w:hAnsi="Palatino Linotype" w:cs="Palatino Linotype"/>
        </w:rPr>
        <w:t xml:space="preserve"> </w:t>
      </w:r>
      <w:r w:rsidRPr="00D0172C">
        <w:rPr>
          <w:rFonts w:ascii="Palatino Linotype" w:eastAsia="Palatino Linotype" w:hAnsi="Palatino Linotype" w:cs="Palatino Linotype"/>
          <w:b/>
        </w:rPr>
        <w:t>la parte Recurrente</w:t>
      </w:r>
      <w:r w:rsidRPr="00D0172C">
        <w:rPr>
          <w:rFonts w:ascii="Palatino Linotype" w:eastAsia="Palatino Linotype" w:hAnsi="Palatino Linotype" w:cs="Palatino Linotype"/>
        </w:rPr>
        <w:t xml:space="preserve"> interpuso el recurso de revisión a través de </w:t>
      </w:r>
      <w:r w:rsidRPr="00D0172C">
        <w:rPr>
          <w:rFonts w:ascii="Palatino Linotype" w:eastAsia="Palatino Linotype" w:hAnsi="Palatino Linotype" w:cs="Palatino Linotype"/>
          <w:b/>
        </w:rPr>
        <w:t xml:space="preserve">SAIMEX, </w:t>
      </w:r>
      <w:r w:rsidRPr="00D0172C">
        <w:rPr>
          <w:rFonts w:ascii="Palatino Linotype" w:eastAsia="Palatino Linotype" w:hAnsi="Palatino Linotype" w:cs="Palatino Linotype"/>
        </w:rPr>
        <w:t>en donde se manifestó de la siguiente manera:</w:t>
      </w:r>
    </w:p>
    <w:p w14:paraId="57650AAF" w14:textId="77777777" w:rsidR="00926FC4" w:rsidRPr="00D0172C" w:rsidRDefault="00C47ACD">
      <w:pPr>
        <w:tabs>
          <w:tab w:val="left" w:pos="2745"/>
        </w:tabs>
        <w:spacing w:before="240" w:after="240" w:line="360" w:lineRule="auto"/>
        <w:jc w:val="both"/>
        <w:rPr>
          <w:rFonts w:ascii="Palatino Linotype" w:eastAsia="Palatino Linotype" w:hAnsi="Palatino Linotype" w:cs="Palatino Linotype"/>
          <w:b/>
        </w:rPr>
      </w:pPr>
      <w:r w:rsidRPr="00D0172C">
        <w:rPr>
          <w:rFonts w:ascii="Palatino Linotype" w:eastAsia="Palatino Linotype" w:hAnsi="Palatino Linotype" w:cs="Palatino Linotype"/>
          <w:b/>
        </w:rPr>
        <w:lastRenderedPageBreak/>
        <w:t xml:space="preserve">a) Acto impugnado: </w:t>
      </w:r>
      <w:r w:rsidRPr="00D0172C">
        <w:rPr>
          <w:rFonts w:ascii="Palatino Linotype" w:eastAsia="Palatino Linotype" w:hAnsi="Palatino Linotype" w:cs="Palatino Linotype"/>
          <w:b/>
        </w:rPr>
        <w:tab/>
      </w:r>
    </w:p>
    <w:p w14:paraId="5A57CC7D" w14:textId="77777777" w:rsidR="00926FC4" w:rsidRPr="00D0172C" w:rsidRDefault="00C47ACD">
      <w:pPr>
        <w:ind w:left="567" w:right="902"/>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i/>
          <w:sz w:val="22"/>
          <w:szCs w:val="22"/>
        </w:rPr>
        <w:t>“</w:t>
      </w:r>
      <w:r w:rsidRPr="00D0172C">
        <w:rPr>
          <w:rFonts w:ascii="Palatino Linotype" w:eastAsia="Palatino Linotype" w:hAnsi="Palatino Linotype" w:cs="Palatino Linotype"/>
          <w:b/>
          <w:i/>
          <w:sz w:val="22"/>
          <w:szCs w:val="22"/>
          <w:u w:val="single"/>
        </w:rPr>
        <w:t>ENTREGA INCOMPLETA DE INFORMACIÓN</w:t>
      </w:r>
      <w:r w:rsidRPr="00D0172C">
        <w:rPr>
          <w:rFonts w:ascii="Palatino Linotype" w:eastAsia="Palatino Linotype" w:hAnsi="Palatino Linotype" w:cs="Palatino Linotype"/>
          <w:i/>
          <w:sz w:val="22"/>
          <w:szCs w:val="22"/>
        </w:rPr>
        <w:t>” (Sic)</w:t>
      </w:r>
    </w:p>
    <w:p w14:paraId="754CCD58" w14:textId="77777777" w:rsidR="00926FC4" w:rsidRPr="00D0172C" w:rsidRDefault="00926FC4">
      <w:pPr>
        <w:ind w:left="851" w:right="902"/>
        <w:jc w:val="both"/>
        <w:rPr>
          <w:rFonts w:ascii="Palatino Linotype" w:eastAsia="Palatino Linotype" w:hAnsi="Palatino Linotype" w:cs="Palatino Linotype"/>
          <w:i/>
          <w:sz w:val="22"/>
          <w:szCs w:val="22"/>
        </w:rPr>
      </w:pPr>
    </w:p>
    <w:p w14:paraId="1E6EA56D" w14:textId="77777777" w:rsidR="00926FC4" w:rsidRPr="00D0172C" w:rsidRDefault="00C47ACD">
      <w:pPr>
        <w:spacing w:line="360" w:lineRule="auto"/>
        <w:jc w:val="both"/>
        <w:rPr>
          <w:rFonts w:ascii="Palatino Linotype" w:eastAsia="Palatino Linotype" w:hAnsi="Palatino Linotype" w:cs="Palatino Linotype"/>
        </w:rPr>
      </w:pPr>
      <w:r w:rsidRPr="00D0172C">
        <w:rPr>
          <w:rFonts w:ascii="Palatino Linotype" w:eastAsia="Palatino Linotype" w:hAnsi="Palatino Linotype" w:cs="Palatino Linotype"/>
          <w:b/>
        </w:rPr>
        <w:t>b) Razones o motivos de inconformidad</w:t>
      </w:r>
      <w:r w:rsidRPr="00D0172C">
        <w:rPr>
          <w:rFonts w:ascii="Palatino Linotype" w:eastAsia="Palatino Linotype" w:hAnsi="Palatino Linotype" w:cs="Palatino Linotype"/>
        </w:rPr>
        <w:t>:</w:t>
      </w:r>
    </w:p>
    <w:p w14:paraId="15CD1533" w14:textId="77777777" w:rsidR="00926FC4" w:rsidRPr="00D0172C" w:rsidRDefault="00C47ACD">
      <w:pPr>
        <w:ind w:left="567" w:right="902"/>
        <w:jc w:val="both"/>
        <w:rPr>
          <w:rFonts w:ascii="Palatino Linotype" w:eastAsia="Palatino Linotype" w:hAnsi="Palatino Linotype" w:cs="Palatino Linotype"/>
          <w:i/>
          <w:sz w:val="22"/>
          <w:szCs w:val="22"/>
        </w:rPr>
      </w:pPr>
      <w:bookmarkStart w:id="1" w:name="_heading=h.30j0zll" w:colFirst="0" w:colLast="0"/>
      <w:bookmarkEnd w:id="1"/>
      <w:r w:rsidRPr="00D0172C">
        <w:rPr>
          <w:rFonts w:ascii="Palatino Linotype" w:eastAsia="Palatino Linotype" w:hAnsi="Palatino Linotype" w:cs="Palatino Linotype"/>
          <w:i/>
          <w:sz w:val="22"/>
          <w:szCs w:val="22"/>
        </w:rPr>
        <w:t xml:space="preserve"> “</w:t>
      </w:r>
      <w:r w:rsidRPr="00D0172C">
        <w:rPr>
          <w:rFonts w:ascii="Palatino Linotype" w:eastAsia="Palatino Linotype" w:hAnsi="Palatino Linotype" w:cs="Palatino Linotype"/>
          <w:b/>
          <w:i/>
          <w:sz w:val="22"/>
          <w:szCs w:val="22"/>
          <w:u w:val="single"/>
        </w:rPr>
        <w:t>SE OMITE ENTREGAR LA INFORMACIÓN ATINENTE AL DIRECTORIO ACTUALIZADO DEL TRIBUNAL ESTATAL DE CONCILIACIÓN Y ARBITRAJE</w:t>
      </w:r>
      <w:r w:rsidRPr="00D0172C">
        <w:rPr>
          <w:rFonts w:ascii="Palatino Linotype" w:eastAsia="Palatino Linotype" w:hAnsi="Palatino Linotype" w:cs="Palatino Linotype"/>
          <w:i/>
          <w:sz w:val="22"/>
          <w:szCs w:val="22"/>
        </w:rPr>
        <w:t xml:space="preserve">, SOLO SE ENTREGÓ EL DE LA SALA AUXILIAR DE ECATEPEC Y EL DE LA SALA AUXILIAR DE TLALNEPANTLA.” (Sic) </w:t>
      </w:r>
    </w:p>
    <w:p w14:paraId="77B30DC1" w14:textId="77777777" w:rsidR="00926FC4" w:rsidRPr="00D0172C" w:rsidRDefault="00926FC4">
      <w:pPr>
        <w:ind w:left="567" w:right="902"/>
        <w:jc w:val="both"/>
        <w:rPr>
          <w:rFonts w:ascii="Palatino Linotype" w:eastAsia="Palatino Linotype" w:hAnsi="Palatino Linotype" w:cs="Palatino Linotype"/>
          <w:i/>
          <w:sz w:val="22"/>
          <w:szCs w:val="22"/>
        </w:rPr>
      </w:pPr>
    </w:p>
    <w:p w14:paraId="2B23A937" w14:textId="77777777" w:rsidR="00926FC4" w:rsidRPr="00D0172C" w:rsidRDefault="00926FC4">
      <w:pPr>
        <w:ind w:right="902"/>
        <w:jc w:val="both"/>
        <w:rPr>
          <w:rFonts w:ascii="Palatino Linotype" w:eastAsia="Palatino Linotype" w:hAnsi="Palatino Linotype" w:cs="Palatino Linotype"/>
          <w:sz w:val="22"/>
          <w:szCs w:val="22"/>
        </w:rPr>
      </w:pPr>
    </w:p>
    <w:p w14:paraId="121F5F73" w14:textId="77777777" w:rsidR="00926FC4" w:rsidRPr="00D0172C" w:rsidRDefault="00C47ACD">
      <w:pPr>
        <w:spacing w:line="360" w:lineRule="auto"/>
        <w:ind w:right="51"/>
        <w:jc w:val="both"/>
        <w:rPr>
          <w:rFonts w:ascii="Palatino Linotype" w:eastAsia="Palatino Linotype" w:hAnsi="Palatino Linotype" w:cs="Palatino Linotype"/>
        </w:rPr>
      </w:pPr>
      <w:r w:rsidRPr="00D0172C">
        <w:rPr>
          <w:rFonts w:ascii="Palatino Linotype" w:eastAsia="Palatino Linotype" w:hAnsi="Palatino Linotype" w:cs="Palatino Linotype"/>
          <w:b/>
        </w:rPr>
        <w:t xml:space="preserve">4. Turno. </w:t>
      </w:r>
      <w:r w:rsidRPr="00D0172C">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D0172C">
        <w:rPr>
          <w:rFonts w:ascii="Palatino Linotype" w:eastAsia="Palatino Linotype" w:hAnsi="Palatino Linotype" w:cs="Palatino Linotype"/>
          <w:b/>
        </w:rPr>
        <w:t>Comisionada</w:t>
      </w:r>
      <w:r w:rsidRPr="00D0172C">
        <w:rPr>
          <w:rFonts w:ascii="Palatino Linotype" w:eastAsia="Palatino Linotype" w:hAnsi="Palatino Linotype" w:cs="Palatino Linotype"/>
        </w:rPr>
        <w:t xml:space="preserve"> </w:t>
      </w:r>
      <w:r w:rsidRPr="00D0172C">
        <w:rPr>
          <w:rFonts w:ascii="Palatino Linotype" w:eastAsia="Palatino Linotype" w:hAnsi="Palatino Linotype" w:cs="Palatino Linotype"/>
          <w:b/>
        </w:rPr>
        <w:t xml:space="preserve">Guadalupe Ramírez Peña, </w:t>
      </w:r>
      <w:r w:rsidRPr="00D0172C">
        <w:rPr>
          <w:rFonts w:ascii="Palatino Linotype" w:eastAsia="Palatino Linotype" w:hAnsi="Palatino Linotype" w:cs="Palatino Linotype"/>
        </w:rPr>
        <w:t xml:space="preserve">a efecto de que analizará sobre su admisión o su </w:t>
      </w:r>
      <w:proofErr w:type="spellStart"/>
      <w:r w:rsidRPr="00D0172C">
        <w:rPr>
          <w:rFonts w:ascii="Palatino Linotype" w:eastAsia="Palatino Linotype" w:hAnsi="Palatino Linotype" w:cs="Palatino Linotype"/>
        </w:rPr>
        <w:t>desechamiento</w:t>
      </w:r>
      <w:proofErr w:type="spellEnd"/>
      <w:r w:rsidRPr="00D0172C">
        <w:rPr>
          <w:rFonts w:ascii="Palatino Linotype" w:eastAsia="Palatino Linotype" w:hAnsi="Palatino Linotype" w:cs="Palatino Linotype"/>
        </w:rPr>
        <w:t>.</w:t>
      </w:r>
    </w:p>
    <w:p w14:paraId="589D88A8" w14:textId="77777777" w:rsidR="00926FC4" w:rsidRPr="00D0172C" w:rsidRDefault="00926FC4">
      <w:pPr>
        <w:spacing w:line="360" w:lineRule="auto"/>
        <w:ind w:right="51"/>
        <w:jc w:val="both"/>
        <w:rPr>
          <w:rFonts w:ascii="Palatino Linotype" w:eastAsia="Palatino Linotype" w:hAnsi="Palatino Linotype" w:cs="Palatino Linotype"/>
        </w:rPr>
      </w:pPr>
    </w:p>
    <w:p w14:paraId="2E90729E" w14:textId="77777777" w:rsidR="00926FC4" w:rsidRPr="00D0172C" w:rsidRDefault="00C47ACD">
      <w:pPr>
        <w:spacing w:after="240" w:line="360" w:lineRule="auto"/>
        <w:jc w:val="both"/>
        <w:rPr>
          <w:rFonts w:ascii="Palatino Linotype" w:eastAsia="Palatino Linotype" w:hAnsi="Palatino Linotype" w:cs="Palatino Linotype"/>
        </w:rPr>
      </w:pPr>
      <w:r w:rsidRPr="00D0172C">
        <w:rPr>
          <w:rFonts w:ascii="Palatino Linotype" w:eastAsia="Palatino Linotype" w:hAnsi="Palatino Linotype" w:cs="Palatino Linotype"/>
          <w:b/>
        </w:rPr>
        <w:t>5. Admisión del Recurso de Revisión.</w:t>
      </w:r>
      <w:r w:rsidRPr="00D0172C">
        <w:rPr>
          <w:rFonts w:ascii="Palatino Linotype" w:eastAsia="Palatino Linotype" w:hAnsi="Palatino Linotype" w:cs="Palatino Linotype"/>
        </w:rPr>
        <w:t xml:space="preserve"> El </w:t>
      </w:r>
      <w:r w:rsidRPr="00D0172C">
        <w:rPr>
          <w:rFonts w:ascii="Palatino Linotype" w:eastAsia="Palatino Linotype" w:hAnsi="Palatino Linotype" w:cs="Palatino Linotype"/>
          <w:b/>
        </w:rPr>
        <w:t xml:space="preserve">veinticuatro de octubre de dos mil veintitrés, </w:t>
      </w:r>
      <w:r w:rsidRPr="00D0172C">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D0172C">
        <w:rPr>
          <w:rFonts w:ascii="Palatino Linotype" w:eastAsia="Palatino Linotype" w:hAnsi="Palatino Linotype" w:cs="Palatino Linotype"/>
          <w:b/>
        </w:rPr>
        <w:t xml:space="preserve">Sujeto Obligado </w:t>
      </w:r>
      <w:r w:rsidRPr="00D0172C">
        <w:rPr>
          <w:rFonts w:ascii="Palatino Linotype" w:eastAsia="Palatino Linotype" w:hAnsi="Palatino Linotype" w:cs="Palatino Linotype"/>
        </w:rPr>
        <w:t>presentara su informe justificado.</w:t>
      </w:r>
    </w:p>
    <w:p w14:paraId="7689EC37" w14:textId="77777777" w:rsidR="00926FC4" w:rsidRPr="00D0172C" w:rsidRDefault="00C47ACD">
      <w:pPr>
        <w:spacing w:after="240" w:line="360" w:lineRule="auto"/>
        <w:jc w:val="both"/>
        <w:rPr>
          <w:rFonts w:ascii="Palatino Linotype" w:eastAsia="Palatino Linotype" w:hAnsi="Palatino Linotype" w:cs="Palatino Linotype"/>
        </w:rPr>
      </w:pPr>
      <w:bookmarkStart w:id="2" w:name="_heading=h.2s8eyo1" w:colFirst="0" w:colLast="0"/>
      <w:bookmarkEnd w:id="2"/>
      <w:r w:rsidRPr="00D0172C">
        <w:rPr>
          <w:rFonts w:ascii="Palatino Linotype" w:eastAsia="Palatino Linotype" w:hAnsi="Palatino Linotype" w:cs="Palatino Linotype"/>
          <w:b/>
        </w:rPr>
        <w:lastRenderedPageBreak/>
        <w:t>6. Manifestaciones</w:t>
      </w:r>
      <w:r w:rsidRPr="00D0172C">
        <w:rPr>
          <w:rFonts w:ascii="Palatino Linotype" w:eastAsia="Palatino Linotype" w:hAnsi="Palatino Linotype" w:cs="Palatino Linotype"/>
        </w:rPr>
        <w:t xml:space="preserve">. El </w:t>
      </w:r>
      <w:r w:rsidRPr="00D0172C">
        <w:rPr>
          <w:rFonts w:ascii="Palatino Linotype" w:eastAsia="Palatino Linotype" w:hAnsi="Palatino Linotype" w:cs="Palatino Linotype"/>
          <w:b/>
        </w:rPr>
        <w:t>veinticuatro de octubre de dos mil veintitrés</w:t>
      </w:r>
      <w:r w:rsidRPr="00D0172C">
        <w:rPr>
          <w:rFonts w:ascii="Palatino Linotype" w:eastAsia="Palatino Linotype" w:hAnsi="Palatino Linotype" w:cs="Palatino Linotype"/>
        </w:rPr>
        <w:t xml:space="preserve">, el </w:t>
      </w:r>
      <w:r w:rsidRPr="00D0172C">
        <w:rPr>
          <w:rFonts w:ascii="Palatino Linotype" w:eastAsia="Palatino Linotype" w:hAnsi="Palatino Linotype" w:cs="Palatino Linotype"/>
          <w:b/>
        </w:rPr>
        <w:t>Sujeto Obligado</w:t>
      </w:r>
      <w:r w:rsidRPr="00D0172C">
        <w:rPr>
          <w:rFonts w:ascii="Palatino Linotype" w:eastAsia="Palatino Linotype" w:hAnsi="Palatino Linotype" w:cs="Palatino Linotype"/>
        </w:rPr>
        <w:t xml:space="preserve"> remitió su informe justificado mediante el archivo electrónico “</w:t>
      </w:r>
      <w:r w:rsidRPr="00D0172C">
        <w:rPr>
          <w:rFonts w:ascii="Palatino Linotype" w:eastAsia="Palatino Linotype" w:hAnsi="Palatino Linotype" w:cs="Palatino Linotype"/>
          <w:b/>
          <w:i/>
        </w:rPr>
        <w:t>Directorio _ Tribunal Estatal de Conciliación y Arbitraje.pdf”,</w:t>
      </w:r>
      <w:r w:rsidRPr="00D0172C">
        <w:rPr>
          <w:rFonts w:ascii="Palatino Linotype" w:eastAsia="Palatino Linotype" w:hAnsi="Palatino Linotype" w:cs="Palatino Linotype"/>
        </w:rPr>
        <w:t xml:space="preserve"> el cual se compone de una foja y en él se aprecia el directorio de dicho Tribunal:</w:t>
      </w:r>
    </w:p>
    <w:p w14:paraId="2437EB80" w14:textId="77777777" w:rsidR="00926FC4" w:rsidRPr="00D0172C" w:rsidRDefault="00C47ACD">
      <w:pPr>
        <w:spacing w:after="240" w:line="360" w:lineRule="auto"/>
        <w:jc w:val="center"/>
        <w:rPr>
          <w:rFonts w:ascii="Palatino Linotype" w:eastAsia="Palatino Linotype" w:hAnsi="Palatino Linotype" w:cs="Palatino Linotype"/>
        </w:rPr>
      </w:pPr>
      <w:r w:rsidRPr="00D0172C">
        <w:rPr>
          <w:rFonts w:ascii="Palatino Linotype" w:eastAsia="Palatino Linotype" w:hAnsi="Palatino Linotype" w:cs="Palatino Linotype"/>
          <w:noProof/>
          <w:lang w:val="es-MX"/>
        </w:rPr>
        <w:drawing>
          <wp:inline distT="0" distB="0" distL="0" distR="0" wp14:anchorId="2369952E" wp14:editId="248CCACC">
            <wp:extent cx="2775398" cy="5140535"/>
            <wp:effectExtent l="0" t="0" r="0" b="0"/>
            <wp:docPr id="6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2775398" cy="5140535"/>
                    </a:xfrm>
                    <a:prstGeom prst="rect">
                      <a:avLst/>
                    </a:prstGeom>
                    <a:ln/>
                  </pic:spPr>
                </pic:pic>
              </a:graphicData>
            </a:graphic>
          </wp:inline>
        </w:drawing>
      </w:r>
    </w:p>
    <w:p w14:paraId="1052482C" w14:textId="77777777" w:rsidR="00926FC4" w:rsidRPr="00D0172C" w:rsidRDefault="00C47ACD">
      <w:pPr>
        <w:spacing w:after="240" w:line="360" w:lineRule="auto"/>
        <w:jc w:val="both"/>
        <w:rPr>
          <w:rFonts w:ascii="Palatino Linotype" w:eastAsia="Palatino Linotype" w:hAnsi="Palatino Linotype" w:cs="Palatino Linotype"/>
        </w:rPr>
      </w:pPr>
      <w:r w:rsidRPr="00D0172C">
        <w:rPr>
          <w:rFonts w:ascii="Palatino Linotype" w:eastAsia="Palatino Linotype" w:hAnsi="Palatino Linotype" w:cs="Palatino Linotype"/>
        </w:rPr>
        <w:t xml:space="preserve">Es de precisar </w:t>
      </w:r>
      <w:proofErr w:type="gramStart"/>
      <w:r w:rsidRPr="00D0172C">
        <w:rPr>
          <w:rFonts w:ascii="Palatino Linotype" w:eastAsia="Palatino Linotype" w:hAnsi="Palatino Linotype" w:cs="Palatino Linotype"/>
        </w:rPr>
        <w:t>que</w:t>
      </w:r>
      <w:proofErr w:type="gramEnd"/>
      <w:r w:rsidRPr="00D0172C">
        <w:rPr>
          <w:rFonts w:ascii="Palatino Linotype" w:eastAsia="Palatino Linotype" w:hAnsi="Palatino Linotype" w:cs="Palatino Linotype"/>
        </w:rPr>
        <w:t xml:space="preserve"> una vez analizados este soporte documental, se hizo del conocimiento de </w:t>
      </w:r>
      <w:r w:rsidRPr="00D0172C">
        <w:rPr>
          <w:rFonts w:ascii="Palatino Linotype" w:eastAsia="Palatino Linotype" w:hAnsi="Palatino Linotype" w:cs="Palatino Linotype"/>
          <w:b/>
        </w:rPr>
        <w:t>la parte</w:t>
      </w:r>
      <w:r w:rsidRPr="00D0172C">
        <w:rPr>
          <w:rFonts w:ascii="Palatino Linotype" w:eastAsia="Palatino Linotype" w:hAnsi="Palatino Linotype" w:cs="Palatino Linotype"/>
        </w:rPr>
        <w:t xml:space="preserve"> </w:t>
      </w:r>
      <w:r w:rsidRPr="00D0172C">
        <w:rPr>
          <w:rFonts w:ascii="Palatino Linotype" w:eastAsia="Palatino Linotype" w:hAnsi="Palatino Linotype" w:cs="Palatino Linotype"/>
          <w:b/>
        </w:rPr>
        <w:t>Recurrente</w:t>
      </w:r>
      <w:r w:rsidRPr="00D0172C">
        <w:rPr>
          <w:rFonts w:ascii="Palatino Linotype" w:eastAsia="Palatino Linotype" w:hAnsi="Palatino Linotype" w:cs="Palatino Linotype"/>
        </w:rPr>
        <w:t xml:space="preserve">, mediante acuerdo emitido por la Comisionada </w:t>
      </w:r>
      <w:r w:rsidRPr="00D0172C">
        <w:rPr>
          <w:rFonts w:ascii="Palatino Linotype" w:eastAsia="Palatino Linotype" w:hAnsi="Palatino Linotype" w:cs="Palatino Linotype"/>
        </w:rPr>
        <w:lastRenderedPageBreak/>
        <w:t xml:space="preserve">Ponente, el </w:t>
      </w:r>
      <w:r w:rsidRPr="00D0172C">
        <w:rPr>
          <w:rFonts w:ascii="Palatino Linotype" w:eastAsia="Palatino Linotype" w:hAnsi="Palatino Linotype" w:cs="Palatino Linotype"/>
          <w:b/>
        </w:rPr>
        <w:t>veintidós de noviembre de dos mil veintitrés</w:t>
      </w:r>
      <w:r w:rsidRPr="00D0172C">
        <w:rPr>
          <w:rFonts w:ascii="Palatino Linotype" w:eastAsia="Palatino Linotype" w:hAnsi="Palatino Linotype" w:cs="Palatino Linotype"/>
        </w:rPr>
        <w:t xml:space="preserve">, asimismo es de señalar que </w:t>
      </w:r>
      <w:r w:rsidRPr="00D0172C">
        <w:rPr>
          <w:rFonts w:ascii="Palatino Linotype" w:eastAsia="Palatino Linotype" w:hAnsi="Palatino Linotype" w:cs="Palatino Linotype"/>
          <w:b/>
        </w:rPr>
        <w:t>la persona Recurrente</w:t>
      </w:r>
      <w:r w:rsidRPr="00D0172C">
        <w:rPr>
          <w:rFonts w:ascii="Palatino Linotype" w:eastAsia="Palatino Linotype" w:hAnsi="Palatino Linotype" w:cs="Palatino Linotype"/>
        </w:rPr>
        <w:t xml:space="preserve"> fue omisa en pronunciarse durante esta etapa, por lo que se tiene por precluido su derecho para tal efecto.</w:t>
      </w:r>
    </w:p>
    <w:p w14:paraId="3FA77C14" w14:textId="77777777" w:rsidR="00926FC4" w:rsidRPr="00D0172C" w:rsidRDefault="00C47ACD">
      <w:pPr>
        <w:widowControl w:val="0"/>
        <w:spacing w:after="240" w:line="360" w:lineRule="auto"/>
        <w:jc w:val="both"/>
        <w:rPr>
          <w:rFonts w:ascii="Palatino Linotype" w:eastAsia="Palatino Linotype" w:hAnsi="Palatino Linotype" w:cs="Palatino Linotype"/>
        </w:rPr>
      </w:pPr>
      <w:r w:rsidRPr="00D0172C">
        <w:rPr>
          <w:rFonts w:ascii="Palatino Linotype" w:eastAsia="Palatino Linotype" w:hAnsi="Palatino Linotype" w:cs="Palatino Linotype"/>
          <w:b/>
        </w:rPr>
        <w:t>7.</w:t>
      </w:r>
      <w:r w:rsidRPr="00D0172C">
        <w:rPr>
          <w:rFonts w:ascii="Palatino Linotype" w:eastAsia="Palatino Linotype" w:hAnsi="Palatino Linotype" w:cs="Palatino Linotype"/>
        </w:rPr>
        <w:t xml:space="preserve"> </w:t>
      </w:r>
      <w:r w:rsidRPr="00D0172C">
        <w:rPr>
          <w:rFonts w:ascii="Palatino Linotype" w:eastAsia="Palatino Linotype" w:hAnsi="Palatino Linotype" w:cs="Palatino Linotype"/>
          <w:b/>
        </w:rPr>
        <w:t xml:space="preserve">Cierre de instrucción. </w:t>
      </w:r>
      <w:r w:rsidRPr="00D0172C">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D0172C">
        <w:rPr>
          <w:rFonts w:ascii="Palatino Linotype" w:eastAsia="Palatino Linotype" w:hAnsi="Palatino Linotype" w:cs="Palatino Linotype"/>
          <w:b/>
        </w:rPr>
        <w:t>veintiocho de noviembre de dos mil veintitrés</w:t>
      </w:r>
      <w:r w:rsidRPr="00D0172C">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174FD8AB" w14:textId="77777777" w:rsidR="00926FC4" w:rsidRPr="00D0172C" w:rsidRDefault="00C47ACD">
      <w:pPr>
        <w:widowControl w:val="0"/>
        <w:spacing w:before="240" w:after="240" w:line="360" w:lineRule="auto"/>
        <w:jc w:val="both"/>
        <w:rPr>
          <w:rFonts w:ascii="Palatino Linotype" w:eastAsia="Palatino Linotype" w:hAnsi="Palatino Linotype" w:cs="Palatino Linotype"/>
        </w:rPr>
      </w:pPr>
      <w:r w:rsidRPr="00D0172C">
        <w:rPr>
          <w:rFonts w:ascii="Palatino Linotype" w:eastAsia="Palatino Linotype" w:hAnsi="Palatino Linotype" w:cs="Palatino Linotype"/>
          <w:b/>
        </w:rPr>
        <w:t>8. Ampliación de plazo para resolver.</w:t>
      </w:r>
      <w:r w:rsidRPr="00D0172C">
        <w:rPr>
          <w:rFonts w:ascii="Palatino Linotype" w:eastAsia="Palatino Linotype" w:hAnsi="Palatino Linotype" w:cs="Palatino Linotype"/>
        </w:rPr>
        <w:t xml:space="preserve"> El </w:t>
      </w:r>
      <w:r w:rsidRPr="00D0172C">
        <w:rPr>
          <w:rFonts w:ascii="Palatino Linotype" w:eastAsia="Palatino Linotype" w:hAnsi="Palatino Linotype" w:cs="Palatino Linotype"/>
          <w:b/>
        </w:rPr>
        <w:t>siete de diciembre del año dos mil veintitrés</w:t>
      </w:r>
      <w:r w:rsidRPr="00D0172C">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6D37E3F2" w14:textId="77777777" w:rsidR="00926FC4" w:rsidRPr="00D0172C" w:rsidRDefault="00C47ACD">
      <w:pPr>
        <w:spacing w:before="240" w:after="240" w:line="360" w:lineRule="auto"/>
        <w:jc w:val="both"/>
        <w:rPr>
          <w:rFonts w:ascii="Palatino Linotype" w:eastAsia="Palatino Linotype" w:hAnsi="Palatino Linotype" w:cs="Palatino Linotype"/>
        </w:rPr>
      </w:pPr>
      <w:r w:rsidRPr="00D0172C">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1430B43A" w14:textId="77777777" w:rsidR="00926FC4" w:rsidRPr="00D0172C" w:rsidRDefault="00C47ACD">
      <w:pPr>
        <w:widowControl w:val="0"/>
        <w:spacing w:line="360" w:lineRule="auto"/>
        <w:jc w:val="center"/>
        <w:rPr>
          <w:rFonts w:ascii="Palatino Linotype" w:eastAsia="Palatino Linotype" w:hAnsi="Palatino Linotype" w:cs="Palatino Linotype"/>
          <w:b/>
        </w:rPr>
      </w:pPr>
      <w:r w:rsidRPr="00D0172C">
        <w:rPr>
          <w:rFonts w:ascii="Palatino Linotype" w:eastAsia="Palatino Linotype" w:hAnsi="Palatino Linotype" w:cs="Palatino Linotype"/>
          <w:b/>
        </w:rPr>
        <w:t>II. C O N S I D E R A N D O S</w:t>
      </w:r>
    </w:p>
    <w:p w14:paraId="2B7ECB8B" w14:textId="77777777" w:rsidR="00926FC4" w:rsidRPr="00D0172C" w:rsidRDefault="00926FC4">
      <w:pPr>
        <w:widowControl w:val="0"/>
        <w:spacing w:line="360" w:lineRule="auto"/>
        <w:jc w:val="center"/>
        <w:rPr>
          <w:rFonts w:ascii="Palatino Linotype" w:eastAsia="Palatino Linotype" w:hAnsi="Palatino Linotype" w:cs="Palatino Linotype"/>
          <w:b/>
        </w:rPr>
      </w:pPr>
    </w:p>
    <w:p w14:paraId="3A536F5C" w14:textId="77777777" w:rsidR="00926FC4" w:rsidRPr="00D0172C" w:rsidRDefault="00C47ACD">
      <w:pPr>
        <w:spacing w:line="360" w:lineRule="auto"/>
        <w:jc w:val="both"/>
        <w:rPr>
          <w:rFonts w:ascii="Palatino Linotype" w:eastAsia="Palatino Linotype" w:hAnsi="Palatino Linotype" w:cs="Palatino Linotype"/>
        </w:rPr>
      </w:pPr>
      <w:r w:rsidRPr="00D0172C">
        <w:rPr>
          <w:rFonts w:ascii="Palatino Linotype" w:eastAsia="Palatino Linotype" w:hAnsi="Palatino Linotype" w:cs="Palatino Linotype"/>
          <w:b/>
        </w:rPr>
        <w:t>Primero. Competencia.</w:t>
      </w:r>
      <w:r w:rsidRPr="00D0172C">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w:t>
      </w:r>
      <w:r w:rsidRPr="00D0172C">
        <w:rPr>
          <w:rFonts w:ascii="Palatino Linotype" w:eastAsia="Palatino Linotype" w:hAnsi="Palatino Linotype" w:cs="Palatino Linotype"/>
        </w:rPr>
        <w:lastRenderedPageBreak/>
        <w:t>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DE3EA6C" w14:textId="77777777" w:rsidR="00926FC4" w:rsidRPr="00D0172C" w:rsidRDefault="00C47ACD">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D0172C">
        <w:rPr>
          <w:rFonts w:ascii="Palatino Linotype" w:eastAsia="Palatino Linotype" w:hAnsi="Palatino Linotype" w:cs="Palatino Linotype"/>
          <w:b/>
        </w:rPr>
        <w:t xml:space="preserve">Segundo. Oportunidad y Procedibilidad del Recurso de Revisión. </w:t>
      </w:r>
      <w:r w:rsidRPr="00D0172C">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BA50E73" w14:textId="77777777" w:rsidR="00926FC4" w:rsidRPr="00D0172C" w:rsidRDefault="00C47ACD">
      <w:pPr>
        <w:spacing w:before="240" w:after="240" w:line="360" w:lineRule="auto"/>
        <w:jc w:val="both"/>
        <w:rPr>
          <w:rFonts w:ascii="Palatino Linotype" w:eastAsia="Palatino Linotype" w:hAnsi="Palatino Linotype" w:cs="Palatino Linotype"/>
        </w:rPr>
      </w:pPr>
      <w:r w:rsidRPr="00D0172C">
        <w:rPr>
          <w:rFonts w:ascii="Palatino Linotype" w:eastAsia="Palatino Linotype" w:hAnsi="Palatino Linotype" w:cs="Palatino Linotype"/>
        </w:rPr>
        <w:t>Al respecto la Ley de Transparencia y Acceso a la Información Pública del Estado de México y Municipios, establece lo siguiente:</w:t>
      </w:r>
    </w:p>
    <w:p w14:paraId="262803C2" w14:textId="77777777" w:rsidR="00926FC4" w:rsidRPr="00D0172C" w:rsidRDefault="00C47ACD">
      <w:pPr>
        <w:ind w:left="851" w:right="900"/>
        <w:jc w:val="both"/>
        <w:rPr>
          <w:rFonts w:ascii="Palatino Linotype" w:eastAsia="Palatino Linotype" w:hAnsi="Palatino Linotype" w:cs="Palatino Linotype"/>
          <w:i/>
          <w:sz w:val="28"/>
          <w:szCs w:val="28"/>
        </w:rPr>
      </w:pPr>
      <w:r w:rsidRPr="00D0172C">
        <w:rPr>
          <w:rFonts w:ascii="Palatino Linotype" w:eastAsia="Palatino Linotype" w:hAnsi="Palatino Linotype" w:cs="Palatino Linotype"/>
          <w:b/>
          <w:i/>
          <w:sz w:val="22"/>
          <w:szCs w:val="22"/>
        </w:rPr>
        <w:t xml:space="preserve">“Artículo 178. </w:t>
      </w:r>
      <w:r w:rsidRPr="00D0172C">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824E2DF" w14:textId="77777777" w:rsidR="00926FC4" w:rsidRPr="00D0172C" w:rsidRDefault="00C47ACD">
      <w:pPr>
        <w:spacing w:before="240" w:after="240" w:line="360" w:lineRule="auto"/>
        <w:jc w:val="both"/>
        <w:rPr>
          <w:rFonts w:ascii="Palatino Linotype" w:eastAsia="Palatino Linotype" w:hAnsi="Palatino Linotype" w:cs="Palatino Linotype"/>
        </w:rPr>
      </w:pPr>
      <w:r w:rsidRPr="00D0172C">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w:t>
      </w:r>
      <w:r w:rsidRPr="00D0172C">
        <w:rPr>
          <w:rFonts w:ascii="Palatino Linotype" w:eastAsia="Palatino Linotype" w:hAnsi="Palatino Linotype" w:cs="Palatino Linotype"/>
        </w:rPr>
        <w:lastRenderedPageBreak/>
        <w:t xml:space="preserve">vez que el </w:t>
      </w:r>
      <w:r w:rsidRPr="00D0172C">
        <w:rPr>
          <w:rFonts w:ascii="Palatino Linotype" w:eastAsia="Palatino Linotype" w:hAnsi="Palatino Linotype" w:cs="Palatino Linotype"/>
          <w:b/>
        </w:rPr>
        <w:t xml:space="preserve">Sujeto Obligado </w:t>
      </w:r>
      <w:r w:rsidRPr="00D0172C">
        <w:rPr>
          <w:rFonts w:ascii="Palatino Linotype" w:eastAsia="Palatino Linotype" w:hAnsi="Palatino Linotype" w:cs="Palatino Linotype"/>
        </w:rPr>
        <w:t xml:space="preserve">remitió la respuesta a la solicitud de información el día </w:t>
      </w:r>
      <w:r w:rsidRPr="00D0172C">
        <w:rPr>
          <w:rFonts w:ascii="Palatino Linotype" w:eastAsia="Palatino Linotype" w:hAnsi="Palatino Linotype" w:cs="Palatino Linotype"/>
          <w:b/>
        </w:rPr>
        <w:t xml:space="preserve">diecinueve de octubre de dos mil veintitrés, </w:t>
      </w:r>
      <w:r w:rsidRPr="00D0172C">
        <w:rPr>
          <w:rFonts w:ascii="Palatino Linotype" w:eastAsia="Palatino Linotype" w:hAnsi="Palatino Linotype" w:cs="Palatino Linotype"/>
        </w:rPr>
        <w:t xml:space="preserve">mientras que el recurso de revisión interpuesto por </w:t>
      </w:r>
      <w:r w:rsidRPr="00D0172C">
        <w:rPr>
          <w:rFonts w:ascii="Palatino Linotype" w:eastAsia="Palatino Linotype" w:hAnsi="Palatino Linotype" w:cs="Palatino Linotype"/>
          <w:b/>
        </w:rPr>
        <w:t>la parte Recurrente</w:t>
      </w:r>
      <w:r w:rsidRPr="00D0172C">
        <w:rPr>
          <w:rFonts w:ascii="Palatino Linotype" w:eastAsia="Palatino Linotype" w:hAnsi="Palatino Linotype" w:cs="Palatino Linotype"/>
        </w:rPr>
        <w:t xml:space="preserve">, se tuvo por presentado el día </w:t>
      </w:r>
      <w:r w:rsidRPr="00D0172C">
        <w:rPr>
          <w:rFonts w:ascii="Palatino Linotype" w:eastAsia="Palatino Linotype" w:hAnsi="Palatino Linotype" w:cs="Palatino Linotype"/>
          <w:b/>
        </w:rPr>
        <w:t>diecinueve de octubre de dos mil veintitrés</w:t>
      </w:r>
      <w:r w:rsidRPr="00D0172C">
        <w:rPr>
          <w:rFonts w:ascii="Palatino Linotype" w:eastAsia="Palatino Linotype" w:hAnsi="Palatino Linotype" w:cs="Palatino Linotype"/>
        </w:rPr>
        <w:t xml:space="preserve">; esto es, al </w:t>
      </w:r>
      <w:r w:rsidRPr="00D0172C">
        <w:rPr>
          <w:rFonts w:ascii="Palatino Linotype" w:eastAsia="Palatino Linotype" w:hAnsi="Palatino Linotype" w:cs="Palatino Linotype"/>
          <w:b/>
        </w:rPr>
        <w:t xml:space="preserve">mismo día hábil siguiente </w:t>
      </w:r>
      <w:r w:rsidRPr="00D0172C">
        <w:rPr>
          <w:rFonts w:ascii="Palatino Linotype" w:eastAsia="Palatino Linotype" w:hAnsi="Palatino Linotype" w:cs="Palatino Linotype"/>
        </w:rPr>
        <w:t xml:space="preserve">en que tuvo conocimiento de la respuesta impugnada. </w:t>
      </w:r>
    </w:p>
    <w:p w14:paraId="6A206418" w14:textId="77777777" w:rsidR="00926FC4" w:rsidRPr="00D0172C" w:rsidRDefault="00C47ACD">
      <w:pPr>
        <w:pBdr>
          <w:top w:val="nil"/>
          <w:left w:val="nil"/>
          <w:bottom w:val="nil"/>
          <w:right w:val="nil"/>
          <w:between w:val="nil"/>
        </w:pBdr>
        <w:spacing w:before="240" w:after="240" w:line="360" w:lineRule="auto"/>
        <w:jc w:val="both"/>
      </w:pPr>
      <w:r w:rsidRPr="00D0172C">
        <w:rPr>
          <w:rFonts w:ascii="Palatino Linotype" w:eastAsia="Palatino Linotype" w:hAnsi="Palatino Linotype" w:cs="Palatino Linotype"/>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77ACD9D0" w14:textId="77777777" w:rsidR="00926FC4" w:rsidRPr="00D0172C" w:rsidRDefault="00C47ACD">
      <w:pPr>
        <w:pBdr>
          <w:top w:val="nil"/>
          <w:left w:val="nil"/>
          <w:bottom w:val="nil"/>
          <w:right w:val="nil"/>
          <w:between w:val="nil"/>
        </w:pBdr>
        <w:spacing w:before="120" w:after="120"/>
        <w:ind w:left="851" w:right="902"/>
        <w:jc w:val="both"/>
      </w:pPr>
      <w:r w:rsidRPr="00D0172C">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D0172C">
        <w:rPr>
          <w:rFonts w:ascii="Palatino Linotype" w:eastAsia="Palatino Linotype" w:hAnsi="Palatino Linotype" w:cs="Palatino Linotype"/>
          <w:i/>
          <w:sz w:val="22"/>
          <w:szCs w:val="22"/>
        </w:rPr>
        <w:t>.</w:t>
      </w:r>
    </w:p>
    <w:p w14:paraId="3D2CEC63" w14:textId="77777777" w:rsidR="00926FC4" w:rsidRPr="00D0172C" w:rsidRDefault="00C47ACD">
      <w:pPr>
        <w:pBdr>
          <w:top w:val="nil"/>
          <w:left w:val="nil"/>
          <w:bottom w:val="nil"/>
          <w:right w:val="nil"/>
          <w:between w:val="nil"/>
        </w:pBdr>
        <w:spacing w:before="120" w:after="120"/>
        <w:ind w:left="851" w:right="902"/>
        <w:jc w:val="both"/>
      </w:pPr>
      <w:r w:rsidRPr="00D0172C">
        <w:rPr>
          <w:rFonts w:ascii="Palatino Linotype" w:eastAsia="Palatino Linotype" w:hAnsi="Palatino Linotype" w:cs="Palatino Linotype"/>
          <w:i/>
          <w:sz w:val="22"/>
          <w:szCs w:val="22"/>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proofErr w:type="gramStart"/>
      <w:r w:rsidRPr="00D0172C">
        <w:rPr>
          <w:rFonts w:ascii="Palatino Linotype" w:eastAsia="Palatino Linotype" w:hAnsi="Palatino Linotype" w:cs="Palatino Linotype"/>
          <w:i/>
          <w:sz w:val="22"/>
          <w:szCs w:val="22"/>
        </w:rPr>
        <w:t>que</w:t>
      </w:r>
      <w:proofErr w:type="gramEnd"/>
      <w:r w:rsidRPr="00D0172C">
        <w:rPr>
          <w:rFonts w:ascii="Palatino Linotype" w:eastAsia="Palatino Linotype" w:hAnsi="Palatino Linotype" w:cs="Palatino Linotype"/>
          <w:i/>
          <w:sz w:val="22"/>
          <w:szCs w:val="22"/>
        </w:rPr>
        <w:t xml:space="preserve"> si dicho recurso se interpone antes de que inicie el plazo para hacerlo, su presentación no es extemporánea.”</w:t>
      </w:r>
    </w:p>
    <w:p w14:paraId="7F75541F" w14:textId="77777777" w:rsidR="00926FC4" w:rsidRPr="00D0172C" w:rsidRDefault="00C47ACD">
      <w:pPr>
        <w:spacing w:before="240" w:after="240" w:line="360" w:lineRule="auto"/>
        <w:jc w:val="both"/>
        <w:rPr>
          <w:rFonts w:ascii="Palatino Linotype" w:eastAsia="Palatino Linotype" w:hAnsi="Palatino Linotype" w:cs="Palatino Linotype"/>
        </w:rPr>
      </w:pPr>
      <w:r w:rsidRPr="00D0172C">
        <w:rPr>
          <w:rFonts w:ascii="Palatino Linotype" w:eastAsia="Palatino Linotype" w:hAnsi="Palatino Linotype" w:cs="Palatino Linotype"/>
        </w:rPr>
        <w:lastRenderedPageBreak/>
        <w:t xml:space="preserve">En este sentido, al considerar la fecha en que se formuló la solicitud y la fecha en que respondió a esta el </w:t>
      </w:r>
      <w:r w:rsidRPr="00D0172C">
        <w:rPr>
          <w:rFonts w:ascii="Palatino Linotype" w:eastAsia="Palatino Linotype" w:hAnsi="Palatino Linotype" w:cs="Palatino Linotype"/>
          <w:b/>
        </w:rPr>
        <w:t>Sujeto Obligado</w:t>
      </w:r>
      <w:r w:rsidRPr="00D0172C">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53293860" w14:textId="77777777" w:rsidR="00926FC4" w:rsidRPr="00D0172C" w:rsidRDefault="00C47ACD">
      <w:pPr>
        <w:spacing w:before="240" w:after="240" w:line="360" w:lineRule="auto"/>
        <w:jc w:val="both"/>
        <w:rPr>
          <w:rFonts w:ascii="Palatino Linotype" w:eastAsia="Palatino Linotype" w:hAnsi="Palatino Linotype" w:cs="Palatino Linotype"/>
        </w:rPr>
      </w:pPr>
      <w:r w:rsidRPr="00D0172C">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F649250" w14:textId="77777777" w:rsidR="00926FC4" w:rsidRPr="00D0172C" w:rsidRDefault="00C47ACD">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D0172C">
        <w:rPr>
          <w:rFonts w:ascii="Palatino Linotype" w:eastAsia="Palatino Linotype" w:hAnsi="Palatino Linotype" w:cs="Palatino Linotype"/>
        </w:rPr>
        <w:t>Ahora bien, resulta procedente la interposición del recurso, según lo aducido por la parte recurrente en sus razones o motivos de inconformidad, de acuerdo al artículo 179, fracción V de la Ley de Transparencia y Acceso a la Información Pública del Estado de México y Municipios; que a la letra dice:</w:t>
      </w:r>
    </w:p>
    <w:p w14:paraId="004E064C" w14:textId="77777777" w:rsidR="00926FC4" w:rsidRPr="00D0172C" w:rsidRDefault="00C47ACD">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b/>
          <w:i/>
          <w:sz w:val="22"/>
          <w:szCs w:val="22"/>
        </w:rPr>
        <w:t>“Artículo 179</w:t>
      </w:r>
      <w:r w:rsidRPr="00D0172C">
        <w:rPr>
          <w:rFonts w:ascii="Palatino Linotype" w:eastAsia="Palatino Linotype" w:hAnsi="Palatino Linotype" w:cs="Palatino Linotype"/>
          <w:i/>
          <w:sz w:val="22"/>
          <w:szCs w:val="22"/>
        </w:rPr>
        <w:t xml:space="preserve">. </w:t>
      </w:r>
      <w:r w:rsidRPr="00D0172C">
        <w:rPr>
          <w:rFonts w:ascii="Palatino Linotype" w:eastAsia="Palatino Linotype" w:hAnsi="Palatino Linotype" w:cs="Palatino Linotype"/>
          <w:b/>
          <w:i/>
          <w:sz w:val="22"/>
          <w:szCs w:val="22"/>
        </w:rPr>
        <w:t>El recurso de revisión</w:t>
      </w:r>
      <w:r w:rsidRPr="00D0172C">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D0172C">
        <w:rPr>
          <w:rFonts w:ascii="Palatino Linotype" w:eastAsia="Palatino Linotype" w:hAnsi="Palatino Linotype" w:cs="Palatino Linotype"/>
          <w:b/>
          <w:i/>
          <w:sz w:val="22"/>
          <w:szCs w:val="22"/>
        </w:rPr>
        <w:t>, y procederá en contra de las siguientes causas</w:t>
      </w:r>
      <w:r w:rsidRPr="00D0172C">
        <w:rPr>
          <w:rFonts w:ascii="Palatino Linotype" w:eastAsia="Palatino Linotype" w:hAnsi="Palatino Linotype" w:cs="Palatino Linotype"/>
          <w:i/>
          <w:sz w:val="22"/>
          <w:szCs w:val="22"/>
        </w:rPr>
        <w:t>:</w:t>
      </w:r>
    </w:p>
    <w:p w14:paraId="4C542F35" w14:textId="77777777" w:rsidR="00926FC4" w:rsidRPr="00D0172C" w:rsidRDefault="00C47ACD">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i/>
          <w:sz w:val="22"/>
          <w:szCs w:val="22"/>
        </w:rPr>
        <w:t>…</w:t>
      </w:r>
    </w:p>
    <w:p w14:paraId="54A3D46D" w14:textId="77777777" w:rsidR="00926FC4" w:rsidRPr="00D0172C" w:rsidRDefault="00C47ACD">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b/>
          <w:i/>
          <w:sz w:val="22"/>
          <w:szCs w:val="22"/>
        </w:rPr>
        <w:t>V. La entrega de información incompleta</w:t>
      </w:r>
      <w:r w:rsidRPr="00D0172C">
        <w:rPr>
          <w:rFonts w:ascii="Palatino Linotype" w:eastAsia="Palatino Linotype" w:hAnsi="Palatino Linotype" w:cs="Palatino Linotype"/>
          <w:i/>
          <w:sz w:val="22"/>
          <w:szCs w:val="22"/>
        </w:rPr>
        <w:t>;” (Énfasis añadido)</w:t>
      </w:r>
    </w:p>
    <w:p w14:paraId="2C194F76" w14:textId="77777777" w:rsidR="00926FC4" w:rsidRPr="00D0172C" w:rsidRDefault="00C47ACD">
      <w:pPr>
        <w:spacing w:before="240" w:after="240" w:line="360" w:lineRule="auto"/>
        <w:jc w:val="both"/>
        <w:rPr>
          <w:rFonts w:ascii="Palatino Linotype" w:eastAsia="Palatino Linotype" w:hAnsi="Palatino Linotype" w:cs="Palatino Linotype"/>
        </w:rPr>
      </w:pPr>
      <w:r w:rsidRPr="00D0172C">
        <w:rPr>
          <w:rFonts w:ascii="Palatino Linotype" w:eastAsia="Palatino Linotype" w:hAnsi="Palatino Linotype" w:cs="Palatino Linotype"/>
          <w:b/>
        </w:rPr>
        <w:t xml:space="preserve">Tercero. Materia de la revisión. </w:t>
      </w:r>
      <w:r w:rsidRPr="00D0172C">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D0172C">
        <w:rPr>
          <w:rFonts w:ascii="Palatino Linotype" w:eastAsia="Palatino Linotype" w:hAnsi="Palatino Linotype" w:cs="Palatino Linotype"/>
          <w:b/>
        </w:rPr>
        <w:lastRenderedPageBreak/>
        <w:t xml:space="preserve">verificar si </w:t>
      </w:r>
      <w:proofErr w:type="gramStart"/>
      <w:r w:rsidRPr="00D0172C">
        <w:rPr>
          <w:rFonts w:ascii="Palatino Linotype" w:eastAsia="Palatino Linotype" w:hAnsi="Palatino Linotype" w:cs="Palatino Linotype"/>
          <w:b/>
        </w:rPr>
        <w:t>la respuesta otorgada por el Sujeto Obligado son</w:t>
      </w:r>
      <w:proofErr w:type="gramEnd"/>
      <w:r w:rsidRPr="00D0172C">
        <w:rPr>
          <w:rFonts w:ascii="Palatino Linotype" w:eastAsia="Palatino Linotype" w:hAnsi="Palatino Linotype" w:cs="Palatino Linotype"/>
          <w:b/>
        </w:rPr>
        <w:t xml:space="preserve"> adecuados y suficientes para satisfacer el derecho de acceso a la información pública </w:t>
      </w:r>
      <w:r w:rsidRPr="00D0172C">
        <w:rPr>
          <w:rFonts w:ascii="Palatino Linotype" w:eastAsia="Palatino Linotype" w:hAnsi="Palatino Linotype" w:cs="Palatino Linotype"/>
        </w:rPr>
        <w:t xml:space="preserve">de </w:t>
      </w:r>
      <w:r w:rsidRPr="00D0172C">
        <w:rPr>
          <w:rFonts w:ascii="Palatino Linotype" w:eastAsia="Palatino Linotype" w:hAnsi="Palatino Linotype" w:cs="Palatino Linotype"/>
          <w:b/>
        </w:rPr>
        <w:t>la parte Recurrente,</w:t>
      </w:r>
      <w:r w:rsidRPr="00D0172C">
        <w:rPr>
          <w:rFonts w:ascii="Palatino Linotype" w:eastAsia="Palatino Linotype" w:hAnsi="Palatino Linotype" w:cs="Palatino Linotype"/>
        </w:rPr>
        <w:t xml:space="preserve"> o en su defecto, en caso de ser procedente, ordenar la entrega de información oportuna.</w:t>
      </w:r>
    </w:p>
    <w:p w14:paraId="620A30FD" w14:textId="77777777" w:rsidR="00926FC4" w:rsidRPr="00D0172C" w:rsidRDefault="00C47ACD">
      <w:pPr>
        <w:pBdr>
          <w:top w:val="nil"/>
          <w:left w:val="nil"/>
          <w:bottom w:val="nil"/>
          <w:right w:val="nil"/>
          <w:between w:val="nil"/>
        </w:pBdr>
        <w:spacing w:before="240" w:after="240" w:line="360" w:lineRule="auto"/>
        <w:jc w:val="both"/>
      </w:pPr>
      <w:r w:rsidRPr="00D0172C">
        <w:rPr>
          <w:rFonts w:ascii="Palatino Linotype" w:eastAsia="Palatino Linotype" w:hAnsi="Palatino Linotype" w:cs="Palatino Linotype"/>
          <w:b/>
        </w:rPr>
        <w:t xml:space="preserve">Cuarto. Estudio del asunto. </w:t>
      </w:r>
      <w:r w:rsidRPr="00D0172C">
        <w:rPr>
          <w:rFonts w:ascii="Palatino Linotype" w:eastAsia="Palatino Linotype" w:hAnsi="Palatino Linotype" w:cs="Palatino Linotype"/>
        </w:rPr>
        <w:t xml:space="preserve">Antes de entrar al análisis de los pronunciamientos del </w:t>
      </w:r>
      <w:r w:rsidRPr="00D0172C">
        <w:rPr>
          <w:rFonts w:ascii="Palatino Linotype" w:eastAsia="Palatino Linotype" w:hAnsi="Palatino Linotype" w:cs="Palatino Linotype"/>
          <w:b/>
        </w:rPr>
        <w:t>Sujeto Obligado</w:t>
      </w:r>
      <w:r w:rsidRPr="00D0172C">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C0652EB" w14:textId="77777777" w:rsidR="00926FC4" w:rsidRPr="00D0172C" w:rsidRDefault="00C47ACD">
      <w:pPr>
        <w:pBdr>
          <w:top w:val="nil"/>
          <w:left w:val="nil"/>
          <w:bottom w:val="nil"/>
          <w:right w:val="nil"/>
          <w:between w:val="nil"/>
        </w:pBdr>
        <w:spacing w:before="240" w:after="240"/>
        <w:ind w:left="851" w:right="850"/>
        <w:jc w:val="both"/>
      </w:pPr>
      <w:r w:rsidRPr="00D0172C">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D0172C">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59A7E89F" w14:textId="77777777" w:rsidR="00926FC4" w:rsidRPr="00D0172C" w:rsidRDefault="00C47ACD">
      <w:pPr>
        <w:pBdr>
          <w:top w:val="nil"/>
          <w:left w:val="nil"/>
          <w:bottom w:val="nil"/>
          <w:right w:val="nil"/>
          <w:between w:val="nil"/>
        </w:pBdr>
        <w:spacing w:before="240" w:after="240"/>
        <w:ind w:left="851" w:right="850"/>
        <w:jc w:val="both"/>
      </w:pPr>
      <w:r w:rsidRPr="00D0172C">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19940124" w14:textId="77777777" w:rsidR="00926FC4" w:rsidRPr="00D0172C" w:rsidRDefault="00C47ACD">
      <w:pPr>
        <w:pBdr>
          <w:top w:val="nil"/>
          <w:left w:val="nil"/>
          <w:bottom w:val="nil"/>
          <w:right w:val="nil"/>
          <w:between w:val="nil"/>
        </w:pBdr>
        <w:spacing w:before="240" w:after="240"/>
        <w:ind w:left="851" w:right="850"/>
        <w:jc w:val="both"/>
      </w:pPr>
      <w:r w:rsidRPr="00D0172C">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D0172C">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5DFC92B3" w14:textId="77777777" w:rsidR="00926FC4" w:rsidRPr="00D0172C" w:rsidRDefault="00C47ACD">
      <w:pPr>
        <w:pBdr>
          <w:top w:val="nil"/>
          <w:left w:val="nil"/>
          <w:bottom w:val="nil"/>
          <w:right w:val="nil"/>
          <w:between w:val="nil"/>
        </w:pBdr>
        <w:spacing w:before="240" w:after="240"/>
        <w:ind w:left="851" w:right="850"/>
        <w:jc w:val="both"/>
      </w:pPr>
      <w:r w:rsidRPr="00D0172C">
        <w:rPr>
          <w:rFonts w:ascii="Palatino Linotype" w:eastAsia="Palatino Linotype" w:hAnsi="Palatino Linotype" w:cs="Palatino Linotype"/>
          <w:i/>
          <w:sz w:val="22"/>
          <w:szCs w:val="22"/>
        </w:rPr>
        <w:lastRenderedPageBreak/>
        <w:t>[…]</w:t>
      </w:r>
    </w:p>
    <w:p w14:paraId="3D94C7F3" w14:textId="77777777" w:rsidR="00926FC4" w:rsidRPr="00D0172C" w:rsidRDefault="00C47ACD">
      <w:pPr>
        <w:pBdr>
          <w:top w:val="nil"/>
          <w:left w:val="nil"/>
          <w:bottom w:val="nil"/>
          <w:right w:val="nil"/>
          <w:between w:val="nil"/>
        </w:pBdr>
        <w:spacing w:before="240" w:after="240"/>
        <w:ind w:left="851" w:right="901"/>
        <w:jc w:val="both"/>
      </w:pPr>
      <w:r w:rsidRPr="00D0172C">
        <w:rPr>
          <w:rFonts w:ascii="Palatino Linotype" w:eastAsia="Palatino Linotype" w:hAnsi="Palatino Linotype" w:cs="Palatino Linotype"/>
          <w:b/>
          <w:i/>
          <w:sz w:val="22"/>
          <w:szCs w:val="22"/>
        </w:rPr>
        <w:t>“Artículo 6o.</w:t>
      </w:r>
    </w:p>
    <w:p w14:paraId="0FC796D6" w14:textId="77777777" w:rsidR="00926FC4" w:rsidRPr="00D0172C" w:rsidRDefault="00C47ACD">
      <w:pPr>
        <w:pBdr>
          <w:top w:val="nil"/>
          <w:left w:val="nil"/>
          <w:bottom w:val="nil"/>
          <w:right w:val="nil"/>
          <w:between w:val="nil"/>
        </w:pBdr>
        <w:spacing w:before="240" w:after="240"/>
        <w:ind w:left="851" w:right="901"/>
        <w:jc w:val="both"/>
      </w:pPr>
      <w:r w:rsidRPr="00D0172C">
        <w:rPr>
          <w:rFonts w:ascii="Palatino Linotype" w:eastAsia="Palatino Linotype" w:hAnsi="Palatino Linotype" w:cs="Palatino Linotype"/>
          <w:i/>
          <w:sz w:val="22"/>
          <w:szCs w:val="22"/>
        </w:rPr>
        <w:t>[...]</w:t>
      </w:r>
    </w:p>
    <w:p w14:paraId="76F2563F" w14:textId="77777777" w:rsidR="00926FC4" w:rsidRPr="00D0172C" w:rsidRDefault="00C47ACD">
      <w:pPr>
        <w:pBdr>
          <w:top w:val="nil"/>
          <w:left w:val="nil"/>
          <w:bottom w:val="nil"/>
          <w:right w:val="nil"/>
          <w:between w:val="nil"/>
        </w:pBdr>
        <w:spacing w:before="240" w:after="240"/>
        <w:ind w:left="851" w:right="851"/>
        <w:jc w:val="both"/>
      </w:pPr>
      <w:r w:rsidRPr="00D0172C">
        <w:rPr>
          <w:rFonts w:ascii="Palatino Linotype" w:eastAsia="Palatino Linotype" w:hAnsi="Palatino Linotype" w:cs="Palatino Linotype"/>
          <w:b/>
          <w:i/>
          <w:sz w:val="22"/>
          <w:szCs w:val="22"/>
        </w:rPr>
        <w:t xml:space="preserve">A. Para el ejercicio del derecho de acceso a la información, la Federación y </w:t>
      </w:r>
      <w:r w:rsidRPr="00D0172C">
        <w:rPr>
          <w:rFonts w:ascii="Palatino Linotype" w:eastAsia="Palatino Linotype" w:hAnsi="Palatino Linotype" w:cs="Palatino Linotype"/>
          <w:b/>
          <w:i/>
          <w:sz w:val="22"/>
          <w:szCs w:val="22"/>
          <w:u w:val="single"/>
        </w:rPr>
        <w:t>las entidades federativas</w:t>
      </w:r>
      <w:r w:rsidRPr="00D0172C">
        <w:rPr>
          <w:rFonts w:ascii="Palatino Linotype" w:eastAsia="Palatino Linotype" w:hAnsi="Palatino Linotype" w:cs="Palatino Linotype"/>
          <w:b/>
          <w:i/>
          <w:sz w:val="22"/>
          <w:szCs w:val="22"/>
        </w:rPr>
        <w:t>,</w:t>
      </w:r>
      <w:r w:rsidRPr="00D0172C">
        <w:rPr>
          <w:rFonts w:ascii="Palatino Linotype" w:eastAsia="Palatino Linotype" w:hAnsi="Palatino Linotype" w:cs="Palatino Linotype"/>
          <w:i/>
          <w:sz w:val="22"/>
          <w:szCs w:val="22"/>
        </w:rPr>
        <w:t xml:space="preserve"> en el ámbito de sus respectivas competencias, se regirán por los siguientes principios y bases:</w:t>
      </w:r>
    </w:p>
    <w:p w14:paraId="49E3AC2B" w14:textId="77777777" w:rsidR="00926FC4" w:rsidRPr="00D0172C" w:rsidRDefault="00C47ACD">
      <w:pPr>
        <w:pBdr>
          <w:top w:val="nil"/>
          <w:left w:val="nil"/>
          <w:bottom w:val="nil"/>
          <w:right w:val="nil"/>
          <w:between w:val="nil"/>
        </w:pBdr>
        <w:spacing w:before="240" w:after="240"/>
        <w:ind w:left="851" w:right="851"/>
        <w:jc w:val="both"/>
      </w:pPr>
      <w:r w:rsidRPr="00D0172C">
        <w:rPr>
          <w:rFonts w:ascii="Palatino Linotype" w:eastAsia="Palatino Linotype" w:hAnsi="Palatino Linotype" w:cs="Palatino Linotype"/>
          <w:i/>
          <w:sz w:val="22"/>
          <w:szCs w:val="22"/>
        </w:rPr>
        <w:t> </w:t>
      </w:r>
      <w:r w:rsidRPr="00D0172C">
        <w:rPr>
          <w:rFonts w:ascii="Palatino Linotype" w:eastAsia="Palatino Linotype" w:hAnsi="Palatino Linotype" w:cs="Palatino Linotype"/>
          <w:b/>
          <w:i/>
          <w:sz w:val="22"/>
          <w:szCs w:val="22"/>
        </w:rPr>
        <w:t xml:space="preserve">I. </w:t>
      </w:r>
      <w:r w:rsidRPr="00D0172C">
        <w:rPr>
          <w:rFonts w:ascii="Palatino Linotype" w:eastAsia="Palatino Linotype" w:hAnsi="Palatino Linotype" w:cs="Palatino Linotype"/>
          <w:b/>
          <w:i/>
          <w:sz w:val="22"/>
          <w:szCs w:val="22"/>
          <w:u w:val="single"/>
        </w:rPr>
        <w:t>Toda la información en posesión de cualquier autoridad, entidad, órgano y organismo de los Poderes</w:t>
      </w:r>
      <w:r w:rsidRPr="00D0172C">
        <w:rPr>
          <w:rFonts w:ascii="Palatino Linotype" w:eastAsia="Palatino Linotype" w:hAnsi="Palatino Linotype" w:cs="Palatino Linotype"/>
          <w:i/>
          <w:sz w:val="22"/>
          <w:szCs w:val="22"/>
        </w:rPr>
        <w:t xml:space="preserve"> Ejecutivo, Legislativo </w:t>
      </w:r>
      <w:r w:rsidRPr="00D0172C">
        <w:rPr>
          <w:rFonts w:ascii="Palatino Linotype" w:eastAsia="Palatino Linotype" w:hAnsi="Palatino Linotype" w:cs="Palatino Linotype"/>
          <w:b/>
          <w:i/>
          <w:sz w:val="22"/>
          <w:szCs w:val="22"/>
          <w:u w:val="single"/>
        </w:rPr>
        <w:t>y Judicial</w:t>
      </w:r>
      <w:r w:rsidRPr="00D0172C">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D0172C">
        <w:rPr>
          <w:rFonts w:ascii="Palatino Linotype" w:eastAsia="Palatino Linotype" w:hAnsi="Palatino Linotype" w:cs="Palatino Linotype"/>
          <w:b/>
          <w:i/>
          <w:sz w:val="22"/>
          <w:szCs w:val="22"/>
        </w:rPr>
        <w:t>es pública y sólo podrá ser reservada temporalmente por razones de interés público y seguridad nacional,</w:t>
      </w:r>
      <w:r w:rsidRPr="00D0172C">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E50BC12" w14:textId="77777777" w:rsidR="00926FC4" w:rsidRPr="00D0172C" w:rsidRDefault="00C47ACD">
      <w:pPr>
        <w:pBdr>
          <w:top w:val="nil"/>
          <w:left w:val="nil"/>
          <w:bottom w:val="nil"/>
          <w:right w:val="nil"/>
          <w:between w:val="nil"/>
        </w:pBdr>
        <w:spacing w:before="240" w:after="240"/>
        <w:ind w:left="851" w:right="851"/>
        <w:jc w:val="both"/>
      </w:pPr>
      <w:r w:rsidRPr="00D0172C">
        <w:rPr>
          <w:rFonts w:ascii="Palatino Linotype" w:eastAsia="Palatino Linotype" w:hAnsi="Palatino Linotype" w:cs="Palatino Linotype"/>
          <w:i/>
          <w:sz w:val="22"/>
          <w:szCs w:val="22"/>
        </w:rPr>
        <w:t> </w:t>
      </w:r>
      <w:r w:rsidRPr="00D0172C">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3A4BDF32" w14:textId="77777777" w:rsidR="00926FC4" w:rsidRPr="00D0172C" w:rsidRDefault="00C47ACD">
      <w:pPr>
        <w:pBdr>
          <w:top w:val="nil"/>
          <w:left w:val="nil"/>
          <w:bottom w:val="nil"/>
          <w:right w:val="nil"/>
          <w:between w:val="nil"/>
        </w:pBdr>
        <w:spacing w:before="240" w:after="240"/>
        <w:ind w:left="851" w:right="851"/>
        <w:jc w:val="both"/>
      </w:pPr>
      <w:r w:rsidRPr="00D0172C">
        <w:rPr>
          <w:rFonts w:ascii="Palatino Linotype" w:eastAsia="Palatino Linotype" w:hAnsi="Palatino Linotype" w:cs="Palatino Linotype"/>
          <w:i/>
          <w:sz w:val="22"/>
          <w:szCs w:val="22"/>
        </w:rPr>
        <w:t> </w:t>
      </w:r>
      <w:r w:rsidRPr="00D0172C">
        <w:rPr>
          <w:rFonts w:ascii="Palatino Linotype" w:eastAsia="Palatino Linotype" w:hAnsi="Palatino Linotype" w:cs="Palatino Linotype"/>
          <w:b/>
          <w:i/>
          <w:sz w:val="22"/>
          <w:szCs w:val="22"/>
        </w:rPr>
        <w:t xml:space="preserve">III. </w:t>
      </w:r>
      <w:r w:rsidRPr="00D0172C">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D0172C">
        <w:rPr>
          <w:rFonts w:ascii="Palatino Linotype" w:eastAsia="Palatino Linotype" w:hAnsi="Palatino Linotype" w:cs="Palatino Linotype"/>
          <w:i/>
          <w:sz w:val="22"/>
          <w:szCs w:val="22"/>
        </w:rPr>
        <w:t xml:space="preserve"> a sus datos personales o a la rectificación de éstos.</w:t>
      </w:r>
    </w:p>
    <w:p w14:paraId="0BBE6725" w14:textId="77777777" w:rsidR="00926FC4" w:rsidRPr="00D0172C" w:rsidRDefault="00C47ACD">
      <w:pPr>
        <w:pBdr>
          <w:top w:val="nil"/>
          <w:left w:val="nil"/>
          <w:bottom w:val="nil"/>
          <w:right w:val="nil"/>
          <w:between w:val="nil"/>
        </w:pBdr>
        <w:spacing w:before="240" w:after="240"/>
        <w:ind w:left="851" w:right="851"/>
        <w:jc w:val="both"/>
      </w:pPr>
      <w:r w:rsidRPr="00D0172C">
        <w:rPr>
          <w:rFonts w:ascii="Palatino Linotype" w:eastAsia="Palatino Linotype" w:hAnsi="Palatino Linotype" w:cs="Palatino Linotype"/>
          <w:i/>
          <w:sz w:val="22"/>
          <w:szCs w:val="22"/>
        </w:rPr>
        <w:t> </w:t>
      </w:r>
      <w:r w:rsidRPr="00D0172C">
        <w:rPr>
          <w:rFonts w:ascii="Palatino Linotype" w:eastAsia="Palatino Linotype" w:hAnsi="Palatino Linotype" w:cs="Palatino Linotype"/>
          <w:b/>
          <w:i/>
          <w:sz w:val="22"/>
          <w:szCs w:val="22"/>
        </w:rPr>
        <w:t xml:space="preserve">IV. </w:t>
      </w:r>
      <w:r w:rsidRPr="00D0172C">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2287B216" w14:textId="77777777" w:rsidR="00926FC4" w:rsidRPr="00D0172C" w:rsidRDefault="00C47ACD">
      <w:pPr>
        <w:pBdr>
          <w:top w:val="nil"/>
          <w:left w:val="nil"/>
          <w:bottom w:val="nil"/>
          <w:right w:val="nil"/>
          <w:between w:val="nil"/>
        </w:pBdr>
        <w:spacing w:before="240" w:after="240"/>
        <w:ind w:left="851" w:right="851"/>
        <w:jc w:val="both"/>
      </w:pPr>
      <w:r w:rsidRPr="00D0172C">
        <w:rPr>
          <w:rFonts w:ascii="Palatino Linotype" w:eastAsia="Palatino Linotype" w:hAnsi="Palatino Linotype" w:cs="Palatino Linotype"/>
          <w:b/>
          <w:i/>
          <w:sz w:val="22"/>
          <w:szCs w:val="22"/>
        </w:rPr>
        <w:t xml:space="preserve">V. </w:t>
      </w:r>
      <w:r w:rsidRPr="00D0172C">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AC7BFF2" w14:textId="77777777" w:rsidR="00926FC4" w:rsidRPr="00D0172C" w:rsidRDefault="00C47ACD">
      <w:pPr>
        <w:pBdr>
          <w:top w:val="nil"/>
          <w:left w:val="nil"/>
          <w:bottom w:val="nil"/>
          <w:right w:val="nil"/>
          <w:between w:val="nil"/>
        </w:pBdr>
        <w:spacing w:before="240" w:after="240"/>
        <w:ind w:left="851" w:right="851"/>
        <w:jc w:val="both"/>
      </w:pPr>
      <w:r w:rsidRPr="00D0172C">
        <w:rPr>
          <w:rFonts w:ascii="Palatino Linotype" w:eastAsia="Palatino Linotype" w:hAnsi="Palatino Linotype" w:cs="Palatino Linotype"/>
          <w:i/>
          <w:sz w:val="22"/>
          <w:szCs w:val="22"/>
        </w:rPr>
        <w:lastRenderedPageBreak/>
        <w:t> </w:t>
      </w:r>
      <w:r w:rsidRPr="00D0172C">
        <w:rPr>
          <w:rFonts w:ascii="Palatino Linotype" w:eastAsia="Palatino Linotype" w:hAnsi="Palatino Linotype" w:cs="Palatino Linotype"/>
          <w:b/>
          <w:i/>
          <w:sz w:val="22"/>
          <w:szCs w:val="22"/>
        </w:rPr>
        <w:t xml:space="preserve">VI. </w:t>
      </w:r>
      <w:r w:rsidRPr="00D0172C">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6C1B8B77" w14:textId="77777777" w:rsidR="00926FC4" w:rsidRPr="00D0172C" w:rsidRDefault="00C47ACD">
      <w:pPr>
        <w:pBdr>
          <w:top w:val="nil"/>
          <w:left w:val="nil"/>
          <w:bottom w:val="nil"/>
          <w:right w:val="nil"/>
          <w:between w:val="nil"/>
        </w:pBdr>
        <w:spacing w:before="240" w:after="240"/>
        <w:ind w:left="851" w:right="851"/>
        <w:jc w:val="both"/>
      </w:pPr>
      <w:r w:rsidRPr="00D0172C">
        <w:rPr>
          <w:rFonts w:ascii="Palatino Linotype" w:eastAsia="Palatino Linotype" w:hAnsi="Palatino Linotype" w:cs="Palatino Linotype"/>
          <w:i/>
          <w:sz w:val="22"/>
          <w:szCs w:val="22"/>
        </w:rPr>
        <w:t> </w:t>
      </w:r>
      <w:r w:rsidRPr="00D0172C">
        <w:rPr>
          <w:rFonts w:ascii="Palatino Linotype" w:eastAsia="Palatino Linotype" w:hAnsi="Palatino Linotype" w:cs="Palatino Linotype"/>
          <w:b/>
          <w:i/>
          <w:sz w:val="22"/>
          <w:szCs w:val="22"/>
        </w:rPr>
        <w:t xml:space="preserve">VII. </w:t>
      </w:r>
      <w:r w:rsidRPr="00D0172C">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77C24B4A" w14:textId="77777777" w:rsidR="00926FC4" w:rsidRPr="00D0172C" w:rsidRDefault="00C47ACD">
      <w:pPr>
        <w:pBdr>
          <w:top w:val="nil"/>
          <w:left w:val="nil"/>
          <w:bottom w:val="nil"/>
          <w:right w:val="nil"/>
          <w:between w:val="nil"/>
        </w:pBdr>
        <w:spacing w:before="240" w:after="240" w:line="360" w:lineRule="auto"/>
        <w:jc w:val="both"/>
      </w:pPr>
      <w:r w:rsidRPr="00D0172C">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3CF47D9" w14:textId="77777777" w:rsidR="00926FC4" w:rsidRPr="00D0172C" w:rsidRDefault="00C47ACD">
      <w:pPr>
        <w:pBdr>
          <w:top w:val="nil"/>
          <w:left w:val="nil"/>
          <w:bottom w:val="nil"/>
          <w:right w:val="nil"/>
          <w:between w:val="nil"/>
        </w:pBdr>
        <w:spacing w:before="240" w:after="240"/>
        <w:ind w:left="709" w:right="760"/>
        <w:jc w:val="both"/>
      </w:pPr>
      <w:r w:rsidRPr="00D0172C">
        <w:rPr>
          <w:rFonts w:ascii="Palatino Linotype" w:eastAsia="Palatino Linotype" w:hAnsi="Palatino Linotype" w:cs="Palatino Linotype"/>
          <w:i/>
          <w:sz w:val="22"/>
          <w:szCs w:val="22"/>
        </w:rPr>
        <w:t>“</w:t>
      </w:r>
      <w:r w:rsidRPr="00D0172C">
        <w:rPr>
          <w:rFonts w:ascii="Palatino Linotype" w:eastAsia="Palatino Linotype" w:hAnsi="Palatino Linotype" w:cs="Palatino Linotype"/>
          <w:b/>
          <w:i/>
          <w:sz w:val="22"/>
          <w:szCs w:val="22"/>
        </w:rPr>
        <w:t>Artículo 4</w:t>
      </w:r>
      <w:r w:rsidRPr="00D0172C">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7204344F" w14:textId="77777777" w:rsidR="00926FC4" w:rsidRPr="00D0172C" w:rsidRDefault="00C47ACD">
      <w:pPr>
        <w:pBdr>
          <w:top w:val="nil"/>
          <w:left w:val="nil"/>
          <w:bottom w:val="nil"/>
          <w:right w:val="nil"/>
          <w:between w:val="nil"/>
        </w:pBdr>
        <w:spacing w:before="240" w:after="240"/>
        <w:ind w:left="709" w:right="760"/>
        <w:jc w:val="both"/>
      </w:pPr>
      <w:r w:rsidRPr="00D0172C">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657AADE" w14:textId="77777777" w:rsidR="00926FC4" w:rsidRPr="00D0172C" w:rsidRDefault="00C47ACD">
      <w:pPr>
        <w:pBdr>
          <w:top w:val="nil"/>
          <w:left w:val="nil"/>
          <w:bottom w:val="nil"/>
          <w:right w:val="nil"/>
          <w:between w:val="nil"/>
        </w:pBdr>
        <w:spacing w:before="240" w:after="240"/>
        <w:ind w:left="709" w:right="760"/>
        <w:jc w:val="both"/>
      </w:pPr>
      <w:r w:rsidRPr="00D0172C">
        <w:rPr>
          <w:rFonts w:ascii="Palatino Linotype" w:eastAsia="Palatino Linotype" w:hAnsi="Palatino Linotype" w:cs="Palatino Linotype"/>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proofErr w:type="gramStart"/>
      <w:r w:rsidRPr="00D0172C">
        <w:rPr>
          <w:rFonts w:ascii="Palatino Linotype" w:eastAsia="Palatino Linotype" w:hAnsi="Palatino Linotype" w:cs="Palatino Linotype"/>
          <w:i/>
          <w:sz w:val="22"/>
          <w:szCs w:val="22"/>
        </w:rPr>
        <w:t>.”(</w:t>
      </w:r>
      <w:proofErr w:type="gramEnd"/>
      <w:r w:rsidRPr="00D0172C">
        <w:rPr>
          <w:rFonts w:ascii="Palatino Linotype" w:eastAsia="Palatino Linotype" w:hAnsi="Palatino Linotype" w:cs="Palatino Linotype"/>
          <w:i/>
          <w:sz w:val="22"/>
          <w:szCs w:val="22"/>
        </w:rPr>
        <w:t>Sic)</w:t>
      </w:r>
    </w:p>
    <w:p w14:paraId="0C42DD58" w14:textId="77777777" w:rsidR="00926FC4" w:rsidRPr="00D0172C" w:rsidRDefault="00C47ACD">
      <w:pPr>
        <w:pBdr>
          <w:top w:val="nil"/>
          <w:left w:val="nil"/>
          <w:bottom w:val="nil"/>
          <w:right w:val="nil"/>
          <w:between w:val="nil"/>
        </w:pBdr>
        <w:spacing w:before="240" w:after="240" w:line="360" w:lineRule="auto"/>
        <w:jc w:val="both"/>
      </w:pPr>
      <w:r w:rsidRPr="00D0172C">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7C323283" w14:textId="77777777" w:rsidR="00926FC4" w:rsidRPr="00D0172C" w:rsidRDefault="00C47ACD">
      <w:pPr>
        <w:pBdr>
          <w:top w:val="nil"/>
          <w:left w:val="nil"/>
          <w:bottom w:val="nil"/>
          <w:right w:val="nil"/>
          <w:between w:val="nil"/>
        </w:pBdr>
        <w:spacing w:before="240" w:after="240"/>
        <w:ind w:left="567" w:right="758"/>
        <w:jc w:val="both"/>
      </w:pPr>
      <w:r w:rsidRPr="00D0172C">
        <w:rPr>
          <w:rFonts w:ascii="Palatino Linotype" w:eastAsia="Palatino Linotype" w:hAnsi="Palatino Linotype" w:cs="Palatino Linotype"/>
          <w:i/>
          <w:sz w:val="22"/>
          <w:szCs w:val="22"/>
        </w:rPr>
        <w:t>“</w:t>
      </w:r>
      <w:r w:rsidRPr="00D0172C">
        <w:rPr>
          <w:rFonts w:ascii="Palatino Linotype" w:eastAsia="Palatino Linotype" w:hAnsi="Palatino Linotype" w:cs="Palatino Linotype"/>
          <w:b/>
          <w:i/>
          <w:sz w:val="22"/>
          <w:szCs w:val="22"/>
        </w:rPr>
        <w:t>Artículo 12</w:t>
      </w:r>
      <w:r w:rsidRPr="00D0172C">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2CC8B89D" w14:textId="77777777" w:rsidR="00926FC4" w:rsidRPr="00D0172C" w:rsidRDefault="00C47ACD">
      <w:pPr>
        <w:pBdr>
          <w:top w:val="nil"/>
          <w:left w:val="nil"/>
          <w:bottom w:val="nil"/>
          <w:right w:val="nil"/>
          <w:between w:val="nil"/>
        </w:pBdr>
        <w:spacing w:before="240" w:after="240"/>
        <w:ind w:left="567" w:right="758"/>
        <w:jc w:val="both"/>
      </w:pPr>
      <w:r w:rsidRPr="00D0172C">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2B5F1D9A" w14:textId="77777777" w:rsidR="00926FC4" w:rsidRPr="00D0172C" w:rsidRDefault="00C47ACD">
      <w:pPr>
        <w:pBdr>
          <w:top w:val="nil"/>
          <w:left w:val="nil"/>
          <w:bottom w:val="nil"/>
          <w:right w:val="nil"/>
          <w:between w:val="nil"/>
        </w:pBdr>
        <w:spacing w:before="240" w:after="240" w:line="360" w:lineRule="auto"/>
        <w:jc w:val="both"/>
      </w:pPr>
      <w:r w:rsidRPr="00D0172C">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D0172C">
        <w:rPr>
          <w:rFonts w:ascii="Palatino Linotype" w:eastAsia="Palatino Linotype" w:hAnsi="Palatino Linotype" w:cs="Palatino Linotype"/>
          <w:b/>
        </w:rPr>
        <w:t xml:space="preserve"> </w:t>
      </w:r>
      <w:r w:rsidRPr="00D0172C">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D0172C">
        <w:rPr>
          <w:rFonts w:ascii="Palatino Linotype" w:eastAsia="Palatino Linotype" w:hAnsi="Palatino Linotype" w:cs="Palatino Linotype"/>
          <w:i/>
        </w:rPr>
        <w:t>ad hoc</w:t>
      </w:r>
      <w:r w:rsidRPr="00D0172C">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7AFF6A1E" w14:textId="77777777" w:rsidR="00926FC4" w:rsidRPr="00D0172C" w:rsidRDefault="00C47ACD">
      <w:pPr>
        <w:pBdr>
          <w:top w:val="nil"/>
          <w:left w:val="nil"/>
          <w:bottom w:val="nil"/>
          <w:right w:val="nil"/>
          <w:between w:val="nil"/>
        </w:pBdr>
        <w:spacing w:before="240" w:after="240"/>
        <w:ind w:left="567" w:right="567"/>
        <w:jc w:val="both"/>
      </w:pPr>
      <w:r w:rsidRPr="00D0172C">
        <w:rPr>
          <w:rFonts w:ascii="Palatino Linotype" w:eastAsia="Palatino Linotype" w:hAnsi="Palatino Linotype" w:cs="Palatino Linotype"/>
          <w:b/>
          <w:i/>
          <w:sz w:val="22"/>
          <w:szCs w:val="22"/>
        </w:rPr>
        <w:t>03/17</w:t>
      </w:r>
    </w:p>
    <w:p w14:paraId="3397048C" w14:textId="77777777" w:rsidR="00926FC4" w:rsidRPr="00D0172C" w:rsidRDefault="00C47ACD">
      <w:pPr>
        <w:pBdr>
          <w:top w:val="nil"/>
          <w:left w:val="nil"/>
          <w:bottom w:val="nil"/>
          <w:right w:val="nil"/>
          <w:between w:val="nil"/>
        </w:pBdr>
        <w:spacing w:before="240" w:after="240"/>
        <w:ind w:left="567" w:right="567"/>
        <w:jc w:val="both"/>
      </w:pPr>
      <w:r w:rsidRPr="00D0172C">
        <w:rPr>
          <w:rFonts w:ascii="Palatino Linotype" w:eastAsia="Palatino Linotype" w:hAnsi="Palatino Linotype" w:cs="Palatino Linotype"/>
          <w:b/>
          <w:i/>
          <w:sz w:val="22"/>
          <w:szCs w:val="22"/>
        </w:rPr>
        <w:lastRenderedPageBreak/>
        <w:t>“NO EXISTE OBLIGACIÓN DE ELABORAR DOCUMENTOS AD HOC PARA ATENDER LAS SOLICITUDES DE ACCESO A LA INFORMACIÓN.</w:t>
      </w:r>
    </w:p>
    <w:p w14:paraId="43964E3E" w14:textId="77777777" w:rsidR="00926FC4" w:rsidRPr="00D0172C" w:rsidRDefault="00C47ACD">
      <w:pPr>
        <w:pBdr>
          <w:top w:val="nil"/>
          <w:left w:val="nil"/>
          <w:bottom w:val="nil"/>
          <w:right w:val="nil"/>
          <w:between w:val="nil"/>
        </w:pBdr>
        <w:spacing w:before="240" w:after="240"/>
        <w:ind w:left="567" w:right="567"/>
        <w:jc w:val="both"/>
      </w:pPr>
      <w:r w:rsidRPr="00D0172C">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78448320" w14:textId="77777777" w:rsidR="00926FC4" w:rsidRPr="00D0172C" w:rsidRDefault="00C47ACD">
      <w:pPr>
        <w:pBdr>
          <w:top w:val="nil"/>
          <w:left w:val="nil"/>
          <w:bottom w:val="nil"/>
          <w:right w:val="nil"/>
          <w:between w:val="nil"/>
        </w:pBdr>
        <w:spacing w:before="240" w:after="240" w:line="360" w:lineRule="auto"/>
        <w:jc w:val="both"/>
      </w:pPr>
      <w:r w:rsidRPr="00D0172C">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7676453" w14:textId="77777777" w:rsidR="00926FC4" w:rsidRPr="00D0172C" w:rsidRDefault="00C47ACD">
      <w:pPr>
        <w:pBdr>
          <w:top w:val="nil"/>
          <w:left w:val="nil"/>
          <w:bottom w:val="nil"/>
          <w:right w:val="nil"/>
          <w:between w:val="nil"/>
        </w:pBdr>
        <w:spacing w:before="240" w:after="240" w:line="360" w:lineRule="auto"/>
        <w:ind w:right="49"/>
        <w:jc w:val="both"/>
      </w:pPr>
      <w:r w:rsidRPr="00D0172C">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480AE2D" w14:textId="77777777" w:rsidR="00926FC4" w:rsidRPr="00D0172C" w:rsidRDefault="00C47ACD">
      <w:pPr>
        <w:pBdr>
          <w:top w:val="nil"/>
          <w:left w:val="nil"/>
          <w:bottom w:val="nil"/>
          <w:right w:val="nil"/>
          <w:between w:val="nil"/>
        </w:pBdr>
        <w:spacing w:before="240" w:after="240" w:line="360" w:lineRule="auto"/>
        <w:jc w:val="both"/>
      </w:pPr>
      <w:r w:rsidRPr="00D0172C">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w:t>
      </w:r>
      <w:r w:rsidRPr="00D0172C">
        <w:rPr>
          <w:rFonts w:ascii="Palatino Linotype" w:eastAsia="Palatino Linotype" w:hAnsi="Palatino Linotype" w:cs="Palatino Linotype"/>
        </w:rPr>
        <w:lastRenderedPageBreak/>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7A6CF15" w14:textId="77777777" w:rsidR="00926FC4" w:rsidRPr="00D0172C" w:rsidRDefault="00C47ACD">
      <w:pPr>
        <w:pBdr>
          <w:top w:val="nil"/>
          <w:left w:val="nil"/>
          <w:bottom w:val="nil"/>
          <w:right w:val="nil"/>
          <w:between w:val="nil"/>
        </w:pBdr>
        <w:spacing w:before="240" w:after="240"/>
        <w:ind w:left="567" w:right="567"/>
        <w:jc w:val="both"/>
      </w:pPr>
      <w:r w:rsidRPr="00D0172C">
        <w:rPr>
          <w:rFonts w:ascii="Palatino Linotype" w:eastAsia="Palatino Linotype" w:hAnsi="Palatino Linotype" w:cs="Palatino Linotype"/>
          <w:i/>
          <w:sz w:val="22"/>
          <w:szCs w:val="22"/>
        </w:rPr>
        <w:t>“</w:t>
      </w:r>
      <w:r w:rsidRPr="00D0172C">
        <w:rPr>
          <w:rFonts w:ascii="Palatino Linotype" w:eastAsia="Palatino Linotype" w:hAnsi="Palatino Linotype" w:cs="Palatino Linotype"/>
          <w:b/>
          <w:i/>
          <w:sz w:val="22"/>
          <w:szCs w:val="22"/>
        </w:rPr>
        <w:t xml:space="preserve">Artículo 3. </w:t>
      </w:r>
      <w:r w:rsidRPr="00D0172C">
        <w:rPr>
          <w:rFonts w:ascii="Palatino Linotype" w:eastAsia="Palatino Linotype" w:hAnsi="Palatino Linotype" w:cs="Palatino Linotype"/>
          <w:i/>
          <w:sz w:val="22"/>
          <w:szCs w:val="22"/>
        </w:rPr>
        <w:t>Para los efectos de la presente Ley se entenderá por:</w:t>
      </w:r>
    </w:p>
    <w:p w14:paraId="05635790" w14:textId="77777777" w:rsidR="00926FC4" w:rsidRPr="00D0172C" w:rsidRDefault="00C47ACD">
      <w:pPr>
        <w:pBdr>
          <w:top w:val="nil"/>
          <w:left w:val="nil"/>
          <w:bottom w:val="nil"/>
          <w:right w:val="nil"/>
          <w:between w:val="nil"/>
        </w:pBdr>
        <w:spacing w:before="240" w:after="240"/>
        <w:ind w:left="567" w:right="567"/>
        <w:jc w:val="both"/>
      </w:pPr>
      <w:r w:rsidRPr="00D0172C">
        <w:rPr>
          <w:rFonts w:ascii="Palatino Linotype" w:eastAsia="Palatino Linotype" w:hAnsi="Palatino Linotype" w:cs="Palatino Linotype"/>
          <w:i/>
          <w:sz w:val="22"/>
          <w:szCs w:val="22"/>
        </w:rPr>
        <w:t>…</w:t>
      </w:r>
    </w:p>
    <w:p w14:paraId="4F22D740" w14:textId="77777777" w:rsidR="00926FC4" w:rsidRPr="00D0172C" w:rsidRDefault="00C47ACD">
      <w:pPr>
        <w:pBdr>
          <w:top w:val="nil"/>
          <w:left w:val="nil"/>
          <w:bottom w:val="nil"/>
          <w:right w:val="nil"/>
          <w:between w:val="nil"/>
        </w:pBdr>
        <w:spacing w:before="240" w:after="240"/>
        <w:ind w:left="567" w:right="567"/>
        <w:jc w:val="both"/>
      </w:pPr>
      <w:r w:rsidRPr="00D0172C">
        <w:rPr>
          <w:rFonts w:ascii="Palatino Linotype" w:eastAsia="Palatino Linotype" w:hAnsi="Palatino Linotype" w:cs="Palatino Linotype"/>
          <w:b/>
          <w:i/>
          <w:sz w:val="22"/>
          <w:szCs w:val="22"/>
        </w:rPr>
        <w:t>XI. Documento:</w:t>
      </w:r>
      <w:r w:rsidRPr="00D0172C">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D0172C">
        <w:rPr>
          <w:rFonts w:ascii="Palatino Linotype" w:eastAsia="Palatino Linotype" w:hAnsi="Palatino Linotype" w:cs="Palatino Linotype"/>
          <w:b/>
          <w:i/>
          <w:sz w:val="22"/>
          <w:szCs w:val="22"/>
        </w:rPr>
        <w:t>…</w:t>
      </w:r>
      <w:r w:rsidRPr="00D0172C">
        <w:rPr>
          <w:rFonts w:ascii="Palatino Linotype" w:eastAsia="Palatino Linotype" w:hAnsi="Palatino Linotype" w:cs="Palatino Linotype"/>
          <w:i/>
          <w:sz w:val="22"/>
          <w:szCs w:val="22"/>
        </w:rPr>
        <w:t>” (Sic)</w:t>
      </w:r>
    </w:p>
    <w:p w14:paraId="06A884FA" w14:textId="77777777" w:rsidR="00926FC4" w:rsidRPr="00D0172C" w:rsidRDefault="00C47ACD">
      <w:pPr>
        <w:pBdr>
          <w:top w:val="nil"/>
          <w:left w:val="nil"/>
          <w:bottom w:val="nil"/>
          <w:right w:val="nil"/>
          <w:between w:val="nil"/>
        </w:pBdr>
        <w:spacing w:before="240" w:after="240" w:line="360" w:lineRule="auto"/>
        <w:jc w:val="both"/>
      </w:pPr>
      <w:r w:rsidRPr="00D0172C">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A020C51" w14:textId="77777777" w:rsidR="00926FC4" w:rsidRPr="00D0172C" w:rsidRDefault="00C47ACD">
      <w:pPr>
        <w:pBdr>
          <w:top w:val="nil"/>
          <w:left w:val="nil"/>
          <w:bottom w:val="nil"/>
          <w:right w:val="nil"/>
          <w:between w:val="nil"/>
        </w:pBdr>
        <w:spacing w:before="240" w:after="240"/>
        <w:ind w:left="567" w:right="567"/>
        <w:jc w:val="both"/>
      </w:pPr>
      <w:r w:rsidRPr="00D0172C">
        <w:rPr>
          <w:rFonts w:ascii="Palatino Linotype" w:eastAsia="Palatino Linotype" w:hAnsi="Palatino Linotype" w:cs="Palatino Linotype"/>
          <w:b/>
          <w:sz w:val="22"/>
          <w:szCs w:val="22"/>
        </w:rPr>
        <w:t>“</w:t>
      </w:r>
      <w:r w:rsidRPr="00D0172C">
        <w:rPr>
          <w:rFonts w:ascii="Palatino Linotype" w:eastAsia="Palatino Linotype" w:hAnsi="Palatino Linotype" w:cs="Palatino Linotype"/>
          <w:b/>
          <w:i/>
          <w:sz w:val="22"/>
          <w:szCs w:val="22"/>
        </w:rPr>
        <w:t>CRITERIO 0002-11</w:t>
      </w:r>
    </w:p>
    <w:p w14:paraId="0B9F3A53" w14:textId="77777777" w:rsidR="00926FC4" w:rsidRPr="00D0172C" w:rsidRDefault="00C47ACD">
      <w:pPr>
        <w:pBdr>
          <w:top w:val="nil"/>
          <w:left w:val="nil"/>
          <w:bottom w:val="nil"/>
          <w:right w:val="nil"/>
          <w:between w:val="nil"/>
        </w:pBdr>
        <w:spacing w:before="240" w:after="240"/>
        <w:ind w:left="567" w:right="567"/>
        <w:jc w:val="both"/>
      </w:pPr>
      <w:r w:rsidRPr="00D0172C">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D0172C">
        <w:rPr>
          <w:rFonts w:ascii="Palatino Linotype" w:eastAsia="Palatino Linotype" w:hAnsi="Palatino Linotype" w:cs="Palatino Linotype"/>
          <w:i/>
          <w:sz w:val="22"/>
          <w:szCs w:val="22"/>
        </w:rPr>
        <w:t xml:space="preserve"> De conformidad con los artículos antes referidos, el derecho de acceso a la información pública, se define en </w:t>
      </w:r>
      <w:r w:rsidRPr="00D0172C">
        <w:rPr>
          <w:rFonts w:ascii="Palatino Linotype" w:eastAsia="Palatino Linotype" w:hAnsi="Palatino Linotype" w:cs="Palatino Linotype"/>
          <w:i/>
          <w:sz w:val="22"/>
          <w:szCs w:val="22"/>
        </w:rPr>
        <w:lastRenderedPageBreak/>
        <w:t>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68D2CC9" w14:textId="77777777" w:rsidR="00926FC4" w:rsidRPr="00D0172C" w:rsidRDefault="00C47ACD">
      <w:pPr>
        <w:pBdr>
          <w:top w:val="nil"/>
          <w:left w:val="nil"/>
          <w:bottom w:val="nil"/>
          <w:right w:val="nil"/>
          <w:between w:val="nil"/>
        </w:pBdr>
        <w:spacing w:before="240" w:after="240"/>
        <w:ind w:left="567" w:right="567"/>
        <w:jc w:val="both"/>
      </w:pPr>
      <w:r w:rsidRPr="00D0172C">
        <w:rPr>
          <w:rFonts w:ascii="Palatino Linotype" w:eastAsia="Palatino Linotype" w:hAnsi="Palatino Linotype" w:cs="Palatino Linotype"/>
          <w:i/>
          <w:sz w:val="22"/>
          <w:szCs w:val="22"/>
        </w:rPr>
        <w:t xml:space="preserve">En </w:t>
      </w:r>
      <w:proofErr w:type="gramStart"/>
      <w:r w:rsidRPr="00D0172C">
        <w:rPr>
          <w:rFonts w:ascii="Palatino Linotype" w:eastAsia="Palatino Linotype" w:hAnsi="Palatino Linotype" w:cs="Palatino Linotype"/>
          <w:i/>
          <w:sz w:val="22"/>
          <w:szCs w:val="22"/>
        </w:rPr>
        <w:t>consecuencia</w:t>
      </w:r>
      <w:proofErr w:type="gramEnd"/>
      <w:r w:rsidRPr="00D0172C">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20FC026C" w14:textId="77777777" w:rsidR="00926FC4" w:rsidRPr="00D0172C" w:rsidRDefault="00C47ACD">
      <w:pPr>
        <w:numPr>
          <w:ilvl w:val="0"/>
          <w:numId w:val="5"/>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i/>
          <w:sz w:val="22"/>
          <w:szCs w:val="22"/>
        </w:rPr>
        <w:t xml:space="preserve">Que se trate de información registrada en cualquier soporte documental, </w:t>
      </w:r>
      <w:proofErr w:type="gramStart"/>
      <w:r w:rsidRPr="00D0172C">
        <w:rPr>
          <w:rFonts w:ascii="Palatino Linotype" w:eastAsia="Palatino Linotype" w:hAnsi="Palatino Linotype" w:cs="Palatino Linotype"/>
          <w:i/>
          <w:sz w:val="22"/>
          <w:szCs w:val="22"/>
        </w:rPr>
        <w:t>que</w:t>
      </w:r>
      <w:proofErr w:type="gramEnd"/>
      <w:r w:rsidRPr="00D0172C">
        <w:rPr>
          <w:rFonts w:ascii="Palatino Linotype" w:eastAsia="Palatino Linotype" w:hAnsi="Palatino Linotype" w:cs="Palatino Linotype"/>
          <w:i/>
          <w:sz w:val="22"/>
          <w:szCs w:val="22"/>
        </w:rPr>
        <w:t xml:space="preserve"> en ejercicio de las atribuciones conferidas, sea generada por los Sujetos Obligados;</w:t>
      </w:r>
    </w:p>
    <w:p w14:paraId="7EF5B62F" w14:textId="77777777" w:rsidR="00926FC4" w:rsidRPr="00D0172C" w:rsidRDefault="00C47ACD">
      <w:pPr>
        <w:numPr>
          <w:ilvl w:val="0"/>
          <w:numId w:val="5"/>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i/>
          <w:sz w:val="22"/>
          <w:szCs w:val="22"/>
        </w:rPr>
        <w:t xml:space="preserve">Que se trate de información registrada en cualquier soporte documental, </w:t>
      </w:r>
      <w:proofErr w:type="gramStart"/>
      <w:r w:rsidRPr="00D0172C">
        <w:rPr>
          <w:rFonts w:ascii="Palatino Linotype" w:eastAsia="Palatino Linotype" w:hAnsi="Palatino Linotype" w:cs="Palatino Linotype"/>
          <w:i/>
          <w:sz w:val="22"/>
          <w:szCs w:val="22"/>
        </w:rPr>
        <w:t>que</w:t>
      </w:r>
      <w:proofErr w:type="gramEnd"/>
      <w:r w:rsidRPr="00D0172C">
        <w:rPr>
          <w:rFonts w:ascii="Palatino Linotype" w:eastAsia="Palatino Linotype" w:hAnsi="Palatino Linotype" w:cs="Palatino Linotype"/>
          <w:i/>
          <w:sz w:val="22"/>
          <w:szCs w:val="22"/>
        </w:rPr>
        <w:t xml:space="preserve"> en ejercicio de las atribuciones conferidas, sea administrada por los Sujetos Obligados, y</w:t>
      </w:r>
    </w:p>
    <w:p w14:paraId="335B17D2" w14:textId="77777777" w:rsidR="00926FC4" w:rsidRPr="00D0172C" w:rsidRDefault="00C47ACD">
      <w:pPr>
        <w:pBdr>
          <w:top w:val="nil"/>
          <w:left w:val="nil"/>
          <w:bottom w:val="nil"/>
          <w:right w:val="nil"/>
          <w:between w:val="nil"/>
        </w:pBdr>
        <w:spacing w:before="240" w:after="240"/>
        <w:ind w:left="567" w:right="567" w:hanging="284"/>
        <w:jc w:val="both"/>
      </w:pPr>
      <w:r w:rsidRPr="00D0172C">
        <w:rPr>
          <w:rFonts w:ascii="Palatino Linotype" w:eastAsia="Palatino Linotype" w:hAnsi="Palatino Linotype" w:cs="Palatino Linotype"/>
          <w:i/>
          <w:sz w:val="22"/>
          <w:szCs w:val="22"/>
        </w:rPr>
        <w:t xml:space="preserve">3. </w:t>
      </w:r>
      <w:r w:rsidRPr="00D0172C">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D0172C">
        <w:rPr>
          <w:rFonts w:ascii="Palatino Linotype" w:eastAsia="Palatino Linotype" w:hAnsi="Palatino Linotype" w:cs="Palatino Linotype"/>
          <w:b/>
          <w:i/>
          <w:sz w:val="22"/>
          <w:szCs w:val="22"/>
        </w:rPr>
        <w:t>que</w:t>
      </w:r>
      <w:proofErr w:type="gramEnd"/>
      <w:r w:rsidRPr="00D0172C">
        <w:rPr>
          <w:rFonts w:ascii="Palatino Linotype" w:eastAsia="Palatino Linotype" w:hAnsi="Palatino Linotype" w:cs="Palatino Linotype"/>
          <w:b/>
          <w:i/>
          <w:sz w:val="22"/>
          <w:szCs w:val="22"/>
        </w:rPr>
        <w:t xml:space="preserve"> en ejercicio de las atribuciones conferidas, se encuentre en posesión de los Sujetos Obligados.” (Énfasis añadido)</w:t>
      </w:r>
    </w:p>
    <w:p w14:paraId="48AD98BF" w14:textId="77777777" w:rsidR="00926FC4" w:rsidRPr="00D0172C" w:rsidRDefault="00C47ACD">
      <w:pPr>
        <w:pBdr>
          <w:top w:val="nil"/>
          <w:left w:val="nil"/>
          <w:bottom w:val="nil"/>
          <w:right w:val="nil"/>
          <w:between w:val="nil"/>
        </w:pBdr>
        <w:spacing w:before="240" w:after="240" w:line="360" w:lineRule="auto"/>
        <w:jc w:val="both"/>
      </w:pPr>
      <w:r w:rsidRPr="00D0172C">
        <w:rPr>
          <w:rFonts w:ascii="Palatino Linotype" w:eastAsia="Palatino Linotype" w:hAnsi="Palatino Linotype" w:cs="Palatino Linotype"/>
        </w:rPr>
        <w:t xml:space="preserve">De ahí que el </w:t>
      </w:r>
      <w:r w:rsidRPr="00D0172C">
        <w:rPr>
          <w:rFonts w:ascii="Palatino Linotype" w:eastAsia="Palatino Linotype" w:hAnsi="Palatino Linotype" w:cs="Palatino Linotype"/>
          <w:b/>
        </w:rPr>
        <w:t>Sujeto Obligado</w:t>
      </w:r>
      <w:r w:rsidRPr="00D0172C">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46C9BFD6" w14:textId="77777777" w:rsidR="00926FC4" w:rsidRPr="00D0172C" w:rsidRDefault="00C47AC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0172C">
        <w:rPr>
          <w:rFonts w:ascii="Palatino Linotype" w:eastAsia="Palatino Linotype" w:hAnsi="Palatino Linotype" w:cs="Palatino Linotype"/>
        </w:rPr>
        <w:t xml:space="preserve">Ahora bien, para profundizar en el estudio del presente asunto, es conveniente recordar que la parte solicitante requirió al </w:t>
      </w:r>
      <w:r w:rsidRPr="00D0172C">
        <w:rPr>
          <w:rFonts w:ascii="Palatino Linotype" w:eastAsia="Palatino Linotype" w:hAnsi="Palatino Linotype" w:cs="Palatino Linotype"/>
          <w:b/>
        </w:rPr>
        <w:t>Sujeto Obligado</w:t>
      </w:r>
      <w:r w:rsidRPr="00D0172C">
        <w:rPr>
          <w:rFonts w:ascii="Palatino Linotype" w:eastAsia="Palatino Linotype" w:hAnsi="Palatino Linotype" w:cs="Palatino Linotype"/>
        </w:rPr>
        <w:t>, le proporcionara lo siguiente:</w:t>
      </w:r>
    </w:p>
    <w:p w14:paraId="44D15686" w14:textId="77777777" w:rsidR="00926FC4" w:rsidRPr="00D0172C" w:rsidRDefault="00C47ACD">
      <w:pPr>
        <w:numPr>
          <w:ilvl w:val="0"/>
          <w:numId w:val="1"/>
        </w:numPr>
        <w:pBdr>
          <w:top w:val="nil"/>
          <w:left w:val="nil"/>
          <w:bottom w:val="nil"/>
          <w:right w:val="nil"/>
          <w:between w:val="nil"/>
        </w:pBdr>
        <w:tabs>
          <w:tab w:val="left" w:pos="7513"/>
        </w:tabs>
        <w:spacing w:line="360" w:lineRule="auto"/>
        <w:ind w:left="567" w:right="900" w:hanging="283"/>
        <w:jc w:val="both"/>
        <w:rPr>
          <w:rFonts w:ascii="Palatino Linotype" w:eastAsia="Palatino Linotype" w:hAnsi="Palatino Linotype" w:cs="Palatino Linotype"/>
          <w:b/>
        </w:rPr>
      </w:pPr>
      <w:r w:rsidRPr="00D0172C">
        <w:rPr>
          <w:rFonts w:ascii="Palatino Linotype" w:eastAsia="Palatino Linotype" w:hAnsi="Palatino Linotype" w:cs="Palatino Linotype"/>
          <w:b/>
        </w:rPr>
        <w:lastRenderedPageBreak/>
        <w:t>El directorio actualizado del Tribunal Estatal de Conciliación y Arbitraje, de la sala auxiliar de Ecatepec y de la sala auxiliar de Tlalnepantla, especificando el personal de confianza y el personal operativo.</w:t>
      </w:r>
    </w:p>
    <w:p w14:paraId="2DF12E18" w14:textId="77777777" w:rsidR="00926FC4" w:rsidRPr="00D0172C" w:rsidRDefault="00C47ACD">
      <w:pPr>
        <w:spacing w:before="240" w:after="240" w:line="360" w:lineRule="auto"/>
        <w:ind w:right="49"/>
        <w:jc w:val="both"/>
        <w:rPr>
          <w:rFonts w:ascii="Palatino Linotype" w:eastAsia="Palatino Linotype" w:hAnsi="Palatino Linotype" w:cs="Palatino Linotype"/>
        </w:rPr>
      </w:pPr>
      <w:r w:rsidRPr="00D0172C">
        <w:rPr>
          <w:rFonts w:ascii="Palatino Linotype" w:eastAsia="Palatino Linotype" w:hAnsi="Palatino Linotype" w:cs="Palatino Linotype"/>
        </w:rPr>
        <w:t xml:space="preserve">El </w:t>
      </w:r>
      <w:r w:rsidRPr="00D0172C">
        <w:rPr>
          <w:rFonts w:ascii="Palatino Linotype" w:eastAsia="Palatino Linotype" w:hAnsi="Palatino Linotype" w:cs="Palatino Linotype"/>
          <w:b/>
        </w:rPr>
        <w:t>Sujeto Obligado</w:t>
      </w:r>
      <w:r w:rsidRPr="00D0172C">
        <w:rPr>
          <w:rFonts w:ascii="Palatino Linotype" w:eastAsia="Palatino Linotype" w:hAnsi="Palatino Linotype" w:cs="Palatino Linotype"/>
        </w:rPr>
        <w:t xml:space="preserve"> en respuesta por conducto de la </w:t>
      </w:r>
      <w:proofErr w:type="gramStart"/>
      <w:r w:rsidRPr="00D0172C">
        <w:rPr>
          <w:rFonts w:ascii="Palatino Linotype" w:eastAsia="Palatino Linotype" w:hAnsi="Palatino Linotype" w:cs="Palatino Linotype"/>
        </w:rPr>
        <w:t>Jefa</w:t>
      </w:r>
      <w:proofErr w:type="gramEnd"/>
      <w:r w:rsidRPr="00D0172C">
        <w:rPr>
          <w:rFonts w:ascii="Palatino Linotype" w:eastAsia="Palatino Linotype" w:hAnsi="Palatino Linotype" w:cs="Palatino Linotype"/>
        </w:rPr>
        <w:t xml:space="preserve"> de la Unidad de Apoyo Administrativo remitió un listado del personal adscrito a las Salas Auxiliares Ecatepec y Tlalnepantla del Tribunal Estatal de Conciliación y Arbitraje.</w:t>
      </w:r>
    </w:p>
    <w:p w14:paraId="18821946" w14:textId="77777777" w:rsidR="00926FC4" w:rsidRPr="00D0172C" w:rsidRDefault="00C47ACD">
      <w:pPr>
        <w:spacing w:before="240" w:after="240" w:line="360" w:lineRule="auto"/>
        <w:ind w:right="49"/>
        <w:jc w:val="both"/>
        <w:rPr>
          <w:rFonts w:ascii="Palatino Linotype" w:eastAsia="Palatino Linotype" w:hAnsi="Palatino Linotype" w:cs="Palatino Linotype"/>
          <w:b/>
          <w:u w:val="single"/>
        </w:rPr>
      </w:pPr>
      <w:r w:rsidRPr="00D0172C">
        <w:rPr>
          <w:rFonts w:ascii="Palatino Linotype" w:eastAsia="Palatino Linotype" w:hAnsi="Palatino Linotype" w:cs="Palatino Linotype"/>
        </w:rPr>
        <w:t xml:space="preserve">Una vez conocida la respuesta del </w:t>
      </w:r>
      <w:r w:rsidRPr="00D0172C">
        <w:rPr>
          <w:rFonts w:ascii="Palatino Linotype" w:eastAsia="Palatino Linotype" w:hAnsi="Palatino Linotype" w:cs="Palatino Linotype"/>
          <w:b/>
        </w:rPr>
        <w:t>Sujeto Obligado</w:t>
      </w:r>
      <w:r w:rsidRPr="00D0172C">
        <w:rPr>
          <w:rFonts w:ascii="Palatino Linotype" w:eastAsia="Palatino Linotype" w:hAnsi="Palatino Linotype" w:cs="Palatino Linotype"/>
        </w:rPr>
        <w:t xml:space="preserve">, </w:t>
      </w:r>
      <w:r w:rsidRPr="00D0172C">
        <w:rPr>
          <w:rFonts w:ascii="Palatino Linotype" w:eastAsia="Palatino Linotype" w:hAnsi="Palatino Linotype" w:cs="Palatino Linotype"/>
          <w:b/>
        </w:rPr>
        <w:t>la ahora parte Recurrente</w:t>
      </w:r>
      <w:r w:rsidRPr="00D0172C">
        <w:rPr>
          <w:rFonts w:ascii="Palatino Linotype" w:eastAsia="Palatino Linotype" w:hAnsi="Palatino Linotype" w:cs="Palatino Linotype"/>
        </w:rPr>
        <w:t xml:space="preserve"> interpuso el recurso de revisión que nos ocupa, inconformándose por la entrega de información incompleta, esto en virtud de que </w:t>
      </w:r>
      <w:r w:rsidRPr="00D0172C">
        <w:rPr>
          <w:rFonts w:ascii="Palatino Linotype" w:eastAsia="Palatino Linotype" w:hAnsi="Palatino Linotype" w:cs="Palatino Linotype"/>
          <w:b/>
          <w:u w:val="single"/>
        </w:rPr>
        <w:t>se omitió entregar el directorio actualizado del Tribunal Estatal de Conciliación y Arbitraje, especificando el personal de confianza y el personal operativo.</w:t>
      </w:r>
    </w:p>
    <w:p w14:paraId="52106201" w14:textId="77777777" w:rsidR="00926FC4" w:rsidRPr="00D0172C" w:rsidRDefault="00C47ACD">
      <w:pPr>
        <w:spacing w:before="240" w:after="240" w:line="360" w:lineRule="auto"/>
        <w:ind w:right="49"/>
        <w:jc w:val="both"/>
        <w:rPr>
          <w:rFonts w:ascii="Palatino Linotype" w:eastAsia="Palatino Linotype" w:hAnsi="Palatino Linotype" w:cs="Palatino Linotype"/>
        </w:rPr>
      </w:pPr>
      <w:r w:rsidRPr="00D0172C">
        <w:rPr>
          <w:rFonts w:ascii="Palatino Linotype" w:eastAsia="Palatino Linotype" w:hAnsi="Palatino Linotype" w:cs="Palatino Linotype"/>
        </w:rPr>
        <w:t xml:space="preserve">Así las cosas, una vez admitido el presente recurso de revisión, dentro del término otorgado para realizar toda clase de manifestaciones, el </w:t>
      </w:r>
      <w:r w:rsidRPr="00D0172C">
        <w:rPr>
          <w:rFonts w:ascii="Palatino Linotype" w:eastAsia="Palatino Linotype" w:hAnsi="Palatino Linotype" w:cs="Palatino Linotype"/>
          <w:b/>
        </w:rPr>
        <w:t>Sujeto Obligado</w:t>
      </w:r>
      <w:r w:rsidRPr="00D0172C">
        <w:rPr>
          <w:rFonts w:ascii="Palatino Linotype" w:eastAsia="Palatino Linotype" w:hAnsi="Palatino Linotype" w:cs="Palatino Linotype"/>
        </w:rPr>
        <w:t xml:space="preserve"> remitió a través del SAIMEX, su informe justificado, mediante el cual adjuntó el directorio del Tribunal Estatal de Conciliación y Arbitraje.</w:t>
      </w:r>
    </w:p>
    <w:p w14:paraId="598C9674" w14:textId="77777777" w:rsidR="00926FC4" w:rsidRPr="00D0172C" w:rsidRDefault="00C47ACD">
      <w:pPr>
        <w:spacing w:after="240" w:line="360" w:lineRule="auto"/>
        <w:ind w:right="49"/>
        <w:jc w:val="both"/>
        <w:rPr>
          <w:rFonts w:ascii="Palatino Linotype" w:eastAsia="Palatino Linotype" w:hAnsi="Palatino Linotype" w:cs="Palatino Linotype"/>
        </w:rPr>
      </w:pPr>
      <w:r w:rsidRPr="00D0172C">
        <w:rPr>
          <w:rFonts w:ascii="Palatino Linotype" w:eastAsia="Palatino Linotype" w:hAnsi="Palatino Linotype" w:cs="Palatino Linotype"/>
        </w:rPr>
        <w:t xml:space="preserve">Expuestas las posturas de las partes, es necesario señalar que de un ejercicio de interpretación a los motivos de inconformidad de la </w:t>
      </w:r>
      <w:r w:rsidRPr="00D0172C">
        <w:rPr>
          <w:rFonts w:ascii="Palatino Linotype" w:eastAsia="Palatino Linotype" w:hAnsi="Palatino Linotype" w:cs="Palatino Linotype"/>
          <w:b/>
        </w:rPr>
        <w:t>parte Recurrente</w:t>
      </w:r>
      <w:r w:rsidRPr="00D0172C">
        <w:rPr>
          <w:rFonts w:ascii="Palatino Linotype" w:eastAsia="Palatino Linotype" w:hAnsi="Palatino Linotype" w:cs="Palatino Linotype"/>
        </w:rPr>
        <w:t xml:space="preserve">, se tiene que en estricto sentido versan sobre la entrega de información incompleta, lo anterior en razón de que se inconforma porque no se le hizo entrega del directorio del Tribunal Estatal de Conciliación y Arbitraje, por lo tanto, se reitera que los motivos de inconformidad aducidos, no versan sobre la totalidad de la información </w:t>
      </w:r>
      <w:r w:rsidRPr="00D0172C">
        <w:rPr>
          <w:rFonts w:ascii="Palatino Linotype" w:eastAsia="Palatino Linotype" w:hAnsi="Palatino Linotype" w:cs="Palatino Linotype"/>
        </w:rPr>
        <w:lastRenderedPageBreak/>
        <w:t xml:space="preserve">proporcionada por el </w:t>
      </w:r>
      <w:r w:rsidRPr="00D0172C">
        <w:rPr>
          <w:rFonts w:ascii="Palatino Linotype" w:eastAsia="Palatino Linotype" w:hAnsi="Palatino Linotype" w:cs="Palatino Linotype"/>
          <w:b/>
        </w:rPr>
        <w:t xml:space="preserve">Sujeto Obligado, </w:t>
      </w:r>
      <w:r w:rsidRPr="00D0172C">
        <w:rPr>
          <w:rFonts w:ascii="Palatino Linotype" w:eastAsia="Palatino Linotype" w:hAnsi="Palatino Linotype" w:cs="Palatino Linotype"/>
        </w:rPr>
        <w:t xml:space="preserve">pues </w:t>
      </w:r>
      <w:r w:rsidRPr="00D0172C">
        <w:rPr>
          <w:rFonts w:ascii="Palatino Linotype" w:eastAsia="Palatino Linotype" w:hAnsi="Palatino Linotype" w:cs="Palatino Linotype"/>
          <w:b/>
        </w:rPr>
        <w:t>la parte</w:t>
      </w:r>
      <w:r w:rsidRPr="00D0172C">
        <w:rPr>
          <w:rFonts w:ascii="Palatino Linotype" w:eastAsia="Palatino Linotype" w:hAnsi="Palatino Linotype" w:cs="Palatino Linotype"/>
        </w:rPr>
        <w:t xml:space="preserve"> </w:t>
      </w:r>
      <w:r w:rsidRPr="00D0172C">
        <w:rPr>
          <w:rFonts w:ascii="Palatino Linotype" w:eastAsia="Palatino Linotype" w:hAnsi="Palatino Linotype" w:cs="Palatino Linotype"/>
          <w:b/>
        </w:rPr>
        <w:t>Recurrente</w:t>
      </w:r>
      <w:r w:rsidRPr="00D0172C">
        <w:rPr>
          <w:rFonts w:ascii="Palatino Linotype" w:eastAsia="Palatino Linotype" w:hAnsi="Palatino Linotype" w:cs="Palatino Linotype"/>
        </w:rPr>
        <w:t xml:space="preserve"> manifestó de manera </w:t>
      </w:r>
      <w:r w:rsidRPr="00D0172C">
        <w:rPr>
          <w:rFonts w:ascii="Palatino Linotype" w:eastAsia="Palatino Linotype" w:hAnsi="Palatino Linotype" w:cs="Palatino Linotype"/>
          <w:b/>
          <w:u w:val="single"/>
        </w:rPr>
        <w:t>expresa su inconformidad respecto de la falta del directorio actualizado del Tribunal Estatal de Conciliación y Arbitraje.</w:t>
      </w:r>
    </w:p>
    <w:p w14:paraId="0174D508" w14:textId="77777777" w:rsidR="00926FC4" w:rsidRPr="00D0172C" w:rsidRDefault="00C47ACD">
      <w:pPr>
        <w:spacing w:before="240" w:after="240" w:line="360" w:lineRule="auto"/>
        <w:jc w:val="both"/>
        <w:rPr>
          <w:rFonts w:ascii="Palatino Linotype" w:eastAsia="Palatino Linotype" w:hAnsi="Palatino Linotype" w:cs="Palatino Linotype"/>
          <w:b/>
        </w:rPr>
      </w:pPr>
      <w:r w:rsidRPr="00D0172C">
        <w:rPr>
          <w:rFonts w:ascii="Palatino Linotype" w:eastAsia="Palatino Linotype" w:hAnsi="Palatino Linotype" w:cs="Palatino Linotype"/>
        </w:rPr>
        <w:t xml:space="preserve">En este orden de ideas, la parte de la respuesta que no fue impugnada, concerniente al </w:t>
      </w:r>
      <w:r w:rsidRPr="00D0172C">
        <w:rPr>
          <w:rFonts w:ascii="Palatino Linotype" w:eastAsia="Palatino Linotype" w:hAnsi="Palatino Linotype" w:cs="Palatino Linotype"/>
          <w:b/>
        </w:rPr>
        <w:t xml:space="preserve">directorio actualizado de la sala auxiliar de Ecatepec y de la sala auxiliar de Tlalnepantla, especificando el personal de confianza y el personal operativo., </w:t>
      </w:r>
      <w:r w:rsidRPr="00D0172C">
        <w:rPr>
          <w:rFonts w:ascii="Palatino Linotype" w:eastAsia="Palatino Linotype" w:hAnsi="Palatino Linotype" w:cs="Palatino Linotype"/>
          <w:b/>
          <w:u w:val="single"/>
        </w:rPr>
        <w:t>deben declararse consentidos</w:t>
      </w:r>
      <w:r w:rsidRPr="00D0172C">
        <w:rPr>
          <w:rFonts w:ascii="Palatino Linotype" w:eastAsia="Palatino Linotype" w:hAnsi="Palatino Linotype" w:cs="Palatino Linotype"/>
        </w:rPr>
        <w:t xml:space="preserve">, toda vez que, al no haber realizado manifestaciones de inconformidad al respecto, no pueden producirse efectos jurídicos tendientes a revocar, confirmar o modificar el acto reclamado, ya que, en el caso concreto se infiere que la información proporcionada por el </w:t>
      </w:r>
      <w:r w:rsidRPr="00D0172C">
        <w:rPr>
          <w:rFonts w:ascii="Palatino Linotype" w:eastAsia="Palatino Linotype" w:hAnsi="Palatino Linotype" w:cs="Palatino Linotype"/>
          <w:b/>
        </w:rPr>
        <w:t>Sujeto Obligado</w:t>
      </w:r>
      <w:r w:rsidRPr="00D0172C">
        <w:rPr>
          <w:rFonts w:ascii="Palatino Linotype" w:eastAsia="Palatino Linotype" w:hAnsi="Palatino Linotype" w:cs="Palatino Linotype"/>
        </w:rPr>
        <w:t>, satisface la solicitud presentada.</w:t>
      </w:r>
    </w:p>
    <w:p w14:paraId="7A1D552A" w14:textId="77777777" w:rsidR="00926FC4" w:rsidRPr="00D0172C" w:rsidRDefault="00C47ACD">
      <w:pPr>
        <w:spacing w:before="240" w:after="240" w:line="360" w:lineRule="auto"/>
        <w:jc w:val="both"/>
        <w:rPr>
          <w:rFonts w:ascii="Palatino Linotype" w:eastAsia="Palatino Linotype" w:hAnsi="Palatino Linotype" w:cs="Palatino Linotype"/>
        </w:rPr>
      </w:pPr>
      <w:r w:rsidRPr="00D0172C">
        <w:rPr>
          <w:rFonts w:ascii="Palatino Linotype" w:eastAsia="Palatino Linotype" w:hAnsi="Palatino Linotype" w:cs="Palatino Linotype"/>
        </w:rPr>
        <w:t xml:space="preserve">Lo anterior es así, debido a que cuando un </w:t>
      </w:r>
      <w:r w:rsidRPr="00D0172C">
        <w:rPr>
          <w:rFonts w:ascii="Palatino Linotype" w:eastAsia="Palatino Linotype" w:hAnsi="Palatino Linotype" w:cs="Palatino Linotype"/>
          <w:b/>
        </w:rPr>
        <w:t>Recurrente</w:t>
      </w:r>
      <w:r w:rsidRPr="00D0172C">
        <w:rPr>
          <w:rFonts w:ascii="Palatino Linotype" w:eastAsia="Palatino Linotype" w:hAnsi="Palatino Linotype" w:cs="Palatino Linotype"/>
        </w:rPr>
        <w:t xml:space="preserve"> impugna la respuesta del </w:t>
      </w:r>
      <w:r w:rsidRPr="00D0172C">
        <w:rPr>
          <w:rFonts w:ascii="Palatino Linotype" w:eastAsia="Palatino Linotype" w:hAnsi="Palatino Linotype" w:cs="Palatino Linotype"/>
          <w:b/>
        </w:rPr>
        <w:t>Sujeto Obligado</w:t>
      </w:r>
      <w:r w:rsidRPr="00D0172C">
        <w:rPr>
          <w:rFonts w:ascii="Palatino Linotype" w:eastAsia="Palatino Linotype" w:hAnsi="Palatino Linotype" w:cs="Palatino Linotype"/>
        </w:rPr>
        <w:t xml:space="preserve">, y este no expresa Razón o Motivo de Inconformidad en contra de todos los rubros solicitados, dichos rubros deben declararse atendidos, pues se entiende que </w:t>
      </w:r>
      <w:r w:rsidRPr="00D0172C">
        <w:rPr>
          <w:rFonts w:ascii="Palatino Linotype" w:eastAsia="Palatino Linotype" w:hAnsi="Palatino Linotype" w:cs="Palatino Linotype"/>
          <w:b/>
        </w:rPr>
        <w:t>la parte Recurrente</w:t>
      </w:r>
      <w:r w:rsidRPr="00D0172C">
        <w:rPr>
          <w:rFonts w:ascii="Palatino Linotype" w:eastAsia="Palatino Linotype" w:hAnsi="Palatino Linotype" w:cs="Palatino Linotype"/>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5259347A" w14:textId="77777777" w:rsidR="00926FC4" w:rsidRPr="00D0172C" w:rsidRDefault="00C47ACD">
      <w:pPr>
        <w:spacing w:before="240" w:after="240" w:line="276" w:lineRule="auto"/>
        <w:ind w:left="851" w:right="900"/>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b/>
          <w:i/>
          <w:sz w:val="22"/>
          <w:szCs w:val="22"/>
        </w:rPr>
        <w:t xml:space="preserve">“REVISIÓN EN AMPARO. LOS RESOLUTIVOS NO COMBATIDOS DEBEN DECLARARSE FIRMES. </w:t>
      </w:r>
      <w:r w:rsidRPr="00D0172C">
        <w:rPr>
          <w:rFonts w:ascii="Palatino Linotype" w:eastAsia="Palatino Linotype" w:hAnsi="Palatino Linotype" w:cs="Palatino Linotype"/>
          <w:i/>
          <w:sz w:val="22"/>
          <w:szCs w:val="22"/>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w:t>
      </w:r>
      <w:r w:rsidRPr="00D0172C">
        <w:rPr>
          <w:rFonts w:ascii="Palatino Linotype" w:eastAsia="Palatino Linotype" w:hAnsi="Palatino Linotype" w:cs="Palatino Linotype"/>
          <w:i/>
          <w:sz w:val="22"/>
          <w:szCs w:val="22"/>
        </w:rPr>
        <w:lastRenderedPageBreak/>
        <w:t>contra de los cuales no se formuló agravio y dicha declaración de firmeza debe reflejarse en la parte considerativa y en los resolutivos debe confirmarse la sentencia recurrida en la parte correspondiente.”</w:t>
      </w:r>
    </w:p>
    <w:p w14:paraId="433F1A3E" w14:textId="77777777" w:rsidR="00926FC4" w:rsidRPr="00D0172C" w:rsidRDefault="00C47ACD">
      <w:pPr>
        <w:spacing w:before="240" w:after="240" w:line="360" w:lineRule="auto"/>
        <w:jc w:val="both"/>
        <w:rPr>
          <w:rFonts w:ascii="Palatino Linotype" w:eastAsia="Palatino Linotype" w:hAnsi="Palatino Linotype" w:cs="Palatino Linotype"/>
        </w:rPr>
      </w:pPr>
      <w:r w:rsidRPr="00D0172C">
        <w:rPr>
          <w:rFonts w:ascii="Palatino Linotype" w:eastAsia="Palatino Linotype" w:hAnsi="Palatino Linotype" w:cs="Palatino Linotype"/>
        </w:rPr>
        <w:t xml:space="preserve">Consecuentemente, se reitera que la parte de la solicitud que no fue impugnada debe declararse consentida por </w:t>
      </w:r>
      <w:r w:rsidRPr="00D0172C">
        <w:rPr>
          <w:rFonts w:ascii="Palatino Linotype" w:eastAsia="Palatino Linotype" w:hAnsi="Palatino Linotype" w:cs="Palatino Linotype"/>
          <w:b/>
        </w:rPr>
        <w:t>la parte Recurrente</w:t>
      </w:r>
      <w:r w:rsidRPr="00D0172C">
        <w:rPr>
          <w:rFonts w:ascii="Palatino Linotype" w:eastAsia="Palatino Linotype" w:hAnsi="Palatino Linotype" w:cs="Palatino Linotype"/>
        </w:rPr>
        <w:t xml:space="preserve">, en razón de que no se realizaron manifestaciones de inconformidad, por lo que no pueden producirse efectos jurídicos tendentes a revocar, confirmar o modificar el acto reclamado ya que se infiere un consentimiento de </w:t>
      </w:r>
      <w:r w:rsidRPr="00D0172C">
        <w:rPr>
          <w:rFonts w:ascii="Palatino Linotype" w:eastAsia="Palatino Linotype" w:hAnsi="Palatino Linotype" w:cs="Palatino Linotype"/>
          <w:b/>
        </w:rPr>
        <w:t>la parte Recurrente</w:t>
      </w:r>
      <w:r w:rsidRPr="00D0172C">
        <w:rPr>
          <w:rFonts w:ascii="Palatino Linotype" w:eastAsia="Palatino Linotype" w:hAnsi="Palatino Linotype" w:cs="Palatino Linotype"/>
        </w:rPr>
        <w:t xml:space="preserve"> ante la falta de impugnación eficaz. </w:t>
      </w:r>
    </w:p>
    <w:p w14:paraId="66DE81E8" w14:textId="77777777" w:rsidR="00926FC4" w:rsidRPr="00D0172C" w:rsidRDefault="00C47ACD">
      <w:pPr>
        <w:spacing w:before="240" w:after="240" w:line="360" w:lineRule="auto"/>
        <w:jc w:val="both"/>
        <w:rPr>
          <w:rFonts w:ascii="Palatino Linotype" w:eastAsia="Palatino Linotype" w:hAnsi="Palatino Linotype" w:cs="Palatino Linotype"/>
        </w:rPr>
      </w:pPr>
      <w:r w:rsidRPr="00D0172C">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012A82C4" w14:textId="77777777" w:rsidR="00926FC4" w:rsidRPr="00D0172C" w:rsidRDefault="00C47ACD">
      <w:pPr>
        <w:spacing w:before="240" w:after="240" w:line="276" w:lineRule="auto"/>
        <w:ind w:left="567" w:right="900"/>
        <w:jc w:val="both"/>
        <w:rPr>
          <w:rFonts w:ascii="Palatino Linotype" w:eastAsia="Palatino Linotype" w:hAnsi="Palatino Linotype" w:cs="Palatino Linotype"/>
        </w:rPr>
      </w:pPr>
      <w:r w:rsidRPr="00D0172C">
        <w:rPr>
          <w:rFonts w:ascii="Palatino Linotype" w:eastAsia="Palatino Linotype" w:hAnsi="Palatino Linotype" w:cs="Palatino Linotype"/>
          <w:b/>
          <w:i/>
          <w:smallCaps/>
          <w:sz w:val="22"/>
          <w:szCs w:val="22"/>
        </w:rPr>
        <w:t xml:space="preserve">“ACTOS CONSENTIDOS. SON LOS QUE NO SE IMPUGNAN MEDIANTE EL RECURSO IDÓNEO. </w:t>
      </w:r>
      <w:r w:rsidRPr="00D0172C">
        <w:rPr>
          <w:rFonts w:ascii="Palatino Linotype" w:eastAsia="Palatino Linotype" w:hAnsi="Palatino Linotype" w:cs="Palatino Linotype"/>
          <w:i/>
          <w:sz w:val="22"/>
          <w:szCs w:val="22"/>
        </w:rPr>
        <w:t xml:space="preserve">Debe reputarse como consentido el acto que no se impugnó por el medio establecido por la ley, </w:t>
      </w:r>
      <w:proofErr w:type="gramStart"/>
      <w:r w:rsidRPr="00D0172C">
        <w:rPr>
          <w:rFonts w:ascii="Palatino Linotype" w:eastAsia="Palatino Linotype" w:hAnsi="Palatino Linotype" w:cs="Palatino Linotype"/>
          <w:i/>
          <w:sz w:val="22"/>
          <w:szCs w:val="22"/>
        </w:rPr>
        <w:t>ya que</w:t>
      </w:r>
      <w:proofErr w:type="gramEnd"/>
      <w:r w:rsidRPr="00D0172C">
        <w:rPr>
          <w:rFonts w:ascii="Palatino Linotype" w:eastAsia="Palatino Linotype" w:hAnsi="Palatino Linotype" w:cs="Palatino Linotype"/>
          <w:i/>
          <w:sz w:val="22"/>
          <w:szCs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6E758BE" w14:textId="77777777" w:rsidR="00926FC4" w:rsidRPr="00D0172C" w:rsidRDefault="00C47ACD">
      <w:pPr>
        <w:spacing w:before="240" w:after="240" w:line="360" w:lineRule="auto"/>
        <w:ind w:right="49"/>
        <w:jc w:val="both"/>
        <w:rPr>
          <w:rFonts w:ascii="Palatino Linotype" w:eastAsia="Palatino Linotype" w:hAnsi="Palatino Linotype" w:cs="Palatino Linotype"/>
          <w:b/>
        </w:rPr>
      </w:pPr>
      <w:r w:rsidRPr="00D0172C">
        <w:rPr>
          <w:rFonts w:ascii="Palatino Linotype" w:eastAsia="Palatino Linotype" w:hAnsi="Palatino Linotype" w:cs="Palatino Linotype"/>
        </w:rPr>
        <w:t xml:space="preserve">Ahora bien, a efecto de garantizar el efectivo ejercicio del derecho de acceso a la información pública que asiste al particular, resulta conveniente reiterar que el presente análisis versará en estricto sentido respecto del punto impugnado, es decir, de </w:t>
      </w:r>
      <w:r w:rsidRPr="00D0172C">
        <w:rPr>
          <w:rFonts w:ascii="Palatino Linotype" w:eastAsia="Palatino Linotype" w:hAnsi="Palatino Linotype" w:cs="Palatino Linotype"/>
          <w:b/>
        </w:rPr>
        <w:t xml:space="preserve">la falta de entrega del directorio del Tribunal Estatal de Conciliación y Arbitraje, especificando el personal de confianza y el personal operativo.   </w:t>
      </w:r>
    </w:p>
    <w:p w14:paraId="04444C11" w14:textId="77777777" w:rsidR="00926FC4" w:rsidRPr="00D0172C" w:rsidRDefault="00C47ACD">
      <w:pPr>
        <w:spacing w:after="240" w:line="360" w:lineRule="auto"/>
        <w:ind w:right="49"/>
        <w:jc w:val="both"/>
        <w:rPr>
          <w:rFonts w:ascii="Palatino Linotype" w:eastAsia="Palatino Linotype" w:hAnsi="Palatino Linotype" w:cs="Palatino Linotype"/>
        </w:rPr>
      </w:pPr>
      <w:r w:rsidRPr="00D0172C">
        <w:rPr>
          <w:rFonts w:ascii="Palatino Linotype" w:eastAsia="Palatino Linotype" w:hAnsi="Palatino Linotype" w:cs="Palatino Linotype"/>
        </w:rPr>
        <w:lastRenderedPageBreak/>
        <w:t xml:space="preserve">Bajo este orden de ideas, debe precisarse </w:t>
      </w:r>
      <w:proofErr w:type="gramStart"/>
      <w:r w:rsidRPr="00D0172C">
        <w:rPr>
          <w:rFonts w:ascii="Palatino Linotype" w:eastAsia="Palatino Linotype" w:hAnsi="Palatino Linotype" w:cs="Palatino Linotype"/>
        </w:rPr>
        <w:t>que</w:t>
      </w:r>
      <w:proofErr w:type="gramEnd"/>
      <w:r w:rsidRPr="00D0172C">
        <w:rPr>
          <w:rFonts w:ascii="Palatino Linotype" w:eastAsia="Palatino Linotype" w:hAnsi="Palatino Linotype" w:cs="Palatino Linotype"/>
        </w:rPr>
        <w:t xml:space="preserve"> desde la etapa de la respuesta, se turnó la solicitud de información a la </w:t>
      </w:r>
      <w:r w:rsidRPr="00D0172C">
        <w:rPr>
          <w:rFonts w:ascii="Palatino Linotype" w:eastAsia="Palatino Linotype" w:hAnsi="Palatino Linotype" w:cs="Palatino Linotype"/>
          <w:b/>
        </w:rPr>
        <w:t>Jefa de la Unidad de Apoyo Administrativo</w:t>
      </w:r>
      <w:r w:rsidRPr="00D0172C">
        <w:rPr>
          <w:rFonts w:ascii="Palatino Linotype" w:eastAsia="Palatino Linotype" w:hAnsi="Palatino Linotype" w:cs="Palatino Linotype"/>
        </w:rPr>
        <w:t>, quien de conformidad con el Manual General de Organización del Tribunal Estatal de Conciliación y Arbitraje, cuenta con el objetivo de planear, coordinar, controlar y llevar a cabo las actividades relativas a la administración de los recursos humanos, materiales y financieros del Tribunal Estatal de Conciliación y Arbitraje.</w:t>
      </w:r>
    </w:p>
    <w:p w14:paraId="4B26DB5A" w14:textId="77777777" w:rsidR="00926FC4" w:rsidRPr="00D0172C" w:rsidRDefault="00C47ACD">
      <w:pPr>
        <w:spacing w:line="360" w:lineRule="auto"/>
        <w:ind w:right="49"/>
        <w:jc w:val="both"/>
        <w:rPr>
          <w:rFonts w:ascii="Palatino Linotype" w:eastAsia="Palatino Linotype" w:hAnsi="Palatino Linotype" w:cs="Palatino Linotype"/>
        </w:rPr>
      </w:pPr>
      <w:r w:rsidRPr="00D0172C">
        <w:rPr>
          <w:rFonts w:ascii="Palatino Linotype" w:eastAsia="Palatino Linotype" w:hAnsi="Palatino Linotype" w:cs="Palatino Linotype"/>
        </w:rPr>
        <w:t>De tal suerte que como se desprende de lo anteriormente citado, se determina que la respuesta fue proporcionada por la Unidad Administrativa Competente, siguiendo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2CB9E7DC" w14:textId="77777777" w:rsidR="00926FC4" w:rsidRPr="00D0172C" w:rsidRDefault="00926FC4"/>
    <w:p w14:paraId="7300A66E" w14:textId="77777777" w:rsidR="00926FC4" w:rsidRPr="00D0172C" w:rsidRDefault="00C47ACD">
      <w:pPr>
        <w:pBdr>
          <w:top w:val="nil"/>
          <w:left w:val="nil"/>
          <w:bottom w:val="nil"/>
          <w:right w:val="nil"/>
          <w:between w:val="nil"/>
        </w:pBdr>
        <w:ind w:left="864" w:right="864"/>
        <w:jc w:val="both"/>
      </w:pPr>
      <w:r w:rsidRPr="00D0172C">
        <w:rPr>
          <w:rFonts w:ascii="Palatino Linotype" w:eastAsia="Palatino Linotype" w:hAnsi="Palatino Linotype" w:cs="Palatino Linotype"/>
          <w:i/>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7AFDBD0C" w14:textId="77777777" w:rsidR="00926FC4" w:rsidRPr="00D0172C" w:rsidRDefault="00926FC4"/>
    <w:p w14:paraId="734A758F" w14:textId="77777777" w:rsidR="00926FC4" w:rsidRPr="00D0172C" w:rsidRDefault="00C47ACD">
      <w:pPr>
        <w:pBdr>
          <w:top w:val="nil"/>
          <w:left w:val="nil"/>
          <w:bottom w:val="nil"/>
          <w:right w:val="nil"/>
          <w:between w:val="nil"/>
        </w:pBdr>
        <w:shd w:val="clear" w:color="auto" w:fill="FFFFFF"/>
        <w:spacing w:line="360" w:lineRule="auto"/>
        <w:jc w:val="both"/>
      </w:pPr>
      <w:r w:rsidRPr="00D0172C">
        <w:rPr>
          <w:rFonts w:ascii="Palatino Linotype" w:eastAsia="Palatino Linotype" w:hAnsi="Palatino Linotype" w:cs="Palatino Linotype"/>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0A8CE710" w14:textId="77777777" w:rsidR="00926FC4" w:rsidRPr="00D0172C" w:rsidRDefault="00926FC4"/>
    <w:p w14:paraId="5A890AE1" w14:textId="77777777" w:rsidR="00926FC4" w:rsidRPr="00D0172C" w:rsidRDefault="00C47ACD">
      <w:pPr>
        <w:pBdr>
          <w:top w:val="nil"/>
          <w:left w:val="nil"/>
          <w:bottom w:val="nil"/>
          <w:right w:val="nil"/>
          <w:between w:val="nil"/>
        </w:pBdr>
        <w:ind w:left="864" w:right="864"/>
        <w:jc w:val="both"/>
      </w:pPr>
      <w:r w:rsidRPr="00D0172C">
        <w:rPr>
          <w:rFonts w:ascii="Palatino Linotype" w:eastAsia="Palatino Linotype" w:hAnsi="Palatino Linotype" w:cs="Palatino Linotype"/>
          <w:i/>
          <w:sz w:val="22"/>
          <w:szCs w:val="22"/>
        </w:rPr>
        <w:lastRenderedPageBreak/>
        <w:t xml:space="preserve">“Artículo 162. Las unidades de transparencia deberán garantizar que las solicitudes </w:t>
      </w:r>
      <w:r w:rsidRPr="00D0172C">
        <w:rPr>
          <w:rFonts w:ascii="Palatino Linotype" w:eastAsia="Palatino Linotype" w:hAnsi="Palatino Linotype" w:cs="Palatino Linotype"/>
          <w:b/>
          <w:i/>
          <w:sz w:val="22"/>
          <w:szCs w:val="22"/>
        </w:rPr>
        <w:t xml:space="preserve">se turnen a todas las Áreas competentes </w:t>
      </w:r>
      <w:r w:rsidRPr="00D0172C">
        <w:rPr>
          <w:rFonts w:ascii="Palatino Linotype" w:eastAsia="Palatino Linotype" w:hAnsi="Palatino Linotype" w:cs="Palatino Linotype"/>
          <w:i/>
          <w:sz w:val="22"/>
          <w:szCs w:val="22"/>
        </w:rPr>
        <w:t>que cuenten con la información o deban tenerla de acuerdo a sus facultades, competencias y funciones, con el objeto de que realicen una búsqueda exhaustiva y razonable de la información solicitada.”</w:t>
      </w:r>
    </w:p>
    <w:p w14:paraId="5673512C" w14:textId="77777777" w:rsidR="00926FC4" w:rsidRPr="00D0172C" w:rsidRDefault="00C47ACD">
      <w:pPr>
        <w:spacing w:before="240" w:after="240" w:line="360" w:lineRule="auto"/>
        <w:jc w:val="both"/>
        <w:rPr>
          <w:rFonts w:ascii="Palatino Linotype" w:eastAsia="Palatino Linotype" w:hAnsi="Palatino Linotype" w:cs="Palatino Linotype"/>
        </w:rPr>
      </w:pPr>
      <w:r w:rsidRPr="00D0172C">
        <w:rPr>
          <w:rFonts w:ascii="Palatino Linotype" w:eastAsia="Palatino Linotype" w:hAnsi="Palatino Linotype" w:cs="Palatino Linotype"/>
        </w:rPr>
        <w:t xml:space="preserve">Es de precisar que de la consulta a la fracción </w:t>
      </w:r>
      <w:proofErr w:type="gramStart"/>
      <w:r w:rsidRPr="00D0172C">
        <w:rPr>
          <w:rFonts w:ascii="Palatino Linotype" w:eastAsia="Palatino Linotype" w:hAnsi="Palatino Linotype" w:cs="Palatino Linotype"/>
        </w:rPr>
        <w:t>VII  relativa</w:t>
      </w:r>
      <w:proofErr w:type="gramEnd"/>
      <w:r w:rsidRPr="00D0172C">
        <w:rPr>
          <w:rFonts w:ascii="Palatino Linotype" w:eastAsia="Palatino Linotype" w:hAnsi="Palatino Linotype" w:cs="Palatino Linotype"/>
        </w:rPr>
        <w:t xml:space="preserve"> al directorio de todos los servidores públicos, se tiene que la unidad responsable de la carga de información de esta fracción es la Unidad de Apoyo Administrativo, tal como se visualiza en la siguiente ilustración: </w:t>
      </w:r>
    </w:p>
    <w:p w14:paraId="20FDF35B" w14:textId="77777777" w:rsidR="00926FC4" w:rsidRPr="00D0172C" w:rsidRDefault="00C47ACD">
      <w:pPr>
        <w:spacing w:before="240" w:after="240" w:line="360" w:lineRule="auto"/>
        <w:jc w:val="center"/>
        <w:rPr>
          <w:rFonts w:ascii="Palatino Linotype" w:eastAsia="Palatino Linotype" w:hAnsi="Palatino Linotype" w:cs="Palatino Linotype"/>
        </w:rPr>
      </w:pPr>
      <w:r w:rsidRPr="00D0172C">
        <w:rPr>
          <w:rFonts w:ascii="Palatino Linotype" w:eastAsia="Palatino Linotype" w:hAnsi="Palatino Linotype" w:cs="Palatino Linotype"/>
          <w:noProof/>
          <w:lang w:val="es-MX"/>
        </w:rPr>
        <w:drawing>
          <wp:inline distT="0" distB="0" distL="0" distR="0" wp14:anchorId="484CB9B8" wp14:editId="427D97DE">
            <wp:extent cx="4883170" cy="4036273"/>
            <wp:effectExtent l="0" t="0" r="0" b="0"/>
            <wp:docPr id="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883170" cy="4036273"/>
                    </a:xfrm>
                    <a:prstGeom prst="rect">
                      <a:avLst/>
                    </a:prstGeom>
                    <a:ln/>
                  </pic:spPr>
                </pic:pic>
              </a:graphicData>
            </a:graphic>
          </wp:inline>
        </w:drawing>
      </w:r>
      <w:r w:rsidRPr="00D0172C">
        <w:rPr>
          <w:noProof/>
          <w:lang w:val="es-MX"/>
        </w:rPr>
        <mc:AlternateContent>
          <mc:Choice Requires="wpg">
            <w:drawing>
              <wp:anchor distT="0" distB="0" distL="114300" distR="114300" simplePos="0" relativeHeight="251658240" behindDoc="0" locked="0" layoutInCell="1" hidden="0" allowOverlap="1" wp14:anchorId="6737F930" wp14:editId="695F8299">
                <wp:simplePos x="0" y="0"/>
                <wp:positionH relativeFrom="column">
                  <wp:posOffset>368300</wp:posOffset>
                </wp:positionH>
                <wp:positionV relativeFrom="paragraph">
                  <wp:posOffset>3441700</wp:posOffset>
                </wp:positionV>
                <wp:extent cx="3838575" cy="247650"/>
                <wp:effectExtent l="0" t="0" r="0" b="0"/>
                <wp:wrapNone/>
                <wp:docPr id="63" name="Rectángulo 63"/>
                <wp:cNvGraphicFramePr/>
                <a:graphic xmlns:a="http://schemas.openxmlformats.org/drawingml/2006/main">
                  <a:graphicData uri="http://schemas.microsoft.com/office/word/2010/wordprocessingShape">
                    <wps:wsp>
                      <wps:cNvSpPr/>
                      <wps:spPr>
                        <a:xfrm>
                          <a:off x="3464813" y="3694275"/>
                          <a:ext cx="3762375" cy="171450"/>
                        </a:xfrm>
                        <a:prstGeom prst="rect">
                          <a:avLst/>
                        </a:prstGeom>
                        <a:noFill/>
                        <a:ln w="38100" cap="flat" cmpd="sng">
                          <a:solidFill>
                            <a:srgbClr val="FF0000"/>
                          </a:solidFill>
                          <a:prstDash val="solid"/>
                          <a:round/>
                          <a:headEnd type="none" w="sm" len="sm"/>
                          <a:tailEnd type="none" w="sm" len="sm"/>
                        </a:ln>
                      </wps:spPr>
                      <wps:txbx>
                        <w:txbxContent>
                          <w:p w14:paraId="7D974351" w14:textId="77777777" w:rsidR="00926FC4" w:rsidRDefault="00926FC4">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368300</wp:posOffset>
                </wp:positionH>
                <wp:positionV relativeFrom="paragraph">
                  <wp:posOffset>3441700</wp:posOffset>
                </wp:positionV>
                <wp:extent cx="3838575" cy="247650"/>
                <wp:effectExtent b="0" l="0" r="0" t="0"/>
                <wp:wrapNone/>
                <wp:docPr id="63"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3838575" cy="247650"/>
                        </a:xfrm>
                        <a:prstGeom prst="rect"/>
                        <a:ln/>
                      </pic:spPr>
                    </pic:pic>
                  </a:graphicData>
                </a:graphic>
              </wp:anchor>
            </w:drawing>
          </mc:Fallback>
        </mc:AlternateContent>
      </w:r>
    </w:p>
    <w:p w14:paraId="496DB2E3" w14:textId="77777777" w:rsidR="00926FC4" w:rsidRPr="00D0172C" w:rsidRDefault="00C47ACD">
      <w:pPr>
        <w:spacing w:before="240" w:after="240" w:line="360" w:lineRule="auto"/>
        <w:jc w:val="both"/>
        <w:rPr>
          <w:rFonts w:ascii="Palatino Linotype" w:eastAsia="Palatino Linotype" w:hAnsi="Palatino Linotype" w:cs="Palatino Linotype"/>
        </w:rPr>
      </w:pPr>
      <w:r w:rsidRPr="00D0172C">
        <w:rPr>
          <w:rFonts w:ascii="Palatino Linotype" w:eastAsia="Palatino Linotype" w:hAnsi="Palatino Linotype" w:cs="Palatino Linotype"/>
        </w:rPr>
        <w:t xml:space="preserve">En este orden de ideas, se procede al análisis de la respuesta e informe justificado proporcionados por el </w:t>
      </w:r>
      <w:r w:rsidRPr="00D0172C">
        <w:rPr>
          <w:rFonts w:ascii="Palatino Linotype" w:eastAsia="Palatino Linotype" w:hAnsi="Palatino Linotype" w:cs="Palatino Linotype"/>
          <w:b/>
        </w:rPr>
        <w:t>Sujeto Obligado</w:t>
      </w:r>
      <w:r w:rsidRPr="00D0172C">
        <w:rPr>
          <w:rFonts w:ascii="Palatino Linotype" w:eastAsia="Palatino Linotype" w:hAnsi="Palatino Linotype" w:cs="Palatino Linotype"/>
        </w:rPr>
        <w:t xml:space="preserve">, para ello resulta pertinente recordar que en </w:t>
      </w:r>
      <w:r w:rsidRPr="00D0172C">
        <w:rPr>
          <w:rFonts w:ascii="Palatino Linotype" w:eastAsia="Palatino Linotype" w:hAnsi="Palatino Linotype" w:cs="Palatino Linotype"/>
        </w:rPr>
        <w:lastRenderedPageBreak/>
        <w:t xml:space="preserve">respuesta únicamente se remitió el listado de personal que funcionalmente se encuentra prestando sus servicios en las Salas Auxiliares Ecatepec y Tlalnepantla del Tribunal Estatal de Conciliación y Arbitraje, con corte al 15 de octubre del presente año y es hasta informe justificado que el </w:t>
      </w:r>
      <w:r w:rsidRPr="00D0172C">
        <w:rPr>
          <w:rFonts w:ascii="Palatino Linotype" w:eastAsia="Palatino Linotype" w:hAnsi="Palatino Linotype" w:cs="Palatino Linotype"/>
          <w:b/>
        </w:rPr>
        <w:t>Sujeto Obligado</w:t>
      </w:r>
      <w:r w:rsidRPr="00D0172C">
        <w:rPr>
          <w:rFonts w:ascii="Palatino Linotype" w:eastAsia="Palatino Linotype" w:hAnsi="Palatino Linotype" w:cs="Palatino Linotype"/>
        </w:rPr>
        <w:t xml:space="preserve"> remitió la liga electrónica </w:t>
      </w:r>
      <w:hyperlink r:id="rId12">
        <w:r w:rsidRPr="00D0172C">
          <w:rPr>
            <w:rFonts w:ascii="Palatino Linotype" w:eastAsia="Palatino Linotype" w:hAnsi="Palatino Linotype" w:cs="Palatino Linotype"/>
            <w:u w:val="single"/>
          </w:rPr>
          <w:t>https://teca.edomex.gob.mx/directorio</w:t>
        </w:r>
      </w:hyperlink>
      <w:r w:rsidRPr="00D0172C">
        <w:rPr>
          <w:rFonts w:ascii="Palatino Linotype" w:eastAsia="Palatino Linotype" w:hAnsi="Palatino Linotype" w:cs="Palatino Linotype"/>
        </w:rPr>
        <w:t xml:space="preserve"> , misma que conduce al directorio en el que únicamente se visualizan a mandos medios y superiores, asimismo proporcionó un archivo en el que se aprecia el directorio que tiene publicado dentro de su portal electrónico.</w:t>
      </w:r>
    </w:p>
    <w:p w14:paraId="10749D96" w14:textId="77777777" w:rsidR="00926FC4" w:rsidRPr="00D0172C" w:rsidRDefault="00C47ACD">
      <w:pPr>
        <w:spacing w:before="240" w:after="240" w:line="360" w:lineRule="auto"/>
        <w:jc w:val="both"/>
        <w:rPr>
          <w:rFonts w:ascii="Palatino Linotype" w:eastAsia="Palatino Linotype" w:hAnsi="Palatino Linotype" w:cs="Palatino Linotype"/>
        </w:rPr>
      </w:pPr>
      <w:r w:rsidRPr="00D0172C">
        <w:rPr>
          <w:rFonts w:ascii="Palatino Linotype" w:eastAsia="Palatino Linotype" w:hAnsi="Palatino Linotype" w:cs="Palatino Linotype"/>
        </w:rPr>
        <w:t xml:space="preserve">No </w:t>
      </w:r>
      <w:proofErr w:type="gramStart"/>
      <w:r w:rsidRPr="00D0172C">
        <w:rPr>
          <w:rFonts w:ascii="Palatino Linotype" w:eastAsia="Palatino Linotype" w:hAnsi="Palatino Linotype" w:cs="Palatino Linotype"/>
        </w:rPr>
        <w:t>obstante</w:t>
      </w:r>
      <w:proofErr w:type="gramEnd"/>
      <w:r w:rsidRPr="00D0172C">
        <w:rPr>
          <w:rFonts w:ascii="Palatino Linotype" w:eastAsia="Palatino Linotype" w:hAnsi="Palatino Linotype" w:cs="Palatino Linotype"/>
        </w:rPr>
        <w:t xml:space="preserve"> lo anterior, este Organismo Garante no quiere dejar de mencionar que </w:t>
      </w:r>
      <w:r w:rsidRPr="00D0172C">
        <w:rPr>
          <w:rFonts w:ascii="Palatino Linotype" w:eastAsia="Palatino Linotype" w:hAnsi="Palatino Linotype" w:cs="Palatino Linotype"/>
          <w:b/>
        </w:rPr>
        <w:t>la parte Recurrente</w:t>
      </w:r>
      <w:r w:rsidRPr="00D0172C">
        <w:rPr>
          <w:rFonts w:ascii="Palatino Linotype" w:eastAsia="Palatino Linotype" w:hAnsi="Palatino Linotype" w:cs="Palatino Linotype"/>
        </w:rPr>
        <w:t xml:space="preserve"> peticionó dicho directorio en el que se especifique el personal de confianza y el personal operativo, por lo tanto, de un análisis del documento remitido en informe justificado, no se advierte que se incluya al personal operativo o de confianza, es por ello que no se tiene por atendido el requerimiento de información de </w:t>
      </w:r>
      <w:r w:rsidRPr="00D0172C">
        <w:rPr>
          <w:rFonts w:ascii="Palatino Linotype" w:eastAsia="Palatino Linotype" w:hAnsi="Palatino Linotype" w:cs="Palatino Linotype"/>
          <w:b/>
        </w:rPr>
        <w:t>la parte Recurrente</w:t>
      </w:r>
      <w:r w:rsidRPr="00D0172C">
        <w:rPr>
          <w:rFonts w:ascii="Palatino Linotype" w:eastAsia="Palatino Linotype" w:hAnsi="Palatino Linotype" w:cs="Palatino Linotype"/>
        </w:rPr>
        <w:t>.</w:t>
      </w:r>
    </w:p>
    <w:p w14:paraId="64CE4547" w14:textId="77777777" w:rsidR="00926FC4" w:rsidRPr="00D0172C" w:rsidRDefault="00C47ACD">
      <w:pPr>
        <w:spacing w:before="240" w:after="240" w:line="360" w:lineRule="auto"/>
        <w:jc w:val="both"/>
        <w:rPr>
          <w:rFonts w:ascii="Palatino Linotype" w:eastAsia="Palatino Linotype" w:hAnsi="Palatino Linotype" w:cs="Palatino Linotype"/>
        </w:rPr>
      </w:pPr>
      <w:r w:rsidRPr="00D0172C">
        <w:rPr>
          <w:rFonts w:ascii="Palatino Linotype" w:eastAsia="Palatino Linotype" w:hAnsi="Palatino Linotype" w:cs="Palatino Linotype"/>
        </w:rPr>
        <w:t xml:space="preserve">En mérito de lo anterior, es de vital importancia señalar que los Sujetos Obligados tienen el deber de publicar la información en cumplimiento a lo dispuesto en el artículo 92 de la Ley de Transparencia Local y de conformidad con lo establecido en los Lineamientos Técnicos Generales para la Publicación, Homologación y Estandarización de la Información de las Obligaciones establecidas en el Título Quinto y en la Fracción IV del Artículo 31 de la Ley General de Transparencia y Acceso a la Información Pública, </w:t>
      </w:r>
      <w:r w:rsidRPr="00D0172C">
        <w:rPr>
          <w:rFonts w:ascii="Palatino Linotype" w:eastAsia="Palatino Linotype" w:hAnsi="Palatino Linotype" w:cs="Palatino Linotype"/>
        </w:rPr>
        <w:tab/>
        <w:t xml:space="preserve">que deben de difundir los Sujetos Obligados en los Portales de Internet y en la Plataforma Nacional de Transparencia, mismos que se insertan a continuación: </w:t>
      </w:r>
    </w:p>
    <w:p w14:paraId="5844A110" w14:textId="77777777" w:rsidR="00926FC4" w:rsidRPr="00D0172C" w:rsidRDefault="00926FC4">
      <w:pPr>
        <w:spacing w:line="360" w:lineRule="auto"/>
        <w:jc w:val="both"/>
        <w:rPr>
          <w:rFonts w:ascii="Palatino Linotype" w:eastAsia="Palatino Linotype" w:hAnsi="Palatino Linotype" w:cs="Palatino Linotype"/>
        </w:rPr>
      </w:pPr>
    </w:p>
    <w:p w14:paraId="5BE3CEB5" w14:textId="77777777" w:rsidR="00926FC4" w:rsidRPr="00D0172C" w:rsidRDefault="00926FC4">
      <w:pPr>
        <w:spacing w:line="360" w:lineRule="auto"/>
        <w:jc w:val="both"/>
        <w:rPr>
          <w:rFonts w:ascii="Palatino Linotype" w:eastAsia="Palatino Linotype" w:hAnsi="Palatino Linotype" w:cs="Palatino Linotype"/>
        </w:rPr>
      </w:pPr>
    </w:p>
    <w:p w14:paraId="4D7DE52C" w14:textId="77777777" w:rsidR="00926FC4" w:rsidRPr="00D0172C" w:rsidRDefault="00C47ACD">
      <w:pPr>
        <w:shd w:val="clear" w:color="auto" w:fill="FFFFFF"/>
        <w:spacing w:line="276" w:lineRule="auto"/>
        <w:ind w:left="993" w:right="1041"/>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b/>
          <w:i/>
          <w:sz w:val="22"/>
          <w:szCs w:val="22"/>
        </w:rPr>
        <w:t>“LEY DE TRANSPARENCIA Y ACCESO A LA INFORMACIÓN PÚBLICA DEL ESTADO DE MÉXICO Y MUNICIPIOS</w:t>
      </w:r>
      <w:r w:rsidRPr="00D0172C">
        <w:rPr>
          <w:rFonts w:ascii="Palatino Linotype" w:eastAsia="Palatino Linotype" w:hAnsi="Palatino Linotype" w:cs="Palatino Linotype"/>
          <w:i/>
          <w:sz w:val="22"/>
          <w:szCs w:val="22"/>
        </w:rPr>
        <w:t>.</w:t>
      </w:r>
    </w:p>
    <w:p w14:paraId="71CDA6A4" w14:textId="77777777" w:rsidR="00926FC4" w:rsidRPr="00D0172C" w:rsidRDefault="00926FC4">
      <w:pPr>
        <w:shd w:val="clear" w:color="auto" w:fill="FFFFFF"/>
        <w:spacing w:line="276" w:lineRule="auto"/>
        <w:ind w:left="993" w:right="1041"/>
        <w:jc w:val="both"/>
        <w:rPr>
          <w:rFonts w:ascii="Palatino Linotype" w:eastAsia="Palatino Linotype" w:hAnsi="Palatino Linotype" w:cs="Palatino Linotype"/>
          <w:i/>
          <w:sz w:val="22"/>
          <w:szCs w:val="22"/>
        </w:rPr>
      </w:pPr>
    </w:p>
    <w:p w14:paraId="797EE3BA" w14:textId="77777777" w:rsidR="00926FC4" w:rsidRPr="00D0172C" w:rsidRDefault="00C47ACD">
      <w:pPr>
        <w:shd w:val="clear" w:color="auto" w:fill="FFFFFF"/>
        <w:spacing w:line="276" w:lineRule="auto"/>
        <w:ind w:left="993" w:right="1041"/>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b/>
          <w:i/>
          <w:sz w:val="22"/>
          <w:szCs w:val="22"/>
        </w:rPr>
        <w:t>Artículo 92.</w:t>
      </w:r>
      <w:r w:rsidRPr="00D0172C">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3F3440B" w14:textId="77777777" w:rsidR="00926FC4" w:rsidRPr="00D0172C" w:rsidRDefault="00C47ACD">
      <w:pPr>
        <w:shd w:val="clear" w:color="auto" w:fill="FFFFFF"/>
        <w:spacing w:line="276" w:lineRule="auto"/>
        <w:ind w:left="993" w:right="1041"/>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i/>
          <w:sz w:val="22"/>
          <w:szCs w:val="22"/>
        </w:rPr>
        <w:t>(…)</w:t>
      </w:r>
    </w:p>
    <w:p w14:paraId="76861C01" w14:textId="77777777" w:rsidR="00926FC4" w:rsidRPr="00D0172C" w:rsidRDefault="00C47ACD">
      <w:pPr>
        <w:shd w:val="clear" w:color="auto" w:fill="FFFFFF"/>
        <w:spacing w:line="276" w:lineRule="auto"/>
        <w:ind w:left="993" w:right="1041"/>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i/>
          <w:sz w:val="22"/>
          <w:szCs w:val="22"/>
        </w:rPr>
        <w:t>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14:paraId="11ED538B" w14:textId="77777777" w:rsidR="00926FC4" w:rsidRPr="00D0172C" w:rsidRDefault="00926FC4">
      <w:pPr>
        <w:shd w:val="clear" w:color="auto" w:fill="FFFFFF"/>
        <w:spacing w:line="276" w:lineRule="auto"/>
        <w:ind w:left="993" w:right="1041"/>
        <w:jc w:val="both"/>
        <w:rPr>
          <w:rFonts w:ascii="Palatino Linotype" w:eastAsia="Palatino Linotype" w:hAnsi="Palatino Linotype" w:cs="Palatino Linotype"/>
          <w:i/>
          <w:sz w:val="22"/>
          <w:szCs w:val="22"/>
        </w:rPr>
      </w:pPr>
    </w:p>
    <w:p w14:paraId="58AAB4AA" w14:textId="77777777" w:rsidR="00926FC4" w:rsidRPr="00D0172C" w:rsidRDefault="00C47ACD">
      <w:pPr>
        <w:shd w:val="clear" w:color="auto" w:fill="FFFFFF"/>
        <w:spacing w:line="276" w:lineRule="auto"/>
        <w:ind w:left="993" w:right="1041"/>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b/>
          <w:i/>
          <w:sz w:val="22"/>
          <w:szCs w:val="22"/>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p w14:paraId="27E1CE4D" w14:textId="77777777" w:rsidR="00926FC4" w:rsidRPr="00D0172C" w:rsidRDefault="00926FC4">
      <w:pPr>
        <w:shd w:val="clear" w:color="auto" w:fill="FFFFFF"/>
        <w:spacing w:line="276" w:lineRule="auto"/>
        <w:ind w:left="993" w:right="1041"/>
        <w:jc w:val="both"/>
        <w:rPr>
          <w:rFonts w:ascii="Palatino Linotype" w:eastAsia="Palatino Linotype" w:hAnsi="Palatino Linotype" w:cs="Palatino Linotype"/>
          <w:i/>
          <w:sz w:val="22"/>
          <w:szCs w:val="22"/>
        </w:rPr>
      </w:pPr>
    </w:p>
    <w:p w14:paraId="1CB43312" w14:textId="77777777" w:rsidR="00926FC4" w:rsidRPr="00D0172C" w:rsidRDefault="00C47ACD">
      <w:pPr>
        <w:shd w:val="clear" w:color="auto" w:fill="FFFFFF"/>
        <w:spacing w:line="276" w:lineRule="auto"/>
        <w:ind w:left="993" w:right="1041"/>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i/>
          <w:sz w:val="22"/>
          <w:szCs w:val="22"/>
        </w:rPr>
        <w:t xml:space="preserve">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w:t>
      </w:r>
      <w:r w:rsidRPr="00D0172C">
        <w:rPr>
          <w:rFonts w:ascii="Palatino Linotype" w:eastAsia="Palatino Linotype" w:hAnsi="Palatino Linotype" w:cs="Palatino Linotype"/>
          <w:i/>
          <w:sz w:val="22"/>
          <w:szCs w:val="22"/>
        </w:rPr>
        <w:lastRenderedPageBreak/>
        <w:t>alta en el cargo, número telefónico, domicilio para recibir correspondencia y dirección de correo electrónico oficiales</w:t>
      </w:r>
    </w:p>
    <w:p w14:paraId="4817FDE0" w14:textId="77777777" w:rsidR="00926FC4" w:rsidRPr="00D0172C" w:rsidRDefault="00926FC4">
      <w:pPr>
        <w:shd w:val="clear" w:color="auto" w:fill="FFFFFF"/>
        <w:spacing w:line="276" w:lineRule="auto"/>
        <w:ind w:left="993" w:right="1041"/>
        <w:jc w:val="both"/>
        <w:rPr>
          <w:rFonts w:ascii="Palatino Linotype" w:eastAsia="Palatino Linotype" w:hAnsi="Palatino Linotype" w:cs="Palatino Linotype"/>
          <w:i/>
          <w:sz w:val="22"/>
          <w:szCs w:val="22"/>
        </w:rPr>
      </w:pPr>
    </w:p>
    <w:p w14:paraId="5B734706" w14:textId="77777777" w:rsidR="00926FC4" w:rsidRPr="00D0172C" w:rsidRDefault="00C47ACD">
      <w:pPr>
        <w:shd w:val="clear" w:color="auto" w:fill="FFFFFF"/>
        <w:spacing w:line="276" w:lineRule="auto"/>
        <w:ind w:left="993" w:right="1041"/>
        <w:jc w:val="both"/>
        <w:rPr>
          <w:rFonts w:ascii="Palatino Linotype" w:eastAsia="Palatino Linotype" w:hAnsi="Palatino Linotype" w:cs="Palatino Linotype"/>
          <w:b/>
          <w:i/>
          <w:sz w:val="22"/>
          <w:szCs w:val="22"/>
          <w:u w:val="single"/>
        </w:rPr>
      </w:pPr>
      <w:r w:rsidRPr="00D0172C">
        <w:rPr>
          <w:rFonts w:ascii="Palatino Linotype" w:eastAsia="Palatino Linotype" w:hAnsi="Palatino Linotype" w:cs="Palatino Linotype"/>
          <w:i/>
          <w:sz w:val="22"/>
          <w:szCs w:val="22"/>
        </w:rPr>
        <w:t>Para el cumplimiento de la presente fracción</w:t>
      </w:r>
      <w:r w:rsidRPr="00D0172C">
        <w:rPr>
          <w:rFonts w:ascii="Palatino Linotype" w:eastAsia="Palatino Linotype" w:hAnsi="Palatino Linotype" w:cs="Palatino Linotype"/>
          <w:b/>
          <w:i/>
          <w:sz w:val="22"/>
          <w:szCs w:val="22"/>
          <w:u w:val="single"/>
        </w:rPr>
        <w:t xml:space="preserve"> los sujetos obligados deberán integrar el directorio con los datos básicos </w:t>
      </w:r>
      <w:r w:rsidRPr="00D0172C">
        <w:rPr>
          <w:rFonts w:ascii="Palatino Linotype" w:eastAsia="Palatino Linotype" w:hAnsi="Palatino Linotype" w:cs="Palatino Linotype"/>
          <w:i/>
          <w:sz w:val="22"/>
          <w:szCs w:val="22"/>
        </w:rPr>
        <w:t xml:space="preserve">para establecer contacto con sus servidores(as) públicos(as), integrantes y/o miembros, así como </w:t>
      </w:r>
      <w:r w:rsidRPr="00D0172C">
        <w:rPr>
          <w:rFonts w:ascii="Palatino Linotype" w:eastAsia="Palatino Linotype" w:hAnsi="Palatino Linotype" w:cs="Palatino Linotype"/>
          <w:b/>
          <w:i/>
          <w:sz w:val="22"/>
          <w:szCs w:val="22"/>
          <w:u w:val="single"/>
        </w:rPr>
        <w:t xml:space="preserve">toda persona que desempeñe un empleo, cargo o comisión y/o ejerza actos de autoridad en los mismos. </w:t>
      </w:r>
    </w:p>
    <w:p w14:paraId="7078AA69" w14:textId="77777777" w:rsidR="00926FC4" w:rsidRPr="00D0172C" w:rsidRDefault="00926FC4">
      <w:pPr>
        <w:shd w:val="clear" w:color="auto" w:fill="FFFFFF"/>
        <w:spacing w:line="276" w:lineRule="auto"/>
        <w:ind w:left="993" w:right="1041"/>
        <w:jc w:val="both"/>
        <w:rPr>
          <w:rFonts w:ascii="Palatino Linotype" w:eastAsia="Palatino Linotype" w:hAnsi="Palatino Linotype" w:cs="Palatino Linotype"/>
          <w:i/>
          <w:sz w:val="22"/>
          <w:szCs w:val="22"/>
        </w:rPr>
      </w:pPr>
    </w:p>
    <w:p w14:paraId="602E7A4D" w14:textId="77777777" w:rsidR="00926FC4" w:rsidRPr="00D0172C" w:rsidRDefault="00C47ACD">
      <w:pPr>
        <w:shd w:val="clear" w:color="auto" w:fill="FFFFFF"/>
        <w:spacing w:line="276" w:lineRule="auto"/>
        <w:ind w:left="993" w:right="1041"/>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i/>
          <w:sz w:val="22"/>
          <w:szCs w:val="22"/>
        </w:rPr>
        <w:t>Se publicará la información correspondiente desde el nivel de jefe de departamento o equivalente, hasta el titular del sujeto obligado; y de menor nivel en caso de que brinden atención al público, manejen o apliquen recursos públicos, realicen actos de autoridad o presten servicios profesionales bajo el régimen de honorarios, confianza y personal de base.</w:t>
      </w:r>
    </w:p>
    <w:p w14:paraId="7216B50F" w14:textId="77777777" w:rsidR="00926FC4" w:rsidRPr="00D0172C" w:rsidRDefault="00926FC4">
      <w:pPr>
        <w:shd w:val="clear" w:color="auto" w:fill="FFFFFF"/>
        <w:spacing w:line="276" w:lineRule="auto"/>
        <w:ind w:left="993" w:right="1041"/>
        <w:jc w:val="both"/>
        <w:rPr>
          <w:rFonts w:ascii="Palatino Linotype" w:eastAsia="Palatino Linotype" w:hAnsi="Palatino Linotype" w:cs="Palatino Linotype"/>
          <w:i/>
          <w:sz w:val="22"/>
          <w:szCs w:val="22"/>
        </w:rPr>
      </w:pPr>
    </w:p>
    <w:p w14:paraId="6C2CFF86" w14:textId="77777777" w:rsidR="00926FC4" w:rsidRPr="00D0172C" w:rsidRDefault="00926FC4">
      <w:pPr>
        <w:shd w:val="clear" w:color="auto" w:fill="FFFFFF"/>
        <w:spacing w:line="276" w:lineRule="auto"/>
        <w:ind w:left="993" w:right="1041"/>
        <w:jc w:val="both"/>
        <w:rPr>
          <w:rFonts w:ascii="Palatino Linotype" w:eastAsia="Palatino Linotype" w:hAnsi="Palatino Linotype" w:cs="Palatino Linotype"/>
          <w:i/>
          <w:sz w:val="22"/>
          <w:szCs w:val="22"/>
        </w:rPr>
      </w:pPr>
    </w:p>
    <w:p w14:paraId="1553BA48" w14:textId="77777777" w:rsidR="00926FC4" w:rsidRPr="00D0172C" w:rsidRDefault="00C47ACD">
      <w:pPr>
        <w:spacing w:line="360" w:lineRule="auto"/>
        <w:jc w:val="both"/>
        <w:rPr>
          <w:rFonts w:ascii="Palatino Linotype" w:eastAsia="Palatino Linotype" w:hAnsi="Palatino Linotype" w:cs="Palatino Linotype"/>
        </w:rPr>
      </w:pPr>
      <w:r w:rsidRPr="00D0172C">
        <w:rPr>
          <w:rFonts w:ascii="Palatino Linotype" w:eastAsia="Palatino Linotype" w:hAnsi="Palatino Linotype" w:cs="Palatino Linotype"/>
          <w:noProof/>
          <w:lang w:val="es-MX"/>
        </w:rPr>
        <w:lastRenderedPageBreak/>
        <w:drawing>
          <wp:inline distT="0" distB="0" distL="0" distR="0" wp14:anchorId="10221175" wp14:editId="0604823C">
            <wp:extent cx="5614670" cy="5932170"/>
            <wp:effectExtent l="0" t="0" r="0" b="0"/>
            <wp:docPr id="7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614670" cy="5932170"/>
                    </a:xfrm>
                    <a:prstGeom prst="rect">
                      <a:avLst/>
                    </a:prstGeom>
                    <a:ln/>
                  </pic:spPr>
                </pic:pic>
              </a:graphicData>
            </a:graphic>
          </wp:inline>
        </w:drawing>
      </w:r>
    </w:p>
    <w:p w14:paraId="481E26B6" w14:textId="77777777" w:rsidR="00926FC4" w:rsidRPr="00D0172C" w:rsidRDefault="00C47ACD">
      <w:pPr>
        <w:spacing w:line="360" w:lineRule="auto"/>
        <w:jc w:val="center"/>
        <w:rPr>
          <w:rFonts w:ascii="Palatino Linotype" w:eastAsia="Palatino Linotype" w:hAnsi="Palatino Linotype" w:cs="Palatino Linotype"/>
        </w:rPr>
      </w:pPr>
      <w:r w:rsidRPr="00D0172C">
        <w:rPr>
          <w:rFonts w:ascii="Palatino Linotype" w:eastAsia="Palatino Linotype" w:hAnsi="Palatino Linotype" w:cs="Palatino Linotype"/>
          <w:noProof/>
          <w:lang w:val="es-MX"/>
        </w:rPr>
        <w:lastRenderedPageBreak/>
        <w:drawing>
          <wp:inline distT="0" distB="0" distL="0" distR="0" wp14:anchorId="7604EB45" wp14:editId="35C2AE1A">
            <wp:extent cx="5612130" cy="5594350"/>
            <wp:effectExtent l="0" t="0" r="0" b="0"/>
            <wp:docPr id="6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612130" cy="5594350"/>
                    </a:xfrm>
                    <a:prstGeom prst="rect">
                      <a:avLst/>
                    </a:prstGeom>
                    <a:ln/>
                  </pic:spPr>
                </pic:pic>
              </a:graphicData>
            </a:graphic>
          </wp:inline>
        </w:drawing>
      </w:r>
    </w:p>
    <w:p w14:paraId="47BFE3B1" w14:textId="77777777" w:rsidR="00926FC4" w:rsidRPr="00D0172C" w:rsidRDefault="00926FC4">
      <w:pPr>
        <w:spacing w:line="360" w:lineRule="auto"/>
        <w:jc w:val="both"/>
        <w:rPr>
          <w:rFonts w:ascii="Palatino Linotype" w:eastAsia="Palatino Linotype" w:hAnsi="Palatino Linotype" w:cs="Palatino Linotype"/>
        </w:rPr>
      </w:pPr>
    </w:p>
    <w:p w14:paraId="278ED365" w14:textId="77777777" w:rsidR="00926FC4" w:rsidRPr="00D0172C" w:rsidRDefault="00C47ACD">
      <w:pPr>
        <w:spacing w:line="360" w:lineRule="auto"/>
        <w:jc w:val="both"/>
        <w:rPr>
          <w:rFonts w:ascii="Palatino Linotype" w:eastAsia="Palatino Linotype" w:hAnsi="Palatino Linotype" w:cs="Palatino Linotype"/>
        </w:rPr>
      </w:pPr>
      <w:r w:rsidRPr="00D0172C">
        <w:rPr>
          <w:rFonts w:ascii="Palatino Linotype" w:eastAsia="Palatino Linotype" w:hAnsi="Palatino Linotype" w:cs="Palatino Linotype"/>
        </w:rPr>
        <w:t xml:space="preserve">En este sentido, de los ordenamientos en cita se desprende que el Directorio no contempla únicamente a titulares de las áreas, subdirectores o jefes de departamento, sino que establece que se deberán registrar los servidores públicos que se encuentren en los siguientes supuestos: </w:t>
      </w:r>
    </w:p>
    <w:p w14:paraId="2D509838" w14:textId="77777777" w:rsidR="00926FC4" w:rsidRPr="00D0172C" w:rsidRDefault="00C47ACD">
      <w:pPr>
        <w:numPr>
          <w:ilvl w:val="0"/>
          <w:numId w:val="6"/>
        </w:numPr>
        <w:spacing w:line="360" w:lineRule="auto"/>
        <w:jc w:val="both"/>
        <w:rPr>
          <w:rFonts w:ascii="Palatino Linotype" w:eastAsia="Palatino Linotype" w:hAnsi="Palatino Linotype" w:cs="Palatino Linotype"/>
        </w:rPr>
      </w:pPr>
      <w:r w:rsidRPr="00D0172C">
        <w:rPr>
          <w:rFonts w:ascii="Palatino Linotype" w:eastAsia="Palatino Linotype" w:hAnsi="Palatino Linotype" w:cs="Palatino Linotype"/>
        </w:rPr>
        <w:lastRenderedPageBreak/>
        <w:t xml:space="preserve">Cuando brinden atención al público; </w:t>
      </w:r>
    </w:p>
    <w:p w14:paraId="07EC5D9C" w14:textId="77777777" w:rsidR="00926FC4" w:rsidRPr="00D0172C" w:rsidRDefault="00C47ACD">
      <w:pPr>
        <w:numPr>
          <w:ilvl w:val="0"/>
          <w:numId w:val="6"/>
        </w:numPr>
        <w:spacing w:line="360" w:lineRule="auto"/>
        <w:jc w:val="both"/>
        <w:rPr>
          <w:rFonts w:ascii="Palatino Linotype" w:eastAsia="Palatino Linotype" w:hAnsi="Palatino Linotype" w:cs="Palatino Linotype"/>
        </w:rPr>
      </w:pPr>
      <w:r w:rsidRPr="00D0172C">
        <w:rPr>
          <w:rFonts w:ascii="Palatino Linotype" w:eastAsia="Palatino Linotype" w:hAnsi="Palatino Linotype" w:cs="Palatino Linotype"/>
        </w:rPr>
        <w:t xml:space="preserve">Manejen o apliquen recursos públicos; </w:t>
      </w:r>
    </w:p>
    <w:p w14:paraId="11CFE52B" w14:textId="77777777" w:rsidR="00926FC4" w:rsidRPr="00D0172C" w:rsidRDefault="00C47ACD">
      <w:pPr>
        <w:numPr>
          <w:ilvl w:val="0"/>
          <w:numId w:val="6"/>
        </w:numPr>
        <w:spacing w:line="360" w:lineRule="auto"/>
        <w:jc w:val="both"/>
        <w:rPr>
          <w:rFonts w:ascii="Palatino Linotype" w:eastAsia="Palatino Linotype" w:hAnsi="Palatino Linotype" w:cs="Palatino Linotype"/>
        </w:rPr>
      </w:pPr>
      <w:r w:rsidRPr="00D0172C">
        <w:rPr>
          <w:rFonts w:ascii="Palatino Linotype" w:eastAsia="Palatino Linotype" w:hAnsi="Palatino Linotype" w:cs="Palatino Linotype"/>
        </w:rPr>
        <w:t xml:space="preserve">Realicen actos de autoridad; o, </w:t>
      </w:r>
    </w:p>
    <w:p w14:paraId="6F975EA3" w14:textId="77777777" w:rsidR="00926FC4" w:rsidRPr="00D0172C" w:rsidRDefault="00C47ACD">
      <w:pPr>
        <w:numPr>
          <w:ilvl w:val="0"/>
          <w:numId w:val="6"/>
        </w:numPr>
        <w:spacing w:line="360" w:lineRule="auto"/>
        <w:jc w:val="both"/>
        <w:rPr>
          <w:rFonts w:ascii="Palatino Linotype" w:eastAsia="Palatino Linotype" w:hAnsi="Palatino Linotype" w:cs="Palatino Linotype"/>
        </w:rPr>
      </w:pPr>
      <w:r w:rsidRPr="00D0172C">
        <w:rPr>
          <w:rFonts w:ascii="Palatino Linotype" w:eastAsia="Palatino Linotype" w:hAnsi="Palatino Linotype" w:cs="Palatino Linotype"/>
        </w:rPr>
        <w:t xml:space="preserve">Presten servicios profesionales bajo el régimen de confianza u honorarios y personal de base. </w:t>
      </w:r>
    </w:p>
    <w:p w14:paraId="1D168003" w14:textId="77777777" w:rsidR="00926FC4" w:rsidRPr="00D0172C" w:rsidRDefault="00926FC4">
      <w:pPr>
        <w:spacing w:line="360" w:lineRule="auto"/>
        <w:jc w:val="both"/>
        <w:rPr>
          <w:rFonts w:ascii="Palatino Linotype" w:eastAsia="Palatino Linotype" w:hAnsi="Palatino Linotype" w:cs="Palatino Linotype"/>
        </w:rPr>
      </w:pPr>
    </w:p>
    <w:p w14:paraId="0339C30B" w14:textId="77777777" w:rsidR="00926FC4" w:rsidRPr="00D0172C" w:rsidRDefault="00C47ACD">
      <w:pPr>
        <w:spacing w:line="360" w:lineRule="auto"/>
        <w:jc w:val="both"/>
        <w:rPr>
          <w:rFonts w:ascii="Palatino Linotype" w:eastAsia="Palatino Linotype" w:hAnsi="Palatino Linotype" w:cs="Palatino Linotype"/>
        </w:rPr>
      </w:pPr>
      <w:r w:rsidRPr="00D0172C">
        <w:rPr>
          <w:rFonts w:ascii="Palatino Linotype" w:eastAsia="Palatino Linotype" w:hAnsi="Palatino Linotype" w:cs="Palatino Linotype"/>
        </w:rPr>
        <w:t xml:space="preserve">Por lo que, de los servidores públicos que se encuentren en alguno de estos supuestos, se deberán registrar en el en el </w:t>
      </w:r>
      <w:proofErr w:type="gramStart"/>
      <w:r w:rsidRPr="00D0172C">
        <w:rPr>
          <w:rFonts w:ascii="Palatino Linotype" w:eastAsia="Palatino Linotype" w:hAnsi="Palatino Linotype" w:cs="Palatino Linotype"/>
        </w:rPr>
        <w:t>directorio,  al</w:t>
      </w:r>
      <w:proofErr w:type="gramEnd"/>
      <w:r w:rsidRPr="00D0172C">
        <w:rPr>
          <w:rFonts w:ascii="Palatino Linotype" w:eastAsia="Palatino Linotype" w:hAnsi="Palatino Linotype" w:cs="Palatino Linotype"/>
        </w:rPr>
        <w:t xml:space="preserve"> menos el nombre, cargo o nombramiento asignado, nivel del puesto en la estructura orgánica, fecha de alta en el cargo, número telefónico, domicilio para recibir correspondencia y dirección de correo electrónico oficiales. </w:t>
      </w:r>
    </w:p>
    <w:p w14:paraId="59FC2934" w14:textId="77777777" w:rsidR="00926FC4" w:rsidRPr="00D0172C" w:rsidRDefault="00926FC4">
      <w:pPr>
        <w:spacing w:line="360" w:lineRule="auto"/>
        <w:jc w:val="both"/>
        <w:rPr>
          <w:rFonts w:ascii="Palatino Linotype" w:eastAsia="Palatino Linotype" w:hAnsi="Palatino Linotype" w:cs="Palatino Linotype"/>
        </w:rPr>
      </w:pPr>
    </w:p>
    <w:p w14:paraId="39C5902D" w14:textId="77777777" w:rsidR="00926FC4" w:rsidRPr="00D0172C" w:rsidRDefault="00C47ACD">
      <w:pPr>
        <w:spacing w:line="360" w:lineRule="auto"/>
        <w:jc w:val="both"/>
        <w:rPr>
          <w:rFonts w:ascii="Palatino Linotype" w:eastAsia="Palatino Linotype" w:hAnsi="Palatino Linotype" w:cs="Palatino Linotype"/>
        </w:rPr>
      </w:pPr>
      <w:r w:rsidRPr="00D0172C">
        <w:rPr>
          <w:rFonts w:ascii="Palatino Linotype" w:eastAsia="Palatino Linotype" w:hAnsi="Palatino Linotype" w:cs="Palatino Linotype"/>
        </w:rPr>
        <w:t xml:space="preserve">Por consiguiente, de las consideraciones antes señaladas se colige, que en el Directorio de servidores públicos no basta que, únicamente se registren los servidores públicos con cargos de mandos medios y </w:t>
      </w:r>
      <w:proofErr w:type="gramStart"/>
      <w:r w:rsidRPr="00D0172C">
        <w:rPr>
          <w:rFonts w:ascii="Palatino Linotype" w:eastAsia="Palatino Linotype" w:hAnsi="Palatino Linotype" w:cs="Palatino Linotype"/>
        </w:rPr>
        <w:t>superiores</w:t>
      </w:r>
      <w:proofErr w:type="gramEnd"/>
      <w:r w:rsidRPr="00D0172C">
        <w:rPr>
          <w:rFonts w:ascii="Palatino Linotype" w:eastAsia="Palatino Linotype" w:hAnsi="Palatino Linotype" w:cs="Palatino Linotype"/>
        </w:rPr>
        <w:t xml:space="preserve"> sino que se deben contemplar los datos mínimos requeridos por la Ley, del personal adscrito al Sujeto Obligado que se encuentre dentro de los supuestos previamente descritos y establecidos. </w:t>
      </w:r>
    </w:p>
    <w:p w14:paraId="6B38E87C" w14:textId="77777777" w:rsidR="00926FC4" w:rsidRPr="00D0172C" w:rsidRDefault="00926FC4">
      <w:pPr>
        <w:tabs>
          <w:tab w:val="left" w:pos="8222"/>
        </w:tabs>
        <w:spacing w:line="360" w:lineRule="auto"/>
        <w:ind w:right="-28"/>
        <w:jc w:val="both"/>
        <w:rPr>
          <w:rFonts w:ascii="Palatino Linotype" w:eastAsia="Palatino Linotype" w:hAnsi="Palatino Linotype" w:cs="Palatino Linotype"/>
        </w:rPr>
      </w:pPr>
    </w:p>
    <w:p w14:paraId="013BCA99" w14:textId="77777777" w:rsidR="00926FC4" w:rsidRPr="00D0172C" w:rsidRDefault="00C47ACD">
      <w:pPr>
        <w:tabs>
          <w:tab w:val="left" w:pos="8222"/>
        </w:tabs>
        <w:spacing w:line="360" w:lineRule="auto"/>
        <w:ind w:right="-28"/>
        <w:jc w:val="both"/>
        <w:rPr>
          <w:rFonts w:ascii="Palatino Linotype" w:eastAsia="Palatino Linotype" w:hAnsi="Palatino Linotype" w:cs="Palatino Linotype"/>
        </w:rPr>
      </w:pPr>
      <w:r w:rsidRPr="00D0172C">
        <w:rPr>
          <w:rFonts w:ascii="Palatino Linotype" w:eastAsia="Palatino Linotype" w:hAnsi="Palatino Linotype" w:cs="Palatino Linotype"/>
        </w:rPr>
        <w:t xml:space="preserve">De tal manera que, al advertirse que el directorio enviado por el </w:t>
      </w:r>
      <w:r w:rsidRPr="00D0172C">
        <w:rPr>
          <w:rFonts w:ascii="Palatino Linotype" w:eastAsia="Palatino Linotype" w:hAnsi="Palatino Linotype" w:cs="Palatino Linotype"/>
          <w:b/>
        </w:rPr>
        <w:t>Sujeto Obligado</w:t>
      </w:r>
      <w:r w:rsidRPr="00D0172C">
        <w:rPr>
          <w:rFonts w:ascii="Palatino Linotype" w:eastAsia="Palatino Linotype" w:hAnsi="Palatino Linotype" w:cs="Palatino Linotype"/>
        </w:rPr>
        <w:t xml:space="preserve"> mediante informe justificado se encuentra incompleto pues no da cuenta de todo el personal con el que cuenta el Tribunal Estatal de Conciliación y Arbitraje, es que se determina que las razones o motivos de inconformidad hechos valer por </w:t>
      </w:r>
      <w:r w:rsidRPr="00D0172C">
        <w:rPr>
          <w:rFonts w:ascii="Palatino Linotype" w:eastAsia="Palatino Linotype" w:hAnsi="Palatino Linotype" w:cs="Palatino Linotype"/>
          <w:b/>
        </w:rPr>
        <w:t>la</w:t>
      </w:r>
      <w:r w:rsidRPr="00D0172C">
        <w:rPr>
          <w:rFonts w:ascii="Palatino Linotype" w:eastAsia="Palatino Linotype" w:hAnsi="Palatino Linotype" w:cs="Palatino Linotype"/>
        </w:rPr>
        <w:t xml:space="preserve"> parte </w:t>
      </w:r>
      <w:r w:rsidRPr="00D0172C">
        <w:rPr>
          <w:rFonts w:ascii="Palatino Linotype" w:eastAsia="Palatino Linotype" w:hAnsi="Palatino Linotype" w:cs="Palatino Linotype"/>
          <w:b/>
        </w:rPr>
        <w:t>Recurrente</w:t>
      </w:r>
      <w:r w:rsidRPr="00D0172C">
        <w:rPr>
          <w:rFonts w:ascii="Palatino Linotype" w:eastAsia="Palatino Linotype" w:hAnsi="Palatino Linotype" w:cs="Palatino Linotype"/>
        </w:rPr>
        <w:t xml:space="preserve"> se estiman fundados; por lo que, lo procedente es </w:t>
      </w:r>
      <w:r w:rsidRPr="00D0172C">
        <w:rPr>
          <w:rFonts w:ascii="Palatino Linotype" w:eastAsia="Palatino Linotype" w:hAnsi="Palatino Linotype" w:cs="Palatino Linotype"/>
          <w:b/>
        </w:rPr>
        <w:t>MODIFICAR</w:t>
      </w:r>
      <w:r w:rsidRPr="00D0172C">
        <w:rPr>
          <w:rFonts w:ascii="Palatino Linotype" w:eastAsia="Palatino Linotype" w:hAnsi="Palatino Linotype" w:cs="Palatino Linotype"/>
        </w:rPr>
        <w:t xml:space="preserve"> la </w:t>
      </w:r>
      <w:r w:rsidRPr="00D0172C">
        <w:rPr>
          <w:rFonts w:ascii="Palatino Linotype" w:eastAsia="Palatino Linotype" w:hAnsi="Palatino Linotype" w:cs="Palatino Linotype"/>
        </w:rPr>
        <w:lastRenderedPageBreak/>
        <w:t xml:space="preserve">respuesta del </w:t>
      </w:r>
      <w:r w:rsidRPr="00D0172C">
        <w:rPr>
          <w:rFonts w:ascii="Palatino Linotype" w:eastAsia="Palatino Linotype" w:hAnsi="Palatino Linotype" w:cs="Palatino Linotype"/>
          <w:b/>
        </w:rPr>
        <w:t xml:space="preserve">Sujeto Obligado y ordenar la entrega </w:t>
      </w:r>
      <w:r w:rsidRPr="00D0172C">
        <w:rPr>
          <w:rFonts w:ascii="Palatino Linotype" w:eastAsia="Palatino Linotype" w:hAnsi="Palatino Linotype" w:cs="Palatino Linotype"/>
        </w:rPr>
        <w:t>del directorio del Tribunal Estatal de Conciliación y Arbitraje, actualizado al veintiocho de septiembre de dos mil veintitrés, ello en versión pública conforme al considerando siguiente.</w:t>
      </w:r>
    </w:p>
    <w:p w14:paraId="6DD7F245" w14:textId="77777777" w:rsidR="00926FC4" w:rsidRPr="00D0172C" w:rsidRDefault="00926FC4">
      <w:pPr>
        <w:spacing w:line="360" w:lineRule="auto"/>
        <w:jc w:val="both"/>
        <w:rPr>
          <w:rFonts w:ascii="Palatino Linotype" w:eastAsia="Palatino Linotype" w:hAnsi="Palatino Linotype" w:cs="Palatino Linotype"/>
          <w:b/>
        </w:rPr>
      </w:pPr>
    </w:p>
    <w:p w14:paraId="10764518" w14:textId="77777777" w:rsidR="00926FC4" w:rsidRPr="00D0172C" w:rsidRDefault="00C47ACD">
      <w:pPr>
        <w:spacing w:line="360" w:lineRule="auto"/>
        <w:jc w:val="both"/>
        <w:rPr>
          <w:rFonts w:ascii="Palatino Linotype" w:eastAsia="Palatino Linotype" w:hAnsi="Palatino Linotype" w:cs="Palatino Linotype"/>
        </w:rPr>
      </w:pPr>
      <w:r w:rsidRPr="00D0172C">
        <w:rPr>
          <w:rFonts w:ascii="Palatino Linotype" w:eastAsia="Palatino Linotype" w:hAnsi="Palatino Linotype" w:cs="Palatino Linotype"/>
          <w:b/>
        </w:rPr>
        <w:t xml:space="preserve">Quinto. Versión Pública. </w:t>
      </w:r>
      <w:r w:rsidRPr="00D0172C">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D0172C">
        <w:rPr>
          <w:rFonts w:ascii="Palatino Linotype" w:eastAsia="Palatino Linotype" w:hAnsi="Palatino Linotype" w:cs="Palatino Linotype"/>
          <w:b/>
        </w:rPr>
        <w:t>Sujeto Obligado</w:t>
      </w:r>
      <w:r w:rsidRPr="00D0172C">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24456AAF" w14:textId="77777777" w:rsidR="00926FC4" w:rsidRPr="00D0172C" w:rsidRDefault="00C47ACD">
      <w:pPr>
        <w:spacing w:before="240" w:after="240" w:line="360" w:lineRule="auto"/>
        <w:ind w:right="50"/>
        <w:jc w:val="both"/>
        <w:rPr>
          <w:rFonts w:ascii="Palatino Linotype" w:eastAsia="Palatino Linotype" w:hAnsi="Palatino Linotype" w:cs="Palatino Linotype"/>
        </w:rPr>
      </w:pPr>
      <w:r w:rsidRPr="00D0172C">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161A818F" w14:textId="77777777" w:rsidR="00926FC4" w:rsidRPr="00D0172C" w:rsidRDefault="00C47ACD">
      <w:pPr>
        <w:spacing w:before="120" w:after="120"/>
        <w:ind w:left="567" w:right="902"/>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i/>
          <w:sz w:val="22"/>
          <w:szCs w:val="22"/>
        </w:rPr>
        <w:t>“</w:t>
      </w:r>
      <w:r w:rsidRPr="00D0172C">
        <w:rPr>
          <w:rFonts w:ascii="Palatino Linotype" w:eastAsia="Palatino Linotype" w:hAnsi="Palatino Linotype" w:cs="Palatino Linotype"/>
          <w:b/>
          <w:i/>
          <w:sz w:val="22"/>
          <w:szCs w:val="22"/>
        </w:rPr>
        <w:t>Artículo 3</w:t>
      </w:r>
      <w:r w:rsidRPr="00D0172C">
        <w:rPr>
          <w:rFonts w:ascii="Palatino Linotype" w:eastAsia="Palatino Linotype" w:hAnsi="Palatino Linotype" w:cs="Palatino Linotype"/>
          <w:i/>
          <w:sz w:val="22"/>
          <w:szCs w:val="22"/>
        </w:rPr>
        <w:t>. Para los efectos de la presente Ley se entenderá por:</w:t>
      </w:r>
    </w:p>
    <w:p w14:paraId="11E91774" w14:textId="77777777" w:rsidR="00926FC4" w:rsidRPr="00D0172C" w:rsidRDefault="00C47ACD">
      <w:pPr>
        <w:spacing w:before="120" w:after="120"/>
        <w:ind w:left="567" w:right="902"/>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i/>
          <w:sz w:val="22"/>
          <w:szCs w:val="22"/>
        </w:rPr>
        <w:t>[…]</w:t>
      </w:r>
    </w:p>
    <w:p w14:paraId="36358213" w14:textId="77777777" w:rsidR="00926FC4" w:rsidRPr="00D0172C" w:rsidRDefault="00C47ACD">
      <w:pPr>
        <w:spacing w:before="120" w:after="120"/>
        <w:ind w:left="567" w:right="902"/>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b/>
          <w:i/>
          <w:sz w:val="22"/>
          <w:szCs w:val="22"/>
        </w:rPr>
        <w:t>IX. Datos personales:</w:t>
      </w:r>
      <w:r w:rsidRPr="00D0172C">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3DCBF0F0" w14:textId="77777777" w:rsidR="00926FC4" w:rsidRPr="00D0172C" w:rsidRDefault="00C47ACD">
      <w:pPr>
        <w:spacing w:before="120" w:after="120"/>
        <w:ind w:left="567" w:right="902"/>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b/>
          <w:i/>
          <w:sz w:val="22"/>
          <w:szCs w:val="22"/>
        </w:rPr>
        <w:t>XX. Información clasificada</w:t>
      </w:r>
      <w:r w:rsidRPr="00D0172C">
        <w:rPr>
          <w:rFonts w:ascii="Palatino Linotype" w:eastAsia="Palatino Linotype" w:hAnsi="Palatino Linotype" w:cs="Palatino Linotype"/>
          <w:i/>
          <w:sz w:val="22"/>
          <w:szCs w:val="22"/>
        </w:rPr>
        <w:t>: Aquella considerada por la presente Ley como reservada o confidencial;</w:t>
      </w:r>
    </w:p>
    <w:p w14:paraId="53E6FF74" w14:textId="77777777" w:rsidR="00926FC4" w:rsidRPr="00D0172C" w:rsidRDefault="00C47ACD">
      <w:pPr>
        <w:spacing w:before="120" w:after="120"/>
        <w:ind w:left="567" w:right="902"/>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b/>
          <w:i/>
          <w:sz w:val="22"/>
          <w:szCs w:val="22"/>
        </w:rPr>
        <w:lastRenderedPageBreak/>
        <w:t>XXI. Información confidencial:</w:t>
      </w:r>
      <w:r w:rsidRPr="00D0172C">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FE2DDEE" w14:textId="77777777" w:rsidR="00926FC4" w:rsidRPr="00D0172C" w:rsidRDefault="00C47ACD">
      <w:pPr>
        <w:spacing w:before="120" w:after="120"/>
        <w:ind w:left="567" w:right="902"/>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b/>
          <w:i/>
          <w:sz w:val="22"/>
          <w:szCs w:val="22"/>
        </w:rPr>
        <w:t>XLV. Versión pública:</w:t>
      </w:r>
      <w:r w:rsidRPr="00D0172C">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1D68D6AB" w14:textId="77777777" w:rsidR="00926FC4" w:rsidRPr="00D0172C" w:rsidRDefault="00C47ACD">
      <w:pPr>
        <w:spacing w:before="120" w:after="120"/>
        <w:ind w:left="567" w:right="902"/>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i/>
          <w:sz w:val="22"/>
          <w:szCs w:val="22"/>
        </w:rPr>
        <w:t>[…]</w:t>
      </w:r>
    </w:p>
    <w:p w14:paraId="5A00247A" w14:textId="77777777" w:rsidR="00926FC4" w:rsidRPr="00D0172C" w:rsidRDefault="00C47ACD">
      <w:pPr>
        <w:spacing w:before="120" w:after="120"/>
        <w:ind w:left="567" w:right="902"/>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b/>
          <w:i/>
          <w:sz w:val="22"/>
          <w:szCs w:val="22"/>
        </w:rPr>
        <w:t xml:space="preserve">Artículo 91. </w:t>
      </w:r>
      <w:r w:rsidRPr="00D0172C">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52844BAA" w14:textId="77777777" w:rsidR="00926FC4" w:rsidRPr="00D0172C" w:rsidRDefault="00C47ACD">
      <w:pPr>
        <w:spacing w:before="120" w:after="120"/>
        <w:ind w:left="567" w:right="902"/>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b/>
          <w:i/>
          <w:sz w:val="22"/>
          <w:szCs w:val="22"/>
        </w:rPr>
        <w:t xml:space="preserve">Artículo 132. </w:t>
      </w:r>
      <w:r w:rsidRPr="00D0172C">
        <w:rPr>
          <w:rFonts w:ascii="Palatino Linotype" w:eastAsia="Palatino Linotype" w:hAnsi="Palatino Linotype" w:cs="Palatino Linotype"/>
          <w:i/>
          <w:sz w:val="22"/>
          <w:szCs w:val="22"/>
        </w:rPr>
        <w:t>La clasificación de la información se llevará a cabo en el momento en que:</w:t>
      </w:r>
    </w:p>
    <w:p w14:paraId="38578F73" w14:textId="77777777" w:rsidR="00926FC4" w:rsidRPr="00D0172C" w:rsidRDefault="00C47ACD">
      <w:pPr>
        <w:spacing w:before="120" w:after="120"/>
        <w:ind w:left="567" w:right="902"/>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b/>
          <w:i/>
          <w:sz w:val="22"/>
          <w:szCs w:val="22"/>
        </w:rPr>
        <w:t>I</w:t>
      </w:r>
      <w:r w:rsidRPr="00D0172C">
        <w:rPr>
          <w:rFonts w:ascii="Palatino Linotype" w:eastAsia="Palatino Linotype" w:hAnsi="Palatino Linotype" w:cs="Palatino Linotype"/>
          <w:i/>
          <w:sz w:val="22"/>
          <w:szCs w:val="22"/>
        </w:rPr>
        <w:t>. Se reciba una solicitud de acceso a la información;</w:t>
      </w:r>
    </w:p>
    <w:p w14:paraId="12270EB0" w14:textId="77777777" w:rsidR="00926FC4" w:rsidRPr="00D0172C" w:rsidRDefault="00C47ACD">
      <w:pPr>
        <w:spacing w:before="120" w:after="120"/>
        <w:ind w:left="567" w:right="902"/>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b/>
          <w:i/>
          <w:sz w:val="22"/>
          <w:szCs w:val="22"/>
        </w:rPr>
        <w:t>II</w:t>
      </w:r>
      <w:r w:rsidRPr="00D0172C">
        <w:rPr>
          <w:rFonts w:ascii="Palatino Linotype" w:eastAsia="Palatino Linotype" w:hAnsi="Palatino Linotype" w:cs="Palatino Linotype"/>
          <w:i/>
          <w:sz w:val="22"/>
          <w:szCs w:val="22"/>
        </w:rPr>
        <w:t>. Se determine mediante resolución de autoridad competente; o</w:t>
      </w:r>
    </w:p>
    <w:p w14:paraId="7F6B3C97" w14:textId="77777777" w:rsidR="00926FC4" w:rsidRPr="00D0172C" w:rsidRDefault="00C47ACD">
      <w:pPr>
        <w:spacing w:before="120" w:after="120"/>
        <w:ind w:left="567" w:right="902"/>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b/>
          <w:i/>
          <w:sz w:val="22"/>
          <w:szCs w:val="22"/>
        </w:rPr>
        <w:t>III</w:t>
      </w:r>
      <w:r w:rsidRPr="00D0172C">
        <w:rPr>
          <w:rFonts w:ascii="Palatino Linotype" w:eastAsia="Palatino Linotype" w:hAnsi="Palatino Linotype" w:cs="Palatino Linotype"/>
          <w:i/>
          <w:sz w:val="22"/>
          <w:szCs w:val="22"/>
        </w:rPr>
        <w:t>. Se generen versiones públicas para dar cumplimiento a las obligaciones de transparencia previstas en esta Ley.</w:t>
      </w:r>
    </w:p>
    <w:p w14:paraId="50007812" w14:textId="77777777" w:rsidR="00926FC4" w:rsidRPr="00D0172C" w:rsidRDefault="00C47ACD">
      <w:pPr>
        <w:spacing w:before="120" w:after="120"/>
        <w:ind w:left="567" w:right="902"/>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i/>
          <w:sz w:val="22"/>
          <w:szCs w:val="22"/>
        </w:rPr>
        <w:t>[…]</w:t>
      </w:r>
    </w:p>
    <w:p w14:paraId="3D0B3743" w14:textId="77777777" w:rsidR="00926FC4" w:rsidRPr="00D0172C" w:rsidRDefault="00C47ACD">
      <w:pPr>
        <w:spacing w:before="120" w:after="120"/>
        <w:ind w:left="567" w:right="902"/>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b/>
          <w:i/>
          <w:sz w:val="22"/>
          <w:szCs w:val="22"/>
        </w:rPr>
        <w:t>Artículo 143</w:t>
      </w:r>
      <w:r w:rsidRPr="00D0172C">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253CE51" w14:textId="77777777" w:rsidR="00926FC4" w:rsidRPr="00D0172C" w:rsidRDefault="00C47ACD">
      <w:pPr>
        <w:spacing w:before="120" w:after="120"/>
        <w:ind w:left="567" w:right="902"/>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b/>
          <w:i/>
          <w:sz w:val="22"/>
          <w:szCs w:val="22"/>
        </w:rPr>
        <w:t>I.</w:t>
      </w:r>
      <w:r w:rsidRPr="00D0172C">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141EF67C" w14:textId="77777777" w:rsidR="00926FC4" w:rsidRPr="00D0172C" w:rsidRDefault="00C47ACD">
      <w:pPr>
        <w:spacing w:before="120" w:after="120"/>
        <w:ind w:left="567" w:right="902"/>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b/>
          <w:i/>
          <w:sz w:val="22"/>
          <w:szCs w:val="22"/>
        </w:rPr>
        <w:t>II.</w:t>
      </w:r>
      <w:r w:rsidRPr="00D0172C">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02E2ACAC" w14:textId="77777777" w:rsidR="00926FC4" w:rsidRPr="00D0172C" w:rsidRDefault="00C47ACD">
      <w:pPr>
        <w:spacing w:before="120" w:after="120"/>
        <w:ind w:left="567" w:right="902"/>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b/>
          <w:i/>
          <w:sz w:val="22"/>
          <w:szCs w:val="22"/>
        </w:rPr>
        <w:t>III</w:t>
      </w:r>
      <w:r w:rsidRPr="00D0172C">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4D06E9BF" w14:textId="77777777" w:rsidR="00926FC4" w:rsidRPr="00D0172C" w:rsidRDefault="00C47ACD">
      <w:pPr>
        <w:spacing w:before="120" w:after="120"/>
        <w:ind w:left="567" w:right="902"/>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1D422520" w14:textId="77777777" w:rsidR="00926FC4" w:rsidRPr="00D0172C" w:rsidRDefault="00C47ACD">
      <w:pPr>
        <w:spacing w:before="120" w:after="120"/>
        <w:ind w:left="567" w:right="902"/>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0D96F3DA" w14:textId="77777777" w:rsidR="00926FC4" w:rsidRPr="00D0172C" w:rsidRDefault="00C47ACD">
      <w:pPr>
        <w:spacing w:before="240" w:after="240" w:line="360" w:lineRule="auto"/>
        <w:jc w:val="both"/>
        <w:rPr>
          <w:rFonts w:ascii="Palatino Linotype" w:eastAsia="Palatino Linotype" w:hAnsi="Palatino Linotype" w:cs="Palatino Linotype"/>
        </w:rPr>
      </w:pPr>
      <w:r w:rsidRPr="00D0172C">
        <w:rPr>
          <w:rFonts w:ascii="Palatino Linotype" w:eastAsia="Palatino Linotype" w:hAnsi="Palatino Linotype" w:cs="Palatino Linotype"/>
        </w:rPr>
        <w:lastRenderedPageBreak/>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315A0A6" w14:textId="77777777" w:rsidR="00926FC4" w:rsidRPr="00D0172C" w:rsidRDefault="00C47ACD">
      <w:pPr>
        <w:spacing w:line="360" w:lineRule="auto"/>
        <w:jc w:val="both"/>
        <w:rPr>
          <w:rFonts w:ascii="Palatino Linotype" w:eastAsia="Palatino Linotype" w:hAnsi="Palatino Linotype" w:cs="Palatino Linotype"/>
        </w:rPr>
      </w:pPr>
      <w:r w:rsidRPr="00D0172C">
        <w:rPr>
          <w:rFonts w:ascii="Palatino Linotype" w:eastAsia="Palatino Linotype" w:hAnsi="Palatino Linotype" w:cs="Palatino Linotype"/>
        </w:rPr>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RPr="00D0172C">
        <w:rPr>
          <w:rFonts w:ascii="Palatino Linotype" w:eastAsia="Palatino Linotype" w:hAnsi="Palatino Linotype" w:cs="Palatino Linotype"/>
          <w:b/>
        </w:rPr>
        <w:t>Sujeto Obligado</w:t>
      </w:r>
      <w:r w:rsidRPr="00D0172C">
        <w:rPr>
          <w:rFonts w:ascii="Palatino Linotype" w:eastAsia="Palatino Linotype" w:hAnsi="Palatino Linotype" w:cs="Palatino Linotype"/>
        </w:rPr>
        <w:t>, siendo estas las siguientes:</w:t>
      </w:r>
    </w:p>
    <w:p w14:paraId="1FC0F1D3" w14:textId="77777777" w:rsidR="00926FC4" w:rsidRPr="00D0172C" w:rsidRDefault="00926FC4">
      <w:pPr>
        <w:spacing w:line="360" w:lineRule="auto"/>
        <w:jc w:val="both"/>
        <w:rPr>
          <w:rFonts w:ascii="Palatino Linotype" w:eastAsia="Palatino Linotype" w:hAnsi="Palatino Linotype" w:cs="Palatino Linotype"/>
        </w:rPr>
      </w:pPr>
    </w:p>
    <w:p w14:paraId="4809E652" w14:textId="77777777" w:rsidR="00926FC4" w:rsidRPr="00D0172C" w:rsidRDefault="00C47ACD">
      <w:pPr>
        <w:spacing w:line="276" w:lineRule="auto"/>
        <w:ind w:left="567"/>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i/>
          <w:sz w:val="22"/>
          <w:szCs w:val="22"/>
        </w:rPr>
        <w:t xml:space="preserve">“CAPÍTULO VIII </w:t>
      </w:r>
    </w:p>
    <w:p w14:paraId="3ED5BA3F" w14:textId="77777777" w:rsidR="00926FC4" w:rsidRPr="00D0172C" w:rsidRDefault="00C47ACD">
      <w:pPr>
        <w:spacing w:line="276" w:lineRule="auto"/>
        <w:ind w:left="567"/>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i/>
          <w:sz w:val="22"/>
          <w:szCs w:val="22"/>
        </w:rPr>
        <w:t xml:space="preserve">DE LOS ELEMENTOS PARA LA CLASIFICACIÓN </w:t>
      </w:r>
    </w:p>
    <w:p w14:paraId="2856D04A" w14:textId="77777777" w:rsidR="00926FC4" w:rsidRPr="00D0172C" w:rsidRDefault="00C47ACD">
      <w:pPr>
        <w:spacing w:line="276" w:lineRule="auto"/>
        <w:ind w:left="567" w:right="900"/>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b/>
          <w:i/>
          <w:sz w:val="22"/>
          <w:szCs w:val="22"/>
        </w:rPr>
        <w:t>Quincuagésimo.</w:t>
      </w:r>
      <w:r w:rsidRPr="00D0172C">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258172B6" w14:textId="77777777" w:rsidR="00926FC4" w:rsidRPr="00D0172C" w:rsidRDefault="00C47ACD">
      <w:pPr>
        <w:spacing w:line="276" w:lineRule="auto"/>
        <w:ind w:left="567" w:right="900"/>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b/>
          <w:i/>
          <w:sz w:val="22"/>
          <w:szCs w:val="22"/>
        </w:rPr>
        <w:t>Quincuagésimo primero.</w:t>
      </w:r>
      <w:r w:rsidRPr="00D0172C">
        <w:rPr>
          <w:rFonts w:ascii="Palatino Linotype" w:eastAsia="Palatino Linotype" w:hAnsi="Palatino Linotype" w:cs="Palatino Linotype"/>
          <w:i/>
          <w:sz w:val="22"/>
          <w:szCs w:val="22"/>
        </w:rPr>
        <w:t xml:space="preserve"> Toda acta del Comité de Transparencia deberá contener: </w:t>
      </w:r>
    </w:p>
    <w:p w14:paraId="721A830F" w14:textId="77777777" w:rsidR="00926FC4" w:rsidRPr="00D0172C" w:rsidRDefault="00C47ACD">
      <w:pPr>
        <w:numPr>
          <w:ilvl w:val="1"/>
          <w:numId w:val="3"/>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i/>
          <w:sz w:val="22"/>
          <w:szCs w:val="22"/>
        </w:rPr>
        <w:t xml:space="preserve">El número de sesión y fecha; </w:t>
      </w:r>
    </w:p>
    <w:p w14:paraId="7E22D992" w14:textId="77777777" w:rsidR="00926FC4" w:rsidRPr="00D0172C" w:rsidRDefault="00C47ACD">
      <w:pPr>
        <w:numPr>
          <w:ilvl w:val="1"/>
          <w:numId w:val="3"/>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i/>
          <w:sz w:val="22"/>
          <w:szCs w:val="22"/>
        </w:rPr>
        <w:t xml:space="preserve">El nombre del área que solicitó la clasificación de información; </w:t>
      </w:r>
    </w:p>
    <w:p w14:paraId="1A01B173" w14:textId="77777777" w:rsidR="00926FC4" w:rsidRPr="00D0172C" w:rsidRDefault="00C47ACD">
      <w:pPr>
        <w:numPr>
          <w:ilvl w:val="1"/>
          <w:numId w:val="3"/>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i/>
          <w:sz w:val="22"/>
          <w:szCs w:val="22"/>
        </w:rPr>
        <w:t xml:space="preserve">La fundamentación legal y motivación correspondiente; </w:t>
      </w:r>
    </w:p>
    <w:p w14:paraId="4E01428C" w14:textId="77777777" w:rsidR="00926FC4" w:rsidRPr="00D0172C" w:rsidRDefault="00C47ACD">
      <w:pPr>
        <w:numPr>
          <w:ilvl w:val="1"/>
          <w:numId w:val="3"/>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i/>
          <w:sz w:val="22"/>
          <w:szCs w:val="22"/>
        </w:rPr>
        <w:t xml:space="preserve">La resolución o resoluciones aprobadas; y </w:t>
      </w:r>
    </w:p>
    <w:p w14:paraId="2162D06D" w14:textId="77777777" w:rsidR="00926FC4" w:rsidRPr="00D0172C" w:rsidRDefault="00C47ACD">
      <w:pPr>
        <w:numPr>
          <w:ilvl w:val="1"/>
          <w:numId w:val="3"/>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i/>
          <w:sz w:val="22"/>
          <w:szCs w:val="22"/>
        </w:rPr>
        <w:t xml:space="preserve">La rúbrica o firma digital de cada integrante del Comité de Transparencia. </w:t>
      </w:r>
    </w:p>
    <w:p w14:paraId="66E297B9" w14:textId="77777777" w:rsidR="00926FC4" w:rsidRPr="00D0172C" w:rsidRDefault="00C47AC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i/>
          <w:sz w:val="22"/>
          <w:szCs w:val="22"/>
        </w:rPr>
        <w:lastRenderedPageBreak/>
        <w:t xml:space="preserve">Las resoluciones del Comité en las que se haya determinado confirmar o modificar la clasificación de información pública como reservada, deberán incluir, cuando menos: </w:t>
      </w:r>
    </w:p>
    <w:p w14:paraId="1DE381E8" w14:textId="77777777" w:rsidR="00926FC4" w:rsidRPr="00D0172C" w:rsidRDefault="00C47AC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i/>
          <w:sz w:val="22"/>
          <w:szCs w:val="22"/>
        </w:rPr>
        <w:t>I. Los motivos y razonamientos que sustenten la confirmación o modificación de la prueba de daño;</w:t>
      </w:r>
    </w:p>
    <w:p w14:paraId="3BFB51C3" w14:textId="77777777" w:rsidR="00926FC4" w:rsidRPr="00D0172C" w:rsidRDefault="00C47AC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i/>
          <w:sz w:val="22"/>
          <w:szCs w:val="22"/>
        </w:rPr>
        <w:t xml:space="preserve">II. Descripción de las partes o secciones reservadas, en caso de clasificación parcial; </w:t>
      </w:r>
    </w:p>
    <w:p w14:paraId="337C6D53" w14:textId="77777777" w:rsidR="00926FC4" w:rsidRPr="00D0172C" w:rsidRDefault="00C47AC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i/>
          <w:sz w:val="22"/>
          <w:szCs w:val="22"/>
        </w:rPr>
        <w:t xml:space="preserve">III. El periodo por el que mantendrá su clasificación y fecha de expiración; y </w:t>
      </w:r>
    </w:p>
    <w:p w14:paraId="477AC791" w14:textId="77777777" w:rsidR="00926FC4" w:rsidRPr="00D0172C" w:rsidRDefault="00C47AC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4C46EB47" w14:textId="77777777" w:rsidR="00926FC4" w:rsidRPr="00D0172C" w:rsidRDefault="00C47AC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57BCE852" w14:textId="77777777" w:rsidR="00926FC4" w:rsidRPr="00D0172C" w:rsidRDefault="00C47ACD">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D0172C">
        <w:rPr>
          <w:rFonts w:ascii="Palatino Linotype" w:eastAsia="Palatino Linotype" w:hAnsi="Palatino Linotype" w:cs="Palatino Linotype"/>
          <w:b/>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0529705A" w14:textId="77777777" w:rsidR="00926FC4" w:rsidRPr="00D0172C" w:rsidRDefault="00C47AC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b/>
          <w:i/>
          <w:sz w:val="22"/>
          <w:szCs w:val="22"/>
        </w:rPr>
        <w:t xml:space="preserve">Quincuagésimo segundo. </w:t>
      </w:r>
      <w:r w:rsidRPr="00D0172C">
        <w:rPr>
          <w:rFonts w:ascii="Palatino Linotype" w:eastAsia="Palatino Linotype" w:hAnsi="Palatino Linotype" w:cs="Palatino Linotype"/>
          <w:i/>
          <w:sz w:val="22"/>
          <w:szCs w:val="22"/>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21C7E904" w14:textId="77777777" w:rsidR="00926FC4" w:rsidRPr="00D0172C" w:rsidRDefault="00C47AC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0D42FA66" w14:textId="77777777" w:rsidR="00926FC4" w:rsidRPr="00D0172C" w:rsidRDefault="00C47AC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i/>
          <w:sz w:val="22"/>
          <w:szCs w:val="22"/>
        </w:rPr>
        <w:t>I. Fijar la fecha en que se elaboró la versión pública y la fecha en la cual el Comité de</w:t>
      </w:r>
    </w:p>
    <w:p w14:paraId="5D8CDA84" w14:textId="77777777" w:rsidR="00926FC4" w:rsidRPr="00D0172C" w:rsidRDefault="00C47AC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i/>
          <w:sz w:val="22"/>
          <w:szCs w:val="22"/>
        </w:rPr>
        <w:t>Transparencia confirmó dicha versión;</w:t>
      </w:r>
    </w:p>
    <w:p w14:paraId="7FA7F462" w14:textId="77777777" w:rsidR="00926FC4" w:rsidRPr="00D0172C" w:rsidRDefault="00C47AC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69574C29" w14:textId="77777777" w:rsidR="00926FC4" w:rsidRPr="00D0172C" w:rsidRDefault="00C47AC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i/>
          <w:sz w:val="22"/>
          <w:szCs w:val="22"/>
        </w:rPr>
        <w:t>III. Señalar las personas o instancias autorizadas a acceder a la información clasificada.</w:t>
      </w:r>
    </w:p>
    <w:p w14:paraId="5511A4C6" w14:textId="77777777" w:rsidR="00926FC4" w:rsidRPr="00D0172C" w:rsidRDefault="00C47AC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r w:rsidRPr="00D0172C">
        <w:rPr>
          <w:noProof/>
          <w:lang w:val="es-MX"/>
        </w:rPr>
        <w:drawing>
          <wp:anchor distT="0" distB="0" distL="114300" distR="114300" simplePos="0" relativeHeight="251659264" behindDoc="0" locked="0" layoutInCell="1" hidden="0" allowOverlap="1" wp14:anchorId="089DF4FD" wp14:editId="2ECC43B6">
            <wp:simplePos x="0" y="0"/>
            <wp:positionH relativeFrom="column">
              <wp:posOffset>377190</wp:posOffset>
            </wp:positionH>
            <wp:positionV relativeFrom="paragraph">
              <wp:posOffset>798830</wp:posOffset>
            </wp:positionV>
            <wp:extent cx="4568190" cy="330200"/>
            <wp:effectExtent l="0" t="0" r="0" b="0"/>
            <wp:wrapTopAndBottom distT="0" distB="0"/>
            <wp:docPr id="7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4568190" cy="330200"/>
                    </a:xfrm>
                    <a:prstGeom prst="rect">
                      <a:avLst/>
                    </a:prstGeom>
                    <a:ln/>
                  </pic:spPr>
                </pic:pic>
              </a:graphicData>
            </a:graphic>
          </wp:anchor>
        </w:drawing>
      </w:r>
    </w:p>
    <w:p w14:paraId="20EB1EA4" w14:textId="77777777" w:rsidR="00926FC4" w:rsidRPr="00D0172C" w:rsidRDefault="00C47ACD">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D0172C">
        <w:rPr>
          <w:rFonts w:ascii="Palatino Linotype" w:eastAsia="Palatino Linotype" w:hAnsi="Palatino Linotype" w:cs="Palatino Linotype"/>
          <w:b/>
          <w:i/>
          <w:noProof/>
          <w:sz w:val="22"/>
          <w:szCs w:val="22"/>
          <w:lang w:val="es-MX"/>
        </w:rPr>
        <w:lastRenderedPageBreak/>
        <w:drawing>
          <wp:inline distT="0" distB="0" distL="0" distR="0" wp14:anchorId="6D4E60A0" wp14:editId="72DDCD36">
            <wp:extent cx="4576404" cy="5139653"/>
            <wp:effectExtent l="0" t="0" r="0" b="0"/>
            <wp:docPr id="7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4576404" cy="5139653"/>
                    </a:xfrm>
                    <a:prstGeom prst="rect">
                      <a:avLst/>
                    </a:prstGeom>
                    <a:ln/>
                  </pic:spPr>
                </pic:pic>
              </a:graphicData>
            </a:graphic>
          </wp:inline>
        </w:drawing>
      </w:r>
    </w:p>
    <w:p w14:paraId="770343D4" w14:textId="77777777" w:rsidR="00926FC4" w:rsidRPr="00D0172C" w:rsidRDefault="00926FC4">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534E1C71" w14:textId="77777777" w:rsidR="00926FC4" w:rsidRPr="00D0172C" w:rsidRDefault="00C47AC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b/>
          <w:i/>
          <w:sz w:val="22"/>
          <w:szCs w:val="22"/>
        </w:rPr>
        <w:t xml:space="preserve">Quincuagésimo cuarto. </w:t>
      </w:r>
      <w:r w:rsidRPr="00D0172C">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76A601C6" w14:textId="77777777" w:rsidR="00926FC4" w:rsidRPr="00D0172C" w:rsidRDefault="00926FC4">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599F0A41" w14:textId="77777777" w:rsidR="00926FC4" w:rsidRPr="00D0172C" w:rsidRDefault="00C47AC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0172C">
        <w:rPr>
          <w:rFonts w:ascii="Palatino Linotype" w:eastAsia="Palatino Linotype" w:hAnsi="Palatino Linotype" w:cs="Palatino Linotype"/>
          <w:b/>
          <w:i/>
          <w:sz w:val="22"/>
          <w:szCs w:val="22"/>
        </w:rPr>
        <w:t xml:space="preserve">Quincuagésimo quinto. </w:t>
      </w:r>
      <w:r w:rsidRPr="00D0172C">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D0172C">
        <w:rPr>
          <w:rFonts w:ascii="Palatino Linotype" w:eastAsia="Palatino Linotype" w:hAnsi="Palatino Linotype" w:cs="Palatino Linotype"/>
          <w:i/>
          <w:sz w:val="22"/>
          <w:szCs w:val="22"/>
        </w:rPr>
        <w:t>testado</w:t>
      </w:r>
      <w:proofErr w:type="spellEnd"/>
      <w:r w:rsidRPr="00D0172C">
        <w:rPr>
          <w:rFonts w:ascii="Palatino Linotype" w:eastAsia="Palatino Linotype" w:hAnsi="Palatino Linotype" w:cs="Palatino Linotype"/>
          <w:i/>
          <w:sz w:val="22"/>
          <w:szCs w:val="22"/>
        </w:rPr>
        <w:t xml:space="preserve">, que sean encargadas de la adecuada elaboración o supervisión de las versiones públicas de los documentos o </w:t>
      </w:r>
      <w:r w:rsidRPr="00D0172C">
        <w:rPr>
          <w:rFonts w:ascii="Palatino Linotype" w:eastAsia="Palatino Linotype" w:hAnsi="Palatino Linotype" w:cs="Palatino Linotype"/>
          <w:i/>
          <w:sz w:val="22"/>
          <w:szCs w:val="22"/>
        </w:rPr>
        <w:lastRenderedPageBreak/>
        <w:t xml:space="preserve">expedientes, verificando que cumplan con los requisitos señalados en las Leyes Generales, los presentes Lineamientos y demás normativa aplicable antes de su confirmación por el Comité de Transparencia.” </w:t>
      </w:r>
    </w:p>
    <w:p w14:paraId="45594D3C" w14:textId="77777777" w:rsidR="00926FC4" w:rsidRPr="00D0172C" w:rsidRDefault="00C47ACD">
      <w:pPr>
        <w:spacing w:before="240" w:after="240" w:line="360" w:lineRule="auto"/>
        <w:jc w:val="both"/>
        <w:rPr>
          <w:rFonts w:ascii="Palatino Linotype" w:eastAsia="Palatino Linotype" w:hAnsi="Palatino Linotype" w:cs="Palatino Linotype"/>
        </w:rPr>
      </w:pPr>
      <w:r w:rsidRPr="00D0172C">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D0172C">
        <w:rPr>
          <w:rFonts w:ascii="Palatino Linotype" w:eastAsia="Palatino Linotype" w:hAnsi="Palatino Linotype" w:cs="Palatino Linotype"/>
          <w:b/>
        </w:rPr>
        <w:t>Sujeto Obligado</w:t>
      </w:r>
      <w:r w:rsidRPr="00D0172C">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0DF4C6AC" w14:textId="77777777" w:rsidR="00926FC4" w:rsidRPr="00D0172C" w:rsidRDefault="00C47ACD">
      <w:pPr>
        <w:spacing w:after="240" w:line="360" w:lineRule="auto"/>
        <w:jc w:val="both"/>
        <w:rPr>
          <w:rFonts w:ascii="Palatino Linotype" w:eastAsia="Palatino Linotype" w:hAnsi="Palatino Linotype" w:cs="Palatino Linotype"/>
        </w:rPr>
      </w:pPr>
      <w:r w:rsidRPr="00D0172C">
        <w:rPr>
          <w:rFonts w:ascii="Palatino Linotype" w:eastAsia="Palatino Linotype" w:hAnsi="Palatino Linotype" w:cs="Palatino Linotype"/>
        </w:rPr>
        <w:t>Así, con fundamento en lo prescrito en los artículos 5 párrafos trigésimo segundo, trigésimo tercero y trigésimo cuarto, fracciones IV y V de la Constitución Política del Estado Libre y Soberano de México; 2, fracción II; 29, 36 fracciones I y II; 176, 178, 181, 185 de la Ley de Transparencia y Acceso a la Información Pública del Estado de México y Municipios, este Pleno:</w:t>
      </w:r>
    </w:p>
    <w:p w14:paraId="02768017" w14:textId="77777777" w:rsidR="00926FC4" w:rsidRPr="00D0172C" w:rsidRDefault="00C47ACD">
      <w:pPr>
        <w:numPr>
          <w:ilvl w:val="0"/>
          <w:numId w:val="2"/>
        </w:numPr>
        <w:spacing w:before="280" w:after="280" w:line="360" w:lineRule="auto"/>
        <w:ind w:left="284" w:hanging="426"/>
        <w:jc w:val="center"/>
        <w:rPr>
          <w:rFonts w:ascii="Palatino Linotype" w:eastAsia="Palatino Linotype" w:hAnsi="Palatino Linotype" w:cs="Palatino Linotype"/>
          <w:b/>
        </w:rPr>
      </w:pPr>
      <w:r w:rsidRPr="00D0172C">
        <w:rPr>
          <w:rFonts w:ascii="Palatino Linotype" w:eastAsia="Palatino Linotype" w:hAnsi="Palatino Linotype" w:cs="Palatino Linotype"/>
          <w:b/>
        </w:rPr>
        <w:t>R E S U E L V E:</w:t>
      </w:r>
    </w:p>
    <w:p w14:paraId="171CB066" w14:textId="77777777" w:rsidR="00926FC4" w:rsidRPr="00D0172C" w:rsidRDefault="00C47ACD">
      <w:pPr>
        <w:spacing w:before="240" w:after="240" w:line="360" w:lineRule="auto"/>
        <w:jc w:val="both"/>
        <w:rPr>
          <w:rFonts w:ascii="Palatino Linotype" w:eastAsia="Palatino Linotype" w:hAnsi="Palatino Linotype" w:cs="Palatino Linotype"/>
        </w:rPr>
      </w:pPr>
      <w:r w:rsidRPr="00D0172C">
        <w:rPr>
          <w:rFonts w:ascii="Palatino Linotype" w:eastAsia="Palatino Linotype" w:hAnsi="Palatino Linotype" w:cs="Palatino Linotype"/>
          <w:b/>
        </w:rPr>
        <w:t xml:space="preserve">Primero. </w:t>
      </w:r>
      <w:r w:rsidRPr="00D0172C">
        <w:rPr>
          <w:rFonts w:ascii="Palatino Linotype" w:eastAsia="Palatino Linotype" w:hAnsi="Palatino Linotype" w:cs="Palatino Linotype"/>
        </w:rPr>
        <w:t xml:space="preserve">Resultan </w:t>
      </w:r>
      <w:r w:rsidRPr="00D0172C">
        <w:rPr>
          <w:rFonts w:ascii="Palatino Linotype" w:eastAsia="Palatino Linotype" w:hAnsi="Palatino Linotype" w:cs="Palatino Linotype"/>
          <w:b/>
        </w:rPr>
        <w:t>fundadas</w:t>
      </w:r>
      <w:r w:rsidRPr="00D0172C">
        <w:rPr>
          <w:rFonts w:ascii="Palatino Linotype" w:eastAsia="Palatino Linotype" w:hAnsi="Palatino Linotype" w:cs="Palatino Linotype"/>
        </w:rPr>
        <w:t xml:space="preserve"> las razones o motivos de inconformidad hechos valer por </w:t>
      </w:r>
      <w:r w:rsidRPr="00D0172C">
        <w:rPr>
          <w:rFonts w:ascii="Palatino Linotype" w:eastAsia="Palatino Linotype" w:hAnsi="Palatino Linotype" w:cs="Palatino Linotype"/>
          <w:b/>
        </w:rPr>
        <w:t>la parte Recurrente</w:t>
      </w:r>
      <w:r w:rsidRPr="00D0172C">
        <w:rPr>
          <w:rFonts w:ascii="Palatino Linotype" w:eastAsia="Palatino Linotype" w:hAnsi="Palatino Linotype" w:cs="Palatino Linotype"/>
        </w:rPr>
        <w:t xml:space="preserve"> en el recurso de revisión </w:t>
      </w:r>
      <w:r w:rsidRPr="00D0172C">
        <w:rPr>
          <w:rFonts w:ascii="Palatino Linotype" w:eastAsia="Palatino Linotype" w:hAnsi="Palatino Linotype" w:cs="Palatino Linotype"/>
          <w:b/>
        </w:rPr>
        <w:t>07254/INFOEM/IP/RR/2023</w:t>
      </w:r>
      <w:r w:rsidRPr="00D0172C">
        <w:rPr>
          <w:rFonts w:ascii="Palatino Linotype" w:eastAsia="Palatino Linotype" w:hAnsi="Palatino Linotype" w:cs="Palatino Linotype"/>
        </w:rPr>
        <w:t xml:space="preserve">; por lo que, en términos del </w:t>
      </w:r>
      <w:r w:rsidRPr="00D0172C">
        <w:rPr>
          <w:rFonts w:ascii="Palatino Linotype" w:eastAsia="Palatino Linotype" w:hAnsi="Palatino Linotype" w:cs="Palatino Linotype"/>
          <w:b/>
        </w:rPr>
        <w:t>Considerando</w:t>
      </w:r>
      <w:r w:rsidRPr="00D0172C">
        <w:rPr>
          <w:rFonts w:ascii="Palatino Linotype" w:eastAsia="Palatino Linotype" w:hAnsi="Palatino Linotype" w:cs="Palatino Linotype"/>
        </w:rPr>
        <w:t xml:space="preserve"> </w:t>
      </w:r>
      <w:r w:rsidRPr="00D0172C">
        <w:rPr>
          <w:rFonts w:ascii="Palatino Linotype" w:eastAsia="Palatino Linotype" w:hAnsi="Palatino Linotype" w:cs="Palatino Linotype"/>
          <w:b/>
        </w:rPr>
        <w:t xml:space="preserve">Cuarto </w:t>
      </w:r>
      <w:r w:rsidRPr="00D0172C">
        <w:rPr>
          <w:rFonts w:ascii="Palatino Linotype" w:eastAsia="Palatino Linotype" w:hAnsi="Palatino Linotype" w:cs="Palatino Linotype"/>
        </w:rPr>
        <w:t xml:space="preserve">de esta resolución, se </w:t>
      </w:r>
      <w:r w:rsidRPr="00D0172C">
        <w:rPr>
          <w:rFonts w:ascii="Palatino Linotype" w:eastAsia="Palatino Linotype" w:hAnsi="Palatino Linotype" w:cs="Palatino Linotype"/>
          <w:b/>
        </w:rPr>
        <w:t xml:space="preserve">MODIFICA </w:t>
      </w:r>
      <w:r w:rsidRPr="00D0172C">
        <w:rPr>
          <w:rFonts w:ascii="Palatino Linotype" w:eastAsia="Palatino Linotype" w:hAnsi="Palatino Linotype" w:cs="Palatino Linotype"/>
        </w:rPr>
        <w:t xml:space="preserve">la respuesta emitida por el </w:t>
      </w:r>
      <w:r w:rsidRPr="00D0172C">
        <w:rPr>
          <w:rFonts w:ascii="Palatino Linotype" w:eastAsia="Palatino Linotype" w:hAnsi="Palatino Linotype" w:cs="Palatino Linotype"/>
          <w:b/>
        </w:rPr>
        <w:t>Sujeto Obligado.</w:t>
      </w:r>
    </w:p>
    <w:p w14:paraId="42A7FBD1" w14:textId="77777777" w:rsidR="00926FC4" w:rsidRPr="00D0172C" w:rsidRDefault="00C47ACD">
      <w:pPr>
        <w:spacing w:before="240" w:after="240" w:line="360" w:lineRule="auto"/>
        <w:ind w:right="49"/>
        <w:jc w:val="both"/>
        <w:rPr>
          <w:rFonts w:ascii="Palatino Linotype" w:eastAsia="Palatino Linotype" w:hAnsi="Palatino Linotype" w:cs="Palatino Linotype"/>
          <w:b/>
        </w:rPr>
      </w:pPr>
      <w:bookmarkStart w:id="4" w:name="_heading=h.1fob9te" w:colFirst="0" w:colLast="0"/>
      <w:bookmarkEnd w:id="4"/>
      <w:r w:rsidRPr="00D0172C">
        <w:rPr>
          <w:rFonts w:ascii="Palatino Linotype" w:eastAsia="Palatino Linotype" w:hAnsi="Palatino Linotype" w:cs="Palatino Linotype"/>
          <w:b/>
        </w:rPr>
        <w:lastRenderedPageBreak/>
        <w:t xml:space="preserve">Segundo. </w:t>
      </w:r>
      <w:r w:rsidRPr="00D0172C">
        <w:rPr>
          <w:rFonts w:ascii="Palatino Linotype" w:eastAsia="Palatino Linotype" w:hAnsi="Palatino Linotype" w:cs="Palatino Linotype"/>
        </w:rPr>
        <w:t xml:space="preserve">Se </w:t>
      </w:r>
      <w:r w:rsidRPr="00D0172C">
        <w:rPr>
          <w:rFonts w:ascii="Palatino Linotype" w:eastAsia="Palatino Linotype" w:hAnsi="Palatino Linotype" w:cs="Palatino Linotype"/>
          <w:b/>
        </w:rPr>
        <w:t xml:space="preserve">Ordena </w:t>
      </w:r>
      <w:r w:rsidRPr="00D0172C">
        <w:rPr>
          <w:rFonts w:ascii="Palatino Linotype" w:eastAsia="Palatino Linotype" w:hAnsi="Palatino Linotype" w:cs="Palatino Linotype"/>
        </w:rPr>
        <w:t xml:space="preserve">al </w:t>
      </w:r>
      <w:r w:rsidRPr="00D0172C">
        <w:rPr>
          <w:rFonts w:ascii="Palatino Linotype" w:eastAsia="Palatino Linotype" w:hAnsi="Palatino Linotype" w:cs="Palatino Linotype"/>
          <w:b/>
        </w:rPr>
        <w:t>Sujeto Obligado</w:t>
      </w:r>
      <w:r w:rsidRPr="00D0172C">
        <w:rPr>
          <w:rFonts w:ascii="Palatino Linotype" w:eastAsia="Palatino Linotype" w:hAnsi="Palatino Linotype" w:cs="Palatino Linotype"/>
        </w:rPr>
        <w:t xml:space="preserve"> entregue, a</w:t>
      </w:r>
      <w:r w:rsidRPr="00D0172C">
        <w:rPr>
          <w:rFonts w:ascii="Palatino Linotype" w:eastAsia="Palatino Linotype" w:hAnsi="Palatino Linotype" w:cs="Palatino Linotype"/>
          <w:b/>
        </w:rPr>
        <w:t xml:space="preserve"> la parte</w:t>
      </w:r>
      <w:r w:rsidRPr="00D0172C">
        <w:rPr>
          <w:rFonts w:ascii="Palatino Linotype" w:eastAsia="Palatino Linotype" w:hAnsi="Palatino Linotype" w:cs="Palatino Linotype"/>
        </w:rPr>
        <w:t xml:space="preserve"> </w:t>
      </w:r>
      <w:r w:rsidRPr="00D0172C">
        <w:rPr>
          <w:rFonts w:ascii="Palatino Linotype" w:eastAsia="Palatino Linotype" w:hAnsi="Palatino Linotype" w:cs="Palatino Linotype"/>
          <w:b/>
        </w:rPr>
        <w:t>Recurrente</w:t>
      </w:r>
      <w:r w:rsidRPr="00D0172C">
        <w:rPr>
          <w:rFonts w:ascii="Palatino Linotype" w:eastAsia="Palatino Linotype" w:hAnsi="Palatino Linotype" w:cs="Palatino Linotype"/>
        </w:rPr>
        <w:t xml:space="preserve">, </w:t>
      </w:r>
      <w:r w:rsidRPr="00D0172C">
        <w:rPr>
          <w:rFonts w:ascii="Palatino Linotype" w:eastAsia="Palatino Linotype" w:hAnsi="Palatino Linotype" w:cs="Palatino Linotype"/>
          <w:b/>
        </w:rPr>
        <w:t xml:space="preserve">vía SAIMEX, </w:t>
      </w:r>
      <w:r w:rsidRPr="00D0172C">
        <w:rPr>
          <w:rFonts w:ascii="Palatino Linotype" w:eastAsia="Palatino Linotype" w:hAnsi="Palatino Linotype" w:cs="Palatino Linotype"/>
        </w:rPr>
        <w:t xml:space="preserve">en términos de los </w:t>
      </w:r>
      <w:r w:rsidRPr="00D0172C">
        <w:rPr>
          <w:rFonts w:ascii="Palatino Linotype" w:eastAsia="Palatino Linotype" w:hAnsi="Palatino Linotype" w:cs="Palatino Linotype"/>
          <w:b/>
        </w:rPr>
        <w:t>Considerandos</w:t>
      </w:r>
      <w:r w:rsidRPr="00D0172C">
        <w:rPr>
          <w:rFonts w:ascii="Palatino Linotype" w:eastAsia="Palatino Linotype" w:hAnsi="Palatino Linotype" w:cs="Palatino Linotype"/>
        </w:rPr>
        <w:t xml:space="preserve"> </w:t>
      </w:r>
      <w:r w:rsidRPr="00D0172C">
        <w:rPr>
          <w:rFonts w:ascii="Palatino Linotype" w:eastAsia="Palatino Linotype" w:hAnsi="Palatino Linotype" w:cs="Palatino Linotype"/>
          <w:b/>
        </w:rPr>
        <w:t xml:space="preserve">Cuarto y Quinto, de lo siguiente, de ser procedente en versión pública: </w:t>
      </w:r>
    </w:p>
    <w:p w14:paraId="41746BB3" w14:textId="77777777" w:rsidR="00926FC4" w:rsidRPr="00D0172C" w:rsidRDefault="00C47ACD">
      <w:pPr>
        <w:numPr>
          <w:ilvl w:val="0"/>
          <w:numId w:val="4"/>
        </w:numPr>
        <w:pBdr>
          <w:top w:val="nil"/>
          <w:left w:val="nil"/>
          <w:bottom w:val="nil"/>
          <w:right w:val="nil"/>
          <w:between w:val="nil"/>
        </w:pBdr>
        <w:spacing w:before="240" w:after="240" w:line="276" w:lineRule="auto"/>
        <w:ind w:left="567" w:right="900" w:hanging="141"/>
        <w:jc w:val="both"/>
        <w:rPr>
          <w:rFonts w:ascii="Palatino Linotype" w:eastAsia="Palatino Linotype" w:hAnsi="Palatino Linotype" w:cs="Palatino Linotype"/>
          <w:b/>
          <w:i/>
          <w:sz w:val="22"/>
          <w:szCs w:val="22"/>
        </w:rPr>
      </w:pPr>
      <w:r w:rsidRPr="00D0172C">
        <w:rPr>
          <w:rFonts w:ascii="Palatino Linotype" w:eastAsia="Palatino Linotype" w:hAnsi="Palatino Linotype" w:cs="Palatino Linotype"/>
          <w:b/>
          <w:i/>
          <w:sz w:val="22"/>
          <w:szCs w:val="22"/>
        </w:rPr>
        <w:t xml:space="preserve">Directorio del Tribunal Estatal de Conciliación y Arbitraje, actualizado al veintiocho de septiembre de dos mil veintitrés. </w:t>
      </w:r>
    </w:p>
    <w:p w14:paraId="2A5485A6" w14:textId="77777777" w:rsidR="00926FC4" w:rsidRPr="00D0172C" w:rsidRDefault="00C47ACD">
      <w:pPr>
        <w:spacing w:before="240" w:after="240" w:line="276" w:lineRule="auto"/>
        <w:ind w:left="567" w:right="900"/>
        <w:jc w:val="both"/>
        <w:rPr>
          <w:rFonts w:ascii="Palatino Linotype" w:eastAsia="Palatino Linotype" w:hAnsi="Palatino Linotype" w:cs="Palatino Linotype"/>
          <w:b/>
          <w:i/>
          <w:sz w:val="22"/>
          <w:szCs w:val="22"/>
        </w:rPr>
      </w:pPr>
      <w:bookmarkStart w:id="5" w:name="_heading=h.3znysh7" w:colFirst="0" w:colLast="0"/>
      <w:bookmarkEnd w:id="5"/>
      <w:r w:rsidRPr="00D0172C">
        <w:rPr>
          <w:rFonts w:ascii="Palatino Linotype" w:eastAsia="Palatino Linotype" w:hAnsi="Palatino Linotype" w:cs="Palatino Linotype"/>
          <w:i/>
          <w:sz w:val="22"/>
          <w:szCs w:val="22"/>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D0172C">
        <w:rPr>
          <w:rFonts w:ascii="Palatino Linotype" w:eastAsia="Palatino Linotype" w:hAnsi="Palatino Linotype" w:cs="Palatino Linotype"/>
          <w:b/>
          <w:i/>
          <w:sz w:val="22"/>
          <w:szCs w:val="22"/>
        </w:rPr>
        <w:t>la parte Recurrente</w:t>
      </w:r>
      <w:r w:rsidRPr="00D0172C">
        <w:rPr>
          <w:rFonts w:ascii="Palatino Linotype" w:eastAsia="Palatino Linotype" w:hAnsi="Palatino Linotype" w:cs="Palatino Linotype"/>
          <w:i/>
          <w:sz w:val="22"/>
          <w:szCs w:val="22"/>
        </w:rPr>
        <w:t>.</w:t>
      </w:r>
    </w:p>
    <w:p w14:paraId="0798000F" w14:textId="77777777" w:rsidR="00926FC4" w:rsidRPr="00D0172C" w:rsidRDefault="00C47ACD">
      <w:pPr>
        <w:spacing w:before="240" w:after="240" w:line="360" w:lineRule="auto"/>
        <w:jc w:val="both"/>
        <w:rPr>
          <w:rFonts w:ascii="Palatino Linotype" w:eastAsia="Palatino Linotype" w:hAnsi="Palatino Linotype" w:cs="Palatino Linotype"/>
        </w:rPr>
      </w:pPr>
      <w:r w:rsidRPr="00D0172C">
        <w:rPr>
          <w:rFonts w:ascii="Palatino Linotype" w:eastAsia="Palatino Linotype" w:hAnsi="Palatino Linotype" w:cs="Palatino Linotype"/>
          <w:b/>
        </w:rPr>
        <w:t>Tercero</w:t>
      </w:r>
      <w:r w:rsidRPr="00D0172C">
        <w:rPr>
          <w:rFonts w:ascii="Palatino Linotype" w:eastAsia="Palatino Linotype" w:hAnsi="Palatino Linotype" w:cs="Palatino Linotype"/>
          <w:b/>
          <w:sz w:val="28"/>
          <w:szCs w:val="28"/>
        </w:rPr>
        <w:t xml:space="preserve">.  </w:t>
      </w:r>
      <w:r w:rsidRPr="00D0172C">
        <w:rPr>
          <w:rFonts w:ascii="Palatino Linotype" w:eastAsia="Palatino Linotype" w:hAnsi="Palatino Linotype" w:cs="Palatino Linotype"/>
          <w:b/>
        </w:rPr>
        <w:t>Notifíquese vía SAIMEX,</w:t>
      </w:r>
      <w:r w:rsidRPr="00D0172C">
        <w:rPr>
          <w:rFonts w:ascii="Palatino Linotype" w:eastAsia="Palatino Linotype" w:hAnsi="Palatino Linotype" w:cs="Palatino Linotype"/>
          <w:b/>
          <w:sz w:val="28"/>
          <w:szCs w:val="28"/>
        </w:rPr>
        <w:t xml:space="preserve"> </w:t>
      </w:r>
      <w:r w:rsidRPr="00D0172C">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D46EF40" w14:textId="77777777" w:rsidR="00926FC4" w:rsidRPr="00D0172C" w:rsidRDefault="00C47ACD">
      <w:pPr>
        <w:spacing w:before="240" w:after="240" w:line="360" w:lineRule="auto"/>
        <w:jc w:val="both"/>
        <w:rPr>
          <w:rFonts w:ascii="Palatino Linotype" w:eastAsia="Palatino Linotype" w:hAnsi="Palatino Linotype" w:cs="Palatino Linotype"/>
        </w:rPr>
      </w:pPr>
      <w:r w:rsidRPr="00D0172C">
        <w:rPr>
          <w:rFonts w:ascii="Palatino Linotype" w:eastAsia="Palatino Linotype" w:hAnsi="Palatino Linotype" w:cs="Palatino Linotype"/>
          <w:b/>
        </w:rPr>
        <w:t>Cuarto</w:t>
      </w:r>
      <w:r w:rsidRPr="00D0172C">
        <w:rPr>
          <w:rFonts w:ascii="Palatino Linotype" w:eastAsia="Palatino Linotype" w:hAnsi="Palatino Linotype" w:cs="Palatino Linotype"/>
          <w:b/>
          <w:sz w:val="28"/>
          <w:szCs w:val="28"/>
        </w:rPr>
        <w:t xml:space="preserve">. </w:t>
      </w:r>
      <w:r w:rsidRPr="00D0172C">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D0172C">
        <w:rPr>
          <w:rFonts w:ascii="Palatino Linotype" w:eastAsia="Palatino Linotype" w:hAnsi="Palatino Linotype" w:cs="Palatino Linotype"/>
          <w:b/>
        </w:rPr>
        <w:t>Sujeto Obligado</w:t>
      </w:r>
      <w:r w:rsidRPr="00D0172C">
        <w:rPr>
          <w:rFonts w:ascii="Palatino Linotype" w:eastAsia="Palatino Linotype" w:hAnsi="Palatino Linotype" w:cs="Palatino Linotype"/>
        </w:rPr>
        <w:t xml:space="preserve"> de manera fundada y motivada, podrá solicitar una ampliación de plazo para el cumplimiento de la presente resolución.</w:t>
      </w:r>
    </w:p>
    <w:p w14:paraId="5555661B" w14:textId="67BE8222" w:rsidR="00926FC4" w:rsidRPr="00D0172C" w:rsidRDefault="00C47ACD">
      <w:pPr>
        <w:tabs>
          <w:tab w:val="left" w:pos="142"/>
        </w:tabs>
        <w:spacing w:line="360" w:lineRule="auto"/>
        <w:jc w:val="both"/>
        <w:rPr>
          <w:rFonts w:ascii="Palatino Linotype" w:eastAsia="Palatino Linotype" w:hAnsi="Palatino Linotype" w:cs="Palatino Linotype"/>
          <w:b/>
        </w:rPr>
      </w:pPr>
      <w:r w:rsidRPr="00D0172C">
        <w:rPr>
          <w:rFonts w:ascii="Palatino Linotype" w:eastAsia="Palatino Linotype" w:hAnsi="Palatino Linotype" w:cs="Palatino Linotype"/>
          <w:b/>
        </w:rPr>
        <w:lastRenderedPageBreak/>
        <w:t>Quinto</w:t>
      </w:r>
      <w:r w:rsidRPr="00D0172C">
        <w:rPr>
          <w:rFonts w:ascii="Palatino Linotype" w:eastAsia="Palatino Linotype" w:hAnsi="Palatino Linotype" w:cs="Palatino Linotype"/>
          <w:b/>
          <w:sz w:val="28"/>
          <w:szCs w:val="28"/>
        </w:rPr>
        <w:t xml:space="preserve">. </w:t>
      </w:r>
      <w:r w:rsidRPr="00D0172C">
        <w:rPr>
          <w:rFonts w:ascii="Palatino Linotype" w:eastAsia="Palatino Linotype" w:hAnsi="Palatino Linotype" w:cs="Palatino Linotype"/>
          <w:b/>
        </w:rPr>
        <w:t xml:space="preserve">Notifíquese, </w:t>
      </w:r>
      <w:r w:rsidRPr="00D0172C">
        <w:rPr>
          <w:rFonts w:ascii="Palatino Linotype" w:eastAsia="Palatino Linotype" w:hAnsi="Palatino Linotype" w:cs="Palatino Linotype"/>
        </w:rPr>
        <w:t xml:space="preserve">vía </w:t>
      </w:r>
      <w:r w:rsidRPr="00D0172C">
        <w:rPr>
          <w:rFonts w:ascii="Palatino Linotype" w:eastAsia="Palatino Linotype" w:hAnsi="Palatino Linotype" w:cs="Palatino Linotype"/>
          <w:b/>
        </w:rPr>
        <w:t>SAIMEX</w:t>
      </w:r>
      <w:r w:rsidRPr="00D0172C">
        <w:rPr>
          <w:rFonts w:ascii="Palatino Linotype" w:eastAsia="Palatino Linotype" w:hAnsi="Palatino Linotype" w:cs="Palatino Linotype"/>
        </w:rPr>
        <w:t xml:space="preserve">, a </w:t>
      </w:r>
      <w:r w:rsidRPr="00D0172C">
        <w:rPr>
          <w:rFonts w:ascii="Palatino Linotype" w:eastAsia="Palatino Linotype" w:hAnsi="Palatino Linotype" w:cs="Palatino Linotype"/>
          <w:b/>
        </w:rPr>
        <w:t>la parte Recurrente</w:t>
      </w:r>
      <w:r w:rsidRPr="00D0172C">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r w:rsidRPr="00D0172C">
        <w:rPr>
          <w:rFonts w:ascii="Palatino Linotype" w:eastAsia="Palatino Linotype" w:hAnsi="Palatino Linotype" w:cs="Palatino Linotype"/>
          <w:b/>
        </w:rPr>
        <w:t>.</w:t>
      </w:r>
    </w:p>
    <w:p w14:paraId="12933EDA" w14:textId="77777777" w:rsidR="00D0172C" w:rsidRPr="00D0172C" w:rsidRDefault="00D0172C">
      <w:pPr>
        <w:tabs>
          <w:tab w:val="left" w:pos="142"/>
        </w:tabs>
        <w:spacing w:line="360" w:lineRule="auto"/>
        <w:jc w:val="both"/>
        <w:rPr>
          <w:rFonts w:ascii="Palatino Linotype" w:eastAsia="Palatino Linotype" w:hAnsi="Palatino Linotype" w:cs="Palatino Linotype"/>
        </w:rPr>
      </w:pPr>
    </w:p>
    <w:p w14:paraId="483AFD63" w14:textId="77777777" w:rsidR="00926FC4" w:rsidRPr="00D0172C" w:rsidRDefault="00C47ACD">
      <w:pPr>
        <w:spacing w:before="240" w:after="240" w:line="360" w:lineRule="auto"/>
        <w:jc w:val="both"/>
        <w:rPr>
          <w:rFonts w:ascii="Palatino Linotype" w:eastAsia="Palatino Linotype" w:hAnsi="Palatino Linotype" w:cs="Palatino Linotype"/>
        </w:rPr>
      </w:pPr>
      <w:bookmarkStart w:id="6" w:name="_heading=h.2et92p0" w:colFirst="0" w:colLast="0"/>
      <w:bookmarkEnd w:id="6"/>
      <w:r w:rsidRPr="00D0172C">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QUINTA SESIÓN ORDINARIA CELEBRADA EL CATORCE DE FEBRERO DE DOS MIL VEINTICUATRO, ANTE EL SECRETARIO TÉCNICO DEL PLENO ALEXIS TAPIA RAMÍREZ.</w:t>
      </w:r>
    </w:p>
    <w:p w14:paraId="1A17A82B" w14:textId="77777777" w:rsidR="00926FC4" w:rsidRPr="00D0172C" w:rsidRDefault="00926FC4">
      <w:pPr>
        <w:spacing w:before="240" w:after="240" w:line="360" w:lineRule="auto"/>
        <w:jc w:val="both"/>
        <w:rPr>
          <w:rFonts w:ascii="Palatino Linotype" w:eastAsia="Palatino Linotype" w:hAnsi="Palatino Linotype" w:cs="Palatino Linotype"/>
        </w:rPr>
      </w:pPr>
    </w:p>
    <w:p w14:paraId="189B2E00" w14:textId="77777777" w:rsidR="00926FC4" w:rsidRPr="00D0172C" w:rsidRDefault="00926FC4">
      <w:pPr>
        <w:spacing w:before="240" w:after="240" w:line="360" w:lineRule="auto"/>
        <w:jc w:val="both"/>
        <w:rPr>
          <w:rFonts w:ascii="Palatino Linotype" w:eastAsia="Palatino Linotype" w:hAnsi="Palatino Linotype" w:cs="Palatino Linotype"/>
        </w:rPr>
      </w:pPr>
    </w:p>
    <w:p w14:paraId="14406834" w14:textId="77777777" w:rsidR="00926FC4" w:rsidRPr="00D0172C" w:rsidRDefault="00926FC4">
      <w:pPr>
        <w:spacing w:before="240" w:after="240" w:line="360" w:lineRule="auto"/>
        <w:jc w:val="both"/>
        <w:rPr>
          <w:rFonts w:ascii="Palatino Linotype" w:eastAsia="Palatino Linotype" w:hAnsi="Palatino Linotype" w:cs="Palatino Linotype"/>
        </w:rPr>
      </w:pPr>
    </w:p>
    <w:p w14:paraId="05EA6132" w14:textId="77777777" w:rsidR="00926FC4" w:rsidRPr="00D0172C" w:rsidRDefault="00926FC4">
      <w:pPr>
        <w:spacing w:before="240" w:after="240" w:line="360" w:lineRule="auto"/>
        <w:jc w:val="both"/>
        <w:rPr>
          <w:rFonts w:ascii="Palatino Linotype" w:eastAsia="Palatino Linotype" w:hAnsi="Palatino Linotype" w:cs="Palatino Linotype"/>
        </w:rPr>
      </w:pPr>
    </w:p>
    <w:p w14:paraId="0B9F6786" w14:textId="77777777" w:rsidR="00926FC4" w:rsidRPr="00D0172C" w:rsidRDefault="00926FC4">
      <w:pPr>
        <w:spacing w:before="240" w:after="240" w:line="360" w:lineRule="auto"/>
        <w:jc w:val="both"/>
        <w:rPr>
          <w:rFonts w:ascii="Palatino Linotype" w:eastAsia="Palatino Linotype" w:hAnsi="Palatino Linotype" w:cs="Palatino Linotype"/>
        </w:rPr>
      </w:pPr>
    </w:p>
    <w:p w14:paraId="7D534788" w14:textId="77777777" w:rsidR="00926FC4" w:rsidRPr="00D0172C" w:rsidRDefault="00926FC4">
      <w:pPr>
        <w:spacing w:before="240" w:after="240" w:line="360" w:lineRule="auto"/>
        <w:jc w:val="both"/>
        <w:rPr>
          <w:rFonts w:ascii="Palatino Linotype" w:eastAsia="Palatino Linotype" w:hAnsi="Palatino Linotype" w:cs="Palatino Linotype"/>
        </w:rPr>
      </w:pPr>
    </w:p>
    <w:p w14:paraId="7EEC3406" w14:textId="77777777" w:rsidR="00926FC4" w:rsidRPr="00D0172C" w:rsidRDefault="00926FC4">
      <w:pPr>
        <w:spacing w:before="240" w:after="240" w:line="360" w:lineRule="auto"/>
        <w:jc w:val="both"/>
        <w:rPr>
          <w:rFonts w:ascii="Palatino Linotype" w:eastAsia="Palatino Linotype" w:hAnsi="Palatino Linotype" w:cs="Palatino Linotype"/>
        </w:rPr>
      </w:pPr>
    </w:p>
    <w:p w14:paraId="4694C1B1" w14:textId="77777777" w:rsidR="00926FC4" w:rsidRPr="00D0172C" w:rsidRDefault="00926FC4">
      <w:pPr>
        <w:spacing w:before="240" w:after="240" w:line="360" w:lineRule="auto"/>
        <w:jc w:val="both"/>
        <w:rPr>
          <w:rFonts w:ascii="Palatino Linotype" w:eastAsia="Palatino Linotype" w:hAnsi="Palatino Linotype" w:cs="Palatino Linotype"/>
        </w:rPr>
      </w:pPr>
    </w:p>
    <w:p w14:paraId="53D77259" w14:textId="77777777" w:rsidR="00926FC4" w:rsidRPr="00D0172C" w:rsidRDefault="00926FC4">
      <w:pPr>
        <w:spacing w:before="240" w:after="240" w:line="360" w:lineRule="auto"/>
        <w:jc w:val="both"/>
        <w:rPr>
          <w:rFonts w:ascii="Palatino Linotype" w:eastAsia="Palatino Linotype" w:hAnsi="Palatino Linotype" w:cs="Palatino Linotype"/>
        </w:rPr>
      </w:pPr>
    </w:p>
    <w:p w14:paraId="0B4AB260" w14:textId="77777777" w:rsidR="00926FC4" w:rsidRPr="00D0172C" w:rsidRDefault="00926FC4">
      <w:pPr>
        <w:spacing w:before="240" w:after="240" w:line="360" w:lineRule="auto"/>
        <w:jc w:val="both"/>
        <w:rPr>
          <w:rFonts w:ascii="Palatino Linotype" w:eastAsia="Palatino Linotype" w:hAnsi="Palatino Linotype" w:cs="Palatino Linotype"/>
        </w:rPr>
      </w:pPr>
    </w:p>
    <w:p w14:paraId="4BA9D1E2" w14:textId="77777777" w:rsidR="00926FC4" w:rsidRPr="00D0172C" w:rsidRDefault="00926FC4">
      <w:pPr>
        <w:spacing w:before="240" w:after="240" w:line="360" w:lineRule="auto"/>
        <w:jc w:val="both"/>
        <w:rPr>
          <w:rFonts w:ascii="Palatino Linotype" w:eastAsia="Palatino Linotype" w:hAnsi="Palatino Linotype" w:cs="Palatino Linotype"/>
        </w:rPr>
      </w:pPr>
    </w:p>
    <w:p w14:paraId="4CE5B01B" w14:textId="77777777" w:rsidR="00926FC4" w:rsidRPr="00D0172C" w:rsidRDefault="00926FC4">
      <w:pPr>
        <w:spacing w:before="240" w:after="240" w:line="360" w:lineRule="auto"/>
        <w:jc w:val="both"/>
        <w:rPr>
          <w:rFonts w:ascii="Palatino Linotype" w:eastAsia="Palatino Linotype" w:hAnsi="Palatino Linotype" w:cs="Palatino Linotype"/>
        </w:rPr>
      </w:pPr>
    </w:p>
    <w:p w14:paraId="22A1CFF5" w14:textId="77777777" w:rsidR="00926FC4" w:rsidRPr="00D0172C" w:rsidRDefault="00926FC4">
      <w:pPr>
        <w:spacing w:before="240" w:after="240" w:line="360" w:lineRule="auto"/>
        <w:jc w:val="both"/>
        <w:rPr>
          <w:rFonts w:ascii="Palatino Linotype" w:eastAsia="Palatino Linotype" w:hAnsi="Palatino Linotype" w:cs="Palatino Linotype"/>
        </w:rPr>
      </w:pPr>
    </w:p>
    <w:p w14:paraId="34B39CCE" w14:textId="77777777" w:rsidR="00926FC4" w:rsidRPr="00D0172C" w:rsidRDefault="00926FC4">
      <w:pPr>
        <w:spacing w:before="240" w:after="240" w:line="360" w:lineRule="auto"/>
        <w:jc w:val="both"/>
        <w:rPr>
          <w:rFonts w:ascii="Palatino Linotype" w:eastAsia="Palatino Linotype" w:hAnsi="Palatino Linotype" w:cs="Palatino Linotype"/>
        </w:rPr>
      </w:pPr>
    </w:p>
    <w:sectPr w:rsidR="00926FC4" w:rsidRPr="00D0172C">
      <w:headerReference w:type="default" r:id="rId17"/>
      <w:footerReference w:type="default" r:id="rId18"/>
      <w:headerReference w:type="first" r:id="rId19"/>
      <w:footerReference w:type="first" r:id="rId2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083EC" w14:textId="77777777" w:rsidR="004C6AE1" w:rsidRDefault="004C6AE1">
      <w:r>
        <w:separator/>
      </w:r>
    </w:p>
  </w:endnote>
  <w:endnote w:type="continuationSeparator" w:id="0">
    <w:p w14:paraId="0F4F0A59" w14:textId="77777777" w:rsidR="004C6AE1" w:rsidRDefault="004C6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29B18" w14:textId="77777777" w:rsidR="00926FC4" w:rsidRDefault="00C47AC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02ABA">
      <w:rPr>
        <w:rFonts w:ascii="Palatino Linotype" w:eastAsia="Palatino Linotype" w:hAnsi="Palatino Linotype" w:cs="Palatino Linotype"/>
        <w:b/>
        <w:noProof/>
        <w:color w:val="000000"/>
        <w:sz w:val="20"/>
        <w:szCs w:val="20"/>
      </w:rPr>
      <w:t>36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02ABA">
      <w:rPr>
        <w:rFonts w:ascii="Palatino Linotype" w:eastAsia="Palatino Linotype" w:hAnsi="Palatino Linotype" w:cs="Palatino Linotype"/>
        <w:b/>
        <w:noProof/>
        <w:color w:val="000000"/>
        <w:sz w:val="20"/>
        <w:szCs w:val="20"/>
      </w:rPr>
      <w:t>36</w:t>
    </w:r>
    <w:r>
      <w:rPr>
        <w:rFonts w:ascii="Palatino Linotype" w:eastAsia="Palatino Linotype" w:hAnsi="Palatino Linotype" w:cs="Palatino Linotype"/>
        <w:b/>
        <w:color w:val="000000"/>
        <w:sz w:val="20"/>
        <w:szCs w:val="20"/>
      </w:rPr>
      <w:fldChar w:fldCharType="end"/>
    </w:r>
  </w:p>
  <w:p w14:paraId="36F4B7AB" w14:textId="77777777" w:rsidR="00926FC4" w:rsidRDefault="00926FC4">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5B9C4" w14:textId="77777777" w:rsidR="00926FC4" w:rsidRDefault="00C47AC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02ABA">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02ABA">
      <w:rPr>
        <w:rFonts w:ascii="Palatino Linotype" w:eastAsia="Palatino Linotype" w:hAnsi="Palatino Linotype" w:cs="Palatino Linotype"/>
        <w:b/>
        <w:noProof/>
        <w:color w:val="000000"/>
        <w:sz w:val="20"/>
        <w:szCs w:val="20"/>
      </w:rPr>
      <w:t>36</w:t>
    </w:r>
    <w:r>
      <w:rPr>
        <w:rFonts w:ascii="Palatino Linotype" w:eastAsia="Palatino Linotype" w:hAnsi="Palatino Linotype" w:cs="Palatino Linotype"/>
        <w:b/>
        <w:color w:val="000000"/>
        <w:sz w:val="20"/>
        <w:szCs w:val="20"/>
      </w:rPr>
      <w:fldChar w:fldCharType="end"/>
    </w:r>
  </w:p>
  <w:p w14:paraId="2C548F50" w14:textId="77777777" w:rsidR="00926FC4" w:rsidRDefault="00926FC4">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5C2C9" w14:textId="77777777" w:rsidR="004C6AE1" w:rsidRDefault="004C6AE1">
      <w:r>
        <w:separator/>
      </w:r>
    </w:p>
  </w:footnote>
  <w:footnote w:type="continuationSeparator" w:id="0">
    <w:p w14:paraId="17A66A6E" w14:textId="77777777" w:rsidR="004C6AE1" w:rsidRDefault="004C6A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B3B3B" w14:textId="77777777" w:rsidR="00926FC4" w:rsidRDefault="00C47ACD">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077E7DBD" wp14:editId="1AAA6AB8">
          <wp:simplePos x="0" y="0"/>
          <wp:positionH relativeFrom="column">
            <wp:posOffset>-1127121</wp:posOffset>
          </wp:positionH>
          <wp:positionV relativeFrom="paragraph">
            <wp:posOffset>-344801</wp:posOffset>
          </wp:positionV>
          <wp:extent cx="7809865" cy="10165715"/>
          <wp:effectExtent l="0" t="0" r="0" b="0"/>
          <wp:wrapNone/>
          <wp:docPr id="6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9"/>
      <w:tblW w:w="5953" w:type="dxa"/>
      <w:tblInd w:w="3261" w:type="dxa"/>
      <w:tblLayout w:type="fixed"/>
      <w:tblLook w:val="0400" w:firstRow="0" w:lastRow="0" w:firstColumn="0" w:lastColumn="0" w:noHBand="0" w:noVBand="1"/>
    </w:tblPr>
    <w:tblGrid>
      <w:gridCol w:w="2489"/>
      <w:gridCol w:w="3464"/>
    </w:tblGrid>
    <w:tr w:rsidR="00926FC4" w14:paraId="06615C4F" w14:textId="77777777">
      <w:tc>
        <w:tcPr>
          <w:tcW w:w="2489" w:type="dxa"/>
          <w:shd w:val="clear" w:color="auto" w:fill="auto"/>
        </w:tcPr>
        <w:p w14:paraId="002C2153" w14:textId="77777777" w:rsidR="00926FC4" w:rsidRDefault="00C47AC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38072D4B" w14:textId="77777777" w:rsidR="00926FC4" w:rsidRDefault="00C47AC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07254/INFOEM/IP/RR/2023</w:t>
          </w:r>
        </w:p>
      </w:tc>
    </w:tr>
    <w:tr w:rsidR="00926FC4" w14:paraId="4DE45182" w14:textId="77777777">
      <w:trPr>
        <w:trHeight w:val="228"/>
      </w:trPr>
      <w:tc>
        <w:tcPr>
          <w:tcW w:w="2489" w:type="dxa"/>
          <w:shd w:val="clear" w:color="auto" w:fill="auto"/>
          <w:vAlign w:val="center"/>
        </w:tcPr>
        <w:p w14:paraId="601EFE31" w14:textId="77777777" w:rsidR="00926FC4" w:rsidRDefault="00C47AC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00A802F" w14:textId="77777777" w:rsidR="00926FC4" w:rsidRDefault="00C47ACD">
          <w:pPr>
            <w:tabs>
              <w:tab w:val="left" w:pos="2499"/>
            </w:tabs>
            <w:ind w:left="-45" w:right="59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Tribunal Estatal de Conciliación y Arbitraje</w:t>
          </w:r>
        </w:p>
      </w:tc>
    </w:tr>
    <w:tr w:rsidR="00926FC4" w14:paraId="1922DFA8" w14:textId="77777777">
      <w:tc>
        <w:tcPr>
          <w:tcW w:w="2489" w:type="dxa"/>
          <w:shd w:val="clear" w:color="auto" w:fill="auto"/>
          <w:vAlign w:val="center"/>
        </w:tcPr>
        <w:p w14:paraId="4B17B82D" w14:textId="77777777" w:rsidR="00926FC4" w:rsidRDefault="00C47ACD">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680168EB" w14:textId="77777777" w:rsidR="00926FC4" w:rsidRDefault="00C47AC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9EAF32A" w14:textId="77777777" w:rsidR="00926FC4" w:rsidRDefault="00C47ACD">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97F96" w14:textId="77777777" w:rsidR="00926FC4" w:rsidRDefault="00C47AC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16CCCB05" wp14:editId="49953ECE">
          <wp:simplePos x="0" y="0"/>
          <wp:positionH relativeFrom="column">
            <wp:posOffset>-955670</wp:posOffset>
          </wp:positionH>
          <wp:positionV relativeFrom="paragraph">
            <wp:posOffset>-288921</wp:posOffset>
          </wp:positionV>
          <wp:extent cx="7809865" cy="10165715"/>
          <wp:effectExtent l="0" t="0" r="0" b="0"/>
          <wp:wrapNone/>
          <wp:docPr id="6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5670" w:type="dxa"/>
      <w:tblInd w:w="3261" w:type="dxa"/>
      <w:tblLayout w:type="fixed"/>
      <w:tblLook w:val="0400" w:firstRow="0" w:lastRow="0" w:firstColumn="0" w:lastColumn="0" w:noHBand="0" w:noVBand="1"/>
    </w:tblPr>
    <w:tblGrid>
      <w:gridCol w:w="2551"/>
      <w:gridCol w:w="3119"/>
    </w:tblGrid>
    <w:tr w:rsidR="00926FC4" w14:paraId="058FAABF" w14:textId="77777777">
      <w:tc>
        <w:tcPr>
          <w:tcW w:w="2551" w:type="dxa"/>
          <w:shd w:val="clear" w:color="auto" w:fill="auto"/>
          <w:vAlign w:val="center"/>
        </w:tcPr>
        <w:p w14:paraId="29B060A1" w14:textId="77777777" w:rsidR="00926FC4" w:rsidRDefault="00C47AC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6E77D0BC" w14:textId="77777777" w:rsidR="00926FC4" w:rsidRDefault="00C47ACD">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07254/INFOEM/IP/RR/2023</w:t>
          </w:r>
        </w:p>
      </w:tc>
    </w:tr>
    <w:tr w:rsidR="00926FC4" w14:paraId="69A67DF9" w14:textId="77777777">
      <w:trPr>
        <w:trHeight w:val="130"/>
      </w:trPr>
      <w:tc>
        <w:tcPr>
          <w:tcW w:w="2551" w:type="dxa"/>
          <w:shd w:val="clear" w:color="auto" w:fill="auto"/>
          <w:vAlign w:val="center"/>
        </w:tcPr>
        <w:p w14:paraId="73960AF8" w14:textId="77777777" w:rsidR="00926FC4" w:rsidRDefault="00C47AC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5E2FC507" w14:textId="1D9FC627" w:rsidR="00926FC4" w:rsidRDefault="00E866FE">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XXXXXXXX XXXXXX XXXXXX </w:t>
          </w:r>
        </w:p>
      </w:tc>
    </w:tr>
    <w:tr w:rsidR="00926FC4" w14:paraId="13B3B25C" w14:textId="77777777">
      <w:trPr>
        <w:trHeight w:val="228"/>
      </w:trPr>
      <w:tc>
        <w:tcPr>
          <w:tcW w:w="2551" w:type="dxa"/>
          <w:shd w:val="clear" w:color="auto" w:fill="auto"/>
          <w:vAlign w:val="center"/>
        </w:tcPr>
        <w:p w14:paraId="333BB0E5" w14:textId="77777777" w:rsidR="00926FC4" w:rsidRDefault="00C47AC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13FE0933" w14:textId="77777777" w:rsidR="00926FC4" w:rsidRDefault="00C47ACD">
          <w:pPr>
            <w:ind w:left="-45" w:right="31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Tribunal Estatal de Conciliación y Arbitraje</w:t>
          </w:r>
        </w:p>
      </w:tc>
    </w:tr>
    <w:tr w:rsidR="00926FC4" w14:paraId="2B205E8F" w14:textId="77777777">
      <w:tc>
        <w:tcPr>
          <w:tcW w:w="2551" w:type="dxa"/>
          <w:shd w:val="clear" w:color="auto" w:fill="auto"/>
          <w:vAlign w:val="center"/>
        </w:tcPr>
        <w:p w14:paraId="6FCE3C2D" w14:textId="77777777" w:rsidR="00926FC4" w:rsidRDefault="00C47AC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55E7727F" w14:textId="77777777" w:rsidR="00926FC4" w:rsidRDefault="00C47ACD">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3D8676C" w14:textId="77777777" w:rsidR="00926FC4" w:rsidRDefault="00926FC4">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4E1ED6"/>
    <w:multiLevelType w:val="multilevel"/>
    <w:tmpl w:val="5BF8C1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4C97D15"/>
    <w:multiLevelType w:val="multilevel"/>
    <w:tmpl w:val="A04648D2"/>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79701B0"/>
    <w:multiLevelType w:val="multilevel"/>
    <w:tmpl w:val="D6F86FA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500C13FF"/>
    <w:multiLevelType w:val="multilevel"/>
    <w:tmpl w:val="C67C18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5BC6325"/>
    <w:multiLevelType w:val="multilevel"/>
    <w:tmpl w:val="B862FFB4"/>
    <w:lvl w:ilvl="0">
      <w:start w:val="1"/>
      <w:numFmt w:val="upperRoman"/>
      <w:pStyle w:val="Listaconvietas3"/>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2FA6219"/>
    <w:multiLevelType w:val="multilevel"/>
    <w:tmpl w:val="41F829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4"/>
  </w:num>
  <w:num w:numId="3">
    <w:abstractNumId w:val="1"/>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FC4"/>
    <w:rsid w:val="004C6AE1"/>
    <w:rsid w:val="006146D3"/>
    <w:rsid w:val="00734120"/>
    <w:rsid w:val="00902ABA"/>
    <w:rsid w:val="00926FC4"/>
    <w:rsid w:val="00A33599"/>
    <w:rsid w:val="00C47ACD"/>
    <w:rsid w:val="00D0172C"/>
    <w:rsid w:val="00E763CA"/>
    <w:rsid w:val="00E866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A3DF8"/>
  <w15:docId w15:val="{9882700A-7992-4A51-B1B0-717B8BFD0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1F08"/>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10"/>
    <w:tblPr>
      <w:tblStyleRowBandSize w:val="1"/>
      <w:tblStyleColBandSize w:val="1"/>
      <w:tblCellMar>
        <w:left w:w="108" w:type="dxa"/>
        <w:right w:w="108"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A944AD"/>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3"/>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2"/>
    <w:rPr>
      <w:rFonts w:ascii="Cambria" w:eastAsia="Cambria" w:hAnsi="Cambria" w:cs="Cambria"/>
    </w:rPr>
    <w:tblPr>
      <w:tblStyleRowBandSize w:val="1"/>
      <w:tblStyleColBandSize w:val="1"/>
      <w:tblCellMar>
        <w:left w:w="115" w:type="dxa"/>
        <w:right w:w="115" w:type="dxa"/>
      </w:tblCellMar>
    </w:tblPr>
  </w:style>
  <w:style w:type="table" w:customStyle="1" w:styleId="a4">
    <w:basedOn w:val="TableNormal2"/>
    <w:rPr>
      <w:rFonts w:ascii="Cambria" w:eastAsia="Cambria" w:hAnsi="Cambria" w:cs="Cambria"/>
    </w:rPr>
    <w:tblPr>
      <w:tblStyleRowBandSize w:val="1"/>
      <w:tblStyleColBandSize w:val="1"/>
      <w:tblCellMar>
        <w:left w:w="115" w:type="dxa"/>
        <w:right w:w="115" w:type="dxa"/>
      </w:tblCellMar>
    </w:tblPr>
  </w:style>
  <w:style w:type="table" w:customStyle="1" w:styleId="a5">
    <w:basedOn w:val="TableNormal2"/>
    <w:rPr>
      <w:rFonts w:ascii="Cambria" w:eastAsia="Cambria" w:hAnsi="Cambria" w:cs="Cambria"/>
    </w:rPr>
    <w:tblPr>
      <w:tblStyleRowBandSize w:val="1"/>
      <w:tblStyleColBandSize w:val="1"/>
      <w:tblCellMar>
        <w:left w:w="115" w:type="dxa"/>
        <w:right w:w="115" w:type="dxa"/>
      </w:tblCellMar>
    </w:tblPr>
  </w:style>
  <w:style w:type="table" w:customStyle="1" w:styleId="a6">
    <w:basedOn w:val="TableNormal1"/>
    <w:rPr>
      <w:rFonts w:ascii="Cambria" w:eastAsia="Cambria" w:hAnsi="Cambria" w:cs="Cambria"/>
    </w:rPr>
    <w:tblPr>
      <w:tblStyleRowBandSize w:val="1"/>
      <w:tblStyleColBandSize w:val="1"/>
      <w:tblCellMar>
        <w:left w:w="115" w:type="dxa"/>
        <w:right w:w="115" w:type="dxa"/>
      </w:tblCellMar>
    </w:tblPr>
  </w:style>
  <w:style w:type="table" w:customStyle="1" w:styleId="a7">
    <w:basedOn w:val="TableNormal1"/>
    <w:rPr>
      <w:rFonts w:ascii="Cambria" w:eastAsia="Cambria" w:hAnsi="Cambria" w:cs="Cambria"/>
    </w:rPr>
    <w:tblPr>
      <w:tblStyleRowBandSize w:val="1"/>
      <w:tblStyleColBandSize w:val="1"/>
      <w:tblCellMar>
        <w:left w:w="115" w:type="dxa"/>
        <w:right w:w="115" w:type="dxa"/>
      </w:tblCellMar>
    </w:tblPr>
  </w:style>
  <w:style w:type="table" w:customStyle="1" w:styleId="a8">
    <w:basedOn w:val="TableNormal0"/>
    <w:rPr>
      <w:rFonts w:ascii="Cambria" w:eastAsia="Cambria" w:hAnsi="Cambria" w:cs="Cambria"/>
    </w:rPr>
    <w:tblPr>
      <w:tblStyleRowBandSize w:val="1"/>
      <w:tblStyleColBandSize w:val="1"/>
      <w:tblCellMar>
        <w:left w:w="115" w:type="dxa"/>
        <w:right w:w="115" w:type="dxa"/>
      </w:tblCellMar>
    </w:tblPr>
  </w:style>
  <w:style w:type="table" w:customStyle="1" w:styleId="a9">
    <w:basedOn w:val="TableNormal0"/>
    <w:rPr>
      <w:rFonts w:ascii="Cambria" w:eastAsia="Cambria" w:hAnsi="Cambria" w:cs="Cambria"/>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teca.edomex.gob.mx/directori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J6GoBBygrae8ijr5H8Hyx1kWjQ==">CgMxLjAyCGguZ2pkZ3hzMgloLjMwajB6bGwyCWguMnM4ZXlvMTIIaC50eWpjd3QyCWguMWZvYjl0ZTIJaC4zem55c2g3MgloLjJldDkycDA4AHIhMUtubE1XRXBtR0hJZDFjaWNGcUNXdF9mNmhsM1hab0Js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36</Pages>
  <Words>7703</Words>
  <Characters>42370</Characters>
  <Application>Microsoft Office Word</Application>
  <DocSecurity>0</DocSecurity>
  <Lines>353</Lines>
  <Paragraphs>99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49974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2024-02-16T15:57:00Z</cp:lastPrinted>
  <dcterms:created xsi:type="dcterms:W3CDTF">2024-03-05T19:00:00Z</dcterms:created>
  <dcterms:modified xsi:type="dcterms:W3CDTF">2024-03-05T19:00:00Z</dcterms:modified>
</cp:coreProperties>
</file>