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19D9" w14:textId="77777777" w:rsidR="006D59B3" w:rsidRDefault="006D59B3" w:rsidP="00A319FB">
      <w:pPr>
        <w:spacing w:after="0" w:line="360" w:lineRule="auto"/>
        <w:rPr>
          <w:rFonts w:eastAsia="Palatino Linotype" w:cs="Palatino Linotype"/>
          <w:lang w:eastAsia="es-MX"/>
        </w:rPr>
      </w:pPr>
    </w:p>
    <w:p w14:paraId="18C21F0B" w14:textId="7B63CDAB"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 xml:space="preserve">Resolución del Pleno del Instituto de Transparencia, Acceso a la Información Pública y Protección de Datos Personales del Estado de México y Municipios, con domicilio en Metepec, Estado de México, de fecha </w:t>
      </w:r>
      <w:r w:rsidR="00226E68" w:rsidRPr="0036167E">
        <w:rPr>
          <w:rFonts w:eastAsia="Palatino Linotype" w:cs="Palatino Linotype"/>
          <w:lang w:eastAsia="es-MX"/>
        </w:rPr>
        <w:t>cuatro de diciembre de dos mil veinticuatro.</w:t>
      </w:r>
    </w:p>
    <w:p w14:paraId="6A2D95BA" w14:textId="77777777" w:rsidR="00A319FB" w:rsidRPr="0036167E" w:rsidRDefault="00A319FB" w:rsidP="00A319FB">
      <w:pPr>
        <w:spacing w:after="0" w:line="360" w:lineRule="auto"/>
        <w:rPr>
          <w:rFonts w:eastAsia="Palatino Linotype" w:cs="Palatino Linotype"/>
          <w:color w:val="FF0000"/>
          <w:lang w:eastAsia="es-MX"/>
        </w:rPr>
      </w:pPr>
    </w:p>
    <w:p w14:paraId="71D5EB44" w14:textId="700AD619" w:rsidR="00A319FB" w:rsidRPr="002E20CB" w:rsidRDefault="00A319FB" w:rsidP="002E20CB">
      <w:pPr>
        <w:pBdr>
          <w:top w:val="nil"/>
          <w:left w:val="nil"/>
          <w:bottom w:val="nil"/>
          <w:right w:val="nil"/>
          <w:between w:val="nil"/>
        </w:pBdr>
        <w:tabs>
          <w:tab w:val="center" w:pos="4419"/>
          <w:tab w:val="right" w:pos="8838"/>
        </w:tabs>
        <w:spacing w:after="0" w:line="360" w:lineRule="auto"/>
        <w:ind w:left="-113"/>
        <w:rPr>
          <w:color w:val="000000"/>
        </w:rPr>
      </w:pPr>
      <w:r w:rsidRPr="0036167E">
        <w:rPr>
          <w:rFonts w:eastAsia="Palatino Linotype" w:cs="Palatino Linotype"/>
          <w:b/>
          <w:lang w:eastAsia="es-MX"/>
        </w:rPr>
        <w:t xml:space="preserve">VISTO </w:t>
      </w:r>
      <w:r w:rsidRPr="0036167E">
        <w:rPr>
          <w:rFonts w:eastAsia="Palatino Linotype" w:cs="Palatino Linotype"/>
          <w:lang w:eastAsia="es-MX"/>
        </w:rPr>
        <w:t xml:space="preserve">el expediente conformado con motivo del Recurso de Revisión </w:t>
      </w:r>
      <w:r w:rsidR="00226E68" w:rsidRPr="0036167E">
        <w:rPr>
          <w:rFonts w:eastAsia="Palatino Linotype" w:cs="Palatino Linotype"/>
          <w:b/>
          <w:lang w:eastAsia="es-MX"/>
        </w:rPr>
        <w:t>07151</w:t>
      </w:r>
      <w:r w:rsidRPr="0036167E">
        <w:rPr>
          <w:rFonts w:eastAsia="Palatino Linotype" w:cs="Palatino Linotype"/>
          <w:b/>
          <w:lang w:eastAsia="es-MX"/>
        </w:rPr>
        <w:t>/INFOEM/IP/RR/2024</w:t>
      </w:r>
      <w:r w:rsidRPr="0036167E">
        <w:rPr>
          <w:rFonts w:eastAsia="Palatino Linotype" w:cs="Palatino Linotype"/>
          <w:lang w:eastAsia="es-MX"/>
        </w:rPr>
        <w:t xml:space="preserve">, interpuesto </w:t>
      </w:r>
      <w:r w:rsidR="00226E68" w:rsidRPr="0036167E">
        <w:rPr>
          <w:rFonts w:eastAsia="Palatino Linotype" w:cs="Palatino Linotype"/>
          <w:lang w:eastAsia="es-MX"/>
        </w:rPr>
        <w:t xml:space="preserve">por </w:t>
      </w:r>
      <w:r w:rsidR="002E20CB" w:rsidRPr="002E20CB">
        <w:rPr>
          <w:color w:val="000000"/>
          <w:highlight w:val="black"/>
        </w:rPr>
        <w:t>XXXXXXX</w:t>
      </w:r>
      <w:r w:rsidR="002E20CB">
        <w:rPr>
          <w:color w:val="000000"/>
        </w:rPr>
        <w:t xml:space="preserve"> </w:t>
      </w:r>
      <w:r w:rsidR="00226E68" w:rsidRPr="0036167E">
        <w:rPr>
          <w:rFonts w:eastAsia="Palatino Linotype" w:cs="Palatino Linotype"/>
          <w:lang w:eastAsia="es-MX"/>
        </w:rPr>
        <w:t xml:space="preserve">en lo sucesivo </w:t>
      </w:r>
      <w:r w:rsidRPr="0036167E">
        <w:rPr>
          <w:rFonts w:eastAsia="Palatino Linotype" w:cs="Palatino Linotype"/>
          <w:lang w:eastAsia="es-MX"/>
        </w:rPr>
        <w:t xml:space="preserve">el Recurrente o Particular, en contra de la respuesta del Sujeto Obligado, </w:t>
      </w:r>
      <w:r w:rsidRPr="0036167E">
        <w:rPr>
          <w:rFonts w:eastAsia="Palatino Linotype" w:cs="Palatino Linotype"/>
          <w:b/>
          <w:lang w:eastAsia="es-MX"/>
        </w:rPr>
        <w:t xml:space="preserve">Ayuntamiento de </w:t>
      </w:r>
      <w:r w:rsidR="00226E68" w:rsidRPr="0036167E">
        <w:rPr>
          <w:rFonts w:eastAsia="Palatino Linotype" w:cs="Palatino Linotype"/>
          <w:b/>
          <w:lang w:eastAsia="es-MX"/>
        </w:rPr>
        <w:t>San Antonio la Isla</w:t>
      </w:r>
      <w:r w:rsidRPr="0036167E">
        <w:rPr>
          <w:rFonts w:eastAsia="Palatino Linotype" w:cs="Palatino Linotype"/>
          <w:lang w:eastAsia="es-MX"/>
        </w:rPr>
        <w:t xml:space="preserve">, a la solicitud de información con número </w:t>
      </w:r>
      <w:r w:rsidR="00226E68" w:rsidRPr="0036167E">
        <w:rPr>
          <w:rFonts w:eastAsia="Palatino Linotype" w:cs="Palatino Linotype"/>
          <w:lang w:eastAsia="es-MX"/>
        </w:rPr>
        <w:t>00135/ANTOISLA/IP/2024</w:t>
      </w:r>
      <w:r w:rsidRPr="0036167E">
        <w:rPr>
          <w:rFonts w:eastAsia="Palatino Linotype" w:cs="Palatino Linotype"/>
          <w:lang w:eastAsia="es-MX"/>
        </w:rPr>
        <w:t>, se emite la presente Resolución, con base en los Antecedentes y Considerandos que se exponen a continuación:</w:t>
      </w:r>
    </w:p>
    <w:p w14:paraId="36AF82B8" w14:textId="77777777" w:rsidR="00A319FB" w:rsidRPr="0036167E" w:rsidRDefault="00A319FB" w:rsidP="00A319FB">
      <w:pPr>
        <w:spacing w:after="0" w:line="360" w:lineRule="auto"/>
        <w:rPr>
          <w:rFonts w:eastAsia="Palatino Linotype" w:cs="Palatino Linotype"/>
          <w:lang w:eastAsia="es-MX"/>
        </w:rPr>
      </w:pPr>
    </w:p>
    <w:p w14:paraId="06369FCB" w14:textId="77777777" w:rsidR="00A319FB" w:rsidRPr="0036167E" w:rsidRDefault="00A319FB" w:rsidP="00A319FB">
      <w:pPr>
        <w:tabs>
          <w:tab w:val="center" w:pos="4522"/>
          <w:tab w:val="left" w:pos="7245"/>
        </w:tabs>
        <w:spacing w:after="0" w:line="360" w:lineRule="auto"/>
        <w:jc w:val="center"/>
        <w:rPr>
          <w:rFonts w:eastAsia="Palatino Linotype" w:cs="Palatino Linotype"/>
          <w:b/>
          <w:lang w:eastAsia="es-MX"/>
        </w:rPr>
      </w:pPr>
      <w:r w:rsidRPr="0036167E">
        <w:rPr>
          <w:rFonts w:eastAsia="Palatino Linotype" w:cs="Palatino Linotype"/>
          <w:b/>
          <w:lang w:eastAsia="es-MX"/>
        </w:rPr>
        <w:t>A N T E C E D E N T E S</w:t>
      </w:r>
    </w:p>
    <w:p w14:paraId="789CE524" w14:textId="77777777" w:rsidR="00A319FB" w:rsidRPr="0036167E" w:rsidRDefault="00A319FB" w:rsidP="00A319FB">
      <w:pPr>
        <w:spacing w:after="0" w:line="360" w:lineRule="auto"/>
        <w:rPr>
          <w:rFonts w:eastAsia="Palatino Linotype" w:cs="Palatino Linotype"/>
          <w:color w:val="FF0000"/>
          <w:lang w:eastAsia="es-MX"/>
        </w:rPr>
      </w:pPr>
    </w:p>
    <w:p w14:paraId="360F9156" w14:textId="77777777" w:rsidR="00A319FB" w:rsidRPr="0036167E" w:rsidRDefault="00A319FB" w:rsidP="00A319FB">
      <w:pPr>
        <w:pBdr>
          <w:top w:val="nil"/>
          <w:left w:val="nil"/>
          <w:bottom w:val="nil"/>
          <w:right w:val="nil"/>
          <w:between w:val="nil"/>
        </w:pBdr>
        <w:tabs>
          <w:tab w:val="left" w:pos="567"/>
        </w:tabs>
        <w:spacing w:after="0" w:line="360" w:lineRule="auto"/>
        <w:rPr>
          <w:rFonts w:eastAsia="Palatino Linotype" w:cs="Palatino Linotype"/>
          <w:b/>
          <w:lang w:eastAsia="es-MX"/>
        </w:rPr>
      </w:pPr>
      <w:r w:rsidRPr="0036167E">
        <w:rPr>
          <w:rFonts w:eastAsia="Palatino Linotype" w:cs="Palatino Linotype"/>
          <w:b/>
          <w:lang w:eastAsia="es-MX"/>
        </w:rPr>
        <w:t>I. Presentación de la solicitud de información</w:t>
      </w:r>
    </w:p>
    <w:p w14:paraId="0E476271" w14:textId="77777777" w:rsidR="00A319FB" w:rsidRPr="0036167E" w:rsidRDefault="00A319FB" w:rsidP="00A319FB">
      <w:pPr>
        <w:pBdr>
          <w:top w:val="nil"/>
          <w:left w:val="nil"/>
          <w:bottom w:val="nil"/>
          <w:right w:val="nil"/>
          <w:between w:val="nil"/>
        </w:pBdr>
        <w:tabs>
          <w:tab w:val="left" w:pos="567"/>
        </w:tabs>
        <w:spacing w:after="0" w:line="360" w:lineRule="auto"/>
        <w:rPr>
          <w:rFonts w:eastAsia="Palatino Linotype" w:cs="Palatino Linotype"/>
          <w:color w:val="FF0000"/>
          <w:lang w:eastAsia="es-MX"/>
        </w:rPr>
      </w:pPr>
    </w:p>
    <w:p w14:paraId="6398467D" w14:textId="77777777" w:rsidR="00A319FB" w:rsidRPr="0036167E" w:rsidRDefault="00A319FB" w:rsidP="00A319FB">
      <w:pPr>
        <w:tabs>
          <w:tab w:val="left" w:pos="567"/>
        </w:tabs>
        <w:spacing w:after="0" w:line="360" w:lineRule="auto"/>
        <w:ind w:right="-28"/>
        <w:rPr>
          <w:rFonts w:eastAsia="Palatino Linotype" w:cs="Palatino Linotype"/>
          <w:lang w:eastAsia="es-MX"/>
        </w:rPr>
      </w:pPr>
      <w:r w:rsidRPr="0036167E">
        <w:rPr>
          <w:rFonts w:eastAsia="Palatino Linotype" w:cs="Palatino Linotype"/>
          <w:lang w:eastAsia="es-MX"/>
        </w:rPr>
        <w:t xml:space="preserve">Con fecha </w:t>
      </w:r>
      <w:r w:rsidR="00226E68" w:rsidRPr="0036167E">
        <w:rPr>
          <w:rFonts w:eastAsia="Palatino Linotype" w:cs="Palatino Linotype"/>
          <w:lang w:eastAsia="es-MX"/>
        </w:rPr>
        <w:t xml:space="preserve">cuatro de noviembre de dos mil veinticuatro, </w:t>
      </w:r>
      <w:r w:rsidRPr="0036167E">
        <w:rPr>
          <w:rFonts w:eastAsia="Palatino Linotype" w:cs="Palatino Linotype"/>
          <w:lang w:eastAsia="es-MX"/>
        </w:rPr>
        <w:t>el Particular presentó una solicitud de acceso a la información pública, a través del Sistema de Acceso a la Información Mexiquense (SAIMEX), ante el Ayuntamiento de</w:t>
      </w:r>
      <w:r w:rsidR="00226E68" w:rsidRPr="0036167E">
        <w:rPr>
          <w:rFonts w:eastAsia="Palatino Linotype" w:cs="Palatino Linotype"/>
          <w:lang w:eastAsia="es-MX"/>
        </w:rPr>
        <w:t xml:space="preserve"> San Antonio la Isla</w:t>
      </w:r>
      <w:r w:rsidRPr="0036167E">
        <w:rPr>
          <w:rFonts w:eastAsia="Palatino Linotype" w:cs="Palatino Linotype"/>
          <w:lang w:eastAsia="es-MX"/>
        </w:rPr>
        <w:t>, en los siguientes términos:</w:t>
      </w:r>
    </w:p>
    <w:p w14:paraId="63D52783" w14:textId="77777777" w:rsidR="00A319FB" w:rsidRPr="0036167E" w:rsidRDefault="00A319FB" w:rsidP="00A319FB">
      <w:pPr>
        <w:pBdr>
          <w:top w:val="nil"/>
          <w:left w:val="nil"/>
          <w:bottom w:val="nil"/>
          <w:right w:val="nil"/>
          <w:between w:val="nil"/>
        </w:pBdr>
        <w:tabs>
          <w:tab w:val="left" w:pos="567"/>
        </w:tabs>
        <w:spacing w:after="0" w:line="360" w:lineRule="auto"/>
        <w:rPr>
          <w:rFonts w:eastAsia="Palatino Linotype" w:cs="Palatino Linotype"/>
          <w:color w:val="FF0000"/>
          <w:lang w:eastAsia="es-MX"/>
        </w:rPr>
      </w:pPr>
    </w:p>
    <w:p w14:paraId="0359C155" w14:textId="77777777" w:rsidR="00A319FB" w:rsidRPr="0036167E" w:rsidRDefault="00A319FB" w:rsidP="00A319FB">
      <w:pPr>
        <w:tabs>
          <w:tab w:val="left" w:pos="4667"/>
        </w:tabs>
        <w:spacing w:after="0" w:line="360" w:lineRule="auto"/>
        <w:ind w:left="567" w:right="567"/>
        <w:rPr>
          <w:rFonts w:eastAsia="Palatino Linotype" w:cs="Palatino Linotype"/>
          <w:b/>
          <w:i/>
          <w:sz w:val="20"/>
          <w:szCs w:val="20"/>
          <w:lang w:eastAsia="es-MX"/>
        </w:rPr>
      </w:pPr>
      <w:r w:rsidRPr="0036167E">
        <w:rPr>
          <w:rFonts w:eastAsia="Palatino Linotype" w:cs="Palatino Linotype"/>
          <w:b/>
          <w:i/>
          <w:sz w:val="20"/>
          <w:szCs w:val="20"/>
          <w:lang w:eastAsia="es-MX"/>
        </w:rPr>
        <w:t>“DESCRIPCIÓN CLARA Y PRECISA DE LA INFORMACIÓN SOLICITADA</w:t>
      </w:r>
    </w:p>
    <w:p w14:paraId="255A8D35" w14:textId="77777777" w:rsidR="00A319FB" w:rsidRPr="0036167E" w:rsidRDefault="00226E68" w:rsidP="00226E68">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1: TOTAL DE SERVIDORES PUBLICOS SINDICALIZADOS. 2. SERVIDORES PUBLICOS SINDICALIZADOS DURANTE 2019-2021. 3 SERVIDORES PUBLICOS SINDICALIZADOS DURANTE 2022-2024. 4. NOMBRE DE LOS SERVIDORES PUBLICOS SINDICALIZADOS Y AREA DE ADSCRIPCION DURANTE ELOS PERIODOS 2019-2021 Y 2022-</w:t>
      </w:r>
      <w:proofErr w:type="gramStart"/>
      <w:r w:rsidRPr="0036167E">
        <w:rPr>
          <w:rFonts w:eastAsia="Palatino Linotype" w:cs="Palatino Linotype"/>
          <w:bCs/>
          <w:i/>
          <w:sz w:val="20"/>
          <w:szCs w:val="20"/>
          <w:lang w:eastAsia="es-MX"/>
        </w:rPr>
        <w:t>2024 .</w:t>
      </w:r>
      <w:proofErr w:type="gramEnd"/>
      <w:r w:rsidRPr="0036167E">
        <w:rPr>
          <w:rFonts w:eastAsia="Palatino Linotype" w:cs="Palatino Linotype"/>
          <w:bCs/>
          <w:i/>
          <w:sz w:val="20"/>
          <w:szCs w:val="20"/>
          <w:lang w:eastAsia="es-MX"/>
        </w:rPr>
        <w:t xml:space="preserve"> ES IMPORTANTE SEÑALAR QUE LA INFORMACIÓN SE CORROBORARA CON EL SUTEYM A EFECTO DE QUE SEA VERIDICA LO SEÑALADO POR EL AYUNTAMIENTO.</w:t>
      </w:r>
      <w:r w:rsidR="00A319FB" w:rsidRPr="0036167E">
        <w:rPr>
          <w:rFonts w:eastAsia="Palatino Linotype" w:cs="Palatino Linotype"/>
          <w:bCs/>
          <w:i/>
          <w:sz w:val="20"/>
          <w:szCs w:val="20"/>
          <w:lang w:eastAsia="es-MX"/>
        </w:rPr>
        <w:t>” (Sic)</w:t>
      </w:r>
    </w:p>
    <w:p w14:paraId="0FEC6823" w14:textId="77777777" w:rsidR="006D59B3" w:rsidRPr="0036167E" w:rsidRDefault="006D59B3" w:rsidP="00A319FB">
      <w:pPr>
        <w:tabs>
          <w:tab w:val="left" w:pos="4667"/>
        </w:tabs>
        <w:spacing w:after="0" w:line="360" w:lineRule="auto"/>
        <w:ind w:left="567" w:right="567"/>
        <w:rPr>
          <w:rFonts w:eastAsia="Palatino Linotype" w:cs="Palatino Linotype"/>
          <w:i/>
          <w:color w:val="FF0000"/>
          <w:sz w:val="20"/>
          <w:szCs w:val="20"/>
          <w:lang w:eastAsia="es-MX"/>
        </w:rPr>
      </w:pPr>
    </w:p>
    <w:p w14:paraId="65A1E48A" w14:textId="77777777" w:rsidR="00A319FB" w:rsidRPr="0036167E" w:rsidRDefault="00A319FB" w:rsidP="00A319FB">
      <w:pPr>
        <w:tabs>
          <w:tab w:val="left" w:pos="4667"/>
        </w:tabs>
        <w:spacing w:after="0" w:line="360" w:lineRule="auto"/>
        <w:ind w:left="567" w:right="567"/>
        <w:rPr>
          <w:rFonts w:eastAsia="Palatino Linotype" w:cs="Palatino Linotype"/>
          <w:b/>
          <w:i/>
          <w:sz w:val="20"/>
          <w:szCs w:val="20"/>
          <w:lang w:eastAsia="es-MX"/>
        </w:rPr>
      </w:pPr>
      <w:r w:rsidRPr="0036167E">
        <w:rPr>
          <w:rFonts w:eastAsia="Palatino Linotype" w:cs="Palatino Linotype"/>
          <w:b/>
          <w:i/>
          <w:sz w:val="20"/>
          <w:szCs w:val="20"/>
          <w:lang w:eastAsia="es-MX"/>
        </w:rPr>
        <w:lastRenderedPageBreak/>
        <w:t>“Modalidad de Entrega:</w:t>
      </w:r>
    </w:p>
    <w:p w14:paraId="0EC975FA" w14:textId="77777777" w:rsidR="00A319FB" w:rsidRPr="0036167E" w:rsidRDefault="00A319FB" w:rsidP="00A319FB">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 xml:space="preserve"> A través del SAIMEX”.</w:t>
      </w:r>
    </w:p>
    <w:p w14:paraId="61BFA440" w14:textId="77777777" w:rsidR="00A319FB" w:rsidRPr="0036167E" w:rsidRDefault="00A319FB" w:rsidP="00A319FB">
      <w:pPr>
        <w:tabs>
          <w:tab w:val="left" w:pos="4667"/>
        </w:tabs>
        <w:spacing w:after="0" w:line="360" w:lineRule="auto"/>
        <w:ind w:right="567"/>
        <w:rPr>
          <w:rFonts w:eastAsia="Palatino Linotype" w:cs="Palatino Linotype"/>
          <w:b/>
          <w:color w:val="FF0000"/>
          <w:lang w:eastAsia="es-MX"/>
        </w:rPr>
      </w:pPr>
      <w:bookmarkStart w:id="0" w:name="_heading=h.gjdgxs" w:colFirst="0" w:colLast="0"/>
      <w:bookmarkEnd w:id="0"/>
    </w:p>
    <w:p w14:paraId="100D2071" w14:textId="77777777" w:rsidR="00A319FB" w:rsidRPr="0036167E" w:rsidRDefault="00A319FB" w:rsidP="00A319FB">
      <w:pPr>
        <w:tabs>
          <w:tab w:val="left" w:pos="4667"/>
        </w:tabs>
        <w:spacing w:after="0" w:line="360" w:lineRule="auto"/>
        <w:ind w:right="567"/>
        <w:rPr>
          <w:rFonts w:eastAsia="Palatino Linotype" w:cs="Palatino Linotype"/>
          <w:b/>
          <w:lang w:eastAsia="es-MX"/>
        </w:rPr>
      </w:pPr>
      <w:r w:rsidRPr="0036167E">
        <w:rPr>
          <w:rFonts w:eastAsia="Palatino Linotype" w:cs="Palatino Linotype"/>
          <w:b/>
          <w:lang w:eastAsia="es-MX"/>
        </w:rPr>
        <w:t>II. Respuesta del Sujeto Obligado</w:t>
      </w:r>
    </w:p>
    <w:p w14:paraId="62A245D2" w14:textId="77777777" w:rsidR="00A319FB" w:rsidRPr="0036167E" w:rsidRDefault="00A319FB" w:rsidP="00A319FB">
      <w:pPr>
        <w:tabs>
          <w:tab w:val="left" w:pos="4667"/>
        </w:tabs>
        <w:spacing w:after="0" w:line="360" w:lineRule="auto"/>
        <w:ind w:right="567"/>
        <w:rPr>
          <w:rFonts w:eastAsia="Palatino Linotype" w:cs="Palatino Linotype"/>
          <w:b/>
          <w:color w:val="FF0000"/>
          <w:lang w:eastAsia="es-MX"/>
        </w:rPr>
      </w:pPr>
    </w:p>
    <w:p w14:paraId="065D8107" w14:textId="77777777" w:rsidR="00226E68"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 xml:space="preserve">Con fecha </w:t>
      </w:r>
      <w:r w:rsidR="00226E68" w:rsidRPr="0036167E">
        <w:rPr>
          <w:rFonts w:eastAsia="Palatino Linotype" w:cs="Palatino Linotype"/>
          <w:lang w:eastAsia="es-MX"/>
        </w:rPr>
        <w:t xml:space="preserve">once de noviembre de dos mil veinticuatro, </w:t>
      </w:r>
      <w:r w:rsidRPr="0036167E">
        <w:rPr>
          <w:rFonts w:eastAsia="Palatino Linotype" w:cs="Palatino Linotype"/>
          <w:lang w:eastAsia="es-MX"/>
        </w:rPr>
        <w:t>el Sujeto Obligado notificó al Particular, mediante el Sistema de Acceso a la Información Mexiquense (SAIMEX), la respuest</w:t>
      </w:r>
      <w:r w:rsidR="00226E68" w:rsidRPr="0036167E">
        <w:rPr>
          <w:rFonts w:eastAsia="Palatino Linotype" w:cs="Palatino Linotype"/>
          <w:lang w:eastAsia="es-MX"/>
        </w:rPr>
        <w:t>a a la solicitud de acceso a la información en los siguientes términos:</w:t>
      </w:r>
    </w:p>
    <w:p w14:paraId="4C2BA70F" w14:textId="77777777" w:rsidR="00226E68" w:rsidRPr="0036167E" w:rsidRDefault="00226E68" w:rsidP="00A319FB">
      <w:pPr>
        <w:spacing w:after="0" w:line="360" w:lineRule="auto"/>
        <w:rPr>
          <w:rFonts w:eastAsia="Palatino Linotype" w:cs="Palatino Linotype"/>
          <w:color w:val="FF0000"/>
          <w:lang w:eastAsia="es-MX"/>
        </w:rPr>
      </w:pPr>
    </w:p>
    <w:p w14:paraId="41B4C929" w14:textId="77777777" w:rsidR="00226E68" w:rsidRPr="0036167E" w:rsidRDefault="00D540F3" w:rsidP="00D540F3">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 xml:space="preserve">“..Estimado solicitante, por este medio le envío la respuesta del Servidor Público Habilitado a su requerimiento de información. No omito mencionar, que en cumplimiento del artículo 177 de la Ley de Transparencia, Acceso a la Información Pública del Estado de México y Municipios, tiene el derecho de interponer recurso de revisión ante el Instituto de Transparencia y Acceso a la Información Pública del Estado de México y Municipios en un plazo de 15 días hábiles a partir de la presente notificación. Finalmente, se hace de su conocimiento que, en la página oficial del Ayuntamiento de San Antonio la Isla, https://sanantoniolaisla.gob.mx/encuesta-de-satisfaccion-usuaria-transparencia-y-acceso-a-la-informacion-publica/ encontrará un documento denominado “encuesta de satisfacción usuaria”, en relación con dicho formato solicitamos su valiosa colaboración para responder dicho instrumento de medición de opinión con la finalidad de retroalimentar nuestros procesos de atención ciudadana. Por lo que una vez que la encuesta sea contestada, agradeceremos la atención de enviarla al correo electrónico </w:t>
      </w:r>
      <w:hyperlink r:id="rId8" w:history="1">
        <w:r w:rsidRPr="0036167E">
          <w:rPr>
            <w:rStyle w:val="Hipervnculo"/>
            <w:rFonts w:eastAsia="Palatino Linotype" w:cs="Palatino Linotype"/>
            <w:bCs/>
            <w:i/>
            <w:sz w:val="20"/>
            <w:szCs w:val="20"/>
            <w:lang w:eastAsia="es-MX"/>
          </w:rPr>
          <w:t>sanantoniolaisla@itaipem.org.mx</w:t>
        </w:r>
      </w:hyperlink>
      <w:r w:rsidRPr="0036167E">
        <w:rPr>
          <w:rFonts w:eastAsia="Palatino Linotype" w:cs="Palatino Linotype"/>
          <w:bCs/>
          <w:i/>
          <w:sz w:val="20"/>
          <w:szCs w:val="20"/>
          <w:lang w:eastAsia="es-MX"/>
        </w:rPr>
        <w:t>...”</w:t>
      </w:r>
    </w:p>
    <w:p w14:paraId="4F95F426" w14:textId="77777777" w:rsidR="00D540F3" w:rsidRPr="0036167E" w:rsidRDefault="00D540F3" w:rsidP="00D540F3">
      <w:pPr>
        <w:tabs>
          <w:tab w:val="left" w:pos="4667"/>
        </w:tabs>
        <w:spacing w:after="0" w:line="360" w:lineRule="auto"/>
        <w:ind w:right="567"/>
        <w:rPr>
          <w:rFonts w:eastAsia="Palatino Linotype" w:cs="Palatino Linotype"/>
          <w:bCs/>
          <w:sz w:val="20"/>
          <w:szCs w:val="20"/>
          <w:lang w:eastAsia="es-MX"/>
        </w:rPr>
      </w:pPr>
    </w:p>
    <w:p w14:paraId="46C42FDE" w14:textId="77777777" w:rsidR="00D540F3" w:rsidRPr="0036167E" w:rsidRDefault="00D540F3" w:rsidP="00D540F3">
      <w:pPr>
        <w:spacing w:after="0" w:line="360" w:lineRule="auto"/>
        <w:rPr>
          <w:rFonts w:eastAsia="Palatino Linotype" w:cs="Palatino Linotype"/>
          <w:lang w:eastAsia="es-MX"/>
        </w:rPr>
      </w:pPr>
      <w:r w:rsidRPr="0036167E">
        <w:rPr>
          <w:rFonts w:eastAsia="Palatino Linotype" w:cs="Palatino Linotype"/>
          <w:lang w:eastAsia="es-MX"/>
        </w:rPr>
        <w:t>Así mismo adjunto la digitalización de los siguientes documentos:</w:t>
      </w:r>
    </w:p>
    <w:p w14:paraId="6F6D3E39" w14:textId="77777777" w:rsidR="00C22637" w:rsidRPr="0036167E" w:rsidRDefault="00C22637" w:rsidP="00D540F3">
      <w:pPr>
        <w:spacing w:after="0" w:line="360" w:lineRule="auto"/>
        <w:rPr>
          <w:rFonts w:eastAsia="Palatino Linotype" w:cs="Palatino Linotype"/>
          <w:lang w:eastAsia="es-MX"/>
        </w:rPr>
      </w:pPr>
    </w:p>
    <w:p w14:paraId="4CF90419" w14:textId="333F328E" w:rsidR="00946D92" w:rsidRPr="0036167E" w:rsidRDefault="00C22637" w:rsidP="00C22637">
      <w:pPr>
        <w:spacing w:after="0" w:line="360" w:lineRule="auto"/>
        <w:rPr>
          <w:rFonts w:eastAsia="Palatino Linotype" w:cs="Palatino Linotype"/>
          <w:lang w:eastAsia="es-MX"/>
        </w:rPr>
      </w:pPr>
      <w:r w:rsidRPr="0036167E">
        <w:rPr>
          <w:rFonts w:eastAsia="Palatino Linotype" w:cs="Palatino Linotype"/>
          <w:lang w:eastAsia="es-MX"/>
        </w:rPr>
        <w:t>i)  Oficio SALI/PM/UT/0268/2024 del once de noviembre de dos mil veinticuatro, suscrito por el Titular de la Unidad de Transparencia, dirigido al Solicitante, por medio del cual  informa que se remite la respuesta de la Dirección de Administración con número de oficio SALI/ADM/0150/2024</w:t>
      </w:r>
      <w:r w:rsidR="00F0199B" w:rsidRPr="0036167E">
        <w:rPr>
          <w:rFonts w:eastAsia="Palatino Linotype" w:cs="Palatino Linotype"/>
          <w:lang w:eastAsia="es-MX"/>
        </w:rPr>
        <w:t>.</w:t>
      </w:r>
    </w:p>
    <w:p w14:paraId="081F026F" w14:textId="77777777" w:rsidR="0033459F" w:rsidRPr="0036167E" w:rsidRDefault="0033459F" w:rsidP="00C22637">
      <w:pPr>
        <w:spacing w:after="0" w:line="360" w:lineRule="auto"/>
        <w:rPr>
          <w:rFonts w:eastAsia="Palatino Linotype" w:cs="Palatino Linotype"/>
          <w:lang w:eastAsia="es-MX"/>
        </w:rPr>
      </w:pPr>
    </w:p>
    <w:p w14:paraId="28AD1D83" w14:textId="1A833014" w:rsidR="0033459F" w:rsidRPr="0036167E" w:rsidRDefault="0033459F" w:rsidP="00C22637">
      <w:pPr>
        <w:spacing w:after="0" w:line="360" w:lineRule="auto"/>
        <w:rPr>
          <w:rFonts w:eastAsia="Palatino Linotype" w:cs="Palatino Linotype"/>
          <w:lang w:eastAsia="es-MX"/>
        </w:rPr>
      </w:pPr>
      <w:r w:rsidRPr="0036167E">
        <w:rPr>
          <w:rFonts w:eastAsia="Palatino Linotype" w:cs="Palatino Linotype"/>
          <w:lang w:eastAsia="es-MX"/>
        </w:rPr>
        <w:t xml:space="preserve">ii) </w:t>
      </w:r>
      <w:r w:rsidR="00267267" w:rsidRPr="0036167E">
        <w:rPr>
          <w:rFonts w:eastAsia="Palatino Linotype" w:cs="Palatino Linotype"/>
          <w:lang w:eastAsia="es-MX"/>
        </w:rPr>
        <w:t>Oficio SALI/ADM/0150/2024</w:t>
      </w:r>
      <w:r w:rsidR="00F0199B" w:rsidRPr="0036167E">
        <w:rPr>
          <w:rFonts w:eastAsia="Palatino Linotype" w:cs="Palatino Linotype"/>
          <w:lang w:eastAsia="es-MX"/>
        </w:rPr>
        <w:t>,</w:t>
      </w:r>
      <w:r w:rsidR="00267267" w:rsidRPr="0036167E">
        <w:rPr>
          <w:rFonts w:eastAsia="Palatino Linotype" w:cs="Palatino Linotype"/>
          <w:lang w:eastAsia="es-MX"/>
        </w:rPr>
        <w:t xml:space="preserve"> del once de noviembre de dos mil veinticuatro, suscrito por el Director de Administración, dirigido a la Unidad de Transparencia, por medio del cual se menciona lo siguiente:</w:t>
      </w:r>
    </w:p>
    <w:p w14:paraId="1452057B" w14:textId="77777777" w:rsidR="00156C58" w:rsidRPr="0036167E" w:rsidRDefault="00156C58" w:rsidP="00C22637">
      <w:pPr>
        <w:spacing w:after="0" w:line="360" w:lineRule="auto"/>
        <w:rPr>
          <w:rFonts w:eastAsia="Palatino Linotype" w:cs="Palatino Linotype"/>
          <w:lang w:eastAsia="es-MX"/>
        </w:rPr>
      </w:pPr>
    </w:p>
    <w:p w14:paraId="29A8FFD3" w14:textId="77777777" w:rsidR="00267267" w:rsidRPr="0036167E" w:rsidRDefault="00156C58" w:rsidP="00156C58">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“…Del análisis del requerimiento de información planteado por el solicitante, se desprende que la presentación consiste en acceder a la información relativa  a   1  requerimiento de acceso a la información pública, consistente en lo siguiente:</w:t>
      </w:r>
    </w:p>
    <w:p w14:paraId="536B07B6" w14:textId="77777777" w:rsidR="00156C58" w:rsidRPr="0036167E" w:rsidRDefault="00156C58" w:rsidP="00156C58">
      <w:pPr>
        <w:tabs>
          <w:tab w:val="left" w:pos="4667"/>
        </w:tabs>
        <w:spacing w:after="0" w:line="360" w:lineRule="auto"/>
        <w:ind w:left="567" w:right="567"/>
        <w:rPr>
          <w:rFonts w:eastAsia="Palatino Linotype" w:cs="Palatino Linotype"/>
          <w:bCs/>
          <w:i/>
          <w:sz w:val="20"/>
          <w:szCs w:val="20"/>
          <w:lang w:eastAsia="es-MX"/>
        </w:rPr>
      </w:pPr>
    </w:p>
    <w:p w14:paraId="4C13A496" w14:textId="77777777" w:rsidR="00156C58" w:rsidRPr="0036167E" w:rsidRDefault="00156C58" w:rsidP="00156C58">
      <w:pPr>
        <w:pStyle w:val="Prrafodelista"/>
        <w:numPr>
          <w:ilvl w:val="0"/>
          <w:numId w:val="9"/>
        </w:numPr>
        <w:tabs>
          <w:tab w:val="left" w:pos="4667"/>
        </w:tabs>
        <w:spacing w:after="0" w:line="360" w:lineRule="auto"/>
        <w:ind w:right="567"/>
        <w:rPr>
          <w:rFonts w:eastAsia="Palatino Linotype" w:cs="Palatino Linotype"/>
          <w:bCs/>
          <w:i/>
          <w:sz w:val="20"/>
          <w:szCs w:val="20"/>
          <w:lang w:eastAsia="es-MX"/>
        </w:rPr>
      </w:pPr>
      <w:r w:rsidRPr="0036167E">
        <w:rPr>
          <w:rFonts w:eastAsia="Palatino Linotype" w:cs="Palatino Linotype"/>
          <w:bCs/>
          <w:i/>
          <w:sz w:val="20"/>
          <w:szCs w:val="20"/>
          <w:lang w:eastAsia="es-MX"/>
        </w:rPr>
        <w:t>NOMBRE DE LOS SERVIDORES PUBLICOS SINDICALIZADOS Y ÁREA DE ADSCRIPCIÓN DE 2019 A 2024.</w:t>
      </w:r>
    </w:p>
    <w:p w14:paraId="289DF5AC" w14:textId="77777777" w:rsidR="000A227F" w:rsidRPr="0036167E" w:rsidRDefault="000A227F" w:rsidP="000A227F">
      <w:pPr>
        <w:pStyle w:val="Prrafodelista"/>
        <w:tabs>
          <w:tab w:val="left" w:pos="4667"/>
        </w:tabs>
        <w:spacing w:after="0" w:line="360" w:lineRule="auto"/>
        <w:ind w:left="927" w:right="567"/>
        <w:rPr>
          <w:rFonts w:eastAsia="Palatino Linotype" w:cs="Palatino Linotype"/>
          <w:bCs/>
          <w:i/>
          <w:sz w:val="20"/>
          <w:szCs w:val="20"/>
          <w:lang w:eastAsia="es-MX"/>
        </w:rPr>
      </w:pPr>
    </w:p>
    <w:p w14:paraId="4EE67F88" w14:textId="77777777" w:rsidR="00156C58" w:rsidRPr="0036167E" w:rsidRDefault="000A227F" w:rsidP="00156C58">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A fin de dar respuesta a dicho requerimiento, a continuación, se realizará su análisis.</w:t>
      </w:r>
    </w:p>
    <w:p w14:paraId="7BB75926" w14:textId="77777777" w:rsidR="00963D42" w:rsidRPr="0036167E" w:rsidRDefault="00963D42" w:rsidP="00156C58">
      <w:pPr>
        <w:tabs>
          <w:tab w:val="left" w:pos="4667"/>
        </w:tabs>
        <w:spacing w:after="0" w:line="360" w:lineRule="auto"/>
        <w:ind w:left="567" w:right="567"/>
        <w:rPr>
          <w:rFonts w:eastAsia="Palatino Linotype" w:cs="Palatino Linotype"/>
          <w:bCs/>
          <w:i/>
          <w:sz w:val="20"/>
          <w:szCs w:val="20"/>
          <w:lang w:eastAsia="es-MX"/>
        </w:rPr>
      </w:pPr>
    </w:p>
    <w:p w14:paraId="43E3F15A" w14:textId="77777777" w:rsidR="00963D42" w:rsidRPr="0036167E" w:rsidRDefault="00963D42" w:rsidP="00156C58">
      <w:pPr>
        <w:tabs>
          <w:tab w:val="left" w:pos="4667"/>
        </w:tabs>
        <w:spacing w:after="0" w:line="360" w:lineRule="auto"/>
        <w:ind w:left="567" w:right="567"/>
        <w:rPr>
          <w:rFonts w:eastAsia="Palatino Linotype" w:cs="Palatino Linotype"/>
          <w:b/>
          <w:bCs/>
          <w:i/>
          <w:sz w:val="20"/>
          <w:szCs w:val="20"/>
          <w:lang w:eastAsia="es-MX"/>
        </w:rPr>
      </w:pPr>
      <w:r w:rsidRPr="0036167E">
        <w:rPr>
          <w:rFonts w:eastAsia="Palatino Linotype" w:cs="Palatino Linotype"/>
          <w:b/>
          <w:bCs/>
          <w:i/>
          <w:sz w:val="20"/>
          <w:szCs w:val="20"/>
          <w:lang w:eastAsia="es-MX"/>
        </w:rPr>
        <w:t xml:space="preserve">Requerimiento 1. </w:t>
      </w:r>
    </w:p>
    <w:p w14:paraId="1AAEEEED" w14:textId="77777777" w:rsidR="00963D42" w:rsidRPr="0036167E" w:rsidRDefault="00963D42" w:rsidP="00156C58">
      <w:pPr>
        <w:tabs>
          <w:tab w:val="left" w:pos="4667"/>
        </w:tabs>
        <w:spacing w:after="0" w:line="360" w:lineRule="auto"/>
        <w:ind w:left="567" w:right="567"/>
        <w:rPr>
          <w:rFonts w:eastAsia="Palatino Linotype" w:cs="Palatino Linotype"/>
          <w:b/>
          <w:bCs/>
          <w:i/>
          <w:sz w:val="20"/>
          <w:szCs w:val="20"/>
          <w:lang w:eastAsia="es-MX"/>
        </w:rPr>
      </w:pPr>
    </w:p>
    <w:p w14:paraId="4410BCC9" w14:textId="77777777" w:rsidR="00963D42" w:rsidRPr="0036167E" w:rsidRDefault="00963D42" w:rsidP="00156C58">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En relación con el requerimiento identificado con el numeral 1, me permito hacer de su conocimiento que, con fundamento en lo dispuesto por el artículo 167, último párrafo de la Ley de Transparencia y Acceso a la Información Pública del Estado de México y Municipios; la información que requiere el solicitante es poseída por el sujeto obligado denominado SUTEYM (Sindicato Único de Trabajadores de los Poderes, Municipios e Instituciones Descentra</w:t>
      </w:r>
      <w:r w:rsidR="00B07A91" w:rsidRPr="0036167E">
        <w:rPr>
          <w:rFonts w:eastAsia="Palatino Linotype" w:cs="Palatino Linotype"/>
          <w:bCs/>
          <w:i/>
          <w:sz w:val="20"/>
          <w:szCs w:val="20"/>
          <w:lang w:eastAsia="es-MX"/>
        </w:rPr>
        <w:t xml:space="preserve"> del Estado de México) y podrá consultarla en la siguiente liga electrónica:</w:t>
      </w:r>
    </w:p>
    <w:p w14:paraId="540513A7" w14:textId="77777777" w:rsidR="00F0199B" w:rsidRPr="0036167E" w:rsidRDefault="00F0199B" w:rsidP="00156C58">
      <w:pPr>
        <w:tabs>
          <w:tab w:val="left" w:pos="4667"/>
        </w:tabs>
        <w:spacing w:after="0" w:line="360" w:lineRule="auto"/>
        <w:ind w:left="567" w:right="567"/>
        <w:rPr>
          <w:rFonts w:eastAsia="Palatino Linotype" w:cs="Palatino Linotype"/>
          <w:bCs/>
          <w:i/>
          <w:sz w:val="20"/>
          <w:szCs w:val="20"/>
          <w:lang w:eastAsia="es-MX"/>
        </w:rPr>
      </w:pPr>
    </w:p>
    <w:p w14:paraId="512737D2" w14:textId="77777777" w:rsidR="00B07A91" w:rsidRPr="0036167E" w:rsidRDefault="00000000" w:rsidP="00B07A91">
      <w:pPr>
        <w:tabs>
          <w:tab w:val="left" w:pos="4667"/>
        </w:tabs>
        <w:spacing w:after="0" w:line="360" w:lineRule="auto"/>
        <w:ind w:left="567" w:right="567"/>
        <w:jc w:val="center"/>
        <w:rPr>
          <w:rFonts w:eastAsia="Palatino Linotype" w:cs="Palatino Linotype"/>
          <w:bCs/>
          <w:i/>
          <w:sz w:val="20"/>
          <w:szCs w:val="20"/>
          <w:lang w:eastAsia="es-MX"/>
        </w:rPr>
      </w:pPr>
      <w:hyperlink r:id="rId9" w:history="1">
        <w:r w:rsidR="00B07A91" w:rsidRPr="0036167E">
          <w:rPr>
            <w:rStyle w:val="Hipervnculo"/>
            <w:rFonts w:eastAsia="Palatino Linotype" w:cs="Palatino Linotype"/>
            <w:bCs/>
            <w:i/>
            <w:sz w:val="20"/>
            <w:szCs w:val="20"/>
            <w:lang w:eastAsia="es-MX"/>
          </w:rPr>
          <w:t>http://www.suteym.org.mx/</w:t>
        </w:r>
      </w:hyperlink>
    </w:p>
    <w:p w14:paraId="68955418" w14:textId="77777777" w:rsidR="00B07A91" w:rsidRPr="0036167E" w:rsidRDefault="00FB7D2F" w:rsidP="00B07A91">
      <w:pPr>
        <w:tabs>
          <w:tab w:val="left" w:pos="4667"/>
        </w:tabs>
        <w:spacing w:after="0" w:line="360" w:lineRule="auto"/>
        <w:ind w:left="567" w:right="567"/>
        <w:rPr>
          <w:rFonts w:eastAsia="Palatino Linotype" w:cs="Palatino Linotype"/>
          <w:bCs/>
          <w:i/>
          <w:sz w:val="20"/>
          <w:szCs w:val="20"/>
          <w:lang w:eastAsia="es-MX"/>
        </w:rPr>
      </w:pPr>
      <w:r w:rsidRPr="0036167E">
        <w:rPr>
          <w:rFonts w:eastAsia="Palatino Linotype" w:cs="Palatino Linotype"/>
          <w:bCs/>
          <w:i/>
          <w:sz w:val="20"/>
          <w:szCs w:val="20"/>
          <w:lang w:eastAsia="es-MX"/>
        </w:rPr>
        <w:t>De este modo, se tiene por desahogado y atendido el requerimiento competencia a esta Dirección de Administración…” (Sic)</w:t>
      </w:r>
    </w:p>
    <w:p w14:paraId="43C810A2" w14:textId="77777777" w:rsidR="00A319FB" w:rsidRPr="0036167E" w:rsidRDefault="00A319FB" w:rsidP="00A319FB">
      <w:pPr>
        <w:spacing w:after="0" w:line="360" w:lineRule="auto"/>
        <w:rPr>
          <w:rFonts w:eastAsia="Palatino Linotype" w:cs="Palatino Linotype"/>
          <w:color w:val="FF0000"/>
          <w:lang w:eastAsia="es-MX"/>
        </w:rPr>
      </w:pPr>
    </w:p>
    <w:p w14:paraId="5645A81A"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t>III. Interposición del Recurso de Revisión</w:t>
      </w:r>
    </w:p>
    <w:p w14:paraId="494ECB08" w14:textId="77777777" w:rsidR="00A319FB" w:rsidRPr="0036167E" w:rsidRDefault="00A319FB" w:rsidP="00A319FB">
      <w:pPr>
        <w:spacing w:after="0" w:line="360" w:lineRule="auto"/>
        <w:rPr>
          <w:rFonts w:eastAsia="Palatino Linotype" w:cs="Palatino Linotype"/>
          <w:b/>
          <w:color w:val="FF0000"/>
          <w:lang w:eastAsia="es-MX"/>
        </w:rPr>
      </w:pPr>
    </w:p>
    <w:p w14:paraId="6ECFC6B9"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lastRenderedPageBreak/>
        <w:t xml:space="preserve">Con fecha </w:t>
      </w:r>
      <w:r w:rsidR="00D17EDE" w:rsidRPr="0036167E">
        <w:rPr>
          <w:rFonts w:eastAsia="Palatino Linotype" w:cs="Palatino Linotype"/>
          <w:lang w:eastAsia="es-MX"/>
        </w:rPr>
        <w:t xml:space="preserve">doce de noviembre de dos mil veinticuatro, </w:t>
      </w:r>
      <w:r w:rsidRPr="0036167E">
        <w:rPr>
          <w:rFonts w:eastAsia="Palatino Linotype" w:cs="Palatino Linotype"/>
          <w:lang w:eastAsia="es-MX"/>
        </w:rPr>
        <w:t>se recibió en este Instituto, a través del Sistema de Acceso a la Información Mexiquense (SAIMEX), Recurso de Revisión interpuesto por la parte Recurrente, en contra de la respuesta del Sujeto Obligado, en los siguientes términos:</w:t>
      </w:r>
    </w:p>
    <w:p w14:paraId="340798B9" w14:textId="77777777" w:rsidR="00A319FB" w:rsidRPr="0036167E" w:rsidRDefault="00A319FB" w:rsidP="00A319FB">
      <w:pPr>
        <w:tabs>
          <w:tab w:val="left" w:pos="4667"/>
        </w:tabs>
        <w:spacing w:after="0" w:line="360" w:lineRule="auto"/>
        <w:ind w:right="567"/>
        <w:rPr>
          <w:rFonts w:eastAsia="Palatino Linotype" w:cs="Palatino Linotype"/>
          <w:b/>
          <w:i/>
          <w:color w:val="FF0000"/>
          <w:sz w:val="20"/>
          <w:szCs w:val="20"/>
          <w:lang w:eastAsia="es-MX"/>
        </w:rPr>
      </w:pPr>
    </w:p>
    <w:p w14:paraId="227AD23E" w14:textId="77777777" w:rsidR="00A319FB" w:rsidRPr="0036167E" w:rsidRDefault="00A319FB" w:rsidP="00A319FB">
      <w:pPr>
        <w:spacing w:after="0" w:line="360" w:lineRule="auto"/>
        <w:ind w:left="567" w:right="567"/>
        <w:rPr>
          <w:rFonts w:eastAsia="Palatino Linotype" w:cs="Palatino Linotype"/>
          <w:b/>
          <w:bCs/>
          <w:i/>
          <w:sz w:val="20"/>
          <w:szCs w:val="20"/>
          <w:lang w:eastAsia="es-MX"/>
        </w:rPr>
      </w:pPr>
      <w:r w:rsidRPr="0036167E">
        <w:rPr>
          <w:rFonts w:eastAsia="Palatino Linotype" w:cs="Palatino Linotype"/>
          <w:b/>
          <w:bCs/>
          <w:i/>
          <w:sz w:val="20"/>
          <w:szCs w:val="20"/>
          <w:lang w:eastAsia="es-MX"/>
        </w:rPr>
        <w:t>“ACTO IMPUGNADO</w:t>
      </w:r>
    </w:p>
    <w:p w14:paraId="5CE0509D" w14:textId="77777777" w:rsidR="00A319FB" w:rsidRPr="0036167E" w:rsidRDefault="00D17EDE" w:rsidP="00A319FB">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NIEGAN INFORMACION</w:t>
      </w:r>
      <w:r w:rsidR="00A319FB" w:rsidRPr="0036167E">
        <w:rPr>
          <w:rFonts w:eastAsia="Palatino Linotype" w:cs="Palatino Linotype"/>
          <w:i/>
          <w:sz w:val="20"/>
          <w:szCs w:val="20"/>
          <w:lang w:eastAsia="es-MX"/>
        </w:rPr>
        <w:t>” (Sic.)</w:t>
      </w:r>
    </w:p>
    <w:p w14:paraId="18B6A64E" w14:textId="77777777" w:rsidR="00A319FB" w:rsidRPr="0036167E" w:rsidRDefault="00A319FB" w:rsidP="00A319FB">
      <w:pPr>
        <w:spacing w:after="0" w:line="360" w:lineRule="auto"/>
        <w:ind w:right="567"/>
        <w:rPr>
          <w:rFonts w:eastAsia="Palatino Linotype" w:cs="Palatino Linotype"/>
          <w:i/>
          <w:sz w:val="20"/>
          <w:szCs w:val="20"/>
          <w:lang w:eastAsia="es-MX"/>
        </w:rPr>
      </w:pPr>
    </w:p>
    <w:p w14:paraId="3216AAEB" w14:textId="77777777" w:rsidR="00A319FB" w:rsidRPr="0036167E" w:rsidRDefault="00A319FB" w:rsidP="00A319FB">
      <w:pPr>
        <w:spacing w:after="0" w:line="360" w:lineRule="auto"/>
        <w:ind w:left="567" w:right="567"/>
        <w:rPr>
          <w:rFonts w:eastAsia="Palatino Linotype" w:cs="Palatino Linotype"/>
          <w:b/>
          <w:bCs/>
          <w:i/>
          <w:sz w:val="20"/>
          <w:szCs w:val="20"/>
          <w:lang w:eastAsia="es-MX"/>
        </w:rPr>
      </w:pPr>
      <w:r w:rsidRPr="0036167E">
        <w:rPr>
          <w:rFonts w:eastAsia="Palatino Linotype" w:cs="Palatino Linotype"/>
          <w:b/>
          <w:bCs/>
          <w:i/>
          <w:sz w:val="20"/>
          <w:szCs w:val="20"/>
          <w:lang w:eastAsia="es-MX"/>
        </w:rPr>
        <w:t>“RAZONES O MOTIVOS DE LA INCONFORMIDAD</w:t>
      </w:r>
    </w:p>
    <w:p w14:paraId="2AA7D622" w14:textId="77777777" w:rsidR="00A319FB" w:rsidRPr="0036167E" w:rsidRDefault="00D17EDE" w:rsidP="00A319FB">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NO ES CREIBLE QUE NO EXISTAN PERSONAS NO SINDICALIZADAS, TANTO EL AYUNTAMIENTO DE SAN ANTONIO Y SINDICATO SON OPACOS EN SU TRANSPARENCIA DE INFORMACIÓN</w:t>
      </w:r>
      <w:r w:rsidR="00A319FB" w:rsidRPr="0036167E">
        <w:rPr>
          <w:rFonts w:eastAsia="Palatino Linotype" w:cs="Palatino Linotype"/>
          <w:i/>
          <w:sz w:val="20"/>
          <w:szCs w:val="20"/>
          <w:lang w:eastAsia="es-MX"/>
        </w:rPr>
        <w:t>” (Sic.)</w:t>
      </w:r>
    </w:p>
    <w:p w14:paraId="03CEAB40" w14:textId="77777777" w:rsidR="00A319FB" w:rsidRPr="0036167E" w:rsidRDefault="00A319FB" w:rsidP="00A319FB">
      <w:pPr>
        <w:spacing w:after="0" w:line="360" w:lineRule="auto"/>
        <w:ind w:left="567" w:right="567"/>
        <w:rPr>
          <w:rFonts w:eastAsia="Palatino Linotype" w:cs="Palatino Linotype"/>
          <w:b/>
          <w:bCs/>
          <w:i/>
          <w:color w:val="FF0000"/>
          <w:sz w:val="20"/>
          <w:szCs w:val="20"/>
          <w:lang w:eastAsia="es-MX"/>
        </w:rPr>
      </w:pPr>
    </w:p>
    <w:p w14:paraId="2A8C6202"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t>IV. Trámite del Recurso de Revisión ante este Instituto</w:t>
      </w:r>
    </w:p>
    <w:p w14:paraId="6698C390" w14:textId="77777777" w:rsidR="00A319FB" w:rsidRPr="0036167E" w:rsidRDefault="00A319FB" w:rsidP="00A319FB">
      <w:pPr>
        <w:spacing w:after="0" w:line="360" w:lineRule="auto"/>
        <w:rPr>
          <w:rFonts w:eastAsia="Palatino Linotype" w:cs="Palatino Linotype"/>
          <w:b/>
          <w:color w:val="FF0000"/>
          <w:lang w:eastAsia="es-MX"/>
        </w:rPr>
      </w:pPr>
    </w:p>
    <w:p w14:paraId="0D93472E"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b/>
          <w:lang w:eastAsia="es-MX"/>
        </w:rPr>
        <w:t xml:space="preserve">a) Turno del Medio de Impugnación. </w:t>
      </w:r>
      <w:r w:rsidRPr="0036167E">
        <w:rPr>
          <w:rFonts w:eastAsia="Palatino Linotype" w:cs="Palatino Linotype"/>
          <w:lang w:eastAsia="es-MX"/>
        </w:rPr>
        <w:t xml:space="preserve">El </w:t>
      </w:r>
      <w:r w:rsidR="00D17EDE" w:rsidRPr="0036167E">
        <w:rPr>
          <w:rFonts w:eastAsia="Palatino Linotype" w:cs="Palatino Linotype"/>
          <w:lang w:eastAsia="es-MX"/>
        </w:rPr>
        <w:t xml:space="preserve">doce de noviembre de dos mil veinticuatro, </w:t>
      </w:r>
      <w:r w:rsidRPr="0036167E">
        <w:rPr>
          <w:rFonts w:eastAsia="Palatino Linotype" w:cs="Palatino Linotype"/>
          <w:lang w:eastAsia="es-MX"/>
        </w:rPr>
        <w:t xml:space="preserve">el Sistema de Acceso a la Información Mexiquense (SAIMEX), asignó el número de expediente </w:t>
      </w:r>
      <w:r w:rsidRPr="0036167E">
        <w:rPr>
          <w:rFonts w:eastAsia="Palatino Linotype" w:cs="Palatino Linotype"/>
          <w:b/>
          <w:lang w:eastAsia="es-MX"/>
        </w:rPr>
        <w:t>0</w:t>
      </w:r>
      <w:r w:rsidR="00D17EDE" w:rsidRPr="0036167E">
        <w:rPr>
          <w:rFonts w:eastAsia="Palatino Linotype" w:cs="Palatino Linotype"/>
          <w:b/>
          <w:lang w:eastAsia="es-MX"/>
        </w:rPr>
        <w:t>7151</w:t>
      </w:r>
      <w:r w:rsidRPr="0036167E">
        <w:rPr>
          <w:rFonts w:eastAsia="Palatino Linotype" w:cs="Palatino Linotype"/>
          <w:b/>
          <w:lang w:eastAsia="es-MX"/>
        </w:rPr>
        <w:t>/INFOEM/IP/RR/2024</w:t>
      </w:r>
      <w:r w:rsidRPr="0036167E">
        <w:rPr>
          <w:rFonts w:eastAsia="Palatino Linotype" w:cs="Palatino Linotype"/>
          <w:lang w:eastAsia="es-MX"/>
        </w:rPr>
        <w:t xml:space="preserve">, al medio de impugnación que nos ocupa, con base en el sistema aprobado por el Pleno de este Organismo Garante y lo turnó al Comisionado Ponente </w:t>
      </w:r>
      <w:r w:rsidRPr="0036167E">
        <w:rPr>
          <w:rFonts w:eastAsia="Palatino Linotype" w:cs="Palatino Linotype"/>
          <w:b/>
          <w:lang w:eastAsia="es-MX"/>
        </w:rPr>
        <w:t>Luis Gustavo Parra Noriega</w:t>
      </w:r>
      <w:r w:rsidRPr="0036167E">
        <w:rPr>
          <w:rFonts w:eastAsia="Palatino Linotype" w:cs="Palatino Linotype"/>
          <w:lang w:eastAsia="es-MX"/>
        </w:rPr>
        <w:t>, para los efectos del artículo 185, fracción I, de la Ley de Transparencia y Acceso a la Información Pública del Estado de México y Municipios.</w:t>
      </w:r>
    </w:p>
    <w:p w14:paraId="661E5759" w14:textId="77777777" w:rsidR="00A319FB" w:rsidRPr="0036167E" w:rsidRDefault="00A319FB" w:rsidP="00A319FB">
      <w:pPr>
        <w:spacing w:after="0" w:line="360" w:lineRule="auto"/>
        <w:rPr>
          <w:rFonts w:eastAsia="Palatino Linotype" w:cs="Palatino Linotype"/>
          <w:color w:val="FF0000"/>
          <w:lang w:eastAsia="es-MX"/>
        </w:rPr>
      </w:pPr>
    </w:p>
    <w:p w14:paraId="3509CE8B"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b/>
          <w:lang w:eastAsia="es-MX"/>
        </w:rPr>
        <w:t xml:space="preserve">b) Admisión del Recurso de Revisión. </w:t>
      </w:r>
      <w:r w:rsidRPr="0036167E">
        <w:rPr>
          <w:rFonts w:eastAsia="Palatino Linotype" w:cs="Palatino Linotype"/>
          <w:lang w:eastAsia="es-MX"/>
        </w:rPr>
        <w:t xml:space="preserve">El </w:t>
      </w:r>
      <w:r w:rsidR="00D17EDE" w:rsidRPr="0036167E">
        <w:rPr>
          <w:rFonts w:eastAsia="Palatino Linotype" w:cs="Palatino Linotype"/>
          <w:lang w:eastAsia="es-MX"/>
        </w:rPr>
        <w:t>quince de noviembre de dos mil veinticuatro</w:t>
      </w:r>
      <w:r w:rsidRPr="0036167E">
        <w:rPr>
          <w:rFonts w:eastAsia="Palatino Linotype" w:cs="Palatino Linotype"/>
          <w:lang w:eastAsia="es-MX"/>
        </w:rPr>
        <w:t>,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w:t>
      </w:r>
      <w:r w:rsidR="00D17EDE" w:rsidRPr="0036167E">
        <w:rPr>
          <w:rFonts w:eastAsia="Palatino Linotype" w:cs="Palatino Linotype"/>
          <w:lang w:eastAsia="es-MX"/>
        </w:rPr>
        <w:t xml:space="preserve"> mismo día</w:t>
      </w:r>
      <w:r w:rsidRPr="0036167E">
        <w:rPr>
          <w:rFonts w:eastAsia="Palatino Linotype" w:cs="Palatino Linotype"/>
          <w:lang w:eastAsia="es-MX"/>
        </w:rPr>
        <w:t xml:space="preserve">, a través del Sistema de Acceso a la Información Mexiquense (SAIMEX), en el que </w:t>
      </w:r>
      <w:r w:rsidRPr="0036167E">
        <w:rPr>
          <w:rFonts w:eastAsia="Palatino Linotype" w:cs="Palatino Linotype"/>
          <w:lang w:eastAsia="es-MX"/>
        </w:rPr>
        <w:lastRenderedPageBreak/>
        <w:t xml:space="preserve">se les otorgó un plazo de siete días hábiles posteriores a la misma, para que manifestaran lo que a su derecho conviniera y formularan alegatos. </w:t>
      </w:r>
    </w:p>
    <w:p w14:paraId="544582D6" w14:textId="77777777" w:rsidR="00A319FB" w:rsidRPr="0036167E" w:rsidRDefault="00A319FB" w:rsidP="00A319FB">
      <w:pPr>
        <w:spacing w:after="0" w:line="360" w:lineRule="auto"/>
        <w:rPr>
          <w:rFonts w:eastAsia="Palatino Linotype" w:cs="Palatino Linotype"/>
          <w:color w:val="FF0000"/>
          <w:lang w:eastAsia="es-MX"/>
        </w:rPr>
      </w:pPr>
    </w:p>
    <w:p w14:paraId="09B92B81"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b/>
          <w:lang w:eastAsia="es-MX"/>
        </w:rPr>
        <w:t xml:space="preserve">c) Informe Justificado o Manifestaciones. </w:t>
      </w:r>
      <w:r w:rsidRPr="0036167E">
        <w:rPr>
          <w:rFonts w:eastAsia="Palatino Linotype" w:cs="Palatino Linotype"/>
          <w:lang w:eastAsia="es-MX"/>
        </w:rPr>
        <w:t xml:space="preserve">El </w:t>
      </w:r>
      <w:r w:rsidR="00D17EDE" w:rsidRPr="0036167E">
        <w:rPr>
          <w:rFonts w:eastAsia="Palatino Linotype" w:cs="Palatino Linotype"/>
          <w:lang w:eastAsia="es-MX"/>
        </w:rPr>
        <w:t xml:space="preserve">veinte de noviembre de dos mil veinticuatro, </w:t>
      </w:r>
      <w:r w:rsidRPr="0036167E">
        <w:rPr>
          <w:rFonts w:eastAsia="Palatino Linotype" w:cs="Palatino Linotype"/>
          <w:lang w:eastAsia="es-MX"/>
        </w:rPr>
        <w:t>se recibió, a través del Sistema de Acceso a la Información Mexiquense (SAIMEX), el Informe Justificado del Sujeto Obligado, por medio de la digitalización del siguiente documento:</w:t>
      </w:r>
    </w:p>
    <w:p w14:paraId="1FC6AC96" w14:textId="77777777" w:rsidR="00A319FB" w:rsidRPr="0036167E" w:rsidRDefault="00A319FB" w:rsidP="00A319FB">
      <w:pPr>
        <w:spacing w:after="0" w:line="360" w:lineRule="auto"/>
        <w:rPr>
          <w:rFonts w:eastAsia="Palatino Linotype" w:cs="Palatino Linotype"/>
          <w:color w:val="FF0000"/>
          <w:lang w:eastAsia="es-MX"/>
        </w:rPr>
      </w:pPr>
    </w:p>
    <w:p w14:paraId="23D7BD3A" w14:textId="77777777" w:rsidR="00D17EDE" w:rsidRPr="0036167E" w:rsidRDefault="00D17EDE" w:rsidP="00A319FB">
      <w:pPr>
        <w:spacing w:after="0" w:line="360" w:lineRule="auto"/>
        <w:rPr>
          <w:rFonts w:eastAsia="Palatino Linotype" w:cs="Palatino Linotype"/>
          <w:lang w:eastAsia="es-MX"/>
        </w:rPr>
      </w:pPr>
      <w:r w:rsidRPr="0036167E">
        <w:rPr>
          <w:rFonts w:eastAsia="Palatino Linotype" w:cs="Palatino Linotype"/>
          <w:lang w:eastAsia="es-MX"/>
        </w:rPr>
        <w:t xml:space="preserve">i) </w:t>
      </w:r>
      <w:r w:rsidR="00E32855" w:rsidRPr="0036167E">
        <w:rPr>
          <w:rFonts w:eastAsia="Palatino Linotype" w:cs="Palatino Linotype"/>
          <w:lang w:eastAsia="es-MX"/>
        </w:rPr>
        <w:t xml:space="preserve">Oficio SALI/UT/0271/2024 de fecha veinte de noviembre de dos mil veinticuatro, suscrito por el Titular de la Unidad de Transparencia, dirigido al Comisionado, por medio del cual menciona lo siguiente: </w:t>
      </w:r>
    </w:p>
    <w:p w14:paraId="737F64E0" w14:textId="77777777" w:rsidR="00F0199B" w:rsidRPr="0036167E" w:rsidRDefault="00F0199B" w:rsidP="00A319FB">
      <w:pPr>
        <w:spacing w:after="0" w:line="360" w:lineRule="auto"/>
        <w:rPr>
          <w:rFonts w:eastAsia="Palatino Linotype" w:cs="Palatino Linotype"/>
          <w:lang w:eastAsia="es-MX"/>
        </w:rPr>
      </w:pPr>
    </w:p>
    <w:p w14:paraId="26831F88" w14:textId="77777777" w:rsidR="00E32855" w:rsidRPr="0036167E" w:rsidRDefault="00B83DE0" w:rsidP="00B83DE0">
      <w:pPr>
        <w:spacing w:after="0" w:line="360" w:lineRule="auto"/>
        <w:ind w:left="567" w:right="567"/>
        <w:jc w:val="center"/>
        <w:rPr>
          <w:rFonts w:eastAsia="Palatino Linotype" w:cs="Palatino Linotype"/>
          <w:b/>
          <w:i/>
          <w:sz w:val="20"/>
          <w:szCs w:val="20"/>
          <w:lang w:eastAsia="es-MX"/>
        </w:rPr>
      </w:pPr>
      <w:r w:rsidRPr="0036167E">
        <w:rPr>
          <w:rFonts w:eastAsia="Palatino Linotype" w:cs="Palatino Linotype"/>
          <w:i/>
          <w:sz w:val="20"/>
          <w:szCs w:val="20"/>
          <w:lang w:eastAsia="es-MX"/>
        </w:rPr>
        <w:t>“…</w:t>
      </w:r>
      <w:r w:rsidRPr="0036167E">
        <w:rPr>
          <w:rFonts w:eastAsia="Palatino Linotype" w:cs="Palatino Linotype"/>
          <w:b/>
          <w:i/>
          <w:sz w:val="20"/>
          <w:szCs w:val="20"/>
          <w:lang w:eastAsia="es-MX"/>
        </w:rPr>
        <w:t>MANIFESTACIÓNES</w:t>
      </w:r>
    </w:p>
    <w:p w14:paraId="0F5D667F" w14:textId="77777777" w:rsidR="00B83DE0" w:rsidRPr="0036167E" w:rsidRDefault="00B83DE0" w:rsidP="00B83DE0">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De la lectura de las causas de inconformidad presentadas por la recurrente, se vislumbra que su descontento con la respuesta otorgada por este sujeto obligado al señalar que se oculta información por parte de este Sujeto Obligado; sin que la misma se fundamente en las causales consideradas por el artículo 179 de la Ley de Transparencia y Acceso a la Información Pública del Estado de México y Municipios.</w:t>
      </w:r>
    </w:p>
    <w:p w14:paraId="0D31D18F" w14:textId="77777777" w:rsidR="00B83DE0" w:rsidRPr="0036167E" w:rsidRDefault="00B83DE0" w:rsidP="00B83DE0">
      <w:pPr>
        <w:spacing w:after="0" w:line="360" w:lineRule="auto"/>
        <w:ind w:left="567" w:right="567"/>
        <w:rPr>
          <w:rFonts w:eastAsia="Palatino Linotype" w:cs="Palatino Linotype"/>
          <w:i/>
          <w:sz w:val="20"/>
          <w:szCs w:val="20"/>
          <w:lang w:eastAsia="es-MX"/>
        </w:rPr>
      </w:pPr>
    </w:p>
    <w:p w14:paraId="4B411000" w14:textId="77777777" w:rsidR="006E3EB7" w:rsidRPr="0036167E" w:rsidRDefault="006E3EB7" w:rsidP="00B83DE0">
      <w:pPr>
        <w:spacing w:after="0" w:line="360" w:lineRule="auto"/>
        <w:ind w:left="567" w:right="567"/>
        <w:rPr>
          <w:rFonts w:eastAsia="Palatino Linotype" w:cs="Palatino Linotype"/>
          <w:b/>
          <w:i/>
          <w:sz w:val="20"/>
          <w:szCs w:val="20"/>
          <w:lang w:eastAsia="es-MX"/>
        </w:rPr>
      </w:pPr>
      <w:r w:rsidRPr="0036167E">
        <w:rPr>
          <w:rFonts w:eastAsia="Palatino Linotype" w:cs="Palatino Linotype"/>
          <w:b/>
          <w:i/>
          <w:sz w:val="20"/>
          <w:szCs w:val="20"/>
          <w:lang w:eastAsia="es-MX"/>
        </w:rPr>
        <w:t>Motivo de inconformidad.</w:t>
      </w:r>
    </w:p>
    <w:p w14:paraId="1A0F9A8E" w14:textId="77777777" w:rsidR="006E3EB7" w:rsidRPr="0036167E" w:rsidRDefault="006E3EB7" w:rsidP="00B83DE0">
      <w:pPr>
        <w:spacing w:after="0" w:line="360" w:lineRule="auto"/>
        <w:ind w:left="567" w:right="567"/>
        <w:rPr>
          <w:rFonts w:eastAsia="Palatino Linotype" w:cs="Palatino Linotype"/>
          <w:b/>
          <w:i/>
          <w:sz w:val="20"/>
          <w:szCs w:val="20"/>
          <w:lang w:eastAsia="es-MX"/>
        </w:rPr>
      </w:pPr>
    </w:p>
    <w:p w14:paraId="63A90928" w14:textId="77777777" w:rsidR="00A319FB" w:rsidRPr="0036167E" w:rsidRDefault="006E3EB7" w:rsidP="006E3EB7">
      <w:pPr>
        <w:spacing w:after="0" w:line="360" w:lineRule="auto"/>
        <w:ind w:left="567" w:right="567"/>
        <w:rPr>
          <w:rFonts w:eastAsia="Palatino Linotype" w:cs="Palatino Linotype"/>
          <w:b/>
          <w:i/>
          <w:sz w:val="20"/>
          <w:szCs w:val="20"/>
          <w:lang w:eastAsia="es-MX"/>
        </w:rPr>
      </w:pPr>
      <w:r w:rsidRPr="0036167E">
        <w:rPr>
          <w:rFonts w:eastAsia="Palatino Linotype" w:cs="Palatino Linotype"/>
          <w:b/>
          <w:i/>
          <w:sz w:val="20"/>
          <w:szCs w:val="20"/>
          <w:lang w:eastAsia="es-MX"/>
        </w:rPr>
        <w:t xml:space="preserve"> “Negativa de la información.”</w:t>
      </w:r>
    </w:p>
    <w:p w14:paraId="66D13FFC" w14:textId="77777777" w:rsidR="006E3EB7" w:rsidRPr="0036167E" w:rsidRDefault="00880E0D" w:rsidP="006E3EB7">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De las razones o motivos de inconformidad, se advierte en primer lugar que este sujeto obligado dio atención oportuna a la solicitud de acceso a la información pública con número de folio 00135/ANTOISLA/IP/2024, observando el procedimiento correcto para la misma, conforme a lo dispuesto por la Ley de Transparencia y Acceso a la Información Pública del Estado de México y Municipios.</w:t>
      </w:r>
    </w:p>
    <w:p w14:paraId="04909B70" w14:textId="77777777" w:rsidR="00977F19" w:rsidRPr="0036167E" w:rsidRDefault="00977F19" w:rsidP="006E3EB7">
      <w:pPr>
        <w:spacing w:after="0" w:line="360" w:lineRule="auto"/>
        <w:ind w:left="567" w:right="567"/>
      </w:pPr>
    </w:p>
    <w:p w14:paraId="3AA7D8F3" w14:textId="77777777" w:rsidR="00880E0D" w:rsidRPr="0036167E" w:rsidRDefault="00977F19" w:rsidP="006E3EB7">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lastRenderedPageBreak/>
        <w:t xml:space="preserve">En segundo lugar, se reitera al ahora recurrente que no se negó la información, por </w:t>
      </w:r>
      <w:proofErr w:type="spellStart"/>
      <w:r w:rsidRPr="0036167E">
        <w:rPr>
          <w:rFonts w:eastAsia="Palatino Linotype" w:cs="Palatino Linotype"/>
          <w:i/>
          <w:sz w:val="20"/>
          <w:szCs w:val="20"/>
          <w:lang w:eastAsia="es-MX"/>
        </w:rPr>
        <w:t>le</w:t>
      </w:r>
      <w:proofErr w:type="spellEnd"/>
      <w:r w:rsidRPr="0036167E">
        <w:rPr>
          <w:rFonts w:eastAsia="Palatino Linotype" w:cs="Palatino Linotype"/>
          <w:i/>
          <w:sz w:val="20"/>
          <w:szCs w:val="20"/>
          <w:lang w:eastAsia="es-MX"/>
        </w:rPr>
        <w:t xml:space="preserve"> contrario, se le hace del conocimiento el sujeto obligado responsable de poseer la información que requiere.</w:t>
      </w:r>
    </w:p>
    <w:p w14:paraId="543AC422" w14:textId="77777777" w:rsidR="00977F19" w:rsidRPr="0036167E" w:rsidRDefault="00977F19" w:rsidP="006E3EB7">
      <w:pPr>
        <w:spacing w:after="0" w:line="360" w:lineRule="auto"/>
        <w:ind w:left="567" w:right="567"/>
        <w:rPr>
          <w:rFonts w:eastAsia="Palatino Linotype" w:cs="Palatino Linotype"/>
          <w:i/>
          <w:sz w:val="20"/>
          <w:szCs w:val="20"/>
          <w:lang w:eastAsia="es-MX"/>
        </w:rPr>
      </w:pPr>
    </w:p>
    <w:p w14:paraId="6D832EBB" w14:textId="77777777" w:rsidR="00977F19" w:rsidRPr="0036167E" w:rsidRDefault="00977F19" w:rsidP="006E3EB7">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Por lo anteriormente expuesto:</w:t>
      </w:r>
    </w:p>
    <w:p w14:paraId="5CA4A8BA" w14:textId="77777777" w:rsidR="0001652B" w:rsidRPr="0036167E" w:rsidRDefault="0001652B" w:rsidP="006E3EB7">
      <w:pPr>
        <w:spacing w:after="0" w:line="360" w:lineRule="auto"/>
        <w:ind w:left="567" w:right="567"/>
        <w:rPr>
          <w:rFonts w:eastAsia="Palatino Linotype" w:cs="Palatino Linotype"/>
          <w:i/>
          <w:sz w:val="20"/>
          <w:szCs w:val="20"/>
          <w:lang w:eastAsia="es-MX"/>
        </w:rPr>
      </w:pPr>
    </w:p>
    <w:p w14:paraId="33E9DDE2" w14:textId="77777777" w:rsidR="0001652B" w:rsidRPr="0036167E" w:rsidRDefault="0001652B" w:rsidP="006E3EB7">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Se hace del conocimiento que no se actualiza ninguno de los supuestos previstos en el artículo 179 de la Ley de Transparencia y Acceso a la Información Pública del Estado de México y Municipios; por lo cual se solicita sea desechado por improcedente el presente recurso.</w:t>
      </w:r>
    </w:p>
    <w:p w14:paraId="2DF1F9AD" w14:textId="77777777" w:rsidR="0001652B" w:rsidRPr="0036167E" w:rsidRDefault="0001652B" w:rsidP="006E3EB7">
      <w:pPr>
        <w:spacing w:after="0" w:line="360" w:lineRule="auto"/>
        <w:ind w:left="567" w:right="567"/>
        <w:rPr>
          <w:rFonts w:eastAsia="Palatino Linotype" w:cs="Palatino Linotype"/>
          <w:i/>
          <w:sz w:val="20"/>
          <w:szCs w:val="20"/>
          <w:lang w:eastAsia="es-MX"/>
        </w:rPr>
      </w:pPr>
    </w:p>
    <w:p w14:paraId="37041BC5" w14:textId="77777777" w:rsidR="00A319FB" w:rsidRPr="0036167E" w:rsidRDefault="0001652B" w:rsidP="009C4EFF">
      <w:pPr>
        <w:spacing w:after="0" w:line="360" w:lineRule="auto"/>
        <w:ind w:left="567" w:right="567"/>
        <w:rPr>
          <w:rFonts w:eastAsia="Palatino Linotype" w:cs="Palatino Linotype"/>
          <w:i/>
          <w:sz w:val="20"/>
          <w:szCs w:val="20"/>
          <w:lang w:eastAsia="es-MX"/>
        </w:rPr>
      </w:pPr>
      <w:r w:rsidRPr="0036167E">
        <w:rPr>
          <w:rFonts w:eastAsia="Palatino Linotype" w:cs="Palatino Linotype"/>
          <w:i/>
          <w:sz w:val="20"/>
          <w:szCs w:val="20"/>
          <w:lang w:eastAsia="es-MX"/>
        </w:rPr>
        <w:t>Así mismo, con fundamento en lo dispuesto por el artículo 191, fracción V, de la Ley de Transparencia y Acceso a la Información Pública del Estado de México y Municipios; se solicita sea desechado por improcedente el presente recurso…”</w:t>
      </w:r>
      <w:r w:rsidR="00E126E5" w:rsidRPr="0036167E">
        <w:rPr>
          <w:rFonts w:eastAsia="Palatino Linotype" w:cs="Palatino Linotype"/>
          <w:i/>
          <w:sz w:val="20"/>
          <w:szCs w:val="20"/>
          <w:lang w:eastAsia="es-MX"/>
        </w:rPr>
        <w:t xml:space="preserve"> (Sic)</w:t>
      </w:r>
    </w:p>
    <w:p w14:paraId="33AA17B4" w14:textId="77777777" w:rsidR="00A319FB" w:rsidRPr="0036167E" w:rsidRDefault="00A319FB" w:rsidP="00A319FB">
      <w:pPr>
        <w:spacing w:after="0" w:line="360" w:lineRule="auto"/>
        <w:rPr>
          <w:rFonts w:eastAsia="Palatino Linotype" w:cs="Palatino Linotype"/>
          <w:i/>
          <w:color w:val="FF0000"/>
          <w:sz w:val="20"/>
          <w:szCs w:val="20"/>
          <w:lang w:eastAsia="es-MX"/>
        </w:rPr>
      </w:pPr>
    </w:p>
    <w:p w14:paraId="1F5C24A4" w14:textId="77777777" w:rsidR="00A319FB" w:rsidRPr="0036167E" w:rsidRDefault="009C4EFF" w:rsidP="00A319FB">
      <w:pPr>
        <w:spacing w:after="0" w:line="360" w:lineRule="auto"/>
        <w:rPr>
          <w:rFonts w:eastAsia="Palatino Linotype" w:cs="Palatino Linotype"/>
          <w:lang w:eastAsia="es-MX"/>
        </w:rPr>
      </w:pPr>
      <w:r w:rsidRPr="0036167E">
        <w:rPr>
          <w:rFonts w:eastAsia="Palatino Linotype" w:cs="Palatino Linotype"/>
          <w:b/>
          <w:bCs/>
          <w:lang w:eastAsia="es-MX"/>
        </w:rPr>
        <w:t>d</w:t>
      </w:r>
      <w:r w:rsidR="00A319FB" w:rsidRPr="0036167E">
        <w:rPr>
          <w:rFonts w:eastAsia="Palatino Linotype" w:cs="Palatino Linotype"/>
          <w:b/>
          <w:bCs/>
          <w:lang w:eastAsia="es-MX"/>
        </w:rPr>
        <w:t xml:space="preserve">) Vista del Informe Justificado. </w:t>
      </w:r>
      <w:r w:rsidR="00A319FB" w:rsidRPr="0036167E">
        <w:rPr>
          <w:rFonts w:eastAsia="Palatino Linotype" w:cs="Palatino Linotype"/>
          <w:lang w:eastAsia="es-MX"/>
        </w:rPr>
        <w:t xml:space="preserve">El </w:t>
      </w:r>
      <w:r w:rsidRPr="0036167E">
        <w:rPr>
          <w:rFonts w:eastAsia="Palatino Linotype" w:cs="Palatino Linotype"/>
          <w:lang w:eastAsia="es-MX"/>
        </w:rPr>
        <w:t xml:space="preserve">veintiséis de noviembre </w:t>
      </w:r>
      <w:r w:rsidR="00A319FB" w:rsidRPr="0036167E">
        <w:rPr>
          <w:rFonts w:eastAsia="Palatino Linotype" w:cs="Palatino Linotype"/>
          <w:lang w:eastAsia="es-MX"/>
        </w:rPr>
        <w:t xml:space="preserve">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w:t>
      </w:r>
      <w:r w:rsidR="00A319FB" w:rsidRPr="0036167E">
        <w:rPr>
          <w:rFonts w:eastAsia="Palatino Linotype" w:cs="Palatino Linotype"/>
          <w:b/>
          <w:bCs/>
          <w:lang w:eastAsia="es-MX"/>
        </w:rPr>
        <w:t>Cabe señalar que la persona Recurrente fue omisa en realizar alguna manifestación que a su derecho conviniera y asistiera.</w:t>
      </w:r>
    </w:p>
    <w:p w14:paraId="2CF66FA9" w14:textId="77777777" w:rsidR="00A319FB" w:rsidRPr="0036167E" w:rsidRDefault="00A319FB" w:rsidP="00A319FB">
      <w:pPr>
        <w:spacing w:after="0" w:line="360" w:lineRule="auto"/>
        <w:rPr>
          <w:rFonts w:eastAsia="Palatino Linotype" w:cs="Palatino Linotype"/>
          <w:color w:val="FF0000"/>
          <w:lang w:eastAsia="es-MX"/>
        </w:rPr>
      </w:pPr>
    </w:p>
    <w:p w14:paraId="05267632" w14:textId="77777777" w:rsidR="00A319FB" w:rsidRPr="0036167E" w:rsidRDefault="00F7427A" w:rsidP="00A319FB">
      <w:pPr>
        <w:spacing w:after="0" w:line="360" w:lineRule="auto"/>
        <w:rPr>
          <w:rFonts w:eastAsia="Palatino Linotype" w:cs="Palatino Linotype"/>
          <w:lang w:eastAsia="es-MX"/>
        </w:rPr>
      </w:pPr>
      <w:r w:rsidRPr="0036167E">
        <w:rPr>
          <w:rFonts w:eastAsia="Palatino Linotype" w:cs="Palatino Linotype"/>
          <w:b/>
          <w:lang w:eastAsia="es-MX"/>
        </w:rPr>
        <w:t>e</w:t>
      </w:r>
      <w:r w:rsidR="00A319FB" w:rsidRPr="0036167E">
        <w:rPr>
          <w:rFonts w:eastAsia="Palatino Linotype" w:cs="Palatino Linotype"/>
          <w:b/>
          <w:lang w:eastAsia="es-MX"/>
        </w:rPr>
        <w:t>) Cierre de instrucción.</w:t>
      </w:r>
      <w:r w:rsidR="00A319FB" w:rsidRPr="0036167E">
        <w:rPr>
          <w:rFonts w:eastAsia="Palatino Linotype" w:cs="Palatino Linotype"/>
          <w:lang w:eastAsia="es-MX"/>
        </w:rPr>
        <w:t xml:space="preserve">  El  </w:t>
      </w:r>
      <w:r w:rsidRPr="0036167E">
        <w:rPr>
          <w:rFonts w:eastAsia="Palatino Linotype" w:cs="Palatino Linotype"/>
          <w:lang w:eastAsia="es-MX"/>
        </w:rPr>
        <w:t xml:space="preserve">dos de diciembre de </w:t>
      </w:r>
      <w:r w:rsidR="00A319FB" w:rsidRPr="0036167E">
        <w:rPr>
          <w:rFonts w:eastAsia="Palatino Linotype" w:cs="Palatino Linotype"/>
          <w:lang w:eastAsia="es-MX"/>
        </w:rPr>
        <w:t xml:space="preserve">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debidamente notificado a las partes el catorce de dicho mes y año, a través del Sistema de Acceso a la Información Mexiquense (SAIMEX). </w:t>
      </w:r>
    </w:p>
    <w:p w14:paraId="2F9120CD" w14:textId="77777777" w:rsidR="00A319FB" w:rsidRPr="0036167E" w:rsidRDefault="00A319FB" w:rsidP="00A319FB">
      <w:pPr>
        <w:spacing w:after="0" w:line="360" w:lineRule="auto"/>
        <w:rPr>
          <w:rFonts w:eastAsia="Palatino Linotype" w:cs="Palatino Linotype"/>
          <w:lang w:eastAsia="es-MX"/>
        </w:rPr>
      </w:pPr>
    </w:p>
    <w:p w14:paraId="6DA41AA2"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lastRenderedPageBreak/>
        <w:t xml:space="preserve">En razón de que fue debidamente sustanciado el expediente electrónico y no existe diligencia pendiente de desahogo, se emite la resolución que conforme a Derecho proceda, de acuerdo a los siguientes: </w:t>
      </w:r>
    </w:p>
    <w:p w14:paraId="4B9EA19A" w14:textId="77777777" w:rsidR="00A319FB" w:rsidRPr="0036167E" w:rsidRDefault="00A319FB" w:rsidP="00A319FB">
      <w:pPr>
        <w:spacing w:after="0" w:line="360" w:lineRule="auto"/>
        <w:rPr>
          <w:rFonts w:eastAsia="Palatino Linotype" w:cs="Palatino Linotype"/>
          <w:color w:val="FF0000"/>
          <w:lang w:eastAsia="es-MX"/>
        </w:rPr>
      </w:pPr>
    </w:p>
    <w:p w14:paraId="1FAA6864" w14:textId="77777777" w:rsidR="00A319FB" w:rsidRPr="0036167E" w:rsidRDefault="00A319FB" w:rsidP="00A319FB">
      <w:pPr>
        <w:spacing w:after="0" w:line="360" w:lineRule="auto"/>
        <w:jc w:val="center"/>
        <w:rPr>
          <w:rFonts w:eastAsia="Palatino Linotype" w:cs="Palatino Linotype"/>
          <w:b/>
          <w:lang w:eastAsia="es-MX"/>
        </w:rPr>
      </w:pPr>
      <w:r w:rsidRPr="0036167E">
        <w:rPr>
          <w:rFonts w:eastAsia="Palatino Linotype" w:cs="Palatino Linotype"/>
          <w:b/>
          <w:lang w:eastAsia="es-MX"/>
        </w:rPr>
        <w:t>CONSIDERANDOS</w:t>
      </w:r>
    </w:p>
    <w:p w14:paraId="677376D4" w14:textId="77777777" w:rsidR="00A319FB" w:rsidRPr="0036167E" w:rsidRDefault="00A319FB" w:rsidP="00A319FB">
      <w:pPr>
        <w:spacing w:after="0" w:line="360" w:lineRule="auto"/>
        <w:rPr>
          <w:rFonts w:eastAsia="Palatino Linotype" w:cs="Palatino Linotype"/>
          <w:b/>
          <w:color w:val="FF0000"/>
          <w:lang w:eastAsia="es-MX"/>
        </w:rPr>
      </w:pPr>
    </w:p>
    <w:p w14:paraId="53A28D30"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t>PRIMERO</w:t>
      </w:r>
      <w:r w:rsidRPr="0036167E">
        <w:rPr>
          <w:rFonts w:eastAsia="Palatino Linotype" w:cs="Palatino Linotype"/>
          <w:lang w:eastAsia="es-MX"/>
        </w:rPr>
        <w:t xml:space="preserve">. </w:t>
      </w:r>
      <w:r w:rsidRPr="0036167E">
        <w:rPr>
          <w:rFonts w:eastAsia="Palatino Linotype" w:cs="Palatino Linotype"/>
          <w:b/>
          <w:lang w:eastAsia="es-MX"/>
        </w:rPr>
        <w:t>Competencia</w:t>
      </w:r>
    </w:p>
    <w:p w14:paraId="1E0F530A" w14:textId="77777777" w:rsidR="00A319FB" w:rsidRPr="0036167E" w:rsidRDefault="00A319FB" w:rsidP="00A319FB">
      <w:pPr>
        <w:spacing w:after="0" w:line="360" w:lineRule="auto"/>
        <w:rPr>
          <w:rFonts w:eastAsia="Palatino Linotype" w:cs="Palatino Linotype"/>
          <w:b/>
          <w:color w:val="FF0000"/>
          <w:lang w:eastAsia="es-MX"/>
        </w:rPr>
      </w:pPr>
    </w:p>
    <w:p w14:paraId="4CF16FFD"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5621014" w14:textId="77777777" w:rsidR="00A319FB" w:rsidRPr="0036167E" w:rsidRDefault="00A319FB" w:rsidP="00A319FB">
      <w:pPr>
        <w:spacing w:after="0" w:line="360" w:lineRule="auto"/>
        <w:rPr>
          <w:rFonts w:eastAsia="Palatino Linotype" w:cs="Palatino Linotype"/>
          <w:b/>
          <w:lang w:eastAsia="es-MX"/>
        </w:rPr>
      </w:pPr>
    </w:p>
    <w:p w14:paraId="7E0FC0EE"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t>SEGUNDO</w:t>
      </w:r>
      <w:r w:rsidRPr="0036167E">
        <w:rPr>
          <w:rFonts w:eastAsia="Palatino Linotype" w:cs="Palatino Linotype"/>
          <w:lang w:eastAsia="es-MX"/>
        </w:rPr>
        <w:t xml:space="preserve">. </w:t>
      </w:r>
      <w:r w:rsidRPr="0036167E">
        <w:rPr>
          <w:rFonts w:eastAsia="Palatino Linotype" w:cs="Palatino Linotype"/>
          <w:b/>
          <w:lang w:eastAsia="es-MX"/>
        </w:rPr>
        <w:t>Causales de improcedencia y sobreseimiento</w:t>
      </w:r>
    </w:p>
    <w:p w14:paraId="3D69595B" w14:textId="77777777" w:rsidR="00A319FB" w:rsidRPr="0036167E" w:rsidRDefault="00A319FB" w:rsidP="00A319FB">
      <w:pPr>
        <w:spacing w:after="0" w:line="360" w:lineRule="auto"/>
        <w:rPr>
          <w:rFonts w:eastAsia="Palatino Linotype" w:cs="Palatino Linotype"/>
          <w:b/>
          <w:color w:val="FF0000"/>
          <w:lang w:eastAsia="es-MX"/>
        </w:rPr>
      </w:pPr>
    </w:p>
    <w:p w14:paraId="0D95CB4F"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 xml:space="preserve">De las constancias que forma parte del Recurso de Revisión que se analiza, se advierte que previo al estudio del fondo de la </w:t>
      </w:r>
      <w:r w:rsidRPr="0036167E">
        <w:rPr>
          <w:rFonts w:eastAsia="Palatino Linotype" w:cs="Palatino Linotype"/>
          <w:i/>
          <w:lang w:eastAsia="es-MX"/>
        </w:rPr>
        <w:t>litis</w:t>
      </w:r>
      <w:r w:rsidRPr="0036167E">
        <w:rPr>
          <w:rFonts w:eastAsia="Palatino Linotype" w:cs="Palatino Linotype"/>
          <w:lang w:eastAsia="es-MX"/>
        </w:rPr>
        <w:t>, es necesario estudiar las causales de improcedencia y sobreseimiento que se adviertan, para determinar lo que en Derecho proceda.</w:t>
      </w:r>
    </w:p>
    <w:p w14:paraId="46A5419B" w14:textId="77777777" w:rsidR="00A319FB" w:rsidRPr="0036167E" w:rsidRDefault="00A319FB" w:rsidP="00A319FB">
      <w:pPr>
        <w:spacing w:after="0" w:line="360" w:lineRule="auto"/>
        <w:rPr>
          <w:rFonts w:eastAsia="Palatino Linotype" w:cs="Palatino Linotype"/>
          <w:lang w:eastAsia="es-MX"/>
        </w:rPr>
      </w:pPr>
    </w:p>
    <w:p w14:paraId="4CD2C215"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lastRenderedPageBreak/>
        <w:t>Causales de improcedencia</w:t>
      </w:r>
    </w:p>
    <w:p w14:paraId="4C6C7340" w14:textId="77777777" w:rsidR="00A319FB" w:rsidRPr="0036167E" w:rsidRDefault="00A319FB" w:rsidP="00A319FB">
      <w:pPr>
        <w:spacing w:after="0" w:line="360" w:lineRule="auto"/>
        <w:rPr>
          <w:rFonts w:eastAsia="Palatino Linotype" w:cs="Palatino Linotype"/>
          <w:color w:val="FF0000"/>
          <w:lang w:eastAsia="es-MX"/>
        </w:rPr>
      </w:pPr>
    </w:p>
    <w:p w14:paraId="778E2CFF"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4612F2B" w14:textId="77777777" w:rsidR="00A319FB" w:rsidRPr="0036167E" w:rsidRDefault="00A319FB" w:rsidP="00A319FB">
      <w:pPr>
        <w:spacing w:after="0" w:line="360" w:lineRule="auto"/>
        <w:rPr>
          <w:rFonts w:eastAsia="Palatino Linotype" w:cs="Palatino Linotype"/>
          <w:lang w:eastAsia="es-MX"/>
        </w:rPr>
      </w:pPr>
    </w:p>
    <w:p w14:paraId="3F5B5A44"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En el presente caso, </w:t>
      </w:r>
      <w:r w:rsidRPr="0036167E">
        <w:rPr>
          <w:rFonts w:eastAsia="Palatino Linotype" w:cs="Palatino Linotype"/>
          <w:b/>
          <w:lang w:eastAsia="es-MX"/>
        </w:rPr>
        <w:t>no se actualiza ninguna de las causales de improcedencia</w:t>
      </w:r>
      <w:r w:rsidRPr="0036167E">
        <w:rPr>
          <w:rFonts w:eastAsia="Palatino Linotype" w:cs="Palatino Linotype"/>
          <w:lang w:eastAsia="es-MX"/>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EA2ADC8" w14:textId="77777777" w:rsidR="00A319FB" w:rsidRPr="0036167E" w:rsidRDefault="00A319FB" w:rsidP="00A319FB">
      <w:pPr>
        <w:spacing w:after="0" w:line="360" w:lineRule="auto"/>
        <w:rPr>
          <w:rFonts w:eastAsia="Palatino Linotype" w:cs="Palatino Linotype"/>
          <w:lang w:eastAsia="es-MX"/>
        </w:rPr>
      </w:pPr>
    </w:p>
    <w:p w14:paraId="31F1ABA5" w14:textId="1C84FB05"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Por lo cual, se actualiza la</w:t>
      </w:r>
      <w:r w:rsidR="00F7427A" w:rsidRPr="0036167E">
        <w:rPr>
          <w:rFonts w:eastAsia="Palatino Linotype" w:cs="Palatino Linotype"/>
          <w:lang w:eastAsia="es-MX"/>
        </w:rPr>
        <w:t>s</w:t>
      </w:r>
      <w:r w:rsidRPr="0036167E">
        <w:rPr>
          <w:rFonts w:eastAsia="Palatino Linotype" w:cs="Palatino Linotype"/>
          <w:lang w:eastAsia="es-MX"/>
        </w:rPr>
        <w:t xml:space="preserve"> causal</w:t>
      </w:r>
      <w:r w:rsidR="00F7427A" w:rsidRPr="0036167E">
        <w:rPr>
          <w:rFonts w:eastAsia="Palatino Linotype" w:cs="Palatino Linotype"/>
          <w:lang w:eastAsia="es-MX"/>
        </w:rPr>
        <w:t>es</w:t>
      </w:r>
      <w:r w:rsidRPr="0036167E">
        <w:rPr>
          <w:rFonts w:eastAsia="Palatino Linotype" w:cs="Palatino Linotype"/>
          <w:lang w:eastAsia="es-MX"/>
        </w:rPr>
        <w:t xml:space="preserve"> de procedencia del Recurso de Revisión señalada</w:t>
      </w:r>
      <w:r w:rsidR="00F7427A" w:rsidRPr="0036167E">
        <w:rPr>
          <w:rFonts w:eastAsia="Palatino Linotype" w:cs="Palatino Linotype"/>
          <w:lang w:eastAsia="es-MX"/>
        </w:rPr>
        <w:t>s en el artículo 179, fracci</w:t>
      </w:r>
      <w:r w:rsidR="00F0199B" w:rsidRPr="0036167E">
        <w:rPr>
          <w:rFonts w:eastAsia="Palatino Linotype" w:cs="Palatino Linotype"/>
          <w:lang w:eastAsia="es-MX"/>
        </w:rPr>
        <w:t>ó</w:t>
      </w:r>
      <w:r w:rsidR="00F7427A" w:rsidRPr="0036167E">
        <w:rPr>
          <w:rFonts w:eastAsia="Palatino Linotype" w:cs="Palatino Linotype"/>
          <w:lang w:eastAsia="es-MX"/>
        </w:rPr>
        <w:t>n</w:t>
      </w:r>
      <w:r w:rsidRPr="0036167E">
        <w:rPr>
          <w:rFonts w:eastAsia="Palatino Linotype" w:cs="Palatino Linotype"/>
          <w:lang w:eastAsia="es-MX"/>
        </w:rPr>
        <w:t xml:space="preserve"> IV, de la Ley en cinta, pues la parte Recurrente se inconformó con la declaración de incompetencia por el Sujeto Obligado</w:t>
      </w:r>
      <w:r w:rsidR="00F0199B" w:rsidRPr="0036167E">
        <w:rPr>
          <w:rFonts w:eastAsia="Palatino Linotype" w:cs="Palatino Linotype"/>
          <w:lang w:eastAsia="es-MX"/>
        </w:rPr>
        <w:t>.</w:t>
      </w:r>
    </w:p>
    <w:p w14:paraId="1F52B88D" w14:textId="77777777" w:rsidR="00A319FB" w:rsidRPr="0036167E" w:rsidRDefault="00A319FB" w:rsidP="00A319FB">
      <w:pPr>
        <w:spacing w:after="0" w:line="360" w:lineRule="auto"/>
        <w:rPr>
          <w:rFonts w:eastAsia="Palatino Linotype" w:cs="Palatino Linotype"/>
          <w:lang w:eastAsia="es-MX"/>
        </w:rPr>
      </w:pPr>
    </w:p>
    <w:p w14:paraId="437ECA5F"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b/>
          <w:lang w:eastAsia="es-MX"/>
        </w:rPr>
        <w:t>Causales de sobreseimiento</w:t>
      </w:r>
    </w:p>
    <w:p w14:paraId="72266D7C" w14:textId="77777777" w:rsidR="00A319FB" w:rsidRPr="0036167E" w:rsidRDefault="00A319FB" w:rsidP="00A319FB">
      <w:pPr>
        <w:spacing w:after="0" w:line="360" w:lineRule="auto"/>
        <w:rPr>
          <w:rFonts w:eastAsia="Palatino Linotype" w:cs="Palatino Linotype"/>
          <w:lang w:eastAsia="es-MX"/>
        </w:rPr>
      </w:pPr>
    </w:p>
    <w:p w14:paraId="4743191F"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Por ser de previo y especial pronunciamiento, este Instituto analiza si se actualiza alguna causal de sobreseimiento.</w:t>
      </w:r>
    </w:p>
    <w:p w14:paraId="74278377" w14:textId="77777777" w:rsidR="00A319FB" w:rsidRPr="0036167E" w:rsidRDefault="00A319FB" w:rsidP="00A319FB">
      <w:pPr>
        <w:spacing w:after="0" w:line="360" w:lineRule="auto"/>
        <w:rPr>
          <w:rFonts w:eastAsia="Palatino Linotype" w:cs="Palatino Linotype"/>
          <w:lang w:eastAsia="es-MX"/>
        </w:rPr>
      </w:pPr>
    </w:p>
    <w:p w14:paraId="2AEB57D4"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1953390" w14:textId="77777777" w:rsidR="00A319FB" w:rsidRPr="0036167E" w:rsidRDefault="00A319FB" w:rsidP="00A319FB">
      <w:pPr>
        <w:tabs>
          <w:tab w:val="left" w:pos="4962"/>
        </w:tabs>
        <w:spacing w:after="0" w:line="360" w:lineRule="auto"/>
        <w:rPr>
          <w:rFonts w:eastAsia="Palatino Linotype" w:cs="Palatino Linotype"/>
          <w:lang w:eastAsia="es-MX"/>
        </w:rPr>
      </w:pPr>
    </w:p>
    <w:p w14:paraId="73E7E317" w14:textId="77777777" w:rsidR="00A319FB" w:rsidRPr="0036167E" w:rsidRDefault="00A319FB" w:rsidP="00A319FB">
      <w:pPr>
        <w:tabs>
          <w:tab w:val="left" w:pos="4962"/>
        </w:tabs>
        <w:spacing w:after="0" w:line="360" w:lineRule="auto"/>
        <w:rPr>
          <w:rFonts w:eastAsia="Palatino Linotype" w:cs="Palatino Linotype"/>
          <w:lang w:eastAsia="es-MX"/>
        </w:rPr>
      </w:pPr>
      <w:r w:rsidRPr="0036167E">
        <w:rPr>
          <w:rFonts w:eastAsia="Palatino Linotype" w:cs="Palatino Linotype"/>
          <w:lang w:eastAsia="es-MX"/>
        </w:rPr>
        <w:t xml:space="preserve">Por tales motivos, se considera procedente entrar al fondo del presente asunto. </w:t>
      </w:r>
    </w:p>
    <w:p w14:paraId="21FFEA02" w14:textId="77777777" w:rsidR="00A319FB" w:rsidRPr="0036167E" w:rsidRDefault="00A319FB" w:rsidP="00A319FB">
      <w:pPr>
        <w:tabs>
          <w:tab w:val="left" w:pos="4962"/>
        </w:tabs>
        <w:spacing w:after="0" w:line="360" w:lineRule="auto"/>
        <w:rPr>
          <w:rFonts w:eastAsia="Palatino Linotype" w:cs="Palatino Linotype"/>
          <w:lang w:eastAsia="es-MX"/>
        </w:rPr>
      </w:pPr>
    </w:p>
    <w:p w14:paraId="71C123EB" w14:textId="77777777" w:rsidR="00A319FB" w:rsidRPr="0036167E" w:rsidRDefault="00A319FB" w:rsidP="00A319FB">
      <w:pPr>
        <w:tabs>
          <w:tab w:val="left" w:pos="4962"/>
        </w:tabs>
        <w:spacing w:after="0" w:line="360" w:lineRule="auto"/>
        <w:rPr>
          <w:rFonts w:eastAsia="Palatino Linotype" w:cs="Palatino Linotype"/>
          <w:b/>
          <w:lang w:eastAsia="es-MX"/>
        </w:rPr>
      </w:pPr>
      <w:r w:rsidRPr="0036167E">
        <w:rPr>
          <w:rFonts w:eastAsia="Palatino Linotype" w:cs="Palatino Linotype"/>
          <w:b/>
          <w:lang w:eastAsia="es-MX"/>
        </w:rPr>
        <w:t>TERCERO. Determinación de la Controversia</w:t>
      </w:r>
    </w:p>
    <w:p w14:paraId="198BDC5E" w14:textId="77777777" w:rsidR="00A319FB" w:rsidRPr="0036167E" w:rsidRDefault="00A319FB" w:rsidP="00A319FB">
      <w:pPr>
        <w:tabs>
          <w:tab w:val="left" w:pos="4962"/>
        </w:tabs>
        <w:spacing w:after="0" w:line="360" w:lineRule="auto"/>
        <w:rPr>
          <w:rFonts w:eastAsia="Palatino Linotype" w:cs="Palatino Linotype"/>
          <w:b/>
          <w:color w:val="FF0000"/>
          <w:lang w:eastAsia="es-MX"/>
        </w:rPr>
      </w:pPr>
    </w:p>
    <w:p w14:paraId="2591CE81" w14:textId="77777777" w:rsidR="00A319FB" w:rsidRPr="0036167E" w:rsidRDefault="00A319FB" w:rsidP="00A319FB">
      <w:pPr>
        <w:tabs>
          <w:tab w:val="left" w:pos="4962"/>
        </w:tabs>
        <w:spacing w:after="0" w:line="360" w:lineRule="auto"/>
        <w:rPr>
          <w:rFonts w:eastAsia="Palatino Linotype" w:cs="Palatino Linotype"/>
          <w:color w:val="FF0000"/>
          <w:lang w:eastAsia="es-MX"/>
        </w:rPr>
      </w:pPr>
      <w:r w:rsidRPr="0036167E">
        <w:rPr>
          <w:rFonts w:eastAsia="Palatino Linotype" w:cs="Palatino Linotype"/>
          <w:lang w:eastAsia="es-MX"/>
        </w:rPr>
        <w:t>Con el objeto de ilustrar la controversia planteada, resulta conveniente precisar que, una vez realizado el estudio de las constancias que integran el expediente en que se actúa, se desprende que el Particular requirió</w:t>
      </w:r>
      <w:bookmarkStart w:id="1" w:name="_Hlk173963302"/>
      <w:r w:rsidRPr="0036167E">
        <w:rPr>
          <w:rFonts w:eastAsia="Palatino Linotype" w:cs="Palatino Linotype"/>
          <w:lang w:eastAsia="es-MX"/>
        </w:rPr>
        <w:t>, lo siguiente:</w:t>
      </w:r>
    </w:p>
    <w:p w14:paraId="65ABE1DC" w14:textId="77777777" w:rsidR="00A319FB" w:rsidRPr="0036167E" w:rsidRDefault="00A319FB" w:rsidP="00A319FB">
      <w:pPr>
        <w:tabs>
          <w:tab w:val="left" w:pos="4962"/>
        </w:tabs>
        <w:spacing w:after="0" w:line="360" w:lineRule="auto"/>
        <w:rPr>
          <w:rFonts w:ascii="Verdana" w:eastAsia="Palatino Linotype" w:hAnsi="Verdana" w:cs="Palatino Linotype"/>
          <w:color w:val="FF0000"/>
          <w:lang w:eastAsia="es-MX"/>
        </w:rPr>
      </w:pPr>
    </w:p>
    <w:bookmarkEnd w:id="1"/>
    <w:p w14:paraId="196C6AEA" w14:textId="77777777" w:rsidR="0073047F" w:rsidRPr="0036167E" w:rsidRDefault="0073047F" w:rsidP="0073047F">
      <w:pPr>
        <w:pStyle w:val="Prrafodelista"/>
        <w:numPr>
          <w:ilvl w:val="0"/>
          <w:numId w:val="11"/>
        </w:numPr>
        <w:spacing w:after="0" w:line="360" w:lineRule="auto"/>
        <w:rPr>
          <w:rFonts w:eastAsia="Palatino Linotype" w:cs="Palatino Linotype"/>
          <w:lang w:eastAsia="es-MX"/>
        </w:rPr>
      </w:pPr>
      <w:r w:rsidRPr="0036167E">
        <w:rPr>
          <w:rFonts w:eastAsia="Palatino Linotype" w:cs="Palatino Linotype"/>
          <w:lang w:eastAsia="es-MX"/>
        </w:rPr>
        <w:t>Número total de servidores públicos sindicalizados durante la administración 2019-2021 y 2022-2024.</w:t>
      </w:r>
    </w:p>
    <w:p w14:paraId="2BB5F4E8" w14:textId="77777777" w:rsidR="0073047F" w:rsidRPr="0036167E" w:rsidRDefault="0073047F" w:rsidP="0073047F">
      <w:pPr>
        <w:pStyle w:val="Prrafodelista"/>
        <w:numPr>
          <w:ilvl w:val="0"/>
          <w:numId w:val="11"/>
        </w:numPr>
        <w:spacing w:after="0" w:line="360" w:lineRule="auto"/>
        <w:rPr>
          <w:rFonts w:eastAsia="Palatino Linotype" w:cs="Palatino Linotype"/>
          <w:lang w:eastAsia="es-MX"/>
        </w:rPr>
      </w:pPr>
      <w:r w:rsidRPr="0036167E">
        <w:rPr>
          <w:rFonts w:eastAsia="Palatino Linotype" w:cs="Palatino Linotype"/>
          <w:lang w:eastAsia="es-MX"/>
        </w:rPr>
        <w:t>Nombre de los servidores públicos sindicalizados y área de adscripción de dichas administraciones.</w:t>
      </w:r>
    </w:p>
    <w:p w14:paraId="08F444D5" w14:textId="77777777" w:rsidR="00A319FB" w:rsidRPr="0036167E" w:rsidRDefault="00A319FB" w:rsidP="00A319FB">
      <w:pPr>
        <w:tabs>
          <w:tab w:val="left" w:pos="4962"/>
        </w:tabs>
        <w:spacing w:after="0" w:line="360" w:lineRule="auto"/>
        <w:rPr>
          <w:rFonts w:eastAsia="Palatino Linotype" w:cs="Palatino Linotype"/>
          <w:color w:val="FF0000"/>
          <w:lang w:eastAsia="es-MX"/>
        </w:rPr>
      </w:pPr>
    </w:p>
    <w:p w14:paraId="1E015F12" w14:textId="24DEB7C3" w:rsidR="0013167E" w:rsidRPr="0036167E" w:rsidRDefault="00A319FB" w:rsidP="00A319FB">
      <w:pPr>
        <w:spacing w:after="0" w:line="360" w:lineRule="auto"/>
        <w:rPr>
          <w:rFonts w:eastAsia="Palatino Linotype" w:cs="Palatino Linotype"/>
          <w:color w:val="FF0000"/>
          <w:lang w:eastAsia="es-MX"/>
        </w:rPr>
      </w:pPr>
      <w:r w:rsidRPr="0036167E">
        <w:rPr>
          <w:rFonts w:eastAsia="Palatino Linotype" w:cs="Palatino Linotype"/>
          <w:lang w:eastAsia="es-MX"/>
        </w:rPr>
        <w:t xml:space="preserve">En respuesta, el Sujeto Obligado, por medio de la </w:t>
      </w:r>
      <w:r w:rsidR="008D1838" w:rsidRPr="0036167E">
        <w:rPr>
          <w:rFonts w:eastAsia="Palatino Linotype" w:cs="Palatino Linotype"/>
          <w:lang w:eastAsia="es-MX"/>
        </w:rPr>
        <w:t>Dirección de Administración</w:t>
      </w:r>
      <w:r w:rsidRPr="0036167E">
        <w:rPr>
          <w:rFonts w:eastAsia="Palatino Linotype" w:cs="Palatino Linotype"/>
          <w:lang w:eastAsia="es-MX"/>
        </w:rPr>
        <w:t xml:space="preserve">, precisó que el Ayuntamiento de </w:t>
      </w:r>
      <w:r w:rsidR="008D1838" w:rsidRPr="0036167E">
        <w:rPr>
          <w:rFonts w:eastAsia="Palatino Linotype" w:cs="Palatino Linotype"/>
          <w:lang w:eastAsia="es-MX"/>
        </w:rPr>
        <w:t>San Antonio la Isla</w:t>
      </w:r>
      <w:r w:rsidRPr="0036167E">
        <w:rPr>
          <w:rFonts w:eastAsia="Palatino Linotype" w:cs="Palatino Linotype"/>
          <w:lang w:eastAsia="es-MX"/>
        </w:rPr>
        <w:t>, no es el Sujeto Obligado para dar atención a su requerimiento</w:t>
      </w:r>
      <w:r w:rsidR="00263E75" w:rsidRPr="0036167E">
        <w:rPr>
          <w:rFonts w:eastAsia="Palatino Linotype" w:cs="Palatino Linotype"/>
          <w:lang w:eastAsia="es-MX"/>
        </w:rPr>
        <w:t xml:space="preserve"> </w:t>
      </w:r>
      <w:r w:rsidR="00C566C4" w:rsidRPr="0036167E">
        <w:rPr>
          <w:rFonts w:eastAsia="Palatino Linotype" w:cs="Palatino Linotype"/>
          <w:lang w:eastAsia="es-MX"/>
        </w:rPr>
        <w:t>informativo en relación con el numeral 2</w:t>
      </w:r>
      <w:r w:rsidRPr="0036167E">
        <w:rPr>
          <w:rFonts w:eastAsia="Palatino Linotype" w:cs="Palatino Linotype"/>
          <w:lang w:eastAsia="es-MX"/>
        </w:rPr>
        <w:t xml:space="preserve">, </w:t>
      </w:r>
      <w:r w:rsidR="00C566C4" w:rsidRPr="0036167E">
        <w:rPr>
          <w:rFonts w:eastAsia="Palatino Linotype" w:cs="Palatino Linotype"/>
          <w:lang w:eastAsia="es-MX"/>
        </w:rPr>
        <w:t>señalando al Sindicato Único de Trabajadores de los Poderes, Municipios e Instituciones Descentralizadas del Estado de México (SUTEYM), como competente para conocer respecto de lo solicitado</w:t>
      </w:r>
      <w:r w:rsidRPr="0036167E">
        <w:rPr>
          <w:rFonts w:eastAsia="Palatino Linotype" w:cs="Palatino Linotype"/>
          <w:lang w:eastAsia="es-MX"/>
        </w:rPr>
        <w:t>; ante dicha circunstancia, el Particular se agravió con la declaración de incompetencia por el Sujeto Obligado</w:t>
      </w:r>
      <w:r w:rsidR="0073047F" w:rsidRPr="0036167E">
        <w:rPr>
          <w:rFonts w:eastAsia="Palatino Linotype" w:cs="Palatino Linotype"/>
          <w:lang w:eastAsia="es-MX"/>
        </w:rPr>
        <w:t xml:space="preserve">, al señalar </w:t>
      </w:r>
      <w:r w:rsidR="0073047F" w:rsidRPr="0036167E">
        <w:rPr>
          <w:rFonts w:eastAsia="Palatino Linotype" w:cs="Palatino Linotype"/>
          <w:lang w:eastAsia="es-MX"/>
        </w:rPr>
        <w:lastRenderedPageBreak/>
        <w:t>que el Gremio y el Ayuntamiento eran opacos en entregar la información,</w:t>
      </w:r>
      <w:r w:rsidRPr="0036167E">
        <w:rPr>
          <w:rFonts w:eastAsia="Palatino Linotype" w:cs="Palatino Linotype"/>
          <w:lang w:eastAsia="es-MX"/>
        </w:rPr>
        <w:t xml:space="preserve">, lo cual actualiza la causal de procedencia prevista en </w:t>
      </w:r>
      <w:r w:rsidR="006D59B3" w:rsidRPr="0036167E">
        <w:rPr>
          <w:rFonts w:eastAsia="Palatino Linotype" w:cs="Palatino Linotype"/>
          <w:lang w:eastAsia="es-MX"/>
        </w:rPr>
        <w:t>la fracción IV</w:t>
      </w:r>
      <w:r w:rsidRPr="0036167E">
        <w:rPr>
          <w:rFonts w:eastAsia="Palatino Linotype" w:cs="Palatino Linotype"/>
          <w:lang w:eastAsia="es-MX"/>
        </w:rPr>
        <w:t xml:space="preserve">, del artículo 179 de la Ley de Transparencia y Acceso a la Información Pública del Estado de México y Municipios, </w:t>
      </w:r>
      <w:r w:rsidR="0013167E" w:rsidRPr="0036167E">
        <w:rPr>
          <w:rFonts w:eastAsia="Palatino Linotype" w:cs="Palatino Linotype"/>
          <w:lang w:eastAsia="es-MX"/>
        </w:rPr>
        <w:t>dicha situación, al aplicar la suplencia de la queja a favor de la Solicitante, en términos de los diversos 13 y, penúltimo párrafo, del 181 del ordenamiento señalado, relacionados con el último párrafo, del 146 de la Ley General de Transparencia y Acceso a la Información Pública. A</w:t>
      </w:r>
      <w:r w:rsidRPr="0036167E">
        <w:rPr>
          <w:rFonts w:eastAsia="Palatino Linotype" w:cs="Palatino Linotype"/>
          <w:lang w:eastAsia="es-MX"/>
        </w:rPr>
        <w:t xml:space="preserve">sí las cosas, una vez admitido y notificado el Recurso de Revisión a las partes, el Sujeto Obligado remitió su Informe Justificado por medio del cual </w:t>
      </w:r>
      <w:r w:rsidR="0013167E" w:rsidRPr="0036167E">
        <w:rPr>
          <w:rFonts w:eastAsia="Palatino Linotype" w:cs="Palatino Linotype"/>
          <w:lang w:eastAsia="es-MX"/>
        </w:rPr>
        <w:t>confirmo su respuesta</w:t>
      </w:r>
      <w:r w:rsidR="0013167E" w:rsidRPr="0036167E">
        <w:rPr>
          <w:rFonts w:eastAsia="Palatino Linotype" w:cs="Palatino Linotype"/>
          <w:color w:val="FF0000"/>
          <w:lang w:eastAsia="es-MX"/>
        </w:rPr>
        <w:t>.</w:t>
      </w:r>
    </w:p>
    <w:p w14:paraId="35A8F827" w14:textId="77777777" w:rsidR="00A319FB" w:rsidRPr="0036167E" w:rsidRDefault="00A319FB" w:rsidP="00A319FB">
      <w:pPr>
        <w:spacing w:after="0" w:line="360" w:lineRule="auto"/>
        <w:rPr>
          <w:rFonts w:eastAsia="Palatino Linotype" w:cs="Palatino Linotype"/>
          <w:color w:val="FF0000"/>
          <w:lang w:eastAsia="es-MX"/>
        </w:rPr>
      </w:pPr>
    </w:p>
    <w:p w14:paraId="2E44B601" w14:textId="77777777" w:rsidR="00A319FB" w:rsidRPr="0036167E" w:rsidRDefault="00A319FB" w:rsidP="00A319FB">
      <w:pPr>
        <w:pBdr>
          <w:top w:val="nil"/>
          <w:left w:val="nil"/>
          <w:bottom w:val="nil"/>
          <w:right w:val="nil"/>
          <w:between w:val="nil"/>
        </w:pBdr>
        <w:spacing w:after="0" w:line="360" w:lineRule="auto"/>
        <w:ind w:right="-28"/>
        <w:rPr>
          <w:rFonts w:eastAsia="Palatino Linotype" w:cs="Palatino Linotype"/>
          <w:lang w:eastAsia="es-MX"/>
        </w:rPr>
      </w:pPr>
      <w:r w:rsidRPr="0036167E">
        <w:rPr>
          <w:rFonts w:eastAsia="Palatino Linotype" w:cs="Palatino Linotype"/>
          <w:lang w:eastAsia="es-MX"/>
        </w:rPr>
        <w:t>Lo anterior, se desprende de las documentales que obran en el expediente de referencia, materia de la presente resolución, consistente en: la solicitud de acceso a la información, el documento proporcionado en respuesta,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0702EE" w14:textId="77777777" w:rsidR="00A319FB" w:rsidRPr="0036167E" w:rsidRDefault="00A319FB" w:rsidP="00A319FB">
      <w:pPr>
        <w:spacing w:after="0" w:line="360" w:lineRule="auto"/>
        <w:rPr>
          <w:rFonts w:eastAsia="Palatino Linotype" w:cs="Palatino Linotype"/>
          <w:b/>
          <w:lang w:eastAsia="es-MX"/>
        </w:rPr>
      </w:pPr>
    </w:p>
    <w:p w14:paraId="310831A3" w14:textId="77777777" w:rsidR="00A319FB" w:rsidRPr="0036167E" w:rsidRDefault="00A319FB" w:rsidP="0013167E">
      <w:pPr>
        <w:spacing w:after="0" w:line="360" w:lineRule="auto"/>
        <w:rPr>
          <w:rFonts w:eastAsia="Palatino Linotype" w:cs="Palatino Linotype"/>
          <w:b/>
          <w:lang w:eastAsia="es-MX"/>
        </w:rPr>
      </w:pPr>
      <w:r w:rsidRPr="0036167E">
        <w:rPr>
          <w:rFonts w:eastAsia="Palatino Linotype" w:cs="Palatino Linotype"/>
          <w:b/>
          <w:lang w:eastAsia="es-MX"/>
        </w:rPr>
        <w:t>CUARTO. Marco normativo aplicable en materia de transparencia y acceso a la información pública</w:t>
      </w:r>
    </w:p>
    <w:p w14:paraId="22651781" w14:textId="77777777" w:rsidR="0013167E" w:rsidRPr="0036167E" w:rsidRDefault="0013167E" w:rsidP="0013167E">
      <w:pPr>
        <w:spacing w:after="0" w:line="360" w:lineRule="auto"/>
        <w:rPr>
          <w:rFonts w:eastAsia="Palatino Linotype" w:cs="Palatino Linotype"/>
          <w:b/>
          <w:lang w:eastAsia="es-MX"/>
        </w:rPr>
      </w:pPr>
    </w:p>
    <w:p w14:paraId="1B4368D0"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418A8D7" w14:textId="77777777" w:rsidR="00A319FB" w:rsidRPr="0036167E" w:rsidRDefault="00A319FB" w:rsidP="00A319FB">
      <w:pPr>
        <w:widowControl w:val="0"/>
        <w:spacing w:after="0" w:line="360" w:lineRule="auto"/>
        <w:rPr>
          <w:rFonts w:eastAsia="Palatino Linotype" w:cs="Palatino Linotype"/>
          <w:lang w:eastAsia="es-MX"/>
        </w:rPr>
      </w:pPr>
    </w:p>
    <w:p w14:paraId="4111F933"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69920319" w14:textId="77777777" w:rsidR="00A319FB" w:rsidRPr="0036167E" w:rsidRDefault="00A319FB" w:rsidP="00A319FB">
      <w:pPr>
        <w:spacing w:after="0" w:line="360" w:lineRule="auto"/>
        <w:rPr>
          <w:rFonts w:eastAsia="Palatino Linotype" w:cs="Palatino Linotype"/>
          <w:lang w:eastAsia="es-MX"/>
        </w:rPr>
      </w:pPr>
    </w:p>
    <w:p w14:paraId="4EF7CFE4" w14:textId="77777777" w:rsidR="00581952" w:rsidRPr="0036167E" w:rsidRDefault="00581952" w:rsidP="00A319FB">
      <w:pPr>
        <w:spacing w:after="0" w:line="360" w:lineRule="auto"/>
        <w:rPr>
          <w:rFonts w:eastAsia="Palatino Linotype" w:cs="Palatino Linotype"/>
          <w:lang w:eastAsia="es-MX"/>
        </w:rPr>
      </w:pPr>
    </w:p>
    <w:p w14:paraId="218DD3AA"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8FDE4B7" w14:textId="77777777" w:rsidR="00A319FB" w:rsidRPr="0036167E" w:rsidRDefault="00A319FB" w:rsidP="00A319FB">
      <w:pPr>
        <w:widowControl w:val="0"/>
        <w:spacing w:after="0" w:line="360" w:lineRule="auto"/>
        <w:rPr>
          <w:rFonts w:eastAsia="Palatino Linotype" w:cs="Palatino Linotype"/>
          <w:lang w:eastAsia="es-MX"/>
        </w:rPr>
      </w:pPr>
    </w:p>
    <w:p w14:paraId="1F3C3705"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Por su parte, la Ley de Transparencia y Acceso a la Información Pública del Estado de México y Municipios (Reglamentaria del artículo 5° de la Constitución Local), establece lo siguiente:</w:t>
      </w:r>
    </w:p>
    <w:p w14:paraId="64177BED" w14:textId="77777777" w:rsidR="00A319FB" w:rsidRPr="0036167E" w:rsidRDefault="00A319FB" w:rsidP="00A319FB">
      <w:pPr>
        <w:widowControl w:val="0"/>
        <w:spacing w:after="0" w:line="360" w:lineRule="auto"/>
        <w:rPr>
          <w:rFonts w:eastAsia="Palatino Linotype" w:cs="Palatino Linotype"/>
          <w:lang w:eastAsia="es-MX"/>
        </w:rPr>
      </w:pPr>
    </w:p>
    <w:p w14:paraId="73FA2D61"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El artículo 12, que, quienes generen, recopilen, administren, manejen, procesen, archiven o conserven información pública serán responsables de la misma.</w:t>
      </w:r>
    </w:p>
    <w:p w14:paraId="5FABCCDC" w14:textId="77777777" w:rsidR="00A319FB" w:rsidRPr="0036167E" w:rsidRDefault="00A319FB" w:rsidP="00A319FB">
      <w:pPr>
        <w:widowControl w:val="0"/>
        <w:spacing w:after="0" w:line="360" w:lineRule="auto"/>
        <w:rPr>
          <w:rFonts w:eastAsia="Palatino Linotype" w:cs="Palatino Linotype"/>
          <w:lang w:eastAsia="es-MX"/>
        </w:rPr>
      </w:pPr>
    </w:p>
    <w:p w14:paraId="5CDF000B"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721183F4" w14:textId="77777777" w:rsidR="00A319FB" w:rsidRPr="0036167E" w:rsidRDefault="00A319FB" w:rsidP="00A319FB">
      <w:pPr>
        <w:widowControl w:val="0"/>
        <w:spacing w:after="0" w:line="360" w:lineRule="auto"/>
        <w:rPr>
          <w:rFonts w:eastAsia="Palatino Linotype" w:cs="Palatino Linotype"/>
          <w:lang w:eastAsia="es-MX"/>
        </w:rPr>
      </w:pPr>
    </w:p>
    <w:p w14:paraId="25001F4E" w14:textId="77777777" w:rsidR="00A319FB" w:rsidRPr="0036167E" w:rsidRDefault="00A319FB" w:rsidP="00A319FB">
      <w:pPr>
        <w:widowControl w:val="0"/>
        <w:spacing w:after="0" w:line="360" w:lineRule="auto"/>
        <w:rPr>
          <w:rFonts w:eastAsia="Palatino Linotype" w:cs="Palatino Linotype"/>
          <w:lang w:eastAsia="es-MX"/>
        </w:rPr>
      </w:pPr>
      <w:r w:rsidRPr="0036167E">
        <w:rPr>
          <w:rFonts w:eastAsia="Palatino Linotype" w:cs="Palatino Linotype"/>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0BDA9F6" w14:textId="77777777" w:rsidR="00A319FB" w:rsidRPr="0036167E" w:rsidRDefault="00A319FB" w:rsidP="00A319FB">
      <w:pPr>
        <w:spacing w:after="0" w:line="360" w:lineRule="auto"/>
        <w:rPr>
          <w:rFonts w:eastAsia="Palatino Linotype" w:cs="Palatino Linotype"/>
          <w:b/>
          <w:lang w:eastAsia="es-MX"/>
        </w:rPr>
      </w:pPr>
    </w:p>
    <w:p w14:paraId="572E05CD" w14:textId="77777777" w:rsidR="00A319FB" w:rsidRPr="0036167E" w:rsidRDefault="00A319FB" w:rsidP="00A319FB">
      <w:pPr>
        <w:spacing w:after="0" w:line="360" w:lineRule="auto"/>
        <w:rPr>
          <w:rFonts w:eastAsia="Palatino Linotype" w:cs="Palatino Linotype"/>
          <w:b/>
          <w:lang w:eastAsia="es-MX"/>
        </w:rPr>
      </w:pPr>
      <w:r w:rsidRPr="0036167E">
        <w:rPr>
          <w:rFonts w:eastAsia="Palatino Linotype" w:cs="Palatino Linotype"/>
          <w:b/>
          <w:lang w:eastAsia="es-MX"/>
        </w:rPr>
        <w:t>QUINTO. Estudio de Fondo</w:t>
      </w:r>
    </w:p>
    <w:p w14:paraId="1BA17599" w14:textId="77777777" w:rsidR="00A319FB" w:rsidRPr="0036167E" w:rsidRDefault="00A319FB" w:rsidP="00A319FB">
      <w:pPr>
        <w:spacing w:after="0" w:line="360" w:lineRule="auto"/>
        <w:rPr>
          <w:rFonts w:eastAsia="Palatino Linotype" w:cs="Palatino Linotype"/>
          <w:b/>
          <w:color w:val="FF0000"/>
          <w:lang w:eastAsia="es-MX"/>
        </w:rPr>
      </w:pPr>
    </w:p>
    <w:p w14:paraId="1C29262E" w14:textId="77777777" w:rsidR="00944EF3"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Expuestas las posturas de las partes, se procede a realizar el análisis del agravio hecho valer por el Recurrente, concerniente a la declaración de incompetencia por el Sujeto Obligado</w:t>
      </w:r>
      <w:r w:rsidR="00944EF3" w:rsidRPr="0036167E">
        <w:rPr>
          <w:rFonts w:eastAsia="Palatino Linotype" w:cs="Palatino Linotype"/>
          <w:lang w:eastAsia="es-MX"/>
        </w:rPr>
        <w:t xml:space="preserve"> y la </w:t>
      </w:r>
      <w:r w:rsidR="00944EF3" w:rsidRPr="0036167E">
        <w:rPr>
          <w:rFonts w:eastAsia="Palatino Linotype" w:cs="Palatino Linotype"/>
          <w:lang w:eastAsia="es-MX"/>
        </w:rPr>
        <w:lastRenderedPageBreak/>
        <w:t>entrega de información que no corresponde con lo solicitado, para lo cual en un principio es necesario contextualizar la solicitud de información.</w:t>
      </w:r>
    </w:p>
    <w:p w14:paraId="5E620852" w14:textId="77777777" w:rsidR="00581952" w:rsidRPr="0036167E" w:rsidRDefault="00581952" w:rsidP="00A319FB">
      <w:pPr>
        <w:spacing w:after="0" w:line="360" w:lineRule="auto"/>
        <w:rPr>
          <w:rFonts w:eastAsia="Palatino Linotype" w:cs="Palatino Linotype"/>
          <w:lang w:eastAsia="es-MX"/>
        </w:rPr>
      </w:pPr>
    </w:p>
    <w:p w14:paraId="35971DA3" w14:textId="77777777" w:rsidR="00944EF3" w:rsidRPr="0036167E" w:rsidRDefault="00760875" w:rsidP="00A319FB">
      <w:pPr>
        <w:spacing w:after="0" w:line="360" w:lineRule="auto"/>
        <w:rPr>
          <w:rFonts w:eastAsia="Palatino Linotype" w:cs="Palatino Linotype"/>
          <w:lang w:eastAsia="es-MX"/>
        </w:rPr>
      </w:pPr>
      <w:r w:rsidRPr="0036167E">
        <w:rPr>
          <w:rFonts w:eastAsia="Palatino Linotype" w:cs="Palatino Linotype"/>
          <w:lang w:eastAsia="es-MX"/>
        </w:rPr>
        <w:t>Sobre este punto, el artículo 108 de la Constitución Política de los Estados Unidos Mexicanos, con relación al diverso 130 de la Constitución Política del Estado Libre y Soberano de México, establecen que se considera como servidor público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0158D90D" w14:textId="77777777" w:rsidR="00760875" w:rsidRPr="0036167E" w:rsidRDefault="00760875" w:rsidP="00A319FB">
      <w:pPr>
        <w:spacing w:after="0" w:line="360" w:lineRule="auto"/>
        <w:rPr>
          <w:rFonts w:eastAsia="Palatino Linotype" w:cs="Palatino Linotype"/>
          <w:lang w:eastAsia="es-MX"/>
        </w:rPr>
      </w:pPr>
    </w:p>
    <w:p w14:paraId="2A5BF6BD" w14:textId="1928766E" w:rsidR="0073047F" w:rsidRPr="0036167E" w:rsidRDefault="0073047F" w:rsidP="0073047F">
      <w:pPr>
        <w:tabs>
          <w:tab w:val="left" w:pos="4962"/>
        </w:tabs>
        <w:spacing w:after="0" w:line="360" w:lineRule="auto"/>
      </w:pPr>
      <w:r w:rsidRPr="0036167E">
        <w:rPr>
          <w:rFonts w:eastAsia="Palatino Linotype" w:cs="Palatino Linotype"/>
          <w:lang w:eastAsia="es-MX"/>
        </w:rPr>
        <w:t xml:space="preserve">En ese sentido, el </w:t>
      </w:r>
      <w:r w:rsidRPr="0036167E">
        <w:rPr>
          <w:rFonts w:eastAsia="Calibri" w:cs="Tahoma"/>
          <w:bCs/>
        </w:rPr>
        <w:t xml:space="preserve">artículo 4°, fracción VI, de la Ley del Trabajo de los Servidores Públicos del Estado y Municipios, establece que </w:t>
      </w:r>
      <w:r w:rsidRPr="0036167E">
        <w:rPr>
          <w:rFonts w:eastAsia="Calibri" w:cs="Tahoma"/>
          <w:b/>
        </w:rPr>
        <w:t>un servidor público</w:t>
      </w:r>
      <w:r w:rsidRPr="0036167E">
        <w:rPr>
          <w:rFonts w:eastAsia="Calibri" w:cs="Tahoma"/>
          <w:bCs/>
        </w:rPr>
        <w:t xml:space="preserve"> es </w:t>
      </w:r>
      <w:r w:rsidRPr="0036167E">
        <w:t>toda persona física que preste a una institución pública un trabajo personal subordinado de carácter material o intelectual, o de ambos géneros, mediante el pago de un sueldo.</w:t>
      </w:r>
    </w:p>
    <w:p w14:paraId="0D55596E" w14:textId="251569AF" w:rsidR="0073047F" w:rsidRPr="0036167E" w:rsidRDefault="0073047F" w:rsidP="00A319FB">
      <w:pPr>
        <w:spacing w:after="0" w:line="360" w:lineRule="auto"/>
        <w:rPr>
          <w:rFonts w:eastAsia="Palatino Linotype" w:cs="Palatino Linotype"/>
          <w:lang w:eastAsia="es-MX"/>
        </w:rPr>
      </w:pPr>
    </w:p>
    <w:p w14:paraId="598DFE2E" w14:textId="77777777" w:rsidR="0073047F" w:rsidRPr="0036167E" w:rsidRDefault="0073047F" w:rsidP="0073047F">
      <w:pPr>
        <w:spacing w:after="0" w:line="360" w:lineRule="auto"/>
        <w:rPr>
          <w:rFonts w:eastAsia="Calibri" w:cs="Tahoma"/>
          <w:bCs/>
        </w:rPr>
      </w:pPr>
      <w:r w:rsidRPr="0036167E">
        <w:rPr>
          <w:rFonts w:eastAsia="Palatino Linotype" w:cs="Palatino Linotype"/>
          <w:lang w:eastAsia="es-MX"/>
        </w:rPr>
        <w:t xml:space="preserve">Además, </w:t>
      </w:r>
      <w:r w:rsidRPr="0036167E">
        <w:rPr>
          <w:rFonts w:eastAsia="Calibri" w:cs="Tahoma"/>
          <w:bCs/>
        </w:rPr>
        <w:t xml:space="preserve">conforme a los artículos 356 de la Ley Federal del Trabajo y 138 de la Ley del Trabajo de los Servidores Públicos del Estado de México y Municipios, un sindicato es una asociación de </w:t>
      </w:r>
      <w:r w:rsidRPr="0036167E">
        <w:rPr>
          <w:rFonts w:eastAsia="Calibri" w:cs="Tahoma"/>
          <w:b/>
        </w:rPr>
        <w:t>servidores públicos</w:t>
      </w:r>
      <w:r w:rsidRPr="0036167E">
        <w:rPr>
          <w:rFonts w:eastAsia="Calibri" w:cs="Tahoma"/>
          <w:bCs/>
        </w:rPr>
        <w:t xml:space="preserve"> generales, constituida para el estudio, mejoramiento y defensa de sus intereses comunes.</w:t>
      </w:r>
    </w:p>
    <w:p w14:paraId="2EC507B1" w14:textId="375D1BEE" w:rsidR="0073047F" w:rsidRPr="0036167E" w:rsidRDefault="0073047F" w:rsidP="00A319FB">
      <w:pPr>
        <w:spacing w:after="0" w:line="360" w:lineRule="auto"/>
        <w:rPr>
          <w:rFonts w:eastAsia="Palatino Linotype" w:cs="Palatino Linotype"/>
          <w:lang w:eastAsia="es-MX"/>
        </w:rPr>
      </w:pPr>
    </w:p>
    <w:p w14:paraId="35132C78" w14:textId="4FCAD7B9" w:rsidR="0073047F" w:rsidRPr="0036167E" w:rsidRDefault="0073047F" w:rsidP="00A319FB">
      <w:pPr>
        <w:spacing w:after="0" w:line="360" w:lineRule="auto"/>
        <w:rPr>
          <w:rFonts w:cs="Tahoma"/>
          <w:bCs/>
        </w:rPr>
      </w:pPr>
      <w:r w:rsidRPr="0036167E">
        <w:rPr>
          <w:rFonts w:cs="Tahoma"/>
          <w:bCs/>
        </w:rPr>
        <w:t>Conforme a la normatividad analizada, se logra advertir la posibilidad del Sujeto Obligado, de contratar a trabajadores pertenecientes a un gremio; tan es así, que este Instituto localizó en el Tabulador de Sueldos de San Antonio la Isla</w:t>
      </w:r>
      <w:r w:rsidR="008A28F8" w:rsidRPr="0036167E">
        <w:rPr>
          <w:rFonts w:cs="Tahoma"/>
          <w:bCs/>
        </w:rPr>
        <w:t>, de los ejercicios fiscales</w:t>
      </w:r>
      <w:r w:rsidR="00581952" w:rsidRPr="0036167E">
        <w:rPr>
          <w:rFonts w:cs="Tahoma"/>
          <w:bCs/>
        </w:rPr>
        <w:t>, dos mil veintiuno,</w:t>
      </w:r>
      <w:r w:rsidR="008A28F8" w:rsidRPr="0036167E">
        <w:rPr>
          <w:rFonts w:cs="Tahoma"/>
          <w:bCs/>
        </w:rPr>
        <w:t xml:space="preserve"> dos mil veintidós</w:t>
      </w:r>
      <w:r w:rsidR="00581952" w:rsidRPr="0036167E">
        <w:rPr>
          <w:rFonts w:cs="Tahoma"/>
          <w:bCs/>
        </w:rPr>
        <w:t xml:space="preserve"> y</w:t>
      </w:r>
      <w:r w:rsidR="008A28F8" w:rsidRPr="0036167E">
        <w:rPr>
          <w:rFonts w:cs="Tahoma"/>
          <w:bCs/>
        </w:rPr>
        <w:t xml:space="preserve"> dos mil veinticuatro, del cual se logra vislumbrar que cuenta con plazas sindicalizadas, se muestra un extracto del último de manera de ejemplo:</w:t>
      </w:r>
    </w:p>
    <w:p w14:paraId="1D382F39" w14:textId="77777777" w:rsidR="008A28F8" w:rsidRPr="0036167E" w:rsidRDefault="008A28F8" w:rsidP="00A319FB">
      <w:pPr>
        <w:spacing w:after="0" w:line="360" w:lineRule="auto"/>
        <w:rPr>
          <w:rFonts w:cs="Tahoma"/>
          <w:bCs/>
        </w:rPr>
      </w:pPr>
    </w:p>
    <w:p w14:paraId="16480451" w14:textId="16CA2E7F" w:rsidR="008A28F8" w:rsidRPr="0036167E" w:rsidRDefault="008A28F8" w:rsidP="008A28F8">
      <w:pPr>
        <w:spacing w:after="0" w:line="360" w:lineRule="auto"/>
        <w:jc w:val="center"/>
        <w:rPr>
          <w:rFonts w:eastAsia="Palatino Linotype" w:cs="Palatino Linotype"/>
          <w:lang w:eastAsia="es-MX"/>
        </w:rPr>
      </w:pPr>
      <w:r w:rsidRPr="0036167E">
        <w:rPr>
          <w:rFonts w:eastAsia="Palatino Linotype" w:cs="Palatino Linotype"/>
          <w:noProof/>
          <w:lang w:eastAsia="es-MX"/>
        </w:rPr>
        <w:lastRenderedPageBreak/>
        <w:drawing>
          <wp:inline distT="0" distB="0" distL="0" distR="0" wp14:anchorId="65666C97" wp14:editId="7D5E1E14">
            <wp:extent cx="5029202" cy="1047750"/>
            <wp:effectExtent l="0" t="0" r="0" b="0"/>
            <wp:docPr id="17150427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42704" name=""/>
                    <pic:cNvPicPr/>
                  </pic:nvPicPr>
                  <pic:blipFill rotWithShape="1">
                    <a:blip r:embed="rId10"/>
                    <a:srcRect t="23611"/>
                    <a:stretch/>
                  </pic:blipFill>
                  <pic:spPr bwMode="auto">
                    <a:xfrm>
                      <a:off x="0" y="0"/>
                      <a:ext cx="5029902" cy="1047896"/>
                    </a:xfrm>
                    <a:prstGeom prst="rect">
                      <a:avLst/>
                    </a:prstGeom>
                    <a:ln>
                      <a:noFill/>
                    </a:ln>
                    <a:extLst>
                      <a:ext uri="{53640926-AAD7-44D8-BBD7-CCE9431645EC}">
                        <a14:shadowObscured xmlns:a14="http://schemas.microsoft.com/office/drawing/2010/main"/>
                      </a:ext>
                    </a:extLst>
                  </pic:spPr>
                </pic:pic>
              </a:graphicData>
            </a:graphic>
          </wp:inline>
        </w:drawing>
      </w:r>
    </w:p>
    <w:p w14:paraId="5C3F8B8B" w14:textId="77777777" w:rsidR="00A34219" w:rsidRPr="0036167E" w:rsidRDefault="00A34219" w:rsidP="00A319FB">
      <w:pPr>
        <w:spacing w:after="0" w:line="360" w:lineRule="auto"/>
        <w:rPr>
          <w:rFonts w:eastAsia="Palatino Linotype" w:cs="Palatino Linotype"/>
          <w:color w:val="FF0000"/>
          <w:lang w:eastAsia="es-MX"/>
        </w:rPr>
      </w:pPr>
    </w:p>
    <w:p w14:paraId="0CD93C66" w14:textId="77777777" w:rsidR="0086302E" w:rsidRPr="0036167E" w:rsidRDefault="0086302E" w:rsidP="00A319FB">
      <w:pPr>
        <w:spacing w:after="0" w:line="360" w:lineRule="auto"/>
        <w:rPr>
          <w:rFonts w:eastAsia="Palatino Linotype" w:cs="Palatino Linotype"/>
          <w:lang w:eastAsia="es-MX"/>
        </w:rPr>
      </w:pPr>
      <w:r w:rsidRPr="0036167E">
        <w:rPr>
          <w:rFonts w:eastAsia="Palatino Linotype" w:cs="Palatino Linotype"/>
          <w:lang w:eastAsia="es-MX"/>
        </w:rPr>
        <w:t>De lo expuesto, se logra vislumbrar que la pretensión del recurrente es obtener de los servidores públicos adscritos al Ayuntamiento de San Antonio la Isla, lo siguiente:</w:t>
      </w:r>
    </w:p>
    <w:p w14:paraId="04EED3EC" w14:textId="77777777" w:rsidR="00F53236" w:rsidRPr="0036167E" w:rsidRDefault="00F53236" w:rsidP="00F53236">
      <w:pPr>
        <w:spacing w:after="0" w:line="360" w:lineRule="auto"/>
        <w:rPr>
          <w:rFonts w:eastAsia="Palatino Linotype" w:cs="Palatino Linotype"/>
          <w:color w:val="FF0000"/>
          <w:lang w:eastAsia="es-MX"/>
        </w:rPr>
      </w:pPr>
    </w:p>
    <w:p w14:paraId="5944C76B" w14:textId="2D59F88B" w:rsidR="00F53236" w:rsidRPr="0036167E" w:rsidRDefault="0073047F" w:rsidP="00581952">
      <w:pPr>
        <w:pStyle w:val="Prrafodelista"/>
        <w:numPr>
          <w:ilvl w:val="0"/>
          <w:numId w:val="23"/>
        </w:numPr>
        <w:spacing w:after="0" w:line="360" w:lineRule="auto"/>
        <w:rPr>
          <w:rFonts w:eastAsia="Palatino Linotype" w:cs="Palatino Linotype"/>
          <w:lang w:eastAsia="es-MX"/>
        </w:rPr>
      </w:pPr>
      <w:r w:rsidRPr="0036167E">
        <w:rPr>
          <w:rFonts w:eastAsia="Palatino Linotype" w:cs="Palatino Linotype"/>
          <w:lang w:eastAsia="es-MX"/>
        </w:rPr>
        <w:t>Número total</w:t>
      </w:r>
      <w:r w:rsidR="00F53236" w:rsidRPr="0036167E">
        <w:rPr>
          <w:rFonts w:eastAsia="Palatino Linotype" w:cs="Palatino Linotype"/>
          <w:lang w:eastAsia="es-MX"/>
        </w:rPr>
        <w:t xml:space="preserve"> de servidores públicos sindicalizados </w:t>
      </w:r>
      <w:r w:rsidRPr="0036167E">
        <w:rPr>
          <w:rFonts w:eastAsia="Palatino Linotype" w:cs="Palatino Linotype"/>
          <w:lang w:eastAsia="es-MX"/>
        </w:rPr>
        <w:t>durante la administración 2019-2021 y 2022-2024</w:t>
      </w:r>
      <w:r w:rsidR="00715652" w:rsidRPr="0036167E">
        <w:rPr>
          <w:rFonts w:eastAsia="Palatino Linotype" w:cs="Palatino Linotype"/>
          <w:lang w:eastAsia="es-MX"/>
        </w:rPr>
        <w:t>.</w:t>
      </w:r>
    </w:p>
    <w:p w14:paraId="18E90514" w14:textId="150658B9" w:rsidR="00F53236" w:rsidRPr="0036167E" w:rsidRDefault="00F53236" w:rsidP="00581952">
      <w:pPr>
        <w:pStyle w:val="Prrafodelista"/>
        <w:numPr>
          <w:ilvl w:val="0"/>
          <w:numId w:val="23"/>
        </w:numPr>
        <w:spacing w:after="0" w:line="360" w:lineRule="auto"/>
        <w:rPr>
          <w:rFonts w:eastAsia="Palatino Linotype" w:cs="Palatino Linotype"/>
          <w:lang w:eastAsia="es-MX"/>
        </w:rPr>
      </w:pPr>
      <w:r w:rsidRPr="0036167E">
        <w:rPr>
          <w:rFonts w:eastAsia="Palatino Linotype" w:cs="Palatino Linotype"/>
          <w:lang w:eastAsia="es-MX"/>
        </w:rPr>
        <w:t>Nombre y área de adscripción</w:t>
      </w:r>
      <w:r w:rsidR="00581952" w:rsidRPr="0036167E">
        <w:rPr>
          <w:rFonts w:eastAsia="Palatino Linotype" w:cs="Palatino Linotype"/>
          <w:lang w:eastAsia="es-MX"/>
        </w:rPr>
        <w:t xml:space="preserve"> de los servidores públicos sindicalizados,</w:t>
      </w:r>
      <w:r w:rsidRPr="0036167E">
        <w:rPr>
          <w:rFonts w:eastAsia="Palatino Linotype" w:cs="Palatino Linotype"/>
          <w:lang w:eastAsia="es-MX"/>
        </w:rPr>
        <w:t xml:space="preserve"> </w:t>
      </w:r>
      <w:r w:rsidR="0073047F" w:rsidRPr="0036167E">
        <w:rPr>
          <w:rFonts w:eastAsia="Palatino Linotype" w:cs="Palatino Linotype"/>
          <w:lang w:eastAsia="es-MX"/>
        </w:rPr>
        <w:t>de dichas administraciones</w:t>
      </w:r>
      <w:r w:rsidR="00715652" w:rsidRPr="0036167E">
        <w:rPr>
          <w:rFonts w:eastAsia="Palatino Linotype" w:cs="Palatino Linotype"/>
          <w:lang w:eastAsia="es-MX"/>
        </w:rPr>
        <w:t>.</w:t>
      </w:r>
    </w:p>
    <w:p w14:paraId="55F60F86" w14:textId="77777777" w:rsidR="00581952" w:rsidRPr="0036167E" w:rsidRDefault="00581952" w:rsidP="00581952">
      <w:pPr>
        <w:spacing w:after="0" w:line="360" w:lineRule="auto"/>
        <w:rPr>
          <w:rFonts w:eastAsia="Palatino Linotype" w:cs="Palatino Linotype"/>
          <w:lang w:eastAsia="es-MX"/>
        </w:rPr>
      </w:pPr>
    </w:p>
    <w:p w14:paraId="279492BB" w14:textId="62164FE6" w:rsidR="00AC226B" w:rsidRPr="0036167E" w:rsidRDefault="00AC226B" w:rsidP="00AC226B">
      <w:pPr>
        <w:tabs>
          <w:tab w:val="left" w:pos="4962"/>
        </w:tabs>
        <w:spacing w:after="0" w:line="360" w:lineRule="auto"/>
        <w:rPr>
          <w:b/>
        </w:rPr>
      </w:pPr>
      <w:r w:rsidRPr="0036167E">
        <w:rPr>
          <w:rFonts w:eastAsia="Times New Roman" w:cs="Tahoma"/>
          <w:bCs/>
          <w:iCs/>
          <w:color w:val="auto"/>
          <w:lang w:eastAsia="es-ES"/>
        </w:rPr>
        <w:t>Establecido lo anterior, en respuesta el Sujeto Obligado señaló que era incompetente para conocer de lo solicitado, al ser la Secretaría de la Contraloría el ente con atribuciones para conocer con lo peticionado; sobre el tema,</w:t>
      </w:r>
      <w:r w:rsidRPr="0036167E">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36167E">
        <w:rPr>
          <w:b/>
        </w:rPr>
        <w:t>cuando la misma no sea competencia del sujeto obligado ante el cual se formule la solicitud de acceso.</w:t>
      </w:r>
    </w:p>
    <w:p w14:paraId="09CDE1FC" w14:textId="77777777" w:rsidR="00AC226B" w:rsidRPr="0036167E" w:rsidRDefault="00AC226B" w:rsidP="00AC226B">
      <w:pPr>
        <w:spacing w:line="360" w:lineRule="auto"/>
        <w:contextualSpacing/>
        <w:rPr>
          <w:b/>
        </w:rPr>
      </w:pPr>
    </w:p>
    <w:p w14:paraId="3A63300D" w14:textId="77777777" w:rsidR="00AC226B" w:rsidRPr="0036167E" w:rsidRDefault="00AC226B" w:rsidP="00AC226B">
      <w:pPr>
        <w:spacing w:line="360" w:lineRule="auto"/>
        <w:contextualSpacing/>
      </w:pPr>
      <w:r w:rsidRPr="0036167E">
        <w:t xml:space="preserve">Asimismo, que los Comités de Transparencia tienen entre sus atribuciones confirmar, modificar o revocar la </w:t>
      </w:r>
      <w:r w:rsidRPr="0036167E">
        <w:rPr>
          <w:b/>
        </w:rPr>
        <w:t>declaración de incompetencia</w:t>
      </w:r>
      <w:r w:rsidRPr="0036167E">
        <w:t xml:space="preserve"> que realicen los titulares de las unidades administrativas.</w:t>
      </w:r>
    </w:p>
    <w:p w14:paraId="0A3742B6" w14:textId="77777777" w:rsidR="00AC226B" w:rsidRPr="0036167E" w:rsidRDefault="00AC226B" w:rsidP="00AC226B">
      <w:pPr>
        <w:spacing w:line="360" w:lineRule="auto"/>
        <w:contextualSpacing/>
      </w:pPr>
    </w:p>
    <w:p w14:paraId="0506E762" w14:textId="77777777" w:rsidR="00AC226B" w:rsidRPr="0036167E" w:rsidRDefault="00AC226B" w:rsidP="00AC226B">
      <w:pPr>
        <w:spacing w:line="360" w:lineRule="auto"/>
        <w:contextualSpacing/>
      </w:pPr>
      <w:r w:rsidRPr="0036167E">
        <w:lastRenderedPageBreak/>
        <w:t xml:space="preserve">En esa tesitura, cuando las Unidades de Transparencia determinen </w:t>
      </w:r>
      <w:r w:rsidRPr="0036167E">
        <w:rPr>
          <w:b/>
        </w:rPr>
        <w:t>la notoria incompetencia</w:t>
      </w:r>
      <w:r w:rsidRPr="0036167E">
        <w:t xml:space="preserve"> por parte de los sujetos obligados deberán comunicar al solicitante la misma dentro de los tres días posteriores a la recepción de la solicitud, situación que no fue observada.</w:t>
      </w:r>
    </w:p>
    <w:p w14:paraId="74E754F8" w14:textId="77777777" w:rsidR="00AC226B" w:rsidRPr="0036167E" w:rsidRDefault="00AC226B" w:rsidP="00AC226B">
      <w:pPr>
        <w:spacing w:line="360" w:lineRule="auto"/>
        <w:contextualSpacing/>
      </w:pPr>
    </w:p>
    <w:p w14:paraId="69B39B0A" w14:textId="77777777" w:rsidR="00AC226B" w:rsidRPr="0036167E" w:rsidRDefault="00AC226B" w:rsidP="00AC226B">
      <w:pPr>
        <w:spacing w:line="360" w:lineRule="auto"/>
        <w:contextualSpacing/>
        <w:rPr>
          <w:bCs/>
        </w:rPr>
      </w:pPr>
      <w:r w:rsidRPr="0036167E">
        <w:t>Como se logra observar, si bien la Ley de la materia, prevé el supuesto de incompetencia para que los sujetos obligados den atención a solitudes de información, también lo es, que no se precisa en que consiste dicho concepto; sobre dicha situación</w:t>
      </w:r>
      <w:r w:rsidRPr="0036167E">
        <w:rPr>
          <w:lang w:val="es-ES_tradnl"/>
        </w:rPr>
        <w:t xml:space="preserve">, </w:t>
      </w:r>
      <w:r w:rsidRPr="0036167E">
        <w:rPr>
          <w:bCs/>
        </w:rPr>
        <w:t>según Cabanellas, Guillermo (1993), en el “Diccionario Jurídico Elemental” (p. 32 y 161), precisó los siguientes conceptos:</w:t>
      </w:r>
    </w:p>
    <w:p w14:paraId="2A4FACAB" w14:textId="77777777" w:rsidR="00AC226B" w:rsidRPr="0036167E" w:rsidRDefault="00AC226B" w:rsidP="00AC226B">
      <w:pPr>
        <w:spacing w:line="360" w:lineRule="auto"/>
        <w:contextualSpacing/>
        <w:rPr>
          <w:bCs/>
        </w:rPr>
      </w:pPr>
    </w:p>
    <w:p w14:paraId="4D9FF463" w14:textId="77777777" w:rsidR="00AC226B" w:rsidRPr="0036167E" w:rsidRDefault="00AC226B" w:rsidP="00AC226B">
      <w:pPr>
        <w:numPr>
          <w:ilvl w:val="0"/>
          <w:numId w:val="24"/>
        </w:numPr>
        <w:spacing w:after="0" w:line="360" w:lineRule="auto"/>
        <w:contextualSpacing/>
        <w:rPr>
          <w:bCs/>
        </w:rPr>
      </w:pPr>
      <w:r w:rsidRPr="0036167E">
        <w:rPr>
          <w:b/>
          <w:bCs/>
        </w:rPr>
        <w:t xml:space="preserve">Competencia: </w:t>
      </w:r>
      <w:r w:rsidRPr="0036167E">
        <w:rPr>
          <w:bCs/>
        </w:rPr>
        <w:t>La capacidad de una autoridad para conocer sobre una materia o asunto.</w:t>
      </w:r>
    </w:p>
    <w:p w14:paraId="0C6F52C2" w14:textId="77777777" w:rsidR="00AC226B" w:rsidRPr="0036167E" w:rsidRDefault="00AC226B" w:rsidP="00AC226B">
      <w:pPr>
        <w:numPr>
          <w:ilvl w:val="0"/>
          <w:numId w:val="24"/>
        </w:numPr>
        <w:spacing w:after="0" w:line="360" w:lineRule="auto"/>
        <w:contextualSpacing/>
        <w:rPr>
          <w:bCs/>
        </w:rPr>
      </w:pPr>
      <w:r w:rsidRPr="0036167E">
        <w:rPr>
          <w:b/>
          <w:bCs/>
        </w:rPr>
        <w:t>Incompetencia:</w:t>
      </w:r>
      <w:r w:rsidRPr="0036167E">
        <w:rPr>
          <w:bCs/>
        </w:rPr>
        <w:t xml:space="preserve"> Falta de Competencia.</w:t>
      </w:r>
    </w:p>
    <w:p w14:paraId="25C69952" w14:textId="77777777" w:rsidR="00AC226B" w:rsidRPr="0036167E" w:rsidRDefault="00AC226B" w:rsidP="00AC226B">
      <w:pPr>
        <w:spacing w:line="360" w:lineRule="auto"/>
        <w:contextualSpacing/>
      </w:pPr>
    </w:p>
    <w:p w14:paraId="4EF4A525" w14:textId="77777777" w:rsidR="00AC226B" w:rsidRPr="0036167E" w:rsidRDefault="00AC226B" w:rsidP="00AC226B">
      <w:pPr>
        <w:spacing w:line="360" w:lineRule="auto"/>
        <w:contextualSpacing/>
      </w:pPr>
      <w:r w:rsidRPr="0036167E">
        <w:rPr>
          <w:lang w:val="es-ES_tradnl"/>
        </w:rPr>
        <w:t xml:space="preserve">Por lo que, </w:t>
      </w:r>
      <w:r w:rsidRPr="0036167E">
        <w:rPr>
          <w:b/>
          <w:lang w:val="es-ES_tradnl"/>
        </w:rPr>
        <w:t>la incompetencia</w:t>
      </w:r>
      <w:r w:rsidRPr="0036167E">
        <w:rPr>
          <w:lang w:val="es-ES_tradnl"/>
        </w:rPr>
        <w:t>, radica en la incapacidad de una autoridad para conocer de un tema o asunto; en el mismo sentido, conviene traer al presente estudio la tesis</w:t>
      </w:r>
      <w:r w:rsidRPr="0036167E">
        <w:t xml:space="preserve"> aislada, con número de registro: 186917, publicada en el Semanario Judicial de la Federación y su Gaceta, Novena Época, Tomo XV, Mayo de 2002, Pág. 1243, cuyo texto y rubro es el siguiente:</w:t>
      </w:r>
    </w:p>
    <w:p w14:paraId="1A706BCA" w14:textId="77777777" w:rsidR="00AC226B" w:rsidRPr="0036167E" w:rsidRDefault="00AC226B" w:rsidP="00AC226B">
      <w:pPr>
        <w:spacing w:line="360" w:lineRule="auto"/>
        <w:contextualSpacing/>
        <w:rPr>
          <w:lang w:val="es-ES_tradnl"/>
        </w:rPr>
      </w:pPr>
    </w:p>
    <w:p w14:paraId="65E3D4B6" w14:textId="77777777" w:rsidR="00AC226B" w:rsidRPr="0036167E" w:rsidRDefault="00AC226B" w:rsidP="00AC226B">
      <w:pPr>
        <w:spacing w:after="0" w:line="360" w:lineRule="auto"/>
        <w:ind w:left="567" w:right="567"/>
        <w:contextualSpacing/>
        <w:rPr>
          <w:i/>
          <w:sz w:val="20"/>
          <w:szCs w:val="20"/>
          <w:lang w:val="es-ES_tradnl"/>
        </w:rPr>
      </w:pPr>
      <w:r w:rsidRPr="0036167E">
        <w:rPr>
          <w:b/>
          <w:bCs/>
          <w:i/>
          <w:sz w:val="20"/>
          <w:szCs w:val="20"/>
          <w:lang w:val="es-ES_tradnl"/>
        </w:rPr>
        <w:t xml:space="preserve">“LEGITIMACIÓN DE FUNCIONARIOS PÚBLICOS. LOS TRIBUNALES DE AMPARO, POR ESTAR VINCULADOS CON EL CONCEPTO DE COMPETENCIA A QUE SE REFIERE EL ARTÍCULO 16 CONSTITUCIONAL, NO PUEDEN CONOCER DE AQUÉLLA. </w:t>
      </w:r>
      <w:r w:rsidRPr="0036167E">
        <w:rPr>
          <w:i/>
          <w:sz w:val="20"/>
          <w:szCs w:val="20"/>
          <w:lang w:val="es-ES_tradnl"/>
        </w:rPr>
        <w:t>El artículo </w:t>
      </w:r>
      <w:hyperlink r:id="rId11" w:history="1">
        <w:r w:rsidRPr="0036167E">
          <w:rPr>
            <w:rStyle w:val="Hipervnculo"/>
            <w:i/>
            <w:sz w:val="20"/>
            <w:szCs w:val="20"/>
            <w:lang w:val="es-ES_tradnl"/>
          </w:rPr>
          <w:t>16 constitucional</w:t>
        </w:r>
      </w:hyperlink>
      <w:r w:rsidRPr="0036167E">
        <w:rPr>
          <w:i/>
          <w:sz w:val="20"/>
          <w:szCs w:val="20"/>
          <w:lang w:val="es-ES_tradnl"/>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w:t>
      </w:r>
      <w:r w:rsidRPr="0036167E">
        <w:rPr>
          <w:i/>
          <w:sz w:val="20"/>
          <w:szCs w:val="20"/>
          <w:lang w:val="es-ES_tradnl"/>
        </w:rPr>
        <w:lastRenderedPageBreak/>
        <w:t>órgano frente a los particulares, ya que consagra una garantía individual y no un control interno de la organización administrativa.”</w:t>
      </w:r>
    </w:p>
    <w:p w14:paraId="70642A06" w14:textId="77777777" w:rsidR="00AC226B" w:rsidRPr="0036167E" w:rsidRDefault="00AC226B" w:rsidP="00AC226B">
      <w:pPr>
        <w:spacing w:line="360" w:lineRule="auto"/>
        <w:contextualSpacing/>
        <w:rPr>
          <w:lang w:val="es-ES_tradnl"/>
        </w:rPr>
      </w:pPr>
    </w:p>
    <w:p w14:paraId="4DAD1533" w14:textId="77777777" w:rsidR="00AC226B" w:rsidRPr="0036167E" w:rsidRDefault="00AC226B" w:rsidP="00AC226B">
      <w:pPr>
        <w:spacing w:line="360" w:lineRule="auto"/>
        <w:contextualSpacing/>
        <w:rPr>
          <w:rFonts w:eastAsia="Times New Roman" w:cs="Tahoma"/>
          <w:color w:val="auto"/>
          <w:lang w:val="es-ES_tradnl" w:eastAsia="es-ES"/>
        </w:rPr>
      </w:pPr>
      <w:r w:rsidRPr="0036167E">
        <w:rPr>
          <w:lang w:val="es-ES_tradnl"/>
        </w:rPr>
        <w:t xml:space="preserve">A mayor abundamiento, resulta necesario traer a colación, el </w:t>
      </w:r>
      <w:r w:rsidRPr="0036167E">
        <w:rPr>
          <w:lang w:val="es-ES"/>
        </w:rPr>
        <w:t xml:space="preserve">Criterio de interpretación, con número de registro SO/013/2017, de la Segunda Época, </w:t>
      </w:r>
      <w:r w:rsidRPr="0036167E">
        <w:t>emitido por el Instituto Nacional de Transparencia, Acceso a la Información y Protección de Datos Personales, el cual precisa que</w:t>
      </w:r>
      <w:r w:rsidRPr="0036167E">
        <w:rPr>
          <w:rFonts w:eastAsia="Times New Roman" w:cs="Tahoma"/>
          <w:color w:val="auto"/>
          <w:lang w:val="es-ES_tradnl" w:eastAsia="es-ES"/>
        </w:rPr>
        <w:t xml:space="preserve"> la </w:t>
      </w:r>
      <w:r w:rsidRPr="0036167E">
        <w:rPr>
          <w:rFonts w:eastAsia="Times New Roman" w:cs="Tahoma"/>
          <w:b/>
          <w:color w:val="auto"/>
          <w:lang w:val="es-ES_tradnl" w:eastAsia="es-ES"/>
        </w:rPr>
        <w:t xml:space="preserve">incompetencia </w:t>
      </w:r>
      <w:r w:rsidRPr="0036167E">
        <w:rPr>
          <w:rFonts w:eastAsia="Times New Roman" w:cs="Tahoma"/>
          <w:color w:val="auto"/>
          <w:lang w:val="es-ES_tradnl" w:eastAsia="es-ES"/>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04132A76" w14:textId="77777777" w:rsidR="00AC226B" w:rsidRPr="0036167E" w:rsidRDefault="00AC226B" w:rsidP="00AC226B">
      <w:pPr>
        <w:spacing w:line="360" w:lineRule="auto"/>
        <w:contextualSpacing/>
        <w:rPr>
          <w:rFonts w:eastAsia="Times New Roman" w:cs="Tahoma"/>
          <w:color w:val="auto"/>
          <w:lang w:val="es-ES_tradnl" w:eastAsia="es-ES"/>
        </w:rPr>
      </w:pPr>
    </w:p>
    <w:p w14:paraId="6E5097AD" w14:textId="77777777" w:rsidR="00AC226B" w:rsidRPr="0036167E" w:rsidRDefault="00AC226B" w:rsidP="00AC226B">
      <w:pPr>
        <w:spacing w:line="360" w:lineRule="auto"/>
        <w:contextualSpacing/>
        <w:rPr>
          <w:rFonts w:eastAsia="Times New Roman" w:cs="Tahoma"/>
          <w:color w:val="auto"/>
          <w:lang w:val="es-ES_tradnl" w:eastAsia="es-ES"/>
        </w:rPr>
      </w:pPr>
      <w:r w:rsidRPr="0036167E">
        <w:rPr>
          <w:rFonts w:eastAsia="Times New Roman" w:cs="Tahoma"/>
          <w:color w:val="auto"/>
          <w:lang w:val="es-ES_tradnl" w:eastAsia="es-ES"/>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24D7CB80" w14:textId="77777777" w:rsidR="00AC226B" w:rsidRPr="0036167E" w:rsidRDefault="00AC226B" w:rsidP="00AC226B">
      <w:pPr>
        <w:spacing w:after="0" w:line="360" w:lineRule="auto"/>
        <w:ind w:right="-93"/>
        <w:contextualSpacing/>
        <w:rPr>
          <w:rFonts w:eastAsia="Times New Roman" w:cs="Tahoma"/>
          <w:color w:val="auto"/>
          <w:lang w:val="es-ES" w:eastAsia="es-ES"/>
        </w:rPr>
      </w:pPr>
    </w:p>
    <w:p w14:paraId="7350CD00" w14:textId="1A699D20" w:rsidR="00AC226B" w:rsidRPr="0036167E" w:rsidRDefault="00AC226B" w:rsidP="00AC226B">
      <w:pPr>
        <w:spacing w:after="0" w:line="360" w:lineRule="auto"/>
        <w:rPr>
          <w:rFonts w:cs="Tahoma"/>
        </w:rPr>
      </w:pPr>
      <w:r w:rsidRPr="0036167E">
        <w:rPr>
          <w:rFonts w:cs="Tahoma"/>
        </w:rPr>
        <w:t xml:space="preserve">Por tanto, a continuación, se analiza si en la especie, el Ente Recurrido cuenta con atribuciones para conocer sobre la información requerida; para lo cual, es necesario recordar lo analizado en párrafos anteriores, en donde se precisó que el Ayuntamiento tiene facultades para contratar a personal sindicalizado, tan es así, que en ambas </w:t>
      </w:r>
      <w:r w:rsidR="00DD2FED" w:rsidRPr="0036167E">
        <w:rPr>
          <w:rFonts w:cs="Tahoma"/>
        </w:rPr>
        <w:t>administraciones</w:t>
      </w:r>
      <w:r w:rsidRPr="0036167E">
        <w:rPr>
          <w:rFonts w:cs="Tahoma"/>
        </w:rPr>
        <w:t xml:space="preserve"> </w:t>
      </w:r>
      <w:r w:rsidR="00DD2FED" w:rsidRPr="0036167E">
        <w:rPr>
          <w:rFonts w:cs="Tahoma"/>
        </w:rPr>
        <w:t>en el tabulador de sueldos tienen plazas para agremiados-</w:t>
      </w:r>
    </w:p>
    <w:p w14:paraId="7FC306A4" w14:textId="77777777" w:rsidR="00AC226B" w:rsidRPr="0036167E" w:rsidRDefault="00AC226B" w:rsidP="00AC226B">
      <w:pPr>
        <w:spacing w:after="0" w:line="360" w:lineRule="auto"/>
        <w:rPr>
          <w:rFonts w:cs="Tahoma"/>
        </w:rPr>
      </w:pPr>
    </w:p>
    <w:p w14:paraId="3E749DD1" w14:textId="57D7C071" w:rsidR="00F53236" w:rsidRPr="0036167E" w:rsidRDefault="00DD2FED" w:rsidP="00DD2FED">
      <w:pPr>
        <w:spacing w:after="0" w:line="360" w:lineRule="auto"/>
        <w:rPr>
          <w:rFonts w:eastAsia="Palatino Linotype" w:cs="Palatino Linotype"/>
          <w:lang w:eastAsia="es-MX"/>
        </w:rPr>
      </w:pPr>
      <w:r w:rsidRPr="0036167E">
        <w:rPr>
          <w:rFonts w:cs="Tahoma"/>
        </w:rPr>
        <w:t xml:space="preserve">Además, </w:t>
      </w:r>
      <w:r w:rsidR="00AC226B" w:rsidRPr="0036167E">
        <w:rPr>
          <w:rFonts w:cs="Tahoma"/>
        </w:rPr>
        <w:t xml:space="preserve">el Manual General de Organización de la Administración Pública Municipal de San Antonio la Isla, 2022-2024, </w:t>
      </w:r>
      <w:r w:rsidRPr="0036167E">
        <w:rPr>
          <w:rFonts w:cs="Tahoma"/>
        </w:rPr>
        <w:t>establece que el Sujeto Obligado para el ejercicio de sus atribuciones contará  con diversas unidades administrativas, entre las cuales se encuentra la Dirección de Administración encargada de integrar, sistematizar y actualizar la plantilla de personal; de recibir, documentar, integrar y aprobar los movimientos administrativos del personal; así como, analizar, proponer y generar los acuerdos con la representación sindical sobre los asuntos laborales del personal afiliado.</w:t>
      </w:r>
    </w:p>
    <w:p w14:paraId="639C9011" w14:textId="04F1BB9A" w:rsidR="00DD2FED" w:rsidRPr="0036167E" w:rsidRDefault="00DD2FED" w:rsidP="00DD2FED">
      <w:pPr>
        <w:spacing w:after="0" w:line="360" w:lineRule="auto"/>
        <w:rPr>
          <w:rFonts w:eastAsia="Palatino Linotype" w:cs="Palatino Linotype"/>
          <w:lang w:eastAsia="es-MX"/>
        </w:rPr>
      </w:pPr>
      <w:r w:rsidRPr="0036167E">
        <w:rPr>
          <w:rFonts w:eastAsia="Palatino Linotype" w:cs="Palatino Linotype"/>
          <w:lang w:eastAsia="es-MX"/>
        </w:rPr>
        <w:lastRenderedPageBreak/>
        <w:t>Además, se localizó en la página oficial del Sujeto Obligado y del Sindicato Único de Trabajadores de los Poderes, Municipios e Instituciones Descentralizadas del Estado de México, que el dos de julio de dos mil veinticuatro, en la Casa del Servidor Público Mexiquense, los Titulares de dichas instituciones firmaron el convenio de sueldos y prestaciones socioeconómicas 2024</w:t>
      </w:r>
      <w:r w:rsidR="008A0D75" w:rsidRPr="0036167E">
        <w:rPr>
          <w:rFonts w:eastAsia="Palatino Linotype" w:cs="Palatino Linotype"/>
          <w:lang w:eastAsia="es-MX"/>
        </w:rPr>
        <w:t>.</w:t>
      </w:r>
    </w:p>
    <w:p w14:paraId="27302000" w14:textId="77777777" w:rsidR="008A0D75" w:rsidRPr="0036167E" w:rsidRDefault="008A0D75" w:rsidP="00DD2FED">
      <w:pPr>
        <w:spacing w:after="0" w:line="360" w:lineRule="auto"/>
        <w:rPr>
          <w:rFonts w:eastAsia="Palatino Linotype" w:cs="Palatino Linotype"/>
          <w:lang w:eastAsia="es-MX"/>
        </w:rPr>
      </w:pPr>
    </w:p>
    <w:p w14:paraId="7F860C2B" w14:textId="653ABFEA" w:rsidR="008A0D75" w:rsidRPr="0036167E" w:rsidRDefault="008A0D75" w:rsidP="00DD2FED">
      <w:pPr>
        <w:spacing w:after="0" w:line="360" w:lineRule="auto"/>
        <w:rPr>
          <w:rFonts w:eastAsia="Palatino Linotype" w:cs="Palatino Linotype"/>
          <w:lang w:eastAsia="es-MX"/>
        </w:rPr>
      </w:pPr>
      <w:r w:rsidRPr="0036167E">
        <w:rPr>
          <w:rFonts w:eastAsia="Palatino Linotype" w:cs="Palatino Linotype"/>
          <w:lang w:eastAsia="es-MX"/>
        </w:rPr>
        <w:t>Asimismo, se localizó en la cuenta oficial de la Presidenta Municipal de San Antonio la Isla, de la red social de Facebook, que el veintisiete de julio de dos mil veintiuno, se firmó el Convenio de Prestaciones Socioeconómicas, tal como se muestra a continuación:</w:t>
      </w:r>
    </w:p>
    <w:p w14:paraId="31AA38E1" w14:textId="77777777" w:rsidR="005E0485" w:rsidRPr="0036167E" w:rsidRDefault="005E0485" w:rsidP="00DD2FED">
      <w:pPr>
        <w:spacing w:after="0" w:line="360" w:lineRule="auto"/>
        <w:rPr>
          <w:rFonts w:eastAsia="Palatino Linotype" w:cs="Palatino Linotype"/>
          <w:lang w:eastAsia="es-MX"/>
        </w:rPr>
      </w:pPr>
    </w:p>
    <w:p w14:paraId="751D8816" w14:textId="04EC3713" w:rsidR="00DD2FED" w:rsidRPr="0036167E" w:rsidRDefault="005E0485" w:rsidP="005E0485">
      <w:pPr>
        <w:spacing w:after="0" w:line="360" w:lineRule="auto"/>
        <w:jc w:val="center"/>
        <w:rPr>
          <w:rFonts w:eastAsia="Palatino Linotype" w:cs="Palatino Linotype"/>
          <w:lang w:eastAsia="es-MX"/>
        </w:rPr>
      </w:pPr>
      <w:r w:rsidRPr="0036167E">
        <w:rPr>
          <w:rFonts w:eastAsia="Palatino Linotype" w:cs="Palatino Linotype"/>
          <w:noProof/>
          <w:lang w:eastAsia="es-MX"/>
        </w:rPr>
        <w:drawing>
          <wp:inline distT="0" distB="0" distL="0" distR="0" wp14:anchorId="75097518" wp14:editId="37354503">
            <wp:extent cx="3629025" cy="4333895"/>
            <wp:effectExtent l="0" t="0" r="0" b="9525"/>
            <wp:docPr id="1571731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4125" cy="4339985"/>
                    </a:xfrm>
                    <a:prstGeom prst="rect">
                      <a:avLst/>
                    </a:prstGeom>
                    <a:noFill/>
                    <a:ln>
                      <a:noFill/>
                    </a:ln>
                  </pic:spPr>
                </pic:pic>
              </a:graphicData>
            </a:graphic>
          </wp:inline>
        </w:drawing>
      </w:r>
    </w:p>
    <w:p w14:paraId="67D087EF" w14:textId="77777777" w:rsidR="005E0485" w:rsidRPr="0036167E" w:rsidRDefault="005E0485" w:rsidP="005E0485">
      <w:pPr>
        <w:spacing w:after="0" w:line="360" w:lineRule="auto"/>
        <w:jc w:val="center"/>
        <w:rPr>
          <w:rFonts w:eastAsia="Palatino Linotype" w:cs="Palatino Linotype"/>
          <w:lang w:eastAsia="es-MX"/>
        </w:rPr>
      </w:pPr>
    </w:p>
    <w:p w14:paraId="7E20D890" w14:textId="77777777" w:rsidR="000550D1" w:rsidRPr="0036167E" w:rsidRDefault="000550D1" w:rsidP="005E0485">
      <w:pPr>
        <w:spacing w:after="0" w:line="360" w:lineRule="auto"/>
        <w:jc w:val="center"/>
        <w:rPr>
          <w:rFonts w:eastAsia="Palatino Linotype" w:cs="Palatino Linotype"/>
          <w:lang w:eastAsia="es-MX"/>
        </w:rPr>
      </w:pPr>
    </w:p>
    <w:p w14:paraId="18AAC7DD" w14:textId="29BFE48E" w:rsidR="005E0485" w:rsidRPr="0036167E" w:rsidRDefault="005E0485" w:rsidP="005E0485">
      <w:pPr>
        <w:spacing w:after="0" w:line="360" w:lineRule="auto"/>
        <w:rPr>
          <w:rFonts w:eastAsia="Palatino Linotype" w:cs="Palatino Linotype"/>
          <w:lang w:eastAsia="es-MX"/>
        </w:rPr>
      </w:pPr>
      <w:r w:rsidRPr="0036167E">
        <w:rPr>
          <w:rFonts w:eastAsia="Palatino Linotype" w:cs="Palatino Linotype"/>
          <w:lang w:eastAsia="es-MX"/>
        </w:rPr>
        <w:t xml:space="preserve">Conforme a lo anterior, se puede vislumbrar </w:t>
      </w:r>
      <w:r w:rsidR="000550D1" w:rsidRPr="0036167E">
        <w:rPr>
          <w:rFonts w:eastAsia="Palatino Linotype" w:cs="Palatino Linotype"/>
          <w:lang w:eastAsia="es-MX"/>
        </w:rPr>
        <w:t>que,</w:t>
      </w:r>
      <w:r w:rsidRPr="0036167E">
        <w:rPr>
          <w:rFonts w:eastAsia="Palatino Linotype" w:cs="Palatino Linotype"/>
          <w:lang w:eastAsia="es-MX"/>
        </w:rPr>
        <w:t xml:space="preserve"> en el presente caso, tanto el Ayuntamiento de San Antonio de la Isla, como el Sindicato Único de Trabajadores de los Poderes, Municipios e Instituciones Descentralizadas del Estado de México, para conocer de lo peticionado, pues el primero los tiene adscritos a sus unidades administrativas y forman parte de su personal y el segundo, pues dichos trabajadores gubernamentales son afiliados a este.</w:t>
      </w:r>
    </w:p>
    <w:p w14:paraId="369684A7" w14:textId="77777777" w:rsidR="005E0485" w:rsidRPr="0036167E" w:rsidRDefault="005E0485" w:rsidP="005E0485">
      <w:pPr>
        <w:spacing w:after="0" w:line="360" w:lineRule="auto"/>
        <w:rPr>
          <w:rFonts w:eastAsia="Palatino Linotype" w:cs="Palatino Linotype"/>
          <w:lang w:eastAsia="es-MX"/>
        </w:rPr>
      </w:pPr>
    </w:p>
    <w:p w14:paraId="6643D79B" w14:textId="60BB6071" w:rsidR="005E0485" w:rsidRPr="0036167E" w:rsidRDefault="005E0485" w:rsidP="005E0485">
      <w:pPr>
        <w:spacing w:after="0" w:line="360" w:lineRule="auto"/>
        <w:rPr>
          <w:rFonts w:eastAsia="Palatino Linotype" w:cs="Palatino Linotype"/>
          <w:lang w:eastAsia="es-MX"/>
        </w:rPr>
      </w:pPr>
      <w:r w:rsidRPr="0036167E">
        <w:rPr>
          <w:rFonts w:eastAsia="Palatino Linotype" w:cs="Palatino Linotype"/>
          <w:lang w:eastAsia="es-MX"/>
        </w:rPr>
        <w:t>Sobre dicha circunstancia, el Criterio de Interpretación, con clave de control SO/013/2023, de la Tercera Época, emitido por el Instituto Nacional de Transparencia, Acceso a la Información y Protección de Datos Personales, establece que se actualiza competencia concurrente cuando ante una solicitud de información, uno o más sujetos obligados se encuentren constreñidos a conocer de la materia de lo peticionado, en cuyo caso cada uno deberá agotar el procedimiento de búsqueda de la información.</w:t>
      </w:r>
    </w:p>
    <w:p w14:paraId="4E1E716A" w14:textId="77777777" w:rsidR="005E0485" w:rsidRPr="0036167E" w:rsidRDefault="005E0485" w:rsidP="005E0485">
      <w:pPr>
        <w:spacing w:after="0" w:line="360" w:lineRule="auto"/>
        <w:rPr>
          <w:rFonts w:eastAsia="Palatino Linotype" w:cs="Palatino Linotype"/>
          <w:lang w:eastAsia="es-MX"/>
        </w:rPr>
      </w:pPr>
    </w:p>
    <w:p w14:paraId="59F96825" w14:textId="623E6977" w:rsidR="005E0485" w:rsidRPr="0036167E" w:rsidRDefault="005E0485" w:rsidP="005E0485">
      <w:pPr>
        <w:spacing w:after="0" w:line="360" w:lineRule="auto"/>
        <w:rPr>
          <w:rFonts w:eastAsia="Palatino Linotype" w:cs="Palatino Linotype"/>
          <w:b/>
          <w:bCs/>
          <w:lang w:eastAsia="es-MX"/>
        </w:rPr>
      </w:pPr>
      <w:r w:rsidRPr="0036167E">
        <w:rPr>
          <w:rFonts w:eastAsia="Palatino Linotype" w:cs="Palatino Linotype"/>
          <w:lang w:eastAsia="es-MX"/>
        </w:rPr>
        <w:t xml:space="preserve">En ese contexto, contrario a lo señalado por la Dirección de Administración, el Ayuntamiento y dicha área cuenta con competencia para conocer del personal adscrito a las unidades administrativas que se encuentra sindicaliza, lo cual da como resultado que el agravio sea </w:t>
      </w:r>
      <w:r w:rsidRPr="0036167E">
        <w:rPr>
          <w:rFonts w:eastAsia="Palatino Linotype" w:cs="Palatino Linotype"/>
          <w:b/>
          <w:bCs/>
          <w:lang w:eastAsia="es-MX"/>
        </w:rPr>
        <w:t>FUNDADO.</w:t>
      </w:r>
    </w:p>
    <w:p w14:paraId="20210891" w14:textId="77777777" w:rsidR="005E0485" w:rsidRPr="0036167E" w:rsidRDefault="005E0485" w:rsidP="005E0485">
      <w:pPr>
        <w:spacing w:after="0" w:line="360" w:lineRule="auto"/>
        <w:rPr>
          <w:rFonts w:eastAsia="Palatino Linotype" w:cs="Palatino Linotype"/>
          <w:lang w:eastAsia="es-MX"/>
        </w:rPr>
      </w:pPr>
    </w:p>
    <w:p w14:paraId="6A014C59" w14:textId="77777777" w:rsidR="005C38DE" w:rsidRPr="0036167E" w:rsidRDefault="005E0485" w:rsidP="00DD2FED">
      <w:pPr>
        <w:spacing w:after="0" w:line="360" w:lineRule="auto"/>
        <w:rPr>
          <w:rFonts w:eastAsia="Palatino Linotype" w:cs="Tahoma"/>
        </w:rPr>
      </w:pPr>
      <w:r w:rsidRPr="0036167E">
        <w:rPr>
          <w:rFonts w:eastAsia="Palatino Linotype" w:cs="Tahoma"/>
        </w:rPr>
        <w:t xml:space="preserve">Así, para atender el requerimiento de información, el Ayuntamiento de San Antonio la Isla, deberá realizar una búsqueda exhaustiva y razonable en </w:t>
      </w:r>
      <w:r w:rsidR="004B329F" w:rsidRPr="0036167E">
        <w:rPr>
          <w:rFonts w:eastAsia="Palatino Linotype" w:cs="Tahoma"/>
        </w:rPr>
        <w:t>los archivos de la Dirección de Administración y su Coordinación de Recursos Humanos</w:t>
      </w:r>
      <w:r w:rsidRPr="0036167E">
        <w:rPr>
          <w:rFonts w:eastAsia="Palatino Linotype" w:cs="Tahoma"/>
        </w:rPr>
        <w:t xml:space="preserve">, a efecto de proporcionar el documento que dé cuenta </w:t>
      </w:r>
      <w:r w:rsidR="004B329F" w:rsidRPr="0036167E">
        <w:rPr>
          <w:rFonts w:eastAsia="Palatino Linotype" w:cs="Tahoma"/>
        </w:rPr>
        <w:t>del nombre y área de adscripción de los servidores públicos sindicalizados, durante la administración 2019-2021 y de la 2022-2024</w:t>
      </w:r>
      <w:r w:rsidR="005C38DE" w:rsidRPr="0036167E">
        <w:rPr>
          <w:rFonts w:eastAsia="Palatino Linotype" w:cs="Tahoma"/>
        </w:rPr>
        <w:t>.</w:t>
      </w:r>
    </w:p>
    <w:p w14:paraId="3FD0EC5D" w14:textId="77777777" w:rsidR="005C38DE" w:rsidRPr="0036167E" w:rsidRDefault="005C38DE" w:rsidP="00DD2FED">
      <w:pPr>
        <w:spacing w:after="0" w:line="360" w:lineRule="auto"/>
        <w:rPr>
          <w:rFonts w:eastAsia="Palatino Linotype" w:cs="Tahoma"/>
        </w:rPr>
      </w:pPr>
    </w:p>
    <w:p w14:paraId="4D0894FC" w14:textId="77777777" w:rsidR="005C38DE" w:rsidRPr="0036167E" w:rsidRDefault="005C38DE" w:rsidP="005C38DE">
      <w:pPr>
        <w:tabs>
          <w:tab w:val="left" w:pos="4962"/>
        </w:tabs>
        <w:spacing w:line="360" w:lineRule="auto"/>
        <w:ind w:right="-28"/>
        <w:contextualSpacing/>
        <w:rPr>
          <w:rFonts w:eastAsia="Calibri" w:cs="Tahoma"/>
          <w:bCs/>
        </w:rPr>
      </w:pPr>
      <w:r w:rsidRPr="0036167E">
        <w:rPr>
          <w:rFonts w:eastAsia="Calibri" w:cs="Tahoma"/>
          <w:bCs/>
        </w:rPr>
        <w:t>D</w:t>
      </w:r>
      <w:r w:rsidRPr="0036167E">
        <w:rPr>
          <w:rFonts w:cs="Tahoma"/>
          <w:bCs/>
        </w:rPr>
        <w:t xml:space="preserve">icha circunstancia toma sustento </w:t>
      </w:r>
      <w:r w:rsidRPr="0036167E">
        <w:rPr>
          <w:rFonts w:cs="Tahoma"/>
          <w:iCs/>
          <w:lang w:val="es-ES"/>
        </w:rPr>
        <w:t xml:space="preserve">conforme al artículo 12 de la Ley de Transparencia y Acceso a la Información Pública del Estado de México y Municipios, que establece que los sujetos </w:t>
      </w:r>
      <w:r w:rsidRPr="0036167E">
        <w:rPr>
          <w:rFonts w:cs="Tahoma"/>
          <w:iCs/>
          <w:lang w:val="es-ES"/>
        </w:rPr>
        <w:lastRenderedPageBreak/>
        <w:t>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D486249" w14:textId="77777777" w:rsidR="005C38DE" w:rsidRPr="0036167E" w:rsidRDefault="005C38DE" w:rsidP="005C38DE">
      <w:pPr>
        <w:spacing w:line="360" w:lineRule="auto"/>
        <w:contextualSpacing/>
        <w:rPr>
          <w:rFonts w:cs="Tahoma"/>
          <w:iCs/>
          <w:lang w:val="es-ES"/>
        </w:rPr>
      </w:pPr>
    </w:p>
    <w:p w14:paraId="3CEF6316" w14:textId="77777777" w:rsidR="005C38DE" w:rsidRPr="0036167E" w:rsidRDefault="005C38DE" w:rsidP="005C38DE">
      <w:pPr>
        <w:spacing w:line="360" w:lineRule="auto"/>
        <w:contextualSpacing/>
        <w:rPr>
          <w:rFonts w:cs="Tahoma"/>
          <w:iCs/>
          <w:lang w:val="es-ES"/>
        </w:rPr>
      </w:pPr>
      <w:r w:rsidRPr="0036167E">
        <w:rPr>
          <w:rFonts w:cs="Tahoma"/>
          <w:iCs/>
          <w:lang w:val="es-ES"/>
        </w:rPr>
        <w:t xml:space="preserve">De esta manera, el derecho de acceso a la información pública se satisface en aquellos casos en que se entregue el soporte documental en el que conste la información solicitada, sin necesidad de elaborar documentos </w:t>
      </w:r>
      <w:r w:rsidRPr="0036167E">
        <w:rPr>
          <w:rFonts w:cs="Tahoma"/>
          <w:i/>
          <w:iCs/>
          <w:lang w:val="es-ES"/>
        </w:rPr>
        <w:t>ad hoc;</w:t>
      </w:r>
      <w:r w:rsidRPr="0036167E">
        <w:rPr>
          <w:rFonts w:cs="Tahoma"/>
          <w:iCs/>
          <w:lang w:val="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46B9114B" w14:textId="77777777" w:rsidR="005C38DE" w:rsidRPr="0036167E" w:rsidRDefault="005C38DE" w:rsidP="005C38DE">
      <w:pPr>
        <w:spacing w:line="360" w:lineRule="auto"/>
        <w:contextualSpacing/>
        <w:rPr>
          <w:rFonts w:cs="Tahoma"/>
          <w:bCs/>
          <w:iCs/>
        </w:rPr>
      </w:pPr>
    </w:p>
    <w:p w14:paraId="44D93CF8" w14:textId="4371C02B" w:rsidR="005C38DE" w:rsidRPr="0036167E" w:rsidRDefault="005C38DE" w:rsidP="005C38DE">
      <w:pPr>
        <w:spacing w:line="360" w:lineRule="auto"/>
        <w:contextualSpacing/>
        <w:rPr>
          <w:rFonts w:cs="Tahoma"/>
          <w:iCs/>
          <w:lang w:val="es-ES"/>
        </w:rPr>
      </w:pPr>
      <w:r w:rsidRPr="0036167E">
        <w:rPr>
          <w:rFonts w:cs="Tahoma"/>
          <w:iCs/>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7BDCD059" w14:textId="77777777" w:rsidR="005C38DE" w:rsidRPr="0036167E" w:rsidRDefault="005C38DE" w:rsidP="005C38DE">
      <w:pPr>
        <w:spacing w:line="360" w:lineRule="auto"/>
        <w:contextualSpacing/>
        <w:rPr>
          <w:rFonts w:cs="Tahoma"/>
          <w:iCs/>
          <w:lang w:val="es-ES"/>
        </w:rPr>
      </w:pPr>
    </w:p>
    <w:p w14:paraId="5220EA9F" w14:textId="7F5586E1" w:rsidR="005C38DE" w:rsidRPr="0036167E" w:rsidRDefault="005C38DE" w:rsidP="005C38DE">
      <w:pPr>
        <w:spacing w:line="360" w:lineRule="auto"/>
        <w:contextualSpacing/>
        <w:rPr>
          <w:rFonts w:cs="Tahoma"/>
          <w:iCs/>
          <w:lang w:val="es-ES"/>
        </w:rPr>
      </w:pPr>
      <w:r w:rsidRPr="0036167E">
        <w:rPr>
          <w:rFonts w:cs="Tahoma"/>
          <w:iCs/>
          <w:lang w:val="es-ES"/>
        </w:rPr>
        <w:t>Conforme a lo anterior y toda vez que este Instituto no localizó alguna fuente normativa que establezca la obligación de generar un documento donde conste el número total de servidores públicos sindicalizados, durante determinadas administraciones, se considera que lo que da cuenta de lo peticionado únicamente es aquel donde conste el nombre y área de adscripción de dichos trabajadores, pues basta sumar los registros para obtener la información estadística requerida.</w:t>
      </w:r>
    </w:p>
    <w:p w14:paraId="01482D3C" w14:textId="77777777" w:rsidR="005C38DE" w:rsidRPr="0036167E" w:rsidRDefault="005C38DE" w:rsidP="005C38DE">
      <w:pPr>
        <w:spacing w:line="360" w:lineRule="auto"/>
        <w:contextualSpacing/>
        <w:rPr>
          <w:rFonts w:cs="Tahoma"/>
          <w:iCs/>
          <w:lang w:val="es-ES"/>
        </w:rPr>
      </w:pPr>
    </w:p>
    <w:p w14:paraId="07A196ED" w14:textId="5AA7C6C4" w:rsidR="005C38DE" w:rsidRPr="0036167E" w:rsidRDefault="005C38DE" w:rsidP="005C38DE">
      <w:pPr>
        <w:spacing w:line="360" w:lineRule="auto"/>
        <w:contextualSpacing/>
        <w:rPr>
          <w:rFonts w:cs="Tahoma"/>
          <w:iCs/>
          <w:lang w:val="es-ES"/>
        </w:rPr>
      </w:pPr>
      <w:r w:rsidRPr="0036167E">
        <w:rPr>
          <w:rFonts w:cs="Tahoma"/>
          <w:iCs/>
          <w:lang w:val="es-ES"/>
        </w:rPr>
        <w:t>En otras palabras, al otorgar los datos de los agremiados que laboraban para el Ayuntamiento, se puede obtener el número total, por lo que, para atender el requerimiento de información y dar cumplimiento a los artículos 12 y 160 de la Ley de la materia, deberá proporcionar la expresión documental donde conste el nombre y área de adscripción de los sindicalizados durante las dos administraciones señaladas en la solicitud.</w:t>
      </w:r>
    </w:p>
    <w:p w14:paraId="159D6B61" w14:textId="7181453C" w:rsidR="00DD2FED" w:rsidRPr="0036167E" w:rsidRDefault="004B329F" w:rsidP="005C38DE">
      <w:pPr>
        <w:tabs>
          <w:tab w:val="right" w:pos="9121"/>
        </w:tabs>
        <w:spacing w:after="0" w:line="360" w:lineRule="auto"/>
        <w:rPr>
          <w:rFonts w:eastAsia="Palatino Linotype" w:cs="Tahoma"/>
        </w:rPr>
      </w:pPr>
      <w:r w:rsidRPr="0036167E">
        <w:rPr>
          <w:rFonts w:eastAsia="Palatino Linotype" w:cs="Tahoma"/>
        </w:rPr>
        <w:lastRenderedPageBreak/>
        <w:t xml:space="preserve"> </w:t>
      </w:r>
      <w:r w:rsidR="005C38DE" w:rsidRPr="0036167E">
        <w:rPr>
          <w:rFonts w:eastAsia="Palatino Linotype" w:cs="Tahoma"/>
        </w:rPr>
        <w:tab/>
      </w:r>
    </w:p>
    <w:p w14:paraId="5C10AC3D" w14:textId="374D5B07" w:rsidR="00A319FB" w:rsidRPr="0036167E" w:rsidRDefault="00A319FB" w:rsidP="00A319FB">
      <w:pPr>
        <w:spacing w:after="0" w:line="360" w:lineRule="auto"/>
        <w:rPr>
          <w:rFonts w:eastAsia="Calibri" w:cs="Tahoma"/>
          <w:bCs/>
          <w:lang w:val="es-ES"/>
        </w:rPr>
      </w:pPr>
      <w:r w:rsidRPr="0036167E">
        <w:rPr>
          <w:rFonts w:eastAsia="Calibri" w:cs="Tahoma"/>
          <w:bCs/>
          <w:lang w:val="es-ES"/>
        </w:rPr>
        <w:t xml:space="preserve">Finalmente, </w:t>
      </w:r>
      <w:r w:rsidRPr="0036167E">
        <w:rPr>
          <w:rFonts w:eastAsia="Calibri" w:cs="Tahoma"/>
          <w:bCs/>
          <w:lang w:val="es-ES_tradnl"/>
        </w:rPr>
        <w:t xml:space="preserve">no pasa desapercibido para este Instituto que los documentos que atiendan la solicitud, pudieran contener datos personales confidenciales, tales como </w:t>
      </w:r>
      <w:r w:rsidR="005C38DE" w:rsidRPr="0036167E">
        <w:rPr>
          <w:rFonts w:eastAsia="Calibri" w:cs="Tahoma"/>
          <w:bCs/>
          <w:lang w:val="es-ES_tradnl"/>
        </w:rPr>
        <w:t>la Clave Única de Registro de Población, el Registro Federal de Contribuyentes, el número de seguridad social de servidores públicos</w:t>
      </w:r>
      <w:r w:rsidRPr="0036167E">
        <w:rPr>
          <w:rFonts w:eastAsia="Calibri" w:cs="Tahoma"/>
          <w:bCs/>
          <w:lang w:val="es-ES_tradnl"/>
        </w:rPr>
        <w:t>, en términos del artículo 143, fracción I de la Ley de la materia; a</w:t>
      </w:r>
      <w:r w:rsidRPr="0036167E">
        <w:rPr>
          <w:rFonts w:eastAsia="Calibri" w:cs="Tahoma"/>
          <w:bCs/>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6AC908E" w14:textId="77777777" w:rsidR="00A319FB" w:rsidRPr="0036167E" w:rsidRDefault="00A319FB" w:rsidP="00A319FB">
      <w:pPr>
        <w:spacing w:after="0" w:line="360" w:lineRule="auto"/>
        <w:rPr>
          <w:rFonts w:eastAsia="Calibri" w:cs="Tahoma"/>
          <w:bCs/>
          <w:lang w:val="es-ES"/>
        </w:rPr>
      </w:pPr>
    </w:p>
    <w:p w14:paraId="25325CBF" w14:textId="77777777" w:rsidR="00A319FB" w:rsidRPr="0036167E" w:rsidRDefault="00A319FB" w:rsidP="00A319FB">
      <w:pPr>
        <w:spacing w:after="0" w:line="360" w:lineRule="auto"/>
        <w:rPr>
          <w:rFonts w:eastAsia="Calibri" w:cs="Times New Roman"/>
          <w:bCs/>
          <w:lang w:val="es-ES"/>
        </w:rPr>
      </w:pPr>
      <w:r w:rsidRPr="0036167E">
        <w:rPr>
          <w:rFonts w:eastAsia="Calibri" w:cs="Tahoma"/>
          <w:bCs/>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1CD7F7" w14:textId="77777777" w:rsidR="00A319FB" w:rsidRPr="0036167E" w:rsidRDefault="00A319FB" w:rsidP="00A319FB">
      <w:pPr>
        <w:spacing w:after="0" w:line="360" w:lineRule="auto"/>
        <w:rPr>
          <w:rFonts w:eastAsia="Calibri" w:cs="Times New Roman"/>
          <w:bCs/>
          <w:lang w:val="es-ES"/>
        </w:rPr>
      </w:pPr>
    </w:p>
    <w:p w14:paraId="2595EAA3" w14:textId="77777777" w:rsidR="00A319FB" w:rsidRPr="0036167E" w:rsidRDefault="00A319FB" w:rsidP="00A319FB">
      <w:pPr>
        <w:spacing w:after="0" w:line="360" w:lineRule="auto"/>
        <w:ind w:right="-93"/>
        <w:rPr>
          <w:rFonts w:eastAsia="Palatino Linotype" w:cs="Palatino Linotype"/>
          <w:b/>
          <w:lang w:eastAsia="es-ES"/>
        </w:rPr>
      </w:pPr>
      <w:r w:rsidRPr="0036167E">
        <w:rPr>
          <w:rFonts w:eastAsia="Palatino Linotype" w:cs="Palatino Linotype"/>
          <w:b/>
          <w:lang w:eastAsia="es-ES"/>
        </w:rPr>
        <w:t xml:space="preserve">SEXTO. Decisión </w:t>
      </w:r>
    </w:p>
    <w:p w14:paraId="035722C5" w14:textId="77777777" w:rsidR="00A319FB" w:rsidRPr="0036167E" w:rsidRDefault="00A319FB" w:rsidP="00A319FB">
      <w:pPr>
        <w:widowControl w:val="0"/>
        <w:spacing w:after="0" w:line="360" w:lineRule="auto"/>
        <w:rPr>
          <w:rFonts w:eastAsia="Palatino Linotype" w:cs="Palatino Linotype"/>
          <w:color w:val="FF0000"/>
          <w:lang w:eastAsia="es-MX"/>
        </w:rPr>
      </w:pPr>
    </w:p>
    <w:p w14:paraId="40DD91D8" w14:textId="64616570" w:rsidR="00A319FB" w:rsidRPr="0036167E" w:rsidRDefault="00A319FB" w:rsidP="00A319FB">
      <w:pPr>
        <w:spacing w:after="0" w:line="360" w:lineRule="auto"/>
        <w:rPr>
          <w:rFonts w:eastAsia="Times New Roman" w:cs="Tahoma"/>
          <w:lang w:eastAsia="es-ES"/>
        </w:rPr>
      </w:pPr>
      <w:r w:rsidRPr="0036167E">
        <w:rPr>
          <w:rFonts w:eastAsia="Times New Roman" w:cs="Tahoma"/>
          <w:lang w:eastAsia="es-ES"/>
        </w:rPr>
        <w:t xml:space="preserve">Con fundamento en el artículo 186, fracción III, de la Ley de Transparencia y Acceso a la Información Pública del Estado de México y Municipios, este Instituto considera procedente </w:t>
      </w:r>
      <w:r w:rsidRPr="0036167E">
        <w:rPr>
          <w:rFonts w:eastAsia="Times New Roman" w:cs="Tahoma"/>
          <w:b/>
          <w:lang w:eastAsia="es-ES"/>
        </w:rPr>
        <w:t xml:space="preserve">REVOCAR </w:t>
      </w:r>
      <w:r w:rsidRPr="0036167E">
        <w:rPr>
          <w:rFonts w:eastAsia="Times New Roman" w:cs="Tahoma"/>
          <w:bCs/>
          <w:lang w:eastAsia="es-ES"/>
        </w:rPr>
        <w:t>la</w:t>
      </w:r>
      <w:r w:rsidRPr="0036167E">
        <w:rPr>
          <w:rFonts w:eastAsia="Times New Roman" w:cs="Tahoma"/>
          <w:lang w:eastAsia="es-ES"/>
        </w:rPr>
        <w:t xml:space="preserve"> respuesta otorgada por el Ayuntamiento de </w:t>
      </w:r>
      <w:r w:rsidR="00F31459" w:rsidRPr="0036167E">
        <w:rPr>
          <w:rFonts w:eastAsia="Times New Roman" w:cs="Tahoma"/>
          <w:lang w:eastAsia="es-ES"/>
        </w:rPr>
        <w:t xml:space="preserve">San Antonio la Isla, </w:t>
      </w:r>
      <w:r w:rsidR="005C38DE" w:rsidRPr="0036167E">
        <w:rPr>
          <w:rFonts w:eastAsia="Times New Roman" w:cs="Tahoma"/>
          <w:lang w:eastAsia="es-ES"/>
        </w:rPr>
        <w:t xml:space="preserve">a </w:t>
      </w:r>
      <w:r w:rsidRPr="0036167E">
        <w:rPr>
          <w:rFonts w:eastAsia="Times New Roman" w:cs="Tahoma"/>
          <w:lang w:eastAsia="es-ES"/>
        </w:rPr>
        <w:t>efecto de que</w:t>
      </w:r>
      <w:r w:rsidR="005C38DE" w:rsidRPr="0036167E">
        <w:rPr>
          <w:rFonts w:eastAsia="Times New Roman" w:cs="Tahoma"/>
          <w:lang w:eastAsia="es-ES"/>
        </w:rPr>
        <w:t xml:space="preserve"> asuma competencia y</w:t>
      </w:r>
      <w:r w:rsidRPr="0036167E">
        <w:rPr>
          <w:rFonts w:eastAsia="Times New Roman" w:cs="Tahoma"/>
          <w:lang w:eastAsia="es-ES"/>
        </w:rPr>
        <w:t xml:space="preserve"> previa búsqueda exhaustiva y razonable</w:t>
      </w:r>
      <w:r w:rsidR="000550D1" w:rsidRPr="0036167E">
        <w:rPr>
          <w:rFonts w:eastAsia="Times New Roman" w:cs="Tahoma"/>
          <w:lang w:eastAsia="es-ES"/>
        </w:rPr>
        <w:t xml:space="preserve"> en las unidades administrativas competentes, entre las cuales no podrá omitir a la Dirección de </w:t>
      </w:r>
      <w:r w:rsidR="0036167E" w:rsidRPr="0036167E">
        <w:rPr>
          <w:rFonts w:eastAsia="Times New Roman" w:cs="Tahoma"/>
          <w:lang w:eastAsia="es-ES"/>
        </w:rPr>
        <w:t>Administración</w:t>
      </w:r>
      <w:r w:rsidR="005C38DE" w:rsidRPr="0036167E">
        <w:rPr>
          <w:rFonts w:eastAsia="Times New Roman" w:cs="Tahoma"/>
          <w:lang w:eastAsia="es-ES"/>
        </w:rPr>
        <w:t xml:space="preserve">, entregue la información requerida de los </w:t>
      </w:r>
      <w:r w:rsidR="000550D1" w:rsidRPr="0036167E">
        <w:rPr>
          <w:rFonts w:eastAsia="Times New Roman" w:cs="Tahoma"/>
          <w:lang w:eastAsia="es-ES"/>
        </w:rPr>
        <w:t>sindicalizados</w:t>
      </w:r>
      <w:r w:rsidR="005C38DE" w:rsidRPr="0036167E">
        <w:rPr>
          <w:rFonts w:eastAsia="Times New Roman" w:cs="Tahoma"/>
          <w:lang w:eastAsia="es-ES"/>
        </w:rPr>
        <w:t>.</w:t>
      </w:r>
    </w:p>
    <w:p w14:paraId="0F30E0BE" w14:textId="77777777" w:rsidR="00A319FB" w:rsidRPr="0036167E" w:rsidRDefault="00A319FB" w:rsidP="00A319FB">
      <w:pPr>
        <w:widowControl w:val="0"/>
        <w:spacing w:after="0" w:line="360" w:lineRule="auto"/>
        <w:rPr>
          <w:rFonts w:eastAsia="Palatino Linotype" w:cs="Palatino Linotype"/>
          <w:color w:val="FF0000"/>
          <w:lang w:eastAsia="es-MX"/>
        </w:rPr>
      </w:pPr>
    </w:p>
    <w:p w14:paraId="123F9820" w14:textId="77777777" w:rsidR="000550D1" w:rsidRPr="0036167E" w:rsidRDefault="000550D1" w:rsidP="00A319FB">
      <w:pPr>
        <w:widowControl w:val="0"/>
        <w:spacing w:after="0" w:line="360" w:lineRule="auto"/>
        <w:rPr>
          <w:rFonts w:eastAsia="Palatino Linotype" w:cs="Palatino Linotype"/>
          <w:color w:val="FF0000"/>
          <w:lang w:eastAsia="es-MX"/>
        </w:rPr>
      </w:pPr>
    </w:p>
    <w:p w14:paraId="3EC78388" w14:textId="77777777" w:rsidR="000550D1" w:rsidRPr="0036167E" w:rsidRDefault="000550D1" w:rsidP="00A319FB">
      <w:pPr>
        <w:widowControl w:val="0"/>
        <w:spacing w:after="0" w:line="360" w:lineRule="auto"/>
        <w:rPr>
          <w:rFonts w:eastAsia="Palatino Linotype" w:cs="Palatino Linotype"/>
          <w:color w:val="FF0000"/>
          <w:lang w:eastAsia="es-MX"/>
        </w:rPr>
      </w:pPr>
    </w:p>
    <w:p w14:paraId="612A8142" w14:textId="77777777" w:rsidR="00A319FB" w:rsidRPr="0036167E" w:rsidRDefault="00A319FB" w:rsidP="00A319FB">
      <w:pPr>
        <w:spacing w:after="0" w:line="360" w:lineRule="auto"/>
        <w:ind w:right="-93"/>
        <w:rPr>
          <w:rFonts w:eastAsia="Palatino Linotype" w:cs="Palatino Linotype"/>
          <w:b/>
          <w:lang w:eastAsia="es-ES"/>
        </w:rPr>
      </w:pPr>
      <w:r w:rsidRPr="0036167E">
        <w:rPr>
          <w:rFonts w:eastAsia="Palatino Linotype" w:cs="Palatino Linotype"/>
          <w:b/>
          <w:lang w:eastAsia="es-ES"/>
        </w:rPr>
        <w:t>Términos de la Resolución para conocimiento del Particular</w:t>
      </w:r>
    </w:p>
    <w:p w14:paraId="403551C6" w14:textId="77777777" w:rsidR="00A319FB" w:rsidRPr="0036167E" w:rsidRDefault="00A319FB" w:rsidP="00A319FB">
      <w:pPr>
        <w:spacing w:after="0" w:line="360" w:lineRule="auto"/>
        <w:rPr>
          <w:rFonts w:eastAsia="Palatino Linotype" w:cs="Palatino Linotype"/>
          <w:color w:val="FF0000"/>
          <w:lang w:eastAsia="es-MX"/>
        </w:rPr>
      </w:pPr>
    </w:p>
    <w:p w14:paraId="588EFBAF" w14:textId="4BA2AE66"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Se le hace de conocimiento al particular, que, en el presente caso</w:t>
      </w:r>
      <w:r w:rsidR="005C38DE" w:rsidRPr="0036167E">
        <w:rPr>
          <w:rFonts w:eastAsia="Palatino Linotype" w:cs="Palatino Linotype"/>
          <w:lang w:eastAsia="es-MX"/>
        </w:rPr>
        <w:t xml:space="preserve"> se le da la razón, pues contrario a lo señalado por el Sujeto Obligado, cuenta con competencia para conocer de lo peticionad y, por lo tanto, deberá entregarle los documentos donde conste los datos del personal sindicalizado, pues con estos puede obtener la estadística requerida al sumar el número de trabajadores que proporcione.</w:t>
      </w:r>
    </w:p>
    <w:p w14:paraId="73D48D23" w14:textId="77777777" w:rsidR="005C38DE" w:rsidRPr="0036167E" w:rsidRDefault="005C38DE" w:rsidP="00A319FB">
      <w:pPr>
        <w:spacing w:after="0" w:line="360" w:lineRule="auto"/>
        <w:rPr>
          <w:rFonts w:eastAsia="Palatino Linotype" w:cs="Palatino Linotype"/>
          <w:lang w:eastAsia="es-MX"/>
        </w:rPr>
      </w:pPr>
    </w:p>
    <w:p w14:paraId="32A7D618" w14:textId="0B986FA6" w:rsidR="005C38DE" w:rsidRPr="0036167E" w:rsidRDefault="005C38DE" w:rsidP="00A319FB">
      <w:pPr>
        <w:spacing w:after="0" w:line="360" w:lineRule="auto"/>
        <w:rPr>
          <w:rFonts w:eastAsia="Calibri" w:cs="Tahoma"/>
          <w:iCs/>
          <w:lang w:eastAsia="es-ES_tradnl"/>
        </w:rPr>
      </w:pPr>
      <w:r w:rsidRPr="0036167E">
        <w:rPr>
          <w:rFonts w:cs="Tahoma"/>
          <w:bCs/>
          <w:iCs/>
          <w:lang w:val="es-ES"/>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w:t>
      </w:r>
    </w:p>
    <w:p w14:paraId="005A51DA" w14:textId="77777777" w:rsidR="008A582A" w:rsidRPr="0036167E" w:rsidRDefault="008A582A" w:rsidP="00A319FB">
      <w:pPr>
        <w:spacing w:after="0" w:line="360" w:lineRule="auto"/>
        <w:rPr>
          <w:rFonts w:eastAsia="Calibri" w:cs="Tahoma"/>
          <w:iCs/>
          <w:lang w:eastAsia="es-ES_tradnl"/>
        </w:rPr>
      </w:pPr>
    </w:p>
    <w:p w14:paraId="2402D38A"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 xml:space="preserve">Finalmente, es necesario aclararle al Solicitante, que la labor del Instituto de Transparencia, Acceso a la Información Pública y Protección de Datos Personales del Estado de México y Municipios, por una parte, es apoyar a la población a acceder a la información pública y, por otra, garantizar la protección de los datos personales. </w:t>
      </w:r>
    </w:p>
    <w:p w14:paraId="1B7A2995" w14:textId="77777777" w:rsidR="00A319FB" w:rsidRPr="0036167E" w:rsidRDefault="00A319FB" w:rsidP="00A319FB">
      <w:pPr>
        <w:spacing w:after="0" w:line="360" w:lineRule="auto"/>
        <w:rPr>
          <w:rFonts w:eastAsia="Palatino Linotype" w:cs="Palatino Linotype"/>
          <w:lang w:eastAsia="es-MX"/>
        </w:rPr>
      </w:pPr>
    </w:p>
    <w:p w14:paraId="3899EFD4"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 xml:space="preserve">Por lo expuesto y fundado, este Pleno: </w:t>
      </w:r>
    </w:p>
    <w:p w14:paraId="060C7261" w14:textId="77777777" w:rsidR="005C38DE" w:rsidRPr="0036167E" w:rsidRDefault="005C38DE" w:rsidP="00A319FB">
      <w:pPr>
        <w:spacing w:after="0" w:line="360" w:lineRule="auto"/>
        <w:rPr>
          <w:rFonts w:eastAsia="Palatino Linotype" w:cs="Palatino Linotype"/>
          <w:lang w:eastAsia="es-MX"/>
        </w:rPr>
      </w:pPr>
    </w:p>
    <w:p w14:paraId="0492626C" w14:textId="77777777" w:rsidR="00A319FB" w:rsidRPr="0036167E" w:rsidRDefault="00A319FB" w:rsidP="00A319FB">
      <w:pPr>
        <w:spacing w:after="0" w:line="360" w:lineRule="auto"/>
        <w:jc w:val="center"/>
        <w:rPr>
          <w:rFonts w:eastAsia="Palatino Linotype" w:cs="Palatino Linotype"/>
          <w:b/>
          <w:bCs/>
          <w:lang w:eastAsia="es-MX"/>
        </w:rPr>
      </w:pPr>
      <w:r w:rsidRPr="0036167E">
        <w:rPr>
          <w:rFonts w:eastAsia="Palatino Linotype" w:cs="Palatino Linotype"/>
          <w:b/>
          <w:bCs/>
          <w:lang w:eastAsia="es-MX"/>
        </w:rPr>
        <w:t>R E S U E L V E</w:t>
      </w:r>
    </w:p>
    <w:p w14:paraId="7ED68ADE" w14:textId="77777777" w:rsidR="00A319FB" w:rsidRPr="0036167E" w:rsidRDefault="00A319FB" w:rsidP="00A319FB">
      <w:pPr>
        <w:spacing w:after="0" w:line="360" w:lineRule="auto"/>
        <w:rPr>
          <w:rFonts w:eastAsia="Palatino Linotype" w:cs="Palatino Linotype"/>
          <w:lang w:eastAsia="es-MX"/>
        </w:rPr>
      </w:pPr>
    </w:p>
    <w:p w14:paraId="079A6B5A" w14:textId="77777777" w:rsidR="00A319FB" w:rsidRPr="0036167E" w:rsidRDefault="00A319FB" w:rsidP="00A319FB">
      <w:pPr>
        <w:spacing w:after="0" w:line="360" w:lineRule="auto"/>
        <w:rPr>
          <w:rFonts w:eastAsia="Palatino Linotype" w:cs="Palatino Linotype"/>
          <w:color w:val="FF0000"/>
          <w:lang w:eastAsia="es-MX"/>
        </w:rPr>
      </w:pPr>
      <w:r w:rsidRPr="0036167E">
        <w:rPr>
          <w:rFonts w:eastAsia="Palatino Linotype" w:cs="Palatino Linotype"/>
          <w:b/>
          <w:bCs/>
          <w:lang w:eastAsia="es-MX"/>
        </w:rPr>
        <w:t>PRIMERO.</w:t>
      </w:r>
      <w:r w:rsidRPr="0036167E">
        <w:rPr>
          <w:rFonts w:eastAsia="Palatino Linotype" w:cs="Palatino Linotype"/>
          <w:lang w:eastAsia="es-MX"/>
        </w:rPr>
        <w:t xml:space="preserve"> Se </w:t>
      </w:r>
      <w:r w:rsidRPr="0036167E">
        <w:rPr>
          <w:rFonts w:eastAsia="Palatino Linotype" w:cs="Palatino Linotype"/>
          <w:b/>
          <w:bCs/>
          <w:lang w:eastAsia="es-MX"/>
        </w:rPr>
        <w:t>REVOCA</w:t>
      </w:r>
      <w:r w:rsidRPr="0036167E">
        <w:rPr>
          <w:rFonts w:eastAsia="Palatino Linotype" w:cs="Palatino Linotype"/>
          <w:lang w:eastAsia="es-MX"/>
        </w:rPr>
        <w:t xml:space="preserve"> la respuesta entregada por el Sujeto Obligado a la solicitud de acceso a la información con número</w:t>
      </w:r>
      <w:r w:rsidR="008A582A" w:rsidRPr="0036167E">
        <w:rPr>
          <w:rFonts w:eastAsia="Palatino Linotype" w:cs="Palatino Linotype"/>
          <w:lang w:eastAsia="es-MX"/>
        </w:rPr>
        <w:t xml:space="preserve"> 00135/ANTOISLA/IP/2024</w:t>
      </w:r>
      <w:r w:rsidRPr="0036167E">
        <w:rPr>
          <w:rFonts w:eastAsia="Palatino Linotype" w:cs="Palatino Linotype"/>
          <w:lang w:eastAsia="es-MX"/>
        </w:rPr>
        <w:t xml:space="preserve">, por resultar </w:t>
      </w:r>
      <w:r w:rsidRPr="0036167E">
        <w:rPr>
          <w:rFonts w:eastAsia="Palatino Linotype" w:cs="Palatino Linotype"/>
          <w:b/>
          <w:bCs/>
          <w:lang w:eastAsia="es-MX"/>
        </w:rPr>
        <w:t>FUNDADAS</w:t>
      </w:r>
      <w:r w:rsidRPr="0036167E">
        <w:rPr>
          <w:rFonts w:eastAsia="Palatino Linotype" w:cs="Palatino Linotype"/>
          <w:lang w:eastAsia="es-MX"/>
        </w:rPr>
        <w:t xml:space="preserve"> las razones o motivos de inconformidad hechos valer por el Recurrente, en términos de los considerandos QUINTO y SEXTO de la presente Resolución. </w:t>
      </w:r>
    </w:p>
    <w:p w14:paraId="4AE5870C" w14:textId="2734999B" w:rsidR="005C38DE" w:rsidRPr="0036167E" w:rsidRDefault="00A319FB" w:rsidP="00323AD5">
      <w:pPr>
        <w:spacing w:after="0" w:line="360" w:lineRule="auto"/>
        <w:rPr>
          <w:rFonts w:eastAsia="Palatino Linotype" w:cs="Palatino Linotype"/>
          <w:lang w:eastAsia="es-MX"/>
        </w:rPr>
      </w:pPr>
      <w:r w:rsidRPr="0036167E">
        <w:rPr>
          <w:rFonts w:eastAsia="Palatino Linotype" w:cs="Palatino Linotype"/>
          <w:b/>
          <w:bCs/>
          <w:lang w:eastAsia="es-MX"/>
        </w:rPr>
        <w:lastRenderedPageBreak/>
        <w:t>SEGUNDO.</w:t>
      </w:r>
      <w:r w:rsidRPr="0036167E">
        <w:rPr>
          <w:rFonts w:eastAsia="Palatino Linotype" w:cs="Palatino Linotype"/>
          <w:lang w:eastAsia="es-MX"/>
        </w:rPr>
        <w:t xml:space="preserve"> Se </w:t>
      </w:r>
      <w:r w:rsidRPr="0036167E">
        <w:rPr>
          <w:rFonts w:eastAsia="Palatino Linotype" w:cs="Palatino Linotype"/>
          <w:b/>
          <w:bCs/>
          <w:lang w:eastAsia="es-MX"/>
        </w:rPr>
        <w:t>ORDENA</w:t>
      </w:r>
      <w:r w:rsidRPr="0036167E">
        <w:rPr>
          <w:rFonts w:eastAsia="Palatino Linotype" w:cs="Palatino Linotype"/>
          <w:lang w:eastAsia="es-MX"/>
        </w:rPr>
        <w:t xml:space="preserve"> al Sujeto Obligado, a efecto de que previa búsqueda exhaustiva y razonable, en los archivos de las unidades administrativas competentes, entregue, a través del Sistema de Acceso a la Información Mexiquense (SAIMEX), en su caso, en versión pública, </w:t>
      </w:r>
      <w:r w:rsidR="005C38DE" w:rsidRPr="0036167E">
        <w:rPr>
          <w:rFonts w:eastAsia="Palatino Linotype" w:cs="Palatino Linotype"/>
          <w:lang w:eastAsia="es-MX"/>
        </w:rPr>
        <w:t>los documentos con los que contara al cuatro de noviembre de dos mil veinticuatro, donde conste lo siguiente:</w:t>
      </w:r>
    </w:p>
    <w:p w14:paraId="187F5C9B" w14:textId="77777777" w:rsidR="005C38DE" w:rsidRPr="0036167E" w:rsidRDefault="005C38DE" w:rsidP="00323AD5">
      <w:pPr>
        <w:spacing w:after="0" w:line="360" w:lineRule="auto"/>
        <w:rPr>
          <w:rFonts w:eastAsia="Palatino Linotype" w:cs="Palatino Linotype"/>
          <w:lang w:eastAsia="es-MX"/>
        </w:rPr>
      </w:pPr>
    </w:p>
    <w:p w14:paraId="0B99CA95" w14:textId="29B2B180" w:rsidR="00BF1519" w:rsidRPr="0036167E" w:rsidRDefault="005C38DE" w:rsidP="005C38DE">
      <w:pPr>
        <w:pStyle w:val="Prrafodelista"/>
        <w:numPr>
          <w:ilvl w:val="0"/>
          <w:numId w:val="25"/>
        </w:numPr>
        <w:spacing w:after="0" w:line="360" w:lineRule="auto"/>
        <w:rPr>
          <w:rFonts w:eastAsia="Calibri" w:cs="Tahoma"/>
          <w:bCs/>
        </w:rPr>
      </w:pPr>
      <w:r w:rsidRPr="0036167E">
        <w:rPr>
          <w:rFonts w:eastAsia="Calibri" w:cs="Tahoma"/>
          <w:bCs/>
        </w:rPr>
        <w:t>El n</w:t>
      </w:r>
      <w:r w:rsidR="00BF1519" w:rsidRPr="0036167E">
        <w:rPr>
          <w:rFonts w:eastAsia="Calibri" w:cs="Tahoma"/>
          <w:bCs/>
        </w:rPr>
        <w:t>ombre y área de adscripción</w:t>
      </w:r>
      <w:r w:rsidRPr="0036167E">
        <w:rPr>
          <w:rFonts w:eastAsia="Calibri" w:cs="Tahoma"/>
          <w:bCs/>
        </w:rPr>
        <w:t xml:space="preserve"> de los servidores públicos sindicalizados</w:t>
      </w:r>
      <w:r w:rsidR="000550D1" w:rsidRPr="0036167E">
        <w:rPr>
          <w:rFonts w:eastAsia="Calibri" w:cs="Tahoma"/>
          <w:bCs/>
        </w:rPr>
        <w:t>, durante la administración 2019-2021 y en el transcurso de la administración 2022-2024.</w:t>
      </w:r>
    </w:p>
    <w:p w14:paraId="25FD7FB6" w14:textId="77777777" w:rsidR="00A319FB" w:rsidRPr="0036167E" w:rsidRDefault="00A319FB" w:rsidP="00A319FB">
      <w:pPr>
        <w:spacing w:after="0" w:line="360" w:lineRule="auto"/>
        <w:rPr>
          <w:rFonts w:eastAsia="Palatino Linotype" w:cs="Palatino Linotype"/>
          <w:color w:val="FF0000"/>
          <w:lang w:eastAsia="es-MX"/>
        </w:rPr>
      </w:pPr>
    </w:p>
    <w:p w14:paraId="09192AD5" w14:textId="77777777" w:rsidR="00A319FB" w:rsidRPr="0036167E" w:rsidRDefault="00A319FB" w:rsidP="00A319FB">
      <w:pPr>
        <w:spacing w:after="0" w:line="360" w:lineRule="auto"/>
        <w:rPr>
          <w:rFonts w:eastAsia="Palatino Linotype" w:cs="Palatino Linotype"/>
          <w:lang w:eastAsia="es-MX"/>
        </w:rPr>
      </w:pPr>
      <w:r w:rsidRPr="0036167E">
        <w:rPr>
          <w:rFonts w:eastAsia="Palatino Linotype" w:cs="Palatino Linotype"/>
          <w:lang w:eastAsia="es-MX"/>
        </w:rPr>
        <w:t>Además, de ser necesario, deberá proporcionar el Acuerdo de Clasificación donde el Comité de Transparencia, confirme la clasificación de los datos o información, en términos de los artículos 49, fracciones II y VIII y 132, fracción II, de la Ley de Transparencia y Acceso a la Información Pública del Estado de México y Municipio.</w:t>
      </w:r>
    </w:p>
    <w:p w14:paraId="258CEC52" w14:textId="77777777" w:rsidR="006047E5" w:rsidRPr="0036167E" w:rsidRDefault="006047E5" w:rsidP="00A319FB">
      <w:pPr>
        <w:spacing w:line="360" w:lineRule="auto"/>
        <w:contextualSpacing/>
        <w:rPr>
          <w:rFonts w:eastAsia="Palatino Linotype" w:cs="Palatino Linotype"/>
          <w:b/>
          <w:bCs/>
          <w:lang w:eastAsia="es-MX"/>
        </w:rPr>
      </w:pPr>
    </w:p>
    <w:p w14:paraId="16941853" w14:textId="77777777" w:rsidR="000550D1" w:rsidRPr="0036167E" w:rsidRDefault="000550D1" w:rsidP="000550D1">
      <w:pPr>
        <w:spacing w:after="0" w:line="360" w:lineRule="auto"/>
        <w:rPr>
          <w:rFonts w:eastAsia="Times New Roman" w:cs="Tahoma"/>
          <w:b/>
          <w:bCs/>
          <w:iCs/>
          <w:color w:val="auto"/>
          <w:lang w:val="es-ES" w:eastAsia="es-ES"/>
        </w:rPr>
      </w:pPr>
      <w:r w:rsidRPr="0036167E">
        <w:rPr>
          <w:rFonts w:eastAsia="Times New Roman" w:cs="Tahoma"/>
          <w:b/>
          <w:bCs/>
          <w:iCs/>
          <w:color w:val="auto"/>
          <w:lang w:val="es-ES" w:eastAsia="es-ES"/>
        </w:rPr>
        <w:t xml:space="preserve">TERCERO. </w:t>
      </w:r>
      <w:r w:rsidRPr="0036167E">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36167E">
        <w:rPr>
          <w:rFonts w:eastAsia="Times New Roman" w:cs="Tahoma"/>
          <w:b/>
          <w:bCs/>
          <w:iCs/>
          <w:color w:val="auto"/>
          <w:lang w:val="es-ES" w:eastAsia="es-ES"/>
        </w:rPr>
        <w:t xml:space="preserve">.  </w:t>
      </w:r>
    </w:p>
    <w:p w14:paraId="080FA996" w14:textId="77777777" w:rsidR="000550D1" w:rsidRPr="0036167E" w:rsidRDefault="000550D1" w:rsidP="00A319FB">
      <w:pPr>
        <w:spacing w:line="360" w:lineRule="auto"/>
        <w:contextualSpacing/>
        <w:rPr>
          <w:rFonts w:eastAsia="Palatino Linotype" w:cs="Palatino Linotype"/>
          <w:b/>
          <w:bCs/>
          <w:lang w:val="es-ES" w:eastAsia="es-MX"/>
        </w:rPr>
      </w:pPr>
    </w:p>
    <w:p w14:paraId="2A52CF72" w14:textId="30D9DE31" w:rsidR="00A319FB" w:rsidRPr="0036167E" w:rsidRDefault="000550D1" w:rsidP="00A319FB">
      <w:pPr>
        <w:spacing w:line="360" w:lineRule="auto"/>
        <w:contextualSpacing/>
        <w:rPr>
          <w:rFonts w:eastAsia="Palatino Linotype" w:cs="Palatino Linotype"/>
          <w:lang w:eastAsia="es-MX"/>
        </w:rPr>
      </w:pPr>
      <w:r w:rsidRPr="0036167E">
        <w:rPr>
          <w:rFonts w:eastAsia="Palatino Linotype" w:cs="Palatino Linotype"/>
          <w:b/>
          <w:bCs/>
          <w:lang w:eastAsia="es-MX"/>
        </w:rPr>
        <w:t>CUARTO.</w:t>
      </w:r>
      <w:r w:rsidR="00A319FB" w:rsidRPr="0036167E">
        <w:rPr>
          <w:rFonts w:eastAsia="Palatino Linotype" w:cs="Palatino Linotype"/>
          <w:b/>
          <w:bCs/>
          <w:lang w:eastAsia="es-MX"/>
        </w:rPr>
        <w:t xml:space="preserve"> NOTIFÍQUESE POR SAIMEX</w:t>
      </w:r>
      <w:r w:rsidR="00A319FB" w:rsidRPr="0036167E">
        <w:rPr>
          <w:rFonts w:eastAsia="Palatino Linotype" w:cs="Palatino Linotype"/>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5ED1118" w14:textId="77777777" w:rsidR="00A319FB" w:rsidRPr="0036167E" w:rsidRDefault="00A319FB" w:rsidP="00A319FB">
      <w:pPr>
        <w:spacing w:line="360" w:lineRule="auto"/>
        <w:contextualSpacing/>
        <w:rPr>
          <w:rFonts w:eastAsia="Palatino Linotype" w:cs="Palatino Linotype"/>
          <w:lang w:eastAsia="es-MX"/>
        </w:rPr>
      </w:pPr>
    </w:p>
    <w:p w14:paraId="32B5A6E7" w14:textId="70108468" w:rsidR="00A319FB" w:rsidRPr="0036167E" w:rsidRDefault="00A319FB" w:rsidP="00A319FB">
      <w:pPr>
        <w:spacing w:line="360" w:lineRule="auto"/>
        <w:contextualSpacing/>
        <w:rPr>
          <w:rFonts w:eastAsia="Palatino Linotype" w:cs="Palatino Linotype"/>
          <w:lang w:eastAsia="es-MX"/>
        </w:rPr>
      </w:pPr>
      <w:r w:rsidRPr="0036167E">
        <w:rPr>
          <w:rFonts w:eastAsia="Palatino Linotype" w:cs="Palatino Linotype"/>
          <w:lang w:eastAsia="es-MX"/>
        </w:rPr>
        <w:t xml:space="preserve">De conformidad con el artículo 198 de la </w:t>
      </w:r>
      <w:r w:rsidR="000550D1" w:rsidRPr="0036167E">
        <w:rPr>
          <w:rFonts w:eastAsia="Palatino Linotype" w:cs="Palatino Linotype"/>
          <w:lang w:eastAsia="es-MX"/>
        </w:rPr>
        <w:t>Ley de Transparencia y Acceso a la Información Pública del Estado de México y Municipios</w:t>
      </w:r>
      <w:r w:rsidRPr="0036167E">
        <w:rPr>
          <w:rFonts w:eastAsia="Palatino Linotype" w:cs="Palatino Linotype"/>
          <w:lang w:eastAsia="es-MX"/>
        </w:rPr>
        <w:t>, de considerarlo procedente, el Sujeto Obligado de manera fundada y motivada, podrá solicitar una ampliación de plazo para el cumplimiento de la presente resolución.</w:t>
      </w:r>
    </w:p>
    <w:p w14:paraId="7DD0B5F2" w14:textId="77777777" w:rsidR="00A319FB" w:rsidRPr="0036167E" w:rsidRDefault="00A319FB" w:rsidP="00A319FB">
      <w:pPr>
        <w:spacing w:line="360" w:lineRule="auto"/>
        <w:contextualSpacing/>
        <w:rPr>
          <w:rFonts w:eastAsia="Palatino Linotype" w:cs="Palatino Linotype"/>
          <w:lang w:eastAsia="es-MX"/>
        </w:rPr>
      </w:pPr>
    </w:p>
    <w:p w14:paraId="4AE0F070" w14:textId="30ECC9C3" w:rsidR="00A319FB" w:rsidRPr="0036167E" w:rsidRDefault="000550D1" w:rsidP="00A319FB">
      <w:pPr>
        <w:spacing w:line="360" w:lineRule="auto"/>
        <w:contextualSpacing/>
        <w:rPr>
          <w:rFonts w:eastAsia="Palatino Linotype" w:cs="Palatino Linotype"/>
          <w:lang w:eastAsia="es-MX"/>
        </w:rPr>
      </w:pPr>
      <w:r w:rsidRPr="0036167E">
        <w:rPr>
          <w:rFonts w:eastAsia="Palatino Linotype" w:cs="Palatino Linotype"/>
          <w:b/>
          <w:bCs/>
          <w:lang w:eastAsia="es-MX"/>
        </w:rPr>
        <w:t>QUINTO</w:t>
      </w:r>
      <w:r w:rsidR="00A319FB" w:rsidRPr="0036167E">
        <w:rPr>
          <w:rFonts w:eastAsia="Palatino Linotype" w:cs="Palatino Linotype"/>
          <w:b/>
          <w:bCs/>
          <w:lang w:eastAsia="es-MX"/>
        </w:rPr>
        <w:t>. NOTIFÍQUESE POR SAIMEX</w:t>
      </w:r>
      <w:r w:rsidR="00A319FB" w:rsidRPr="0036167E">
        <w:rPr>
          <w:rFonts w:eastAsia="Palatino Linotype" w:cs="Palatino Linotype"/>
          <w:lang w:eastAsia="es-MX"/>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3274C557" w14:textId="77777777" w:rsidR="00A319FB" w:rsidRPr="0036167E" w:rsidRDefault="00A319FB" w:rsidP="00A319FB">
      <w:pPr>
        <w:spacing w:line="360" w:lineRule="auto"/>
        <w:contextualSpacing/>
        <w:rPr>
          <w:rFonts w:eastAsia="Palatino Linotype" w:cs="Palatino Linotype"/>
          <w:lang w:eastAsia="es-MX"/>
        </w:rPr>
      </w:pPr>
    </w:p>
    <w:p w14:paraId="44C36D7A" w14:textId="70ED7A41" w:rsidR="00A319FB" w:rsidRPr="00BF1519" w:rsidRDefault="00A319FB" w:rsidP="00A319FB">
      <w:pPr>
        <w:spacing w:line="360" w:lineRule="auto"/>
        <w:contextualSpacing/>
        <w:rPr>
          <w:rFonts w:eastAsia="Palatino Linotype" w:cs="Palatino Linotype"/>
          <w:lang w:eastAsia="es-MX"/>
        </w:rPr>
      </w:pPr>
      <w:r w:rsidRPr="0036167E">
        <w:rPr>
          <w:rFonts w:eastAsia="Palatino Linotype" w:cs="Palatino Linotype"/>
          <w:lang w:eastAsia="es-MX"/>
        </w:rPr>
        <w:t xml:space="preserve">ASÍ LO RESUELVE, POR </w:t>
      </w:r>
      <w:r w:rsidRPr="0036167E">
        <w:rPr>
          <w:rFonts w:eastAsia="Palatino Linotype" w:cs="Palatino Linotype"/>
          <w:b/>
          <w:bCs/>
          <w:lang w:eastAsia="es-MX"/>
        </w:rPr>
        <w:t>UNANIMIDAD</w:t>
      </w:r>
      <w:r w:rsidRPr="0036167E">
        <w:rPr>
          <w:rFonts w:eastAsia="Palatino Linotype" w:cs="Palatino Linotype"/>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1519" w:rsidRPr="0036167E">
        <w:rPr>
          <w:rFonts w:eastAsia="Palatino Linotype" w:cs="Palatino Linotype"/>
          <w:lang w:eastAsia="es-MX"/>
        </w:rPr>
        <w:t xml:space="preserve">CUADRAGÉSIMA SEGUNDA </w:t>
      </w:r>
      <w:r w:rsidRPr="0036167E">
        <w:rPr>
          <w:rFonts w:eastAsia="Palatino Linotype" w:cs="Palatino Linotype"/>
          <w:lang w:eastAsia="es-MX"/>
        </w:rPr>
        <w:t xml:space="preserve">SESIÓN ORDINARIA, CELEBRADA EL </w:t>
      </w:r>
      <w:r w:rsidR="000550D1" w:rsidRPr="0036167E">
        <w:rPr>
          <w:rFonts w:eastAsia="Palatino Linotype" w:cs="Palatino Linotype"/>
          <w:lang w:eastAsia="es-MX"/>
        </w:rPr>
        <w:t xml:space="preserve">CUATRO </w:t>
      </w:r>
      <w:r w:rsidR="00BF1519" w:rsidRPr="0036167E">
        <w:rPr>
          <w:rFonts w:eastAsia="Palatino Linotype" w:cs="Palatino Linotype"/>
          <w:lang w:eastAsia="es-MX"/>
        </w:rPr>
        <w:t xml:space="preserve">DE DICIEMBRE DE </w:t>
      </w:r>
      <w:r w:rsidRPr="0036167E">
        <w:rPr>
          <w:rFonts w:eastAsia="Palatino Linotype" w:cs="Palatino Linotype"/>
          <w:lang w:eastAsia="es-MX"/>
        </w:rPr>
        <w:t>DOS MIL VEINTICUATRO, ANTE EL SECRETARIO TÉCNICO DEL PLENO, ALEXIS TAPIA RAMÍREZ.</w:t>
      </w:r>
    </w:p>
    <w:p w14:paraId="184BB71E" w14:textId="77777777" w:rsidR="00A319FB" w:rsidRPr="00A319FB" w:rsidRDefault="00A319FB" w:rsidP="00A319FB">
      <w:pPr>
        <w:spacing w:after="0" w:line="360" w:lineRule="auto"/>
        <w:rPr>
          <w:rFonts w:eastAsia="Palatino Linotype" w:cs="Palatino Linotype"/>
          <w:color w:val="FF0000"/>
          <w:lang w:eastAsia="es-MX"/>
        </w:rPr>
      </w:pPr>
    </w:p>
    <w:p w14:paraId="2BBCAC8D" w14:textId="77777777" w:rsidR="00A319FB" w:rsidRPr="00A319FB" w:rsidRDefault="00A319FB" w:rsidP="00A319FB">
      <w:pPr>
        <w:spacing w:after="0" w:line="360" w:lineRule="auto"/>
        <w:rPr>
          <w:rFonts w:eastAsia="Palatino Linotype" w:cs="Palatino Linotype"/>
          <w:color w:val="FF0000"/>
          <w:lang w:eastAsia="es-MX"/>
        </w:rPr>
      </w:pPr>
    </w:p>
    <w:p w14:paraId="00346EF9" w14:textId="77777777" w:rsidR="00A319FB" w:rsidRPr="00A319FB" w:rsidRDefault="00A319FB" w:rsidP="00A319FB">
      <w:pPr>
        <w:spacing w:after="0" w:line="360" w:lineRule="auto"/>
        <w:rPr>
          <w:rFonts w:eastAsia="Palatino Linotype" w:cs="Palatino Linotype"/>
          <w:color w:val="FF0000"/>
          <w:lang w:eastAsia="es-MX"/>
        </w:rPr>
      </w:pPr>
    </w:p>
    <w:p w14:paraId="76920073" w14:textId="77777777" w:rsidR="00A319FB" w:rsidRPr="00A319FB" w:rsidRDefault="00A319FB" w:rsidP="00A319FB">
      <w:pPr>
        <w:spacing w:after="0" w:line="360" w:lineRule="auto"/>
        <w:rPr>
          <w:rFonts w:eastAsia="Palatino Linotype" w:cs="Palatino Linotype"/>
          <w:color w:val="FF0000"/>
          <w:lang w:eastAsia="es-MX"/>
        </w:rPr>
      </w:pPr>
    </w:p>
    <w:p w14:paraId="5A282C3F" w14:textId="77777777" w:rsidR="00A319FB" w:rsidRPr="00A319FB" w:rsidRDefault="00A319FB" w:rsidP="00A319FB">
      <w:pPr>
        <w:spacing w:after="0" w:line="360" w:lineRule="auto"/>
        <w:rPr>
          <w:rFonts w:eastAsia="Palatino Linotype" w:cs="Palatino Linotype"/>
          <w:color w:val="FF0000"/>
          <w:lang w:eastAsia="es-MX"/>
        </w:rPr>
      </w:pPr>
    </w:p>
    <w:p w14:paraId="52364779" w14:textId="77777777" w:rsidR="00A319FB" w:rsidRPr="00A319FB" w:rsidRDefault="00A319FB" w:rsidP="00A319FB">
      <w:pPr>
        <w:spacing w:after="0" w:line="360" w:lineRule="auto"/>
        <w:rPr>
          <w:rFonts w:eastAsia="Palatino Linotype" w:cs="Palatino Linotype"/>
          <w:color w:val="FF0000"/>
          <w:lang w:eastAsia="es-MX"/>
        </w:rPr>
      </w:pPr>
    </w:p>
    <w:p w14:paraId="0760DDF4" w14:textId="77777777" w:rsidR="00A319FB" w:rsidRPr="00A319FB" w:rsidRDefault="00A319FB" w:rsidP="00A319FB">
      <w:pPr>
        <w:spacing w:after="0" w:line="360" w:lineRule="auto"/>
        <w:rPr>
          <w:rFonts w:eastAsia="Palatino Linotype" w:cs="Palatino Linotype"/>
          <w:color w:val="FF0000"/>
          <w:lang w:eastAsia="es-MX"/>
        </w:rPr>
      </w:pPr>
    </w:p>
    <w:p w14:paraId="2A2F89D2" w14:textId="77777777" w:rsidR="00A319FB" w:rsidRPr="00A319FB" w:rsidRDefault="00A319FB" w:rsidP="00A319FB">
      <w:pPr>
        <w:spacing w:after="0" w:line="360" w:lineRule="auto"/>
        <w:rPr>
          <w:rFonts w:eastAsia="Palatino Linotype" w:cs="Palatino Linotype"/>
          <w:color w:val="FF0000"/>
          <w:lang w:eastAsia="es-MX"/>
        </w:rPr>
      </w:pPr>
    </w:p>
    <w:p w14:paraId="7CC70F42" w14:textId="77777777" w:rsidR="00A319FB" w:rsidRPr="00A319FB" w:rsidRDefault="00A319FB" w:rsidP="00A319FB">
      <w:pPr>
        <w:spacing w:after="0" w:line="360" w:lineRule="auto"/>
        <w:rPr>
          <w:rFonts w:eastAsia="Palatino Linotype" w:cs="Palatino Linotype"/>
          <w:color w:val="FF0000"/>
          <w:lang w:eastAsia="es-MX"/>
        </w:rPr>
      </w:pPr>
    </w:p>
    <w:p w14:paraId="7BA14C3C" w14:textId="77777777" w:rsidR="00A319FB" w:rsidRPr="00A319FB" w:rsidRDefault="00A319FB" w:rsidP="00A319FB">
      <w:pPr>
        <w:spacing w:after="0" w:line="360" w:lineRule="auto"/>
        <w:rPr>
          <w:rFonts w:eastAsia="Palatino Linotype" w:cs="Palatino Linotype"/>
          <w:color w:val="FF0000"/>
          <w:lang w:eastAsia="es-MX"/>
        </w:rPr>
      </w:pPr>
    </w:p>
    <w:p w14:paraId="75F6A456" w14:textId="77777777" w:rsidR="00A319FB" w:rsidRPr="00A319FB" w:rsidRDefault="00A319FB" w:rsidP="00A319FB">
      <w:pPr>
        <w:spacing w:after="0" w:line="360" w:lineRule="auto"/>
        <w:rPr>
          <w:rFonts w:eastAsia="Palatino Linotype" w:cs="Palatino Linotype"/>
          <w:color w:val="FF0000"/>
          <w:lang w:eastAsia="es-MX"/>
        </w:rPr>
      </w:pPr>
    </w:p>
    <w:p w14:paraId="120B71E7" w14:textId="77777777" w:rsidR="00A319FB" w:rsidRPr="00A319FB" w:rsidRDefault="00A319FB" w:rsidP="00A319FB">
      <w:pPr>
        <w:spacing w:after="0" w:line="360" w:lineRule="auto"/>
        <w:rPr>
          <w:rFonts w:eastAsia="Palatino Linotype" w:cs="Palatino Linotype"/>
          <w:color w:val="FF0000"/>
          <w:lang w:eastAsia="es-MX"/>
        </w:rPr>
      </w:pPr>
    </w:p>
    <w:p w14:paraId="5C1D6BBB" w14:textId="77777777" w:rsidR="00A319FB" w:rsidRPr="00A319FB" w:rsidRDefault="00A319FB" w:rsidP="00A319FB">
      <w:pPr>
        <w:spacing w:after="0" w:line="360" w:lineRule="auto"/>
        <w:rPr>
          <w:rFonts w:eastAsia="Palatino Linotype" w:cs="Palatino Linotype"/>
          <w:color w:val="FF0000"/>
          <w:lang w:eastAsia="es-MX"/>
        </w:rPr>
      </w:pPr>
    </w:p>
    <w:p w14:paraId="6FBAC357" w14:textId="77777777" w:rsidR="00A319FB" w:rsidRPr="00A319FB" w:rsidRDefault="00A319FB" w:rsidP="00A319FB">
      <w:pPr>
        <w:spacing w:after="0" w:line="360" w:lineRule="auto"/>
        <w:rPr>
          <w:rFonts w:eastAsia="Palatino Linotype" w:cs="Palatino Linotype"/>
          <w:color w:val="FF0000"/>
          <w:lang w:eastAsia="es-MX"/>
        </w:rPr>
      </w:pPr>
    </w:p>
    <w:p w14:paraId="6AE4DBB6" w14:textId="77777777" w:rsidR="00A319FB" w:rsidRPr="00A319FB" w:rsidRDefault="00A319FB" w:rsidP="00A319FB">
      <w:pPr>
        <w:spacing w:after="0" w:line="360" w:lineRule="auto"/>
        <w:rPr>
          <w:rFonts w:eastAsia="Palatino Linotype" w:cs="Palatino Linotype"/>
          <w:color w:val="FF0000"/>
          <w:lang w:eastAsia="es-MX"/>
        </w:rPr>
      </w:pPr>
    </w:p>
    <w:p w14:paraId="68CDBFBD" w14:textId="77777777" w:rsidR="00A319FB" w:rsidRPr="00A319FB" w:rsidRDefault="00A319FB" w:rsidP="00A319FB">
      <w:pPr>
        <w:spacing w:after="0" w:line="360" w:lineRule="auto"/>
        <w:rPr>
          <w:rFonts w:eastAsia="Palatino Linotype" w:cs="Palatino Linotype"/>
          <w:color w:val="FF0000"/>
          <w:lang w:eastAsia="es-MX"/>
        </w:rPr>
      </w:pPr>
    </w:p>
    <w:p w14:paraId="3841A1C8" w14:textId="77777777" w:rsidR="00A319FB" w:rsidRPr="00A319FB" w:rsidRDefault="00A319FB" w:rsidP="00A319FB">
      <w:pPr>
        <w:spacing w:after="0" w:line="360" w:lineRule="auto"/>
        <w:rPr>
          <w:rFonts w:eastAsia="Palatino Linotype" w:cs="Palatino Linotype"/>
          <w:color w:val="FF0000"/>
          <w:lang w:eastAsia="es-MX"/>
        </w:rPr>
      </w:pPr>
    </w:p>
    <w:p w14:paraId="48E8539E" w14:textId="77777777" w:rsidR="00A319FB" w:rsidRPr="00A319FB" w:rsidRDefault="00A319FB" w:rsidP="00A319FB">
      <w:pPr>
        <w:spacing w:after="0" w:line="360" w:lineRule="auto"/>
        <w:rPr>
          <w:rFonts w:eastAsia="Palatino Linotype" w:cs="Palatino Linotype"/>
          <w:color w:val="FF0000"/>
          <w:lang w:eastAsia="es-MX"/>
        </w:rPr>
      </w:pPr>
    </w:p>
    <w:p w14:paraId="13DCA5B3" w14:textId="77777777" w:rsidR="00A319FB" w:rsidRPr="00A319FB" w:rsidRDefault="00A319FB" w:rsidP="00A319FB">
      <w:pPr>
        <w:spacing w:after="0" w:line="360" w:lineRule="auto"/>
        <w:rPr>
          <w:rFonts w:eastAsia="Palatino Linotype" w:cs="Palatino Linotype"/>
          <w:color w:val="FF0000"/>
          <w:lang w:eastAsia="es-MX"/>
        </w:rPr>
      </w:pPr>
    </w:p>
    <w:p w14:paraId="12CD7A94" w14:textId="77777777" w:rsidR="00A319FB" w:rsidRPr="00A319FB" w:rsidRDefault="00A319FB" w:rsidP="00A319FB">
      <w:pPr>
        <w:spacing w:after="0" w:line="360" w:lineRule="auto"/>
        <w:rPr>
          <w:rFonts w:eastAsia="Palatino Linotype" w:cs="Palatino Linotype"/>
          <w:color w:val="FF0000"/>
          <w:lang w:eastAsia="es-MX"/>
        </w:rPr>
      </w:pPr>
    </w:p>
    <w:p w14:paraId="6FE43C3B" w14:textId="77777777" w:rsidR="00A319FB" w:rsidRPr="00A319FB" w:rsidRDefault="00A319FB" w:rsidP="00A319FB">
      <w:pPr>
        <w:spacing w:after="0" w:line="360" w:lineRule="auto"/>
        <w:rPr>
          <w:rFonts w:eastAsia="Palatino Linotype" w:cs="Palatino Linotype"/>
          <w:color w:val="FF0000"/>
          <w:lang w:eastAsia="es-MX"/>
        </w:rPr>
      </w:pPr>
    </w:p>
    <w:p w14:paraId="21E793AE" w14:textId="77777777" w:rsidR="00A319FB" w:rsidRPr="00A319FB" w:rsidRDefault="00A319FB" w:rsidP="00A319FB">
      <w:pPr>
        <w:spacing w:after="0" w:line="360" w:lineRule="auto"/>
        <w:rPr>
          <w:rFonts w:eastAsia="Palatino Linotype" w:cs="Palatino Linotype"/>
          <w:color w:val="FF0000"/>
          <w:lang w:eastAsia="es-MX"/>
        </w:rPr>
      </w:pPr>
    </w:p>
    <w:p w14:paraId="4C193195" w14:textId="77777777" w:rsidR="00A319FB" w:rsidRPr="00A319FB" w:rsidRDefault="00A319FB" w:rsidP="00A319FB">
      <w:pPr>
        <w:spacing w:after="0" w:line="360" w:lineRule="auto"/>
        <w:rPr>
          <w:rFonts w:eastAsia="Palatino Linotype" w:cs="Palatino Linotype"/>
          <w:color w:val="FF0000"/>
          <w:lang w:eastAsia="es-MX"/>
        </w:rPr>
      </w:pPr>
    </w:p>
    <w:p w14:paraId="7D9003E2" w14:textId="77777777" w:rsidR="00A319FB" w:rsidRPr="00A319FB" w:rsidRDefault="00A319FB" w:rsidP="00A319FB">
      <w:pPr>
        <w:spacing w:after="0" w:line="360" w:lineRule="auto"/>
        <w:rPr>
          <w:rFonts w:eastAsia="Palatino Linotype" w:cs="Palatino Linotype"/>
          <w:color w:val="FF0000"/>
          <w:lang w:eastAsia="es-MX"/>
        </w:rPr>
      </w:pPr>
    </w:p>
    <w:p w14:paraId="18F1DE61" w14:textId="77777777" w:rsidR="00A319FB" w:rsidRPr="00A319FB" w:rsidRDefault="00A319FB" w:rsidP="00A319FB">
      <w:pPr>
        <w:spacing w:after="0" w:line="360" w:lineRule="auto"/>
        <w:rPr>
          <w:rFonts w:eastAsia="Palatino Linotype" w:cs="Palatino Linotype"/>
          <w:color w:val="FF0000"/>
          <w:lang w:eastAsia="es-MX"/>
        </w:rPr>
      </w:pPr>
    </w:p>
    <w:p w14:paraId="11ECEAA9" w14:textId="77777777" w:rsidR="00A319FB" w:rsidRPr="00A319FB" w:rsidRDefault="00A319FB" w:rsidP="00A319FB">
      <w:pPr>
        <w:spacing w:after="0" w:line="360" w:lineRule="auto"/>
        <w:rPr>
          <w:rFonts w:eastAsia="Palatino Linotype" w:cs="Palatino Linotype"/>
          <w:color w:val="FF0000"/>
          <w:lang w:eastAsia="es-MX"/>
        </w:rPr>
      </w:pPr>
    </w:p>
    <w:p w14:paraId="48F30A72" w14:textId="77777777" w:rsidR="00A319FB" w:rsidRPr="00A319FB" w:rsidRDefault="00A319FB" w:rsidP="00A319FB">
      <w:pPr>
        <w:spacing w:after="0" w:line="360" w:lineRule="auto"/>
        <w:rPr>
          <w:rFonts w:eastAsia="Palatino Linotype" w:cs="Palatino Linotype"/>
          <w:color w:val="FF0000"/>
          <w:lang w:eastAsia="es-MX"/>
        </w:rPr>
      </w:pPr>
    </w:p>
    <w:p w14:paraId="2EE481F8" w14:textId="77777777" w:rsidR="00A319FB" w:rsidRPr="00A319FB" w:rsidRDefault="00A319FB" w:rsidP="00A319FB">
      <w:pPr>
        <w:spacing w:after="0" w:line="360" w:lineRule="auto"/>
        <w:rPr>
          <w:rFonts w:eastAsia="Palatino Linotype" w:cs="Palatino Linotype"/>
          <w:color w:val="FF0000"/>
          <w:lang w:eastAsia="es-MX"/>
        </w:rPr>
      </w:pPr>
    </w:p>
    <w:p w14:paraId="0F5AD6AC" w14:textId="77777777" w:rsidR="00A319FB" w:rsidRPr="00A319FB" w:rsidRDefault="00A319FB" w:rsidP="00A319FB">
      <w:pPr>
        <w:spacing w:after="0" w:line="360" w:lineRule="auto"/>
        <w:rPr>
          <w:rFonts w:eastAsia="Palatino Linotype" w:cs="Palatino Linotype"/>
          <w:color w:val="FF0000"/>
          <w:lang w:eastAsia="es-MX"/>
        </w:rPr>
      </w:pPr>
    </w:p>
    <w:p w14:paraId="2AEA3437" w14:textId="77777777" w:rsidR="00A319FB" w:rsidRPr="00A319FB" w:rsidRDefault="00A319FB" w:rsidP="00A319FB">
      <w:pPr>
        <w:spacing w:after="0" w:line="360" w:lineRule="auto"/>
        <w:rPr>
          <w:rFonts w:eastAsia="Palatino Linotype" w:cs="Palatino Linotype"/>
          <w:color w:val="FF0000"/>
          <w:lang w:eastAsia="es-MX"/>
        </w:rPr>
      </w:pPr>
    </w:p>
    <w:p w14:paraId="75E1F081" w14:textId="77777777" w:rsidR="00A319FB" w:rsidRPr="00A319FB" w:rsidRDefault="00A319FB" w:rsidP="00A319FB">
      <w:pPr>
        <w:spacing w:after="0" w:line="360" w:lineRule="auto"/>
        <w:rPr>
          <w:rFonts w:eastAsia="Palatino Linotype" w:cs="Palatino Linotype"/>
          <w:color w:val="FF0000"/>
          <w:lang w:eastAsia="es-MX"/>
        </w:rPr>
      </w:pPr>
    </w:p>
    <w:p w14:paraId="77D46C7C" w14:textId="77777777" w:rsidR="00A319FB" w:rsidRPr="00A319FB" w:rsidRDefault="00A319FB" w:rsidP="00A319FB">
      <w:pPr>
        <w:spacing w:after="0" w:line="360" w:lineRule="auto"/>
        <w:rPr>
          <w:rFonts w:eastAsia="Palatino Linotype" w:cs="Palatino Linotype"/>
          <w:color w:val="FF0000"/>
          <w:lang w:eastAsia="es-MX"/>
        </w:rPr>
      </w:pPr>
    </w:p>
    <w:p w14:paraId="2B52D958" w14:textId="77777777" w:rsidR="00F71202" w:rsidRPr="00226E68" w:rsidRDefault="00F71202">
      <w:pPr>
        <w:rPr>
          <w:color w:val="FF0000"/>
        </w:rPr>
      </w:pPr>
    </w:p>
    <w:sectPr w:rsidR="00F71202" w:rsidRPr="00226E68" w:rsidSect="0076087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18" w:right="1418" w:bottom="1134" w:left="1701" w:header="28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CB54" w14:textId="77777777" w:rsidR="00F368AC" w:rsidRDefault="00F368AC" w:rsidP="00226E68">
      <w:pPr>
        <w:spacing w:after="0" w:line="240" w:lineRule="auto"/>
      </w:pPr>
      <w:r>
        <w:separator/>
      </w:r>
    </w:p>
  </w:endnote>
  <w:endnote w:type="continuationSeparator" w:id="0">
    <w:p w14:paraId="4EC01086" w14:textId="77777777" w:rsidR="00F368AC" w:rsidRDefault="00F368AC" w:rsidP="0022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23E4" w14:textId="77777777" w:rsidR="00F31459" w:rsidRDefault="00F314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7722">
      <w:rPr>
        <w:b/>
        <w:noProof/>
        <w:color w:val="000000"/>
        <w:sz w:val="24"/>
        <w:szCs w:val="24"/>
      </w:rPr>
      <w:t>23</w:t>
    </w:r>
    <w:r>
      <w:rPr>
        <w:b/>
        <w:color w:val="000000"/>
        <w:sz w:val="24"/>
        <w:szCs w:val="24"/>
      </w:rPr>
      <w:fldChar w:fldCharType="end"/>
    </w:r>
  </w:p>
  <w:p w14:paraId="03F6863F"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3917" w14:textId="77777777" w:rsidR="00F31459" w:rsidRPr="005C38DE" w:rsidRDefault="00F31459">
    <w:pPr>
      <w:pBdr>
        <w:top w:val="nil"/>
        <w:left w:val="nil"/>
        <w:bottom w:val="nil"/>
        <w:right w:val="nil"/>
        <w:between w:val="nil"/>
      </w:pBdr>
      <w:tabs>
        <w:tab w:val="center" w:pos="4419"/>
        <w:tab w:val="right" w:pos="8838"/>
      </w:tabs>
      <w:spacing w:after="0" w:line="240" w:lineRule="auto"/>
      <w:jc w:val="right"/>
      <w:rPr>
        <w:color w:val="000000"/>
        <w:sz w:val="20"/>
        <w:szCs w:val="20"/>
      </w:rPr>
    </w:pPr>
    <w:r w:rsidRPr="005C38DE">
      <w:rPr>
        <w:color w:val="000000"/>
        <w:sz w:val="20"/>
        <w:szCs w:val="20"/>
      </w:rPr>
      <w:t xml:space="preserve">Página </w:t>
    </w:r>
    <w:r w:rsidRPr="005C38DE">
      <w:rPr>
        <w:b/>
        <w:color w:val="000000"/>
        <w:sz w:val="20"/>
        <w:szCs w:val="20"/>
      </w:rPr>
      <w:fldChar w:fldCharType="begin"/>
    </w:r>
    <w:r w:rsidRPr="005C38DE">
      <w:rPr>
        <w:b/>
        <w:color w:val="000000"/>
        <w:sz w:val="20"/>
        <w:szCs w:val="20"/>
      </w:rPr>
      <w:instrText>PAGE</w:instrText>
    </w:r>
    <w:r w:rsidRPr="005C38DE">
      <w:rPr>
        <w:b/>
        <w:color w:val="000000"/>
        <w:sz w:val="20"/>
        <w:szCs w:val="20"/>
      </w:rPr>
      <w:fldChar w:fldCharType="separate"/>
    </w:r>
    <w:r w:rsidR="007F7722">
      <w:rPr>
        <w:b/>
        <w:noProof/>
        <w:color w:val="000000"/>
        <w:sz w:val="20"/>
        <w:szCs w:val="20"/>
      </w:rPr>
      <w:t>22</w:t>
    </w:r>
    <w:r w:rsidRPr="005C38DE">
      <w:rPr>
        <w:b/>
        <w:color w:val="000000"/>
        <w:sz w:val="20"/>
        <w:szCs w:val="20"/>
      </w:rPr>
      <w:fldChar w:fldCharType="end"/>
    </w:r>
    <w:r w:rsidRPr="005C38DE">
      <w:rPr>
        <w:color w:val="000000"/>
        <w:sz w:val="20"/>
        <w:szCs w:val="20"/>
      </w:rPr>
      <w:t xml:space="preserve"> de </w:t>
    </w:r>
    <w:r w:rsidRPr="005C38DE">
      <w:rPr>
        <w:b/>
        <w:color w:val="000000"/>
        <w:sz w:val="20"/>
        <w:szCs w:val="20"/>
      </w:rPr>
      <w:fldChar w:fldCharType="begin"/>
    </w:r>
    <w:r w:rsidRPr="005C38DE">
      <w:rPr>
        <w:b/>
        <w:color w:val="000000"/>
        <w:sz w:val="20"/>
        <w:szCs w:val="20"/>
      </w:rPr>
      <w:instrText>NUMPAGES</w:instrText>
    </w:r>
    <w:r w:rsidRPr="005C38DE">
      <w:rPr>
        <w:b/>
        <w:color w:val="000000"/>
        <w:sz w:val="20"/>
        <w:szCs w:val="20"/>
      </w:rPr>
      <w:fldChar w:fldCharType="separate"/>
    </w:r>
    <w:r w:rsidR="007F7722">
      <w:rPr>
        <w:b/>
        <w:noProof/>
        <w:color w:val="000000"/>
        <w:sz w:val="20"/>
        <w:szCs w:val="20"/>
      </w:rPr>
      <w:t>23</w:t>
    </w:r>
    <w:r w:rsidRPr="005C38DE">
      <w:rPr>
        <w:b/>
        <w:color w:val="000000"/>
        <w:sz w:val="20"/>
        <w:szCs w:val="20"/>
      </w:rPr>
      <w:fldChar w:fldCharType="end"/>
    </w:r>
  </w:p>
  <w:p w14:paraId="2F021D5E"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D15C" w14:textId="77777777" w:rsidR="00F31459" w:rsidRDefault="00F314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F772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F7722">
      <w:rPr>
        <w:b/>
        <w:noProof/>
        <w:color w:val="000000"/>
        <w:sz w:val="24"/>
        <w:szCs w:val="24"/>
      </w:rPr>
      <w:t>23</w:t>
    </w:r>
    <w:r>
      <w:rPr>
        <w:b/>
        <w:color w:val="000000"/>
        <w:sz w:val="24"/>
        <w:szCs w:val="24"/>
      </w:rPr>
      <w:fldChar w:fldCharType="end"/>
    </w:r>
  </w:p>
  <w:p w14:paraId="0DFBADC9" w14:textId="77777777" w:rsidR="00F31459" w:rsidRDefault="00F31459">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0DDE" w14:textId="77777777" w:rsidR="00F368AC" w:rsidRDefault="00F368AC" w:rsidP="00226E68">
      <w:pPr>
        <w:spacing w:after="0" w:line="240" w:lineRule="auto"/>
      </w:pPr>
      <w:r>
        <w:separator/>
      </w:r>
    </w:p>
  </w:footnote>
  <w:footnote w:type="continuationSeparator" w:id="0">
    <w:p w14:paraId="0F968803" w14:textId="77777777" w:rsidR="00F368AC" w:rsidRDefault="00F368AC" w:rsidP="00226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78E0" w14:textId="77777777" w:rsidR="00F31459" w:rsidRDefault="00F31459">
    <w:pPr>
      <w:widowControl w:val="0"/>
      <w:pBdr>
        <w:top w:val="nil"/>
        <w:left w:val="nil"/>
        <w:bottom w:val="nil"/>
        <w:right w:val="nil"/>
        <w:between w:val="nil"/>
      </w:pBdr>
      <w:spacing w:after="0" w:line="276" w:lineRule="auto"/>
      <w:rPr>
        <w:color w:val="000000"/>
      </w:rPr>
    </w:pPr>
  </w:p>
  <w:tbl>
    <w:tblPr>
      <w:tblW w:w="9990" w:type="dxa"/>
      <w:tblInd w:w="-115" w:type="dxa"/>
      <w:tblLayout w:type="fixed"/>
      <w:tblLook w:val="0400" w:firstRow="0" w:lastRow="0" w:firstColumn="0" w:lastColumn="0" w:noHBand="0" w:noVBand="1"/>
    </w:tblPr>
    <w:tblGrid>
      <w:gridCol w:w="3260"/>
      <w:gridCol w:w="6730"/>
    </w:tblGrid>
    <w:tr w:rsidR="00F31459" w14:paraId="75EAB287" w14:textId="77777777">
      <w:trPr>
        <w:trHeight w:val="1435"/>
      </w:trPr>
      <w:tc>
        <w:tcPr>
          <w:tcW w:w="3260" w:type="dxa"/>
        </w:tcPr>
        <w:p w14:paraId="1C10E3D2"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4F00BCD7" w14:textId="77777777" w:rsidR="00F31459" w:rsidRDefault="00F31459">
          <w:pPr>
            <w:widowControl w:val="0"/>
            <w:pBdr>
              <w:top w:val="nil"/>
              <w:left w:val="nil"/>
              <w:bottom w:val="nil"/>
              <w:right w:val="nil"/>
              <w:between w:val="nil"/>
            </w:pBdr>
            <w:spacing w:after="0" w:line="276" w:lineRule="auto"/>
            <w:rPr>
              <w:color w:val="000000"/>
            </w:rPr>
          </w:pPr>
        </w:p>
        <w:tbl>
          <w:tblPr>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F31459" w14:paraId="7E7AD11F" w14:textId="77777777">
            <w:trPr>
              <w:trHeight w:val="144"/>
            </w:trPr>
            <w:tc>
              <w:tcPr>
                <w:tcW w:w="2559" w:type="dxa"/>
              </w:tcPr>
              <w:p w14:paraId="6A595DDE" w14:textId="77777777" w:rsidR="00F31459" w:rsidRDefault="00F31459">
                <w:pPr>
                  <w:pBdr>
                    <w:top w:val="nil"/>
                    <w:left w:val="nil"/>
                    <w:bottom w:val="nil"/>
                    <w:right w:val="nil"/>
                    <w:between w:val="nil"/>
                  </w:pBdr>
                  <w:tabs>
                    <w:tab w:val="center" w:pos="4419"/>
                    <w:tab w:val="right" w:pos="8838"/>
                  </w:tabs>
                  <w:rPr>
                    <w:b/>
                    <w:color w:val="000000"/>
                  </w:rPr>
                </w:pPr>
                <w:r>
                  <w:rPr>
                    <w:b/>
                    <w:color w:val="000000"/>
                  </w:rPr>
                  <w:t>Recurso de Revisión:</w:t>
                </w:r>
              </w:p>
            </w:tc>
            <w:tc>
              <w:tcPr>
                <w:tcW w:w="3259" w:type="dxa"/>
              </w:tcPr>
              <w:p w14:paraId="0172FEB8" w14:textId="77777777" w:rsidR="00F31459" w:rsidRDefault="00F31459">
                <w:pPr>
                  <w:pBdr>
                    <w:top w:val="nil"/>
                    <w:left w:val="nil"/>
                    <w:bottom w:val="nil"/>
                    <w:right w:val="nil"/>
                    <w:between w:val="nil"/>
                  </w:pBdr>
                  <w:tabs>
                    <w:tab w:val="center" w:pos="4419"/>
                    <w:tab w:val="right" w:pos="8838"/>
                  </w:tabs>
                  <w:rPr>
                    <w:color w:val="000000"/>
                  </w:rPr>
                </w:pPr>
                <w:r>
                  <w:rPr>
                    <w:color w:val="000000"/>
                  </w:rPr>
                  <w:t>01226/INFOEM/IP/RR/2022</w:t>
                </w:r>
              </w:p>
            </w:tc>
            <w:tc>
              <w:tcPr>
                <w:tcW w:w="3402" w:type="dxa"/>
              </w:tcPr>
              <w:p w14:paraId="33A28FFE" w14:textId="77777777" w:rsidR="00F31459" w:rsidRDefault="00F31459">
                <w:pPr>
                  <w:pBdr>
                    <w:top w:val="nil"/>
                    <w:left w:val="nil"/>
                    <w:bottom w:val="nil"/>
                    <w:right w:val="nil"/>
                    <w:between w:val="nil"/>
                  </w:pBdr>
                  <w:tabs>
                    <w:tab w:val="center" w:pos="4419"/>
                    <w:tab w:val="right" w:pos="8838"/>
                  </w:tabs>
                  <w:rPr>
                    <w:color w:val="000000"/>
                  </w:rPr>
                </w:pPr>
              </w:p>
            </w:tc>
          </w:tr>
          <w:tr w:rsidR="00F31459" w14:paraId="08982F68" w14:textId="77777777">
            <w:trPr>
              <w:trHeight w:val="283"/>
            </w:trPr>
            <w:tc>
              <w:tcPr>
                <w:tcW w:w="2559" w:type="dxa"/>
              </w:tcPr>
              <w:p w14:paraId="48B59367" w14:textId="77777777" w:rsidR="00F31459" w:rsidRDefault="00F31459">
                <w:pPr>
                  <w:pBdr>
                    <w:top w:val="nil"/>
                    <w:left w:val="nil"/>
                    <w:bottom w:val="nil"/>
                    <w:right w:val="nil"/>
                    <w:between w:val="nil"/>
                  </w:pBdr>
                  <w:tabs>
                    <w:tab w:val="center" w:pos="4419"/>
                    <w:tab w:val="right" w:pos="8838"/>
                  </w:tabs>
                  <w:rPr>
                    <w:b/>
                    <w:color w:val="000000"/>
                  </w:rPr>
                </w:pPr>
                <w:r>
                  <w:rPr>
                    <w:b/>
                    <w:color w:val="000000"/>
                  </w:rPr>
                  <w:t>Sujeto Obligado:</w:t>
                </w:r>
              </w:p>
            </w:tc>
            <w:tc>
              <w:tcPr>
                <w:tcW w:w="3259" w:type="dxa"/>
              </w:tcPr>
              <w:p w14:paraId="78E49F52" w14:textId="77777777" w:rsidR="00F31459" w:rsidRDefault="00F31459">
                <w:pPr>
                  <w:pBdr>
                    <w:top w:val="nil"/>
                    <w:left w:val="nil"/>
                    <w:bottom w:val="nil"/>
                    <w:right w:val="nil"/>
                    <w:between w:val="nil"/>
                  </w:pBdr>
                  <w:tabs>
                    <w:tab w:val="center" w:pos="4419"/>
                    <w:tab w:val="right" w:pos="8838"/>
                  </w:tabs>
                  <w:rPr>
                    <w:color w:val="000000"/>
                  </w:rPr>
                </w:pPr>
                <w:r>
                  <w:rPr>
                    <w:color w:val="000000"/>
                  </w:rPr>
                  <w:t>Ayuntamiento de Temascalapa</w:t>
                </w:r>
              </w:p>
            </w:tc>
            <w:tc>
              <w:tcPr>
                <w:tcW w:w="3402" w:type="dxa"/>
              </w:tcPr>
              <w:p w14:paraId="75C102E0" w14:textId="77777777" w:rsidR="00F31459" w:rsidRDefault="00F31459">
                <w:pPr>
                  <w:pBdr>
                    <w:top w:val="nil"/>
                    <w:left w:val="nil"/>
                    <w:bottom w:val="nil"/>
                    <w:right w:val="nil"/>
                    <w:between w:val="nil"/>
                  </w:pBdr>
                  <w:tabs>
                    <w:tab w:val="center" w:pos="4419"/>
                    <w:tab w:val="right" w:pos="8838"/>
                  </w:tabs>
                  <w:rPr>
                    <w:color w:val="000000"/>
                  </w:rPr>
                </w:pPr>
              </w:p>
            </w:tc>
          </w:tr>
          <w:tr w:rsidR="00F31459" w14:paraId="4EA28BFC" w14:textId="77777777">
            <w:trPr>
              <w:trHeight w:val="283"/>
            </w:trPr>
            <w:tc>
              <w:tcPr>
                <w:tcW w:w="2559" w:type="dxa"/>
              </w:tcPr>
              <w:p w14:paraId="515F6F23" w14:textId="77777777" w:rsidR="00F31459" w:rsidRDefault="00F31459">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3259" w:type="dxa"/>
              </w:tcPr>
              <w:p w14:paraId="5537810F" w14:textId="77777777" w:rsidR="00F31459" w:rsidRDefault="00F31459">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4D5EF324" w14:textId="77777777" w:rsidR="00F31459" w:rsidRDefault="00F31459">
                <w:pPr>
                  <w:pBdr>
                    <w:top w:val="nil"/>
                    <w:left w:val="nil"/>
                    <w:bottom w:val="nil"/>
                    <w:right w:val="nil"/>
                    <w:between w:val="nil"/>
                  </w:pBdr>
                  <w:tabs>
                    <w:tab w:val="center" w:pos="4419"/>
                    <w:tab w:val="right" w:pos="8838"/>
                  </w:tabs>
                  <w:rPr>
                    <w:color w:val="000000"/>
                  </w:rPr>
                </w:pPr>
              </w:p>
            </w:tc>
          </w:tr>
        </w:tbl>
        <w:p w14:paraId="4CE12F91" w14:textId="77777777" w:rsidR="00F31459" w:rsidRDefault="00F31459">
          <w:pPr>
            <w:pBdr>
              <w:top w:val="nil"/>
              <w:left w:val="nil"/>
              <w:bottom w:val="nil"/>
              <w:right w:val="nil"/>
              <w:between w:val="nil"/>
            </w:pBdr>
            <w:tabs>
              <w:tab w:val="center" w:pos="4419"/>
              <w:tab w:val="right" w:pos="8838"/>
            </w:tabs>
            <w:spacing w:after="0" w:line="240" w:lineRule="auto"/>
            <w:rPr>
              <w:b/>
              <w:color w:val="000000"/>
            </w:rPr>
          </w:pPr>
        </w:p>
      </w:tc>
    </w:tr>
  </w:tbl>
  <w:p w14:paraId="47CFD19D" w14:textId="77777777" w:rsidR="00F31459"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1BE3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28EDC" w14:textId="77777777" w:rsidR="00F31459" w:rsidRDefault="00000000">
    <w:pPr>
      <w:widowControl w:val="0"/>
      <w:pBdr>
        <w:top w:val="nil"/>
        <w:left w:val="nil"/>
        <w:bottom w:val="nil"/>
        <w:right w:val="nil"/>
        <w:between w:val="nil"/>
      </w:pBdr>
      <w:spacing w:after="0" w:line="276" w:lineRule="auto"/>
      <w:rPr>
        <w:color w:val="FF0000"/>
      </w:rPr>
    </w:pPr>
    <w:r>
      <w:rPr>
        <w:rFonts w:eastAsia="Palatino Linotype" w:cs="Palatino Linotype"/>
        <w:color w:val="000000"/>
      </w:rPr>
      <w:pict w14:anchorId="6A77D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9" type="#_x0000_t75" alt="MARCA DE AGUA - HOJA RESOLUCIÓN" style="position:absolute;left:0;text-align:left;margin-left:-85.8pt;margin-top:-125.4pt;width:663.5pt;height:12in;z-index:-251657216;mso-wrap-edited:f;mso-width-percent:0;mso-height-percent:0;mso-position-horizontal-relative:margin;mso-position-vertical-relative:margin;mso-width-percent:0;mso-height-percent:0">
          <v:imagedata r:id="rId1" o:title="image1"/>
          <w10:wrap anchorx="margin" anchory="margin"/>
        </v:shape>
      </w:pict>
    </w:r>
  </w:p>
  <w:tbl>
    <w:tblPr>
      <w:tblW w:w="9428" w:type="dxa"/>
      <w:tblInd w:w="-115" w:type="dxa"/>
      <w:tblLayout w:type="fixed"/>
      <w:tblLook w:val="0400" w:firstRow="0" w:lastRow="0" w:firstColumn="0" w:lastColumn="0" w:noHBand="0" w:noVBand="1"/>
    </w:tblPr>
    <w:tblGrid>
      <w:gridCol w:w="1727"/>
      <w:gridCol w:w="7701"/>
    </w:tblGrid>
    <w:tr w:rsidR="00F31459" w14:paraId="2F663AF6" w14:textId="77777777" w:rsidTr="00226E68">
      <w:trPr>
        <w:trHeight w:val="1640"/>
      </w:trPr>
      <w:tc>
        <w:tcPr>
          <w:tcW w:w="1727" w:type="dxa"/>
        </w:tcPr>
        <w:p w14:paraId="1D6F4299" w14:textId="77777777" w:rsidR="00F31459" w:rsidRDefault="00F31459" w:rsidP="006D59B3">
          <w:pPr>
            <w:tabs>
              <w:tab w:val="right" w:pos="4273"/>
            </w:tabs>
            <w:spacing w:after="0"/>
            <w:rPr>
              <w:rFonts w:ascii="Garamond" w:eastAsia="Garamond" w:hAnsi="Garamond" w:cs="Garamond"/>
              <w:color w:val="000000"/>
            </w:rPr>
          </w:pPr>
        </w:p>
      </w:tc>
      <w:tc>
        <w:tcPr>
          <w:tcW w:w="7701" w:type="dxa"/>
        </w:tcPr>
        <w:p w14:paraId="505AB5A8" w14:textId="77777777" w:rsidR="00F31459" w:rsidRPr="00200D6D" w:rsidRDefault="00F31459" w:rsidP="006D59B3">
          <w:pPr>
            <w:tabs>
              <w:tab w:val="left" w:pos="2834"/>
              <w:tab w:val="right" w:pos="8838"/>
            </w:tabs>
            <w:spacing w:after="0" w:line="240" w:lineRule="auto"/>
            <w:ind w:left="-74" w:right="-105"/>
          </w:pPr>
        </w:p>
        <w:tbl>
          <w:tblPr>
            <w:tblW w:w="10087" w:type="dxa"/>
            <w:tblInd w:w="1252" w:type="dxa"/>
            <w:tblBorders>
              <w:top w:val="nil"/>
              <w:left w:val="nil"/>
              <w:bottom w:val="nil"/>
              <w:right w:val="nil"/>
              <w:insideH w:val="nil"/>
              <w:insideV w:val="nil"/>
            </w:tblBorders>
            <w:tblLayout w:type="fixed"/>
            <w:tblLook w:val="0400" w:firstRow="0" w:lastRow="0" w:firstColumn="0" w:lastColumn="0" w:noHBand="0" w:noVBand="1"/>
          </w:tblPr>
          <w:tblGrid>
            <w:gridCol w:w="2448"/>
            <w:gridCol w:w="5184"/>
            <w:gridCol w:w="2455"/>
          </w:tblGrid>
          <w:tr w:rsidR="00F31459" w14:paraId="311A96F0" w14:textId="77777777" w:rsidTr="006D59B3">
            <w:trPr>
              <w:trHeight w:val="163"/>
            </w:trPr>
            <w:tc>
              <w:tcPr>
                <w:tcW w:w="2448" w:type="dxa"/>
              </w:tcPr>
              <w:p w14:paraId="7F5EA557" w14:textId="77777777" w:rsidR="006D59B3" w:rsidRDefault="006D59B3" w:rsidP="006D59B3">
                <w:pPr>
                  <w:tabs>
                    <w:tab w:val="left" w:pos="2834"/>
                    <w:tab w:val="right" w:pos="8838"/>
                  </w:tabs>
                  <w:spacing w:after="0"/>
                  <w:ind w:left="-74" w:right="-105"/>
                  <w:rPr>
                    <w:b/>
                    <w:bCs/>
                  </w:rPr>
                </w:pPr>
                <w:bookmarkStart w:id="2" w:name="_heading=h.3znysh7" w:colFirst="0" w:colLast="0"/>
                <w:bookmarkEnd w:id="2"/>
              </w:p>
              <w:p w14:paraId="42F7D236" w14:textId="54092F0B" w:rsidR="00F31459" w:rsidRPr="00226E68" w:rsidRDefault="00F31459" w:rsidP="006D59B3">
                <w:pPr>
                  <w:tabs>
                    <w:tab w:val="left" w:pos="2834"/>
                    <w:tab w:val="right" w:pos="8838"/>
                  </w:tabs>
                  <w:spacing w:after="0"/>
                  <w:ind w:left="-74" w:right="-105"/>
                  <w:rPr>
                    <w:b/>
                    <w:bCs/>
                  </w:rPr>
                </w:pPr>
                <w:r w:rsidRPr="00226E68">
                  <w:rPr>
                    <w:b/>
                    <w:bCs/>
                  </w:rPr>
                  <w:t>Recurso de Revisión:</w:t>
                </w:r>
              </w:p>
            </w:tc>
            <w:tc>
              <w:tcPr>
                <w:tcW w:w="5184" w:type="dxa"/>
              </w:tcPr>
              <w:p w14:paraId="4B17FFF7" w14:textId="77777777" w:rsidR="006D59B3" w:rsidRDefault="00F31459" w:rsidP="006D59B3">
                <w:pPr>
                  <w:tabs>
                    <w:tab w:val="left" w:pos="2834"/>
                    <w:tab w:val="right" w:pos="8838"/>
                  </w:tabs>
                  <w:spacing w:after="0"/>
                  <w:ind w:left="-74" w:right="-105"/>
                </w:pPr>
                <w:r>
                  <w:t> </w:t>
                </w:r>
              </w:p>
              <w:p w14:paraId="384835D6" w14:textId="6CF9ED78" w:rsidR="00F31459" w:rsidRPr="00226E68" w:rsidRDefault="00F31459" w:rsidP="006D59B3">
                <w:pPr>
                  <w:tabs>
                    <w:tab w:val="left" w:pos="2834"/>
                    <w:tab w:val="right" w:pos="8838"/>
                  </w:tabs>
                  <w:spacing w:after="0"/>
                  <w:ind w:left="-74" w:right="-105"/>
                </w:pPr>
                <w:r>
                  <w:t>07151</w:t>
                </w:r>
                <w:r w:rsidRPr="00226E68">
                  <w:t>/INFOEM/IP/RR/2024</w:t>
                </w:r>
              </w:p>
            </w:tc>
            <w:tc>
              <w:tcPr>
                <w:tcW w:w="2455" w:type="dxa"/>
              </w:tcPr>
              <w:p w14:paraId="454632E0" w14:textId="77777777" w:rsidR="00F31459" w:rsidRDefault="00F31459" w:rsidP="006D59B3">
                <w:pPr>
                  <w:tabs>
                    <w:tab w:val="left" w:pos="2834"/>
                    <w:tab w:val="right" w:pos="8838"/>
                  </w:tabs>
                  <w:spacing w:after="0"/>
                  <w:ind w:left="-74" w:right="-105"/>
                </w:pPr>
              </w:p>
            </w:tc>
          </w:tr>
          <w:tr w:rsidR="00F31459" w14:paraId="3C1E7FEC" w14:textId="77777777" w:rsidTr="006D59B3">
            <w:trPr>
              <w:trHeight w:val="322"/>
            </w:trPr>
            <w:tc>
              <w:tcPr>
                <w:tcW w:w="2448" w:type="dxa"/>
              </w:tcPr>
              <w:p w14:paraId="641D4DAD" w14:textId="77777777" w:rsidR="00F31459" w:rsidRPr="00226E68" w:rsidRDefault="00F31459" w:rsidP="006D59B3">
                <w:pPr>
                  <w:tabs>
                    <w:tab w:val="left" w:pos="2834"/>
                    <w:tab w:val="right" w:pos="8838"/>
                  </w:tabs>
                  <w:spacing w:after="0"/>
                  <w:ind w:left="-74" w:right="-105"/>
                  <w:rPr>
                    <w:b/>
                    <w:bCs/>
                  </w:rPr>
                </w:pPr>
                <w:r w:rsidRPr="00226E68">
                  <w:rPr>
                    <w:b/>
                    <w:bCs/>
                  </w:rPr>
                  <w:t>Sujeto Obligado:</w:t>
                </w:r>
              </w:p>
            </w:tc>
            <w:tc>
              <w:tcPr>
                <w:tcW w:w="5184" w:type="dxa"/>
              </w:tcPr>
              <w:p w14:paraId="6C755256" w14:textId="0F7DCCDF" w:rsidR="00F31459" w:rsidRPr="00226E68" w:rsidRDefault="00F31459" w:rsidP="006D59B3">
                <w:pPr>
                  <w:tabs>
                    <w:tab w:val="left" w:pos="2834"/>
                    <w:tab w:val="right" w:pos="8838"/>
                  </w:tabs>
                  <w:spacing w:after="0"/>
                  <w:ind w:left="-74" w:right="-105"/>
                </w:pPr>
                <w:r w:rsidRPr="00226E68">
                  <w:t xml:space="preserve">Ayuntamiento de </w:t>
                </w:r>
                <w:r w:rsidR="006D59B3">
                  <w:t>San Antonio</w:t>
                </w:r>
                <w:r>
                  <w:t xml:space="preserve"> la Isla</w:t>
                </w:r>
              </w:p>
            </w:tc>
            <w:tc>
              <w:tcPr>
                <w:tcW w:w="2455" w:type="dxa"/>
              </w:tcPr>
              <w:p w14:paraId="6BE49B16" w14:textId="77777777" w:rsidR="00F31459" w:rsidRDefault="00F31459" w:rsidP="006D59B3">
                <w:pPr>
                  <w:tabs>
                    <w:tab w:val="left" w:pos="2834"/>
                    <w:tab w:val="right" w:pos="8838"/>
                  </w:tabs>
                  <w:spacing w:after="0"/>
                  <w:ind w:left="-74" w:right="-105"/>
                </w:pPr>
              </w:p>
            </w:tc>
          </w:tr>
          <w:tr w:rsidR="00F31459" w14:paraId="4BA1F626" w14:textId="77777777" w:rsidTr="006D59B3">
            <w:trPr>
              <w:trHeight w:val="322"/>
            </w:trPr>
            <w:tc>
              <w:tcPr>
                <w:tcW w:w="2448" w:type="dxa"/>
              </w:tcPr>
              <w:p w14:paraId="791E4DFB" w14:textId="77777777" w:rsidR="00F31459" w:rsidRPr="00226E68" w:rsidRDefault="00F31459" w:rsidP="006D59B3">
                <w:pPr>
                  <w:tabs>
                    <w:tab w:val="left" w:pos="2834"/>
                    <w:tab w:val="right" w:pos="8838"/>
                  </w:tabs>
                  <w:spacing w:after="0"/>
                  <w:ind w:left="-74" w:right="-105"/>
                  <w:rPr>
                    <w:b/>
                    <w:bCs/>
                  </w:rPr>
                </w:pPr>
                <w:r w:rsidRPr="00226E68">
                  <w:rPr>
                    <w:b/>
                    <w:bCs/>
                  </w:rPr>
                  <w:t xml:space="preserve">Comisionado Ponente: </w:t>
                </w:r>
              </w:p>
            </w:tc>
            <w:tc>
              <w:tcPr>
                <w:tcW w:w="5184" w:type="dxa"/>
              </w:tcPr>
              <w:p w14:paraId="1AA2A0CE" w14:textId="77777777" w:rsidR="00F31459" w:rsidRPr="00226E68" w:rsidRDefault="00F31459" w:rsidP="006D59B3">
                <w:pPr>
                  <w:tabs>
                    <w:tab w:val="left" w:pos="2834"/>
                    <w:tab w:val="right" w:pos="8838"/>
                  </w:tabs>
                  <w:spacing w:after="0"/>
                  <w:ind w:left="-74" w:right="-105"/>
                </w:pPr>
                <w:r w:rsidRPr="00226E68">
                  <w:t>Luis Gustavo Parra Noriega</w:t>
                </w:r>
              </w:p>
            </w:tc>
            <w:tc>
              <w:tcPr>
                <w:tcW w:w="2455" w:type="dxa"/>
              </w:tcPr>
              <w:p w14:paraId="6BFFB3CF" w14:textId="77777777" w:rsidR="00F31459" w:rsidRDefault="00F31459" w:rsidP="006D59B3">
                <w:pPr>
                  <w:tabs>
                    <w:tab w:val="left" w:pos="2834"/>
                    <w:tab w:val="right" w:pos="8838"/>
                  </w:tabs>
                  <w:spacing w:after="0"/>
                  <w:ind w:left="-74" w:right="-105"/>
                </w:pPr>
              </w:p>
            </w:tc>
          </w:tr>
        </w:tbl>
        <w:p w14:paraId="1F6CE3A7" w14:textId="77777777" w:rsidR="00F31459" w:rsidRPr="00200D6D" w:rsidRDefault="00F31459" w:rsidP="006D59B3">
          <w:pPr>
            <w:tabs>
              <w:tab w:val="left" w:pos="2834"/>
              <w:tab w:val="right" w:pos="8838"/>
            </w:tabs>
            <w:spacing w:after="0" w:line="240" w:lineRule="auto"/>
            <w:ind w:left="-74" w:right="-105"/>
          </w:pPr>
        </w:p>
      </w:tc>
    </w:tr>
  </w:tbl>
  <w:p w14:paraId="7FF0B92B"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EE06" w14:textId="77777777" w:rsidR="00F31459" w:rsidRDefault="00000000">
    <w:pPr>
      <w:widowControl w:val="0"/>
      <w:pBdr>
        <w:top w:val="nil"/>
        <w:left w:val="nil"/>
        <w:bottom w:val="nil"/>
        <w:right w:val="nil"/>
        <w:between w:val="nil"/>
      </w:pBdr>
      <w:spacing w:after="0" w:line="276" w:lineRule="auto"/>
      <w:rPr>
        <w:color w:val="000000"/>
      </w:rPr>
    </w:pPr>
    <w:r>
      <w:rPr>
        <w:color w:val="000000"/>
      </w:rPr>
      <w:pict w14:anchorId="11BF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MARCA DE AGUA - HOJA RESOLUCIÓN" style="position:absolute;left:0;text-align:left;margin-left:-74.55pt;margin-top:-135.2pt;width:686.55pt;height:894pt;z-index:-251656192;mso-wrap-edited:f;mso-width-percent:0;mso-height-percent:0;mso-position-horizontal-relative:margin;mso-position-vertical-relative:margin;mso-width-percent:0;mso-height-percent:0">
          <v:imagedata r:id="rId1" o:title="image1"/>
          <w10:wrap anchorx="margin" anchory="margin"/>
        </v:shape>
      </w:pict>
    </w:r>
  </w:p>
  <w:tbl>
    <w:tblPr>
      <w:tblW w:w="9356" w:type="dxa"/>
      <w:tblInd w:w="-115" w:type="dxa"/>
      <w:tblLayout w:type="fixed"/>
      <w:tblLook w:val="0400" w:firstRow="0" w:lastRow="0" w:firstColumn="0" w:lastColumn="0" w:noHBand="0" w:noVBand="1"/>
    </w:tblPr>
    <w:tblGrid>
      <w:gridCol w:w="1701"/>
      <w:gridCol w:w="7655"/>
    </w:tblGrid>
    <w:tr w:rsidR="00F31459" w14:paraId="4417370F" w14:textId="77777777">
      <w:trPr>
        <w:trHeight w:val="1435"/>
      </w:trPr>
      <w:tc>
        <w:tcPr>
          <w:tcW w:w="1701" w:type="dxa"/>
        </w:tcPr>
        <w:p w14:paraId="7E721DE3"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tc>
      <w:tc>
        <w:tcPr>
          <w:tcW w:w="7655" w:type="dxa"/>
        </w:tcPr>
        <w:tbl>
          <w:tblPr>
            <w:tblW w:w="13188" w:type="dxa"/>
            <w:tblInd w:w="1127" w:type="dxa"/>
            <w:tblBorders>
              <w:top w:val="nil"/>
              <w:left w:val="nil"/>
              <w:bottom w:val="nil"/>
              <w:right w:val="nil"/>
              <w:insideH w:val="nil"/>
              <w:insideV w:val="nil"/>
            </w:tblBorders>
            <w:tblLayout w:type="fixed"/>
            <w:tblLook w:val="0400" w:firstRow="0" w:lastRow="0" w:firstColumn="0" w:lastColumn="0" w:noHBand="0" w:noVBand="1"/>
          </w:tblPr>
          <w:tblGrid>
            <w:gridCol w:w="2552"/>
            <w:gridCol w:w="3968"/>
            <w:gridCol w:w="3266"/>
            <w:gridCol w:w="3402"/>
          </w:tblGrid>
          <w:tr w:rsidR="00F31459" w14:paraId="26CFE5A7" w14:textId="77777777" w:rsidTr="00760875">
            <w:trPr>
              <w:trHeight w:val="144"/>
            </w:trPr>
            <w:tc>
              <w:tcPr>
                <w:tcW w:w="2552" w:type="dxa"/>
              </w:tcPr>
              <w:p w14:paraId="7AF19921" w14:textId="77777777" w:rsidR="00F31459" w:rsidRPr="00226E68" w:rsidRDefault="00F31459" w:rsidP="006D59B3">
                <w:pPr>
                  <w:pBdr>
                    <w:top w:val="nil"/>
                    <w:left w:val="nil"/>
                    <w:bottom w:val="nil"/>
                    <w:right w:val="nil"/>
                    <w:between w:val="nil"/>
                  </w:pBdr>
                  <w:tabs>
                    <w:tab w:val="center" w:pos="4419"/>
                    <w:tab w:val="right" w:pos="8838"/>
                  </w:tabs>
                  <w:spacing w:after="0"/>
                  <w:rPr>
                    <w:b/>
                    <w:color w:val="000000"/>
                  </w:rPr>
                </w:pPr>
                <w:r w:rsidRPr="00226E68">
                  <w:rPr>
                    <w:b/>
                    <w:color w:val="000000"/>
                  </w:rPr>
                  <w:t>Recurso de Revisión:</w:t>
                </w:r>
              </w:p>
            </w:tc>
            <w:tc>
              <w:tcPr>
                <w:tcW w:w="3968" w:type="dxa"/>
              </w:tcPr>
              <w:p w14:paraId="218C7702" w14:textId="77777777" w:rsidR="00F31459" w:rsidRPr="00226E68" w:rsidRDefault="00F31459" w:rsidP="006D59B3">
                <w:pPr>
                  <w:pBdr>
                    <w:top w:val="nil"/>
                    <w:left w:val="nil"/>
                    <w:bottom w:val="nil"/>
                    <w:right w:val="nil"/>
                    <w:between w:val="nil"/>
                  </w:pBdr>
                  <w:tabs>
                    <w:tab w:val="center" w:pos="4419"/>
                    <w:tab w:val="right" w:pos="8838"/>
                  </w:tabs>
                  <w:spacing w:after="0"/>
                  <w:ind w:left="-113"/>
                  <w:rPr>
                    <w:color w:val="000000"/>
                  </w:rPr>
                </w:pPr>
                <w:r w:rsidRPr="00226E68">
                  <w:rPr>
                    <w:b/>
                    <w:bCs/>
                    <w:color w:val="FF0000"/>
                  </w:rPr>
                  <w:t> </w:t>
                </w:r>
                <w:r>
                  <w:rPr>
                    <w:color w:val="000000"/>
                  </w:rPr>
                  <w:t>07151</w:t>
                </w:r>
                <w:r w:rsidRPr="00226E68">
                  <w:rPr>
                    <w:color w:val="000000"/>
                  </w:rPr>
                  <w:t>/INFOEM/IP/RR/2024</w:t>
                </w:r>
              </w:p>
            </w:tc>
            <w:tc>
              <w:tcPr>
                <w:tcW w:w="3266" w:type="dxa"/>
              </w:tcPr>
              <w:p w14:paraId="24BE507C"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c>
              <w:tcPr>
                <w:tcW w:w="3402" w:type="dxa"/>
              </w:tcPr>
              <w:p w14:paraId="342266D6"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r>
          <w:tr w:rsidR="00F31459" w14:paraId="4533EAD5" w14:textId="77777777" w:rsidTr="00760875">
            <w:trPr>
              <w:trHeight w:val="144"/>
            </w:trPr>
            <w:tc>
              <w:tcPr>
                <w:tcW w:w="2552" w:type="dxa"/>
              </w:tcPr>
              <w:p w14:paraId="10A9FD34" w14:textId="77777777" w:rsidR="00F31459" w:rsidRPr="00226E68" w:rsidRDefault="00F31459" w:rsidP="006D59B3">
                <w:pPr>
                  <w:pBdr>
                    <w:top w:val="nil"/>
                    <w:left w:val="nil"/>
                    <w:bottom w:val="nil"/>
                    <w:right w:val="nil"/>
                    <w:between w:val="nil"/>
                  </w:pBdr>
                  <w:tabs>
                    <w:tab w:val="center" w:pos="4419"/>
                    <w:tab w:val="right" w:pos="8838"/>
                  </w:tabs>
                  <w:spacing w:after="0"/>
                  <w:rPr>
                    <w:b/>
                    <w:color w:val="000000"/>
                  </w:rPr>
                </w:pPr>
                <w:bookmarkStart w:id="3" w:name="_Hlk184752952"/>
                <w:r w:rsidRPr="00226E68">
                  <w:rPr>
                    <w:b/>
                    <w:color w:val="000000"/>
                  </w:rPr>
                  <w:t>Recurrente:</w:t>
                </w:r>
              </w:p>
            </w:tc>
            <w:tc>
              <w:tcPr>
                <w:tcW w:w="3968" w:type="dxa"/>
              </w:tcPr>
              <w:p w14:paraId="64637CF2" w14:textId="10E7C90A" w:rsidR="00F31459" w:rsidRPr="00226E68" w:rsidRDefault="002E20CB" w:rsidP="006D59B3">
                <w:pPr>
                  <w:pBdr>
                    <w:top w:val="nil"/>
                    <w:left w:val="nil"/>
                    <w:bottom w:val="nil"/>
                    <w:right w:val="nil"/>
                    <w:between w:val="nil"/>
                  </w:pBdr>
                  <w:tabs>
                    <w:tab w:val="center" w:pos="4419"/>
                    <w:tab w:val="right" w:pos="8838"/>
                  </w:tabs>
                  <w:spacing w:after="0"/>
                  <w:ind w:left="-113"/>
                  <w:rPr>
                    <w:color w:val="000000"/>
                  </w:rPr>
                </w:pPr>
                <w:r w:rsidRPr="002E20CB">
                  <w:rPr>
                    <w:color w:val="000000"/>
                    <w:highlight w:val="black"/>
                  </w:rPr>
                  <w:t>XXXXXXX</w:t>
                </w:r>
              </w:p>
            </w:tc>
            <w:tc>
              <w:tcPr>
                <w:tcW w:w="3266" w:type="dxa"/>
              </w:tcPr>
              <w:p w14:paraId="57BD2D93"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c>
              <w:tcPr>
                <w:tcW w:w="3402" w:type="dxa"/>
              </w:tcPr>
              <w:p w14:paraId="0F8A3C31"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r>
          <w:bookmarkEnd w:id="3"/>
          <w:tr w:rsidR="00F31459" w14:paraId="0683701A" w14:textId="77777777" w:rsidTr="00760875">
            <w:trPr>
              <w:trHeight w:val="283"/>
            </w:trPr>
            <w:tc>
              <w:tcPr>
                <w:tcW w:w="2552" w:type="dxa"/>
              </w:tcPr>
              <w:p w14:paraId="73C4CEB5" w14:textId="77777777" w:rsidR="00F31459" w:rsidRPr="00226E68" w:rsidRDefault="00F31459" w:rsidP="006D59B3">
                <w:pPr>
                  <w:pBdr>
                    <w:top w:val="nil"/>
                    <w:left w:val="nil"/>
                    <w:bottom w:val="nil"/>
                    <w:right w:val="nil"/>
                    <w:between w:val="nil"/>
                  </w:pBdr>
                  <w:tabs>
                    <w:tab w:val="center" w:pos="4419"/>
                    <w:tab w:val="right" w:pos="8838"/>
                  </w:tabs>
                  <w:spacing w:after="0"/>
                  <w:rPr>
                    <w:b/>
                    <w:color w:val="000000"/>
                  </w:rPr>
                </w:pPr>
                <w:r w:rsidRPr="00226E68">
                  <w:rPr>
                    <w:b/>
                    <w:color w:val="000000"/>
                  </w:rPr>
                  <w:t>Sujeto Obligado:</w:t>
                </w:r>
              </w:p>
            </w:tc>
            <w:tc>
              <w:tcPr>
                <w:tcW w:w="3968" w:type="dxa"/>
              </w:tcPr>
              <w:p w14:paraId="603AF415" w14:textId="77777777" w:rsidR="00F31459" w:rsidRPr="00226E68" w:rsidRDefault="00F31459" w:rsidP="006D59B3">
                <w:pPr>
                  <w:pBdr>
                    <w:top w:val="nil"/>
                    <w:left w:val="nil"/>
                    <w:bottom w:val="nil"/>
                    <w:right w:val="nil"/>
                    <w:between w:val="nil"/>
                  </w:pBdr>
                  <w:tabs>
                    <w:tab w:val="center" w:pos="4419"/>
                    <w:tab w:val="right" w:pos="8838"/>
                  </w:tabs>
                  <w:spacing w:after="0"/>
                  <w:ind w:left="-113"/>
                  <w:rPr>
                    <w:color w:val="000000"/>
                  </w:rPr>
                </w:pPr>
                <w:r w:rsidRPr="00226E68">
                  <w:rPr>
                    <w:color w:val="000000"/>
                  </w:rPr>
                  <w:t>Ayuntamiento de San Antonio la Isla</w:t>
                </w:r>
              </w:p>
            </w:tc>
            <w:tc>
              <w:tcPr>
                <w:tcW w:w="3266" w:type="dxa"/>
              </w:tcPr>
              <w:p w14:paraId="50B2AD0F"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c>
              <w:tcPr>
                <w:tcW w:w="3402" w:type="dxa"/>
              </w:tcPr>
              <w:p w14:paraId="71A5F3B6"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r>
          <w:tr w:rsidR="00F31459" w14:paraId="1B80EBEE" w14:textId="77777777" w:rsidTr="00760875">
            <w:trPr>
              <w:trHeight w:val="237"/>
            </w:trPr>
            <w:tc>
              <w:tcPr>
                <w:tcW w:w="2552" w:type="dxa"/>
              </w:tcPr>
              <w:p w14:paraId="7B7046F8" w14:textId="77777777" w:rsidR="00F31459" w:rsidRPr="00226E68" w:rsidRDefault="00F31459" w:rsidP="006D59B3">
                <w:pPr>
                  <w:pBdr>
                    <w:top w:val="nil"/>
                    <w:left w:val="nil"/>
                    <w:bottom w:val="nil"/>
                    <w:right w:val="nil"/>
                    <w:between w:val="nil"/>
                  </w:pBdr>
                  <w:tabs>
                    <w:tab w:val="center" w:pos="4419"/>
                    <w:tab w:val="right" w:pos="8838"/>
                  </w:tabs>
                  <w:spacing w:after="0"/>
                  <w:rPr>
                    <w:b/>
                    <w:color w:val="000000"/>
                  </w:rPr>
                </w:pPr>
                <w:r w:rsidRPr="00226E68">
                  <w:rPr>
                    <w:b/>
                    <w:color w:val="000000"/>
                  </w:rPr>
                  <w:t xml:space="preserve">Comisionado Ponente: </w:t>
                </w:r>
              </w:p>
            </w:tc>
            <w:tc>
              <w:tcPr>
                <w:tcW w:w="3968" w:type="dxa"/>
              </w:tcPr>
              <w:p w14:paraId="1D5F9AC5" w14:textId="77777777" w:rsidR="00F31459" w:rsidRPr="00226E68" w:rsidRDefault="00F31459" w:rsidP="006D59B3">
                <w:pPr>
                  <w:pBdr>
                    <w:top w:val="nil"/>
                    <w:left w:val="nil"/>
                    <w:bottom w:val="nil"/>
                    <w:right w:val="nil"/>
                    <w:between w:val="nil"/>
                  </w:pBdr>
                  <w:tabs>
                    <w:tab w:val="center" w:pos="4419"/>
                    <w:tab w:val="right" w:pos="8838"/>
                  </w:tabs>
                  <w:spacing w:after="0"/>
                  <w:ind w:left="-113"/>
                  <w:rPr>
                    <w:b/>
                    <w:color w:val="000000"/>
                  </w:rPr>
                </w:pPr>
                <w:r w:rsidRPr="00226E68">
                  <w:rPr>
                    <w:color w:val="000000"/>
                  </w:rPr>
                  <w:t>Luis Gustavo Parra Noriega</w:t>
                </w:r>
              </w:p>
            </w:tc>
            <w:tc>
              <w:tcPr>
                <w:tcW w:w="3266" w:type="dxa"/>
              </w:tcPr>
              <w:p w14:paraId="77C14903"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c>
              <w:tcPr>
                <w:tcW w:w="3402" w:type="dxa"/>
              </w:tcPr>
              <w:p w14:paraId="4D1AE2F0" w14:textId="77777777" w:rsidR="00F31459" w:rsidRDefault="00F31459" w:rsidP="006D59B3">
                <w:pPr>
                  <w:pBdr>
                    <w:top w:val="nil"/>
                    <w:left w:val="nil"/>
                    <w:bottom w:val="nil"/>
                    <w:right w:val="nil"/>
                    <w:between w:val="nil"/>
                  </w:pBdr>
                  <w:tabs>
                    <w:tab w:val="center" w:pos="4419"/>
                    <w:tab w:val="right" w:pos="8838"/>
                  </w:tabs>
                  <w:spacing w:after="0"/>
                  <w:rPr>
                    <w:color w:val="000000"/>
                  </w:rPr>
                </w:pPr>
              </w:p>
            </w:tc>
          </w:tr>
        </w:tbl>
        <w:p w14:paraId="3BE7BBAA" w14:textId="77777777" w:rsidR="00F31459" w:rsidRDefault="00F31459">
          <w:pPr>
            <w:pBdr>
              <w:top w:val="nil"/>
              <w:left w:val="nil"/>
              <w:bottom w:val="nil"/>
              <w:right w:val="nil"/>
              <w:between w:val="nil"/>
            </w:pBdr>
            <w:tabs>
              <w:tab w:val="center" w:pos="4419"/>
              <w:tab w:val="right" w:pos="8838"/>
            </w:tabs>
            <w:spacing w:after="0" w:line="240" w:lineRule="auto"/>
            <w:rPr>
              <w:b/>
              <w:color w:val="000000"/>
            </w:rPr>
          </w:pPr>
        </w:p>
      </w:tc>
    </w:tr>
  </w:tbl>
  <w:p w14:paraId="49A80D2B" w14:textId="77777777" w:rsidR="00F31459" w:rsidRDefault="00F3145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99D"/>
    <w:multiLevelType w:val="hybridMultilevel"/>
    <w:tmpl w:val="13DA15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A51F2"/>
    <w:multiLevelType w:val="hybridMultilevel"/>
    <w:tmpl w:val="32C03C30"/>
    <w:lvl w:ilvl="0" w:tplc="D2C094D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A271B02"/>
    <w:multiLevelType w:val="hybridMultilevel"/>
    <w:tmpl w:val="9322FC00"/>
    <w:lvl w:ilvl="0" w:tplc="C9405AE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6B7CAB"/>
    <w:multiLevelType w:val="hybridMultilevel"/>
    <w:tmpl w:val="23C0E21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155F17BC"/>
    <w:multiLevelType w:val="multilevel"/>
    <w:tmpl w:val="13DA1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52E81"/>
    <w:multiLevelType w:val="hybridMultilevel"/>
    <w:tmpl w:val="537C2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53677A"/>
    <w:multiLevelType w:val="hybridMultilevel"/>
    <w:tmpl w:val="9322FC0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80C47"/>
    <w:multiLevelType w:val="hybridMultilevel"/>
    <w:tmpl w:val="734818A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E23372"/>
    <w:multiLevelType w:val="hybridMultilevel"/>
    <w:tmpl w:val="0E4242EA"/>
    <w:lvl w:ilvl="0" w:tplc="3CCA5A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8113BD"/>
    <w:multiLevelType w:val="hybridMultilevel"/>
    <w:tmpl w:val="C8005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E960BA"/>
    <w:multiLevelType w:val="hybridMultilevel"/>
    <w:tmpl w:val="27DC76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3A0482"/>
    <w:multiLevelType w:val="hybridMultilevel"/>
    <w:tmpl w:val="45C64C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54F32E0E"/>
    <w:multiLevelType w:val="hybridMultilevel"/>
    <w:tmpl w:val="9322FC00"/>
    <w:lvl w:ilvl="0" w:tplc="C9405AE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6D5952"/>
    <w:multiLevelType w:val="hybridMultilevel"/>
    <w:tmpl w:val="B0AC23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78219F"/>
    <w:multiLevelType w:val="hybridMultilevel"/>
    <w:tmpl w:val="01660D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E45AC0"/>
    <w:multiLevelType w:val="hybridMultilevel"/>
    <w:tmpl w:val="830249C2"/>
    <w:lvl w:ilvl="0" w:tplc="C9405AE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583298"/>
    <w:multiLevelType w:val="hybridMultilevel"/>
    <w:tmpl w:val="74F45260"/>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743844"/>
    <w:multiLevelType w:val="hybridMultilevel"/>
    <w:tmpl w:val="A7B8D802"/>
    <w:lvl w:ilvl="0" w:tplc="C9405AE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F15551"/>
    <w:multiLevelType w:val="hybridMultilevel"/>
    <w:tmpl w:val="1A0A6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342904"/>
    <w:multiLevelType w:val="hybridMultilevel"/>
    <w:tmpl w:val="0658999A"/>
    <w:lvl w:ilvl="0" w:tplc="4146799E">
      <w:start w:val="1"/>
      <w:numFmt w:val="bullet"/>
      <w:lvlText w:val="-"/>
      <w:lvlJc w:val="left"/>
      <w:pPr>
        <w:ind w:left="720" w:hanging="360"/>
      </w:pPr>
      <w:rPr>
        <w:rFonts w:ascii="Palatino Linotype" w:eastAsia="Palatino Linotype"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CF3736"/>
    <w:multiLevelType w:val="hybridMultilevel"/>
    <w:tmpl w:val="A4A4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682F8A"/>
    <w:multiLevelType w:val="hybridMultilevel"/>
    <w:tmpl w:val="13DA15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831939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233683">
    <w:abstractNumId w:val="9"/>
  </w:num>
  <w:num w:numId="3" w16cid:durableId="716969626">
    <w:abstractNumId w:val="12"/>
  </w:num>
  <w:num w:numId="4" w16cid:durableId="217714002">
    <w:abstractNumId w:val="5"/>
  </w:num>
  <w:num w:numId="5" w16cid:durableId="1122769915">
    <w:abstractNumId w:val="17"/>
  </w:num>
  <w:num w:numId="6" w16cid:durableId="164176454">
    <w:abstractNumId w:val="10"/>
  </w:num>
  <w:num w:numId="7" w16cid:durableId="1895585122">
    <w:abstractNumId w:val="15"/>
  </w:num>
  <w:num w:numId="8" w16cid:durableId="859708048">
    <w:abstractNumId w:val="8"/>
  </w:num>
  <w:num w:numId="9" w16cid:durableId="1290361245">
    <w:abstractNumId w:val="1"/>
  </w:num>
  <w:num w:numId="10" w16cid:durableId="522207926">
    <w:abstractNumId w:val="14"/>
  </w:num>
  <w:num w:numId="11" w16cid:durableId="406926179">
    <w:abstractNumId w:val="13"/>
  </w:num>
  <w:num w:numId="12" w16cid:durableId="1522469386">
    <w:abstractNumId w:val="22"/>
  </w:num>
  <w:num w:numId="13" w16cid:durableId="39523390">
    <w:abstractNumId w:val="21"/>
  </w:num>
  <w:num w:numId="14" w16cid:durableId="1889874969">
    <w:abstractNumId w:val="11"/>
  </w:num>
  <w:num w:numId="15" w16cid:durableId="1640264322">
    <w:abstractNumId w:val="20"/>
  </w:num>
  <w:num w:numId="16" w16cid:durableId="1673482298">
    <w:abstractNumId w:val="18"/>
  </w:num>
  <w:num w:numId="17" w16cid:durableId="1452433382">
    <w:abstractNumId w:val="4"/>
  </w:num>
  <w:num w:numId="18" w16cid:durableId="1247498244">
    <w:abstractNumId w:val="0"/>
  </w:num>
  <w:num w:numId="19" w16cid:durableId="337123236">
    <w:abstractNumId w:val="7"/>
  </w:num>
  <w:num w:numId="20" w16cid:durableId="420225511">
    <w:abstractNumId w:val="16"/>
  </w:num>
  <w:num w:numId="21" w16cid:durableId="1818568052">
    <w:abstractNumId w:val="2"/>
  </w:num>
  <w:num w:numId="22" w16cid:durableId="489835485">
    <w:abstractNumId w:val="19"/>
  </w:num>
  <w:num w:numId="23" w16cid:durableId="1644122702">
    <w:abstractNumId w:val="6"/>
  </w:num>
  <w:num w:numId="24" w16cid:durableId="1282034444">
    <w:abstractNumId w:val="12"/>
  </w:num>
  <w:num w:numId="25" w16cid:durableId="208549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FB"/>
    <w:rsid w:val="0001652B"/>
    <w:rsid w:val="00034266"/>
    <w:rsid w:val="00052612"/>
    <w:rsid w:val="000550D1"/>
    <w:rsid w:val="000A227F"/>
    <w:rsid w:val="000A79D6"/>
    <w:rsid w:val="000C760E"/>
    <w:rsid w:val="0010287B"/>
    <w:rsid w:val="0013167E"/>
    <w:rsid w:val="00156C58"/>
    <w:rsid w:val="00176570"/>
    <w:rsid w:val="001A49D6"/>
    <w:rsid w:val="001E236D"/>
    <w:rsid w:val="001F1D70"/>
    <w:rsid w:val="00226E68"/>
    <w:rsid w:val="00235159"/>
    <w:rsid w:val="00263E75"/>
    <w:rsid w:val="00267267"/>
    <w:rsid w:val="00273E43"/>
    <w:rsid w:val="00274413"/>
    <w:rsid w:val="002E20CB"/>
    <w:rsid w:val="0030542C"/>
    <w:rsid w:val="00323AD5"/>
    <w:rsid w:val="0033459F"/>
    <w:rsid w:val="0033716C"/>
    <w:rsid w:val="003542F4"/>
    <w:rsid w:val="0036167E"/>
    <w:rsid w:val="003969AE"/>
    <w:rsid w:val="003C42DA"/>
    <w:rsid w:val="0049209D"/>
    <w:rsid w:val="004B329F"/>
    <w:rsid w:val="004C3F8C"/>
    <w:rsid w:val="004D30E5"/>
    <w:rsid w:val="00513D7D"/>
    <w:rsid w:val="00534A3C"/>
    <w:rsid w:val="00565150"/>
    <w:rsid w:val="00581952"/>
    <w:rsid w:val="00583C8D"/>
    <w:rsid w:val="005C38DE"/>
    <w:rsid w:val="005E0485"/>
    <w:rsid w:val="005F07AC"/>
    <w:rsid w:val="006047E5"/>
    <w:rsid w:val="00610054"/>
    <w:rsid w:val="00616D5F"/>
    <w:rsid w:val="006309BB"/>
    <w:rsid w:val="00631D09"/>
    <w:rsid w:val="00665657"/>
    <w:rsid w:val="006A4458"/>
    <w:rsid w:val="006D59B3"/>
    <w:rsid w:val="006E3EB7"/>
    <w:rsid w:val="00715652"/>
    <w:rsid w:val="0073047F"/>
    <w:rsid w:val="00741D19"/>
    <w:rsid w:val="00760875"/>
    <w:rsid w:val="00765CAF"/>
    <w:rsid w:val="007C2E8A"/>
    <w:rsid w:val="007F7722"/>
    <w:rsid w:val="0086302E"/>
    <w:rsid w:val="00880E0D"/>
    <w:rsid w:val="008A0D75"/>
    <w:rsid w:val="008A28F8"/>
    <w:rsid w:val="008A582A"/>
    <w:rsid w:val="008D1838"/>
    <w:rsid w:val="00944EF3"/>
    <w:rsid w:val="00946D92"/>
    <w:rsid w:val="00963D42"/>
    <w:rsid w:val="00977F19"/>
    <w:rsid w:val="00987A7B"/>
    <w:rsid w:val="009C4EFF"/>
    <w:rsid w:val="009C5C27"/>
    <w:rsid w:val="009E086A"/>
    <w:rsid w:val="00A319FB"/>
    <w:rsid w:val="00A34219"/>
    <w:rsid w:val="00A55E79"/>
    <w:rsid w:val="00AB4D43"/>
    <w:rsid w:val="00AC226B"/>
    <w:rsid w:val="00B07A91"/>
    <w:rsid w:val="00B60727"/>
    <w:rsid w:val="00B83DE0"/>
    <w:rsid w:val="00BB3109"/>
    <w:rsid w:val="00BC6749"/>
    <w:rsid w:val="00BD61C2"/>
    <w:rsid w:val="00BF1519"/>
    <w:rsid w:val="00C22637"/>
    <w:rsid w:val="00C566C4"/>
    <w:rsid w:val="00CC56FD"/>
    <w:rsid w:val="00D17EDE"/>
    <w:rsid w:val="00D540F3"/>
    <w:rsid w:val="00D767A7"/>
    <w:rsid w:val="00DA1608"/>
    <w:rsid w:val="00DB3D40"/>
    <w:rsid w:val="00DD2FED"/>
    <w:rsid w:val="00E126E5"/>
    <w:rsid w:val="00E32855"/>
    <w:rsid w:val="00E56423"/>
    <w:rsid w:val="00EB0A87"/>
    <w:rsid w:val="00EC35A4"/>
    <w:rsid w:val="00F0199B"/>
    <w:rsid w:val="00F31459"/>
    <w:rsid w:val="00F368AC"/>
    <w:rsid w:val="00F53236"/>
    <w:rsid w:val="00F71202"/>
    <w:rsid w:val="00F7427A"/>
    <w:rsid w:val="00FB7D2F"/>
    <w:rsid w:val="00FD1C26"/>
    <w:rsid w:val="00FD7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93C1"/>
  <w15:chartTrackingRefBased/>
  <w15:docId w15:val="{52947B22-E1FE-4BDE-88A1-758ABFF5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7F"/>
    <w:pPr>
      <w:spacing w:line="256" w:lineRule="auto"/>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40F3"/>
    <w:rPr>
      <w:color w:val="0563C1" w:themeColor="hyperlink"/>
      <w:u w:val="single"/>
    </w:rPr>
  </w:style>
  <w:style w:type="paragraph" w:styleId="Prrafodelista">
    <w:name w:val="List Paragraph"/>
    <w:basedOn w:val="Normal"/>
    <w:uiPriority w:val="34"/>
    <w:qFormat/>
    <w:rsid w:val="00C2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07799">
      <w:bodyDiv w:val="1"/>
      <w:marLeft w:val="0"/>
      <w:marRight w:val="0"/>
      <w:marTop w:val="0"/>
      <w:marBottom w:val="0"/>
      <w:divBdr>
        <w:top w:val="none" w:sz="0" w:space="0" w:color="auto"/>
        <w:left w:val="none" w:sz="0" w:space="0" w:color="auto"/>
        <w:bottom w:val="none" w:sz="0" w:space="0" w:color="auto"/>
        <w:right w:val="none" w:sz="0" w:space="0" w:color="auto"/>
      </w:divBdr>
    </w:div>
    <w:div w:id="1309171453">
      <w:bodyDiv w:val="1"/>
      <w:marLeft w:val="0"/>
      <w:marRight w:val="0"/>
      <w:marTop w:val="0"/>
      <w:marBottom w:val="0"/>
      <w:divBdr>
        <w:top w:val="none" w:sz="0" w:space="0" w:color="auto"/>
        <w:left w:val="none" w:sz="0" w:space="0" w:color="auto"/>
        <w:bottom w:val="none" w:sz="0" w:space="0" w:color="auto"/>
        <w:right w:val="none" w:sz="0" w:space="0" w:color="auto"/>
      </w:divBdr>
    </w:div>
    <w:div w:id="1386837412">
      <w:bodyDiv w:val="1"/>
      <w:marLeft w:val="0"/>
      <w:marRight w:val="0"/>
      <w:marTop w:val="0"/>
      <w:marBottom w:val="0"/>
      <w:divBdr>
        <w:top w:val="none" w:sz="0" w:space="0" w:color="auto"/>
        <w:left w:val="none" w:sz="0" w:space="0" w:color="auto"/>
        <w:bottom w:val="none" w:sz="0" w:space="0" w:color="auto"/>
        <w:right w:val="none" w:sz="0" w:space="0" w:color="auto"/>
      </w:divBdr>
    </w:div>
    <w:div w:id="1444960417">
      <w:bodyDiv w:val="1"/>
      <w:marLeft w:val="0"/>
      <w:marRight w:val="0"/>
      <w:marTop w:val="0"/>
      <w:marBottom w:val="0"/>
      <w:divBdr>
        <w:top w:val="none" w:sz="0" w:space="0" w:color="auto"/>
        <w:left w:val="none" w:sz="0" w:space="0" w:color="auto"/>
        <w:bottom w:val="none" w:sz="0" w:space="0" w:color="auto"/>
        <w:right w:val="none" w:sz="0" w:space="0" w:color="auto"/>
      </w:divBdr>
    </w:div>
    <w:div w:id="14687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antoniolaisla@itaipem.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teym.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2B30-09AD-42A4-9B8F-F663679A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5529</Words>
  <Characters>30414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Celi Gs</cp:lastModifiedBy>
  <cp:revision>2</cp:revision>
  <cp:lastPrinted>2024-12-05T22:26:00Z</cp:lastPrinted>
  <dcterms:created xsi:type="dcterms:W3CDTF">2024-12-11T01:57:00Z</dcterms:created>
  <dcterms:modified xsi:type="dcterms:W3CDTF">2024-12-11T01:57:00Z</dcterms:modified>
</cp:coreProperties>
</file>