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56E85" w:rsidRDefault="00AE3DA7" w:rsidP="00C56E85">
          <w:pPr>
            <w:pStyle w:val="TtulodeTDC"/>
            <w:spacing w:before="0" w:line="240" w:lineRule="auto"/>
            <w:rPr>
              <w:rFonts w:ascii="Palatino Linotype" w:hAnsi="Palatino Linotype"/>
              <w:color w:val="auto"/>
              <w:sz w:val="24"/>
              <w:szCs w:val="24"/>
              <w:lang w:val="es-ES"/>
            </w:rPr>
          </w:pPr>
          <w:r w:rsidRPr="00C56E85">
            <w:rPr>
              <w:rFonts w:ascii="Palatino Linotype" w:hAnsi="Palatino Linotype"/>
              <w:color w:val="auto"/>
              <w:sz w:val="24"/>
              <w:szCs w:val="24"/>
              <w:lang w:val="es-ES"/>
            </w:rPr>
            <w:t>Contenido</w:t>
          </w:r>
        </w:p>
        <w:p w14:paraId="3EB312A7" w14:textId="77777777" w:rsidR="00AA6EA9" w:rsidRPr="00C56E85" w:rsidRDefault="00AA6EA9" w:rsidP="00C56E85">
          <w:pPr>
            <w:spacing w:line="240" w:lineRule="auto"/>
            <w:rPr>
              <w:sz w:val="16"/>
              <w:szCs w:val="16"/>
              <w:lang w:val="es-ES" w:eastAsia="es-MX"/>
            </w:rPr>
          </w:pPr>
        </w:p>
        <w:p w14:paraId="42F74289" w14:textId="77777777" w:rsidR="00C56E85" w:rsidRDefault="00AE3DA7">
          <w:pPr>
            <w:pStyle w:val="TDC1"/>
            <w:tabs>
              <w:tab w:val="right" w:leader="dot" w:pos="9034"/>
            </w:tabs>
            <w:rPr>
              <w:rFonts w:asciiTheme="minorHAnsi" w:eastAsiaTheme="minorEastAsia" w:hAnsiTheme="minorHAnsi" w:cstheme="minorBidi"/>
              <w:noProof/>
              <w:szCs w:val="22"/>
              <w:lang w:eastAsia="es-MX"/>
            </w:rPr>
          </w:pPr>
          <w:r w:rsidRPr="00C56E85">
            <w:rPr>
              <w:sz w:val="16"/>
              <w:szCs w:val="16"/>
            </w:rPr>
            <w:fldChar w:fldCharType="begin"/>
          </w:r>
          <w:r w:rsidRPr="00C56E85">
            <w:rPr>
              <w:sz w:val="16"/>
              <w:szCs w:val="16"/>
            </w:rPr>
            <w:instrText xml:space="preserve"> TOC \o "1-3" \h \z \u </w:instrText>
          </w:r>
          <w:r w:rsidRPr="00C56E85">
            <w:rPr>
              <w:sz w:val="16"/>
              <w:szCs w:val="16"/>
            </w:rPr>
            <w:fldChar w:fldCharType="separate"/>
          </w:r>
          <w:hyperlink w:anchor="_Toc184230578" w:history="1">
            <w:r w:rsidR="00C56E85" w:rsidRPr="00493785">
              <w:rPr>
                <w:rStyle w:val="Hipervnculo"/>
                <w:noProof/>
              </w:rPr>
              <w:t>ANTECEDENTES</w:t>
            </w:r>
            <w:r w:rsidR="00C56E85">
              <w:rPr>
                <w:noProof/>
                <w:webHidden/>
              </w:rPr>
              <w:tab/>
            </w:r>
            <w:r w:rsidR="00C56E85">
              <w:rPr>
                <w:noProof/>
                <w:webHidden/>
              </w:rPr>
              <w:fldChar w:fldCharType="begin"/>
            </w:r>
            <w:r w:rsidR="00C56E85">
              <w:rPr>
                <w:noProof/>
                <w:webHidden/>
              </w:rPr>
              <w:instrText xml:space="preserve"> PAGEREF _Toc184230578 \h </w:instrText>
            </w:r>
            <w:r w:rsidR="00C56E85">
              <w:rPr>
                <w:noProof/>
                <w:webHidden/>
              </w:rPr>
            </w:r>
            <w:r w:rsidR="00C56E85">
              <w:rPr>
                <w:noProof/>
                <w:webHidden/>
              </w:rPr>
              <w:fldChar w:fldCharType="separate"/>
            </w:r>
            <w:r w:rsidR="008278F2">
              <w:rPr>
                <w:noProof/>
                <w:webHidden/>
              </w:rPr>
              <w:t>1</w:t>
            </w:r>
            <w:r w:rsidR="00C56E85">
              <w:rPr>
                <w:noProof/>
                <w:webHidden/>
              </w:rPr>
              <w:fldChar w:fldCharType="end"/>
            </w:r>
          </w:hyperlink>
        </w:p>
        <w:p w14:paraId="22C04FEC" w14:textId="77777777" w:rsidR="00C56E85" w:rsidRDefault="00086956">
          <w:pPr>
            <w:pStyle w:val="TDC2"/>
            <w:rPr>
              <w:rFonts w:asciiTheme="minorHAnsi" w:eastAsiaTheme="minorEastAsia" w:hAnsiTheme="minorHAnsi" w:cstheme="minorBidi"/>
              <w:noProof/>
              <w:szCs w:val="22"/>
              <w:lang w:eastAsia="es-MX"/>
            </w:rPr>
          </w:pPr>
          <w:hyperlink w:anchor="_Toc184230579" w:history="1">
            <w:r w:rsidR="00C56E85" w:rsidRPr="00493785">
              <w:rPr>
                <w:rStyle w:val="Hipervnculo"/>
                <w:noProof/>
              </w:rPr>
              <w:t>DE LA SOLICITUD DE INFORMACIÓN</w:t>
            </w:r>
            <w:r w:rsidR="00C56E85">
              <w:rPr>
                <w:noProof/>
                <w:webHidden/>
              </w:rPr>
              <w:tab/>
            </w:r>
            <w:r w:rsidR="00C56E85">
              <w:rPr>
                <w:noProof/>
                <w:webHidden/>
              </w:rPr>
              <w:fldChar w:fldCharType="begin"/>
            </w:r>
            <w:r w:rsidR="00C56E85">
              <w:rPr>
                <w:noProof/>
                <w:webHidden/>
              </w:rPr>
              <w:instrText xml:space="preserve"> PAGEREF _Toc184230579 \h </w:instrText>
            </w:r>
            <w:r w:rsidR="00C56E85">
              <w:rPr>
                <w:noProof/>
                <w:webHidden/>
              </w:rPr>
            </w:r>
            <w:r w:rsidR="00C56E85">
              <w:rPr>
                <w:noProof/>
                <w:webHidden/>
              </w:rPr>
              <w:fldChar w:fldCharType="separate"/>
            </w:r>
            <w:r w:rsidR="008278F2">
              <w:rPr>
                <w:noProof/>
                <w:webHidden/>
              </w:rPr>
              <w:t>1</w:t>
            </w:r>
            <w:r w:rsidR="00C56E85">
              <w:rPr>
                <w:noProof/>
                <w:webHidden/>
              </w:rPr>
              <w:fldChar w:fldCharType="end"/>
            </w:r>
          </w:hyperlink>
        </w:p>
        <w:p w14:paraId="46C6D585" w14:textId="77777777" w:rsidR="00C56E85" w:rsidRDefault="00086956">
          <w:pPr>
            <w:pStyle w:val="TDC3"/>
            <w:rPr>
              <w:rFonts w:asciiTheme="minorHAnsi" w:eastAsiaTheme="minorEastAsia" w:hAnsiTheme="minorHAnsi" w:cstheme="minorBidi"/>
              <w:noProof/>
              <w:szCs w:val="22"/>
              <w:lang w:eastAsia="es-MX"/>
            </w:rPr>
          </w:pPr>
          <w:hyperlink w:anchor="_Toc184230580" w:history="1">
            <w:r w:rsidR="00C56E85" w:rsidRPr="00493785">
              <w:rPr>
                <w:rStyle w:val="Hipervnculo"/>
                <w:noProof/>
              </w:rPr>
              <w:t>a) Solicitud de información</w:t>
            </w:r>
            <w:r w:rsidR="00C56E85">
              <w:rPr>
                <w:noProof/>
                <w:webHidden/>
              </w:rPr>
              <w:tab/>
            </w:r>
            <w:r w:rsidR="00C56E85">
              <w:rPr>
                <w:noProof/>
                <w:webHidden/>
              </w:rPr>
              <w:fldChar w:fldCharType="begin"/>
            </w:r>
            <w:r w:rsidR="00C56E85">
              <w:rPr>
                <w:noProof/>
                <w:webHidden/>
              </w:rPr>
              <w:instrText xml:space="preserve"> PAGEREF _Toc184230580 \h </w:instrText>
            </w:r>
            <w:r w:rsidR="00C56E85">
              <w:rPr>
                <w:noProof/>
                <w:webHidden/>
              </w:rPr>
            </w:r>
            <w:r w:rsidR="00C56E85">
              <w:rPr>
                <w:noProof/>
                <w:webHidden/>
              </w:rPr>
              <w:fldChar w:fldCharType="separate"/>
            </w:r>
            <w:r w:rsidR="008278F2">
              <w:rPr>
                <w:noProof/>
                <w:webHidden/>
              </w:rPr>
              <w:t>1</w:t>
            </w:r>
            <w:r w:rsidR="00C56E85">
              <w:rPr>
                <w:noProof/>
                <w:webHidden/>
              </w:rPr>
              <w:fldChar w:fldCharType="end"/>
            </w:r>
          </w:hyperlink>
        </w:p>
        <w:p w14:paraId="54FA1F6A" w14:textId="77777777" w:rsidR="00C56E85" w:rsidRDefault="00086956">
          <w:pPr>
            <w:pStyle w:val="TDC3"/>
            <w:rPr>
              <w:rFonts w:asciiTheme="minorHAnsi" w:eastAsiaTheme="minorEastAsia" w:hAnsiTheme="minorHAnsi" w:cstheme="minorBidi"/>
              <w:noProof/>
              <w:szCs w:val="22"/>
              <w:lang w:eastAsia="es-MX"/>
            </w:rPr>
          </w:pPr>
          <w:hyperlink w:anchor="_Toc184230581" w:history="1">
            <w:r w:rsidR="00C56E85" w:rsidRPr="00493785">
              <w:rPr>
                <w:rStyle w:val="Hipervnculo"/>
                <w:noProof/>
              </w:rPr>
              <w:t xml:space="preserve">b) </w:t>
            </w:r>
            <w:r w:rsidR="00C56E85" w:rsidRPr="00493785">
              <w:rPr>
                <w:rStyle w:val="Hipervnculo"/>
                <w:noProof/>
                <w:lang w:val="es-ES"/>
              </w:rPr>
              <w:t xml:space="preserve">Respuesta </w:t>
            </w:r>
            <w:r w:rsidR="00C56E85" w:rsidRPr="00493785">
              <w:rPr>
                <w:rStyle w:val="Hipervnculo"/>
                <w:rFonts w:eastAsia="Calibri"/>
                <w:noProof/>
                <w:lang w:eastAsia="en-US"/>
              </w:rPr>
              <w:t>del Sujeto Obligado</w:t>
            </w:r>
            <w:r w:rsidR="00C56E85">
              <w:rPr>
                <w:noProof/>
                <w:webHidden/>
              </w:rPr>
              <w:tab/>
            </w:r>
            <w:r w:rsidR="00C56E85">
              <w:rPr>
                <w:noProof/>
                <w:webHidden/>
              </w:rPr>
              <w:fldChar w:fldCharType="begin"/>
            </w:r>
            <w:r w:rsidR="00C56E85">
              <w:rPr>
                <w:noProof/>
                <w:webHidden/>
              </w:rPr>
              <w:instrText xml:space="preserve"> PAGEREF _Toc184230581 \h </w:instrText>
            </w:r>
            <w:r w:rsidR="00C56E85">
              <w:rPr>
                <w:noProof/>
                <w:webHidden/>
              </w:rPr>
            </w:r>
            <w:r w:rsidR="00C56E85">
              <w:rPr>
                <w:noProof/>
                <w:webHidden/>
              </w:rPr>
              <w:fldChar w:fldCharType="separate"/>
            </w:r>
            <w:r w:rsidR="008278F2">
              <w:rPr>
                <w:noProof/>
                <w:webHidden/>
              </w:rPr>
              <w:t>2</w:t>
            </w:r>
            <w:r w:rsidR="00C56E85">
              <w:rPr>
                <w:noProof/>
                <w:webHidden/>
              </w:rPr>
              <w:fldChar w:fldCharType="end"/>
            </w:r>
          </w:hyperlink>
        </w:p>
        <w:p w14:paraId="1A940605" w14:textId="77777777" w:rsidR="00C56E85" w:rsidRDefault="00086956">
          <w:pPr>
            <w:pStyle w:val="TDC2"/>
            <w:rPr>
              <w:rFonts w:asciiTheme="minorHAnsi" w:eastAsiaTheme="minorEastAsia" w:hAnsiTheme="minorHAnsi" w:cstheme="minorBidi"/>
              <w:noProof/>
              <w:szCs w:val="22"/>
              <w:lang w:eastAsia="es-MX"/>
            </w:rPr>
          </w:pPr>
          <w:hyperlink w:anchor="_Toc184230582" w:history="1">
            <w:r w:rsidR="00C56E85" w:rsidRPr="00493785">
              <w:rPr>
                <w:rStyle w:val="Hipervnculo"/>
                <w:noProof/>
              </w:rPr>
              <w:t>DEL RECURSO DE REVISIÓN</w:t>
            </w:r>
            <w:r w:rsidR="00C56E85">
              <w:rPr>
                <w:noProof/>
                <w:webHidden/>
              </w:rPr>
              <w:tab/>
            </w:r>
            <w:r w:rsidR="00C56E85">
              <w:rPr>
                <w:noProof/>
                <w:webHidden/>
              </w:rPr>
              <w:fldChar w:fldCharType="begin"/>
            </w:r>
            <w:r w:rsidR="00C56E85">
              <w:rPr>
                <w:noProof/>
                <w:webHidden/>
              </w:rPr>
              <w:instrText xml:space="preserve"> PAGEREF _Toc184230582 \h </w:instrText>
            </w:r>
            <w:r w:rsidR="00C56E85">
              <w:rPr>
                <w:noProof/>
                <w:webHidden/>
              </w:rPr>
            </w:r>
            <w:r w:rsidR="00C56E85">
              <w:rPr>
                <w:noProof/>
                <w:webHidden/>
              </w:rPr>
              <w:fldChar w:fldCharType="separate"/>
            </w:r>
            <w:r w:rsidR="008278F2">
              <w:rPr>
                <w:noProof/>
                <w:webHidden/>
              </w:rPr>
              <w:t>3</w:t>
            </w:r>
            <w:r w:rsidR="00C56E85">
              <w:rPr>
                <w:noProof/>
                <w:webHidden/>
              </w:rPr>
              <w:fldChar w:fldCharType="end"/>
            </w:r>
          </w:hyperlink>
        </w:p>
        <w:p w14:paraId="3BB79F7F" w14:textId="77777777" w:rsidR="00C56E85" w:rsidRDefault="00086956">
          <w:pPr>
            <w:pStyle w:val="TDC3"/>
            <w:rPr>
              <w:rFonts w:asciiTheme="minorHAnsi" w:eastAsiaTheme="minorEastAsia" w:hAnsiTheme="minorHAnsi" w:cstheme="minorBidi"/>
              <w:noProof/>
              <w:szCs w:val="22"/>
              <w:lang w:eastAsia="es-MX"/>
            </w:rPr>
          </w:pPr>
          <w:hyperlink w:anchor="_Toc184230583" w:history="1">
            <w:r w:rsidR="00C56E85" w:rsidRPr="00493785">
              <w:rPr>
                <w:rStyle w:val="Hipervnculo"/>
                <w:noProof/>
              </w:rPr>
              <w:t>a) Interposición del Recurso de Revisión</w:t>
            </w:r>
            <w:r w:rsidR="00C56E85">
              <w:rPr>
                <w:noProof/>
                <w:webHidden/>
              </w:rPr>
              <w:tab/>
            </w:r>
            <w:r w:rsidR="00C56E85">
              <w:rPr>
                <w:noProof/>
                <w:webHidden/>
              </w:rPr>
              <w:fldChar w:fldCharType="begin"/>
            </w:r>
            <w:r w:rsidR="00C56E85">
              <w:rPr>
                <w:noProof/>
                <w:webHidden/>
              </w:rPr>
              <w:instrText xml:space="preserve"> PAGEREF _Toc184230583 \h </w:instrText>
            </w:r>
            <w:r w:rsidR="00C56E85">
              <w:rPr>
                <w:noProof/>
                <w:webHidden/>
              </w:rPr>
            </w:r>
            <w:r w:rsidR="00C56E85">
              <w:rPr>
                <w:noProof/>
                <w:webHidden/>
              </w:rPr>
              <w:fldChar w:fldCharType="separate"/>
            </w:r>
            <w:r w:rsidR="008278F2">
              <w:rPr>
                <w:noProof/>
                <w:webHidden/>
              </w:rPr>
              <w:t>3</w:t>
            </w:r>
            <w:r w:rsidR="00C56E85">
              <w:rPr>
                <w:noProof/>
                <w:webHidden/>
              </w:rPr>
              <w:fldChar w:fldCharType="end"/>
            </w:r>
          </w:hyperlink>
        </w:p>
        <w:p w14:paraId="0E6E8F06" w14:textId="77777777" w:rsidR="00C56E85" w:rsidRDefault="00086956">
          <w:pPr>
            <w:pStyle w:val="TDC3"/>
            <w:rPr>
              <w:rFonts w:asciiTheme="minorHAnsi" w:eastAsiaTheme="minorEastAsia" w:hAnsiTheme="minorHAnsi" w:cstheme="minorBidi"/>
              <w:noProof/>
              <w:szCs w:val="22"/>
              <w:lang w:eastAsia="es-MX"/>
            </w:rPr>
          </w:pPr>
          <w:hyperlink w:anchor="_Toc184230584" w:history="1">
            <w:r w:rsidR="00C56E85" w:rsidRPr="00493785">
              <w:rPr>
                <w:rStyle w:val="Hipervnculo"/>
                <w:noProof/>
              </w:rPr>
              <w:t>b) Turno del Recurso de Revisión</w:t>
            </w:r>
            <w:r w:rsidR="00C56E85">
              <w:rPr>
                <w:noProof/>
                <w:webHidden/>
              </w:rPr>
              <w:tab/>
            </w:r>
            <w:r w:rsidR="00C56E85">
              <w:rPr>
                <w:noProof/>
                <w:webHidden/>
              </w:rPr>
              <w:fldChar w:fldCharType="begin"/>
            </w:r>
            <w:r w:rsidR="00C56E85">
              <w:rPr>
                <w:noProof/>
                <w:webHidden/>
              </w:rPr>
              <w:instrText xml:space="preserve"> PAGEREF _Toc184230584 \h </w:instrText>
            </w:r>
            <w:r w:rsidR="00C56E85">
              <w:rPr>
                <w:noProof/>
                <w:webHidden/>
              </w:rPr>
            </w:r>
            <w:r w:rsidR="00C56E85">
              <w:rPr>
                <w:noProof/>
                <w:webHidden/>
              </w:rPr>
              <w:fldChar w:fldCharType="separate"/>
            </w:r>
            <w:r w:rsidR="008278F2">
              <w:rPr>
                <w:noProof/>
                <w:webHidden/>
              </w:rPr>
              <w:t>3</w:t>
            </w:r>
            <w:r w:rsidR="00C56E85">
              <w:rPr>
                <w:noProof/>
                <w:webHidden/>
              </w:rPr>
              <w:fldChar w:fldCharType="end"/>
            </w:r>
          </w:hyperlink>
        </w:p>
        <w:p w14:paraId="4271A263" w14:textId="77777777" w:rsidR="00C56E85" w:rsidRDefault="00086956">
          <w:pPr>
            <w:pStyle w:val="TDC3"/>
            <w:rPr>
              <w:rFonts w:asciiTheme="minorHAnsi" w:eastAsiaTheme="minorEastAsia" w:hAnsiTheme="minorHAnsi" w:cstheme="minorBidi"/>
              <w:noProof/>
              <w:szCs w:val="22"/>
              <w:lang w:eastAsia="es-MX"/>
            </w:rPr>
          </w:pPr>
          <w:hyperlink w:anchor="_Toc184230585" w:history="1">
            <w:r w:rsidR="00C56E85" w:rsidRPr="00493785">
              <w:rPr>
                <w:rStyle w:val="Hipervnculo"/>
                <w:noProof/>
              </w:rPr>
              <w:t>c) Admisión del Recurso de Revisión</w:t>
            </w:r>
            <w:r w:rsidR="00C56E85">
              <w:rPr>
                <w:noProof/>
                <w:webHidden/>
              </w:rPr>
              <w:tab/>
            </w:r>
            <w:r w:rsidR="00C56E85">
              <w:rPr>
                <w:noProof/>
                <w:webHidden/>
              </w:rPr>
              <w:fldChar w:fldCharType="begin"/>
            </w:r>
            <w:r w:rsidR="00C56E85">
              <w:rPr>
                <w:noProof/>
                <w:webHidden/>
              </w:rPr>
              <w:instrText xml:space="preserve"> PAGEREF _Toc184230585 \h </w:instrText>
            </w:r>
            <w:r w:rsidR="00C56E85">
              <w:rPr>
                <w:noProof/>
                <w:webHidden/>
              </w:rPr>
            </w:r>
            <w:r w:rsidR="00C56E85">
              <w:rPr>
                <w:noProof/>
                <w:webHidden/>
              </w:rPr>
              <w:fldChar w:fldCharType="separate"/>
            </w:r>
            <w:r w:rsidR="008278F2">
              <w:rPr>
                <w:noProof/>
                <w:webHidden/>
              </w:rPr>
              <w:t>3</w:t>
            </w:r>
            <w:r w:rsidR="00C56E85">
              <w:rPr>
                <w:noProof/>
                <w:webHidden/>
              </w:rPr>
              <w:fldChar w:fldCharType="end"/>
            </w:r>
          </w:hyperlink>
        </w:p>
        <w:p w14:paraId="1C6F7533" w14:textId="77777777" w:rsidR="00C56E85" w:rsidRDefault="00086956">
          <w:pPr>
            <w:pStyle w:val="TDC3"/>
            <w:rPr>
              <w:rFonts w:asciiTheme="minorHAnsi" w:eastAsiaTheme="minorEastAsia" w:hAnsiTheme="minorHAnsi" w:cstheme="minorBidi"/>
              <w:noProof/>
              <w:szCs w:val="22"/>
              <w:lang w:eastAsia="es-MX"/>
            </w:rPr>
          </w:pPr>
          <w:hyperlink w:anchor="_Toc184230586" w:history="1">
            <w:r w:rsidR="00C56E85" w:rsidRPr="00493785">
              <w:rPr>
                <w:rStyle w:val="Hipervnculo"/>
                <w:noProof/>
              </w:rPr>
              <w:t>d) Informe Justificado del Sujeto Obligado</w:t>
            </w:r>
            <w:r w:rsidR="00C56E85">
              <w:rPr>
                <w:noProof/>
                <w:webHidden/>
              </w:rPr>
              <w:tab/>
            </w:r>
            <w:r w:rsidR="00C56E85">
              <w:rPr>
                <w:noProof/>
                <w:webHidden/>
              </w:rPr>
              <w:fldChar w:fldCharType="begin"/>
            </w:r>
            <w:r w:rsidR="00C56E85">
              <w:rPr>
                <w:noProof/>
                <w:webHidden/>
              </w:rPr>
              <w:instrText xml:space="preserve"> PAGEREF _Toc184230586 \h </w:instrText>
            </w:r>
            <w:r w:rsidR="00C56E85">
              <w:rPr>
                <w:noProof/>
                <w:webHidden/>
              </w:rPr>
            </w:r>
            <w:r w:rsidR="00C56E85">
              <w:rPr>
                <w:noProof/>
                <w:webHidden/>
              </w:rPr>
              <w:fldChar w:fldCharType="separate"/>
            </w:r>
            <w:r w:rsidR="008278F2">
              <w:rPr>
                <w:noProof/>
                <w:webHidden/>
              </w:rPr>
              <w:t>4</w:t>
            </w:r>
            <w:r w:rsidR="00C56E85">
              <w:rPr>
                <w:noProof/>
                <w:webHidden/>
              </w:rPr>
              <w:fldChar w:fldCharType="end"/>
            </w:r>
          </w:hyperlink>
        </w:p>
        <w:p w14:paraId="7AEFF912" w14:textId="77777777" w:rsidR="00C56E85" w:rsidRDefault="00086956">
          <w:pPr>
            <w:pStyle w:val="TDC3"/>
            <w:rPr>
              <w:rFonts w:asciiTheme="minorHAnsi" w:eastAsiaTheme="minorEastAsia" w:hAnsiTheme="minorHAnsi" w:cstheme="minorBidi"/>
              <w:noProof/>
              <w:szCs w:val="22"/>
              <w:lang w:eastAsia="es-MX"/>
            </w:rPr>
          </w:pPr>
          <w:hyperlink w:anchor="_Toc184230587" w:history="1">
            <w:r w:rsidR="00C56E85" w:rsidRPr="00493785">
              <w:rPr>
                <w:rStyle w:val="Hipervnculo"/>
                <w:rFonts w:eastAsia="Calibri"/>
                <w:bCs/>
                <w:noProof/>
                <w:lang w:eastAsia="en-US"/>
              </w:rPr>
              <w:t>e)</w:t>
            </w:r>
            <w:r w:rsidR="00C56E85" w:rsidRPr="00493785">
              <w:rPr>
                <w:rStyle w:val="Hipervnculo"/>
                <w:noProof/>
              </w:rPr>
              <w:t xml:space="preserve"> </w:t>
            </w:r>
            <w:r w:rsidR="00C56E85" w:rsidRPr="00493785">
              <w:rPr>
                <w:rStyle w:val="Hipervnculo"/>
                <w:noProof/>
                <w:lang w:val="es-ES"/>
              </w:rPr>
              <w:t>Manifestaciones de la Parte Recurrente</w:t>
            </w:r>
            <w:r w:rsidR="00C56E85">
              <w:rPr>
                <w:noProof/>
                <w:webHidden/>
              </w:rPr>
              <w:tab/>
            </w:r>
            <w:r w:rsidR="00C56E85">
              <w:rPr>
                <w:noProof/>
                <w:webHidden/>
              </w:rPr>
              <w:fldChar w:fldCharType="begin"/>
            </w:r>
            <w:r w:rsidR="00C56E85">
              <w:rPr>
                <w:noProof/>
                <w:webHidden/>
              </w:rPr>
              <w:instrText xml:space="preserve"> PAGEREF _Toc184230587 \h </w:instrText>
            </w:r>
            <w:r w:rsidR="00C56E85">
              <w:rPr>
                <w:noProof/>
                <w:webHidden/>
              </w:rPr>
            </w:r>
            <w:r w:rsidR="00C56E85">
              <w:rPr>
                <w:noProof/>
                <w:webHidden/>
              </w:rPr>
              <w:fldChar w:fldCharType="separate"/>
            </w:r>
            <w:r w:rsidR="008278F2">
              <w:rPr>
                <w:noProof/>
                <w:webHidden/>
              </w:rPr>
              <w:t>4</w:t>
            </w:r>
            <w:r w:rsidR="00C56E85">
              <w:rPr>
                <w:noProof/>
                <w:webHidden/>
              </w:rPr>
              <w:fldChar w:fldCharType="end"/>
            </w:r>
          </w:hyperlink>
        </w:p>
        <w:p w14:paraId="633315AF" w14:textId="77777777" w:rsidR="00C56E85" w:rsidRDefault="00086956">
          <w:pPr>
            <w:pStyle w:val="TDC3"/>
            <w:rPr>
              <w:rFonts w:asciiTheme="minorHAnsi" w:eastAsiaTheme="minorEastAsia" w:hAnsiTheme="minorHAnsi" w:cstheme="minorBidi"/>
              <w:noProof/>
              <w:szCs w:val="22"/>
              <w:lang w:eastAsia="es-MX"/>
            </w:rPr>
          </w:pPr>
          <w:hyperlink w:anchor="_Toc184230588" w:history="1">
            <w:r w:rsidR="00C56E85" w:rsidRPr="00493785">
              <w:rPr>
                <w:rStyle w:val="Hipervnculo"/>
                <w:rFonts w:eastAsia="Calibri"/>
                <w:noProof/>
              </w:rPr>
              <w:t xml:space="preserve">f) </w:t>
            </w:r>
            <w:r w:rsidR="00C56E85" w:rsidRPr="00493785">
              <w:rPr>
                <w:rStyle w:val="Hipervnculo"/>
                <w:noProof/>
              </w:rPr>
              <w:t>Cierre de instrucción</w:t>
            </w:r>
            <w:r w:rsidR="00C56E85">
              <w:rPr>
                <w:noProof/>
                <w:webHidden/>
              </w:rPr>
              <w:tab/>
            </w:r>
            <w:r w:rsidR="00C56E85">
              <w:rPr>
                <w:noProof/>
                <w:webHidden/>
              </w:rPr>
              <w:fldChar w:fldCharType="begin"/>
            </w:r>
            <w:r w:rsidR="00C56E85">
              <w:rPr>
                <w:noProof/>
                <w:webHidden/>
              </w:rPr>
              <w:instrText xml:space="preserve"> PAGEREF _Toc184230588 \h </w:instrText>
            </w:r>
            <w:r w:rsidR="00C56E85">
              <w:rPr>
                <w:noProof/>
                <w:webHidden/>
              </w:rPr>
            </w:r>
            <w:r w:rsidR="00C56E85">
              <w:rPr>
                <w:noProof/>
                <w:webHidden/>
              </w:rPr>
              <w:fldChar w:fldCharType="separate"/>
            </w:r>
            <w:r w:rsidR="008278F2">
              <w:rPr>
                <w:noProof/>
                <w:webHidden/>
              </w:rPr>
              <w:t>4</w:t>
            </w:r>
            <w:r w:rsidR="00C56E85">
              <w:rPr>
                <w:noProof/>
                <w:webHidden/>
              </w:rPr>
              <w:fldChar w:fldCharType="end"/>
            </w:r>
          </w:hyperlink>
        </w:p>
        <w:p w14:paraId="39D3B503" w14:textId="77777777" w:rsidR="00C56E85" w:rsidRDefault="00086956">
          <w:pPr>
            <w:pStyle w:val="TDC1"/>
            <w:tabs>
              <w:tab w:val="right" w:leader="dot" w:pos="9034"/>
            </w:tabs>
            <w:rPr>
              <w:rFonts w:asciiTheme="minorHAnsi" w:eastAsiaTheme="minorEastAsia" w:hAnsiTheme="minorHAnsi" w:cstheme="minorBidi"/>
              <w:noProof/>
              <w:szCs w:val="22"/>
              <w:lang w:eastAsia="es-MX"/>
            </w:rPr>
          </w:pPr>
          <w:hyperlink w:anchor="_Toc184230589" w:history="1">
            <w:r w:rsidR="00C56E85" w:rsidRPr="00493785">
              <w:rPr>
                <w:rStyle w:val="Hipervnculo"/>
                <w:rFonts w:eastAsiaTheme="minorHAnsi"/>
                <w:noProof/>
                <w:lang w:eastAsia="en-US"/>
              </w:rPr>
              <w:t>CONSIDERANDOS</w:t>
            </w:r>
            <w:r w:rsidR="00C56E85">
              <w:rPr>
                <w:noProof/>
                <w:webHidden/>
              </w:rPr>
              <w:tab/>
            </w:r>
            <w:r w:rsidR="00C56E85">
              <w:rPr>
                <w:noProof/>
                <w:webHidden/>
              </w:rPr>
              <w:fldChar w:fldCharType="begin"/>
            </w:r>
            <w:r w:rsidR="00C56E85">
              <w:rPr>
                <w:noProof/>
                <w:webHidden/>
              </w:rPr>
              <w:instrText xml:space="preserve"> PAGEREF _Toc184230589 \h </w:instrText>
            </w:r>
            <w:r w:rsidR="00C56E85">
              <w:rPr>
                <w:noProof/>
                <w:webHidden/>
              </w:rPr>
            </w:r>
            <w:r w:rsidR="00C56E85">
              <w:rPr>
                <w:noProof/>
                <w:webHidden/>
              </w:rPr>
              <w:fldChar w:fldCharType="separate"/>
            </w:r>
            <w:r w:rsidR="008278F2">
              <w:rPr>
                <w:noProof/>
                <w:webHidden/>
              </w:rPr>
              <w:t>5</w:t>
            </w:r>
            <w:r w:rsidR="00C56E85">
              <w:rPr>
                <w:noProof/>
                <w:webHidden/>
              </w:rPr>
              <w:fldChar w:fldCharType="end"/>
            </w:r>
          </w:hyperlink>
        </w:p>
        <w:p w14:paraId="09D41726" w14:textId="77777777" w:rsidR="00C56E85" w:rsidRDefault="00086956">
          <w:pPr>
            <w:pStyle w:val="TDC2"/>
            <w:rPr>
              <w:rFonts w:asciiTheme="minorHAnsi" w:eastAsiaTheme="minorEastAsia" w:hAnsiTheme="minorHAnsi" w:cstheme="minorBidi"/>
              <w:noProof/>
              <w:szCs w:val="22"/>
              <w:lang w:eastAsia="es-MX"/>
            </w:rPr>
          </w:pPr>
          <w:hyperlink w:anchor="_Toc184230590" w:history="1">
            <w:r w:rsidR="00C56E85" w:rsidRPr="00493785">
              <w:rPr>
                <w:rStyle w:val="Hipervnculo"/>
                <w:rFonts w:eastAsia="Batang"/>
                <w:noProof/>
              </w:rPr>
              <w:t>PRIMERO. Procedibilidad</w:t>
            </w:r>
            <w:r w:rsidR="00C56E85">
              <w:rPr>
                <w:noProof/>
                <w:webHidden/>
              </w:rPr>
              <w:tab/>
            </w:r>
            <w:r w:rsidR="00C56E85">
              <w:rPr>
                <w:noProof/>
                <w:webHidden/>
              </w:rPr>
              <w:fldChar w:fldCharType="begin"/>
            </w:r>
            <w:r w:rsidR="00C56E85">
              <w:rPr>
                <w:noProof/>
                <w:webHidden/>
              </w:rPr>
              <w:instrText xml:space="preserve"> PAGEREF _Toc184230590 \h </w:instrText>
            </w:r>
            <w:r w:rsidR="00C56E85">
              <w:rPr>
                <w:noProof/>
                <w:webHidden/>
              </w:rPr>
            </w:r>
            <w:r w:rsidR="00C56E85">
              <w:rPr>
                <w:noProof/>
                <w:webHidden/>
              </w:rPr>
              <w:fldChar w:fldCharType="separate"/>
            </w:r>
            <w:r w:rsidR="008278F2">
              <w:rPr>
                <w:noProof/>
                <w:webHidden/>
              </w:rPr>
              <w:t>5</w:t>
            </w:r>
            <w:r w:rsidR="00C56E85">
              <w:rPr>
                <w:noProof/>
                <w:webHidden/>
              </w:rPr>
              <w:fldChar w:fldCharType="end"/>
            </w:r>
          </w:hyperlink>
        </w:p>
        <w:p w14:paraId="2888C53A" w14:textId="77777777" w:rsidR="00C56E85" w:rsidRDefault="00086956">
          <w:pPr>
            <w:pStyle w:val="TDC3"/>
            <w:rPr>
              <w:rFonts w:asciiTheme="minorHAnsi" w:eastAsiaTheme="minorEastAsia" w:hAnsiTheme="minorHAnsi" w:cstheme="minorBidi"/>
              <w:noProof/>
              <w:szCs w:val="22"/>
              <w:lang w:eastAsia="es-MX"/>
            </w:rPr>
          </w:pPr>
          <w:hyperlink w:anchor="_Toc184230591" w:history="1">
            <w:r w:rsidR="00C56E85" w:rsidRPr="00493785">
              <w:rPr>
                <w:rStyle w:val="Hipervnculo"/>
                <w:noProof/>
              </w:rPr>
              <w:t>a) Competencia del Instituto</w:t>
            </w:r>
            <w:r w:rsidR="00C56E85">
              <w:rPr>
                <w:noProof/>
                <w:webHidden/>
              </w:rPr>
              <w:tab/>
            </w:r>
            <w:r w:rsidR="00C56E85">
              <w:rPr>
                <w:noProof/>
                <w:webHidden/>
              </w:rPr>
              <w:fldChar w:fldCharType="begin"/>
            </w:r>
            <w:r w:rsidR="00C56E85">
              <w:rPr>
                <w:noProof/>
                <w:webHidden/>
              </w:rPr>
              <w:instrText xml:space="preserve"> PAGEREF _Toc184230591 \h </w:instrText>
            </w:r>
            <w:r w:rsidR="00C56E85">
              <w:rPr>
                <w:noProof/>
                <w:webHidden/>
              </w:rPr>
            </w:r>
            <w:r w:rsidR="00C56E85">
              <w:rPr>
                <w:noProof/>
                <w:webHidden/>
              </w:rPr>
              <w:fldChar w:fldCharType="separate"/>
            </w:r>
            <w:r w:rsidR="008278F2">
              <w:rPr>
                <w:noProof/>
                <w:webHidden/>
              </w:rPr>
              <w:t>5</w:t>
            </w:r>
            <w:r w:rsidR="00C56E85">
              <w:rPr>
                <w:noProof/>
                <w:webHidden/>
              </w:rPr>
              <w:fldChar w:fldCharType="end"/>
            </w:r>
          </w:hyperlink>
        </w:p>
        <w:p w14:paraId="2203134B" w14:textId="77777777" w:rsidR="00C56E85" w:rsidRDefault="00086956">
          <w:pPr>
            <w:pStyle w:val="TDC3"/>
            <w:rPr>
              <w:rFonts w:asciiTheme="minorHAnsi" w:eastAsiaTheme="minorEastAsia" w:hAnsiTheme="minorHAnsi" w:cstheme="minorBidi"/>
              <w:noProof/>
              <w:szCs w:val="22"/>
              <w:lang w:eastAsia="es-MX"/>
            </w:rPr>
          </w:pPr>
          <w:hyperlink w:anchor="_Toc184230592" w:history="1">
            <w:r w:rsidR="00C56E85" w:rsidRPr="00493785">
              <w:rPr>
                <w:rStyle w:val="Hipervnculo"/>
                <w:noProof/>
              </w:rPr>
              <w:t>b) Legitimidad de la parte recurrente</w:t>
            </w:r>
            <w:r w:rsidR="00C56E85">
              <w:rPr>
                <w:noProof/>
                <w:webHidden/>
              </w:rPr>
              <w:tab/>
            </w:r>
            <w:r w:rsidR="00C56E85">
              <w:rPr>
                <w:noProof/>
                <w:webHidden/>
              </w:rPr>
              <w:fldChar w:fldCharType="begin"/>
            </w:r>
            <w:r w:rsidR="00C56E85">
              <w:rPr>
                <w:noProof/>
                <w:webHidden/>
              </w:rPr>
              <w:instrText xml:space="preserve"> PAGEREF _Toc184230592 \h </w:instrText>
            </w:r>
            <w:r w:rsidR="00C56E85">
              <w:rPr>
                <w:noProof/>
                <w:webHidden/>
              </w:rPr>
            </w:r>
            <w:r w:rsidR="00C56E85">
              <w:rPr>
                <w:noProof/>
                <w:webHidden/>
              </w:rPr>
              <w:fldChar w:fldCharType="separate"/>
            </w:r>
            <w:r w:rsidR="008278F2">
              <w:rPr>
                <w:noProof/>
                <w:webHidden/>
              </w:rPr>
              <w:t>5</w:t>
            </w:r>
            <w:r w:rsidR="00C56E85">
              <w:rPr>
                <w:noProof/>
                <w:webHidden/>
              </w:rPr>
              <w:fldChar w:fldCharType="end"/>
            </w:r>
          </w:hyperlink>
        </w:p>
        <w:p w14:paraId="6B07FA30" w14:textId="77777777" w:rsidR="00C56E85" w:rsidRDefault="00086956">
          <w:pPr>
            <w:pStyle w:val="TDC3"/>
            <w:rPr>
              <w:rFonts w:asciiTheme="minorHAnsi" w:eastAsiaTheme="minorEastAsia" w:hAnsiTheme="minorHAnsi" w:cstheme="minorBidi"/>
              <w:noProof/>
              <w:szCs w:val="22"/>
              <w:lang w:eastAsia="es-MX"/>
            </w:rPr>
          </w:pPr>
          <w:hyperlink w:anchor="_Toc184230593" w:history="1">
            <w:r w:rsidR="00C56E85" w:rsidRPr="00493785">
              <w:rPr>
                <w:rStyle w:val="Hipervnculo"/>
                <w:rFonts w:eastAsia="Calibri"/>
                <w:noProof/>
                <w:lang w:eastAsia="es-ES_tradnl"/>
              </w:rPr>
              <w:t>c) Plazo para interponer el recurso</w:t>
            </w:r>
            <w:r w:rsidR="00C56E85">
              <w:rPr>
                <w:noProof/>
                <w:webHidden/>
              </w:rPr>
              <w:tab/>
            </w:r>
            <w:r w:rsidR="00C56E85">
              <w:rPr>
                <w:noProof/>
                <w:webHidden/>
              </w:rPr>
              <w:fldChar w:fldCharType="begin"/>
            </w:r>
            <w:r w:rsidR="00C56E85">
              <w:rPr>
                <w:noProof/>
                <w:webHidden/>
              </w:rPr>
              <w:instrText xml:space="preserve"> PAGEREF _Toc184230593 \h </w:instrText>
            </w:r>
            <w:r w:rsidR="00C56E85">
              <w:rPr>
                <w:noProof/>
                <w:webHidden/>
              </w:rPr>
            </w:r>
            <w:r w:rsidR="00C56E85">
              <w:rPr>
                <w:noProof/>
                <w:webHidden/>
              </w:rPr>
              <w:fldChar w:fldCharType="separate"/>
            </w:r>
            <w:r w:rsidR="008278F2">
              <w:rPr>
                <w:noProof/>
                <w:webHidden/>
              </w:rPr>
              <w:t>5</w:t>
            </w:r>
            <w:r w:rsidR="00C56E85">
              <w:rPr>
                <w:noProof/>
                <w:webHidden/>
              </w:rPr>
              <w:fldChar w:fldCharType="end"/>
            </w:r>
          </w:hyperlink>
        </w:p>
        <w:p w14:paraId="2C15EA64" w14:textId="77777777" w:rsidR="00C56E85" w:rsidRDefault="00086956">
          <w:pPr>
            <w:pStyle w:val="TDC3"/>
            <w:rPr>
              <w:rFonts w:asciiTheme="minorHAnsi" w:eastAsiaTheme="minorEastAsia" w:hAnsiTheme="minorHAnsi" w:cstheme="minorBidi"/>
              <w:noProof/>
              <w:szCs w:val="22"/>
              <w:lang w:eastAsia="es-MX"/>
            </w:rPr>
          </w:pPr>
          <w:hyperlink w:anchor="_Toc184230594" w:history="1">
            <w:r w:rsidR="00C56E85" w:rsidRPr="00493785">
              <w:rPr>
                <w:rStyle w:val="Hipervnculo"/>
                <w:rFonts w:eastAsia="Calibri"/>
                <w:noProof/>
                <w:lang w:eastAsia="es-ES_tradnl"/>
              </w:rPr>
              <w:t>d) Causal de Procedencia</w:t>
            </w:r>
            <w:r w:rsidR="00C56E85">
              <w:rPr>
                <w:noProof/>
                <w:webHidden/>
              </w:rPr>
              <w:tab/>
            </w:r>
            <w:r w:rsidR="00C56E85">
              <w:rPr>
                <w:noProof/>
                <w:webHidden/>
              </w:rPr>
              <w:fldChar w:fldCharType="begin"/>
            </w:r>
            <w:r w:rsidR="00C56E85">
              <w:rPr>
                <w:noProof/>
                <w:webHidden/>
              </w:rPr>
              <w:instrText xml:space="preserve"> PAGEREF _Toc184230594 \h </w:instrText>
            </w:r>
            <w:r w:rsidR="00C56E85">
              <w:rPr>
                <w:noProof/>
                <w:webHidden/>
              </w:rPr>
            </w:r>
            <w:r w:rsidR="00C56E85">
              <w:rPr>
                <w:noProof/>
                <w:webHidden/>
              </w:rPr>
              <w:fldChar w:fldCharType="separate"/>
            </w:r>
            <w:r w:rsidR="008278F2">
              <w:rPr>
                <w:noProof/>
                <w:webHidden/>
              </w:rPr>
              <w:t>6</w:t>
            </w:r>
            <w:r w:rsidR="00C56E85">
              <w:rPr>
                <w:noProof/>
                <w:webHidden/>
              </w:rPr>
              <w:fldChar w:fldCharType="end"/>
            </w:r>
          </w:hyperlink>
        </w:p>
        <w:p w14:paraId="5FCDC7FB" w14:textId="77777777" w:rsidR="00C56E85" w:rsidRDefault="00086956">
          <w:pPr>
            <w:pStyle w:val="TDC3"/>
            <w:rPr>
              <w:rFonts w:asciiTheme="minorHAnsi" w:eastAsiaTheme="minorEastAsia" w:hAnsiTheme="minorHAnsi" w:cstheme="minorBidi"/>
              <w:noProof/>
              <w:szCs w:val="22"/>
              <w:lang w:eastAsia="es-MX"/>
            </w:rPr>
          </w:pPr>
          <w:hyperlink w:anchor="_Toc184230595" w:history="1">
            <w:r w:rsidR="00C56E85" w:rsidRPr="00493785">
              <w:rPr>
                <w:rStyle w:val="Hipervnculo"/>
                <w:noProof/>
              </w:rPr>
              <w:t>e) Requisitos formales para la interposición del recurso</w:t>
            </w:r>
            <w:r w:rsidR="00C56E85">
              <w:rPr>
                <w:noProof/>
                <w:webHidden/>
              </w:rPr>
              <w:tab/>
            </w:r>
            <w:r w:rsidR="00C56E85">
              <w:rPr>
                <w:noProof/>
                <w:webHidden/>
              </w:rPr>
              <w:fldChar w:fldCharType="begin"/>
            </w:r>
            <w:r w:rsidR="00C56E85">
              <w:rPr>
                <w:noProof/>
                <w:webHidden/>
              </w:rPr>
              <w:instrText xml:space="preserve"> PAGEREF _Toc184230595 \h </w:instrText>
            </w:r>
            <w:r w:rsidR="00C56E85">
              <w:rPr>
                <w:noProof/>
                <w:webHidden/>
              </w:rPr>
            </w:r>
            <w:r w:rsidR="00C56E85">
              <w:rPr>
                <w:noProof/>
                <w:webHidden/>
              </w:rPr>
              <w:fldChar w:fldCharType="separate"/>
            </w:r>
            <w:r w:rsidR="008278F2">
              <w:rPr>
                <w:noProof/>
                <w:webHidden/>
              </w:rPr>
              <w:t>6</w:t>
            </w:r>
            <w:r w:rsidR="00C56E85">
              <w:rPr>
                <w:noProof/>
                <w:webHidden/>
              </w:rPr>
              <w:fldChar w:fldCharType="end"/>
            </w:r>
          </w:hyperlink>
        </w:p>
        <w:p w14:paraId="747DD739" w14:textId="77777777" w:rsidR="00C56E85" w:rsidRDefault="00086956">
          <w:pPr>
            <w:pStyle w:val="TDC2"/>
            <w:rPr>
              <w:rFonts w:asciiTheme="minorHAnsi" w:eastAsiaTheme="minorEastAsia" w:hAnsiTheme="minorHAnsi" w:cstheme="minorBidi"/>
              <w:noProof/>
              <w:szCs w:val="22"/>
              <w:lang w:eastAsia="es-MX"/>
            </w:rPr>
          </w:pPr>
          <w:hyperlink w:anchor="_Toc184230596" w:history="1">
            <w:r w:rsidR="00C56E85" w:rsidRPr="00493785">
              <w:rPr>
                <w:rStyle w:val="Hipervnculo"/>
                <w:noProof/>
              </w:rPr>
              <w:t>SEGUNDO. Estudio de Fondo</w:t>
            </w:r>
            <w:r w:rsidR="00C56E85">
              <w:rPr>
                <w:noProof/>
                <w:webHidden/>
              </w:rPr>
              <w:tab/>
            </w:r>
            <w:r w:rsidR="00C56E85">
              <w:rPr>
                <w:noProof/>
                <w:webHidden/>
              </w:rPr>
              <w:fldChar w:fldCharType="begin"/>
            </w:r>
            <w:r w:rsidR="00C56E85">
              <w:rPr>
                <w:noProof/>
                <w:webHidden/>
              </w:rPr>
              <w:instrText xml:space="preserve"> PAGEREF _Toc184230596 \h </w:instrText>
            </w:r>
            <w:r w:rsidR="00C56E85">
              <w:rPr>
                <w:noProof/>
                <w:webHidden/>
              </w:rPr>
            </w:r>
            <w:r w:rsidR="00C56E85">
              <w:rPr>
                <w:noProof/>
                <w:webHidden/>
              </w:rPr>
              <w:fldChar w:fldCharType="separate"/>
            </w:r>
            <w:r w:rsidR="008278F2">
              <w:rPr>
                <w:noProof/>
                <w:webHidden/>
              </w:rPr>
              <w:t>7</w:t>
            </w:r>
            <w:r w:rsidR="00C56E85">
              <w:rPr>
                <w:noProof/>
                <w:webHidden/>
              </w:rPr>
              <w:fldChar w:fldCharType="end"/>
            </w:r>
          </w:hyperlink>
        </w:p>
        <w:p w14:paraId="1AB6AD41" w14:textId="77777777" w:rsidR="00C56E85" w:rsidRDefault="00086956">
          <w:pPr>
            <w:pStyle w:val="TDC3"/>
            <w:rPr>
              <w:rFonts w:asciiTheme="minorHAnsi" w:eastAsiaTheme="minorEastAsia" w:hAnsiTheme="minorHAnsi" w:cstheme="minorBidi"/>
              <w:noProof/>
              <w:szCs w:val="22"/>
              <w:lang w:eastAsia="es-MX"/>
            </w:rPr>
          </w:pPr>
          <w:hyperlink w:anchor="_Toc184230597" w:history="1">
            <w:r w:rsidR="00C56E85" w:rsidRPr="00493785">
              <w:rPr>
                <w:rStyle w:val="Hipervnculo"/>
                <w:noProof/>
              </w:rPr>
              <w:t>a) Mandato de transparencia y responsabilidad del Sujeto Obligado</w:t>
            </w:r>
            <w:r w:rsidR="00C56E85">
              <w:rPr>
                <w:noProof/>
                <w:webHidden/>
              </w:rPr>
              <w:tab/>
            </w:r>
            <w:r w:rsidR="00C56E85">
              <w:rPr>
                <w:noProof/>
                <w:webHidden/>
              </w:rPr>
              <w:fldChar w:fldCharType="begin"/>
            </w:r>
            <w:r w:rsidR="00C56E85">
              <w:rPr>
                <w:noProof/>
                <w:webHidden/>
              </w:rPr>
              <w:instrText xml:space="preserve"> PAGEREF _Toc184230597 \h </w:instrText>
            </w:r>
            <w:r w:rsidR="00C56E85">
              <w:rPr>
                <w:noProof/>
                <w:webHidden/>
              </w:rPr>
            </w:r>
            <w:r w:rsidR="00C56E85">
              <w:rPr>
                <w:noProof/>
                <w:webHidden/>
              </w:rPr>
              <w:fldChar w:fldCharType="separate"/>
            </w:r>
            <w:r w:rsidR="008278F2">
              <w:rPr>
                <w:noProof/>
                <w:webHidden/>
              </w:rPr>
              <w:t>7</w:t>
            </w:r>
            <w:r w:rsidR="00C56E85">
              <w:rPr>
                <w:noProof/>
                <w:webHidden/>
              </w:rPr>
              <w:fldChar w:fldCharType="end"/>
            </w:r>
          </w:hyperlink>
        </w:p>
        <w:p w14:paraId="6D2160B7" w14:textId="77777777" w:rsidR="00C56E85" w:rsidRDefault="00086956">
          <w:pPr>
            <w:pStyle w:val="TDC3"/>
            <w:rPr>
              <w:rFonts w:asciiTheme="minorHAnsi" w:eastAsiaTheme="minorEastAsia" w:hAnsiTheme="minorHAnsi" w:cstheme="minorBidi"/>
              <w:noProof/>
              <w:szCs w:val="22"/>
              <w:lang w:eastAsia="es-MX"/>
            </w:rPr>
          </w:pPr>
          <w:hyperlink w:anchor="_Toc184230598" w:history="1">
            <w:r w:rsidR="00C56E85" w:rsidRPr="00493785">
              <w:rPr>
                <w:rStyle w:val="Hipervnculo"/>
                <w:rFonts w:eastAsia="Calibri"/>
                <w:noProof/>
                <w:lang w:eastAsia="es-ES_tradnl"/>
              </w:rPr>
              <w:t>b) Controversia a resolver</w:t>
            </w:r>
            <w:r w:rsidR="00C56E85">
              <w:rPr>
                <w:noProof/>
                <w:webHidden/>
              </w:rPr>
              <w:tab/>
            </w:r>
            <w:r w:rsidR="00C56E85">
              <w:rPr>
                <w:noProof/>
                <w:webHidden/>
              </w:rPr>
              <w:fldChar w:fldCharType="begin"/>
            </w:r>
            <w:r w:rsidR="00C56E85">
              <w:rPr>
                <w:noProof/>
                <w:webHidden/>
              </w:rPr>
              <w:instrText xml:space="preserve"> PAGEREF _Toc184230598 \h </w:instrText>
            </w:r>
            <w:r w:rsidR="00C56E85">
              <w:rPr>
                <w:noProof/>
                <w:webHidden/>
              </w:rPr>
            </w:r>
            <w:r w:rsidR="00C56E85">
              <w:rPr>
                <w:noProof/>
                <w:webHidden/>
              </w:rPr>
              <w:fldChar w:fldCharType="separate"/>
            </w:r>
            <w:r w:rsidR="008278F2">
              <w:rPr>
                <w:noProof/>
                <w:webHidden/>
              </w:rPr>
              <w:t>9</w:t>
            </w:r>
            <w:r w:rsidR="00C56E85">
              <w:rPr>
                <w:noProof/>
                <w:webHidden/>
              </w:rPr>
              <w:fldChar w:fldCharType="end"/>
            </w:r>
          </w:hyperlink>
        </w:p>
        <w:p w14:paraId="34883EF9" w14:textId="77777777" w:rsidR="00C56E85" w:rsidRDefault="00086956">
          <w:pPr>
            <w:pStyle w:val="TDC3"/>
            <w:rPr>
              <w:rFonts w:asciiTheme="minorHAnsi" w:eastAsiaTheme="minorEastAsia" w:hAnsiTheme="minorHAnsi" w:cstheme="minorBidi"/>
              <w:noProof/>
              <w:szCs w:val="22"/>
              <w:lang w:eastAsia="es-MX"/>
            </w:rPr>
          </w:pPr>
          <w:hyperlink w:anchor="_Toc184230599" w:history="1">
            <w:r w:rsidR="00C56E85" w:rsidRPr="00493785">
              <w:rPr>
                <w:rStyle w:val="Hipervnculo"/>
                <w:rFonts w:eastAsia="Palatino Linotype"/>
                <w:noProof/>
              </w:rPr>
              <w:t>c) Estudio de la controversia</w:t>
            </w:r>
            <w:r w:rsidR="00C56E85">
              <w:rPr>
                <w:noProof/>
                <w:webHidden/>
              </w:rPr>
              <w:tab/>
            </w:r>
            <w:r w:rsidR="00C56E85">
              <w:rPr>
                <w:noProof/>
                <w:webHidden/>
              </w:rPr>
              <w:fldChar w:fldCharType="begin"/>
            </w:r>
            <w:r w:rsidR="00C56E85">
              <w:rPr>
                <w:noProof/>
                <w:webHidden/>
              </w:rPr>
              <w:instrText xml:space="preserve"> PAGEREF _Toc184230599 \h </w:instrText>
            </w:r>
            <w:r w:rsidR="00C56E85">
              <w:rPr>
                <w:noProof/>
                <w:webHidden/>
              </w:rPr>
            </w:r>
            <w:r w:rsidR="00C56E85">
              <w:rPr>
                <w:noProof/>
                <w:webHidden/>
              </w:rPr>
              <w:fldChar w:fldCharType="separate"/>
            </w:r>
            <w:r w:rsidR="008278F2">
              <w:rPr>
                <w:noProof/>
                <w:webHidden/>
              </w:rPr>
              <w:t>10</w:t>
            </w:r>
            <w:r w:rsidR="00C56E85">
              <w:rPr>
                <w:noProof/>
                <w:webHidden/>
              </w:rPr>
              <w:fldChar w:fldCharType="end"/>
            </w:r>
          </w:hyperlink>
        </w:p>
        <w:p w14:paraId="69E49EE9" w14:textId="77777777" w:rsidR="00C56E85" w:rsidRDefault="00086956">
          <w:pPr>
            <w:pStyle w:val="TDC3"/>
            <w:rPr>
              <w:rFonts w:asciiTheme="minorHAnsi" w:eastAsiaTheme="minorEastAsia" w:hAnsiTheme="minorHAnsi" w:cstheme="minorBidi"/>
              <w:noProof/>
              <w:szCs w:val="22"/>
              <w:lang w:eastAsia="es-MX"/>
            </w:rPr>
          </w:pPr>
          <w:hyperlink w:anchor="_Toc184230600" w:history="1">
            <w:r w:rsidR="00C56E85" w:rsidRPr="00493785">
              <w:rPr>
                <w:rStyle w:val="Hipervnculo"/>
                <w:noProof/>
              </w:rPr>
              <w:t>d) Versión pública</w:t>
            </w:r>
            <w:r w:rsidR="00C56E85">
              <w:rPr>
                <w:noProof/>
                <w:webHidden/>
              </w:rPr>
              <w:tab/>
            </w:r>
            <w:r w:rsidR="00C56E85">
              <w:rPr>
                <w:noProof/>
                <w:webHidden/>
              </w:rPr>
              <w:fldChar w:fldCharType="begin"/>
            </w:r>
            <w:r w:rsidR="00C56E85">
              <w:rPr>
                <w:noProof/>
                <w:webHidden/>
              </w:rPr>
              <w:instrText xml:space="preserve"> PAGEREF _Toc184230600 \h </w:instrText>
            </w:r>
            <w:r w:rsidR="00C56E85">
              <w:rPr>
                <w:noProof/>
                <w:webHidden/>
              </w:rPr>
            </w:r>
            <w:r w:rsidR="00C56E85">
              <w:rPr>
                <w:noProof/>
                <w:webHidden/>
              </w:rPr>
              <w:fldChar w:fldCharType="separate"/>
            </w:r>
            <w:r w:rsidR="008278F2">
              <w:rPr>
                <w:noProof/>
                <w:webHidden/>
              </w:rPr>
              <w:t>23</w:t>
            </w:r>
            <w:r w:rsidR="00C56E85">
              <w:rPr>
                <w:noProof/>
                <w:webHidden/>
              </w:rPr>
              <w:fldChar w:fldCharType="end"/>
            </w:r>
          </w:hyperlink>
        </w:p>
        <w:p w14:paraId="02B1434A" w14:textId="77777777" w:rsidR="00C56E85" w:rsidRDefault="00086956">
          <w:pPr>
            <w:pStyle w:val="TDC3"/>
            <w:rPr>
              <w:rFonts w:asciiTheme="minorHAnsi" w:eastAsiaTheme="minorEastAsia" w:hAnsiTheme="minorHAnsi" w:cstheme="minorBidi"/>
              <w:noProof/>
              <w:szCs w:val="22"/>
              <w:lang w:eastAsia="es-MX"/>
            </w:rPr>
          </w:pPr>
          <w:hyperlink w:anchor="_Toc184230601" w:history="1">
            <w:r w:rsidR="00C56E85" w:rsidRPr="00493785">
              <w:rPr>
                <w:rStyle w:val="Hipervnculo"/>
                <w:rFonts w:eastAsia="Calibri"/>
                <w:noProof/>
              </w:rPr>
              <w:t xml:space="preserve">e) </w:t>
            </w:r>
            <w:r w:rsidR="00C56E85" w:rsidRPr="00493785">
              <w:rPr>
                <w:rStyle w:val="Hipervnculo"/>
                <w:noProof/>
              </w:rPr>
              <w:t>Conclusión</w:t>
            </w:r>
            <w:r w:rsidR="00C56E85">
              <w:rPr>
                <w:noProof/>
                <w:webHidden/>
              </w:rPr>
              <w:tab/>
            </w:r>
            <w:r w:rsidR="00C56E85">
              <w:rPr>
                <w:noProof/>
                <w:webHidden/>
              </w:rPr>
              <w:fldChar w:fldCharType="begin"/>
            </w:r>
            <w:r w:rsidR="00C56E85">
              <w:rPr>
                <w:noProof/>
                <w:webHidden/>
              </w:rPr>
              <w:instrText xml:space="preserve"> PAGEREF _Toc184230601 \h </w:instrText>
            </w:r>
            <w:r w:rsidR="00C56E85">
              <w:rPr>
                <w:noProof/>
                <w:webHidden/>
              </w:rPr>
            </w:r>
            <w:r w:rsidR="00C56E85">
              <w:rPr>
                <w:noProof/>
                <w:webHidden/>
              </w:rPr>
              <w:fldChar w:fldCharType="separate"/>
            </w:r>
            <w:r w:rsidR="008278F2">
              <w:rPr>
                <w:noProof/>
                <w:webHidden/>
              </w:rPr>
              <w:t>29</w:t>
            </w:r>
            <w:r w:rsidR="00C56E85">
              <w:rPr>
                <w:noProof/>
                <w:webHidden/>
              </w:rPr>
              <w:fldChar w:fldCharType="end"/>
            </w:r>
          </w:hyperlink>
        </w:p>
        <w:p w14:paraId="656F1DE9" w14:textId="77777777" w:rsidR="00C56E85" w:rsidRDefault="00086956">
          <w:pPr>
            <w:pStyle w:val="TDC1"/>
            <w:tabs>
              <w:tab w:val="right" w:leader="dot" w:pos="9034"/>
            </w:tabs>
            <w:rPr>
              <w:rFonts w:asciiTheme="minorHAnsi" w:eastAsiaTheme="minorEastAsia" w:hAnsiTheme="minorHAnsi" w:cstheme="minorBidi"/>
              <w:noProof/>
              <w:szCs w:val="22"/>
              <w:lang w:eastAsia="es-MX"/>
            </w:rPr>
          </w:pPr>
          <w:hyperlink w:anchor="_Toc184230602" w:history="1">
            <w:r w:rsidR="00C56E85" w:rsidRPr="00493785">
              <w:rPr>
                <w:rStyle w:val="Hipervnculo"/>
                <w:noProof/>
              </w:rPr>
              <w:t>RESUELVE</w:t>
            </w:r>
            <w:r w:rsidR="00C56E85">
              <w:rPr>
                <w:noProof/>
                <w:webHidden/>
              </w:rPr>
              <w:tab/>
            </w:r>
            <w:r w:rsidR="00C56E85">
              <w:rPr>
                <w:noProof/>
                <w:webHidden/>
              </w:rPr>
              <w:fldChar w:fldCharType="begin"/>
            </w:r>
            <w:r w:rsidR="00C56E85">
              <w:rPr>
                <w:noProof/>
                <w:webHidden/>
              </w:rPr>
              <w:instrText xml:space="preserve"> PAGEREF _Toc184230602 \h </w:instrText>
            </w:r>
            <w:r w:rsidR="00C56E85">
              <w:rPr>
                <w:noProof/>
                <w:webHidden/>
              </w:rPr>
            </w:r>
            <w:r w:rsidR="00C56E85">
              <w:rPr>
                <w:noProof/>
                <w:webHidden/>
              </w:rPr>
              <w:fldChar w:fldCharType="separate"/>
            </w:r>
            <w:r w:rsidR="008278F2">
              <w:rPr>
                <w:noProof/>
                <w:webHidden/>
              </w:rPr>
              <w:t>30</w:t>
            </w:r>
            <w:r w:rsidR="00C56E85">
              <w:rPr>
                <w:noProof/>
                <w:webHidden/>
              </w:rPr>
              <w:fldChar w:fldCharType="end"/>
            </w:r>
          </w:hyperlink>
        </w:p>
        <w:p w14:paraId="0C82FD7A" w14:textId="2865D386" w:rsidR="009B2945" w:rsidRPr="00C56E85" w:rsidRDefault="00AE3DA7" w:rsidP="00C56E85">
          <w:pPr>
            <w:pStyle w:val="TDC1"/>
            <w:tabs>
              <w:tab w:val="right" w:leader="dot" w:pos="9034"/>
            </w:tabs>
            <w:rPr>
              <w:b/>
              <w:bCs/>
              <w:lang w:val="es-ES"/>
            </w:rPr>
          </w:pPr>
          <w:r w:rsidRPr="00C56E85">
            <w:rPr>
              <w:b/>
              <w:bCs/>
              <w:sz w:val="16"/>
              <w:szCs w:val="16"/>
              <w:lang w:val="es-ES"/>
            </w:rPr>
            <w:fldChar w:fldCharType="end"/>
          </w:r>
        </w:p>
      </w:sdtContent>
    </w:sdt>
    <w:p w14:paraId="603A07E2" w14:textId="77777777" w:rsidR="00646436" w:rsidRPr="00C56E85" w:rsidRDefault="00646436" w:rsidP="00C56E85">
      <w:pPr>
        <w:rPr>
          <w:rFonts w:cs="Tahoma"/>
          <w:szCs w:val="22"/>
        </w:rPr>
        <w:sectPr w:rsidR="00646436" w:rsidRPr="00C56E8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9646EEE" w:rsidR="00775BFC" w:rsidRPr="00C56E85" w:rsidRDefault="00775BFC" w:rsidP="00C56E85">
      <w:pPr>
        <w:rPr>
          <w:b/>
          <w:szCs w:val="22"/>
        </w:rPr>
      </w:pPr>
      <w:r w:rsidRPr="00C56E85">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6D59EF" w:rsidRPr="00C56E85">
        <w:rPr>
          <w:b/>
          <w:szCs w:val="22"/>
        </w:rPr>
        <w:t>cuatro de diciembre</w:t>
      </w:r>
      <w:r w:rsidR="00ED7170" w:rsidRPr="00C56E85">
        <w:rPr>
          <w:b/>
          <w:szCs w:val="22"/>
        </w:rPr>
        <w:t xml:space="preserve"> de dos mil veinticuatro.</w:t>
      </w:r>
    </w:p>
    <w:p w14:paraId="0AF3AAC4" w14:textId="77777777" w:rsidR="00775BFC" w:rsidRPr="00C56E85" w:rsidRDefault="00775BFC" w:rsidP="00C56E85">
      <w:pPr>
        <w:rPr>
          <w:szCs w:val="22"/>
        </w:rPr>
      </w:pPr>
    </w:p>
    <w:p w14:paraId="40EAE038" w14:textId="21D9DC34" w:rsidR="00775BFC" w:rsidRPr="00C56E85" w:rsidRDefault="00775BFC" w:rsidP="00C56E85">
      <w:pPr>
        <w:rPr>
          <w:szCs w:val="22"/>
        </w:rPr>
      </w:pPr>
      <w:r w:rsidRPr="00C56E85">
        <w:rPr>
          <w:b/>
          <w:szCs w:val="22"/>
        </w:rPr>
        <w:t xml:space="preserve">VISTO </w:t>
      </w:r>
      <w:r w:rsidRPr="00C56E85">
        <w:rPr>
          <w:szCs w:val="22"/>
        </w:rPr>
        <w:t xml:space="preserve">el expediente formado con motivo del Recurso de Revisión </w:t>
      </w:r>
      <w:r w:rsidR="006D59EF" w:rsidRPr="00C56E85">
        <w:rPr>
          <w:rFonts w:eastAsia="Calibri"/>
          <w:b/>
          <w:szCs w:val="22"/>
          <w:lang w:eastAsia="en-US"/>
        </w:rPr>
        <w:t>07142/INFOEM/IP/RR/2024</w:t>
      </w:r>
      <w:r w:rsidR="005314A3" w:rsidRPr="00C56E85">
        <w:rPr>
          <w:rFonts w:eastAsia="Calibri"/>
          <w:b/>
          <w:szCs w:val="22"/>
          <w:lang w:eastAsia="en-US"/>
        </w:rPr>
        <w:t xml:space="preserve"> </w:t>
      </w:r>
      <w:r w:rsidR="00C53939" w:rsidRPr="00C56E85">
        <w:rPr>
          <w:szCs w:val="22"/>
        </w:rPr>
        <w:t xml:space="preserve">interpuesto </w:t>
      </w:r>
      <w:r w:rsidR="00C53939" w:rsidRPr="00C56E85">
        <w:rPr>
          <w:bCs/>
          <w:szCs w:val="22"/>
        </w:rPr>
        <w:t>de</w:t>
      </w:r>
      <w:r w:rsidR="00C53939" w:rsidRPr="00C56E85">
        <w:rPr>
          <w:b/>
          <w:bCs/>
          <w:szCs w:val="22"/>
        </w:rPr>
        <w:t xml:space="preserve"> manera anónima</w:t>
      </w:r>
      <w:r w:rsidRPr="00C56E85">
        <w:rPr>
          <w:szCs w:val="22"/>
        </w:rPr>
        <w:t xml:space="preserve">, a quien en lo subsecuente se le denominará </w:t>
      </w:r>
      <w:r w:rsidRPr="00C56E85">
        <w:rPr>
          <w:b/>
          <w:bCs/>
          <w:szCs w:val="22"/>
        </w:rPr>
        <w:t>LA PARTE RECURRENTE</w:t>
      </w:r>
      <w:r w:rsidRPr="00C56E85">
        <w:rPr>
          <w:szCs w:val="22"/>
        </w:rPr>
        <w:t>, en contra de la respuesta emitida por</w:t>
      </w:r>
      <w:r w:rsidR="00A0449B" w:rsidRPr="00C56E85">
        <w:rPr>
          <w:szCs w:val="22"/>
        </w:rPr>
        <w:t xml:space="preserve"> </w:t>
      </w:r>
      <w:r w:rsidR="005F3813" w:rsidRPr="00C56E85">
        <w:rPr>
          <w:szCs w:val="22"/>
        </w:rPr>
        <w:t>el</w:t>
      </w:r>
      <w:r w:rsidR="000748DF" w:rsidRPr="00C56E85">
        <w:rPr>
          <w:szCs w:val="22"/>
        </w:rPr>
        <w:t xml:space="preserve"> </w:t>
      </w:r>
      <w:r w:rsidR="005043E2" w:rsidRPr="00C56E85">
        <w:rPr>
          <w:b/>
          <w:bCs/>
          <w:szCs w:val="22"/>
        </w:rPr>
        <w:t>Partido Acción Nacional</w:t>
      </w:r>
      <w:r w:rsidRPr="00C56E85">
        <w:rPr>
          <w:szCs w:val="22"/>
        </w:rPr>
        <w:t xml:space="preserve">, en adelante </w:t>
      </w:r>
      <w:r w:rsidRPr="00C56E85">
        <w:rPr>
          <w:b/>
          <w:bCs/>
          <w:szCs w:val="22"/>
        </w:rPr>
        <w:t>EL SUJETO OBLIGADO</w:t>
      </w:r>
      <w:r w:rsidRPr="00C56E85">
        <w:rPr>
          <w:rFonts w:eastAsia="Calibri"/>
          <w:szCs w:val="22"/>
          <w:lang w:eastAsia="en-US"/>
        </w:rPr>
        <w:t xml:space="preserve">, </w:t>
      </w:r>
      <w:r w:rsidRPr="00C56E85">
        <w:rPr>
          <w:szCs w:val="22"/>
        </w:rPr>
        <w:t>se emite la presente Resolución con base en los Antecedentes y Considerandos que se exponen a continuación:</w:t>
      </w:r>
    </w:p>
    <w:p w14:paraId="2116968C" w14:textId="77777777" w:rsidR="00775BFC" w:rsidRPr="00C56E85" w:rsidRDefault="00775BFC" w:rsidP="00C56E85">
      <w:pPr>
        <w:rPr>
          <w:szCs w:val="22"/>
        </w:rPr>
      </w:pPr>
    </w:p>
    <w:p w14:paraId="5A444FB6" w14:textId="639D3567" w:rsidR="00664420" w:rsidRPr="00C56E85" w:rsidRDefault="00664420" w:rsidP="00C56E85">
      <w:pPr>
        <w:pStyle w:val="Ttulo1"/>
        <w:rPr>
          <w:szCs w:val="22"/>
        </w:rPr>
      </w:pPr>
      <w:bookmarkStart w:id="3" w:name="_Toc184230578"/>
      <w:r w:rsidRPr="00C56E85">
        <w:rPr>
          <w:szCs w:val="22"/>
        </w:rPr>
        <w:t>ANTECEDENTES</w:t>
      </w:r>
      <w:bookmarkEnd w:id="3"/>
    </w:p>
    <w:p w14:paraId="7CE9E53D" w14:textId="77777777" w:rsidR="00E37A3F" w:rsidRPr="00C56E85" w:rsidRDefault="00E37A3F" w:rsidP="00C56E85">
      <w:pPr>
        <w:rPr>
          <w:szCs w:val="22"/>
        </w:rPr>
      </w:pPr>
    </w:p>
    <w:p w14:paraId="09B2D38F" w14:textId="6E49D146" w:rsidR="00664420" w:rsidRPr="00C56E85" w:rsidRDefault="00E37A3F" w:rsidP="00C56E85">
      <w:pPr>
        <w:pStyle w:val="Ttulo2"/>
        <w:rPr>
          <w:szCs w:val="22"/>
        </w:rPr>
      </w:pPr>
      <w:bookmarkStart w:id="4" w:name="_Toc184230579"/>
      <w:r w:rsidRPr="00C56E85">
        <w:rPr>
          <w:szCs w:val="22"/>
        </w:rPr>
        <w:t>DE LA SOLICITUD DE INFORMACIÓN</w:t>
      </w:r>
      <w:bookmarkEnd w:id="4"/>
    </w:p>
    <w:p w14:paraId="2C6AD1A5" w14:textId="0405B3CD" w:rsidR="00664420" w:rsidRPr="00C56E85" w:rsidRDefault="00E37A3F" w:rsidP="00C56E85">
      <w:pPr>
        <w:pStyle w:val="Ttulo3"/>
        <w:rPr>
          <w:szCs w:val="22"/>
        </w:rPr>
      </w:pPr>
      <w:bookmarkStart w:id="5" w:name="_Toc184230580"/>
      <w:r w:rsidRPr="00C56E85">
        <w:rPr>
          <w:szCs w:val="22"/>
        </w:rPr>
        <w:t xml:space="preserve">a) </w:t>
      </w:r>
      <w:r w:rsidR="006B10B0" w:rsidRPr="00C56E85">
        <w:rPr>
          <w:szCs w:val="22"/>
        </w:rPr>
        <w:t>S</w:t>
      </w:r>
      <w:r w:rsidR="00664420" w:rsidRPr="00C56E85">
        <w:rPr>
          <w:szCs w:val="22"/>
        </w:rPr>
        <w:t xml:space="preserve">olicitud de </w:t>
      </w:r>
      <w:r w:rsidR="006B10B0" w:rsidRPr="00C56E85">
        <w:rPr>
          <w:szCs w:val="22"/>
        </w:rPr>
        <w:t>i</w:t>
      </w:r>
      <w:r w:rsidR="00664420" w:rsidRPr="00C56E85">
        <w:rPr>
          <w:szCs w:val="22"/>
        </w:rPr>
        <w:t>nformación</w:t>
      </w:r>
      <w:bookmarkEnd w:id="5"/>
    </w:p>
    <w:p w14:paraId="63FC8527" w14:textId="7D16F4FB" w:rsidR="006A28B4" w:rsidRPr="00C56E85" w:rsidRDefault="006A28B4" w:rsidP="00C56E85">
      <w:pPr>
        <w:pBdr>
          <w:top w:val="nil"/>
          <w:left w:val="nil"/>
          <w:bottom w:val="nil"/>
          <w:right w:val="nil"/>
          <w:between w:val="nil"/>
        </w:pBdr>
        <w:tabs>
          <w:tab w:val="left" w:pos="0"/>
        </w:tabs>
        <w:rPr>
          <w:rFonts w:eastAsia="Palatino Linotype" w:cs="Palatino Linotype"/>
          <w:szCs w:val="22"/>
        </w:rPr>
      </w:pPr>
      <w:r w:rsidRPr="00C56E85">
        <w:rPr>
          <w:rFonts w:eastAsia="Palatino Linotype" w:cs="Palatino Linotype"/>
          <w:szCs w:val="22"/>
        </w:rPr>
        <w:t xml:space="preserve">El </w:t>
      </w:r>
      <w:r w:rsidR="005043E2" w:rsidRPr="00C56E85">
        <w:rPr>
          <w:rFonts w:eastAsia="Palatino Linotype" w:cs="Palatino Linotype"/>
          <w:b/>
          <w:szCs w:val="22"/>
        </w:rPr>
        <w:t>dieciséis de octubre</w:t>
      </w:r>
      <w:r w:rsidRPr="00C56E85">
        <w:rPr>
          <w:rFonts w:eastAsia="Palatino Linotype" w:cs="Palatino Linotype"/>
          <w:b/>
          <w:szCs w:val="22"/>
        </w:rPr>
        <w:t xml:space="preserve"> de dos mil veinticuatro</w:t>
      </w:r>
      <w:r w:rsidR="00721C9E" w:rsidRPr="00C56E85">
        <w:rPr>
          <w:rFonts w:eastAsia="Palatino Linotype" w:cs="Palatino Linotype"/>
          <w:b/>
          <w:szCs w:val="22"/>
        </w:rPr>
        <w:t>,</w:t>
      </w:r>
      <w:r w:rsidRPr="00C56E85">
        <w:rPr>
          <w:rFonts w:eastAsia="Palatino Linotype" w:cs="Palatino Linotype"/>
          <w:szCs w:val="22"/>
        </w:rPr>
        <w:t xml:space="preserve"> </w:t>
      </w:r>
      <w:r w:rsidRPr="00C56E85">
        <w:rPr>
          <w:rFonts w:eastAsia="Palatino Linotype" w:cs="Palatino Linotype"/>
          <w:b/>
          <w:szCs w:val="22"/>
        </w:rPr>
        <w:t>LA PARTE RECURRENTE</w:t>
      </w:r>
      <w:r w:rsidRPr="00C56E85">
        <w:rPr>
          <w:rFonts w:eastAsia="Palatino Linotype" w:cs="Palatino Linotype"/>
          <w:szCs w:val="22"/>
        </w:rPr>
        <w:t xml:space="preserve"> presentó una solicitud de acceso a la información pública ante </w:t>
      </w:r>
      <w:r w:rsidR="00FE7A06" w:rsidRPr="00C56E85">
        <w:rPr>
          <w:rFonts w:eastAsia="Palatino Linotype" w:cs="Palatino Linotype"/>
          <w:b/>
          <w:bCs/>
          <w:szCs w:val="22"/>
        </w:rPr>
        <w:t xml:space="preserve">EL </w:t>
      </w:r>
      <w:r w:rsidRPr="00C56E85">
        <w:rPr>
          <w:rFonts w:eastAsia="Palatino Linotype" w:cs="Palatino Linotype"/>
          <w:b/>
          <w:szCs w:val="22"/>
        </w:rPr>
        <w:t>SUJETO OBLIGADO</w:t>
      </w:r>
      <w:r w:rsidRPr="00C56E85">
        <w:rPr>
          <w:rFonts w:eastAsia="Palatino Linotype" w:cs="Palatino Linotype"/>
          <w:szCs w:val="22"/>
        </w:rPr>
        <w:t xml:space="preserve">, a través </w:t>
      </w:r>
      <w:r w:rsidR="007E42B7" w:rsidRPr="00C56E85">
        <w:rPr>
          <w:rFonts w:eastAsia="Palatino Linotype" w:cs="Palatino Linotype"/>
          <w:szCs w:val="22"/>
        </w:rPr>
        <w:t>del</w:t>
      </w:r>
      <w:r w:rsidRPr="00C56E85">
        <w:rPr>
          <w:rFonts w:eastAsia="Palatino Linotype" w:cs="Palatino Linotype"/>
          <w:szCs w:val="22"/>
        </w:rPr>
        <w:t xml:space="preserve"> Sistema de Acceso a la Información Mexiquense (SAIMEX). Dicha solicitud quedó registrada con el número de folio</w:t>
      </w:r>
      <w:r w:rsidRPr="00C56E85">
        <w:rPr>
          <w:rFonts w:eastAsia="Palatino Linotype" w:cs="Palatino Linotype"/>
          <w:b/>
          <w:szCs w:val="22"/>
        </w:rPr>
        <w:t xml:space="preserve"> </w:t>
      </w:r>
      <w:r w:rsidR="006D59EF" w:rsidRPr="00C56E85">
        <w:rPr>
          <w:rFonts w:eastAsia="Palatino Linotype" w:cs="Palatino Linotype"/>
          <w:b/>
          <w:szCs w:val="22"/>
        </w:rPr>
        <w:t>00062/PAN/IP/2024</w:t>
      </w:r>
      <w:r w:rsidRPr="00C56E85">
        <w:rPr>
          <w:rFonts w:eastAsia="Palatino Linotype" w:cs="Palatino Linotype"/>
          <w:b/>
          <w:szCs w:val="22"/>
        </w:rPr>
        <w:t xml:space="preserve"> </w:t>
      </w:r>
      <w:r w:rsidRPr="00C56E85">
        <w:rPr>
          <w:rFonts w:eastAsia="Palatino Linotype" w:cs="Palatino Linotype"/>
          <w:szCs w:val="22"/>
        </w:rPr>
        <w:t>y en ella se requirió la siguiente información:</w:t>
      </w:r>
    </w:p>
    <w:p w14:paraId="596FDDE9" w14:textId="77777777" w:rsidR="002E2C99" w:rsidRPr="00C56E85" w:rsidRDefault="002E2C99" w:rsidP="00C56E85">
      <w:pPr>
        <w:tabs>
          <w:tab w:val="left" w:pos="4667"/>
        </w:tabs>
        <w:ind w:right="567"/>
        <w:rPr>
          <w:rFonts w:eastAsiaTheme="majorEastAsia" w:cstheme="majorBidi"/>
          <w:i/>
          <w:kern w:val="28"/>
          <w:szCs w:val="56"/>
        </w:rPr>
      </w:pPr>
    </w:p>
    <w:p w14:paraId="7CF784AB" w14:textId="7C030A77" w:rsidR="00DC71C4" w:rsidRPr="00C56E85" w:rsidRDefault="000729BE" w:rsidP="00C56E85">
      <w:pPr>
        <w:pStyle w:val="Puesto"/>
      </w:pPr>
      <w:r w:rsidRPr="00C56E85">
        <w:t>“</w:t>
      </w:r>
      <w:proofErr w:type="spellStart"/>
      <w:r w:rsidR="005043E2" w:rsidRPr="00C56E85">
        <w:t>Inforrme</w:t>
      </w:r>
      <w:proofErr w:type="spellEnd"/>
      <w:r w:rsidR="005043E2" w:rsidRPr="00C56E85">
        <w:t xml:space="preserve"> Anual de labores de Anuar Azar Figueroa Presidente del Comité Directivo Estatal, de todos los años que ha fungido, copia de todas las facturas pagadas por el Comité Directivo Estatal durante 2024, los documentos presentados por Anuar Azar Figueroa en su registro como candidato a Presidente del </w:t>
      </w:r>
      <w:proofErr w:type="spellStart"/>
      <w:r w:rsidR="005043E2" w:rsidRPr="00C56E85">
        <w:t>Comite</w:t>
      </w:r>
      <w:proofErr w:type="spellEnd"/>
      <w:r w:rsidR="005043E2" w:rsidRPr="00C56E85">
        <w:t xml:space="preserve"> Directivo Estatal para el presente periodo.</w:t>
      </w:r>
      <w:r w:rsidRPr="00C56E85">
        <w:t>.” Sic</w:t>
      </w:r>
    </w:p>
    <w:p w14:paraId="5F0895FD" w14:textId="77777777" w:rsidR="00DC71C4" w:rsidRPr="00C56E85" w:rsidRDefault="00DC71C4" w:rsidP="00C56E85"/>
    <w:p w14:paraId="0BD6321D" w14:textId="0A5D6479" w:rsidR="00664420" w:rsidRPr="00C56E85" w:rsidRDefault="009A2D78" w:rsidP="00C56E85">
      <w:pPr>
        <w:tabs>
          <w:tab w:val="left" w:pos="4667"/>
        </w:tabs>
        <w:ind w:right="567"/>
        <w:rPr>
          <w:rFonts w:cs="Tahoma"/>
          <w:bCs/>
          <w:i/>
          <w:szCs w:val="22"/>
        </w:rPr>
      </w:pPr>
      <w:r w:rsidRPr="00C56E85">
        <w:rPr>
          <w:rFonts w:cs="Tahoma"/>
          <w:b/>
          <w:bCs/>
          <w:szCs w:val="22"/>
        </w:rPr>
        <w:t>Modalidad de entrega</w:t>
      </w:r>
      <w:r w:rsidRPr="00C56E85">
        <w:rPr>
          <w:rFonts w:cs="Tahoma"/>
          <w:bCs/>
          <w:szCs w:val="22"/>
        </w:rPr>
        <w:t>: a</w:t>
      </w:r>
      <w:r w:rsidR="00664420" w:rsidRPr="00C56E85">
        <w:rPr>
          <w:rFonts w:cs="Tahoma"/>
          <w:bCs/>
          <w:i/>
          <w:szCs w:val="22"/>
        </w:rPr>
        <w:t xml:space="preserve"> través </w:t>
      </w:r>
      <w:r w:rsidR="00C84660" w:rsidRPr="00C56E85">
        <w:rPr>
          <w:rFonts w:cs="Tahoma"/>
          <w:bCs/>
          <w:i/>
          <w:szCs w:val="22"/>
        </w:rPr>
        <w:t>de</w:t>
      </w:r>
      <w:r w:rsidR="00664420" w:rsidRPr="00C56E85">
        <w:rPr>
          <w:rFonts w:cs="Tahoma"/>
          <w:bCs/>
          <w:i/>
          <w:szCs w:val="22"/>
        </w:rPr>
        <w:t xml:space="preserve">l </w:t>
      </w:r>
      <w:r w:rsidR="00664420" w:rsidRPr="00C56E85">
        <w:rPr>
          <w:rFonts w:cs="Tahoma"/>
          <w:b/>
          <w:bCs/>
          <w:i/>
          <w:szCs w:val="22"/>
        </w:rPr>
        <w:t>SAIMEX</w:t>
      </w:r>
      <w:r w:rsidRPr="00C56E85">
        <w:rPr>
          <w:rFonts w:cs="Tahoma"/>
          <w:bCs/>
          <w:i/>
          <w:szCs w:val="22"/>
        </w:rPr>
        <w:t>.</w:t>
      </w:r>
    </w:p>
    <w:p w14:paraId="23D7A976" w14:textId="12B88A7F" w:rsidR="000748DF" w:rsidRPr="00C56E85" w:rsidRDefault="000748DF" w:rsidP="00C56E85">
      <w:pPr>
        <w:tabs>
          <w:tab w:val="left" w:pos="4667"/>
        </w:tabs>
        <w:ind w:right="567"/>
        <w:rPr>
          <w:rFonts w:cs="Tahoma"/>
          <w:b/>
          <w:bCs/>
          <w:szCs w:val="22"/>
        </w:rPr>
      </w:pPr>
    </w:p>
    <w:p w14:paraId="3212BA4D" w14:textId="6097ACE0" w:rsidR="00664420" w:rsidRPr="00C56E85" w:rsidRDefault="00D65B16" w:rsidP="00C56E85">
      <w:pPr>
        <w:pStyle w:val="Ttulo3"/>
        <w:rPr>
          <w:szCs w:val="22"/>
        </w:rPr>
      </w:pPr>
      <w:bookmarkStart w:id="6" w:name="_Toc170932807"/>
      <w:bookmarkStart w:id="7" w:name="_Toc180069803"/>
      <w:bookmarkStart w:id="8" w:name="_Toc181125882"/>
      <w:bookmarkStart w:id="9" w:name="_Toc184230581"/>
      <w:r w:rsidRPr="00C56E85">
        <w:lastRenderedPageBreak/>
        <w:t xml:space="preserve">b) </w:t>
      </w:r>
      <w:bookmarkEnd w:id="6"/>
      <w:bookmarkEnd w:id="7"/>
      <w:bookmarkEnd w:id="8"/>
      <w:r w:rsidR="00664420" w:rsidRPr="00C56E85">
        <w:rPr>
          <w:szCs w:val="22"/>
          <w:lang w:val="es-ES"/>
        </w:rPr>
        <w:t xml:space="preserve">Respuesta </w:t>
      </w:r>
      <w:r w:rsidR="00664420" w:rsidRPr="00C56E85">
        <w:rPr>
          <w:rFonts w:eastAsia="Calibri"/>
          <w:szCs w:val="22"/>
          <w:lang w:eastAsia="en-US"/>
        </w:rPr>
        <w:t>del Sujeto Obligado</w:t>
      </w:r>
      <w:bookmarkEnd w:id="9"/>
    </w:p>
    <w:p w14:paraId="79199CC1" w14:textId="44D7D7C2" w:rsidR="00664420" w:rsidRPr="00C56E85" w:rsidRDefault="00664420" w:rsidP="00C56E85">
      <w:pPr>
        <w:pStyle w:val="Sinespaciado"/>
        <w:spacing w:line="360" w:lineRule="auto"/>
        <w:rPr>
          <w:szCs w:val="22"/>
          <w:lang w:val="es-ES"/>
        </w:rPr>
      </w:pPr>
      <w:r w:rsidRPr="00C56E85">
        <w:rPr>
          <w:szCs w:val="22"/>
          <w:lang w:val="es-ES"/>
        </w:rPr>
        <w:t xml:space="preserve">El </w:t>
      </w:r>
      <w:r w:rsidR="005043E2" w:rsidRPr="00C56E85">
        <w:rPr>
          <w:rFonts w:eastAsia="Calibri" w:cs="Arial"/>
          <w:b/>
          <w:bCs/>
          <w:szCs w:val="22"/>
          <w:lang w:val="es-ES" w:eastAsia="en-US"/>
        </w:rPr>
        <w:t xml:space="preserve">siete de noviembre </w:t>
      </w:r>
      <w:r w:rsidR="000748DF" w:rsidRPr="00C56E85">
        <w:rPr>
          <w:rFonts w:eastAsia="Calibri" w:cs="Arial"/>
          <w:b/>
          <w:szCs w:val="22"/>
          <w:lang w:val="es-ES" w:eastAsia="en-US"/>
        </w:rPr>
        <w:t>de dos mil veinticuatro</w:t>
      </w:r>
      <w:r w:rsidR="00983EEF" w:rsidRPr="00C56E85">
        <w:rPr>
          <w:b/>
          <w:szCs w:val="22"/>
          <w:lang w:val="es-ES"/>
        </w:rPr>
        <w:t xml:space="preserve">, </w:t>
      </w:r>
      <w:r w:rsidR="00F07EE6" w:rsidRPr="00C56E85">
        <w:rPr>
          <w:szCs w:val="22"/>
          <w:lang w:val="es-ES"/>
        </w:rPr>
        <w:t>l</w:t>
      </w:r>
      <w:r w:rsidR="002268D4" w:rsidRPr="00C56E85">
        <w:rPr>
          <w:szCs w:val="22"/>
          <w:lang w:val="es-ES"/>
        </w:rPr>
        <w:t>a</w:t>
      </w:r>
      <w:r w:rsidR="00F07EE6" w:rsidRPr="00C56E85">
        <w:rPr>
          <w:szCs w:val="22"/>
          <w:lang w:val="es-ES"/>
        </w:rPr>
        <w:t xml:space="preserve"> Titular de la Unidad de Transparencia del </w:t>
      </w:r>
      <w:r w:rsidR="00F07EE6" w:rsidRPr="00C56E85">
        <w:rPr>
          <w:b/>
          <w:szCs w:val="22"/>
          <w:lang w:val="es-ES"/>
        </w:rPr>
        <w:t>SUJETO OBLIGADO</w:t>
      </w:r>
      <w:r w:rsidR="00F07EE6" w:rsidRPr="00C56E85">
        <w:rPr>
          <w:szCs w:val="22"/>
          <w:lang w:val="es-ES"/>
        </w:rPr>
        <w:t xml:space="preserve"> notificó la siguiente respuesta a través del </w:t>
      </w:r>
      <w:r w:rsidRPr="00C56E85">
        <w:rPr>
          <w:szCs w:val="22"/>
          <w:lang w:val="es-ES"/>
        </w:rPr>
        <w:t>SAIMEX</w:t>
      </w:r>
      <w:r w:rsidR="00F07EE6" w:rsidRPr="00C56E85">
        <w:rPr>
          <w:szCs w:val="22"/>
          <w:lang w:val="es-ES"/>
        </w:rPr>
        <w:t>:</w:t>
      </w:r>
    </w:p>
    <w:p w14:paraId="66410657" w14:textId="77777777" w:rsidR="002268D4" w:rsidRPr="00C56E85" w:rsidRDefault="002268D4" w:rsidP="00C56E85">
      <w:pPr>
        <w:pStyle w:val="Puesto"/>
        <w:ind w:left="0"/>
      </w:pPr>
    </w:p>
    <w:p w14:paraId="0BF18989" w14:textId="77777777" w:rsidR="005043E2" w:rsidRPr="00C56E85" w:rsidRDefault="005043E2" w:rsidP="00C56E85">
      <w:pPr>
        <w:pStyle w:val="Puesto"/>
        <w:jc w:val="right"/>
      </w:pPr>
      <w:r w:rsidRPr="00C56E85">
        <w:t>Folio de la solicitud: 00062/PAN/IP/2024</w:t>
      </w:r>
    </w:p>
    <w:p w14:paraId="655AB201" w14:textId="77777777" w:rsidR="005043E2" w:rsidRPr="00C56E85" w:rsidRDefault="005043E2" w:rsidP="00C56E85">
      <w:pPr>
        <w:pStyle w:val="Puesto"/>
      </w:pPr>
    </w:p>
    <w:p w14:paraId="4C35F6E1" w14:textId="77777777" w:rsidR="005043E2" w:rsidRPr="00C56E85" w:rsidRDefault="005043E2" w:rsidP="00C56E85">
      <w:pPr>
        <w:pStyle w:val="Puesto"/>
      </w:pPr>
      <w:r w:rsidRPr="00C56E85">
        <w:t>Por medio del presente reciba un cordial saludo. En calidad del Titular de la Unidad de Transparencia y Protección de Datos Personales del Partido Acción Nacional en el Estado de México, damos contestación mediante Sistema de Acceso, Rectificación, Cancelación y Oposición de Datos Personales del Estado de México con número de folio 00002/PAN/AD/2024.</w:t>
      </w:r>
    </w:p>
    <w:p w14:paraId="636BC806" w14:textId="77777777" w:rsidR="005043E2" w:rsidRPr="00C56E85" w:rsidRDefault="005043E2" w:rsidP="00C56E85">
      <w:pPr>
        <w:pStyle w:val="Puesto"/>
      </w:pPr>
    </w:p>
    <w:p w14:paraId="4D4CF2B9" w14:textId="77777777" w:rsidR="005043E2" w:rsidRPr="00C56E85" w:rsidRDefault="005043E2" w:rsidP="00C56E85">
      <w:pPr>
        <w:pStyle w:val="Puesto"/>
      </w:pPr>
      <w:r w:rsidRPr="00C56E85">
        <w:t>ATENTAMENTE</w:t>
      </w:r>
    </w:p>
    <w:p w14:paraId="59EF45C9" w14:textId="1C088D02" w:rsidR="00DC71C4" w:rsidRPr="00C56E85" w:rsidRDefault="005043E2" w:rsidP="00C56E85">
      <w:pPr>
        <w:pStyle w:val="Puesto"/>
      </w:pPr>
      <w:r w:rsidRPr="00C56E85">
        <w:t xml:space="preserve">.Lic. </w:t>
      </w:r>
      <w:proofErr w:type="gramStart"/>
      <w:r w:rsidRPr="00C56E85">
        <w:t>en</w:t>
      </w:r>
      <w:proofErr w:type="gramEnd"/>
      <w:r w:rsidRPr="00C56E85">
        <w:t xml:space="preserve"> Derecho Juan Carlos </w:t>
      </w:r>
      <w:proofErr w:type="spellStart"/>
      <w:r w:rsidRPr="00C56E85">
        <w:t>Jandette</w:t>
      </w:r>
      <w:proofErr w:type="spellEnd"/>
      <w:r w:rsidRPr="00C56E85">
        <w:t xml:space="preserve"> Delgado</w:t>
      </w:r>
    </w:p>
    <w:p w14:paraId="0F164B7D" w14:textId="77777777" w:rsidR="005043E2" w:rsidRPr="00C56E85" w:rsidRDefault="005043E2" w:rsidP="00C56E85"/>
    <w:p w14:paraId="2211D1AB" w14:textId="7F306D69" w:rsidR="00983EEF" w:rsidRPr="00C56E85" w:rsidRDefault="00F07EE6" w:rsidP="00C56E85">
      <w:pPr>
        <w:autoSpaceDE w:val="0"/>
        <w:autoSpaceDN w:val="0"/>
        <w:adjustRightInd w:val="0"/>
        <w:ind w:right="-28"/>
        <w:rPr>
          <w:rFonts w:cs="Tahoma"/>
          <w:bCs/>
          <w:szCs w:val="22"/>
          <w:lang w:val="es-ES"/>
        </w:rPr>
      </w:pPr>
      <w:r w:rsidRPr="00C56E85">
        <w:rPr>
          <w:rFonts w:cs="Tahoma"/>
          <w:bCs/>
          <w:szCs w:val="22"/>
          <w:lang w:val="es-ES"/>
        </w:rPr>
        <w:t xml:space="preserve">Asimismo, </w:t>
      </w:r>
      <w:r w:rsidRPr="00C56E85">
        <w:rPr>
          <w:rFonts w:cs="Tahoma"/>
          <w:b/>
          <w:szCs w:val="22"/>
          <w:lang w:val="es-ES"/>
        </w:rPr>
        <w:t xml:space="preserve">EL SUJETO OBLIGADO </w:t>
      </w:r>
      <w:r w:rsidRPr="00C56E85">
        <w:rPr>
          <w:rFonts w:cs="Tahoma"/>
          <w:bCs/>
          <w:szCs w:val="22"/>
          <w:lang w:val="es-ES"/>
        </w:rPr>
        <w:t xml:space="preserve">adjuntó a su respuesta </w:t>
      </w:r>
      <w:r w:rsidR="002E2C99" w:rsidRPr="00C56E85">
        <w:rPr>
          <w:rFonts w:cs="Tahoma"/>
          <w:bCs/>
          <w:szCs w:val="22"/>
          <w:lang w:val="es-ES"/>
        </w:rPr>
        <w:t xml:space="preserve">los </w:t>
      </w:r>
      <w:r w:rsidRPr="00C56E85">
        <w:rPr>
          <w:rFonts w:cs="Tahoma"/>
          <w:bCs/>
          <w:szCs w:val="22"/>
          <w:lang w:val="es-ES"/>
        </w:rPr>
        <w:t>archivo</w:t>
      </w:r>
      <w:r w:rsidR="002E2C99" w:rsidRPr="00C56E85">
        <w:rPr>
          <w:rFonts w:cs="Tahoma"/>
          <w:bCs/>
          <w:szCs w:val="22"/>
          <w:lang w:val="es-ES"/>
        </w:rPr>
        <w:t>s</w:t>
      </w:r>
      <w:r w:rsidRPr="00C56E85">
        <w:rPr>
          <w:rFonts w:cs="Tahoma"/>
          <w:bCs/>
          <w:szCs w:val="22"/>
          <w:lang w:val="es-ES"/>
        </w:rPr>
        <w:t xml:space="preserve"> electrónico</w:t>
      </w:r>
      <w:r w:rsidR="002E2C99" w:rsidRPr="00C56E85">
        <w:rPr>
          <w:rFonts w:cs="Tahoma"/>
          <w:bCs/>
          <w:szCs w:val="22"/>
          <w:lang w:val="es-ES"/>
        </w:rPr>
        <w:t>s</w:t>
      </w:r>
      <w:r w:rsidR="004252F1" w:rsidRPr="00C56E85">
        <w:rPr>
          <w:rFonts w:cs="Tahoma"/>
          <w:bCs/>
          <w:szCs w:val="22"/>
          <w:lang w:val="es-ES"/>
        </w:rPr>
        <w:t xml:space="preserve"> </w:t>
      </w:r>
      <w:r w:rsidR="00721C9E" w:rsidRPr="00C56E85">
        <w:rPr>
          <w:rFonts w:cs="Tahoma"/>
          <w:bCs/>
          <w:szCs w:val="22"/>
          <w:lang w:val="es-ES"/>
        </w:rPr>
        <w:t>que se describen a continuación:</w:t>
      </w:r>
    </w:p>
    <w:p w14:paraId="78824D45" w14:textId="77777777" w:rsidR="000729BE" w:rsidRPr="00C56E85" w:rsidRDefault="000729BE" w:rsidP="00C56E85">
      <w:pPr>
        <w:autoSpaceDE w:val="0"/>
        <w:autoSpaceDN w:val="0"/>
        <w:adjustRightInd w:val="0"/>
        <w:ind w:right="-28"/>
        <w:rPr>
          <w:rFonts w:cs="Tahoma"/>
          <w:bCs/>
          <w:szCs w:val="22"/>
          <w:lang w:val="es-ES"/>
        </w:rPr>
      </w:pPr>
    </w:p>
    <w:p w14:paraId="4BD8C8AD" w14:textId="77777777" w:rsidR="005043E2" w:rsidRPr="00C56E85" w:rsidRDefault="005043E2" w:rsidP="00C56E85">
      <w:pPr>
        <w:pStyle w:val="Prrafodelista"/>
        <w:numPr>
          <w:ilvl w:val="0"/>
          <w:numId w:val="3"/>
        </w:numPr>
        <w:autoSpaceDE w:val="0"/>
        <w:autoSpaceDN w:val="0"/>
        <w:adjustRightInd w:val="0"/>
        <w:ind w:right="-28"/>
        <w:rPr>
          <w:rFonts w:eastAsia="Palatino Linotype" w:cs="Palatino Linotype"/>
          <w:b/>
          <w:bCs/>
          <w:i/>
          <w:szCs w:val="22"/>
        </w:rPr>
      </w:pPr>
      <w:proofErr w:type="spellStart"/>
      <w:r w:rsidRPr="00C56E85">
        <w:rPr>
          <w:rFonts w:eastAsia="Palatino Linotype" w:cs="Palatino Linotype"/>
          <w:b/>
          <w:bCs/>
          <w:i/>
          <w:szCs w:val="22"/>
        </w:rPr>
        <w:t>Resolucio</w:t>
      </w:r>
      <w:proofErr w:type="spellEnd"/>
      <w:r w:rsidRPr="00C56E85">
        <w:rPr>
          <w:rFonts w:eastAsia="Palatino Linotype" w:cs="Palatino Linotype"/>
          <w:b/>
          <w:bCs/>
          <w:i/>
          <w:szCs w:val="22"/>
        </w:rPr>
        <w:t xml:space="preserve"> 03 Ampliación de Plazo PAN.pdf</w:t>
      </w:r>
    </w:p>
    <w:p w14:paraId="78B02722" w14:textId="6F1D1485" w:rsidR="005043E2" w:rsidRPr="00C56E85" w:rsidRDefault="00C53939" w:rsidP="00C56E85">
      <w:pPr>
        <w:autoSpaceDE w:val="0"/>
        <w:autoSpaceDN w:val="0"/>
        <w:adjustRightInd w:val="0"/>
        <w:ind w:left="360" w:right="-28"/>
        <w:rPr>
          <w:rFonts w:eastAsia="Palatino Linotype" w:cs="Palatino Linotype"/>
          <w:bCs/>
          <w:szCs w:val="22"/>
        </w:rPr>
      </w:pPr>
      <w:r w:rsidRPr="00C56E85">
        <w:rPr>
          <w:rFonts w:eastAsia="Palatino Linotype" w:cs="Palatino Linotype"/>
          <w:bCs/>
          <w:szCs w:val="22"/>
        </w:rPr>
        <w:t xml:space="preserve">Archivo constante de 4 páginas, en las que se observa el acta del Comité de Transparencia, de 07 de noviembre de 2024, mediante el cual se aprobó la ampliación de plazo a fin de dar respuesta a la solicitud de información de mérito. </w:t>
      </w:r>
    </w:p>
    <w:p w14:paraId="1A4C80D3" w14:textId="77777777" w:rsidR="00C53939" w:rsidRPr="00C56E85" w:rsidRDefault="00C53939" w:rsidP="00C56E85">
      <w:pPr>
        <w:autoSpaceDE w:val="0"/>
        <w:autoSpaceDN w:val="0"/>
        <w:adjustRightInd w:val="0"/>
        <w:ind w:left="360" w:right="-28"/>
        <w:rPr>
          <w:rFonts w:eastAsia="Palatino Linotype" w:cs="Palatino Linotype"/>
          <w:bCs/>
          <w:szCs w:val="22"/>
        </w:rPr>
      </w:pPr>
    </w:p>
    <w:p w14:paraId="758013E4" w14:textId="56977042" w:rsidR="000729BE" w:rsidRPr="00C56E85" w:rsidRDefault="005043E2" w:rsidP="00C56E85">
      <w:pPr>
        <w:pStyle w:val="Prrafodelista"/>
        <w:numPr>
          <w:ilvl w:val="0"/>
          <w:numId w:val="3"/>
        </w:numPr>
        <w:autoSpaceDE w:val="0"/>
        <w:autoSpaceDN w:val="0"/>
        <w:adjustRightInd w:val="0"/>
        <w:ind w:right="-28"/>
        <w:rPr>
          <w:rFonts w:eastAsia="Palatino Linotype" w:cs="Palatino Linotype"/>
          <w:b/>
          <w:bCs/>
          <w:i/>
          <w:szCs w:val="22"/>
        </w:rPr>
      </w:pPr>
      <w:r w:rsidRPr="00C56E85">
        <w:rPr>
          <w:rFonts w:eastAsia="Palatino Linotype" w:cs="Palatino Linotype"/>
          <w:b/>
          <w:bCs/>
          <w:i/>
          <w:szCs w:val="22"/>
        </w:rPr>
        <w:t>Prorroga UT.pdf</w:t>
      </w:r>
    </w:p>
    <w:p w14:paraId="77A2B110" w14:textId="7BEF6C94" w:rsidR="00C53939" w:rsidRPr="00C56E85" w:rsidRDefault="00C53939" w:rsidP="00C56E85">
      <w:pPr>
        <w:autoSpaceDE w:val="0"/>
        <w:autoSpaceDN w:val="0"/>
        <w:adjustRightInd w:val="0"/>
        <w:ind w:left="360" w:right="-28"/>
        <w:rPr>
          <w:rFonts w:eastAsia="Palatino Linotype" w:cs="Palatino Linotype"/>
          <w:bCs/>
          <w:szCs w:val="22"/>
        </w:rPr>
      </w:pPr>
      <w:r w:rsidRPr="00C56E85">
        <w:rPr>
          <w:rFonts w:eastAsia="Palatino Linotype" w:cs="Palatino Linotype"/>
          <w:bCs/>
          <w:szCs w:val="22"/>
        </w:rPr>
        <w:t xml:space="preserve">Archivo constante de 1 página, dirigido al Titular de la Unidad de Transparencia y Protección de datos Personales, suscrito por el Presidente Estatal, en el que le indica que derivado de la información </w:t>
      </w:r>
      <w:r w:rsidR="007E5492" w:rsidRPr="00C56E85">
        <w:rPr>
          <w:rFonts w:eastAsia="Palatino Linotype" w:cs="Palatino Linotype"/>
          <w:bCs/>
          <w:szCs w:val="22"/>
        </w:rPr>
        <w:t>peticionada</w:t>
      </w:r>
      <w:r w:rsidRPr="00C56E85">
        <w:rPr>
          <w:rFonts w:eastAsia="Palatino Linotype" w:cs="Palatino Linotype"/>
          <w:bCs/>
          <w:szCs w:val="22"/>
        </w:rPr>
        <w:t xml:space="preserve">, solicita someter a consideración del Comité la solicitud de ampliación de plazo para dar contestación a la solicitud. </w:t>
      </w:r>
    </w:p>
    <w:p w14:paraId="0ABA84E6" w14:textId="77777777" w:rsidR="005043E2" w:rsidRPr="00C56E85" w:rsidRDefault="005043E2" w:rsidP="00C56E85">
      <w:pPr>
        <w:autoSpaceDE w:val="0"/>
        <w:autoSpaceDN w:val="0"/>
        <w:adjustRightInd w:val="0"/>
        <w:ind w:right="-28"/>
        <w:rPr>
          <w:rFonts w:cs="Tahoma"/>
          <w:bCs/>
          <w:szCs w:val="22"/>
          <w:lang w:val="es-ES"/>
        </w:rPr>
      </w:pPr>
    </w:p>
    <w:p w14:paraId="5A5DAB9E" w14:textId="7AFC5D98" w:rsidR="00E37A3F" w:rsidRPr="00C56E85" w:rsidRDefault="00E37A3F" w:rsidP="00C56E85">
      <w:pPr>
        <w:pStyle w:val="Ttulo2"/>
        <w:jc w:val="left"/>
        <w:rPr>
          <w:szCs w:val="22"/>
        </w:rPr>
      </w:pPr>
      <w:bookmarkStart w:id="10" w:name="_Toc184230582"/>
      <w:r w:rsidRPr="00C56E85">
        <w:rPr>
          <w:szCs w:val="22"/>
        </w:rPr>
        <w:lastRenderedPageBreak/>
        <w:t>DEL RECURSO DE REVISIÓN</w:t>
      </w:r>
      <w:bookmarkEnd w:id="10"/>
    </w:p>
    <w:p w14:paraId="2B216813" w14:textId="61ADBB2B" w:rsidR="00664420" w:rsidRPr="00C56E85" w:rsidRDefault="006E25BC" w:rsidP="00C56E85">
      <w:pPr>
        <w:pStyle w:val="Ttulo3"/>
        <w:rPr>
          <w:szCs w:val="22"/>
        </w:rPr>
      </w:pPr>
      <w:bookmarkStart w:id="11" w:name="_Toc184230583"/>
      <w:r w:rsidRPr="00C56E85">
        <w:rPr>
          <w:szCs w:val="22"/>
        </w:rPr>
        <w:t xml:space="preserve">a) </w:t>
      </w:r>
      <w:r w:rsidR="00664420" w:rsidRPr="00C56E85">
        <w:rPr>
          <w:szCs w:val="22"/>
        </w:rPr>
        <w:t>Interposición del Recurso de Revisión</w:t>
      </w:r>
      <w:bookmarkEnd w:id="11"/>
    </w:p>
    <w:p w14:paraId="6279C622" w14:textId="279AA6CD" w:rsidR="00664420" w:rsidRPr="00C56E85" w:rsidRDefault="00664420" w:rsidP="00C56E85">
      <w:pPr>
        <w:autoSpaceDE w:val="0"/>
        <w:autoSpaceDN w:val="0"/>
        <w:adjustRightInd w:val="0"/>
        <w:ind w:right="-28"/>
        <w:rPr>
          <w:rFonts w:cs="Tahoma"/>
          <w:szCs w:val="22"/>
        </w:rPr>
      </w:pPr>
      <w:r w:rsidRPr="00C56E85">
        <w:rPr>
          <w:rFonts w:cs="Tahoma"/>
          <w:szCs w:val="22"/>
        </w:rPr>
        <w:t xml:space="preserve">El </w:t>
      </w:r>
      <w:r w:rsidR="005043E2" w:rsidRPr="00C56E85">
        <w:rPr>
          <w:rFonts w:cs="Tahoma"/>
          <w:b/>
          <w:bCs/>
          <w:szCs w:val="22"/>
        </w:rPr>
        <w:t>diez de noviembre</w:t>
      </w:r>
      <w:r w:rsidRPr="00C56E85">
        <w:rPr>
          <w:rFonts w:cs="Tahoma"/>
          <w:b/>
          <w:bCs/>
          <w:szCs w:val="22"/>
        </w:rPr>
        <w:t xml:space="preserve"> de dos mil </w:t>
      </w:r>
      <w:r w:rsidR="00E810F7" w:rsidRPr="00C56E85">
        <w:rPr>
          <w:rFonts w:cs="Tahoma"/>
          <w:b/>
          <w:bCs/>
          <w:szCs w:val="22"/>
        </w:rPr>
        <w:t>veinticuatro</w:t>
      </w:r>
      <w:r w:rsidR="009C7CDB" w:rsidRPr="00C56E85">
        <w:rPr>
          <w:rFonts w:cs="Tahoma"/>
          <w:b/>
          <w:bCs/>
          <w:szCs w:val="22"/>
        </w:rPr>
        <w:t>,</w:t>
      </w:r>
      <w:r w:rsidRPr="00C56E85">
        <w:rPr>
          <w:rFonts w:cs="Tahoma"/>
          <w:szCs w:val="22"/>
        </w:rPr>
        <w:t xml:space="preserve"> </w:t>
      </w:r>
      <w:r w:rsidR="00F75D23" w:rsidRPr="00C56E85">
        <w:rPr>
          <w:rFonts w:cs="Tahoma"/>
          <w:b/>
          <w:bCs/>
          <w:szCs w:val="22"/>
        </w:rPr>
        <w:t>LA PARTE RECURRENTE</w:t>
      </w:r>
      <w:r w:rsidR="00F75D23" w:rsidRPr="00C56E85">
        <w:rPr>
          <w:rFonts w:cs="Tahoma"/>
          <w:szCs w:val="22"/>
        </w:rPr>
        <w:t xml:space="preserve"> interpuso el recurso de revisión en contra de la respuesta emitida por </w:t>
      </w:r>
      <w:r w:rsidR="007E5492" w:rsidRPr="00C56E85">
        <w:rPr>
          <w:rFonts w:cs="Tahoma"/>
          <w:b/>
          <w:szCs w:val="22"/>
        </w:rPr>
        <w:t xml:space="preserve">EL </w:t>
      </w:r>
      <w:r w:rsidR="00F75D23" w:rsidRPr="00C56E85">
        <w:rPr>
          <w:rFonts w:cs="Tahoma"/>
          <w:b/>
          <w:bCs/>
          <w:szCs w:val="22"/>
        </w:rPr>
        <w:t>SUJETO OBLIGADO</w:t>
      </w:r>
      <w:r w:rsidR="00953430" w:rsidRPr="00C56E85">
        <w:rPr>
          <w:rFonts w:cs="Tahoma"/>
          <w:szCs w:val="22"/>
        </w:rPr>
        <w:t xml:space="preserve">, mismo que fue registrado en el </w:t>
      </w:r>
      <w:r w:rsidR="00953430" w:rsidRPr="00C56E85">
        <w:rPr>
          <w:rFonts w:cs="Tahoma"/>
          <w:b/>
          <w:szCs w:val="22"/>
        </w:rPr>
        <w:t>SAIMEX</w:t>
      </w:r>
      <w:r w:rsidR="00953430" w:rsidRPr="00C56E85">
        <w:rPr>
          <w:rFonts w:cs="Tahoma"/>
          <w:szCs w:val="22"/>
        </w:rPr>
        <w:t xml:space="preserve"> con el número de expediente </w:t>
      </w:r>
      <w:r w:rsidR="006D59EF" w:rsidRPr="00C56E85">
        <w:rPr>
          <w:rFonts w:cs="Tahoma"/>
          <w:b/>
          <w:bCs/>
          <w:szCs w:val="22"/>
        </w:rPr>
        <w:t>07142/INFOEM/IP/RR/2024</w:t>
      </w:r>
      <w:r w:rsidR="007E5492" w:rsidRPr="00C56E85">
        <w:rPr>
          <w:rFonts w:cs="Tahoma"/>
          <w:szCs w:val="22"/>
        </w:rPr>
        <w:t>, y en el cual manifestó</w:t>
      </w:r>
      <w:r w:rsidR="00953430" w:rsidRPr="00C56E85">
        <w:rPr>
          <w:rFonts w:cs="Tahoma"/>
          <w:szCs w:val="22"/>
        </w:rPr>
        <w:t xml:space="preserve"> lo siguiente</w:t>
      </w:r>
      <w:r w:rsidRPr="00C56E85">
        <w:rPr>
          <w:rFonts w:cs="Tahoma"/>
          <w:szCs w:val="22"/>
        </w:rPr>
        <w:t>:</w:t>
      </w:r>
    </w:p>
    <w:p w14:paraId="74B30008" w14:textId="77777777" w:rsidR="00664420" w:rsidRPr="00C56E85" w:rsidRDefault="00664420" w:rsidP="00C56E85">
      <w:pPr>
        <w:tabs>
          <w:tab w:val="left" w:pos="4667"/>
        </w:tabs>
        <w:ind w:right="539"/>
        <w:rPr>
          <w:rFonts w:cs="Tahoma"/>
          <w:szCs w:val="22"/>
        </w:rPr>
      </w:pPr>
    </w:p>
    <w:p w14:paraId="6900A410" w14:textId="77777777" w:rsidR="0009347C" w:rsidRPr="00C56E85" w:rsidRDefault="00664420" w:rsidP="00C56E85">
      <w:pPr>
        <w:tabs>
          <w:tab w:val="left" w:pos="4667"/>
        </w:tabs>
        <w:ind w:left="567" w:right="539"/>
        <w:rPr>
          <w:rFonts w:cs="Tahoma"/>
          <w:b/>
          <w:iCs/>
          <w:szCs w:val="22"/>
        </w:rPr>
      </w:pPr>
      <w:r w:rsidRPr="00C56E85">
        <w:rPr>
          <w:rFonts w:cs="Tahoma"/>
          <w:b/>
          <w:iCs/>
          <w:szCs w:val="22"/>
        </w:rPr>
        <w:t>ACTO IMPUGNADO</w:t>
      </w:r>
    </w:p>
    <w:p w14:paraId="5DFB14D6" w14:textId="3656B566" w:rsidR="00260F26" w:rsidRPr="00C56E85" w:rsidRDefault="005043E2" w:rsidP="00C56E85">
      <w:pPr>
        <w:tabs>
          <w:tab w:val="left" w:pos="4667"/>
        </w:tabs>
        <w:ind w:left="567" w:right="539"/>
        <w:rPr>
          <w:rFonts w:cs="Tahoma"/>
          <w:i/>
          <w:iCs/>
          <w:szCs w:val="22"/>
        </w:rPr>
      </w:pPr>
      <w:r w:rsidRPr="00C56E85">
        <w:rPr>
          <w:rFonts w:cs="Tahoma"/>
          <w:i/>
          <w:iCs/>
          <w:szCs w:val="22"/>
        </w:rPr>
        <w:t>“Me parece que querían solicitar una prórroga pero misteriosamente respondieron la solicitud de información sin dar respuesta alguna</w:t>
      </w:r>
      <w:r w:rsidR="000729BE" w:rsidRPr="00C56E85">
        <w:rPr>
          <w:rFonts w:cs="Tahoma"/>
          <w:i/>
          <w:iCs/>
          <w:szCs w:val="22"/>
        </w:rPr>
        <w:t>.</w:t>
      </w:r>
      <w:r w:rsidRPr="00C56E85">
        <w:rPr>
          <w:rFonts w:cs="Tahoma"/>
          <w:i/>
          <w:iCs/>
          <w:szCs w:val="22"/>
        </w:rPr>
        <w:t>” Sic.</w:t>
      </w:r>
    </w:p>
    <w:p w14:paraId="4F5E70DC" w14:textId="77777777" w:rsidR="000729BE" w:rsidRPr="00C56E85" w:rsidRDefault="000729BE" w:rsidP="00C56E85">
      <w:pPr>
        <w:tabs>
          <w:tab w:val="left" w:pos="4667"/>
        </w:tabs>
        <w:ind w:left="567" w:right="539"/>
        <w:rPr>
          <w:rFonts w:cs="Tahoma"/>
          <w:b/>
          <w:iCs/>
          <w:szCs w:val="22"/>
        </w:rPr>
      </w:pPr>
    </w:p>
    <w:p w14:paraId="047D036B" w14:textId="77777777" w:rsidR="00664420" w:rsidRPr="00C56E85" w:rsidRDefault="00664420" w:rsidP="00C56E85">
      <w:pPr>
        <w:tabs>
          <w:tab w:val="left" w:pos="4667"/>
        </w:tabs>
        <w:ind w:left="567" w:right="539"/>
        <w:rPr>
          <w:rFonts w:cs="Tahoma"/>
          <w:b/>
          <w:iCs/>
          <w:szCs w:val="22"/>
        </w:rPr>
      </w:pPr>
      <w:r w:rsidRPr="00C56E85">
        <w:rPr>
          <w:rFonts w:cs="Tahoma"/>
          <w:b/>
          <w:iCs/>
          <w:szCs w:val="22"/>
        </w:rPr>
        <w:t>RAZONES O MOTIVOS DE LA INCONFORMIDAD</w:t>
      </w:r>
      <w:r w:rsidRPr="00C56E85">
        <w:rPr>
          <w:rFonts w:cs="Tahoma"/>
          <w:b/>
          <w:iCs/>
          <w:szCs w:val="22"/>
        </w:rPr>
        <w:tab/>
      </w:r>
    </w:p>
    <w:p w14:paraId="3E375291" w14:textId="37DB270F" w:rsidR="00674B17" w:rsidRPr="00C56E85" w:rsidRDefault="005043E2" w:rsidP="00C56E85">
      <w:pPr>
        <w:pStyle w:val="Puesto"/>
      </w:pPr>
      <w:r w:rsidRPr="00C56E85">
        <w:t>“Pues hicieron todo menos contestar esta solicitud” Sic.</w:t>
      </w:r>
    </w:p>
    <w:p w14:paraId="70613F9B" w14:textId="77777777" w:rsidR="00A96D91" w:rsidRPr="00C56E85" w:rsidRDefault="00A96D91" w:rsidP="00C56E85"/>
    <w:p w14:paraId="6804DEF1" w14:textId="3C4F6CB5" w:rsidR="00664420" w:rsidRPr="00C56E85" w:rsidRDefault="006E25BC" w:rsidP="00C56E85">
      <w:pPr>
        <w:pStyle w:val="Ttulo3"/>
        <w:rPr>
          <w:szCs w:val="22"/>
        </w:rPr>
      </w:pPr>
      <w:bookmarkStart w:id="12" w:name="_Toc184230584"/>
      <w:r w:rsidRPr="00C56E85">
        <w:rPr>
          <w:szCs w:val="22"/>
        </w:rPr>
        <w:t>b</w:t>
      </w:r>
      <w:r w:rsidR="00664420" w:rsidRPr="00C56E85">
        <w:rPr>
          <w:szCs w:val="22"/>
        </w:rPr>
        <w:t>) Turno del Recurso de Revisión</w:t>
      </w:r>
      <w:bookmarkEnd w:id="12"/>
    </w:p>
    <w:p w14:paraId="1173671B" w14:textId="6629986B" w:rsidR="00C72DAA" w:rsidRPr="00C56E85" w:rsidRDefault="00C72DAA" w:rsidP="00C56E85">
      <w:pPr>
        <w:rPr>
          <w:szCs w:val="22"/>
        </w:rPr>
      </w:pPr>
      <w:r w:rsidRPr="00C56E85">
        <w:rPr>
          <w:szCs w:val="22"/>
        </w:rPr>
        <w:t>Con fundamento en el artículo 185, fracción I de la Ley de Transparencia y Acceso a la Información Pública del Estado de México y Municipios, el</w:t>
      </w:r>
      <w:r w:rsidRPr="00C56E85">
        <w:rPr>
          <w:b/>
          <w:bCs/>
          <w:szCs w:val="22"/>
        </w:rPr>
        <w:t xml:space="preserve"> </w:t>
      </w:r>
      <w:r w:rsidR="00D65B16" w:rsidRPr="00C56E85">
        <w:rPr>
          <w:rFonts w:cs="Tahoma"/>
          <w:b/>
          <w:bCs/>
          <w:szCs w:val="22"/>
        </w:rPr>
        <w:t>diez</w:t>
      </w:r>
      <w:r w:rsidR="002411A0" w:rsidRPr="00C56E85">
        <w:rPr>
          <w:rFonts w:cs="Tahoma"/>
          <w:b/>
          <w:bCs/>
          <w:szCs w:val="22"/>
        </w:rPr>
        <w:t xml:space="preserve"> de </w:t>
      </w:r>
      <w:r w:rsidR="005043E2" w:rsidRPr="00C56E85">
        <w:rPr>
          <w:rFonts w:cs="Tahoma"/>
          <w:b/>
          <w:bCs/>
          <w:szCs w:val="22"/>
        </w:rPr>
        <w:t>noviembre</w:t>
      </w:r>
      <w:r w:rsidR="004252F1" w:rsidRPr="00C56E85">
        <w:rPr>
          <w:rFonts w:cs="Tahoma"/>
          <w:b/>
          <w:bCs/>
          <w:szCs w:val="22"/>
        </w:rPr>
        <w:t xml:space="preserve"> de dos mil veinticuatro</w:t>
      </w:r>
      <w:r w:rsidR="00003628" w:rsidRPr="00C56E85">
        <w:rPr>
          <w:rFonts w:cs="Tahoma"/>
          <w:b/>
          <w:bCs/>
          <w:szCs w:val="22"/>
        </w:rPr>
        <w:t>,</w:t>
      </w:r>
      <w:r w:rsidRPr="00C56E85">
        <w:rPr>
          <w:szCs w:val="22"/>
        </w:rPr>
        <w:t xml:space="preserve"> se turnó el recurso de revisión a través del</w:t>
      </w:r>
      <w:r w:rsidRPr="00C56E85">
        <w:rPr>
          <w:rFonts w:eastAsia="Arial Unicode MS"/>
          <w:szCs w:val="22"/>
        </w:rPr>
        <w:t xml:space="preserve"> </w:t>
      </w:r>
      <w:r w:rsidRPr="00C56E85">
        <w:rPr>
          <w:rFonts w:eastAsia="Arial Unicode MS"/>
          <w:bCs/>
          <w:szCs w:val="22"/>
        </w:rPr>
        <w:t>SAIMEX</w:t>
      </w:r>
      <w:r w:rsidRPr="00C56E85">
        <w:rPr>
          <w:szCs w:val="22"/>
        </w:rPr>
        <w:t xml:space="preserve"> a la </w:t>
      </w:r>
      <w:r w:rsidRPr="00C56E85">
        <w:rPr>
          <w:b/>
          <w:szCs w:val="22"/>
        </w:rPr>
        <w:t>Comisionada Sharon Cristina Morales Martínez</w:t>
      </w:r>
      <w:r w:rsidRPr="00C56E85">
        <w:rPr>
          <w:bCs/>
          <w:szCs w:val="22"/>
        </w:rPr>
        <w:t xml:space="preserve">, </w:t>
      </w:r>
      <w:r w:rsidRPr="00C56E85">
        <w:rPr>
          <w:szCs w:val="22"/>
        </w:rPr>
        <w:t xml:space="preserve">a efecto de decretar su admisión o </w:t>
      </w:r>
      <w:proofErr w:type="spellStart"/>
      <w:r w:rsidRPr="00C56E85">
        <w:rPr>
          <w:szCs w:val="22"/>
        </w:rPr>
        <w:t>desechamiento</w:t>
      </w:r>
      <w:proofErr w:type="spellEnd"/>
      <w:r w:rsidRPr="00C56E85">
        <w:rPr>
          <w:szCs w:val="22"/>
        </w:rPr>
        <w:t xml:space="preserve">. </w:t>
      </w:r>
    </w:p>
    <w:p w14:paraId="64C93BAD" w14:textId="77777777" w:rsidR="005043E2" w:rsidRPr="00C56E85" w:rsidRDefault="005043E2" w:rsidP="00C56E85">
      <w:pPr>
        <w:rPr>
          <w:szCs w:val="22"/>
        </w:rPr>
      </w:pPr>
    </w:p>
    <w:p w14:paraId="3E31EC2D" w14:textId="295256A1" w:rsidR="00664420" w:rsidRPr="00C56E85" w:rsidRDefault="006E25BC" w:rsidP="00C56E85">
      <w:pPr>
        <w:pStyle w:val="Ttulo3"/>
        <w:rPr>
          <w:szCs w:val="22"/>
        </w:rPr>
      </w:pPr>
      <w:bookmarkStart w:id="13" w:name="_Toc184230585"/>
      <w:r w:rsidRPr="00C56E85">
        <w:rPr>
          <w:szCs w:val="22"/>
        </w:rPr>
        <w:t>c</w:t>
      </w:r>
      <w:r w:rsidR="00664420" w:rsidRPr="00C56E85">
        <w:rPr>
          <w:szCs w:val="22"/>
        </w:rPr>
        <w:t>) Admisión del Recurso de Revisión</w:t>
      </w:r>
      <w:bookmarkEnd w:id="13"/>
    </w:p>
    <w:p w14:paraId="240447D5" w14:textId="0ABC2324" w:rsidR="000E09C4" w:rsidRPr="00C56E85" w:rsidRDefault="000E09C4" w:rsidP="00C56E85">
      <w:pPr>
        <w:rPr>
          <w:rFonts w:cs="Arial"/>
          <w:szCs w:val="22"/>
        </w:rPr>
      </w:pPr>
      <w:r w:rsidRPr="00C56E85">
        <w:rPr>
          <w:rFonts w:cs="Arial"/>
          <w:szCs w:val="22"/>
        </w:rPr>
        <w:t xml:space="preserve">El </w:t>
      </w:r>
      <w:r w:rsidR="005043E2" w:rsidRPr="00C56E85">
        <w:rPr>
          <w:rFonts w:cs="Arial"/>
          <w:b/>
          <w:bCs/>
          <w:szCs w:val="22"/>
        </w:rPr>
        <w:t>doce de noviembre</w:t>
      </w:r>
      <w:r w:rsidR="004252F1" w:rsidRPr="00C56E85">
        <w:rPr>
          <w:rFonts w:cs="Arial"/>
          <w:b/>
          <w:bCs/>
          <w:szCs w:val="22"/>
        </w:rPr>
        <w:t xml:space="preserve"> de dos mil veinticuatro</w:t>
      </w:r>
      <w:r w:rsidR="00003628" w:rsidRPr="00C56E85">
        <w:rPr>
          <w:rFonts w:cs="Arial"/>
          <w:b/>
          <w:bCs/>
          <w:szCs w:val="22"/>
        </w:rPr>
        <w:t>,</w:t>
      </w:r>
      <w:r w:rsidR="004252F1" w:rsidRPr="00C56E85">
        <w:rPr>
          <w:rFonts w:cs="Arial"/>
          <w:szCs w:val="22"/>
        </w:rPr>
        <w:t xml:space="preserve"> </w:t>
      </w:r>
      <w:r w:rsidRPr="00C56E85">
        <w:rPr>
          <w:rFonts w:cs="Arial"/>
          <w:szCs w:val="22"/>
        </w:rPr>
        <w:t xml:space="preserve">se acordó la admisión a trámite del Recurso de Revisión y se integró el expediente respectivo, mismo que se puso a disposición de las partes para que, en un plazo de siete días hábiles, manifestaran lo que a su derecho conviniera, </w:t>
      </w:r>
      <w:r w:rsidRPr="00C56E85">
        <w:rPr>
          <w:rFonts w:cs="Arial"/>
          <w:szCs w:val="22"/>
        </w:rPr>
        <w:lastRenderedPageBreak/>
        <w:t>conforme a lo dispuesto por el artículo 185</w:t>
      </w:r>
      <w:r w:rsidR="00865CF4" w:rsidRPr="00C56E85">
        <w:rPr>
          <w:rFonts w:cs="Arial"/>
          <w:szCs w:val="22"/>
        </w:rPr>
        <w:t>, fracción II</w:t>
      </w:r>
      <w:r w:rsidRPr="00C56E85">
        <w:rPr>
          <w:rFonts w:cs="Arial"/>
          <w:szCs w:val="22"/>
        </w:rPr>
        <w:t xml:space="preserve"> de la Ley de Transparencia y Acceso a la Información Pública del Estado de México y Municipios.</w:t>
      </w:r>
    </w:p>
    <w:p w14:paraId="34EC3F86" w14:textId="77777777" w:rsidR="00D2790D" w:rsidRPr="00C56E85" w:rsidRDefault="00D2790D" w:rsidP="00C56E85">
      <w:pPr>
        <w:rPr>
          <w:rFonts w:cs="Arial"/>
          <w:szCs w:val="22"/>
        </w:rPr>
      </w:pPr>
    </w:p>
    <w:p w14:paraId="3B820F58" w14:textId="4FFAE290" w:rsidR="00865CF4" w:rsidRPr="00C56E85" w:rsidRDefault="006E25BC" w:rsidP="00C56E85">
      <w:pPr>
        <w:pStyle w:val="Ttulo3"/>
        <w:rPr>
          <w:szCs w:val="22"/>
        </w:rPr>
      </w:pPr>
      <w:bookmarkStart w:id="14" w:name="_Toc184230586"/>
      <w:r w:rsidRPr="00C56E85">
        <w:rPr>
          <w:szCs w:val="22"/>
        </w:rPr>
        <w:t>d</w:t>
      </w:r>
      <w:r w:rsidR="00D2790D" w:rsidRPr="00C56E85">
        <w:rPr>
          <w:szCs w:val="22"/>
        </w:rPr>
        <w:t xml:space="preserve">) </w:t>
      </w:r>
      <w:r w:rsidR="00865CF4" w:rsidRPr="00C56E85">
        <w:rPr>
          <w:szCs w:val="22"/>
        </w:rPr>
        <w:t>Informe Justificado del Sujeto Obligado</w:t>
      </w:r>
      <w:bookmarkEnd w:id="14"/>
    </w:p>
    <w:p w14:paraId="4714BA37" w14:textId="77777777" w:rsidR="005043E2" w:rsidRPr="00C56E85" w:rsidRDefault="005043E2" w:rsidP="00C56E85">
      <w:pPr>
        <w:rPr>
          <w:szCs w:val="22"/>
        </w:rPr>
      </w:pPr>
      <w:r w:rsidRPr="00C56E85">
        <w:rPr>
          <w:szCs w:val="22"/>
        </w:rPr>
        <w:t xml:space="preserve">De las constancias que obran en el expediente electrónico del </w:t>
      </w:r>
      <w:r w:rsidRPr="00C56E85">
        <w:rPr>
          <w:b/>
          <w:szCs w:val="22"/>
        </w:rPr>
        <w:t>SAIMEX</w:t>
      </w:r>
      <w:r w:rsidRPr="00C56E85">
        <w:rPr>
          <w:szCs w:val="22"/>
        </w:rPr>
        <w:t xml:space="preserve">, se advierte que </w:t>
      </w:r>
      <w:r w:rsidRPr="00C56E85">
        <w:rPr>
          <w:b/>
          <w:szCs w:val="22"/>
        </w:rPr>
        <w:t>EL SUJETO OBLIGADO</w:t>
      </w:r>
      <w:r w:rsidRPr="00C56E85">
        <w:rPr>
          <w:szCs w:val="22"/>
        </w:rPr>
        <w:t xml:space="preserve"> omitió remitir su informe justificado dentro del plazo legalmente concedido.</w:t>
      </w:r>
    </w:p>
    <w:p w14:paraId="52522FF9" w14:textId="77777777" w:rsidR="006740EA" w:rsidRPr="00C56E85" w:rsidRDefault="006740EA" w:rsidP="00C56E85">
      <w:pPr>
        <w:rPr>
          <w:lang w:eastAsia="es-MX"/>
        </w:rPr>
      </w:pPr>
    </w:p>
    <w:p w14:paraId="755B7730" w14:textId="2A0EB956" w:rsidR="00664420" w:rsidRPr="00C56E85" w:rsidRDefault="00E810F7" w:rsidP="00C56E85">
      <w:pPr>
        <w:pStyle w:val="Ttulo3"/>
        <w:rPr>
          <w:szCs w:val="22"/>
          <w:lang w:val="es-ES"/>
        </w:rPr>
      </w:pPr>
      <w:bookmarkStart w:id="15" w:name="_Toc184230587"/>
      <w:r w:rsidRPr="00C56E85">
        <w:rPr>
          <w:rFonts w:eastAsia="Calibri"/>
          <w:bCs/>
          <w:szCs w:val="22"/>
          <w:lang w:eastAsia="en-US"/>
        </w:rPr>
        <w:t>e</w:t>
      </w:r>
      <w:r w:rsidR="00664420" w:rsidRPr="00C56E85">
        <w:rPr>
          <w:rFonts w:eastAsia="Calibri"/>
          <w:bCs/>
          <w:szCs w:val="22"/>
          <w:lang w:eastAsia="en-US"/>
        </w:rPr>
        <w:t>)</w:t>
      </w:r>
      <w:r w:rsidR="00664420" w:rsidRPr="00C56E85">
        <w:rPr>
          <w:szCs w:val="22"/>
        </w:rPr>
        <w:t xml:space="preserve"> </w:t>
      </w:r>
      <w:r w:rsidR="00865CF4" w:rsidRPr="00C56E85">
        <w:rPr>
          <w:szCs w:val="22"/>
          <w:lang w:val="es-ES"/>
        </w:rPr>
        <w:t>Manifestaciones de la Parte Recurrente</w:t>
      </w:r>
      <w:bookmarkEnd w:id="15"/>
    </w:p>
    <w:p w14:paraId="4512DAC2" w14:textId="77777777" w:rsidR="00D65B16" w:rsidRPr="00C56E85" w:rsidRDefault="00D65B16" w:rsidP="00C56E85">
      <w:r w:rsidRPr="00C56E85">
        <w:rPr>
          <w:b/>
        </w:rPr>
        <w:t xml:space="preserve">LA PARTE RECURRENTE </w:t>
      </w:r>
      <w:r w:rsidRPr="00C56E85">
        <w:t>no realizó manifestación alguna dentro del término legalmente concedido para tal efecto, ni presentó pruebas o alegatos.</w:t>
      </w:r>
    </w:p>
    <w:p w14:paraId="0AB915E0" w14:textId="586BF186" w:rsidR="00430A6E" w:rsidRPr="00C56E85" w:rsidRDefault="00430A6E" w:rsidP="00C56E85">
      <w:pPr>
        <w:pStyle w:val="Puesto"/>
        <w:jc w:val="right"/>
      </w:pPr>
    </w:p>
    <w:p w14:paraId="0E651988" w14:textId="57633342" w:rsidR="00664420" w:rsidRPr="00C56E85" w:rsidRDefault="000863CE" w:rsidP="00C56E85">
      <w:pPr>
        <w:pStyle w:val="Ttulo3"/>
        <w:rPr>
          <w:szCs w:val="22"/>
        </w:rPr>
      </w:pPr>
      <w:bookmarkStart w:id="16" w:name="_Toc184230588"/>
      <w:r w:rsidRPr="00C56E85">
        <w:rPr>
          <w:rFonts w:eastAsia="Calibri"/>
          <w:szCs w:val="22"/>
        </w:rPr>
        <w:t>f</w:t>
      </w:r>
      <w:r w:rsidR="00664420" w:rsidRPr="00C56E85">
        <w:rPr>
          <w:rFonts w:eastAsia="Calibri"/>
          <w:szCs w:val="22"/>
        </w:rPr>
        <w:t xml:space="preserve">) </w:t>
      </w:r>
      <w:r w:rsidR="00664420" w:rsidRPr="00C56E85">
        <w:rPr>
          <w:szCs w:val="22"/>
        </w:rPr>
        <w:t>Cierre de instrucción</w:t>
      </w:r>
      <w:bookmarkEnd w:id="16"/>
    </w:p>
    <w:p w14:paraId="79AF95DC" w14:textId="66C7D052" w:rsidR="00664420" w:rsidRDefault="00BF091A" w:rsidP="00C56E85">
      <w:pPr>
        <w:rPr>
          <w:rFonts w:cs="Tahoma"/>
          <w:szCs w:val="22"/>
        </w:rPr>
      </w:pPr>
      <w:r w:rsidRPr="00C56E85">
        <w:rPr>
          <w:rFonts w:cs="Tahoma"/>
          <w:szCs w:val="22"/>
        </w:rPr>
        <w:t>Al no existir diligencias pendientes por desahogar</w:t>
      </w:r>
      <w:r w:rsidRPr="00C56E85">
        <w:rPr>
          <w:rFonts w:cs="Arial"/>
          <w:szCs w:val="22"/>
        </w:rPr>
        <w:t xml:space="preserve">, el </w:t>
      </w:r>
      <w:r w:rsidR="005043E2" w:rsidRPr="00C56E85">
        <w:rPr>
          <w:rFonts w:cs="Tahoma"/>
          <w:b/>
          <w:bCs/>
          <w:szCs w:val="22"/>
        </w:rPr>
        <w:t>veintiséis</w:t>
      </w:r>
      <w:r w:rsidR="00D65B16" w:rsidRPr="00C56E85">
        <w:rPr>
          <w:rFonts w:cs="Tahoma"/>
          <w:b/>
          <w:bCs/>
          <w:szCs w:val="22"/>
        </w:rPr>
        <w:t xml:space="preserve"> de noviembre</w:t>
      </w:r>
      <w:r w:rsidR="00E810F7" w:rsidRPr="00C56E85">
        <w:rPr>
          <w:rFonts w:cs="Tahoma"/>
          <w:b/>
          <w:bCs/>
          <w:szCs w:val="22"/>
        </w:rPr>
        <w:t xml:space="preserve"> de dos mil veinticuatro</w:t>
      </w:r>
      <w:r w:rsidR="00003628" w:rsidRPr="00C56E85">
        <w:rPr>
          <w:rFonts w:cs="Tahoma"/>
          <w:b/>
          <w:bCs/>
          <w:szCs w:val="22"/>
        </w:rPr>
        <w:t>,</w:t>
      </w:r>
      <w:r w:rsidR="00E810F7" w:rsidRPr="00C56E85">
        <w:rPr>
          <w:rFonts w:cs="Tahoma"/>
          <w:szCs w:val="22"/>
        </w:rPr>
        <w:t xml:space="preserve"> </w:t>
      </w:r>
      <w:r w:rsidRPr="00C56E85">
        <w:rPr>
          <w:rFonts w:cs="Arial"/>
          <w:szCs w:val="22"/>
        </w:rPr>
        <w:t xml:space="preserve">la </w:t>
      </w:r>
      <w:r w:rsidRPr="00C56E85">
        <w:rPr>
          <w:rFonts w:cs="Arial"/>
          <w:b/>
          <w:bCs/>
          <w:szCs w:val="22"/>
        </w:rPr>
        <w:t xml:space="preserve">Comisionada </w:t>
      </w:r>
      <w:r w:rsidRPr="00C56E85">
        <w:rPr>
          <w:b/>
          <w:szCs w:val="22"/>
        </w:rPr>
        <w:t xml:space="preserve">Sharon Cristina Morales Martínez </w:t>
      </w:r>
      <w:r w:rsidRPr="00C56E85">
        <w:rPr>
          <w:rFonts w:cs="Arial"/>
          <w:szCs w:val="22"/>
        </w:rPr>
        <w:t>acordó el cierre de instrucción</w:t>
      </w:r>
      <w:r w:rsidR="0011350D" w:rsidRPr="00C56E85">
        <w:rPr>
          <w:rFonts w:cs="Arial"/>
          <w:szCs w:val="22"/>
        </w:rPr>
        <w:t xml:space="preserve"> y</w:t>
      </w:r>
      <w:r w:rsidRPr="00C56E85">
        <w:rPr>
          <w:rFonts w:cs="Arial"/>
          <w:szCs w:val="22"/>
        </w:rPr>
        <w:t xml:space="preserve"> </w:t>
      </w:r>
      <w:r w:rsidR="0011350D" w:rsidRPr="00C56E85">
        <w:rPr>
          <w:rFonts w:cs="Arial"/>
          <w:szCs w:val="22"/>
        </w:rPr>
        <w:t xml:space="preserve">la </w:t>
      </w:r>
      <w:r w:rsidRPr="00C56E85">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C56E85">
        <w:rPr>
          <w:szCs w:val="22"/>
        </w:rPr>
        <w:t>.</w:t>
      </w:r>
      <w:r w:rsidR="0011350D" w:rsidRPr="00C56E85">
        <w:rPr>
          <w:szCs w:val="22"/>
        </w:rPr>
        <w:t xml:space="preserve"> Dicho acuerdo </w:t>
      </w:r>
      <w:r w:rsidR="00664420" w:rsidRPr="00C56E85">
        <w:rPr>
          <w:rFonts w:cs="Tahoma"/>
          <w:szCs w:val="22"/>
        </w:rPr>
        <w:t xml:space="preserve">fue notificado a las partes el mismo día a través del </w:t>
      </w:r>
      <w:r w:rsidR="00664420" w:rsidRPr="00C56E85">
        <w:rPr>
          <w:rFonts w:cs="Tahoma"/>
          <w:szCs w:val="22"/>
          <w:lang w:val="es-ES"/>
        </w:rPr>
        <w:t>SAIMEX</w:t>
      </w:r>
      <w:r w:rsidR="00664420" w:rsidRPr="00C56E85">
        <w:rPr>
          <w:rFonts w:cs="Tahoma"/>
          <w:szCs w:val="22"/>
        </w:rPr>
        <w:t>.</w:t>
      </w:r>
    </w:p>
    <w:p w14:paraId="72DB5E0B" w14:textId="77777777" w:rsidR="00C56E85" w:rsidRDefault="00C56E85" w:rsidP="00C56E85">
      <w:pPr>
        <w:rPr>
          <w:rFonts w:cs="Tahoma"/>
          <w:szCs w:val="22"/>
        </w:rPr>
      </w:pPr>
    </w:p>
    <w:p w14:paraId="2D8A9803" w14:textId="77777777" w:rsidR="00C56E85" w:rsidRDefault="00C56E85" w:rsidP="00C56E85">
      <w:pPr>
        <w:rPr>
          <w:rFonts w:cs="Tahoma"/>
          <w:szCs w:val="22"/>
        </w:rPr>
      </w:pPr>
    </w:p>
    <w:p w14:paraId="38F66383" w14:textId="77777777" w:rsidR="00C56E85" w:rsidRDefault="00C56E85" w:rsidP="00C56E85">
      <w:pPr>
        <w:rPr>
          <w:rFonts w:cs="Tahoma"/>
          <w:szCs w:val="22"/>
        </w:rPr>
      </w:pPr>
    </w:p>
    <w:p w14:paraId="5F5469CF" w14:textId="77777777" w:rsidR="00C56E85" w:rsidRPr="00C56E85" w:rsidRDefault="00C56E85" w:rsidP="00C56E85">
      <w:pPr>
        <w:rPr>
          <w:rFonts w:cs="Tahoma"/>
          <w:szCs w:val="22"/>
        </w:rPr>
      </w:pPr>
    </w:p>
    <w:p w14:paraId="36B05AB7" w14:textId="77777777" w:rsidR="006041A0" w:rsidRPr="00C56E85" w:rsidRDefault="006041A0" w:rsidP="00C56E85">
      <w:pPr>
        <w:rPr>
          <w:szCs w:val="22"/>
        </w:rPr>
      </w:pPr>
    </w:p>
    <w:p w14:paraId="7A9629DE" w14:textId="77777777" w:rsidR="00664420" w:rsidRPr="00C56E85" w:rsidRDefault="00664420" w:rsidP="00C56E85">
      <w:pPr>
        <w:pStyle w:val="Ttulo1"/>
        <w:rPr>
          <w:rFonts w:eastAsiaTheme="minorHAnsi"/>
          <w:szCs w:val="22"/>
          <w:lang w:eastAsia="en-US"/>
        </w:rPr>
      </w:pPr>
      <w:bookmarkStart w:id="17" w:name="_Toc184230589"/>
      <w:r w:rsidRPr="00C56E85">
        <w:rPr>
          <w:rFonts w:eastAsiaTheme="minorHAnsi"/>
          <w:szCs w:val="22"/>
          <w:lang w:eastAsia="en-US"/>
        </w:rPr>
        <w:lastRenderedPageBreak/>
        <w:t>CONSIDERANDOS</w:t>
      </w:r>
      <w:bookmarkEnd w:id="17"/>
    </w:p>
    <w:p w14:paraId="6DD1243B" w14:textId="77777777" w:rsidR="00664420" w:rsidRPr="00C56E85" w:rsidRDefault="00664420" w:rsidP="00C56E85">
      <w:pPr>
        <w:contextualSpacing/>
        <w:jc w:val="center"/>
        <w:rPr>
          <w:rFonts w:eastAsiaTheme="minorHAnsi" w:cs="Tahoma"/>
          <w:b/>
          <w:szCs w:val="22"/>
          <w:lang w:eastAsia="en-US"/>
        </w:rPr>
      </w:pPr>
    </w:p>
    <w:p w14:paraId="0B67CB92" w14:textId="2E307D3B" w:rsidR="00664420" w:rsidRPr="00C56E85" w:rsidRDefault="00664420" w:rsidP="00C56E85">
      <w:pPr>
        <w:pStyle w:val="Ttulo2"/>
        <w:rPr>
          <w:rFonts w:eastAsia="Batang"/>
          <w:szCs w:val="22"/>
        </w:rPr>
      </w:pPr>
      <w:bookmarkStart w:id="18" w:name="_Toc184230590"/>
      <w:r w:rsidRPr="00C56E85">
        <w:rPr>
          <w:rFonts w:eastAsia="Batang"/>
          <w:szCs w:val="22"/>
        </w:rPr>
        <w:t xml:space="preserve">PRIMERO. </w:t>
      </w:r>
      <w:proofErr w:type="spellStart"/>
      <w:r w:rsidR="00BA55A8" w:rsidRPr="00C56E85">
        <w:rPr>
          <w:rFonts w:eastAsia="Batang"/>
          <w:szCs w:val="22"/>
        </w:rPr>
        <w:t>Procedibilidad</w:t>
      </w:r>
      <w:bookmarkEnd w:id="18"/>
      <w:proofErr w:type="spellEnd"/>
    </w:p>
    <w:p w14:paraId="39C52BC1" w14:textId="56FCC20D" w:rsidR="00BA55A8" w:rsidRPr="00C56E85" w:rsidRDefault="00BA55A8" w:rsidP="00C56E85">
      <w:pPr>
        <w:pStyle w:val="Ttulo3"/>
        <w:rPr>
          <w:szCs w:val="22"/>
        </w:rPr>
      </w:pPr>
      <w:bookmarkStart w:id="19" w:name="_Toc184230591"/>
      <w:r w:rsidRPr="00C56E85">
        <w:rPr>
          <w:szCs w:val="22"/>
        </w:rPr>
        <w:t>a) Competencia</w:t>
      </w:r>
      <w:r w:rsidR="00150C49" w:rsidRPr="00C56E85">
        <w:rPr>
          <w:szCs w:val="22"/>
        </w:rPr>
        <w:t xml:space="preserve"> del Instituto</w:t>
      </w:r>
      <w:bookmarkEnd w:id="19"/>
    </w:p>
    <w:p w14:paraId="56E64942" w14:textId="6572EDF7" w:rsidR="0011350D" w:rsidRPr="00C56E85" w:rsidRDefault="0011350D" w:rsidP="00C56E85">
      <w:pPr>
        <w:rPr>
          <w:rFonts w:cs="Arial"/>
          <w:szCs w:val="22"/>
        </w:rPr>
      </w:pPr>
      <w:r w:rsidRPr="00C56E85">
        <w:rPr>
          <w:szCs w:val="22"/>
        </w:rPr>
        <w:t xml:space="preserve">Este Instituto de Transparencia, Acceso a la Información Pública y Protección de Datos Personales del Estado de México y Municipios es competente para conocer y resolver </w:t>
      </w:r>
      <w:r w:rsidR="005F65B7" w:rsidRPr="00C56E85">
        <w:rPr>
          <w:szCs w:val="22"/>
        </w:rPr>
        <w:t xml:space="preserve">el </w:t>
      </w:r>
      <w:r w:rsidRPr="00C56E85">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56E85">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C56E85" w:rsidRDefault="00DB1C09" w:rsidP="00C56E85">
      <w:pPr>
        <w:rPr>
          <w:rFonts w:cs="Arial"/>
          <w:szCs w:val="22"/>
        </w:rPr>
      </w:pPr>
    </w:p>
    <w:p w14:paraId="517A2DD6" w14:textId="4169BE4D" w:rsidR="00664420" w:rsidRPr="00C56E85" w:rsidRDefault="00BA55A8" w:rsidP="00C56E85">
      <w:pPr>
        <w:pStyle w:val="Ttulo3"/>
        <w:rPr>
          <w:szCs w:val="22"/>
        </w:rPr>
      </w:pPr>
      <w:bookmarkStart w:id="20" w:name="_Toc184230592"/>
      <w:r w:rsidRPr="00C56E85">
        <w:rPr>
          <w:szCs w:val="22"/>
        </w:rPr>
        <w:t>b)</w:t>
      </w:r>
      <w:r w:rsidR="00664420" w:rsidRPr="00C56E85">
        <w:rPr>
          <w:szCs w:val="22"/>
        </w:rPr>
        <w:t xml:space="preserve"> </w:t>
      </w:r>
      <w:r w:rsidR="00D91CB4" w:rsidRPr="00C56E85">
        <w:rPr>
          <w:szCs w:val="22"/>
        </w:rPr>
        <w:t>Legitimidad</w:t>
      </w:r>
      <w:r w:rsidRPr="00C56E85">
        <w:rPr>
          <w:szCs w:val="22"/>
        </w:rPr>
        <w:t xml:space="preserve"> de la parte recurrente</w:t>
      </w:r>
      <w:bookmarkEnd w:id="20"/>
    </w:p>
    <w:p w14:paraId="26FEA382" w14:textId="0B06695C" w:rsidR="00D91CB4" w:rsidRPr="00C56E85" w:rsidRDefault="00D91CB4" w:rsidP="00C56E85">
      <w:pPr>
        <w:rPr>
          <w:rFonts w:cs="Arial"/>
          <w:bCs/>
          <w:szCs w:val="22"/>
        </w:rPr>
      </w:pPr>
      <w:r w:rsidRPr="00C56E85">
        <w:rPr>
          <w:rFonts w:cs="Arial"/>
          <w:bCs/>
          <w:szCs w:val="22"/>
        </w:rPr>
        <w:t>El recurso de revisión fue interpuesto por parte legítima, ya que se presentó por la misma persona que formuló la solicitud de acceso a la Información Pública,</w:t>
      </w:r>
      <w:r w:rsidRPr="00C56E85">
        <w:rPr>
          <w:rFonts w:cs="Arial"/>
          <w:b/>
          <w:bCs/>
          <w:szCs w:val="22"/>
        </w:rPr>
        <w:t xml:space="preserve"> </w:t>
      </w:r>
      <w:r w:rsidRPr="00C56E85">
        <w:rPr>
          <w:rFonts w:cs="Arial"/>
          <w:szCs w:val="22"/>
        </w:rPr>
        <w:t>debido a que los datos de acceso</w:t>
      </w:r>
      <w:r w:rsidRPr="00C56E85">
        <w:rPr>
          <w:rFonts w:cs="Arial"/>
          <w:b/>
          <w:bCs/>
          <w:szCs w:val="22"/>
        </w:rPr>
        <w:t xml:space="preserve"> </w:t>
      </w:r>
      <w:r w:rsidRPr="00C56E85">
        <w:rPr>
          <w:rFonts w:cs="Arial"/>
          <w:szCs w:val="22"/>
        </w:rPr>
        <w:t>SAIMEX</w:t>
      </w:r>
      <w:r w:rsidRPr="00C56E85">
        <w:rPr>
          <w:rFonts w:eastAsia="Calibri" w:cs="Arial"/>
          <w:szCs w:val="22"/>
          <w:lang w:eastAsia="en-US"/>
        </w:rPr>
        <w:t xml:space="preserve"> son personales e irrepetibles.</w:t>
      </w:r>
    </w:p>
    <w:p w14:paraId="2C367810" w14:textId="77777777" w:rsidR="00D91CB4" w:rsidRPr="00C56E85" w:rsidRDefault="00D91CB4" w:rsidP="00C56E85">
      <w:pPr>
        <w:rPr>
          <w:szCs w:val="22"/>
        </w:rPr>
      </w:pPr>
    </w:p>
    <w:p w14:paraId="496490FC" w14:textId="1A5F3FDB" w:rsidR="00D91CB4" w:rsidRPr="00C56E85" w:rsidRDefault="00BA55A8" w:rsidP="00C56E85">
      <w:pPr>
        <w:pStyle w:val="Ttulo3"/>
        <w:rPr>
          <w:rFonts w:eastAsia="Calibri"/>
          <w:szCs w:val="22"/>
          <w:lang w:eastAsia="es-ES_tradnl"/>
        </w:rPr>
      </w:pPr>
      <w:bookmarkStart w:id="21" w:name="_Toc184230593"/>
      <w:r w:rsidRPr="00C56E85">
        <w:rPr>
          <w:rFonts w:eastAsia="Calibri"/>
          <w:szCs w:val="22"/>
          <w:lang w:eastAsia="es-ES_tradnl"/>
        </w:rPr>
        <w:t>c)</w:t>
      </w:r>
      <w:r w:rsidR="00664420" w:rsidRPr="00C56E85">
        <w:rPr>
          <w:rFonts w:eastAsia="Calibri"/>
          <w:szCs w:val="22"/>
          <w:lang w:eastAsia="es-ES_tradnl"/>
        </w:rPr>
        <w:t xml:space="preserve"> </w:t>
      </w:r>
      <w:r w:rsidR="00D91CB4" w:rsidRPr="00C56E85">
        <w:rPr>
          <w:rFonts w:eastAsia="Calibri"/>
          <w:szCs w:val="22"/>
          <w:lang w:eastAsia="es-ES_tradnl"/>
        </w:rPr>
        <w:t>Plazo para interponer el recurso</w:t>
      </w:r>
      <w:bookmarkEnd w:id="21"/>
    </w:p>
    <w:p w14:paraId="106D37EE" w14:textId="3FB5ACBE" w:rsidR="00D91CB4" w:rsidRPr="00C56E85" w:rsidRDefault="00D91CB4" w:rsidP="00C56E85">
      <w:pPr>
        <w:rPr>
          <w:rFonts w:eastAsiaTheme="minorEastAsia" w:cs="Arial"/>
          <w:szCs w:val="22"/>
          <w:lang w:val="es-ES_tradnl"/>
        </w:rPr>
      </w:pPr>
      <w:r w:rsidRPr="00C56E85">
        <w:rPr>
          <w:rFonts w:cs="Arial"/>
          <w:b/>
          <w:szCs w:val="22"/>
        </w:rPr>
        <w:t>EL SUJETO OBLIGADO</w:t>
      </w:r>
      <w:r w:rsidRPr="00C56E85">
        <w:rPr>
          <w:rFonts w:cs="Arial"/>
          <w:szCs w:val="22"/>
        </w:rPr>
        <w:t xml:space="preserve"> notificó la respuesta a la solicitud de acceso a la Información Pública el </w:t>
      </w:r>
      <w:r w:rsidR="00320AFE" w:rsidRPr="00C56E85">
        <w:rPr>
          <w:rFonts w:cs="Tahoma"/>
          <w:b/>
          <w:bCs/>
          <w:szCs w:val="22"/>
        </w:rPr>
        <w:t>siete de noviembre</w:t>
      </w:r>
      <w:r w:rsidR="00DE285A" w:rsidRPr="00C56E85">
        <w:rPr>
          <w:rFonts w:cs="Tahoma"/>
          <w:b/>
          <w:bCs/>
          <w:szCs w:val="22"/>
        </w:rPr>
        <w:t xml:space="preserve"> de dos mil veinticuatro</w:t>
      </w:r>
      <w:r w:rsidR="00DE285A" w:rsidRPr="00C56E85">
        <w:rPr>
          <w:rFonts w:cs="Tahoma"/>
          <w:szCs w:val="22"/>
        </w:rPr>
        <w:t xml:space="preserve"> </w:t>
      </w:r>
      <w:r w:rsidR="00A53315" w:rsidRPr="00C56E85">
        <w:rPr>
          <w:rFonts w:cs="Arial"/>
          <w:szCs w:val="22"/>
        </w:rPr>
        <w:t xml:space="preserve">y el recurso </w:t>
      </w:r>
      <w:r w:rsidR="00A53315" w:rsidRPr="00C56E85">
        <w:rPr>
          <w:rFonts w:eastAsia="Palatino Linotype" w:cs="Palatino Linotype"/>
          <w:szCs w:val="22"/>
        </w:rPr>
        <w:t xml:space="preserve">que nos ocupa se </w:t>
      </w:r>
      <w:r w:rsidR="006A61F1" w:rsidRPr="00C56E85">
        <w:rPr>
          <w:rFonts w:eastAsia="Palatino Linotype" w:cs="Palatino Linotype"/>
          <w:szCs w:val="22"/>
        </w:rPr>
        <w:t>tuvo por presentado</w:t>
      </w:r>
      <w:r w:rsidR="00A53315" w:rsidRPr="00C56E85">
        <w:rPr>
          <w:rFonts w:eastAsia="Palatino Linotype" w:cs="Palatino Linotype"/>
          <w:szCs w:val="22"/>
        </w:rPr>
        <w:t xml:space="preserve"> el </w:t>
      </w:r>
      <w:r w:rsidR="009C5299" w:rsidRPr="00C56E85">
        <w:rPr>
          <w:rFonts w:cs="Tahoma"/>
          <w:b/>
          <w:bCs/>
          <w:szCs w:val="22"/>
        </w:rPr>
        <w:t>diez</w:t>
      </w:r>
      <w:r w:rsidR="006041A0" w:rsidRPr="00C56E85">
        <w:rPr>
          <w:rFonts w:cs="Tahoma"/>
          <w:b/>
          <w:bCs/>
          <w:szCs w:val="22"/>
        </w:rPr>
        <w:t xml:space="preserve"> de </w:t>
      </w:r>
      <w:r w:rsidR="00320AFE" w:rsidRPr="00C56E85">
        <w:rPr>
          <w:rFonts w:cs="Tahoma"/>
          <w:b/>
          <w:bCs/>
          <w:szCs w:val="22"/>
        </w:rPr>
        <w:t>noviembre</w:t>
      </w:r>
      <w:r w:rsidR="00DE285A" w:rsidRPr="00C56E85">
        <w:rPr>
          <w:rFonts w:cs="Tahoma"/>
          <w:b/>
          <w:bCs/>
          <w:szCs w:val="22"/>
        </w:rPr>
        <w:t xml:space="preserve"> de dos mil veinticuatro</w:t>
      </w:r>
      <w:r w:rsidR="00A53315" w:rsidRPr="00C56E85">
        <w:rPr>
          <w:rFonts w:eastAsia="Palatino Linotype" w:cs="Palatino Linotype"/>
          <w:bCs/>
          <w:szCs w:val="22"/>
        </w:rPr>
        <w:t>;</w:t>
      </w:r>
      <w:r w:rsidR="00A53315" w:rsidRPr="00C56E85">
        <w:rPr>
          <w:rFonts w:eastAsia="Palatino Linotype" w:cs="Palatino Linotype"/>
          <w:szCs w:val="22"/>
        </w:rPr>
        <w:t xml:space="preserve"> por lo tanto, éste se encuentra </w:t>
      </w:r>
      <w:r w:rsidR="00A53315" w:rsidRPr="00C56E85">
        <w:rPr>
          <w:rFonts w:eastAsia="Palatino Linotype" w:cs="Palatino Linotype"/>
          <w:szCs w:val="22"/>
        </w:rPr>
        <w:lastRenderedPageBreak/>
        <w:t xml:space="preserve">dentro del margen temporal previsto en el artículo 178 de la </w:t>
      </w:r>
      <w:r w:rsidR="00A53315" w:rsidRPr="00C56E85">
        <w:rPr>
          <w:rFonts w:cs="Arial"/>
          <w:szCs w:val="22"/>
        </w:rPr>
        <w:t>Ley de Transparencia y Acceso a la Información Pública del Estado de México y Municipios</w:t>
      </w:r>
      <w:r w:rsidR="007328F2" w:rsidRPr="00C56E85">
        <w:rPr>
          <w:rFonts w:cs="Arial"/>
          <w:szCs w:val="22"/>
        </w:rPr>
        <w:t>.</w:t>
      </w:r>
    </w:p>
    <w:p w14:paraId="49076992" w14:textId="77777777" w:rsidR="00D91CB4" w:rsidRPr="00C56E85" w:rsidRDefault="00D91CB4" w:rsidP="00C56E85">
      <w:pPr>
        <w:rPr>
          <w:rFonts w:eastAsia="Palatino Linotype" w:cs="Palatino Linotype"/>
          <w:szCs w:val="22"/>
        </w:rPr>
      </w:pPr>
    </w:p>
    <w:p w14:paraId="46C0EB3A" w14:textId="28FD0C2E" w:rsidR="00A53315" w:rsidRPr="00C56E85" w:rsidRDefault="00BA55A8" w:rsidP="00C56E85">
      <w:pPr>
        <w:pStyle w:val="Ttulo3"/>
        <w:rPr>
          <w:rFonts w:eastAsia="Calibri"/>
          <w:szCs w:val="22"/>
          <w:lang w:eastAsia="es-ES_tradnl"/>
        </w:rPr>
      </w:pPr>
      <w:bookmarkStart w:id="22" w:name="_Toc184230594"/>
      <w:r w:rsidRPr="00C56E85">
        <w:rPr>
          <w:rFonts w:eastAsia="Calibri"/>
          <w:szCs w:val="22"/>
          <w:lang w:eastAsia="es-ES_tradnl"/>
        </w:rPr>
        <w:t>d)</w:t>
      </w:r>
      <w:r w:rsidR="00D91CB4" w:rsidRPr="00C56E85">
        <w:rPr>
          <w:rFonts w:eastAsia="Calibri"/>
          <w:szCs w:val="22"/>
          <w:lang w:eastAsia="es-ES_tradnl"/>
        </w:rPr>
        <w:t xml:space="preserve"> </w:t>
      </w:r>
      <w:r w:rsidR="00E325AD" w:rsidRPr="00C56E85">
        <w:rPr>
          <w:rFonts w:eastAsia="Calibri"/>
          <w:szCs w:val="22"/>
          <w:lang w:eastAsia="es-ES_tradnl"/>
        </w:rPr>
        <w:t>Causal de Procedencia</w:t>
      </w:r>
      <w:bookmarkEnd w:id="22"/>
    </w:p>
    <w:p w14:paraId="190404A6" w14:textId="17AF94DD" w:rsidR="00BA55A8" w:rsidRPr="00C56E85" w:rsidRDefault="00BA55A8" w:rsidP="00C56E85">
      <w:pPr>
        <w:rPr>
          <w:szCs w:val="22"/>
        </w:rPr>
      </w:pPr>
      <w:r w:rsidRPr="00C56E85">
        <w:rPr>
          <w:rFonts w:cs="Arial"/>
          <w:szCs w:val="22"/>
        </w:rPr>
        <w:t xml:space="preserve">Resulta procedente la interposición del recurso de revisión, ya que </w:t>
      </w:r>
      <w:r w:rsidRPr="00C56E85">
        <w:rPr>
          <w:rFonts w:eastAsia="Calibri" w:cs="Tahoma"/>
          <w:szCs w:val="22"/>
          <w:lang w:eastAsia="es-MX"/>
        </w:rPr>
        <w:t>se actualiza la causal de procedencia señalada en el artículo 179, fracci</w:t>
      </w:r>
      <w:r w:rsidR="007B7B00" w:rsidRPr="00C56E85">
        <w:rPr>
          <w:rFonts w:eastAsia="Calibri" w:cs="Tahoma"/>
          <w:szCs w:val="22"/>
          <w:lang w:eastAsia="es-MX"/>
        </w:rPr>
        <w:t xml:space="preserve">ón </w:t>
      </w:r>
      <w:r w:rsidR="003F780F" w:rsidRPr="00C56E85">
        <w:rPr>
          <w:rFonts w:eastAsia="Calibri" w:cs="Tahoma"/>
          <w:szCs w:val="22"/>
          <w:lang w:eastAsia="es-MX"/>
        </w:rPr>
        <w:t>I</w:t>
      </w:r>
      <w:r w:rsidR="00EE1B1C" w:rsidRPr="00C56E85">
        <w:rPr>
          <w:rFonts w:eastAsia="Calibri" w:cs="Tahoma"/>
          <w:szCs w:val="22"/>
          <w:lang w:eastAsia="es-MX"/>
        </w:rPr>
        <w:t xml:space="preserve"> </w:t>
      </w:r>
      <w:r w:rsidRPr="00C56E85">
        <w:rPr>
          <w:rFonts w:cs="Arial"/>
          <w:szCs w:val="22"/>
        </w:rPr>
        <w:t xml:space="preserve">de la </w:t>
      </w:r>
      <w:r w:rsidRPr="00C56E85">
        <w:rPr>
          <w:szCs w:val="22"/>
        </w:rPr>
        <w:t>Ley de Transparencia y Acceso a la Información Pública del Estado de México y Municipios.</w:t>
      </w:r>
    </w:p>
    <w:p w14:paraId="0EFF7141" w14:textId="77777777" w:rsidR="00362A11" w:rsidRPr="00C56E85" w:rsidRDefault="00362A11" w:rsidP="00C56E85">
      <w:pPr>
        <w:rPr>
          <w:szCs w:val="22"/>
        </w:rPr>
      </w:pPr>
    </w:p>
    <w:p w14:paraId="2284D7EB" w14:textId="3EE1D036" w:rsidR="00BA55A8" w:rsidRPr="00C56E85" w:rsidRDefault="00362A11" w:rsidP="00C56E85">
      <w:pPr>
        <w:pStyle w:val="Ttulo3"/>
        <w:rPr>
          <w:szCs w:val="22"/>
        </w:rPr>
      </w:pPr>
      <w:bookmarkStart w:id="23" w:name="_Toc184230595"/>
      <w:r w:rsidRPr="00C56E85">
        <w:rPr>
          <w:szCs w:val="22"/>
        </w:rPr>
        <w:t>e) Requisitos formales para la interposición del recurso</w:t>
      </w:r>
      <w:bookmarkEnd w:id="23"/>
    </w:p>
    <w:p w14:paraId="090A0643" w14:textId="77777777" w:rsidR="006D59EF" w:rsidRPr="00C56E85" w:rsidRDefault="006D59EF" w:rsidP="00C56E85">
      <w:pPr>
        <w:rPr>
          <w:rFonts w:cs="Arial"/>
          <w:szCs w:val="22"/>
        </w:rPr>
      </w:pPr>
      <w:r w:rsidRPr="00C56E85">
        <w:rPr>
          <w:rFonts w:cs="Arial"/>
          <w:szCs w:val="22"/>
        </w:rPr>
        <w:t xml:space="preserve">Es importante mencionar que, de la revisión del expediente electrónico del </w:t>
      </w:r>
      <w:r w:rsidRPr="00C56E85">
        <w:rPr>
          <w:rFonts w:cs="Arial"/>
          <w:b/>
          <w:bCs/>
          <w:szCs w:val="22"/>
        </w:rPr>
        <w:t>SAIMEX</w:t>
      </w:r>
      <w:r w:rsidRPr="00C56E85">
        <w:rPr>
          <w:rFonts w:cs="Arial"/>
          <w:szCs w:val="22"/>
        </w:rPr>
        <w:t xml:space="preserve">, se observa que </w:t>
      </w:r>
      <w:r w:rsidRPr="00C56E85">
        <w:rPr>
          <w:rFonts w:cs="Arial"/>
          <w:b/>
          <w:bCs/>
          <w:szCs w:val="22"/>
        </w:rPr>
        <w:t>LA PARTE RECURRENTE</w:t>
      </w:r>
      <w:r w:rsidRPr="00C56E85">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C56E85">
        <w:rPr>
          <w:rFonts w:cs="Arial"/>
          <w:b/>
          <w:bCs/>
          <w:szCs w:val="22"/>
          <w:u w:val="single"/>
        </w:rPr>
        <w:t>el nombre no es un requisito indispensable</w:t>
      </w:r>
      <w:r w:rsidRPr="00C56E85">
        <w:rPr>
          <w:rFonts w:cs="Arial"/>
          <w:szCs w:val="22"/>
        </w:rPr>
        <w:t xml:space="preserve"> para que las y los ciudadanos ejerzan el derecho de acceso a la información pública. </w:t>
      </w:r>
    </w:p>
    <w:p w14:paraId="609EFCBF" w14:textId="77777777" w:rsidR="006D59EF" w:rsidRPr="00C56E85" w:rsidRDefault="006D59EF" w:rsidP="00C56E85">
      <w:pPr>
        <w:rPr>
          <w:rFonts w:cs="Arial"/>
          <w:szCs w:val="22"/>
        </w:rPr>
      </w:pPr>
    </w:p>
    <w:p w14:paraId="4E53255F" w14:textId="77777777" w:rsidR="006D59EF" w:rsidRPr="00C56E85" w:rsidRDefault="006D59EF" w:rsidP="00C56E85">
      <w:pPr>
        <w:rPr>
          <w:rFonts w:cs="Arial"/>
          <w:szCs w:val="22"/>
        </w:rPr>
      </w:pPr>
      <w:r w:rsidRPr="00C56E85">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C56E85">
        <w:rPr>
          <w:rFonts w:cs="Arial"/>
          <w:b/>
          <w:bCs/>
          <w:szCs w:val="22"/>
        </w:rPr>
        <w:t>LA PARTE RECURRENTE</w:t>
      </w:r>
      <w:r w:rsidRPr="00C56E85">
        <w:rPr>
          <w:rFonts w:cs="Arial"/>
          <w:szCs w:val="22"/>
        </w:rPr>
        <w:t xml:space="preserve">; por lo que, en el presente caso, al haber sido presentado el recurso de revisión vía </w:t>
      </w:r>
      <w:r w:rsidRPr="00C56E85">
        <w:rPr>
          <w:rFonts w:cs="Arial"/>
          <w:b/>
          <w:bCs/>
          <w:szCs w:val="22"/>
        </w:rPr>
        <w:t>SAIMEX</w:t>
      </w:r>
      <w:r w:rsidRPr="00C56E85">
        <w:rPr>
          <w:rFonts w:cs="Arial"/>
          <w:szCs w:val="22"/>
        </w:rPr>
        <w:t>, dicho requisito resulta innecesario.</w:t>
      </w:r>
    </w:p>
    <w:p w14:paraId="457548E9" w14:textId="3F7AF03B" w:rsidR="00C71CEF" w:rsidRPr="00C56E85" w:rsidRDefault="00C71CEF" w:rsidP="00C56E85">
      <w:pPr>
        <w:pStyle w:val="Ttulo2"/>
        <w:rPr>
          <w:szCs w:val="22"/>
        </w:rPr>
      </w:pPr>
      <w:bookmarkStart w:id="24" w:name="_Toc184230596"/>
      <w:r w:rsidRPr="00C56E85">
        <w:rPr>
          <w:szCs w:val="22"/>
        </w:rPr>
        <w:lastRenderedPageBreak/>
        <w:t>SEGUNDO. Estudio de Fondo</w:t>
      </w:r>
      <w:bookmarkEnd w:id="24"/>
    </w:p>
    <w:p w14:paraId="2A308F59" w14:textId="0FF373F0" w:rsidR="00C049E2" w:rsidRPr="00C56E85" w:rsidRDefault="00C71CEF" w:rsidP="00C56E85">
      <w:pPr>
        <w:pStyle w:val="Ttulo3"/>
        <w:rPr>
          <w:szCs w:val="22"/>
        </w:rPr>
      </w:pPr>
      <w:bookmarkStart w:id="25" w:name="_Toc184230597"/>
      <w:r w:rsidRPr="00C56E85">
        <w:rPr>
          <w:szCs w:val="22"/>
        </w:rPr>
        <w:t>a</w:t>
      </w:r>
      <w:r w:rsidR="00C049E2" w:rsidRPr="00C56E85">
        <w:rPr>
          <w:szCs w:val="22"/>
        </w:rPr>
        <w:t>) Mandato de transparencia y responsabilidad del Sujeto Obligado</w:t>
      </w:r>
      <w:bookmarkEnd w:id="25"/>
    </w:p>
    <w:p w14:paraId="6901A889" w14:textId="59EEDAE1" w:rsidR="00C049E2" w:rsidRPr="00C56E85" w:rsidRDefault="00C049E2" w:rsidP="00C56E85">
      <w:pPr>
        <w:rPr>
          <w:rFonts w:eastAsia="Palatino Linotype"/>
          <w:szCs w:val="22"/>
        </w:rPr>
      </w:pPr>
      <w:r w:rsidRPr="00C56E85">
        <w:rPr>
          <w:rFonts w:eastAsia="Palatino Linotype"/>
          <w:szCs w:val="22"/>
        </w:rPr>
        <w:t xml:space="preserve">El </w:t>
      </w:r>
      <w:r w:rsidR="00717E59" w:rsidRPr="00C56E85">
        <w:rPr>
          <w:rFonts w:eastAsia="Palatino Linotype"/>
          <w:szCs w:val="22"/>
        </w:rPr>
        <w:t>d</w:t>
      </w:r>
      <w:r w:rsidRPr="00C56E85">
        <w:rPr>
          <w:rFonts w:eastAsia="Palatino Linotype"/>
          <w:szCs w:val="22"/>
        </w:rPr>
        <w:t xml:space="preserve">erecho de </w:t>
      </w:r>
      <w:r w:rsidR="00717E59" w:rsidRPr="00C56E85">
        <w:rPr>
          <w:rFonts w:eastAsia="Palatino Linotype"/>
          <w:szCs w:val="22"/>
        </w:rPr>
        <w:t>a</w:t>
      </w:r>
      <w:r w:rsidRPr="00C56E85">
        <w:rPr>
          <w:rFonts w:eastAsia="Palatino Linotype"/>
          <w:szCs w:val="22"/>
        </w:rPr>
        <w:t xml:space="preserve">cceso a la </w:t>
      </w:r>
      <w:r w:rsidR="00717E59" w:rsidRPr="00C56E85">
        <w:rPr>
          <w:rFonts w:eastAsia="Palatino Linotype"/>
          <w:szCs w:val="22"/>
        </w:rPr>
        <w:t>i</w:t>
      </w:r>
      <w:r w:rsidRPr="00C56E85">
        <w:rPr>
          <w:rFonts w:eastAsia="Palatino Linotype"/>
          <w:szCs w:val="22"/>
        </w:rPr>
        <w:t xml:space="preserve">nformación </w:t>
      </w:r>
      <w:r w:rsidR="00717E59" w:rsidRPr="00C56E85">
        <w:rPr>
          <w:rFonts w:eastAsia="Palatino Linotype"/>
          <w:szCs w:val="22"/>
        </w:rPr>
        <w:t>p</w:t>
      </w:r>
      <w:r w:rsidRPr="00C56E85">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C56E85">
        <w:rPr>
          <w:rFonts w:eastAsia="Palatino Linotype"/>
          <w:szCs w:val="22"/>
        </w:rPr>
        <w:t>:</w:t>
      </w:r>
    </w:p>
    <w:p w14:paraId="7FAB8D32" w14:textId="77777777" w:rsidR="00C049E2" w:rsidRPr="00C56E85" w:rsidRDefault="00C049E2" w:rsidP="00C56E85">
      <w:pPr>
        <w:rPr>
          <w:rFonts w:eastAsia="Palatino Linotype"/>
          <w:szCs w:val="22"/>
        </w:rPr>
      </w:pPr>
    </w:p>
    <w:p w14:paraId="05320813" w14:textId="77777777" w:rsidR="00C049E2" w:rsidRPr="00C56E85" w:rsidRDefault="00C049E2" w:rsidP="00C56E85">
      <w:pPr>
        <w:spacing w:line="240" w:lineRule="auto"/>
        <w:ind w:left="567" w:right="539"/>
        <w:rPr>
          <w:rFonts w:eastAsia="Palatino Linotype"/>
          <w:b/>
          <w:i/>
          <w:szCs w:val="22"/>
        </w:rPr>
      </w:pPr>
      <w:r w:rsidRPr="00C56E85">
        <w:rPr>
          <w:rFonts w:eastAsia="Palatino Linotype"/>
          <w:b/>
          <w:i/>
          <w:szCs w:val="22"/>
        </w:rPr>
        <w:t>Constitución Política de los Estados Unidos Mexicanos</w:t>
      </w:r>
    </w:p>
    <w:p w14:paraId="6B6C67B6" w14:textId="77777777" w:rsidR="00C049E2" w:rsidRPr="00C56E85" w:rsidRDefault="00C049E2" w:rsidP="00C56E85">
      <w:pPr>
        <w:spacing w:line="240" w:lineRule="auto"/>
        <w:ind w:left="567" w:right="539"/>
        <w:rPr>
          <w:rFonts w:eastAsia="Palatino Linotype"/>
          <w:b/>
          <w:i/>
          <w:szCs w:val="22"/>
        </w:rPr>
      </w:pPr>
      <w:r w:rsidRPr="00C56E85">
        <w:rPr>
          <w:rFonts w:eastAsia="Palatino Linotype"/>
          <w:b/>
          <w:i/>
          <w:szCs w:val="22"/>
        </w:rPr>
        <w:t>“Artículo 6.</w:t>
      </w:r>
    </w:p>
    <w:p w14:paraId="38D3B4C4" w14:textId="77777777" w:rsidR="00C049E2" w:rsidRPr="00C56E85" w:rsidRDefault="00C049E2" w:rsidP="00C56E85">
      <w:pPr>
        <w:spacing w:line="240" w:lineRule="auto"/>
        <w:ind w:left="567" w:right="539"/>
        <w:rPr>
          <w:rFonts w:eastAsia="Palatino Linotype"/>
          <w:i/>
          <w:szCs w:val="22"/>
        </w:rPr>
      </w:pPr>
      <w:r w:rsidRPr="00C56E85">
        <w:rPr>
          <w:rFonts w:eastAsia="Palatino Linotype"/>
          <w:i/>
          <w:szCs w:val="22"/>
        </w:rPr>
        <w:t>(…)</w:t>
      </w:r>
    </w:p>
    <w:p w14:paraId="2CCAA297" w14:textId="6602827B" w:rsidR="00C049E2" w:rsidRPr="00C56E85" w:rsidRDefault="00C049E2" w:rsidP="00C56E85">
      <w:pPr>
        <w:spacing w:line="240" w:lineRule="auto"/>
        <w:ind w:left="567" w:right="539"/>
        <w:rPr>
          <w:rFonts w:eastAsia="Palatino Linotype"/>
          <w:i/>
          <w:szCs w:val="22"/>
        </w:rPr>
      </w:pPr>
      <w:r w:rsidRPr="00C56E85">
        <w:rPr>
          <w:rFonts w:eastAsia="Palatino Linotype"/>
          <w:i/>
          <w:szCs w:val="22"/>
        </w:rPr>
        <w:t>Para efectos de lo dispuesto en el presente artículo se observará lo siguiente:</w:t>
      </w:r>
    </w:p>
    <w:p w14:paraId="74CC3718" w14:textId="77777777" w:rsidR="00C049E2" w:rsidRPr="00C56E85" w:rsidRDefault="00C049E2" w:rsidP="00C56E85">
      <w:pPr>
        <w:spacing w:line="240" w:lineRule="auto"/>
        <w:ind w:left="567" w:right="539"/>
        <w:rPr>
          <w:rFonts w:eastAsia="Palatino Linotype"/>
          <w:b/>
          <w:i/>
          <w:szCs w:val="22"/>
        </w:rPr>
      </w:pPr>
      <w:r w:rsidRPr="00C56E85">
        <w:rPr>
          <w:rFonts w:eastAsia="Palatino Linotype"/>
          <w:b/>
          <w:i/>
          <w:szCs w:val="22"/>
        </w:rPr>
        <w:t>A</w:t>
      </w:r>
      <w:r w:rsidRPr="00C56E85">
        <w:rPr>
          <w:rFonts w:eastAsia="Palatino Linotype"/>
          <w:i/>
          <w:szCs w:val="22"/>
        </w:rPr>
        <w:t xml:space="preserve">. </w:t>
      </w:r>
      <w:r w:rsidRPr="00C56E85">
        <w:rPr>
          <w:rFonts w:eastAsia="Palatino Linotype"/>
          <w:b/>
          <w:i/>
          <w:szCs w:val="22"/>
        </w:rPr>
        <w:t>Para el ejercicio del derecho de acceso a la información</w:t>
      </w:r>
      <w:r w:rsidRPr="00C56E85">
        <w:rPr>
          <w:rFonts w:eastAsia="Palatino Linotype"/>
          <w:i/>
          <w:szCs w:val="22"/>
        </w:rPr>
        <w:t xml:space="preserve">, la Federación y </w:t>
      </w:r>
      <w:r w:rsidRPr="00C56E85">
        <w:rPr>
          <w:rFonts w:eastAsia="Palatino Linotype"/>
          <w:b/>
          <w:i/>
          <w:szCs w:val="22"/>
        </w:rPr>
        <w:t>las entidades federativas, en el ámbito de sus respectivas competencias, se regirán por los siguientes principios y bases:</w:t>
      </w:r>
    </w:p>
    <w:p w14:paraId="596A956B" w14:textId="77777777" w:rsidR="00C049E2" w:rsidRPr="00C56E85" w:rsidRDefault="00C049E2" w:rsidP="00C56E85">
      <w:pPr>
        <w:spacing w:line="240" w:lineRule="auto"/>
        <w:ind w:left="567" w:right="539"/>
        <w:rPr>
          <w:rFonts w:eastAsia="Palatino Linotype"/>
          <w:i/>
          <w:szCs w:val="22"/>
        </w:rPr>
      </w:pPr>
      <w:r w:rsidRPr="00C56E85">
        <w:rPr>
          <w:rFonts w:eastAsia="Palatino Linotype"/>
          <w:b/>
          <w:i/>
          <w:szCs w:val="22"/>
        </w:rPr>
        <w:t xml:space="preserve">I. </w:t>
      </w:r>
      <w:r w:rsidRPr="00C56E85">
        <w:rPr>
          <w:rFonts w:eastAsia="Palatino Linotype"/>
          <w:b/>
          <w:i/>
          <w:szCs w:val="22"/>
        </w:rPr>
        <w:tab/>
        <w:t>Toda la información en posesión de cualquier</w:t>
      </w:r>
      <w:r w:rsidRPr="00C56E85">
        <w:rPr>
          <w:rFonts w:eastAsia="Palatino Linotype"/>
          <w:i/>
          <w:szCs w:val="22"/>
        </w:rPr>
        <w:t xml:space="preserve"> </w:t>
      </w:r>
      <w:r w:rsidRPr="00C56E85">
        <w:rPr>
          <w:rFonts w:eastAsia="Palatino Linotype"/>
          <w:b/>
          <w:i/>
          <w:szCs w:val="22"/>
        </w:rPr>
        <w:t>autoridad</w:t>
      </w:r>
      <w:r w:rsidRPr="00C56E85">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56E85">
        <w:rPr>
          <w:rFonts w:eastAsia="Palatino Linotype"/>
          <w:b/>
          <w:i/>
          <w:szCs w:val="22"/>
        </w:rPr>
        <w:t>municipal</w:t>
      </w:r>
      <w:r w:rsidRPr="00C56E85">
        <w:rPr>
          <w:rFonts w:eastAsia="Palatino Linotype"/>
          <w:i/>
          <w:szCs w:val="22"/>
        </w:rPr>
        <w:t xml:space="preserve">, </w:t>
      </w:r>
      <w:r w:rsidRPr="00C56E85">
        <w:rPr>
          <w:rFonts w:eastAsia="Palatino Linotype"/>
          <w:b/>
          <w:i/>
          <w:szCs w:val="22"/>
        </w:rPr>
        <w:t>es pública</w:t>
      </w:r>
      <w:r w:rsidRPr="00C56E85">
        <w:rPr>
          <w:rFonts w:eastAsia="Palatino Linotype"/>
          <w:i/>
          <w:szCs w:val="22"/>
        </w:rPr>
        <w:t xml:space="preserve"> y sólo podrá ser reservada temporalmente por razones de interés público y seguridad nacional, en los términos que fijen las leyes. </w:t>
      </w:r>
      <w:r w:rsidRPr="00C56E85">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C56E85">
        <w:rPr>
          <w:rFonts w:eastAsia="Palatino Linotype"/>
          <w:i/>
          <w:szCs w:val="22"/>
        </w:rPr>
        <w:t>, la ley determinará los supuestos específicos bajo los cuales procederá la declaración de inexistencia de la información.”</w:t>
      </w:r>
    </w:p>
    <w:p w14:paraId="68F313E4" w14:textId="77777777" w:rsidR="00C049E2" w:rsidRPr="00C56E85" w:rsidRDefault="00C049E2" w:rsidP="00C56E85">
      <w:pPr>
        <w:spacing w:line="240" w:lineRule="auto"/>
        <w:ind w:left="567" w:right="539"/>
        <w:rPr>
          <w:rFonts w:eastAsia="Palatino Linotype"/>
          <w:b/>
          <w:i/>
          <w:szCs w:val="22"/>
        </w:rPr>
      </w:pPr>
    </w:p>
    <w:p w14:paraId="504F12DB" w14:textId="77777777" w:rsidR="00C049E2" w:rsidRPr="00C56E85" w:rsidRDefault="00C049E2" w:rsidP="00C56E85">
      <w:pPr>
        <w:spacing w:line="240" w:lineRule="auto"/>
        <w:ind w:left="567" w:right="539"/>
        <w:rPr>
          <w:rFonts w:eastAsia="Palatino Linotype"/>
          <w:b/>
          <w:i/>
          <w:szCs w:val="22"/>
        </w:rPr>
      </w:pPr>
      <w:r w:rsidRPr="00C56E85">
        <w:rPr>
          <w:rFonts w:eastAsia="Palatino Linotype"/>
          <w:b/>
          <w:i/>
          <w:szCs w:val="22"/>
        </w:rPr>
        <w:t>Constitución Política del Estado Libre y Soberano de México</w:t>
      </w:r>
    </w:p>
    <w:p w14:paraId="04932D29" w14:textId="77777777" w:rsidR="00C049E2" w:rsidRPr="00C56E85" w:rsidRDefault="00C049E2" w:rsidP="00C56E85">
      <w:pPr>
        <w:spacing w:line="240" w:lineRule="auto"/>
        <w:ind w:left="567" w:right="539"/>
        <w:rPr>
          <w:rFonts w:eastAsia="Palatino Linotype"/>
          <w:i/>
          <w:szCs w:val="22"/>
        </w:rPr>
      </w:pPr>
      <w:r w:rsidRPr="00C56E85">
        <w:rPr>
          <w:rFonts w:eastAsia="Palatino Linotype"/>
          <w:b/>
          <w:i/>
          <w:szCs w:val="22"/>
        </w:rPr>
        <w:t>“Artículo 5</w:t>
      </w:r>
      <w:r w:rsidRPr="00C56E85">
        <w:rPr>
          <w:rFonts w:eastAsia="Palatino Linotype"/>
          <w:i/>
          <w:szCs w:val="22"/>
        </w:rPr>
        <w:t xml:space="preserve">.- </w:t>
      </w:r>
    </w:p>
    <w:p w14:paraId="1D3829F4" w14:textId="77777777" w:rsidR="00C049E2" w:rsidRPr="00C56E85" w:rsidRDefault="00C049E2" w:rsidP="00C56E85">
      <w:pPr>
        <w:spacing w:line="240" w:lineRule="auto"/>
        <w:ind w:left="567" w:right="539"/>
        <w:rPr>
          <w:rFonts w:eastAsia="Palatino Linotype"/>
          <w:i/>
          <w:szCs w:val="22"/>
        </w:rPr>
      </w:pPr>
      <w:r w:rsidRPr="00C56E85">
        <w:rPr>
          <w:rFonts w:eastAsia="Palatino Linotype"/>
          <w:i/>
          <w:szCs w:val="22"/>
        </w:rPr>
        <w:t>(…)</w:t>
      </w:r>
    </w:p>
    <w:p w14:paraId="0EAE47FD" w14:textId="77777777" w:rsidR="00C049E2" w:rsidRPr="00C56E85" w:rsidRDefault="00C049E2" w:rsidP="00C56E85">
      <w:pPr>
        <w:spacing w:line="240" w:lineRule="auto"/>
        <w:ind w:left="567" w:right="539"/>
        <w:rPr>
          <w:rFonts w:eastAsia="Palatino Linotype"/>
          <w:i/>
          <w:szCs w:val="22"/>
        </w:rPr>
      </w:pPr>
      <w:r w:rsidRPr="00C56E85">
        <w:rPr>
          <w:rFonts w:eastAsia="Palatino Linotype"/>
          <w:b/>
          <w:i/>
          <w:szCs w:val="22"/>
        </w:rPr>
        <w:t>El derecho a la información será garantizado por el Estado. La ley establecerá las previsiones que permitan asegurar la protección, el respeto y la difusión de este derecho</w:t>
      </w:r>
      <w:r w:rsidRPr="00C56E85">
        <w:rPr>
          <w:rFonts w:eastAsia="Palatino Linotype"/>
          <w:i/>
          <w:szCs w:val="22"/>
        </w:rPr>
        <w:t>.</w:t>
      </w:r>
    </w:p>
    <w:p w14:paraId="4F0C804A" w14:textId="77777777" w:rsidR="00C049E2" w:rsidRPr="00C56E85" w:rsidRDefault="00C049E2" w:rsidP="00C56E85">
      <w:pPr>
        <w:spacing w:line="240" w:lineRule="auto"/>
        <w:ind w:left="567" w:right="539"/>
        <w:rPr>
          <w:rFonts w:eastAsia="Palatino Linotype"/>
          <w:i/>
          <w:szCs w:val="22"/>
        </w:rPr>
      </w:pPr>
      <w:r w:rsidRPr="00C56E85">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56E85" w:rsidRDefault="00C049E2" w:rsidP="00C56E85">
      <w:pPr>
        <w:spacing w:line="240" w:lineRule="auto"/>
        <w:ind w:left="567" w:right="539"/>
        <w:rPr>
          <w:rFonts w:eastAsia="Palatino Linotype"/>
          <w:i/>
          <w:szCs w:val="22"/>
        </w:rPr>
      </w:pPr>
      <w:r w:rsidRPr="00C56E85">
        <w:rPr>
          <w:rFonts w:eastAsia="Palatino Linotype"/>
          <w:b/>
          <w:i/>
          <w:szCs w:val="22"/>
        </w:rPr>
        <w:t>Este derecho se regirá por los principios y bases siguientes</w:t>
      </w:r>
      <w:r w:rsidRPr="00C56E85">
        <w:rPr>
          <w:rFonts w:eastAsia="Palatino Linotype"/>
          <w:i/>
          <w:szCs w:val="22"/>
        </w:rPr>
        <w:t>:</w:t>
      </w:r>
    </w:p>
    <w:p w14:paraId="4A3E8CBA" w14:textId="77777777" w:rsidR="00C049E2" w:rsidRPr="00C56E85" w:rsidRDefault="00C049E2" w:rsidP="00C56E85">
      <w:pPr>
        <w:spacing w:line="240" w:lineRule="auto"/>
        <w:ind w:left="567" w:right="539"/>
        <w:rPr>
          <w:rFonts w:eastAsia="Palatino Linotype"/>
          <w:i/>
          <w:szCs w:val="22"/>
        </w:rPr>
      </w:pPr>
      <w:r w:rsidRPr="00C56E85">
        <w:rPr>
          <w:rFonts w:eastAsia="Palatino Linotype"/>
          <w:b/>
          <w:i/>
          <w:szCs w:val="22"/>
        </w:rPr>
        <w:lastRenderedPageBreak/>
        <w:t>I. Toda la información en posesión de cualquier autoridad, entidad, órgano y organismos de los</w:t>
      </w:r>
      <w:r w:rsidRPr="00C56E85">
        <w:rPr>
          <w:rFonts w:eastAsia="Palatino Linotype"/>
          <w:i/>
          <w:szCs w:val="22"/>
        </w:rPr>
        <w:t xml:space="preserve"> Poderes Ejecutivo, Legislativo y Judicial, órganos autónomos, partidos políticos, fideicomisos y fondos públicos estatales y </w:t>
      </w:r>
      <w:r w:rsidRPr="00C56E85">
        <w:rPr>
          <w:rFonts w:eastAsia="Palatino Linotype"/>
          <w:b/>
          <w:i/>
          <w:szCs w:val="22"/>
        </w:rPr>
        <w:t>municipales</w:t>
      </w:r>
      <w:r w:rsidRPr="00C56E85">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56E85">
        <w:rPr>
          <w:rFonts w:eastAsia="Palatino Linotype"/>
          <w:b/>
          <w:i/>
          <w:szCs w:val="22"/>
        </w:rPr>
        <w:t>es pública</w:t>
      </w:r>
      <w:r w:rsidRPr="00C56E85">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C56E85">
        <w:rPr>
          <w:rFonts w:eastAsia="Palatino Linotype"/>
          <w:b/>
          <w:i/>
          <w:szCs w:val="22"/>
        </w:rPr>
        <w:t>En la interpretación de este derecho deberá prevalecer el principio de máxima publicidad</w:t>
      </w:r>
      <w:r w:rsidRPr="00C56E85">
        <w:rPr>
          <w:rFonts w:eastAsia="Palatino Linotype"/>
          <w:i/>
          <w:szCs w:val="22"/>
        </w:rPr>
        <w:t xml:space="preserve">. </w:t>
      </w:r>
      <w:r w:rsidRPr="00C56E85">
        <w:rPr>
          <w:rFonts w:eastAsia="Palatino Linotype"/>
          <w:b/>
          <w:i/>
          <w:szCs w:val="22"/>
        </w:rPr>
        <w:t>Los sujetos obligados deberán documentar todo acto que derive del ejercicio de sus facultades, competencias o funciones</w:t>
      </w:r>
      <w:r w:rsidRPr="00C56E85">
        <w:rPr>
          <w:rFonts w:eastAsia="Palatino Linotype"/>
          <w:i/>
          <w:szCs w:val="22"/>
        </w:rPr>
        <w:t>, la ley determinará los supuestos específicos bajo los cuales procederá la declaración de inexistencia de la información.”</w:t>
      </w:r>
    </w:p>
    <w:p w14:paraId="5CA98E37" w14:textId="77777777" w:rsidR="00C049E2" w:rsidRPr="00C56E85" w:rsidRDefault="00C049E2" w:rsidP="00C56E85">
      <w:pPr>
        <w:rPr>
          <w:rFonts w:eastAsia="Palatino Linotype"/>
          <w:b/>
          <w:i/>
          <w:szCs w:val="22"/>
        </w:rPr>
      </w:pPr>
    </w:p>
    <w:p w14:paraId="6FC1BB3B" w14:textId="3BF4A33D" w:rsidR="00C049E2" w:rsidRPr="00C56E85" w:rsidRDefault="00717E59" w:rsidP="00C56E85">
      <w:pPr>
        <w:rPr>
          <w:rFonts w:eastAsia="Palatino Linotype"/>
          <w:i/>
          <w:szCs w:val="22"/>
        </w:rPr>
      </w:pPr>
      <w:r w:rsidRPr="00C56E85">
        <w:rPr>
          <w:rFonts w:eastAsia="Palatino Linotype"/>
          <w:szCs w:val="22"/>
        </w:rPr>
        <w:t xml:space="preserve">Asimismo, </w:t>
      </w:r>
      <w:r w:rsidR="00C049E2" w:rsidRPr="00C56E85">
        <w:rPr>
          <w:rFonts w:eastAsia="Palatino Linotype"/>
          <w:szCs w:val="22"/>
        </w:rPr>
        <w:t>el artículo 150 de la Ley de Transparencia y Acceso a la Información Pública del Estado de México y Municipios</w:t>
      </w:r>
      <w:r w:rsidR="00057B2D" w:rsidRPr="00C56E85">
        <w:rPr>
          <w:rFonts w:eastAsia="Palatino Linotype"/>
          <w:szCs w:val="22"/>
        </w:rPr>
        <w:t xml:space="preserve"> </w:t>
      </w:r>
      <w:r w:rsidR="00E9335C" w:rsidRPr="00C56E85">
        <w:rPr>
          <w:rFonts w:eastAsia="Palatino Linotype"/>
          <w:szCs w:val="22"/>
        </w:rPr>
        <w:t xml:space="preserve">indica </w:t>
      </w:r>
      <w:r w:rsidR="00057B2D" w:rsidRPr="00C56E85">
        <w:rPr>
          <w:rFonts w:eastAsia="Palatino Linotype"/>
          <w:szCs w:val="22"/>
        </w:rPr>
        <w:t>que</w:t>
      </w:r>
      <w:r w:rsidR="00C049E2" w:rsidRPr="00C56E85">
        <w:rPr>
          <w:rFonts w:eastAsia="Palatino Linotype"/>
          <w:szCs w:val="22"/>
        </w:rPr>
        <w:t xml:space="preserve"> la solicitud es la garantía primaria del Derecho de Acceso a la Información, además, establece que se regirá </w:t>
      </w:r>
      <w:r w:rsidR="00C049E2" w:rsidRPr="00C56E85">
        <w:rPr>
          <w:rFonts w:eastAsia="Palatino Linotype"/>
          <w:i/>
          <w:szCs w:val="22"/>
        </w:rPr>
        <w:t>por los principios de simplicidad, rapidez</w:t>
      </w:r>
      <w:r w:rsidR="005F65B7" w:rsidRPr="00C56E85">
        <w:rPr>
          <w:rFonts w:eastAsia="Palatino Linotype"/>
          <w:i/>
          <w:szCs w:val="22"/>
        </w:rPr>
        <w:t>,</w:t>
      </w:r>
      <w:r w:rsidR="00C049E2" w:rsidRPr="00C56E85">
        <w:rPr>
          <w:rFonts w:eastAsia="Palatino Linotype"/>
          <w:i/>
          <w:szCs w:val="22"/>
        </w:rPr>
        <w:t xml:space="preserve"> gratuidad del procedimiento, auxilio y orientación a los particulare</w:t>
      </w:r>
      <w:r w:rsidR="001A58B3" w:rsidRPr="00C56E85">
        <w:rPr>
          <w:rFonts w:eastAsia="Palatino Linotype"/>
          <w:i/>
          <w:szCs w:val="22"/>
        </w:rPr>
        <w:t>s.</w:t>
      </w:r>
    </w:p>
    <w:p w14:paraId="033466A6" w14:textId="77777777" w:rsidR="001A58B3" w:rsidRPr="00C56E85" w:rsidRDefault="001A58B3" w:rsidP="00C56E85">
      <w:pPr>
        <w:rPr>
          <w:rFonts w:eastAsia="Palatino Linotype"/>
          <w:i/>
          <w:szCs w:val="22"/>
        </w:rPr>
      </w:pPr>
    </w:p>
    <w:p w14:paraId="04ADA10B" w14:textId="574A944A" w:rsidR="001A58B3" w:rsidRPr="00C56E85" w:rsidRDefault="00233F17" w:rsidP="00C56E85">
      <w:pPr>
        <w:rPr>
          <w:rFonts w:eastAsia="Palatino Linotype" w:cs="Palatino Linotype"/>
          <w:i/>
          <w:szCs w:val="22"/>
        </w:rPr>
      </w:pPr>
      <w:r w:rsidRPr="00C56E85">
        <w:rPr>
          <w:rFonts w:eastAsia="Palatino Linotype" w:cs="Palatino Linotype"/>
          <w:szCs w:val="22"/>
        </w:rPr>
        <w:t xml:space="preserve">Por su parte, el artículo 4 de </w:t>
      </w:r>
      <w:r w:rsidR="001A58B3" w:rsidRPr="00C56E85">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56E85">
        <w:rPr>
          <w:rFonts w:eastAsia="Palatino Linotype" w:cs="Palatino Linotype"/>
          <w:szCs w:val="22"/>
        </w:rPr>
        <w:t>.</w:t>
      </w:r>
    </w:p>
    <w:p w14:paraId="1407DBB8" w14:textId="77777777" w:rsidR="001A58B3" w:rsidRPr="00C56E85" w:rsidRDefault="001A58B3" w:rsidP="00C56E85">
      <w:pPr>
        <w:rPr>
          <w:rFonts w:eastAsia="Palatino Linotype" w:cs="Palatino Linotype"/>
          <w:szCs w:val="22"/>
        </w:rPr>
      </w:pPr>
    </w:p>
    <w:p w14:paraId="7552AA79" w14:textId="5C52E4A4" w:rsidR="001A58B3" w:rsidRPr="00C56E85" w:rsidRDefault="001A58B3" w:rsidP="00C56E85">
      <w:pPr>
        <w:rPr>
          <w:rFonts w:eastAsia="Palatino Linotype" w:cs="Palatino Linotype"/>
          <w:szCs w:val="22"/>
        </w:rPr>
      </w:pPr>
      <w:r w:rsidRPr="00C56E85">
        <w:rPr>
          <w:rFonts w:eastAsia="Palatino Linotype" w:cs="Palatino Linotype"/>
          <w:szCs w:val="22"/>
        </w:rPr>
        <w:t xml:space="preserve">Esto es, que los Sujetos Obligados </w:t>
      </w:r>
      <w:r w:rsidR="00FA5957" w:rsidRPr="00C56E85">
        <w:rPr>
          <w:rFonts w:eastAsia="Palatino Linotype" w:cs="Palatino Linotype"/>
          <w:szCs w:val="22"/>
        </w:rPr>
        <w:t>deben</w:t>
      </w:r>
      <w:r w:rsidRPr="00C56E85">
        <w:rPr>
          <w:rFonts w:eastAsia="Palatino Linotype" w:cs="Palatino Linotype"/>
          <w:szCs w:val="22"/>
        </w:rPr>
        <w:t xml:space="preserve"> atender las solicitudes de acceso a la información pública que se les </w:t>
      </w:r>
      <w:r w:rsidR="00FA5957" w:rsidRPr="00C56E85">
        <w:rPr>
          <w:rFonts w:eastAsia="Palatino Linotype" w:cs="Palatino Linotype"/>
          <w:szCs w:val="22"/>
        </w:rPr>
        <w:t>sean realizadas,</w:t>
      </w:r>
      <w:r w:rsidRPr="00C56E85">
        <w:rPr>
          <w:rFonts w:eastAsia="Palatino Linotype" w:cs="Palatino Linotype"/>
          <w:szCs w:val="22"/>
        </w:rPr>
        <w:t xml:space="preserve"> y proporcionar la información pública que obre en su poder</w:t>
      </w:r>
      <w:r w:rsidR="00FA5957" w:rsidRPr="00C56E85">
        <w:rPr>
          <w:rFonts w:eastAsia="Palatino Linotype" w:cs="Palatino Linotype"/>
          <w:szCs w:val="22"/>
        </w:rPr>
        <w:t>,</w:t>
      </w:r>
      <w:r w:rsidRPr="00C56E85">
        <w:rPr>
          <w:rFonts w:eastAsia="Palatino Linotype" w:cs="Palatino Linotype"/>
          <w:szCs w:val="22"/>
        </w:rPr>
        <w:t xml:space="preserve"> conforme </w:t>
      </w:r>
      <w:r w:rsidR="00FA5957" w:rsidRPr="00C56E85">
        <w:rPr>
          <w:rFonts w:eastAsia="Palatino Linotype" w:cs="Palatino Linotype"/>
          <w:szCs w:val="22"/>
        </w:rPr>
        <w:t>a</w:t>
      </w:r>
      <w:r w:rsidRPr="00C56E85">
        <w:rPr>
          <w:rFonts w:eastAsia="Palatino Linotype" w:cs="Palatino Linotype"/>
          <w:szCs w:val="22"/>
        </w:rPr>
        <w:t xml:space="preserve">l estado </w:t>
      </w:r>
      <w:r w:rsidR="00FA5957" w:rsidRPr="00C56E85">
        <w:rPr>
          <w:rFonts w:eastAsia="Palatino Linotype" w:cs="Palatino Linotype"/>
          <w:szCs w:val="22"/>
        </w:rPr>
        <w:t xml:space="preserve">en </w:t>
      </w:r>
      <w:r w:rsidRPr="00C56E85">
        <w:rPr>
          <w:rFonts w:eastAsia="Palatino Linotype" w:cs="Palatino Linotype"/>
          <w:szCs w:val="22"/>
        </w:rPr>
        <w:t>que se encuentr</w:t>
      </w:r>
      <w:r w:rsidR="00FA5957" w:rsidRPr="00C56E85">
        <w:rPr>
          <w:rFonts w:eastAsia="Palatino Linotype" w:cs="Palatino Linotype"/>
          <w:szCs w:val="22"/>
        </w:rPr>
        <w:t>e, sin que sea necesario</w:t>
      </w:r>
      <w:r w:rsidRPr="00C56E85">
        <w:rPr>
          <w:rFonts w:eastAsia="Palatino Linotype" w:cs="Palatino Linotype"/>
          <w:szCs w:val="22"/>
        </w:rPr>
        <w:t xml:space="preserve"> </w:t>
      </w:r>
      <w:r w:rsidR="00FA5957" w:rsidRPr="00C56E85">
        <w:rPr>
          <w:rFonts w:eastAsia="Palatino Linotype" w:cs="Palatino Linotype"/>
          <w:szCs w:val="22"/>
        </w:rPr>
        <w:t>procesar</w:t>
      </w:r>
      <w:r w:rsidRPr="00C56E85">
        <w:rPr>
          <w:rFonts w:eastAsia="Palatino Linotype" w:cs="Palatino Linotype"/>
          <w:szCs w:val="22"/>
        </w:rPr>
        <w:t xml:space="preserve"> la misma, ni presentarla conforme al interés del solicitante; </w:t>
      </w:r>
      <w:r w:rsidR="00FA5957" w:rsidRPr="00C56E85">
        <w:rPr>
          <w:rFonts w:eastAsia="Palatino Linotype" w:cs="Palatino Linotype"/>
          <w:szCs w:val="22"/>
        </w:rPr>
        <w:t>tal y como</w:t>
      </w:r>
      <w:r w:rsidRPr="00C56E85">
        <w:rPr>
          <w:rFonts w:eastAsia="Palatino Linotype" w:cs="Palatino Linotype"/>
          <w:szCs w:val="22"/>
        </w:rPr>
        <w:t xml:space="preserve"> lo establece el artículo 12 de la Ley de Transparencia y Acceso a la Información Pública del Estado de México y Municipios</w:t>
      </w:r>
      <w:r w:rsidR="00970EB3" w:rsidRPr="00C56E85">
        <w:rPr>
          <w:rFonts w:eastAsia="Palatino Linotype" w:cs="Palatino Linotype"/>
          <w:szCs w:val="22"/>
        </w:rPr>
        <w:t>.</w:t>
      </w:r>
    </w:p>
    <w:p w14:paraId="73245195" w14:textId="77777777" w:rsidR="00970EB3" w:rsidRPr="00C56E85" w:rsidRDefault="00970EB3" w:rsidP="00C56E85">
      <w:pPr>
        <w:rPr>
          <w:rFonts w:eastAsia="Palatino Linotype" w:cs="Palatino Linotype"/>
          <w:szCs w:val="22"/>
        </w:rPr>
      </w:pPr>
    </w:p>
    <w:p w14:paraId="7F62D4DF" w14:textId="775730E1" w:rsidR="001A58B3" w:rsidRPr="00C56E85" w:rsidRDefault="001A58B3" w:rsidP="00C56E85">
      <w:pPr>
        <w:rPr>
          <w:rFonts w:eastAsia="Palatino Linotype" w:cs="Palatino Linotype"/>
          <w:szCs w:val="22"/>
        </w:rPr>
      </w:pPr>
      <w:r w:rsidRPr="00C56E85">
        <w:rPr>
          <w:rFonts w:eastAsia="Palatino Linotype" w:cs="Palatino Linotype"/>
          <w:szCs w:val="22"/>
        </w:rPr>
        <w:lastRenderedPageBreak/>
        <w:t>Es decir, que todo sujeto obligado que genere, recopile, administre, procese, archive, posea o conserven, son responsables de la misma</w:t>
      </w:r>
      <w:r w:rsidR="00970EB3" w:rsidRPr="00C56E85">
        <w:rPr>
          <w:rFonts w:eastAsia="Palatino Linotype" w:cs="Palatino Linotype"/>
          <w:szCs w:val="22"/>
        </w:rPr>
        <w:t>,</w:t>
      </w:r>
      <w:r w:rsidRPr="00C56E85">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C56E85">
        <w:rPr>
          <w:rFonts w:eastAsia="Palatino Linotype" w:cs="Palatino Linotype"/>
          <w:szCs w:val="22"/>
        </w:rPr>
        <w:t>o</w:t>
      </w:r>
      <w:r w:rsidRPr="00C56E85">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56E85" w:rsidRDefault="001A58B3" w:rsidP="00C56E85">
      <w:pPr>
        <w:rPr>
          <w:rFonts w:eastAsia="Palatino Linotype" w:cs="Palatino Linotype"/>
          <w:szCs w:val="22"/>
        </w:rPr>
      </w:pPr>
    </w:p>
    <w:p w14:paraId="04E42DFE" w14:textId="573F1198" w:rsidR="001A58B3" w:rsidRPr="00C56E85" w:rsidRDefault="001A58B3" w:rsidP="00C56E85">
      <w:pPr>
        <w:rPr>
          <w:rFonts w:eastAsia="Palatino Linotype" w:cs="Palatino Linotype"/>
          <w:szCs w:val="22"/>
        </w:rPr>
      </w:pPr>
      <w:r w:rsidRPr="00C56E85">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56E85">
        <w:rPr>
          <w:rFonts w:eastAsia="Palatino Linotype" w:cs="Palatino Linotype"/>
          <w:szCs w:val="22"/>
        </w:rPr>
        <w:t>, s</w:t>
      </w:r>
      <w:r w:rsidRPr="00C56E85">
        <w:rPr>
          <w:rFonts w:eastAsia="Palatino Linotype" w:cs="Palatino Linotype"/>
          <w:szCs w:val="22"/>
        </w:rPr>
        <w:t xml:space="preserve">iempre y cuando no se trate de información reservada o </w:t>
      </w:r>
      <w:r w:rsidR="00331F35" w:rsidRPr="00C56E85">
        <w:rPr>
          <w:rFonts w:eastAsia="Palatino Linotype" w:cs="Palatino Linotype"/>
          <w:szCs w:val="22"/>
        </w:rPr>
        <w:t>confidencial.</w:t>
      </w:r>
    </w:p>
    <w:p w14:paraId="40C5219F" w14:textId="77777777" w:rsidR="001A58B3" w:rsidRPr="00C56E85" w:rsidRDefault="001A58B3" w:rsidP="00C56E85">
      <w:pPr>
        <w:rPr>
          <w:rFonts w:eastAsia="Palatino Linotype" w:cs="Palatino Linotype"/>
          <w:szCs w:val="22"/>
        </w:rPr>
      </w:pPr>
    </w:p>
    <w:p w14:paraId="51A0E8B4" w14:textId="676DCA47" w:rsidR="00664420" w:rsidRPr="00C56E85" w:rsidRDefault="00C71CEF" w:rsidP="00C56E85">
      <w:pPr>
        <w:pStyle w:val="Ttulo3"/>
        <w:rPr>
          <w:rFonts w:eastAsia="Calibri"/>
          <w:szCs w:val="22"/>
          <w:lang w:eastAsia="es-ES_tradnl"/>
        </w:rPr>
      </w:pPr>
      <w:bookmarkStart w:id="26" w:name="_heading=h.2s8eyo1" w:colFirst="0" w:colLast="0"/>
      <w:bookmarkStart w:id="27" w:name="_Toc184230598"/>
      <w:bookmarkEnd w:id="26"/>
      <w:r w:rsidRPr="00C56E85">
        <w:rPr>
          <w:rFonts w:eastAsia="Calibri"/>
          <w:szCs w:val="22"/>
          <w:lang w:eastAsia="es-ES_tradnl"/>
        </w:rPr>
        <w:t>b)</w:t>
      </w:r>
      <w:r w:rsidR="00A53315" w:rsidRPr="00C56E85">
        <w:rPr>
          <w:rFonts w:eastAsia="Calibri"/>
          <w:szCs w:val="22"/>
          <w:lang w:eastAsia="es-ES_tradnl"/>
        </w:rPr>
        <w:t xml:space="preserve"> </w:t>
      </w:r>
      <w:r w:rsidR="00A21A20" w:rsidRPr="00C56E85">
        <w:rPr>
          <w:rFonts w:eastAsia="Calibri"/>
          <w:szCs w:val="22"/>
          <w:lang w:eastAsia="es-ES_tradnl"/>
        </w:rPr>
        <w:t>Controversia a resolver</w:t>
      </w:r>
      <w:bookmarkEnd w:id="27"/>
    </w:p>
    <w:p w14:paraId="3A2D98C6" w14:textId="77777777" w:rsidR="007E5492" w:rsidRPr="00C56E85" w:rsidRDefault="00054DD6" w:rsidP="00C56E85">
      <w:r w:rsidRPr="00C56E85">
        <w:t xml:space="preserve">Con el objeto de ilustrar la controversia planteada, resulta conveniente precisar que, una vez realizado el estudio de las constancias que integran el expediente en que se actúa, se desprende que </w:t>
      </w:r>
      <w:r w:rsidRPr="00C56E85">
        <w:rPr>
          <w:b/>
        </w:rPr>
        <w:t>LA PARTE RECURRENTE</w:t>
      </w:r>
      <w:r w:rsidRPr="00C56E85">
        <w:t xml:space="preserve"> solicitó</w:t>
      </w:r>
      <w:r w:rsidR="007E5492" w:rsidRPr="00C56E85">
        <w:t>:</w:t>
      </w:r>
    </w:p>
    <w:p w14:paraId="09E02EEA" w14:textId="77777777" w:rsidR="007E5492" w:rsidRPr="00C56E85" w:rsidRDefault="007E5492" w:rsidP="00C56E85"/>
    <w:p w14:paraId="20765756" w14:textId="17B88CD0" w:rsidR="007E5492" w:rsidRPr="00C56E85" w:rsidRDefault="007E5492" w:rsidP="00C56E85">
      <w:pPr>
        <w:pStyle w:val="Prrafodelista"/>
        <w:numPr>
          <w:ilvl w:val="0"/>
          <w:numId w:val="4"/>
        </w:numPr>
      </w:pPr>
      <w:r w:rsidRPr="00C56E85">
        <w:t>I</w:t>
      </w:r>
      <w:r w:rsidR="007916B7" w:rsidRPr="00C56E85">
        <w:t>nforme Anual de labores de Anuar Azar Figueroa Presidente del Comité Directivo Estatal, de todos los años que ha fungido</w:t>
      </w:r>
      <w:r w:rsidRPr="00C56E85">
        <w:t>.</w:t>
      </w:r>
    </w:p>
    <w:p w14:paraId="1204789F" w14:textId="18AC7933" w:rsidR="007E5492" w:rsidRPr="00C56E85" w:rsidRDefault="007E5492" w:rsidP="00C56E85">
      <w:pPr>
        <w:pStyle w:val="Prrafodelista"/>
        <w:numPr>
          <w:ilvl w:val="0"/>
          <w:numId w:val="4"/>
        </w:numPr>
      </w:pPr>
      <w:r w:rsidRPr="00C56E85">
        <w:t>C</w:t>
      </w:r>
      <w:r w:rsidR="007916B7" w:rsidRPr="00C56E85">
        <w:t xml:space="preserve">opia de todas las facturas pagadas por el Comité </w:t>
      </w:r>
      <w:r w:rsidRPr="00C56E85">
        <w:t>Directivo Estatal durante 2024.</w:t>
      </w:r>
    </w:p>
    <w:p w14:paraId="1B562BC8" w14:textId="1EA76D1D" w:rsidR="007E0710" w:rsidRPr="00C56E85" w:rsidRDefault="007E5492" w:rsidP="00C56E85">
      <w:pPr>
        <w:pStyle w:val="Prrafodelista"/>
        <w:numPr>
          <w:ilvl w:val="0"/>
          <w:numId w:val="4"/>
        </w:numPr>
      </w:pPr>
      <w:r w:rsidRPr="00C56E85">
        <w:t>D</w:t>
      </w:r>
      <w:r w:rsidR="007916B7" w:rsidRPr="00C56E85">
        <w:t>ocumentos presentados por Anuar Azar Figueroa en su registro como candidato a Presidente del Comité Directivo Estatal para el presente periodo.</w:t>
      </w:r>
    </w:p>
    <w:p w14:paraId="3CE9227B" w14:textId="77777777" w:rsidR="009C5299" w:rsidRPr="00C56E85" w:rsidRDefault="009C5299" w:rsidP="00C56E85"/>
    <w:p w14:paraId="587BCE4E" w14:textId="2BEEB86F" w:rsidR="00054DD6" w:rsidRPr="00C56E85" w:rsidRDefault="00054DD6" w:rsidP="00C56E85">
      <w:pPr>
        <w:tabs>
          <w:tab w:val="left" w:pos="4962"/>
        </w:tabs>
      </w:pPr>
      <w:r w:rsidRPr="00C56E85">
        <w:lastRenderedPageBreak/>
        <w:t xml:space="preserve">En respuesta, </w:t>
      </w:r>
      <w:r w:rsidRPr="00C56E85">
        <w:rPr>
          <w:b/>
        </w:rPr>
        <w:t>EL SUJETO OBLIGADO</w:t>
      </w:r>
      <w:r w:rsidRPr="00C56E85">
        <w:t xml:space="preserve"> se pronunció por conducto de</w:t>
      </w:r>
      <w:r w:rsidR="009C5299" w:rsidRPr="00C56E85">
        <w:t xml:space="preserve">l </w:t>
      </w:r>
      <w:r w:rsidR="007916B7" w:rsidRPr="00C56E85">
        <w:t>Presidente Estatal del Partido Acción Nacional, quien solicitó someter a consideración del Comité de Transparencia una ampliación de plazo a fin de dar respuesta a la solicitud de información de mérito.</w:t>
      </w:r>
    </w:p>
    <w:p w14:paraId="20A66679" w14:textId="77777777" w:rsidR="00054DD6" w:rsidRPr="00C56E85" w:rsidRDefault="00054DD6" w:rsidP="00C56E85">
      <w:pPr>
        <w:tabs>
          <w:tab w:val="left" w:pos="4962"/>
        </w:tabs>
      </w:pPr>
    </w:p>
    <w:p w14:paraId="2AB5E528" w14:textId="2F807093" w:rsidR="00054DD6" w:rsidRPr="00C56E85" w:rsidRDefault="00054DD6" w:rsidP="00C56E85">
      <w:pPr>
        <w:tabs>
          <w:tab w:val="left" w:pos="4962"/>
        </w:tabs>
      </w:pPr>
      <w:r w:rsidRPr="00C56E85">
        <w:t xml:space="preserve">Ahora bien, en la interposición del presente recurso </w:t>
      </w:r>
      <w:r w:rsidRPr="00C56E85">
        <w:rPr>
          <w:b/>
        </w:rPr>
        <w:t>LA PARTE RECURRENTE</w:t>
      </w:r>
      <w:r w:rsidRPr="00C56E85">
        <w:t xml:space="preserve"> se inconformó </w:t>
      </w:r>
      <w:r w:rsidR="00FE7A06" w:rsidRPr="00C56E85">
        <w:t xml:space="preserve">manifestando </w:t>
      </w:r>
      <w:r w:rsidR="00FE7A06" w:rsidRPr="00C56E85">
        <w:rPr>
          <w:rFonts w:eastAsia="Palatino Linotype"/>
        </w:rPr>
        <w:t xml:space="preserve">que </w:t>
      </w:r>
      <w:r w:rsidR="00FE7A06" w:rsidRPr="00C56E85">
        <w:rPr>
          <w:rFonts w:eastAsia="Palatino Linotype"/>
          <w:b/>
          <w:bCs/>
        </w:rPr>
        <w:t xml:space="preserve">EL SUJETO OBLIGADO </w:t>
      </w:r>
      <w:r w:rsidR="00FE7A06" w:rsidRPr="00C56E85">
        <w:rPr>
          <w:rFonts w:eastAsia="Palatino Linotype"/>
        </w:rPr>
        <w:t>hizo todo menos contestar la solicitud</w:t>
      </w:r>
      <w:r w:rsidR="009C5299" w:rsidRPr="00C56E85">
        <w:t>.</w:t>
      </w:r>
    </w:p>
    <w:p w14:paraId="1F250806" w14:textId="77777777" w:rsidR="00054DD6" w:rsidRPr="00C56E85" w:rsidRDefault="00054DD6" w:rsidP="00C56E85">
      <w:pPr>
        <w:tabs>
          <w:tab w:val="left" w:pos="4962"/>
        </w:tabs>
      </w:pPr>
    </w:p>
    <w:p w14:paraId="1AD3FED6" w14:textId="714D0047" w:rsidR="006B7F3A" w:rsidRPr="00C56E85" w:rsidRDefault="00054DD6" w:rsidP="00C56E85">
      <w:pPr>
        <w:tabs>
          <w:tab w:val="left" w:pos="4962"/>
        </w:tabs>
        <w:rPr>
          <w:lang w:val="es-ES"/>
        </w:rPr>
      </w:pPr>
      <w:r w:rsidRPr="00C56E85">
        <w:rPr>
          <w:lang w:val="es-ES"/>
        </w:rPr>
        <w:t xml:space="preserve">Abierta la etapa de instrucción, </w:t>
      </w:r>
      <w:r w:rsidRPr="00C56E85">
        <w:rPr>
          <w:b/>
          <w:lang w:val="es-ES"/>
        </w:rPr>
        <w:t>EL SUJETO OBLIGADO</w:t>
      </w:r>
      <w:r w:rsidRPr="00C56E85">
        <w:rPr>
          <w:lang w:val="es-ES"/>
        </w:rPr>
        <w:t xml:space="preserve"> </w:t>
      </w:r>
      <w:r w:rsidR="007916B7" w:rsidRPr="00C56E85">
        <w:rPr>
          <w:lang w:val="es-ES"/>
        </w:rPr>
        <w:t xml:space="preserve">no </w:t>
      </w:r>
      <w:r w:rsidRPr="00C56E85">
        <w:rPr>
          <w:lang w:val="es-ES"/>
        </w:rPr>
        <w:t xml:space="preserve">rindió su Informe Justificado, </w:t>
      </w:r>
      <w:r w:rsidR="007916B7" w:rsidRPr="00C56E85">
        <w:rPr>
          <w:lang w:val="es-ES"/>
        </w:rPr>
        <w:t xml:space="preserve">así como </w:t>
      </w:r>
      <w:r w:rsidR="007916B7" w:rsidRPr="00C56E85">
        <w:rPr>
          <w:b/>
          <w:lang w:val="es-ES"/>
        </w:rPr>
        <w:t xml:space="preserve">LA PARTE RECURRENTE </w:t>
      </w:r>
      <w:r w:rsidR="007916B7" w:rsidRPr="00C56E85">
        <w:rPr>
          <w:lang w:val="es-ES"/>
        </w:rPr>
        <w:t>tampoco realizó manifestación alguna a su favor.</w:t>
      </w:r>
    </w:p>
    <w:p w14:paraId="378612E0" w14:textId="77777777" w:rsidR="006B7F3A" w:rsidRPr="00C56E85" w:rsidRDefault="006B7F3A" w:rsidP="00C56E85">
      <w:pPr>
        <w:tabs>
          <w:tab w:val="left" w:pos="4962"/>
        </w:tabs>
        <w:rPr>
          <w:lang w:val="es-ES"/>
        </w:rPr>
      </w:pPr>
    </w:p>
    <w:p w14:paraId="5327FECE" w14:textId="703C3B7D" w:rsidR="00054DD6" w:rsidRPr="00C56E85" w:rsidRDefault="00054DD6" w:rsidP="00C56E85">
      <w:pPr>
        <w:tabs>
          <w:tab w:val="left" w:pos="4962"/>
        </w:tabs>
      </w:pPr>
      <w:r w:rsidRPr="00C56E85">
        <w:t>Por lo cual, el estudio se centrará en determinar si la información entregada</w:t>
      </w:r>
      <w:r w:rsidR="006B7F3A" w:rsidRPr="00C56E85">
        <w:t xml:space="preserve"> en respuesta </w:t>
      </w:r>
      <w:r w:rsidRPr="00C56E85">
        <w:t xml:space="preserve">colma lo solicitado por </w:t>
      </w:r>
      <w:r w:rsidR="007916B7" w:rsidRPr="00C56E85">
        <w:rPr>
          <w:b/>
        </w:rPr>
        <w:t>LA PARTE RECURRENTE</w:t>
      </w:r>
      <w:r w:rsidRPr="00C56E85">
        <w:t xml:space="preserve">. </w:t>
      </w:r>
    </w:p>
    <w:p w14:paraId="4067099D" w14:textId="77777777" w:rsidR="00054DD6" w:rsidRPr="00C56E85" w:rsidRDefault="00054DD6" w:rsidP="00C56E85"/>
    <w:p w14:paraId="01BD17B7" w14:textId="77777777" w:rsidR="00CA3285" w:rsidRPr="00C56E85" w:rsidRDefault="00CA3285" w:rsidP="00C56E85">
      <w:pPr>
        <w:pStyle w:val="Ttulo3"/>
        <w:rPr>
          <w:rFonts w:eastAsia="Palatino Linotype"/>
          <w:szCs w:val="22"/>
        </w:rPr>
      </w:pPr>
      <w:bookmarkStart w:id="28" w:name="_Toc183078935"/>
      <w:bookmarkStart w:id="29" w:name="_Toc184230599"/>
      <w:r w:rsidRPr="00C56E85">
        <w:rPr>
          <w:rFonts w:eastAsia="Palatino Linotype"/>
          <w:szCs w:val="22"/>
        </w:rPr>
        <w:t>c) Estudio de la controversia</w:t>
      </w:r>
      <w:bookmarkEnd w:id="28"/>
      <w:bookmarkEnd w:id="29"/>
    </w:p>
    <w:p w14:paraId="4E43788F" w14:textId="5041333A" w:rsidR="00CA3285" w:rsidRPr="00C56E85" w:rsidRDefault="00CA3285" w:rsidP="00C56E85">
      <w:pPr>
        <w:rPr>
          <w:rFonts w:eastAsia="Palatino Linotype"/>
        </w:rPr>
      </w:pPr>
      <w:r w:rsidRPr="00C56E85">
        <w:rPr>
          <w:rFonts w:cs="Arial"/>
          <w:szCs w:val="22"/>
        </w:rPr>
        <w:t>Primeramente, c</w:t>
      </w:r>
      <w:r w:rsidRPr="00C56E85">
        <w:rPr>
          <w:rFonts w:eastAsia="Palatino Linotype"/>
        </w:rPr>
        <w:t xml:space="preserve">abe precisar que, de la literalidad del motivo de inconformidad se observa que </w:t>
      </w:r>
      <w:r w:rsidRPr="00C56E85">
        <w:rPr>
          <w:rFonts w:eastAsia="Palatino Linotype"/>
          <w:b/>
          <w:bCs/>
        </w:rPr>
        <w:t xml:space="preserve">LA PARTE RECURRENTE </w:t>
      </w:r>
      <w:r w:rsidRPr="00C56E85">
        <w:rPr>
          <w:rFonts w:eastAsia="Palatino Linotype"/>
        </w:rPr>
        <w:t xml:space="preserve">refiere que </w:t>
      </w:r>
      <w:r w:rsidRPr="00C56E85">
        <w:rPr>
          <w:rFonts w:eastAsia="Palatino Linotype"/>
          <w:b/>
          <w:bCs/>
        </w:rPr>
        <w:t xml:space="preserve">EL SUJETO OBLIGADO </w:t>
      </w:r>
      <w:r w:rsidR="00A35300" w:rsidRPr="00C56E85">
        <w:rPr>
          <w:rFonts w:eastAsia="Palatino Linotype"/>
        </w:rPr>
        <w:t>hizo todo menos contestar la solicitud</w:t>
      </w:r>
      <w:r w:rsidRPr="00C56E85">
        <w:rPr>
          <w:rFonts w:eastAsia="Palatino Linotype"/>
        </w:rPr>
        <w:t xml:space="preserve">,  </w:t>
      </w:r>
      <w:r w:rsidRPr="00C56E85">
        <w:rPr>
          <w:rFonts w:eastAsia="Palatino Linotype" w:cs="Palatino Linotype"/>
        </w:rPr>
        <w:t xml:space="preserve">por lo que, con fundamento en lo dispuesto por el artículo 13 y 181 párrafo cuarto de la Ley de Transparencia y Acceso a la Información Pública del Estado de México y Municipios, este Órgano Garante considera que se debe suplir la deficiencia presentada, </w:t>
      </w:r>
      <w:r w:rsidRPr="00C56E85">
        <w:rPr>
          <w:rFonts w:eastAsia="Palatino Linotype" w:cs="Palatino Linotype"/>
          <w:b/>
        </w:rPr>
        <w:t>determinando que el motivo de inconformidad corresponde a la negativa a la entrega de la información.</w:t>
      </w:r>
    </w:p>
    <w:p w14:paraId="0D74DED2" w14:textId="77777777" w:rsidR="00CA3285" w:rsidRPr="00C56E85" w:rsidRDefault="00CA3285" w:rsidP="00C56E85">
      <w:pPr>
        <w:spacing w:before="240" w:after="240"/>
        <w:rPr>
          <w:rFonts w:eastAsia="Palatino Linotype" w:cs="Palatino Linotype"/>
          <w:i/>
          <w:szCs w:val="22"/>
          <w:lang w:val="es-ES"/>
        </w:rPr>
      </w:pPr>
      <w:r w:rsidRPr="00C56E85">
        <w:rPr>
          <w:rFonts w:eastAsia="Palatino Linotype" w:cs="Palatino Linotype"/>
          <w:szCs w:val="22"/>
          <w:lang w:val="es-ES"/>
        </w:rPr>
        <w:t xml:space="preserve">Del mismo modo, es importante enfatizar que el Derecho de Acceso a la Información Pública consiste en que la </w:t>
      </w:r>
      <w:r w:rsidRPr="00C56E85">
        <w:rPr>
          <w:rFonts w:eastAsia="Palatino Linotype" w:cs="Palatino Linotype"/>
          <w:b/>
          <w:szCs w:val="22"/>
          <w:u w:val="single"/>
          <w:lang w:val="es-ES"/>
        </w:rPr>
        <w:t>información solicitada conste en un soporte documental</w:t>
      </w:r>
      <w:r w:rsidRPr="00C56E85">
        <w:rPr>
          <w:rFonts w:eastAsia="Palatino Linotype" w:cs="Palatino Linotype"/>
          <w:szCs w:val="22"/>
          <w:lang w:val="es-ES"/>
        </w:rPr>
        <w:t xml:space="preserve"> en cualquiera de sus formas, a saber: expedientes, reportes, estudios, actas</w:t>
      </w:r>
      <w:r w:rsidRPr="00C56E85">
        <w:rPr>
          <w:rFonts w:eastAsia="Palatino Linotype" w:cs="Palatino Linotype"/>
          <w:b/>
          <w:szCs w:val="22"/>
          <w:lang w:val="es-ES"/>
        </w:rPr>
        <w:t>,</w:t>
      </w:r>
      <w:r w:rsidRPr="00C56E85">
        <w:rPr>
          <w:rFonts w:eastAsia="Palatino Linotype" w:cs="Palatino Linotype"/>
          <w:szCs w:val="22"/>
          <w:lang w:val="es-ES"/>
        </w:rPr>
        <w:t xml:space="preserve"> resoluciones, oficios, correspondencia, acuerdos, directivas, directrices, circulares, contratos, convenios, </w:t>
      </w:r>
      <w:r w:rsidRPr="00C56E85">
        <w:rPr>
          <w:rFonts w:eastAsia="Palatino Linotype" w:cs="Palatino Linotype"/>
          <w:szCs w:val="22"/>
          <w:lang w:val="es-ES"/>
        </w:rPr>
        <w:lastRenderedPageBreak/>
        <w:t xml:space="preserve">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5794D2BD" w14:textId="77777777" w:rsidR="00CA3285" w:rsidRPr="00C56E85" w:rsidRDefault="00CA3285" w:rsidP="00C56E85">
      <w:pPr>
        <w:pStyle w:val="Puesto"/>
        <w:rPr>
          <w:rFonts w:eastAsia="Palatino Linotype"/>
          <w:szCs w:val="22"/>
          <w:lang w:val="es-ES"/>
        </w:rPr>
      </w:pPr>
      <w:r w:rsidRPr="00C56E85">
        <w:rPr>
          <w:rFonts w:eastAsia="Palatino Linotype"/>
          <w:szCs w:val="22"/>
          <w:lang w:val="es-ES"/>
        </w:rPr>
        <w:t>“</w:t>
      </w:r>
      <w:r w:rsidRPr="00C56E85">
        <w:rPr>
          <w:rFonts w:eastAsia="Palatino Linotype"/>
          <w:b/>
          <w:szCs w:val="22"/>
          <w:lang w:val="es-ES"/>
        </w:rPr>
        <w:t xml:space="preserve">Artículo 3. </w:t>
      </w:r>
      <w:r w:rsidRPr="00C56E85">
        <w:rPr>
          <w:rFonts w:eastAsia="Palatino Linotype"/>
          <w:szCs w:val="22"/>
          <w:lang w:val="es-ES"/>
        </w:rPr>
        <w:t>Para los efectos de la presente Ley se entenderá por:</w:t>
      </w:r>
    </w:p>
    <w:p w14:paraId="03657C33" w14:textId="77777777" w:rsidR="00CA3285" w:rsidRPr="00C56E85" w:rsidRDefault="00CA3285" w:rsidP="00C56E85">
      <w:pPr>
        <w:pStyle w:val="Puesto"/>
        <w:rPr>
          <w:rFonts w:eastAsia="Palatino Linotype"/>
          <w:szCs w:val="22"/>
          <w:lang w:val="es-ES"/>
        </w:rPr>
      </w:pPr>
      <w:r w:rsidRPr="00C56E85">
        <w:rPr>
          <w:rFonts w:eastAsia="Palatino Linotype"/>
          <w:szCs w:val="22"/>
          <w:lang w:val="es-ES"/>
        </w:rPr>
        <w:t>…</w:t>
      </w:r>
    </w:p>
    <w:p w14:paraId="675A5457" w14:textId="77777777" w:rsidR="00CA3285" w:rsidRPr="00C56E85" w:rsidRDefault="00CA3285" w:rsidP="00C56E85">
      <w:pPr>
        <w:pStyle w:val="Puesto"/>
        <w:rPr>
          <w:rFonts w:eastAsia="Palatino Linotype"/>
          <w:szCs w:val="22"/>
          <w:lang w:val="es-ES"/>
        </w:rPr>
      </w:pPr>
      <w:r w:rsidRPr="00C56E85">
        <w:rPr>
          <w:rFonts w:eastAsia="Palatino Linotype"/>
          <w:b/>
          <w:szCs w:val="22"/>
          <w:lang w:val="es-ES"/>
        </w:rPr>
        <w:t>XI. Documento:</w:t>
      </w:r>
      <w:r w:rsidRPr="00C56E85">
        <w:rPr>
          <w:rFonts w:eastAsia="Palatino Linotype"/>
          <w:szCs w:val="22"/>
          <w:lang w:val="es-ES"/>
        </w:rPr>
        <w:t xml:space="preserve"> Los expedientes, reportes, estudios, actas, resoluciones,</w:t>
      </w:r>
      <w:r w:rsidRPr="00C56E85">
        <w:rPr>
          <w:rFonts w:eastAsia="Palatino Linotype"/>
          <w:b/>
          <w:szCs w:val="22"/>
          <w:lang w:val="es-ES"/>
        </w:rPr>
        <w:t xml:space="preserve"> </w:t>
      </w:r>
      <w:r w:rsidRPr="00C56E85">
        <w:rPr>
          <w:rFonts w:eastAsia="Palatino Linotype"/>
          <w:szCs w:val="22"/>
          <w:lang w:val="es-ES"/>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F628711" w14:textId="77777777" w:rsidR="00CA3285" w:rsidRPr="00C56E85" w:rsidRDefault="00CA3285" w:rsidP="00C56E85">
      <w:pPr>
        <w:ind w:left="1134" w:right="901"/>
        <w:rPr>
          <w:rFonts w:eastAsia="Palatino Linotype" w:cs="Palatino Linotype"/>
          <w:szCs w:val="22"/>
          <w:lang w:val="es-ES"/>
        </w:rPr>
      </w:pPr>
    </w:p>
    <w:p w14:paraId="51E45B82" w14:textId="77777777" w:rsidR="00CA3285" w:rsidRPr="00C56E85" w:rsidRDefault="00CA3285" w:rsidP="00C56E85">
      <w:pPr>
        <w:rPr>
          <w:rFonts w:eastAsia="Palatino Linotype" w:cs="Palatino Linotype"/>
          <w:szCs w:val="22"/>
          <w:lang w:val="es-ES"/>
        </w:rPr>
      </w:pPr>
      <w:r w:rsidRPr="00C56E85">
        <w:rPr>
          <w:rFonts w:eastAsia="Palatino Linotype" w:cs="Palatino Linotype"/>
          <w:szCs w:val="22"/>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0977D3E" w14:textId="77777777" w:rsidR="00CA3285" w:rsidRPr="00C56E85" w:rsidRDefault="00CA3285" w:rsidP="00C56E85">
      <w:pPr>
        <w:ind w:left="851" w:right="850"/>
        <w:rPr>
          <w:rFonts w:eastAsia="Palatino Linotype" w:cs="Palatino Linotype"/>
          <w:szCs w:val="22"/>
          <w:lang w:val="es-ES"/>
        </w:rPr>
      </w:pPr>
    </w:p>
    <w:p w14:paraId="0EAC8666" w14:textId="77777777" w:rsidR="00CA3285" w:rsidRPr="00C56E85" w:rsidRDefault="00CA3285" w:rsidP="00C56E85">
      <w:pPr>
        <w:pStyle w:val="Puesto"/>
        <w:jc w:val="center"/>
        <w:rPr>
          <w:rFonts w:eastAsia="Palatino Linotype"/>
          <w:b/>
          <w:bCs/>
          <w:szCs w:val="22"/>
          <w:lang w:val="es-ES"/>
        </w:rPr>
      </w:pPr>
      <w:r w:rsidRPr="00C56E85">
        <w:rPr>
          <w:rFonts w:eastAsia="Palatino Linotype"/>
          <w:szCs w:val="22"/>
          <w:lang w:val="es-ES"/>
        </w:rPr>
        <w:t>“</w:t>
      </w:r>
      <w:r w:rsidRPr="00C56E85">
        <w:rPr>
          <w:rFonts w:eastAsia="Palatino Linotype"/>
          <w:b/>
          <w:bCs/>
          <w:szCs w:val="22"/>
          <w:lang w:val="es-ES"/>
        </w:rPr>
        <w:t>CRITERIO 0002-11</w:t>
      </w:r>
    </w:p>
    <w:p w14:paraId="0BACA67D" w14:textId="77777777" w:rsidR="00CA3285" w:rsidRPr="00C56E85" w:rsidRDefault="00CA3285" w:rsidP="00C56E85">
      <w:pPr>
        <w:pStyle w:val="Puesto"/>
        <w:rPr>
          <w:rFonts w:eastAsia="Palatino Linotype"/>
          <w:szCs w:val="22"/>
          <w:lang w:val="es-ES"/>
        </w:rPr>
      </w:pPr>
      <w:r w:rsidRPr="00C56E85">
        <w:rPr>
          <w:rFonts w:eastAsia="Palatino Linotype"/>
          <w:b/>
          <w:bCs/>
          <w:szCs w:val="22"/>
          <w:u w:val="single"/>
          <w:lang w:val="es-ES"/>
        </w:rPr>
        <w:t>INFORMACIÓN PÚBLICA, CONCEPTO DE, EN MATERIA DE TRANSPARENCIA. INTERPRETACIÓN SISTEMÁTICA DE LOS ARTÍCULOS 2°, FRACCIÓN V, XV, Y XVI, 3°, 4°, 11 Y 41.</w:t>
      </w:r>
      <w:r w:rsidRPr="00C56E85">
        <w:rPr>
          <w:rFonts w:eastAsia="Palatino Linotype"/>
          <w:szCs w:val="22"/>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97BBC0F" w14:textId="77777777" w:rsidR="00CA3285" w:rsidRPr="00C56E85" w:rsidRDefault="00CA3285" w:rsidP="00C56E85">
      <w:pPr>
        <w:pStyle w:val="Puesto"/>
        <w:rPr>
          <w:rFonts w:eastAsia="Palatino Linotype"/>
          <w:szCs w:val="22"/>
          <w:lang w:val="es-ES"/>
        </w:rPr>
      </w:pPr>
      <w:r w:rsidRPr="00C56E85">
        <w:rPr>
          <w:rFonts w:eastAsia="Palatino Linotype"/>
          <w:szCs w:val="22"/>
          <w:lang w:val="es-ES"/>
        </w:rPr>
        <w:t>En consecuencia el acceso a la información se refiere a que se cumplan cualquiera de los siguientes tres supuestos:</w:t>
      </w:r>
    </w:p>
    <w:p w14:paraId="1AEA8390" w14:textId="77777777" w:rsidR="00CA3285" w:rsidRPr="00C56E85" w:rsidRDefault="00CA3285" w:rsidP="00C56E85">
      <w:pPr>
        <w:pStyle w:val="Puesto"/>
        <w:rPr>
          <w:rFonts w:eastAsia="Palatino Linotype"/>
          <w:szCs w:val="22"/>
          <w:lang w:val="es-ES"/>
        </w:rPr>
      </w:pPr>
      <w:r w:rsidRPr="00C56E85">
        <w:rPr>
          <w:rFonts w:eastAsia="Palatino Linotype"/>
          <w:szCs w:val="22"/>
          <w:lang w:val="es-ES"/>
        </w:rPr>
        <w:lastRenderedPageBreak/>
        <w:t xml:space="preserve">1) Que se trate de información </w:t>
      </w:r>
      <w:r w:rsidRPr="00C56E85">
        <w:rPr>
          <w:rFonts w:eastAsia="Palatino Linotype"/>
          <w:szCs w:val="22"/>
          <w:u w:val="single"/>
          <w:lang w:val="es-ES"/>
        </w:rPr>
        <w:t>registrada en cualquier soporte documental</w:t>
      </w:r>
      <w:r w:rsidRPr="00C56E85">
        <w:rPr>
          <w:rFonts w:eastAsia="Palatino Linotype"/>
          <w:szCs w:val="22"/>
          <w:lang w:val="es-ES"/>
        </w:rPr>
        <w:t>, que en ejercicio de las atribuciones conferidas, sea generada por los Sujetos Obligados;</w:t>
      </w:r>
    </w:p>
    <w:p w14:paraId="31C5E562" w14:textId="77777777" w:rsidR="00CA3285" w:rsidRPr="00C56E85" w:rsidRDefault="00CA3285" w:rsidP="00C56E85">
      <w:pPr>
        <w:pStyle w:val="Puesto"/>
        <w:rPr>
          <w:rFonts w:eastAsia="Palatino Linotype"/>
          <w:szCs w:val="22"/>
          <w:lang w:val="es-ES"/>
        </w:rPr>
      </w:pPr>
      <w:r w:rsidRPr="00C56E85">
        <w:rPr>
          <w:rFonts w:eastAsia="Palatino Linotype"/>
          <w:szCs w:val="22"/>
          <w:lang w:val="es-ES"/>
        </w:rPr>
        <w:t xml:space="preserve">2) Que se trate de información </w:t>
      </w:r>
      <w:r w:rsidRPr="00C56E85">
        <w:rPr>
          <w:rFonts w:eastAsia="Palatino Linotype"/>
          <w:szCs w:val="22"/>
          <w:u w:val="single"/>
          <w:lang w:val="es-ES"/>
        </w:rPr>
        <w:t>registrada en cualquier soporte documental</w:t>
      </w:r>
      <w:r w:rsidRPr="00C56E85">
        <w:rPr>
          <w:rFonts w:eastAsia="Palatino Linotype"/>
          <w:szCs w:val="22"/>
          <w:lang w:val="es-ES"/>
        </w:rPr>
        <w:t>, que en ejercicio de las atribuciones conferidas, sea administrada por los Sujetos Obligados, y</w:t>
      </w:r>
    </w:p>
    <w:p w14:paraId="0FFDB1AD" w14:textId="77777777" w:rsidR="00CA3285" w:rsidRPr="00C56E85" w:rsidRDefault="00CA3285" w:rsidP="00C56E85">
      <w:pPr>
        <w:pStyle w:val="Puesto"/>
        <w:rPr>
          <w:rFonts w:eastAsia="Palatino Linotype"/>
          <w:szCs w:val="22"/>
          <w:lang w:val="es-ES"/>
        </w:rPr>
      </w:pPr>
      <w:r w:rsidRPr="00C56E85">
        <w:rPr>
          <w:rFonts w:eastAsia="Palatino Linotype"/>
          <w:szCs w:val="22"/>
          <w:lang w:val="es-ES"/>
        </w:rPr>
        <w:t xml:space="preserve">3) Que se trate de información </w:t>
      </w:r>
      <w:r w:rsidRPr="00C56E85">
        <w:rPr>
          <w:rFonts w:eastAsia="Palatino Linotype"/>
          <w:szCs w:val="22"/>
          <w:u w:val="single"/>
          <w:lang w:val="es-ES"/>
        </w:rPr>
        <w:t>registrada en cualquier soporte documental</w:t>
      </w:r>
      <w:r w:rsidRPr="00C56E85">
        <w:rPr>
          <w:rFonts w:eastAsia="Palatino Linotype"/>
          <w:szCs w:val="22"/>
          <w:lang w:val="es-ES"/>
        </w:rPr>
        <w:t>, que en ejercicio de las atribuciones conferidas, se encuentre en posesión de los Sujetos Obligados.” (Sic)</w:t>
      </w:r>
    </w:p>
    <w:p w14:paraId="129601DB" w14:textId="77777777" w:rsidR="00CA3285" w:rsidRPr="00C56E85" w:rsidRDefault="00CA3285" w:rsidP="00C56E85">
      <w:pPr>
        <w:spacing w:before="240" w:after="240"/>
        <w:rPr>
          <w:rFonts w:eastAsia="Palatino Linotype" w:cs="Palatino Linotype"/>
          <w:szCs w:val="22"/>
          <w:lang w:val="es-ES"/>
        </w:rPr>
      </w:pPr>
      <w:r w:rsidRPr="00C56E85">
        <w:rPr>
          <w:rFonts w:eastAsia="Palatino Linotype" w:cs="Palatino Linotype"/>
          <w:szCs w:val="22"/>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C56E85">
        <w:rPr>
          <w:rFonts w:eastAsia="Palatino Linotype" w:cs="Palatino Linotype"/>
          <w:b/>
          <w:szCs w:val="22"/>
          <w:lang w:val="es-ES"/>
        </w:rPr>
        <w:t>EL SUJETO OBLIGADO</w:t>
      </w:r>
      <w:r w:rsidRPr="00C56E85">
        <w:rPr>
          <w:rFonts w:eastAsia="Palatino Linotype" w:cs="Palatino Linotype"/>
          <w:szCs w:val="22"/>
          <w:lang w:val="es-ES"/>
        </w:rPr>
        <w:t xml:space="preserve"> la generó o porque como parte del ejercicio de sus funciones la recibió y por consiguiente, la administra y posee. </w:t>
      </w:r>
    </w:p>
    <w:p w14:paraId="1FD1F764" w14:textId="77777777" w:rsidR="00CA3285" w:rsidRPr="00C56E85" w:rsidRDefault="00CA3285" w:rsidP="00C56E85">
      <w:pPr>
        <w:ind w:right="51"/>
        <w:rPr>
          <w:rFonts w:eastAsia="Palatino Linotype" w:cs="Palatino Linotype"/>
          <w:bCs/>
          <w:szCs w:val="22"/>
        </w:rPr>
      </w:pPr>
      <w:r w:rsidRPr="00C56E85">
        <w:rPr>
          <w:rFonts w:eastAsia="Palatino Linotype" w:cs="Palatino Linotype"/>
          <w:szCs w:val="22"/>
        </w:rPr>
        <w:t xml:space="preserve">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  </w:t>
      </w:r>
    </w:p>
    <w:p w14:paraId="550C8015" w14:textId="77777777" w:rsidR="00CA3285" w:rsidRPr="00C56E85" w:rsidRDefault="00CA3285" w:rsidP="00C56E85">
      <w:pPr>
        <w:rPr>
          <w:rFonts w:eastAsia="Palatino Linotype" w:cs="Palatino Linotype"/>
          <w:szCs w:val="22"/>
        </w:rPr>
      </w:pPr>
    </w:p>
    <w:p w14:paraId="5B9A8DC7" w14:textId="77777777" w:rsidR="00CA3285" w:rsidRPr="00C56E85" w:rsidRDefault="00CA3285" w:rsidP="00C56E85">
      <w:pPr>
        <w:rPr>
          <w:rFonts w:eastAsia="Palatino Linotype" w:cs="Palatino Linotype"/>
          <w:szCs w:val="22"/>
        </w:rPr>
      </w:pPr>
      <w:r w:rsidRPr="00C56E85">
        <w:rPr>
          <w:rFonts w:eastAsia="Palatino Linotype" w:cs="Palatino Linotype"/>
          <w:szCs w:val="22"/>
        </w:rPr>
        <w:t xml:space="preserve">Robustece lo anterior, el Criterio 03/17 emitido por el Instituto Nacional de Transparencia, Acceso a la Información y Protección de Datos Personales, el cual establece lo siguiente: </w:t>
      </w:r>
    </w:p>
    <w:p w14:paraId="533DF790" w14:textId="77777777" w:rsidR="00CA3285" w:rsidRPr="00C56E85" w:rsidRDefault="00CA3285" w:rsidP="00C56E85">
      <w:pPr>
        <w:rPr>
          <w:rFonts w:eastAsia="Palatino Linotype" w:cs="Palatino Linotype"/>
          <w:szCs w:val="22"/>
        </w:rPr>
      </w:pPr>
    </w:p>
    <w:p w14:paraId="0B4F3B36" w14:textId="77777777" w:rsidR="00CA3285" w:rsidRPr="00C56E85" w:rsidRDefault="00CA3285" w:rsidP="00C56E85">
      <w:pPr>
        <w:pStyle w:val="Puesto"/>
        <w:rPr>
          <w:rFonts w:eastAsia="Palatino Linotype"/>
          <w:szCs w:val="22"/>
        </w:rPr>
      </w:pPr>
      <w:r w:rsidRPr="00C56E85">
        <w:rPr>
          <w:rFonts w:eastAsia="Palatino Linotype"/>
          <w:szCs w:val="22"/>
        </w:rPr>
        <w:t>“</w:t>
      </w:r>
      <w:r w:rsidRPr="00C56E85">
        <w:rPr>
          <w:rFonts w:eastAsia="Palatino Linotype"/>
          <w:b/>
          <w:szCs w:val="22"/>
        </w:rPr>
        <w:t xml:space="preserve">No existe obligación de elaborar documentos ad hoc para atender las solicitudes de acceso a la información. </w:t>
      </w:r>
      <w:r w:rsidRPr="00C56E85">
        <w:rPr>
          <w:rFonts w:eastAsia="Palatino Linotype"/>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w:t>
      </w:r>
      <w:r w:rsidRPr="00C56E85">
        <w:rPr>
          <w:rFonts w:eastAsia="Palatino Linotype"/>
          <w:szCs w:val="22"/>
        </w:rPr>
        <w:lastRenderedPageBreak/>
        <w:t>sus archivos; sin necesidad de elaborar documentos ad hoc para atender las solicitudes de información.” Sic</w:t>
      </w:r>
    </w:p>
    <w:p w14:paraId="799F4FAB" w14:textId="77777777" w:rsidR="00CA3285" w:rsidRPr="00C56E85" w:rsidRDefault="00CA3285" w:rsidP="00C56E85">
      <w:pPr>
        <w:rPr>
          <w:bCs/>
          <w:szCs w:val="22"/>
        </w:rPr>
      </w:pPr>
    </w:p>
    <w:p w14:paraId="0996634B" w14:textId="77777777" w:rsidR="006E59CD" w:rsidRPr="00C56E85" w:rsidRDefault="00CA3285" w:rsidP="00C56E85">
      <w:pPr>
        <w:rPr>
          <w:bCs/>
          <w:szCs w:val="22"/>
        </w:rPr>
      </w:pPr>
      <w:r w:rsidRPr="00C56E85">
        <w:rPr>
          <w:bCs/>
          <w:szCs w:val="22"/>
        </w:rPr>
        <w:t xml:space="preserve">En ese tenor, y considerando </w:t>
      </w:r>
      <w:r w:rsidR="00632C7F" w:rsidRPr="00C56E85">
        <w:rPr>
          <w:bCs/>
          <w:szCs w:val="22"/>
        </w:rPr>
        <w:t xml:space="preserve">que en el presente asunto </w:t>
      </w:r>
      <w:r w:rsidR="00632C7F" w:rsidRPr="00C56E85">
        <w:rPr>
          <w:b/>
          <w:bCs/>
          <w:szCs w:val="22"/>
        </w:rPr>
        <w:t xml:space="preserve">EL SUJETO OBLIGADO </w:t>
      </w:r>
      <w:r w:rsidR="00632C7F" w:rsidRPr="00C56E85">
        <w:rPr>
          <w:bCs/>
          <w:szCs w:val="22"/>
        </w:rPr>
        <w:t xml:space="preserve">omitió pronunciarse de manera específica respecto de la información peticionada por </w:t>
      </w:r>
      <w:r w:rsidR="00632C7F" w:rsidRPr="00C56E85">
        <w:rPr>
          <w:b/>
          <w:bCs/>
          <w:szCs w:val="22"/>
        </w:rPr>
        <w:t xml:space="preserve">LA PARTE RECURRENTE, </w:t>
      </w:r>
      <w:r w:rsidR="00632C7F" w:rsidRPr="00C56E85">
        <w:rPr>
          <w:bCs/>
          <w:szCs w:val="22"/>
        </w:rPr>
        <w:t xml:space="preserve">es que se considera necesario estudiar la naturaleza de la información peticionada </w:t>
      </w:r>
      <w:r w:rsidR="006E59CD" w:rsidRPr="00C56E85">
        <w:rPr>
          <w:bCs/>
          <w:szCs w:val="22"/>
        </w:rPr>
        <w:t>a efecto de analizar la procedencia o improcedencia de la entrega de la misma.</w:t>
      </w:r>
    </w:p>
    <w:p w14:paraId="69D0EAF5" w14:textId="77777777" w:rsidR="006E59CD" w:rsidRPr="00C56E85" w:rsidRDefault="006E59CD" w:rsidP="00C56E85">
      <w:pPr>
        <w:rPr>
          <w:bCs/>
          <w:szCs w:val="22"/>
        </w:rPr>
      </w:pPr>
    </w:p>
    <w:p w14:paraId="29FBD901" w14:textId="1548A833" w:rsidR="00453313" w:rsidRPr="00C56E85" w:rsidRDefault="00453313" w:rsidP="00C56E85">
      <w:pPr>
        <w:rPr>
          <w:bCs/>
          <w:i/>
          <w:szCs w:val="22"/>
        </w:rPr>
      </w:pPr>
      <w:r w:rsidRPr="00C56E85">
        <w:rPr>
          <w:bCs/>
          <w:szCs w:val="22"/>
        </w:rPr>
        <w:t xml:space="preserve">Iniciando con el requerimiento </w:t>
      </w:r>
      <w:r w:rsidR="00163F08" w:rsidRPr="00C56E85">
        <w:rPr>
          <w:bCs/>
          <w:szCs w:val="22"/>
        </w:rPr>
        <w:t>relativo al “</w:t>
      </w:r>
      <w:proofErr w:type="spellStart"/>
      <w:r w:rsidR="00163F08" w:rsidRPr="00C56E85">
        <w:rPr>
          <w:bCs/>
          <w:i/>
          <w:szCs w:val="22"/>
        </w:rPr>
        <w:t>Inforrme</w:t>
      </w:r>
      <w:proofErr w:type="spellEnd"/>
      <w:r w:rsidR="00163F08" w:rsidRPr="00C56E85">
        <w:rPr>
          <w:bCs/>
          <w:i/>
          <w:szCs w:val="22"/>
        </w:rPr>
        <w:t xml:space="preserve"> Anual de labores de Anuar Azar Figueroa Presidente del Comité Directivo Estatal, de todos los años que ha fungido…” Sic.</w:t>
      </w:r>
    </w:p>
    <w:p w14:paraId="50F9BC73" w14:textId="77777777" w:rsidR="00A30BB5" w:rsidRPr="00C56E85" w:rsidRDefault="00A30BB5" w:rsidP="00C56E85">
      <w:pPr>
        <w:rPr>
          <w:bCs/>
          <w:i/>
          <w:szCs w:val="22"/>
        </w:rPr>
      </w:pPr>
    </w:p>
    <w:p w14:paraId="316DDBC3" w14:textId="4CA17D56" w:rsidR="00B82E24" w:rsidRPr="00C56E85" w:rsidRDefault="00A30BB5" w:rsidP="00C56E85">
      <w:pPr>
        <w:rPr>
          <w:rFonts w:eastAsia="Calibri" w:cs="Arial"/>
        </w:rPr>
      </w:pPr>
      <w:r w:rsidRPr="00C56E85">
        <w:rPr>
          <w:bCs/>
          <w:szCs w:val="22"/>
        </w:rPr>
        <w:t xml:space="preserve">De lo transcrito, se observa que se peticiona el informe anual de labores del Presidente, </w:t>
      </w:r>
      <w:r w:rsidR="00B82E24" w:rsidRPr="00C56E85">
        <w:rPr>
          <w:bCs/>
          <w:szCs w:val="22"/>
        </w:rPr>
        <w:t xml:space="preserve">para ello, </w:t>
      </w:r>
      <w:r w:rsidR="00B82E24" w:rsidRPr="00C56E85">
        <w:rPr>
          <w:rFonts w:eastAsia="Calibri" w:cs="Arial"/>
        </w:rPr>
        <w:t xml:space="preserve">cabe </w:t>
      </w:r>
      <w:r w:rsidR="00930622" w:rsidRPr="00C56E85">
        <w:rPr>
          <w:rFonts w:eastAsia="Calibri" w:cs="Arial"/>
        </w:rPr>
        <w:t xml:space="preserve">traer a contexto </w:t>
      </w:r>
      <w:r w:rsidR="00611CB3" w:rsidRPr="00C56E85">
        <w:rPr>
          <w:rFonts w:eastAsia="Calibri" w:cs="Arial"/>
        </w:rPr>
        <w:t xml:space="preserve">los numerales </w:t>
      </w:r>
      <w:r w:rsidR="000717FA" w:rsidRPr="00C56E85">
        <w:rPr>
          <w:rFonts w:eastAsia="Calibri" w:cs="Arial"/>
        </w:rPr>
        <w:t>72, fracción I, inciso a);</w:t>
      </w:r>
      <w:r w:rsidR="00917204" w:rsidRPr="00C56E85">
        <w:rPr>
          <w:rFonts w:eastAsia="Calibri" w:cs="Arial"/>
        </w:rPr>
        <w:t xml:space="preserve"> y</w:t>
      </w:r>
      <w:r w:rsidR="000717FA" w:rsidRPr="00C56E85">
        <w:rPr>
          <w:rFonts w:eastAsia="Calibri" w:cs="Arial"/>
        </w:rPr>
        <w:t xml:space="preserve"> 77, inciso h) </w:t>
      </w:r>
      <w:r w:rsidR="008A623B" w:rsidRPr="00C56E85">
        <w:rPr>
          <w:rFonts w:eastAsia="Calibri" w:cs="Arial"/>
        </w:rPr>
        <w:t>de los estatutos del Partido Acción Nacional (PAN)</w:t>
      </w:r>
      <w:r w:rsidR="007006F9" w:rsidRPr="00C56E85">
        <w:rPr>
          <w:rStyle w:val="Refdenotaalpie"/>
          <w:rFonts w:eastAsia="Calibri" w:cs="Arial"/>
        </w:rPr>
        <w:footnoteReference w:id="1"/>
      </w:r>
      <w:r w:rsidR="008A623B" w:rsidRPr="00C56E85">
        <w:rPr>
          <w:rFonts w:eastAsia="Calibri" w:cs="Arial"/>
        </w:rPr>
        <w:t>, que son del tenor literal siguiente:</w:t>
      </w:r>
    </w:p>
    <w:p w14:paraId="6686C3FB" w14:textId="77777777" w:rsidR="008A623B" w:rsidRPr="00C56E85" w:rsidRDefault="008A623B" w:rsidP="00C56E85">
      <w:pPr>
        <w:rPr>
          <w:rFonts w:eastAsia="Calibri" w:cs="Arial"/>
        </w:rPr>
      </w:pPr>
    </w:p>
    <w:p w14:paraId="7FF1261F" w14:textId="77777777" w:rsidR="00DB1A3C" w:rsidRPr="00C56E85" w:rsidRDefault="00DB1A3C" w:rsidP="00C56E85">
      <w:pPr>
        <w:ind w:left="851" w:right="1134"/>
        <w:contextualSpacing/>
        <w:jc w:val="center"/>
        <w:rPr>
          <w:rFonts w:eastAsia="Calibri" w:cs="Arial"/>
          <w:b/>
          <w:i/>
        </w:rPr>
      </w:pPr>
      <w:r w:rsidRPr="00C56E85">
        <w:rPr>
          <w:rFonts w:eastAsia="Calibri" w:cs="Arial"/>
          <w:b/>
          <w:i/>
        </w:rPr>
        <w:t>DE LOS COMITÉS DIRECTIVOS ESTATALES</w:t>
      </w:r>
    </w:p>
    <w:p w14:paraId="61506A05" w14:textId="77777777" w:rsidR="00DB1A3C" w:rsidRPr="00C56E85" w:rsidRDefault="00DB1A3C" w:rsidP="00C56E85">
      <w:pPr>
        <w:ind w:left="851" w:right="1134"/>
        <w:contextualSpacing/>
        <w:rPr>
          <w:rFonts w:eastAsia="Calibri" w:cs="Arial"/>
          <w:b/>
          <w:i/>
        </w:rPr>
      </w:pPr>
      <w:r w:rsidRPr="00C56E85">
        <w:rPr>
          <w:rFonts w:eastAsia="Calibri" w:cs="Arial"/>
          <w:b/>
          <w:i/>
        </w:rPr>
        <w:t>Artículo 72</w:t>
      </w:r>
    </w:p>
    <w:p w14:paraId="65003E45" w14:textId="77777777" w:rsidR="00DB1A3C" w:rsidRPr="00C56E85" w:rsidRDefault="00DB1A3C" w:rsidP="00C56E85">
      <w:pPr>
        <w:ind w:left="851" w:right="1134"/>
        <w:contextualSpacing/>
        <w:rPr>
          <w:rFonts w:eastAsia="Calibri" w:cs="Arial"/>
          <w:i/>
        </w:rPr>
      </w:pPr>
      <w:r w:rsidRPr="00C56E85">
        <w:rPr>
          <w:rFonts w:eastAsia="Calibri" w:cs="Arial"/>
          <w:i/>
        </w:rPr>
        <w:t>1. Los Comités Directivos Estatales se integran por los siguientes militantes:</w:t>
      </w:r>
    </w:p>
    <w:p w14:paraId="5561D1F4" w14:textId="77777777" w:rsidR="00DB1A3C" w:rsidRPr="00C56E85" w:rsidRDefault="00DB1A3C" w:rsidP="00C56E85">
      <w:pPr>
        <w:ind w:left="851" w:right="1134"/>
        <w:contextualSpacing/>
        <w:rPr>
          <w:rFonts w:eastAsia="Calibri" w:cs="Arial"/>
          <w:i/>
        </w:rPr>
      </w:pPr>
      <w:r w:rsidRPr="00C56E85">
        <w:rPr>
          <w:rFonts w:eastAsia="Calibri" w:cs="Arial"/>
          <w:i/>
        </w:rPr>
        <w:t>a) La o el Presidente del Comité;</w:t>
      </w:r>
    </w:p>
    <w:p w14:paraId="24C06545" w14:textId="5DC55CA9" w:rsidR="00DB1A3C" w:rsidRPr="00C56E85" w:rsidRDefault="00DB1A3C" w:rsidP="00C56E85">
      <w:pPr>
        <w:ind w:left="851" w:right="1134"/>
        <w:contextualSpacing/>
        <w:rPr>
          <w:rFonts w:eastAsia="Calibri" w:cs="Arial"/>
          <w:i/>
        </w:rPr>
      </w:pPr>
      <w:r w:rsidRPr="00C56E85">
        <w:rPr>
          <w:rFonts w:eastAsia="Calibri" w:cs="Arial"/>
          <w:i/>
        </w:rPr>
        <w:t>…</w:t>
      </w:r>
    </w:p>
    <w:p w14:paraId="0FE4AADE" w14:textId="3BF60656" w:rsidR="00DB1A3C" w:rsidRPr="00C56E85" w:rsidRDefault="00DB1A3C" w:rsidP="00C56E85">
      <w:pPr>
        <w:ind w:left="851" w:right="1134"/>
        <w:contextualSpacing/>
        <w:jc w:val="center"/>
        <w:rPr>
          <w:rFonts w:eastAsia="Calibri" w:cs="Arial"/>
          <w:b/>
          <w:i/>
        </w:rPr>
      </w:pPr>
      <w:r w:rsidRPr="00C56E85">
        <w:rPr>
          <w:rFonts w:eastAsia="Calibri" w:cs="Arial"/>
          <w:b/>
          <w:i/>
        </w:rPr>
        <w:t>CAPÍTULO QUINTO</w:t>
      </w:r>
    </w:p>
    <w:p w14:paraId="527BC7D6" w14:textId="685DE10A" w:rsidR="00DB1A3C" w:rsidRPr="00C56E85" w:rsidRDefault="00DB1A3C" w:rsidP="00C56E85">
      <w:pPr>
        <w:ind w:left="851" w:right="1134"/>
        <w:contextualSpacing/>
        <w:jc w:val="center"/>
        <w:rPr>
          <w:rFonts w:eastAsia="Calibri" w:cs="Arial"/>
          <w:b/>
          <w:i/>
        </w:rPr>
      </w:pPr>
      <w:r w:rsidRPr="00C56E85">
        <w:rPr>
          <w:rFonts w:eastAsia="Calibri" w:cs="Arial"/>
          <w:b/>
          <w:i/>
        </w:rPr>
        <w:t>DE LOS PRESIDENTES DE LOS COMITÉS DIRECTIVOS ESTATALES</w:t>
      </w:r>
    </w:p>
    <w:p w14:paraId="71AE37A1" w14:textId="77777777" w:rsidR="00DB1A3C" w:rsidRPr="00C56E85" w:rsidRDefault="00DB1A3C" w:rsidP="00C56E85">
      <w:pPr>
        <w:ind w:left="851" w:right="1134"/>
        <w:contextualSpacing/>
        <w:rPr>
          <w:rFonts w:eastAsia="Calibri" w:cs="Arial"/>
          <w:b/>
          <w:i/>
        </w:rPr>
      </w:pPr>
      <w:r w:rsidRPr="00C56E85">
        <w:rPr>
          <w:rFonts w:eastAsia="Calibri" w:cs="Arial"/>
          <w:b/>
          <w:i/>
        </w:rPr>
        <w:t xml:space="preserve">Artículo 77 </w:t>
      </w:r>
    </w:p>
    <w:p w14:paraId="77809FD3" w14:textId="50341759" w:rsidR="00DB1A3C" w:rsidRPr="00C56E85" w:rsidRDefault="00DB1A3C" w:rsidP="00C56E85">
      <w:pPr>
        <w:ind w:left="851" w:right="1134"/>
        <w:contextualSpacing/>
        <w:rPr>
          <w:rFonts w:eastAsia="Calibri" w:cs="Arial"/>
          <w:i/>
        </w:rPr>
      </w:pPr>
      <w:r w:rsidRPr="00C56E85">
        <w:rPr>
          <w:rFonts w:eastAsia="Calibri" w:cs="Arial"/>
          <w:i/>
        </w:rPr>
        <w:t>Los Presidentes de los Comités Directivos Estatales serán responsables de los trabajos del Partido en su jurisdicción y tendrán las atribuciones siguientes:</w:t>
      </w:r>
    </w:p>
    <w:p w14:paraId="79709881" w14:textId="7A0A0BF9" w:rsidR="00DB1A3C" w:rsidRPr="00C56E85" w:rsidRDefault="00DB1A3C" w:rsidP="00C56E85">
      <w:pPr>
        <w:ind w:left="851" w:right="1134"/>
        <w:contextualSpacing/>
        <w:rPr>
          <w:rFonts w:eastAsia="Calibri" w:cs="Arial"/>
          <w:i/>
        </w:rPr>
      </w:pPr>
      <w:r w:rsidRPr="00C56E85">
        <w:rPr>
          <w:rFonts w:eastAsia="Calibri" w:cs="Arial"/>
          <w:i/>
        </w:rPr>
        <w:lastRenderedPageBreak/>
        <w:t>…</w:t>
      </w:r>
    </w:p>
    <w:p w14:paraId="6E7A4B3C" w14:textId="714AC496" w:rsidR="00DB1A3C" w:rsidRPr="00C56E85" w:rsidRDefault="00DB1A3C" w:rsidP="00C56E85">
      <w:pPr>
        <w:ind w:left="851" w:right="1134"/>
        <w:contextualSpacing/>
        <w:rPr>
          <w:rFonts w:eastAsia="Calibri" w:cs="Arial"/>
          <w:i/>
        </w:rPr>
      </w:pPr>
      <w:r w:rsidRPr="00C56E85">
        <w:rPr>
          <w:rFonts w:eastAsia="Calibri" w:cs="Arial"/>
          <w:i/>
        </w:rPr>
        <w:t xml:space="preserve">h) </w:t>
      </w:r>
      <w:r w:rsidRPr="00C56E85">
        <w:rPr>
          <w:rFonts w:eastAsia="Calibri" w:cs="Arial"/>
          <w:b/>
          <w:i/>
          <w:u w:val="single"/>
        </w:rPr>
        <w:t>Presentar al Consejo Estatal y al Presidente del Comité Ejecutivo Nacional, un informe semestral de las actividades del Partido en la entidad,</w:t>
      </w:r>
      <w:r w:rsidRPr="00C56E85">
        <w:rPr>
          <w:rFonts w:eastAsia="Calibri" w:cs="Arial"/>
          <w:i/>
        </w:rPr>
        <w:t xml:space="preserve"> y enviar los informes relativos a la Cuenta General de Administración, del financiamiento público local y del financiamiento público federal a la Tesorería Nacional;</w:t>
      </w:r>
    </w:p>
    <w:p w14:paraId="56C70BDC" w14:textId="48DA9656" w:rsidR="006F1BDB" w:rsidRPr="00C56E85" w:rsidRDefault="006F1BDB" w:rsidP="00C56E85">
      <w:pPr>
        <w:ind w:left="851" w:right="1134"/>
        <w:contextualSpacing/>
        <w:rPr>
          <w:rFonts w:eastAsia="Calibri" w:cs="Arial"/>
          <w:i/>
        </w:rPr>
      </w:pPr>
      <w:r w:rsidRPr="00C56E85">
        <w:rPr>
          <w:rFonts w:eastAsia="Calibri" w:cs="Arial"/>
          <w:i/>
        </w:rPr>
        <w:t>…” Sic.</w:t>
      </w:r>
    </w:p>
    <w:p w14:paraId="0FCF84EB" w14:textId="77777777" w:rsidR="006F1BDB" w:rsidRPr="00C56E85" w:rsidRDefault="006F1BDB" w:rsidP="00C56E85">
      <w:pPr>
        <w:rPr>
          <w:rFonts w:eastAsia="Calibri" w:cs="Arial"/>
        </w:rPr>
      </w:pPr>
    </w:p>
    <w:p w14:paraId="05B806FF" w14:textId="058982A3" w:rsidR="00DB1A3C" w:rsidRPr="00C56E85" w:rsidRDefault="006F1BDB" w:rsidP="00C56E85">
      <w:pPr>
        <w:rPr>
          <w:rFonts w:eastAsia="Calibri" w:cs="Arial"/>
        </w:rPr>
      </w:pPr>
      <w:r w:rsidRPr="00C56E85">
        <w:rPr>
          <w:rFonts w:eastAsia="Calibri" w:cs="Arial"/>
        </w:rPr>
        <w:t>De lo transcrito, se advierte que el Presidente del Comité Directivo Estatal, deberá de presentar cada seis meses al Consejo Estatal y al Presidente del Comité Ejecutivo Nacional, un informe de las actividades del Partido en la entidad.</w:t>
      </w:r>
    </w:p>
    <w:p w14:paraId="07654A6F" w14:textId="77777777" w:rsidR="006F1BDB" w:rsidRPr="00C56E85" w:rsidRDefault="006F1BDB" w:rsidP="00C56E85">
      <w:pPr>
        <w:rPr>
          <w:rFonts w:eastAsia="Calibri" w:cs="Arial"/>
        </w:rPr>
      </w:pPr>
    </w:p>
    <w:p w14:paraId="77D7D1F9" w14:textId="7835428A" w:rsidR="00F97BAC" w:rsidRPr="00C56E85" w:rsidRDefault="006F1BDB" w:rsidP="00C56E85">
      <w:r w:rsidRPr="00C56E85">
        <w:rPr>
          <w:rFonts w:eastAsia="Calibri" w:cs="Arial"/>
        </w:rPr>
        <w:t>Por su parte, la fracción XXXIII</w:t>
      </w:r>
      <w:r w:rsidR="00C53124" w:rsidRPr="00C56E85">
        <w:rPr>
          <w:rFonts w:eastAsia="Calibri" w:cs="Arial"/>
        </w:rPr>
        <w:t>,</w:t>
      </w:r>
      <w:r w:rsidRPr="00C56E85">
        <w:rPr>
          <w:rFonts w:eastAsia="Calibri" w:cs="Arial"/>
        </w:rPr>
        <w:t xml:space="preserve"> del artículo 92 de la Ley de Transparencia Local, estipula que los </w:t>
      </w:r>
      <w:r w:rsidRPr="00C56E85">
        <w:t>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w:t>
      </w:r>
      <w:r w:rsidR="00F97BAC" w:rsidRPr="00C56E85">
        <w:t>emas, documentos y políticas, que en este caso corresponde al informe anual, como se lee de su literalidad:</w:t>
      </w:r>
    </w:p>
    <w:p w14:paraId="4D83D6CE" w14:textId="77777777" w:rsidR="00F97BAC" w:rsidRPr="00C56E85" w:rsidRDefault="00F97BAC" w:rsidP="00C56E85"/>
    <w:p w14:paraId="51D9C807" w14:textId="4C7B9F35" w:rsidR="00F97BAC" w:rsidRPr="00C56E85" w:rsidRDefault="008D70EA" w:rsidP="00C56E85">
      <w:pPr>
        <w:pStyle w:val="Puesto"/>
      </w:pPr>
      <w:r w:rsidRPr="00C56E85">
        <w:t>“</w:t>
      </w:r>
      <w:r w:rsidR="00F97BAC" w:rsidRPr="00C56E85">
        <w:rPr>
          <w:b/>
        </w:rPr>
        <w:t>Artículo 92.</w:t>
      </w:r>
      <w:r w:rsidR="00F97BAC" w:rsidRPr="00C56E85">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617E8D6" w14:textId="3177E505" w:rsidR="00F97BAC" w:rsidRPr="00C56E85" w:rsidRDefault="00F97BAC" w:rsidP="00C56E85">
      <w:pPr>
        <w:pStyle w:val="Puesto"/>
      </w:pPr>
      <w:r w:rsidRPr="00C56E85">
        <w:t>…</w:t>
      </w:r>
    </w:p>
    <w:p w14:paraId="5F99B8BF" w14:textId="373E119A" w:rsidR="00F97BAC" w:rsidRPr="00C56E85" w:rsidRDefault="00F97BAC" w:rsidP="00C56E85">
      <w:pPr>
        <w:pStyle w:val="Puesto"/>
        <w:rPr>
          <w:i w:val="0"/>
        </w:rPr>
      </w:pPr>
      <w:r w:rsidRPr="00C56E85">
        <w:rPr>
          <w:b/>
          <w:u w:val="single"/>
        </w:rPr>
        <w:t>XXXIII. Los informes que por disposición legal generen los sujetos obligados;</w:t>
      </w:r>
      <w:r w:rsidR="008D70EA" w:rsidRPr="00C56E85">
        <w:rPr>
          <w:b/>
          <w:u w:val="single"/>
        </w:rPr>
        <w:t xml:space="preserve"> </w:t>
      </w:r>
      <w:proofErr w:type="gramStart"/>
      <w:r w:rsidR="008D70EA" w:rsidRPr="00C56E85">
        <w:rPr>
          <w:b/>
          <w:i w:val="0"/>
        </w:rPr>
        <w:t xml:space="preserve">“ </w:t>
      </w:r>
      <w:r w:rsidR="008D70EA" w:rsidRPr="00C56E85">
        <w:rPr>
          <w:i w:val="0"/>
        </w:rPr>
        <w:t>Sic</w:t>
      </w:r>
      <w:proofErr w:type="gramEnd"/>
      <w:r w:rsidR="008D70EA" w:rsidRPr="00C56E85">
        <w:rPr>
          <w:i w:val="0"/>
        </w:rPr>
        <w:t>.</w:t>
      </w:r>
    </w:p>
    <w:p w14:paraId="326AA7EC" w14:textId="77777777" w:rsidR="006F1BDB" w:rsidRPr="00C56E85" w:rsidRDefault="006F1BDB" w:rsidP="00C56E85"/>
    <w:p w14:paraId="55D47001" w14:textId="77777777" w:rsidR="00F97BAC" w:rsidRPr="00C56E85" w:rsidRDefault="00F97BAC" w:rsidP="00C56E85">
      <w:pPr>
        <w:rPr>
          <w:rFonts w:eastAsia="Calibri" w:cs="Arial"/>
        </w:rPr>
      </w:pPr>
    </w:p>
    <w:p w14:paraId="17BF56D4" w14:textId="47D1F0B4" w:rsidR="00A30BB5" w:rsidRPr="00C56E85" w:rsidRDefault="008D70EA" w:rsidP="00C56E85">
      <w:pPr>
        <w:rPr>
          <w:bCs/>
          <w:szCs w:val="22"/>
        </w:rPr>
      </w:pPr>
      <w:r w:rsidRPr="00C56E85">
        <w:rPr>
          <w:bCs/>
          <w:szCs w:val="22"/>
        </w:rPr>
        <w:lastRenderedPageBreak/>
        <w:t>Del mismo modo, se tiene que de la solicitud de información se peticiona respecto del Presidente Anuar Azar Figueroa, de todos los años que ha fungido como Presidente del Comité Directivo Estatal.</w:t>
      </w:r>
    </w:p>
    <w:p w14:paraId="5C0BFB70" w14:textId="77777777" w:rsidR="008D70EA" w:rsidRPr="00C56E85" w:rsidRDefault="008D70EA" w:rsidP="00C56E85">
      <w:pPr>
        <w:rPr>
          <w:bCs/>
          <w:szCs w:val="22"/>
        </w:rPr>
      </w:pPr>
    </w:p>
    <w:p w14:paraId="63453F9F" w14:textId="093D267A" w:rsidR="00775AED" w:rsidRPr="00C56E85" w:rsidRDefault="00E02754" w:rsidP="00C56E85">
      <w:r w:rsidRPr="00C56E85">
        <w:rPr>
          <w:bCs/>
          <w:szCs w:val="22"/>
        </w:rPr>
        <w:t xml:space="preserve">Así mismo, este Instituto localizó el </w:t>
      </w:r>
      <w:r w:rsidR="00365C2D" w:rsidRPr="00C56E85">
        <w:rPr>
          <w:bCs/>
          <w:szCs w:val="22"/>
        </w:rPr>
        <w:t xml:space="preserve">comunicado del </w:t>
      </w:r>
      <w:r w:rsidR="00365C2D" w:rsidRPr="00C56E85">
        <w:rPr>
          <w:b/>
          <w:bCs/>
          <w:szCs w:val="22"/>
        </w:rPr>
        <w:t>SUJETO OBLIGADO</w:t>
      </w:r>
      <w:r w:rsidR="000269BA" w:rsidRPr="00C56E85">
        <w:rPr>
          <w:bCs/>
          <w:szCs w:val="22"/>
        </w:rPr>
        <w:t xml:space="preserve"> disponible en </w:t>
      </w:r>
      <w:hyperlink r:id="rId14" w:history="1">
        <w:r w:rsidR="000269BA" w:rsidRPr="00C56E85">
          <w:rPr>
            <w:rStyle w:val="Hipervnculo"/>
            <w:rFonts w:eastAsiaTheme="majorEastAsia"/>
            <w:color w:val="auto"/>
          </w:rPr>
          <w:t>PAN | Partido Acción Nacional</w:t>
        </w:r>
      </w:hyperlink>
      <w:r w:rsidR="000269BA" w:rsidRPr="00C56E85">
        <w:t xml:space="preserve"> que reseña </w:t>
      </w:r>
      <w:r w:rsidR="003F770F" w:rsidRPr="00C56E85">
        <w:t xml:space="preserve">el nombramiento de la persona referida en la solicitud, como Presidente del </w:t>
      </w:r>
      <w:r w:rsidR="00775AED" w:rsidRPr="00C56E85">
        <w:t>Comité Directivo Estatal, a partir del 25 de octubre de 2021</w:t>
      </w:r>
      <w:r w:rsidR="00365C2D" w:rsidRPr="00C56E85">
        <w:t xml:space="preserve">, </w:t>
      </w:r>
      <w:r w:rsidRPr="00C56E85">
        <w:t>tal y como se muestra a continuación</w:t>
      </w:r>
      <w:r w:rsidR="00365C2D" w:rsidRPr="00C56E85">
        <w:t>:</w:t>
      </w:r>
    </w:p>
    <w:p w14:paraId="6612E5BC" w14:textId="77777777" w:rsidR="00365C2D" w:rsidRPr="00C56E85" w:rsidRDefault="00365C2D" w:rsidP="00C56E85"/>
    <w:p w14:paraId="7E0441B3" w14:textId="19F399AF" w:rsidR="00365C2D" w:rsidRPr="00C56E85" w:rsidRDefault="00365C2D" w:rsidP="00C56E85">
      <w:r w:rsidRPr="00C56E85">
        <w:rPr>
          <w:noProof/>
          <w:lang w:eastAsia="es-MX"/>
        </w:rPr>
        <w:drawing>
          <wp:inline distT="0" distB="0" distL="0" distR="0" wp14:anchorId="315B9588" wp14:editId="4F2FD63A">
            <wp:extent cx="5733415" cy="1590675"/>
            <wp:effectExtent l="0" t="0" r="63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58871"/>
                    <a:stretch/>
                  </pic:blipFill>
                  <pic:spPr bwMode="auto">
                    <a:xfrm>
                      <a:off x="0" y="0"/>
                      <a:ext cx="5733415" cy="1590675"/>
                    </a:xfrm>
                    <a:prstGeom prst="rect">
                      <a:avLst/>
                    </a:prstGeom>
                    <a:ln>
                      <a:noFill/>
                    </a:ln>
                    <a:extLst>
                      <a:ext uri="{53640926-AAD7-44D8-BBD7-CCE9431645EC}">
                        <a14:shadowObscured xmlns:a14="http://schemas.microsoft.com/office/drawing/2010/main"/>
                      </a:ext>
                    </a:extLst>
                  </pic:spPr>
                </pic:pic>
              </a:graphicData>
            </a:graphic>
          </wp:inline>
        </w:drawing>
      </w:r>
    </w:p>
    <w:p w14:paraId="09C89DFE" w14:textId="7061CAE0" w:rsidR="00C53124" w:rsidRPr="00C56E85" w:rsidRDefault="00C53124" w:rsidP="00C56E85">
      <w:r w:rsidRPr="00C56E85">
        <w:rPr>
          <w:noProof/>
          <w:lang w:eastAsia="es-MX"/>
        </w:rPr>
        <w:drawing>
          <wp:inline distT="0" distB="0" distL="0" distR="0" wp14:anchorId="72B0D6A7" wp14:editId="43C6CF37">
            <wp:extent cx="5733415" cy="2724150"/>
            <wp:effectExtent l="0" t="0" r="635" b="0"/>
            <wp:docPr id="947170363" name="Imagen 94717036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70363" name="Imagen 947170363" descr="Interfaz de usuario gráfica, Texto&#10;&#10;Descripción generada automáticamente"/>
                    <pic:cNvPicPr/>
                  </pic:nvPicPr>
                  <pic:blipFill rotWithShape="1">
                    <a:blip r:embed="rId15"/>
                    <a:srcRect t="53831"/>
                    <a:stretch/>
                  </pic:blipFill>
                  <pic:spPr bwMode="auto">
                    <a:xfrm>
                      <a:off x="0" y="0"/>
                      <a:ext cx="5733415" cy="2724150"/>
                    </a:xfrm>
                    <a:prstGeom prst="rect">
                      <a:avLst/>
                    </a:prstGeom>
                    <a:ln>
                      <a:noFill/>
                    </a:ln>
                    <a:extLst>
                      <a:ext uri="{53640926-AAD7-44D8-BBD7-CCE9431645EC}">
                        <a14:shadowObscured xmlns:a14="http://schemas.microsoft.com/office/drawing/2010/main"/>
                      </a:ext>
                    </a:extLst>
                  </pic:spPr>
                </pic:pic>
              </a:graphicData>
            </a:graphic>
          </wp:inline>
        </w:drawing>
      </w:r>
    </w:p>
    <w:p w14:paraId="1EC7F565" w14:textId="77777777" w:rsidR="00E02754" w:rsidRPr="00C56E85" w:rsidRDefault="00E02754" w:rsidP="00C56E85">
      <w:pPr>
        <w:rPr>
          <w:b/>
          <w:bCs/>
        </w:rPr>
      </w:pPr>
      <w:r w:rsidRPr="00C56E85">
        <w:rPr>
          <w:bCs/>
        </w:rPr>
        <w:lastRenderedPageBreak/>
        <w:t xml:space="preserve">En ese contexto, sobre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Diciembre de mil novecientos noventa y cinco, de la Novena Época, titulada: </w:t>
      </w:r>
      <w:r w:rsidRPr="00C56E85">
        <w:rPr>
          <w:b/>
          <w:bCs/>
          <w:i/>
        </w:rPr>
        <w:t>“NOTAS PERIODISTICAS, EL CONOCIMIENTO QUE DE ELLAS SE OBTIENE NO CONSTITUYE ‘UN HECHO PUBLICO Y NOTORIO’”</w:t>
      </w:r>
      <w:r w:rsidRPr="00C56E85">
        <w:rPr>
          <w:bCs/>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w:t>
      </w:r>
      <w:r w:rsidRPr="00C56E85">
        <w:rPr>
          <w:b/>
          <w:bCs/>
        </w:rPr>
        <w:t>indicios.</w:t>
      </w:r>
    </w:p>
    <w:p w14:paraId="02114D21" w14:textId="77777777" w:rsidR="00E02754" w:rsidRPr="00C56E85" w:rsidRDefault="00E02754" w:rsidP="00C56E85"/>
    <w:p w14:paraId="3C490AEE" w14:textId="77777777" w:rsidR="000C671B" w:rsidRPr="00C56E85" w:rsidRDefault="00E02754" w:rsidP="00C56E85">
      <w:pPr>
        <w:rPr>
          <w:bCs/>
        </w:rPr>
      </w:pPr>
      <w:r w:rsidRPr="00C56E85">
        <w:rPr>
          <w:bCs/>
        </w:rPr>
        <w:t>En ese sentido, si bien de la nota periodística señalada, contiene información que guarda relación con lo solicitado,</w:t>
      </w:r>
      <w:r w:rsidR="000C671B" w:rsidRPr="00C56E85">
        <w:rPr>
          <w:bCs/>
        </w:rPr>
        <w:t xml:space="preserve"> lo cierto es que </w:t>
      </w:r>
      <w:r w:rsidR="000C671B" w:rsidRPr="00C56E85">
        <w:rPr>
          <w:b/>
          <w:bCs/>
        </w:rPr>
        <w:t xml:space="preserve">no constituyen prueba plena, </w:t>
      </w:r>
      <w:r w:rsidR="000C671B" w:rsidRPr="00C56E85">
        <w:rPr>
          <w:bCs/>
        </w:rPr>
        <w:t>al ser una opinión privada realizada por parte de un particular;</w:t>
      </w:r>
      <w:r w:rsidR="000C671B" w:rsidRPr="00C56E85">
        <w:rPr>
          <w:b/>
          <w:bCs/>
        </w:rPr>
        <w:t xml:space="preserve"> </w:t>
      </w:r>
      <w:r w:rsidR="000C671B" w:rsidRPr="00C56E85">
        <w:rPr>
          <w:bCs/>
        </w:rPr>
        <w:t xml:space="preserve">sin embargo, en el presente caso, sirven de </w:t>
      </w:r>
      <w:r w:rsidR="000C671B" w:rsidRPr="00C56E85">
        <w:rPr>
          <w:b/>
          <w:bCs/>
        </w:rPr>
        <w:t>indicio</w:t>
      </w:r>
      <w:r w:rsidR="000C671B" w:rsidRPr="00C56E85">
        <w:rPr>
          <w:bCs/>
        </w:rPr>
        <w:t xml:space="preserve"> para analizar el tipo de información que requiere el Particular.</w:t>
      </w:r>
    </w:p>
    <w:p w14:paraId="38DE3D66" w14:textId="593524CD" w:rsidR="00E02754" w:rsidRPr="00C56E85" w:rsidRDefault="00E02754" w:rsidP="00C56E85">
      <w:pPr>
        <w:rPr>
          <w:bCs/>
        </w:rPr>
      </w:pPr>
    </w:p>
    <w:p w14:paraId="6D4FE10C" w14:textId="2FB4261B" w:rsidR="00BD3640" w:rsidRPr="00C56E85" w:rsidRDefault="000C671B" w:rsidP="00C56E85">
      <w:r w:rsidRPr="00C56E85">
        <w:t xml:space="preserve">Conforme a lo anterior, se logra vislumbrar que </w:t>
      </w:r>
      <w:r w:rsidR="00775AED" w:rsidRPr="00C56E85">
        <w:t xml:space="preserve">existe fuente obligacional para que </w:t>
      </w:r>
      <w:r w:rsidR="00775AED" w:rsidRPr="00C56E85">
        <w:rPr>
          <w:b/>
        </w:rPr>
        <w:t xml:space="preserve">EL SUJETO OBLIGADO </w:t>
      </w:r>
      <w:r w:rsidR="00233778" w:rsidRPr="00C56E85">
        <w:t>genere, pose</w:t>
      </w:r>
      <w:r w:rsidR="00917204" w:rsidRPr="00C56E85">
        <w:t>a</w:t>
      </w:r>
      <w:r w:rsidR="00233778" w:rsidRPr="00C56E85">
        <w:t xml:space="preserve"> o administre la información peticionada por </w:t>
      </w:r>
      <w:r w:rsidR="00233778" w:rsidRPr="00C56E85">
        <w:rPr>
          <w:b/>
        </w:rPr>
        <w:t>LA PARTE RECURRENTE</w:t>
      </w:r>
      <w:r w:rsidR="00917204" w:rsidRPr="00C56E85">
        <w:rPr>
          <w:b/>
        </w:rPr>
        <w:t>;</w:t>
      </w:r>
      <w:r w:rsidR="00883B3C" w:rsidRPr="00C56E85">
        <w:rPr>
          <w:b/>
        </w:rPr>
        <w:t xml:space="preserve"> </w:t>
      </w:r>
      <w:r w:rsidR="00883B3C" w:rsidRPr="00C56E85">
        <w:t>por lo tanto</w:t>
      </w:r>
      <w:r w:rsidR="00C53124" w:rsidRPr="00C56E85">
        <w:t>,</w:t>
      </w:r>
      <w:r w:rsidR="00883B3C" w:rsidRPr="00C56E85">
        <w:t xml:space="preserve"> resulta dable ordenar la entrega de dicha información peticionada.</w:t>
      </w:r>
    </w:p>
    <w:p w14:paraId="4B6604AA" w14:textId="77777777" w:rsidR="00BD3640" w:rsidRPr="00C56E85" w:rsidRDefault="00BD3640" w:rsidP="00C56E85"/>
    <w:p w14:paraId="4235392A" w14:textId="3C695923" w:rsidR="006E59CD" w:rsidRPr="00C56E85" w:rsidRDefault="00C81D9A" w:rsidP="00C56E85">
      <w:r w:rsidRPr="00C56E85">
        <w:t xml:space="preserve">Ahora bien, por lo que compete al requerimiento relativo </w:t>
      </w:r>
      <w:r w:rsidR="000F47FD" w:rsidRPr="00C56E85">
        <w:t>a “</w:t>
      </w:r>
      <w:r w:rsidR="00E9747A" w:rsidRPr="00C56E85">
        <w:rPr>
          <w:i/>
        </w:rPr>
        <w:t>…copia de todas las facturas pagadas por el Comité Directivo Estatal durante 2024…</w:t>
      </w:r>
      <w:r w:rsidR="00E9747A" w:rsidRPr="00C56E85">
        <w:t>” Sic.</w:t>
      </w:r>
    </w:p>
    <w:p w14:paraId="193D77FB" w14:textId="308D68C2" w:rsidR="00E9747A" w:rsidRPr="00C56E85" w:rsidRDefault="00766FB5" w:rsidP="00C56E85">
      <w:pPr>
        <w:rPr>
          <w:bCs/>
          <w:szCs w:val="22"/>
        </w:rPr>
      </w:pPr>
      <w:r w:rsidRPr="00C56E85">
        <w:rPr>
          <w:bCs/>
          <w:szCs w:val="22"/>
        </w:rPr>
        <w:lastRenderedPageBreak/>
        <w:t>Primeramente, es importante señalar que</w:t>
      </w:r>
      <w:r w:rsidR="000F47FD" w:rsidRPr="00C56E85">
        <w:rPr>
          <w:bCs/>
          <w:szCs w:val="22"/>
        </w:rPr>
        <w:t>,</w:t>
      </w:r>
      <w:r w:rsidRPr="00C56E85">
        <w:rPr>
          <w:bCs/>
          <w:szCs w:val="22"/>
        </w:rPr>
        <w:t xml:space="preserve"> si bien el particular indicó que deseaba recibir la información en copias, también es que eligió también como modalidad de entrega vía SAIMEX, la cual se homologa a copias simples; ya que</w:t>
      </w:r>
      <w:r w:rsidR="00917204" w:rsidRPr="00C56E85">
        <w:rPr>
          <w:bCs/>
          <w:szCs w:val="22"/>
        </w:rPr>
        <w:t xml:space="preserve"> </w:t>
      </w:r>
      <w:r w:rsidRPr="00C56E85">
        <w:rPr>
          <w:bCs/>
          <w:szCs w:val="22"/>
        </w:rPr>
        <w:t>la impresión del archivo digital que se remita en cumplimiento de la resolución comparte la misma naturaleza de una copia simple, adicionalmente, la entrega de información vía SAIMEX otorga el beneficio de disponer inmediata y gratuitamente de la información solicitada.</w:t>
      </w:r>
    </w:p>
    <w:p w14:paraId="742BD945" w14:textId="77777777" w:rsidR="00365C2D" w:rsidRPr="00C56E85" w:rsidRDefault="00365C2D" w:rsidP="00C56E85">
      <w:pPr>
        <w:rPr>
          <w:bCs/>
          <w:szCs w:val="22"/>
        </w:rPr>
      </w:pPr>
    </w:p>
    <w:p w14:paraId="4B66B2F2" w14:textId="6DAA1117" w:rsidR="00160D8F" w:rsidRPr="00C56E85" w:rsidRDefault="00160D8F" w:rsidP="00C56E85">
      <w:pPr>
        <w:rPr>
          <w:bCs/>
          <w:szCs w:val="22"/>
        </w:rPr>
      </w:pPr>
      <w:r w:rsidRPr="00C56E85">
        <w:rPr>
          <w:bCs/>
          <w:szCs w:val="22"/>
        </w:rPr>
        <w:t xml:space="preserve">A fin de determinar la fuente obligacional del </w:t>
      </w:r>
      <w:r w:rsidRPr="00C56E85">
        <w:rPr>
          <w:b/>
          <w:bCs/>
          <w:szCs w:val="22"/>
        </w:rPr>
        <w:t xml:space="preserve">SUJETO OBLIGADO </w:t>
      </w:r>
      <w:r w:rsidRPr="00C56E85">
        <w:rPr>
          <w:bCs/>
          <w:szCs w:val="22"/>
        </w:rPr>
        <w:t xml:space="preserve">de generar, poseer y/o administrar la información requerida, es necesario conceptualizar la naturaleza de la información requerida, </w:t>
      </w:r>
      <w:r w:rsidR="002D4423" w:rsidRPr="00C56E85">
        <w:rPr>
          <w:bCs/>
          <w:szCs w:val="22"/>
        </w:rPr>
        <w:t>a</w:t>
      </w:r>
      <w:r w:rsidRPr="00C56E85">
        <w:rPr>
          <w:bCs/>
          <w:szCs w:val="22"/>
        </w:rPr>
        <w:t xml:space="preserve">sí, el término </w:t>
      </w:r>
      <w:r w:rsidRPr="00C56E85">
        <w:rPr>
          <w:bCs/>
          <w:i/>
          <w:szCs w:val="22"/>
        </w:rPr>
        <w:t xml:space="preserve">factura </w:t>
      </w:r>
      <w:r w:rsidRPr="00C56E85">
        <w:rPr>
          <w:bCs/>
          <w:szCs w:val="22"/>
        </w:rPr>
        <w:t>se encuentra definido en el Glosario de Términos Hacendarios que emite el Instituto Hacendario del Estado de México, el cual expresa lo siguiente: “</w:t>
      </w:r>
      <w:r w:rsidRPr="00C56E85">
        <w:rPr>
          <w:b/>
          <w:bCs/>
          <w:szCs w:val="22"/>
        </w:rPr>
        <w:t>factura</w:t>
      </w:r>
      <w:r w:rsidRPr="00C56E85">
        <w:rPr>
          <w:bCs/>
          <w:i/>
          <w:szCs w:val="22"/>
        </w:rPr>
        <w:t xml:space="preserve"> </w:t>
      </w:r>
      <w:r w:rsidRPr="00C56E85">
        <w:rPr>
          <w:bCs/>
          <w:szCs w:val="22"/>
        </w:rPr>
        <w:t xml:space="preserve">al </w:t>
      </w:r>
      <w:r w:rsidRPr="00C56E85">
        <w:rPr>
          <w:b/>
          <w:bCs/>
          <w:szCs w:val="22"/>
        </w:rPr>
        <w:t>documento fiscal que emite la persona física o moral para comprobar la venta o adquisición de un bien y/o servicio</w:t>
      </w:r>
      <w:r w:rsidRPr="00C56E85">
        <w:rPr>
          <w:bCs/>
          <w:szCs w:val="22"/>
        </w:rPr>
        <w:t>.” Sic.</w:t>
      </w:r>
    </w:p>
    <w:p w14:paraId="35FCE6A6" w14:textId="77777777" w:rsidR="002D4423" w:rsidRPr="00C56E85" w:rsidRDefault="002D4423" w:rsidP="00C56E85">
      <w:pPr>
        <w:rPr>
          <w:bCs/>
          <w:szCs w:val="22"/>
        </w:rPr>
      </w:pPr>
    </w:p>
    <w:p w14:paraId="3DEBBB51" w14:textId="0CAEFD4E" w:rsidR="00160D8F" w:rsidRPr="00C56E85" w:rsidRDefault="00160D8F" w:rsidP="00C56E85">
      <w:pPr>
        <w:rPr>
          <w:bCs/>
          <w:szCs w:val="22"/>
        </w:rPr>
      </w:pPr>
      <w:r w:rsidRPr="00C56E85">
        <w:rPr>
          <w:bCs/>
          <w:szCs w:val="22"/>
        </w:rPr>
        <w:t>En ese sentido, los artículos 342, 343, 344 y 345 del Código Financiero del Estado de México y Municipios</w:t>
      </w:r>
      <w:r w:rsidR="002D4423" w:rsidRPr="00C56E85">
        <w:rPr>
          <w:bCs/>
          <w:szCs w:val="22"/>
        </w:rPr>
        <w:t xml:space="preserve">, de manera análoga </w:t>
      </w:r>
      <w:r w:rsidRPr="00C56E85">
        <w:rPr>
          <w:bCs/>
          <w:szCs w:val="22"/>
        </w:rPr>
        <w:t>disponen el sistema y las políticas que deben seguirse para llevar el registro contable y presupuestal de las operaciones financieras, en los siguientes términos:</w:t>
      </w:r>
    </w:p>
    <w:p w14:paraId="177DDE42" w14:textId="77777777" w:rsidR="00160D8F" w:rsidRPr="00C56E85" w:rsidRDefault="00160D8F" w:rsidP="00C56E85">
      <w:pPr>
        <w:rPr>
          <w:bCs/>
          <w:szCs w:val="22"/>
        </w:rPr>
      </w:pPr>
    </w:p>
    <w:p w14:paraId="52C4368F" w14:textId="77777777" w:rsidR="00160D8F" w:rsidRPr="00C56E85" w:rsidRDefault="00160D8F" w:rsidP="00C56E85">
      <w:pPr>
        <w:pStyle w:val="Puesto"/>
        <w:rPr>
          <w:rFonts w:eastAsia="Times New Roman"/>
        </w:rPr>
      </w:pPr>
      <w:r w:rsidRPr="00C56E85">
        <w:rPr>
          <w:rFonts w:eastAsia="Times New Roman"/>
        </w:rPr>
        <w:t>“</w:t>
      </w:r>
      <w:r w:rsidRPr="00C56E85">
        <w:rPr>
          <w:rFonts w:eastAsia="Times New Roman"/>
          <w:b/>
          <w:bCs/>
        </w:rPr>
        <w:t>Artículo 342.-</w:t>
      </w:r>
      <w:r w:rsidRPr="00C56E85">
        <w:rPr>
          <w:rFonts w:eastAsia="Times New Roman"/>
        </w:rPr>
        <w:t xml:space="preserve"> </w:t>
      </w:r>
      <w:r w:rsidRPr="00C56E85">
        <w:rPr>
          <w:rFonts w:eastAsia="Times New Roman"/>
          <w:b/>
          <w:bCs/>
          <w:u w:val="single"/>
        </w:rPr>
        <w:t>El registro contable del efecto patrimonial y presupuestal de las operaciones financieras, se realizará conforme al sistema</w:t>
      </w:r>
      <w:r w:rsidRPr="00C56E85">
        <w:rPr>
          <w:rFonts w:eastAsia="Times New Roman"/>
        </w:rPr>
        <w:t xml:space="preserve"> y a las disposiciones que se aprueben en materia de planeación, programación, </w:t>
      </w:r>
      <w:proofErr w:type="spellStart"/>
      <w:r w:rsidRPr="00C56E85">
        <w:rPr>
          <w:rFonts w:eastAsia="Times New Roman"/>
        </w:rPr>
        <w:t>presupuestación</w:t>
      </w:r>
      <w:proofErr w:type="spellEnd"/>
      <w:r w:rsidRPr="00C56E85">
        <w:rPr>
          <w:rFonts w:eastAsia="Times New Roman"/>
        </w:rPr>
        <w:t xml:space="preserve">, evaluación y contabilidad gubernamental. </w:t>
      </w:r>
    </w:p>
    <w:p w14:paraId="4C6DE8B6" w14:textId="77777777" w:rsidR="00160D8F" w:rsidRPr="00C56E85" w:rsidRDefault="00160D8F" w:rsidP="00C56E85">
      <w:pPr>
        <w:pStyle w:val="Puesto"/>
        <w:rPr>
          <w:rFonts w:eastAsia="Times New Roman"/>
        </w:rPr>
      </w:pPr>
      <w:r w:rsidRPr="00C56E85">
        <w:rPr>
          <w:rFonts w:eastAsia="Times New Roman"/>
        </w:rPr>
        <w:t>(…)”</w:t>
      </w:r>
    </w:p>
    <w:p w14:paraId="2F856303" w14:textId="77777777" w:rsidR="00160D8F" w:rsidRPr="00C56E85" w:rsidRDefault="00160D8F" w:rsidP="00C56E85">
      <w:pPr>
        <w:pStyle w:val="Puesto"/>
        <w:rPr>
          <w:rFonts w:eastAsia="Times New Roman"/>
        </w:rPr>
      </w:pPr>
    </w:p>
    <w:p w14:paraId="2B343C36" w14:textId="77777777" w:rsidR="00160D8F" w:rsidRPr="00C56E85" w:rsidRDefault="00160D8F" w:rsidP="00C56E85">
      <w:pPr>
        <w:pStyle w:val="Puesto"/>
        <w:rPr>
          <w:rFonts w:eastAsia="Times New Roman"/>
        </w:rPr>
      </w:pPr>
      <w:r w:rsidRPr="00C56E85">
        <w:rPr>
          <w:rFonts w:eastAsia="Times New Roman"/>
        </w:rPr>
        <w:t>“</w:t>
      </w:r>
      <w:r w:rsidRPr="00C56E85">
        <w:rPr>
          <w:rFonts w:eastAsia="Times New Roman"/>
          <w:b/>
          <w:bCs/>
        </w:rPr>
        <w:t>Artículo 343.-</w:t>
      </w:r>
      <w:r w:rsidRPr="00C56E85">
        <w:rPr>
          <w:rFonts w:eastAsia="Times New Roman"/>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0DF6C075" w14:textId="77777777" w:rsidR="00160D8F" w:rsidRPr="00C56E85" w:rsidRDefault="00160D8F" w:rsidP="00C56E85">
      <w:pPr>
        <w:pStyle w:val="Puesto"/>
        <w:rPr>
          <w:rFonts w:eastAsia="Times New Roman"/>
        </w:rPr>
      </w:pPr>
      <w:r w:rsidRPr="00C56E85">
        <w:rPr>
          <w:rFonts w:eastAsia="Times New Roman"/>
        </w:rPr>
        <w:lastRenderedPageBreak/>
        <w:t>El sistema de contabilidad sobre base acumulativa total se sustentará en los postulados básicos y el marco conceptual de la contabilidad gubernamental.”</w:t>
      </w:r>
    </w:p>
    <w:p w14:paraId="4E41FE01" w14:textId="77777777" w:rsidR="00160D8F" w:rsidRPr="00C56E85" w:rsidRDefault="00160D8F" w:rsidP="00C56E85">
      <w:pPr>
        <w:pStyle w:val="Puesto"/>
        <w:rPr>
          <w:rFonts w:eastAsia="Times New Roman"/>
        </w:rPr>
      </w:pPr>
    </w:p>
    <w:p w14:paraId="54BA3A5D" w14:textId="77777777" w:rsidR="00160D8F" w:rsidRPr="00C56E85" w:rsidRDefault="00160D8F" w:rsidP="00C56E85">
      <w:pPr>
        <w:pStyle w:val="Puesto"/>
        <w:rPr>
          <w:rFonts w:eastAsia="Times New Roman"/>
        </w:rPr>
      </w:pPr>
      <w:r w:rsidRPr="00C56E85">
        <w:rPr>
          <w:rFonts w:eastAsia="Times New Roman"/>
        </w:rPr>
        <w:t>“</w:t>
      </w:r>
      <w:r w:rsidRPr="00C56E85">
        <w:rPr>
          <w:rFonts w:eastAsia="Times New Roman"/>
          <w:b/>
          <w:bCs/>
        </w:rPr>
        <w:t>Artículo 344.-</w:t>
      </w:r>
      <w:r w:rsidRPr="00C56E85">
        <w:rPr>
          <w:rFonts w:eastAsia="Times New Roman"/>
        </w:rPr>
        <w:t xml:space="preserve"> 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14:paraId="075DDF00" w14:textId="77777777" w:rsidR="00160D8F" w:rsidRPr="00C56E85" w:rsidRDefault="00160D8F" w:rsidP="00C56E85">
      <w:pPr>
        <w:pStyle w:val="Puesto"/>
        <w:rPr>
          <w:rFonts w:eastAsia="Times New Roman"/>
        </w:rPr>
      </w:pPr>
      <w:r w:rsidRPr="00C56E85">
        <w:rPr>
          <w:rFonts w:eastAsia="Times New Roman"/>
        </w:rPr>
        <w:t xml:space="preserve">Derogado. </w:t>
      </w:r>
    </w:p>
    <w:p w14:paraId="3740B4FA" w14:textId="77777777" w:rsidR="00160D8F" w:rsidRPr="00C56E85" w:rsidRDefault="00160D8F" w:rsidP="00C56E85">
      <w:pPr>
        <w:pStyle w:val="Puesto"/>
        <w:rPr>
          <w:rFonts w:eastAsia="Times New Roman"/>
        </w:rPr>
      </w:pPr>
      <w:r w:rsidRPr="00C56E85">
        <w:rPr>
          <w:rFonts w:eastAsia="Times New Roman"/>
          <w:b/>
          <w:bCs/>
          <w:u w:val="single"/>
        </w:rPr>
        <w:t>Todo registro contable y presupuestal deberá estar soportado con los documentos comprobatorios originales, los que deberán permanecer en custodia y conservación de las dependencias, entidades públicas y unidades administrativas que ejercieron el gasto</w:t>
      </w:r>
      <w:r w:rsidRPr="00C56E85">
        <w:rPr>
          <w:rFonts w:eastAsia="Times New Roman"/>
          <w:u w:val="single"/>
        </w:rPr>
        <w:t>,</w:t>
      </w:r>
      <w:r w:rsidRPr="00C56E85">
        <w:rPr>
          <w:rFonts w:eastAsia="Times New Roman"/>
        </w:rPr>
        <w:t xml:space="preserve">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486BBA94" w14:textId="77777777" w:rsidR="00160D8F" w:rsidRPr="00C56E85" w:rsidRDefault="00160D8F" w:rsidP="00C56E85">
      <w:pPr>
        <w:pStyle w:val="Puesto"/>
        <w:rPr>
          <w:rFonts w:eastAsia="Times New Roman"/>
        </w:rPr>
      </w:pPr>
      <w:r w:rsidRPr="00C56E85">
        <w:rPr>
          <w:rFonts w:eastAsia="Times New Roman"/>
        </w:rPr>
        <w:t>(…)”</w:t>
      </w:r>
    </w:p>
    <w:p w14:paraId="67E19ED9" w14:textId="77777777" w:rsidR="00160D8F" w:rsidRPr="00C56E85" w:rsidRDefault="00160D8F" w:rsidP="00C56E85">
      <w:pPr>
        <w:pStyle w:val="Puesto"/>
        <w:rPr>
          <w:rFonts w:eastAsia="Times New Roman"/>
        </w:rPr>
      </w:pPr>
    </w:p>
    <w:p w14:paraId="5597D7ED" w14:textId="77777777" w:rsidR="00160D8F" w:rsidRPr="00C56E85" w:rsidRDefault="00160D8F" w:rsidP="00C56E85">
      <w:pPr>
        <w:pStyle w:val="Puesto"/>
        <w:rPr>
          <w:rFonts w:eastAsia="Times New Roman"/>
          <w:b/>
          <w:bCs/>
          <w:u w:val="single"/>
        </w:rPr>
      </w:pPr>
      <w:r w:rsidRPr="00C56E85">
        <w:rPr>
          <w:rFonts w:eastAsia="Times New Roman"/>
        </w:rPr>
        <w:t>“</w:t>
      </w:r>
      <w:r w:rsidRPr="00C56E85">
        <w:rPr>
          <w:rFonts w:eastAsia="Times New Roman"/>
          <w:b/>
          <w:bCs/>
        </w:rPr>
        <w:t>Artículo 345.-</w:t>
      </w:r>
      <w:r w:rsidRPr="00C56E85">
        <w:rPr>
          <w:rFonts w:eastAsia="Times New Roman"/>
        </w:rPr>
        <w:t xml:space="preserve"> Las Dependencias, Entidades Públicas y unidades administrativas </w:t>
      </w:r>
      <w:r w:rsidRPr="00C56E85">
        <w:rPr>
          <w:rFonts w:eastAsia="Times New Roman"/>
          <w:b/>
          <w:bCs/>
          <w:u w:val="single"/>
        </w:rPr>
        <w:t xml:space="preserve">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w:t>
      </w:r>
    </w:p>
    <w:p w14:paraId="3D438AEC" w14:textId="77777777" w:rsidR="00160D8F" w:rsidRPr="00C56E85" w:rsidRDefault="00160D8F" w:rsidP="00C56E85">
      <w:pPr>
        <w:rPr>
          <w:bCs/>
          <w:i/>
          <w:szCs w:val="22"/>
        </w:rPr>
      </w:pPr>
    </w:p>
    <w:p w14:paraId="633541D2" w14:textId="77777777" w:rsidR="00160D8F" w:rsidRPr="00C56E85" w:rsidRDefault="00160D8F" w:rsidP="00C56E85">
      <w:pPr>
        <w:rPr>
          <w:bCs/>
          <w:szCs w:val="22"/>
        </w:rPr>
      </w:pPr>
      <w:r w:rsidRPr="00C56E85">
        <w:rPr>
          <w:bCs/>
          <w:szCs w:val="22"/>
        </w:rPr>
        <w:t xml:space="preserve">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w:t>
      </w:r>
      <w:proofErr w:type="spellStart"/>
      <w:r w:rsidRPr="00C56E85">
        <w:rPr>
          <w:bCs/>
          <w:szCs w:val="22"/>
        </w:rPr>
        <w:t>presupuestación</w:t>
      </w:r>
      <w:proofErr w:type="spellEnd"/>
      <w:r w:rsidRPr="00C56E85">
        <w:rPr>
          <w:bCs/>
          <w:szCs w:val="22"/>
        </w:rPr>
        <w:t>, evaluación y contabilidad gubernamental.</w:t>
      </w:r>
    </w:p>
    <w:p w14:paraId="0D2AF713" w14:textId="77777777" w:rsidR="00160D8F" w:rsidRPr="00C56E85" w:rsidRDefault="00160D8F" w:rsidP="00C56E85">
      <w:pPr>
        <w:rPr>
          <w:bCs/>
          <w:szCs w:val="22"/>
        </w:rPr>
      </w:pPr>
    </w:p>
    <w:p w14:paraId="445548F4" w14:textId="77777777" w:rsidR="00160D8F" w:rsidRPr="00C56E85" w:rsidRDefault="00160D8F" w:rsidP="00C56E85">
      <w:pPr>
        <w:rPr>
          <w:bCs/>
          <w:szCs w:val="22"/>
        </w:rPr>
      </w:pPr>
      <w:r w:rsidRPr="00C56E85">
        <w:rPr>
          <w:bCs/>
          <w:szCs w:val="22"/>
        </w:rPr>
        <w:t xml:space="preserve">Al respecto, si bien es cierto que el Código Financiero del Estado de México y Municipios establece la obligación para llevar los registros contables y presupuestales; también lo es que, dicho ordenamiento jurídico no establece que debemos entender por registro contable y presupuestal; sin embargo, el “Glosario de Términos Administrativos”, emitido por el </w:t>
      </w:r>
      <w:r w:rsidRPr="00C56E85">
        <w:rPr>
          <w:bCs/>
          <w:szCs w:val="22"/>
        </w:rPr>
        <w:lastRenderedPageBreak/>
        <w:t xml:space="preserve">Instituto Nacional de Administración Pública, A.C. y el “Glosario de Términos para el Proceso de Planeación, Programación, </w:t>
      </w:r>
      <w:proofErr w:type="spellStart"/>
      <w:r w:rsidRPr="00C56E85">
        <w:rPr>
          <w:bCs/>
          <w:szCs w:val="22"/>
        </w:rPr>
        <w:t>Presupuestación</w:t>
      </w:r>
      <w:proofErr w:type="spellEnd"/>
      <w:r w:rsidRPr="00C56E85">
        <w:rPr>
          <w:bCs/>
          <w:szCs w:val="22"/>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16DC8332" w14:textId="77777777" w:rsidR="00160D8F" w:rsidRPr="00C56E85" w:rsidRDefault="00160D8F" w:rsidP="00C56E85">
      <w:pPr>
        <w:rPr>
          <w:bCs/>
          <w:szCs w:val="22"/>
        </w:rPr>
      </w:pPr>
    </w:p>
    <w:p w14:paraId="24A1E4BD" w14:textId="77777777" w:rsidR="00160D8F" w:rsidRPr="00C56E85" w:rsidRDefault="00160D8F" w:rsidP="00C56E85">
      <w:pPr>
        <w:pStyle w:val="Puesto"/>
        <w:rPr>
          <w:rFonts w:eastAsia="Times New Roman"/>
        </w:rPr>
      </w:pPr>
      <w:r w:rsidRPr="00C56E85">
        <w:rPr>
          <w:rFonts w:eastAsia="Times New Roman"/>
        </w:rPr>
        <w:t>“</w:t>
      </w:r>
      <w:r w:rsidRPr="00C56E85">
        <w:rPr>
          <w:rFonts w:eastAsia="Times New Roman"/>
          <w:b/>
          <w:bCs/>
        </w:rPr>
        <w:t>REGISTRO CONTABLE:</w:t>
      </w:r>
    </w:p>
    <w:p w14:paraId="71D0FCC0" w14:textId="77777777" w:rsidR="00160D8F" w:rsidRPr="00C56E85" w:rsidRDefault="00160D8F" w:rsidP="00C56E85">
      <w:pPr>
        <w:pStyle w:val="Puesto"/>
        <w:rPr>
          <w:rFonts w:eastAsia="Times New Roman"/>
        </w:rPr>
      </w:pPr>
      <w:r w:rsidRPr="00C56E85">
        <w:rPr>
          <w:rFonts w:eastAsia="Times New Roman"/>
        </w:rPr>
        <w:t xml:space="preserve">Asiento que se realiza en los libros de contabilidad de las actividades relacionadas con el ingreso y egresos de un ente económico.” </w:t>
      </w:r>
    </w:p>
    <w:p w14:paraId="797D46A3" w14:textId="77777777" w:rsidR="00160D8F" w:rsidRPr="00C56E85" w:rsidRDefault="00160D8F" w:rsidP="00C56E85">
      <w:pPr>
        <w:pStyle w:val="Puesto"/>
        <w:rPr>
          <w:rFonts w:eastAsia="Times New Roman"/>
        </w:rPr>
      </w:pPr>
    </w:p>
    <w:p w14:paraId="560BC2D7" w14:textId="77777777" w:rsidR="00160D8F" w:rsidRPr="00C56E85" w:rsidRDefault="00160D8F" w:rsidP="00C56E85">
      <w:pPr>
        <w:pStyle w:val="Puesto"/>
        <w:rPr>
          <w:rFonts w:eastAsia="Times New Roman"/>
        </w:rPr>
      </w:pPr>
      <w:r w:rsidRPr="00C56E85">
        <w:rPr>
          <w:rFonts w:eastAsia="Times New Roman"/>
        </w:rPr>
        <w:t>“</w:t>
      </w:r>
      <w:r w:rsidRPr="00C56E85">
        <w:rPr>
          <w:rFonts w:eastAsia="Times New Roman"/>
          <w:b/>
          <w:bCs/>
        </w:rPr>
        <w:t>REGISTRO PRESUPUESTARIO:</w:t>
      </w:r>
    </w:p>
    <w:p w14:paraId="1C3E940A" w14:textId="77777777" w:rsidR="00160D8F" w:rsidRPr="00C56E85" w:rsidRDefault="00160D8F" w:rsidP="00C56E85">
      <w:pPr>
        <w:pStyle w:val="Puesto"/>
        <w:rPr>
          <w:rFonts w:eastAsia="Times New Roman"/>
        </w:rPr>
      </w:pPr>
      <w:r w:rsidRPr="00C56E85">
        <w:rPr>
          <w:rFonts w:eastAsia="Times New Roman"/>
        </w:rPr>
        <w:t>Asiento contable de las erogaciones realizadas por las dependencias y entidades con relación a la asignación, modificación y ejercicio de los recursos presupuestarios que se les hayan autorizado.”</w:t>
      </w:r>
    </w:p>
    <w:p w14:paraId="27C2069F" w14:textId="77777777" w:rsidR="00160D8F" w:rsidRPr="00C56E85" w:rsidRDefault="00160D8F" w:rsidP="00C56E85">
      <w:pPr>
        <w:rPr>
          <w:bCs/>
          <w:szCs w:val="22"/>
        </w:rPr>
      </w:pPr>
    </w:p>
    <w:p w14:paraId="5984C412" w14:textId="77777777" w:rsidR="00160D8F" w:rsidRPr="00C56E85" w:rsidRDefault="00160D8F" w:rsidP="00C56E85">
      <w:pPr>
        <w:rPr>
          <w:bCs/>
          <w:szCs w:val="22"/>
        </w:rPr>
      </w:pPr>
      <w:r w:rsidRPr="00C56E85">
        <w:rPr>
          <w:bCs/>
          <w:szCs w:val="22"/>
        </w:rPr>
        <w:t>Por otra parte, se establece que el sistema de contabilidad sobre base acumulativa total se sustentará en los principios de contabilidad gubernamental.</w:t>
      </w:r>
    </w:p>
    <w:p w14:paraId="513B2E5E" w14:textId="77777777" w:rsidR="00365C2D" w:rsidRPr="00C56E85" w:rsidRDefault="00365C2D" w:rsidP="00C56E85">
      <w:pPr>
        <w:rPr>
          <w:bCs/>
          <w:szCs w:val="22"/>
        </w:rPr>
      </w:pPr>
    </w:p>
    <w:p w14:paraId="763554E7" w14:textId="17D0AE5B" w:rsidR="00C85F22" w:rsidRPr="00C56E85" w:rsidRDefault="00045C5B" w:rsidP="00C56E85">
      <w:pPr>
        <w:rPr>
          <w:rFonts w:eastAsia="Calibri"/>
          <w:bCs/>
          <w:szCs w:val="22"/>
          <w:lang w:val="es-ES" w:eastAsia="en-US"/>
        </w:rPr>
      </w:pPr>
      <w:r w:rsidRPr="00C56E85">
        <w:rPr>
          <w:rFonts w:eastAsia="Calibri"/>
          <w:bCs/>
          <w:szCs w:val="22"/>
          <w:lang w:val="es-ES" w:eastAsia="en-US"/>
        </w:rPr>
        <w:t xml:space="preserve">En el mismo tenor, </w:t>
      </w:r>
      <w:r w:rsidR="00C85F22" w:rsidRPr="00C56E85">
        <w:rPr>
          <w:rFonts w:eastAsia="Calibri"/>
          <w:bCs/>
          <w:szCs w:val="22"/>
          <w:lang w:val="es-ES" w:eastAsia="en-US"/>
        </w:rPr>
        <w:t>es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77071455" w14:textId="77777777" w:rsidR="00C85F22" w:rsidRPr="00C56E85" w:rsidRDefault="00C85F22" w:rsidP="00C56E85">
      <w:pPr>
        <w:rPr>
          <w:rFonts w:eastAsia="Calibri"/>
          <w:bCs/>
          <w:szCs w:val="22"/>
          <w:lang w:val="es-ES" w:eastAsia="en-US"/>
        </w:rPr>
      </w:pPr>
    </w:p>
    <w:p w14:paraId="65A3E8CD" w14:textId="77777777" w:rsidR="00C85F22" w:rsidRPr="00C56E85" w:rsidRDefault="00C85F22" w:rsidP="00C56E85">
      <w:pPr>
        <w:numPr>
          <w:ilvl w:val="0"/>
          <w:numId w:val="9"/>
        </w:numPr>
        <w:spacing w:after="160"/>
        <w:rPr>
          <w:rFonts w:eastAsia="Calibri"/>
          <w:bCs/>
          <w:szCs w:val="22"/>
          <w:lang w:val="es-ES" w:eastAsia="en-US"/>
        </w:rPr>
      </w:pPr>
      <w:r w:rsidRPr="00C56E85">
        <w:rPr>
          <w:rFonts w:eastAsia="Calibri"/>
          <w:bCs/>
          <w:szCs w:val="22"/>
          <w:lang w:val="es-ES" w:eastAsia="en-U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C26FE47" w14:textId="77777777" w:rsidR="00C85F22" w:rsidRPr="00C56E85" w:rsidRDefault="00C85F22" w:rsidP="00C56E85">
      <w:pPr>
        <w:numPr>
          <w:ilvl w:val="0"/>
          <w:numId w:val="9"/>
        </w:numPr>
        <w:spacing w:after="160"/>
        <w:rPr>
          <w:rFonts w:eastAsia="Calibri"/>
          <w:bCs/>
          <w:szCs w:val="22"/>
          <w:lang w:val="es-ES" w:eastAsia="en-US"/>
        </w:rPr>
      </w:pPr>
      <w:r w:rsidRPr="00C56E85">
        <w:rPr>
          <w:rFonts w:eastAsia="Calibri"/>
          <w:bCs/>
          <w:szCs w:val="22"/>
          <w:lang w:val="es-ES" w:eastAsia="en-US"/>
        </w:rPr>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FA2D2A6" w14:textId="02625694" w:rsidR="003A1CF1" w:rsidRPr="00C56E85" w:rsidRDefault="00C85F22" w:rsidP="00C56E85">
      <w:pPr>
        <w:autoSpaceDE w:val="0"/>
        <w:autoSpaceDN w:val="0"/>
        <w:adjustRightInd w:val="0"/>
        <w:rPr>
          <w:rFonts w:eastAsia="Calibri" w:cs="Tahoma"/>
          <w:lang w:val="es-ES" w:eastAsia="es-MX"/>
        </w:rPr>
      </w:pPr>
      <w:r w:rsidRPr="00C56E85">
        <w:rPr>
          <w:rFonts w:eastAsia="Calibri" w:cs="Tahoma"/>
          <w:bCs/>
          <w:lang w:val="es-ES" w:eastAsia="es-MX"/>
        </w:rPr>
        <w:t>A</w:t>
      </w:r>
      <w:r w:rsidRPr="00C56E85">
        <w:rPr>
          <w:rFonts w:eastAsia="Calibri" w:cs="Tahoma"/>
          <w:lang w:val="es-ES" w:eastAsia="es-MX"/>
        </w:rPr>
        <w:t xml:space="preserve">sí, a efecto de determinar el procedimiento que debió seguir </w:t>
      </w:r>
      <w:r w:rsidRPr="00C56E85">
        <w:rPr>
          <w:rFonts w:eastAsia="Calibri" w:cs="Tahoma"/>
          <w:b/>
          <w:lang w:val="es-ES" w:eastAsia="es-MX"/>
        </w:rPr>
        <w:t>EL SUJETO OBLIGADO</w:t>
      </w:r>
      <w:r w:rsidRPr="00C56E85">
        <w:rPr>
          <w:rFonts w:eastAsia="Calibri" w:cs="Tahoma"/>
          <w:lang w:val="es-ES" w:eastAsia="es-MX"/>
        </w:rPr>
        <w:t xml:space="preserve">, es necesario traer a colación, </w:t>
      </w:r>
      <w:r w:rsidR="003A1CF1" w:rsidRPr="00C56E85">
        <w:rPr>
          <w:rFonts w:eastAsia="Calibri" w:cs="Tahoma"/>
          <w:lang w:val="es-ES" w:eastAsia="es-MX"/>
        </w:rPr>
        <w:t>el artículo 81 del Reglamento de los Órganos Estatales y Municipales</w:t>
      </w:r>
      <w:r w:rsidR="003A1CF1" w:rsidRPr="00C56E85">
        <w:rPr>
          <w:rStyle w:val="Refdenotaalpie"/>
          <w:rFonts w:eastAsia="Calibri" w:cs="Tahoma"/>
          <w:lang w:val="es-ES" w:eastAsia="es-MX"/>
        </w:rPr>
        <w:footnoteReference w:id="2"/>
      </w:r>
      <w:r w:rsidR="003A1CF1" w:rsidRPr="00C56E85">
        <w:rPr>
          <w:rFonts w:eastAsia="Calibri" w:cs="Tahoma"/>
          <w:lang w:val="es-ES" w:eastAsia="es-MX"/>
        </w:rPr>
        <w:t xml:space="preserve"> del Partido Acción Nacional, que señala:</w:t>
      </w:r>
    </w:p>
    <w:p w14:paraId="24DD807B" w14:textId="77777777" w:rsidR="003A1CF1" w:rsidRPr="00C56E85" w:rsidRDefault="003A1CF1" w:rsidP="00C56E85">
      <w:pPr>
        <w:autoSpaceDE w:val="0"/>
        <w:autoSpaceDN w:val="0"/>
        <w:adjustRightInd w:val="0"/>
        <w:rPr>
          <w:rFonts w:eastAsia="Calibri" w:cs="Tahoma"/>
          <w:lang w:val="es-ES" w:eastAsia="es-MX"/>
        </w:rPr>
      </w:pPr>
    </w:p>
    <w:p w14:paraId="1477FF93" w14:textId="77777777" w:rsidR="003A1CF1" w:rsidRPr="00C56E85" w:rsidRDefault="003A1CF1" w:rsidP="00C56E85">
      <w:pPr>
        <w:pStyle w:val="Puesto"/>
        <w:rPr>
          <w:rFonts w:eastAsia="Calibri"/>
          <w:lang w:val="es-ES" w:eastAsia="es-MX"/>
        </w:rPr>
      </w:pPr>
      <w:r w:rsidRPr="00C56E85">
        <w:rPr>
          <w:rFonts w:eastAsia="Calibri"/>
          <w:lang w:val="es-ES" w:eastAsia="es-MX"/>
        </w:rPr>
        <w:t>“Artículo 81. La persona titular de la tesorería estatal tendrá las siguientes atribuciones:</w:t>
      </w:r>
    </w:p>
    <w:p w14:paraId="5A947900" w14:textId="77777777" w:rsidR="003A1CF1" w:rsidRPr="00C56E85" w:rsidRDefault="003A1CF1" w:rsidP="00C56E85">
      <w:pPr>
        <w:pStyle w:val="Puesto"/>
        <w:rPr>
          <w:rFonts w:eastAsia="Calibri"/>
          <w:lang w:val="es-ES" w:eastAsia="es-MX"/>
        </w:rPr>
      </w:pPr>
      <w:r w:rsidRPr="00C56E85">
        <w:rPr>
          <w:rFonts w:eastAsia="Calibri"/>
          <w:lang w:val="es-ES" w:eastAsia="es-MX"/>
        </w:rPr>
        <w:t xml:space="preserve">a) Verificar el monto de recursos de financiamiento público que la tesorería nacional y las autoridades locales electorales entreguen al Partido y que el mismo se ajuste a las disposiciones legales y sea distribuido conforme a lo aprobado por el Consejo Estatal atendiendo a criterios de competitividad electoral en la elección local inmediata anterior, número de militantes y al listado nominal de electores; </w:t>
      </w:r>
    </w:p>
    <w:p w14:paraId="0CF2E399" w14:textId="77777777" w:rsidR="003A1CF1" w:rsidRPr="00C56E85" w:rsidRDefault="003A1CF1" w:rsidP="00C56E85">
      <w:pPr>
        <w:pStyle w:val="Puesto"/>
        <w:rPr>
          <w:rFonts w:eastAsia="Calibri"/>
          <w:lang w:val="es-ES" w:eastAsia="es-MX"/>
        </w:rPr>
      </w:pPr>
      <w:r w:rsidRPr="00C56E85">
        <w:rPr>
          <w:rFonts w:eastAsia="Calibri"/>
          <w:lang w:val="es-ES" w:eastAsia="es-MX"/>
        </w:rPr>
        <w:t>b) Entregar a la autoridad local electoral el informe anual, de precampañas y de campañas en los tiempos previstos por la ley;</w:t>
      </w:r>
    </w:p>
    <w:p w14:paraId="5D121BF4" w14:textId="77777777" w:rsidR="003A1CF1" w:rsidRPr="00C56E85" w:rsidRDefault="003A1CF1" w:rsidP="00C56E85">
      <w:pPr>
        <w:pStyle w:val="Puesto"/>
        <w:rPr>
          <w:rFonts w:eastAsia="Calibri"/>
          <w:lang w:val="es-ES" w:eastAsia="es-MX"/>
        </w:rPr>
      </w:pPr>
      <w:r w:rsidRPr="00C56E85">
        <w:rPr>
          <w:rFonts w:eastAsia="Calibri"/>
          <w:lang w:val="es-ES" w:eastAsia="es-MX"/>
        </w:rPr>
        <w:t xml:space="preserve">c) Cumplir en tiempo y forma con todos los requerimientos que haga la tesorería nacional, comisión de vigilancia estatal y nacional así como de las autoridades fiscalizadoras electorales; </w:t>
      </w:r>
    </w:p>
    <w:p w14:paraId="1AC74266" w14:textId="77777777" w:rsidR="003A1CF1" w:rsidRPr="00C56E85" w:rsidRDefault="003A1CF1" w:rsidP="00C56E85">
      <w:pPr>
        <w:pStyle w:val="Puesto"/>
        <w:rPr>
          <w:rFonts w:eastAsia="Calibri"/>
          <w:b/>
          <w:bCs/>
          <w:u w:val="single"/>
          <w:lang w:val="es-ES" w:eastAsia="es-MX"/>
        </w:rPr>
      </w:pPr>
      <w:r w:rsidRPr="00C56E85">
        <w:rPr>
          <w:rFonts w:eastAsia="Calibri"/>
          <w:b/>
          <w:bCs/>
          <w:u w:val="single"/>
          <w:lang w:val="es-ES" w:eastAsia="es-MX"/>
        </w:rPr>
        <w:t xml:space="preserve">d) Elaborar y presentar a la tesorería nacional para su aprobación, el manual de administración del Comité Directivo Estatal que contenga los lineamientos, procedimientos y en general la normatividad contable, con bases técnicas y legales para el empleo y aplicación de los recursos financieros, así como para la presentación de los informes correspondientes. Este Manual deberá presentarse a la tesorería nacional, en los primeros 30 días de iniciarse una nueva administración; </w:t>
      </w:r>
    </w:p>
    <w:p w14:paraId="694B05F7" w14:textId="77777777" w:rsidR="003A1CF1" w:rsidRPr="00C56E85" w:rsidRDefault="003A1CF1" w:rsidP="00C56E85">
      <w:pPr>
        <w:pStyle w:val="Puesto"/>
        <w:rPr>
          <w:rFonts w:eastAsia="Calibri"/>
          <w:bCs/>
          <w:lang w:val="es-ES" w:eastAsia="es-MX"/>
        </w:rPr>
      </w:pPr>
      <w:r w:rsidRPr="00C56E85">
        <w:rPr>
          <w:rFonts w:eastAsia="Calibri"/>
          <w:bCs/>
          <w:lang w:val="es-ES" w:eastAsia="es-MX"/>
        </w:rPr>
        <w:t xml:space="preserve">e) Calcular y distribuir las cantidades del financiamiento público federal que le correspondan al Comité Directivo Estatal y a los comités directivos municipales; </w:t>
      </w:r>
    </w:p>
    <w:p w14:paraId="7E30B66F" w14:textId="77777777" w:rsidR="003A1CF1" w:rsidRPr="00C56E85" w:rsidRDefault="003A1CF1" w:rsidP="00C56E85">
      <w:pPr>
        <w:pStyle w:val="Puesto"/>
        <w:rPr>
          <w:rFonts w:eastAsia="Calibri"/>
          <w:lang w:val="es-ES" w:eastAsia="es-MX"/>
        </w:rPr>
      </w:pPr>
      <w:r w:rsidRPr="00C56E85">
        <w:rPr>
          <w:rFonts w:eastAsia="Calibri"/>
          <w:b/>
          <w:lang w:val="es-ES" w:eastAsia="es-MX"/>
        </w:rPr>
        <w:t xml:space="preserve">f) Presentar al Consejo Estatal para su aprobación, en el primer trimestre de cada año, </w:t>
      </w:r>
      <w:r w:rsidRPr="00C56E85">
        <w:rPr>
          <w:rFonts w:eastAsia="Calibri"/>
          <w:b/>
          <w:u w:val="single"/>
          <w:lang w:val="es-ES" w:eastAsia="es-MX"/>
        </w:rPr>
        <w:t>el proyecto de presupuesto de ingreso y gasto</w:t>
      </w:r>
      <w:r w:rsidRPr="00C56E85">
        <w:rPr>
          <w:rFonts w:eastAsia="Calibri"/>
          <w:b/>
          <w:lang w:val="es-ES" w:eastAsia="es-MX"/>
        </w:rPr>
        <w:t>. En caso de no ser aprobado, aplicarán los criterios presupuestales del año inmediato anterior</w:t>
      </w:r>
      <w:r w:rsidRPr="00C56E85">
        <w:rPr>
          <w:rFonts w:eastAsia="Calibri"/>
          <w:lang w:val="es-ES" w:eastAsia="es-MX"/>
        </w:rPr>
        <w:t xml:space="preserve">; </w:t>
      </w:r>
    </w:p>
    <w:p w14:paraId="2DD3BB22" w14:textId="77777777" w:rsidR="003A1CF1" w:rsidRPr="00C56E85" w:rsidRDefault="003A1CF1" w:rsidP="00C56E85">
      <w:pPr>
        <w:pStyle w:val="Puesto"/>
        <w:rPr>
          <w:rFonts w:eastAsia="Calibri"/>
          <w:lang w:val="es-ES" w:eastAsia="es-MX"/>
        </w:rPr>
      </w:pPr>
      <w:r w:rsidRPr="00C56E85">
        <w:rPr>
          <w:rFonts w:eastAsia="Calibri"/>
          <w:lang w:val="es-ES" w:eastAsia="es-MX"/>
        </w:rPr>
        <w:lastRenderedPageBreak/>
        <w:t xml:space="preserve">g) Será responsable del buen funcionamiento de las oficinas del Comité Directivo Estatal, así como de supervisar y controlar al personal administrativo y de servicios; </w:t>
      </w:r>
    </w:p>
    <w:p w14:paraId="2EBED61A" w14:textId="77777777" w:rsidR="003A1CF1" w:rsidRPr="00C56E85" w:rsidRDefault="003A1CF1" w:rsidP="00C56E85">
      <w:pPr>
        <w:pStyle w:val="Puesto"/>
        <w:rPr>
          <w:rFonts w:eastAsia="Calibri"/>
          <w:lang w:val="es-ES" w:eastAsia="es-MX"/>
        </w:rPr>
      </w:pPr>
      <w:r w:rsidRPr="00C56E85">
        <w:rPr>
          <w:rFonts w:eastAsia="Calibri"/>
          <w:b/>
          <w:u w:val="single"/>
          <w:lang w:val="es-ES" w:eastAsia="es-MX"/>
        </w:rPr>
        <w:t>h) Mantener al día los estados financieros</w:t>
      </w:r>
      <w:r w:rsidRPr="00C56E85">
        <w:rPr>
          <w:rFonts w:eastAsia="Calibri"/>
          <w:b/>
          <w:lang w:val="es-ES" w:eastAsia="es-MX"/>
        </w:rPr>
        <w:t>, y semestralmente, en enero y julio de cada año, presentar al Consejo Estatal un informe de los ingresos y egresos</w:t>
      </w:r>
      <w:r w:rsidRPr="00C56E85">
        <w:rPr>
          <w:rFonts w:eastAsia="Calibri"/>
          <w:lang w:val="es-ES" w:eastAsia="es-MX"/>
        </w:rPr>
        <w:t xml:space="preserve">; </w:t>
      </w:r>
    </w:p>
    <w:p w14:paraId="6A28799C" w14:textId="77777777" w:rsidR="003A1CF1" w:rsidRPr="00C56E85" w:rsidRDefault="003A1CF1" w:rsidP="00C56E85">
      <w:pPr>
        <w:pStyle w:val="Puesto"/>
        <w:rPr>
          <w:rFonts w:eastAsia="Calibri"/>
          <w:lang w:val="es-ES" w:eastAsia="es-MX"/>
        </w:rPr>
      </w:pPr>
      <w:r w:rsidRPr="00C56E85">
        <w:rPr>
          <w:rFonts w:eastAsia="Calibri"/>
          <w:lang w:val="es-ES" w:eastAsia="es-MX"/>
        </w:rPr>
        <w:t xml:space="preserve">i) Vigilar el cumplimiento de las obligaciones fiscales, laborales, de seguridad social, mercantiles y administrativas del Partido; </w:t>
      </w:r>
    </w:p>
    <w:p w14:paraId="2DCE5188" w14:textId="77777777" w:rsidR="003A1CF1" w:rsidRPr="00C56E85" w:rsidRDefault="003A1CF1" w:rsidP="00C56E85">
      <w:pPr>
        <w:pStyle w:val="Puesto"/>
        <w:rPr>
          <w:rFonts w:eastAsia="Calibri"/>
          <w:lang w:val="es-ES" w:eastAsia="es-MX"/>
        </w:rPr>
      </w:pPr>
      <w:r w:rsidRPr="00C56E85">
        <w:rPr>
          <w:rFonts w:eastAsia="Calibri"/>
          <w:lang w:val="es-ES" w:eastAsia="es-MX"/>
        </w:rPr>
        <w:t xml:space="preserve">j) Proponer estrategias para conseguir y administrar eficientemente los recursos económicos cumpliendo los requisitos de la legislación aplicable; </w:t>
      </w:r>
    </w:p>
    <w:p w14:paraId="5F1A8B8C" w14:textId="77777777" w:rsidR="003A1CF1" w:rsidRPr="00C56E85" w:rsidRDefault="003A1CF1" w:rsidP="00C56E85">
      <w:pPr>
        <w:pStyle w:val="Puesto"/>
        <w:rPr>
          <w:rFonts w:eastAsia="Calibri"/>
          <w:lang w:val="es-ES" w:eastAsia="es-MX"/>
        </w:rPr>
      </w:pPr>
      <w:r w:rsidRPr="00C56E85">
        <w:rPr>
          <w:rFonts w:eastAsia="Calibri"/>
          <w:lang w:val="es-ES" w:eastAsia="es-MX"/>
        </w:rPr>
        <w:t xml:space="preserve">k) Orientar y supervisar a las tesorerías municipales para su adecuado funcionamiento, en especial para organizar el cobro de las cuotas estatutarias a los militantes del Partido; </w:t>
      </w:r>
    </w:p>
    <w:p w14:paraId="18685C18" w14:textId="77777777" w:rsidR="003A1CF1" w:rsidRPr="00C56E85" w:rsidRDefault="003A1CF1" w:rsidP="00C56E85">
      <w:pPr>
        <w:pStyle w:val="Puesto"/>
        <w:rPr>
          <w:rFonts w:eastAsia="Calibri"/>
          <w:lang w:val="es-ES" w:eastAsia="es-MX"/>
        </w:rPr>
      </w:pPr>
      <w:r w:rsidRPr="00C56E85">
        <w:rPr>
          <w:rFonts w:eastAsia="Calibri"/>
          <w:lang w:val="es-ES" w:eastAsia="es-MX"/>
        </w:rPr>
        <w:t xml:space="preserve">l) Regularizar y llevar el registro y control de los bienes muebles e inmuebles del Partido en la entidad; y </w:t>
      </w:r>
    </w:p>
    <w:p w14:paraId="76A1BD36" w14:textId="77777777" w:rsidR="003A1CF1" w:rsidRPr="00C56E85" w:rsidRDefault="003A1CF1" w:rsidP="00C56E85">
      <w:pPr>
        <w:pStyle w:val="Puesto"/>
        <w:rPr>
          <w:rFonts w:eastAsia="Calibri"/>
          <w:lang w:val="es-ES" w:eastAsia="es-MX"/>
        </w:rPr>
      </w:pPr>
      <w:r w:rsidRPr="00C56E85">
        <w:rPr>
          <w:rFonts w:eastAsia="Calibri"/>
          <w:lang w:val="es-ES" w:eastAsia="es-MX"/>
        </w:rPr>
        <w:t>m) Las demás que le encomiende el presidente del Comité.”(Sic)</w:t>
      </w:r>
    </w:p>
    <w:p w14:paraId="0FA97B9E" w14:textId="77777777" w:rsidR="003A1CF1" w:rsidRPr="00C56E85" w:rsidRDefault="003A1CF1" w:rsidP="00C56E85">
      <w:pPr>
        <w:autoSpaceDE w:val="0"/>
        <w:autoSpaceDN w:val="0"/>
        <w:adjustRightInd w:val="0"/>
        <w:rPr>
          <w:rFonts w:eastAsia="Calibri" w:cs="Tahoma"/>
          <w:lang w:val="es-ES" w:eastAsia="es-MX"/>
        </w:rPr>
      </w:pPr>
    </w:p>
    <w:p w14:paraId="35E4BF2C" w14:textId="6096AE4C" w:rsidR="003A1CF1" w:rsidRPr="00C56E85" w:rsidRDefault="003A1CF1" w:rsidP="00C56E85">
      <w:pPr>
        <w:autoSpaceDE w:val="0"/>
        <w:autoSpaceDN w:val="0"/>
        <w:adjustRightInd w:val="0"/>
        <w:rPr>
          <w:rFonts w:eastAsia="Calibri" w:cs="Tahoma"/>
          <w:lang w:val="es-ES" w:eastAsia="es-MX"/>
        </w:rPr>
      </w:pPr>
      <w:r w:rsidRPr="00C56E85">
        <w:rPr>
          <w:rFonts w:eastAsia="Calibri" w:cs="Tahoma"/>
          <w:lang w:val="es-ES" w:eastAsia="es-MX"/>
        </w:rPr>
        <w:t xml:space="preserve">Disposición jurídica de la cual se desprende que la Tesorería Estatal del </w:t>
      </w:r>
      <w:r w:rsidRPr="00C56E85">
        <w:rPr>
          <w:rFonts w:eastAsia="Calibri" w:cs="Tahoma"/>
          <w:b/>
          <w:lang w:val="es-ES" w:eastAsia="es-MX"/>
        </w:rPr>
        <w:t>SUJETO OBLIGADO</w:t>
      </w:r>
      <w:r w:rsidRPr="00C56E85">
        <w:rPr>
          <w:rFonts w:eastAsia="Calibri" w:cs="Tahoma"/>
          <w:lang w:val="es-ES" w:eastAsia="es-MX"/>
        </w:rPr>
        <w:t>, tiene la atribución de calcular y distribuir las cantidades del financiamiento público federal que le corresponde al Comité Directivo Estatal y a los Comités Directivos Municipales.</w:t>
      </w:r>
    </w:p>
    <w:p w14:paraId="696F52BA" w14:textId="77777777" w:rsidR="003A1CF1" w:rsidRPr="00C56E85" w:rsidRDefault="003A1CF1" w:rsidP="00C56E85">
      <w:pPr>
        <w:autoSpaceDE w:val="0"/>
        <w:autoSpaceDN w:val="0"/>
        <w:adjustRightInd w:val="0"/>
        <w:rPr>
          <w:rFonts w:eastAsia="Calibri" w:cs="Tahoma"/>
          <w:lang w:val="es-ES" w:eastAsia="es-MX"/>
        </w:rPr>
      </w:pPr>
    </w:p>
    <w:p w14:paraId="2386CCE2" w14:textId="7CB7876F" w:rsidR="003A1CF1" w:rsidRPr="00C56E85" w:rsidRDefault="003A1CF1" w:rsidP="00C56E85">
      <w:pPr>
        <w:autoSpaceDE w:val="0"/>
        <w:autoSpaceDN w:val="0"/>
        <w:adjustRightInd w:val="0"/>
        <w:rPr>
          <w:rFonts w:eastAsia="Calibri" w:cs="Tahoma"/>
          <w:lang w:val="es-ES" w:eastAsia="es-MX"/>
        </w:rPr>
      </w:pPr>
      <w:r w:rsidRPr="00C56E85">
        <w:rPr>
          <w:rFonts w:eastAsia="Calibri" w:cs="Tahoma"/>
          <w:lang w:val="es-ES" w:eastAsia="es-MX"/>
        </w:rPr>
        <w:t>Asimismo</w:t>
      </w:r>
      <w:r w:rsidR="000F47FD" w:rsidRPr="00C56E85">
        <w:rPr>
          <w:rFonts w:eastAsia="Calibri" w:cs="Tahoma"/>
          <w:lang w:val="es-ES" w:eastAsia="es-MX"/>
        </w:rPr>
        <w:t>,</w:t>
      </w:r>
      <w:r w:rsidRPr="00C56E85">
        <w:rPr>
          <w:rFonts w:eastAsia="Calibri" w:cs="Tahoma"/>
          <w:lang w:val="es-ES" w:eastAsia="es-MX"/>
        </w:rPr>
        <w:t xml:space="preserve"> le corresponde el de elaborar un proyecto </w:t>
      </w:r>
      <w:r w:rsidRPr="00C56E85">
        <w:rPr>
          <w:rFonts w:eastAsia="Calibri" w:cs="Tahoma"/>
          <w:b/>
          <w:u w:val="single"/>
          <w:lang w:val="es-ES" w:eastAsia="es-MX"/>
        </w:rPr>
        <w:t>de presupuesto de ingresos y gastos</w:t>
      </w:r>
      <w:r w:rsidRPr="00C56E85">
        <w:rPr>
          <w:rFonts w:eastAsia="Calibri" w:cs="Tahoma"/>
          <w:lang w:val="es-ES" w:eastAsia="es-MX"/>
        </w:rPr>
        <w:t>, de ese financiamiento público federal y mantener al día los estados financieros.</w:t>
      </w:r>
    </w:p>
    <w:p w14:paraId="2F77A433" w14:textId="056EC209" w:rsidR="00C85F22" w:rsidRPr="00C56E85" w:rsidRDefault="00C85F22" w:rsidP="00C56E85">
      <w:pPr>
        <w:autoSpaceDE w:val="0"/>
        <w:autoSpaceDN w:val="0"/>
        <w:adjustRightInd w:val="0"/>
        <w:rPr>
          <w:rFonts w:eastAsia="Calibri" w:cs="Tahoma"/>
          <w:sz w:val="18"/>
          <w:lang w:val="es-ES" w:eastAsia="es-MX"/>
        </w:rPr>
      </w:pPr>
    </w:p>
    <w:p w14:paraId="2D9501D1" w14:textId="5E256A3C" w:rsidR="00C66569" w:rsidRPr="00C56E85" w:rsidRDefault="00C85F22" w:rsidP="00C56E85">
      <w:pPr>
        <w:autoSpaceDE w:val="0"/>
        <w:autoSpaceDN w:val="0"/>
        <w:adjustRightInd w:val="0"/>
        <w:rPr>
          <w:rFonts w:eastAsia="Calibri" w:cs="Tahoma"/>
          <w:lang w:val="es-ES" w:eastAsia="es-MX"/>
        </w:rPr>
      </w:pPr>
      <w:r w:rsidRPr="00C56E85">
        <w:rPr>
          <w:rFonts w:eastAsia="Calibri" w:cs="Tahoma"/>
          <w:lang w:eastAsia="es-MX"/>
        </w:rPr>
        <w:t>De tal circunstancia</w:t>
      </w:r>
      <w:r w:rsidRPr="00C56E85">
        <w:rPr>
          <w:rFonts w:eastAsia="Calibri" w:cs="Tahoma"/>
          <w:bCs/>
          <w:iCs/>
          <w:lang w:eastAsia="es-MX"/>
        </w:rPr>
        <w:t xml:space="preserve">, se logra colegir que </w:t>
      </w:r>
      <w:r w:rsidRPr="00C56E85">
        <w:rPr>
          <w:rFonts w:eastAsia="Calibri" w:cs="Tahoma"/>
          <w:b/>
          <w:bCs/>
          <w:iCs/>
          <w:lang w:eastAsia="es-MX"/>
        </w:rPr>
        <w:t>EL SUJETO OBLIGADO</w:t>
      </w:r>
      <w:r w:rsidRPr="00C56E85">
        <w:rPr>
          <w:rFonts w:eastAsia="Calibri" w:cs="Tahoma"/>
          <w:bCs/>
          <w:iCs/>
          <w:lang w:eastAsia="es-MX"/>
        </w:rPr>
        <w:t xml:space="preserve"> no cumplió con el procedimiento de búsqueda </w:t>
      </w:r>
      <w:r w:rsidRPr="00C56E85">
        <w:rPr>
          <w:rFonts w:eastAsia="Calibri" w:cs="Tahoma"/>
          <w:lang w:val="es-ES" w:eastAsia="es-MX"/>
        </w:rPr>
        <w:t xml:space="preserve">establecido en el artículo 162 de la Ley de Transparencia y Acceso a la Información Pública del Estado de México y Municipios, pues omitió, turnar el requerimiento de información </w:t>
      </w:r>
      <w:bookmarkStart w:id="30" w:name="_Hlk141956557"/>
      <w:r w:rsidRPr="00C56E85">
        <w:rPr>
          <w:rFonts w:eastAsia="Calibri" w:cs="Tahoma"/>
          <w:lang w:val="es-ES" w:eastAsia="es-MX"/>
        </w:rPr>
        <w:t xml:space="preserve">a </w:t>
      </w:r>
      <w:r w:rsidR="003A1CF1" w:rsidRPr="00C56E85">
        <w:rPr>
          <w:rFonts w:eastAsia="Calibri" w:cs="Tahoma"/>
          <w:lang w:val="es-ES" w:eastAsia="es-MX"/>
        </w:rPr>
        <w:t>la Tesorería Estatal</w:t>
      </w:r>
      <w:r w:rsidRPr="00C56E85">
        <w:rPr>
          <w:rFonts w:eastAsia="Calibri" w:cs="Tahoma"/>
          <w:lang w:val="es-ES" w:eastAsia="es-MX"/>
        </w:rPr>
        <w:t xml:space="preserve">, </w:t>
      </w:r>
      <w:bookmarkEnd w:id="30"/>
      <w:r w:rsidRPr="00C56E85">
        <w:rPr>
          <w:rFonts w:eastAsia="Calibri" w:cs="Tahoma"/>
          <w:lang w:val="es-ES" w:eastAsia="es-MX"/>
        </w:rPr>
        <w:t xml:space="preserve"> encargada</w:t>
      </w:r>
      <w:r w:rsidR="003A1CF1" w:rsidRPr="00C56E85">
        <w:rPr>
          <w:rFonts w:eastAsia="Calibri" w:cs="Tahoma"/>
          <w:lang w:val="es-ES" w:eastAsia="es-MX"/>
        </w:rPr>
        <w:t xml:space="preserve"> </w:t>
      </w:r>
      <w:r w:rsidRPr="00C56E85">
        <w:rPr>
          <w:rFonts w:eastAsia="Calibri" w:cs="Tahoma"/>
          <w:lang w:val="es-ES" w:eastAsia="es-MX"/>
        </w:rPr>
        <w:t>de administrar y supervisar la aplicación de los recursos por concepto de financiamiento público con el fin de presentar los informes de ingresos y egresos</w:t>
      </w:r>
      <w:r w:rsidR="00045C5B" w:rsidRPr="00C56E85">
        <w:rPr>
          <w:rFonts w:eastAsia="Calibri" w:cs="Tahoma"/>
          <w:lang w:val="es-ES" w:eastAsia="es-MX"/>
        </w:rPr>
        <w:t>. Por lo tanto, resulta dable ordenar la entrega de la información peticionada en el requerimiento en estudio, de ser el caso en versión pública.</w:t>
      </w:r>
    </w:p>
    <w:p w14:paraId="666EA131" w14:textId="77777777" w:rsidR="00365C2D" w:rsidRPr="00C56E85" w:rsidRDefault="00365C2D" w:rsidP="00C56E85">
      <w:pPr>
        <w:rPr>
          <w:bCs/>
          <w:szCs w:val="22"/>
        </w:rPr>
      </w:pPr>
    </w:p>
    <w:p w14:paraId="3D2AB4DC" w14:textId="76478488" w:rsidR="00365C2D" w:rsidRPr="00C56E85" w:rsidRDefault="00365C2D" w:rsidP="00C56E85">
      <w:pPr>
        <w:rPr>
          <w:bCs/>
          <w:szCs w:val="22"/>
        </w:rPr>
      </w:pPr>
      <w:r w:rsidRPr="00C56E85">
        <w:rPr>
          <w:bCs/>
          <w:szCs w:val="22"/>
        </w:rPr>
        <w:lastRenderedPageBreak/>
        <w:t xml:space="preserve">Finalmente, por lo que corresponde al pedimento de </w:t>
      </w:r>
      <w:r w:rsidRPr="00C56E85">
        <w:rPr>
          <w:bCs/>
          <w:i/>
          <w:szCs w:val="22"/>
        </w:rPr>
        <w:t xml:space="preserve">“…los documentos presentados por Anuar Azar Figueroa en su registro como candidato a Presidente del </w:t>
      </w:r>
      <w:proofErr w:type="spellStart"/>
      <w:r w:rsidRPr="00C56E85">
        <w:rPr>
          <w:bCs/>
          <w:i/>
          <w:szCs w:val="22"/>
        </w:rPr>
        <w:t>Comite</w:t>
      </w:r>
      <w:proofErr w:type="spellEnd"/>
      <w:r w:rsidRPr="00C56E85">
        <w:rPr>
          <w:bCs/>
          <w:i/>
          <w:szCs w:val="22"/>
        </w:rPr>
        <w:t xml:space="preserve"> Directivo Estatal para el presente periodo.”</w:t>
      </w:r>
      <w:r w:rsidRPr="00C56E85">
        <w:rPr>
          <w:bCs/>
          <w:szCs w:val="22"/>
        </w:rPr>
        <w:t xml:space="preserve"> Sic.</w:t>
      </w:r>
    </w:p>
    <w:p w14:paraId="24C59A0C" w14:textId="77777777" w:rsidR="00CA3285" w:rsidRPr="00C56E85" w:rsidRDefault="00CA3285" w:rsidP="00C56E85">
      <w:pPr>
        <w:rPr>
          <w:rFonts w:eastAsia="Calibri" w:cs="Tahoma"/>
          <w:szCs w:val="22"/>
        </w:rPr>
      </w:pPr>
    </w:p>
    <w:p w14:paraId="47EF3255" w14:textId="1404BAE1" w:rsidR="00365C2D" w:rsidRPr="00C56E85" w:rsidRDefault="00365C2D" w:rsidP="00C56E85">
      <w:pPr>
        <w:rPr>
          <w:rFonts w:eastAsia="Calibri" w:cs="Arial"/>
        </w:rPr>
      </w:pPr>
      <w:r w:rsidRPr="00C56E85">
        <w:rPr>
          <w:rFonts w:eastAsia="Calibri" w:cs="Tahoma"/>
          <w:szCs w:val="22"/>
        </w:rPr>
        <w:t xml:space="preserve">Se trae, lo que en relación a dicho requerimiento </w:t>
      </w:r>
      <w:r w:rsidRPr="00C56E85">
        <w:rPr>
          <w:rFonts w:eastAsia="Calibri" w:cs="Arial"/>
        </w:rPr>
        <w:t>estipulan los estatutos del Partido Acción Nacional (PAN), los cuales mencionan las atribuciones de los comités directivos estatales, que a saber son las siguientes:</w:t>
      </w:r>
    </w:p>
    <w:p w14:paraId="3E6AC703" w14:textId="77777777" w:rsidR="00365C2D" w:rsidRPr="00C56E85" w:rsidRDefault="00365C2D" w:rsidP="00C56E85">
      <w:pPr>
        <w:rPr>
          <w:rFonts w:eastAsia="Calibri" w:cs="Arial"/>
        </w:rPr>
      </w:pPr>
    </w:p>
    <w:p w14:paraId="216199A8" w14:textId="77777777" w:rsidR="00365C2D" w:rsidRPr="00C56E85" w:rsidRDefault="00365C2D" w:rsidP="00C56E85">
      <w:pPr>
        <w:ind w:left="851" w:right="1134"/>
        <w:contextualSpacing/>
        <w:jc w:val="center"/>
        <w:rPr>
          <w:rFonts w:eastAsia="Calibri" w:cs="Arial"/>
          <w:b/>
          <w:i/>
        </w:rPr>
      </w:pPr>
      <w:r w:rsidRPr="00C56E85">
        <w:rPr>
          <w:rFonts w:eastAsia="Calibri" w:cs="Arial"/>
          <w:b/>
          <w:i/>
        </w:rPr>
        <w:t>DE LOS COMITÉS DIRECTIVOS ESTATALES</w:t>
      </w:r>
    </w:p>
    <w:p w14:paraId="38507429" w14:textId="77777777" w:rsidR="00365C2D" w:rsidRPr="00C56E85" w:rsidRDefault="00365C2D" w:rsidP="00C56E85">
      <w:pPr>
        <w:ind w:left="851" w:right="1134"/>
        <w:contextualSpacing/>
        <w:rPr>
          <w:rFonts w:eastAsia="Calibri" w:cs="Arial"/>
          <w:i/>
        </w:rPr>
      </w:pPr>
      <w:r w:rsidRPr="00C56E85">
        <w:rPr>
          <w:rFonts w:eastAsia="Calibri" w:cs="Arial"/>
          <w:i/>
        </w:rPr>
        <w:t>Artículo 72</w:t>
      </w:r>
    </w:p>
    <w:p w14:paraId="0185103B" w14:textId="77777777" w:rsidR="00365C2D" w:rsidRPr="00C56E85" w:rsidRDefault="00365C2D" w:rsidP="00C56E85">
      <w:pPr>
        <w:ind w:left="851" w:right="1134"/>
        <w:contextualSpacing/>
        <w:rPr>
          <w:rFonts w:eastAsia="Calibri" w:cs="Arial"/>
          <w:i/>
        </w:rPr>
      </w:pPr>
      <w:r w:rsidRPr="00C56E85">
        <w:rPr>
          <w:rFonts w:eastAsia="Calibri" w:cs="Arial"/>
          <w:i/>
        </w:rPr>
        <w:t>1. Los Comités Directivos Estatales se integran por los siguientes militantes:</w:t>
      </w:r>
    </w:p>
    <w:p w14:paraId="68CC57E9" w14:textId="77777777" w:rsidR="00365C2D" w:rsidRPr="00C56E85" w:rsidRDefault="00365C2D" w:rsidP="00C56E85">
      <w:pPr>
        <w:ind w:left="851" w:right="1134"/>
        <w:contextualSpacing/>
        <w:rPr>
          <w:rFonts w:eastAsia="Calibri" w:cs="Arial"/>
          <w:i/>
        </w:rPr>
      </w:pPr>
      <w:r w:rsidRPr="00C56E85">
        <w:rPr>
          <w:rFonts w:eastAsia="Calibri" w:cs="Arial"/>
          <w:i/>
        </w:rPr>
        <w:t>a) La o el Presidente del Comité;</w:t>
      </w:r>
    </w:p>
    <w:p w14:paraId="0255737F" w14:textId="77777777" w:rsidR="00365C2D" w:rsidRPr="00C56E85" w:rsidRDefault="00365C2D" w:rsidP="00C56E85">
      <w:pPr>
        <w:ind w:left="851" w:right="1134"/>
        <w:contextualSpacing/>
        <w:rPr>
          <w:rFonts w:eastAsia="Calibri" w:cs="Arial"/>
          <w:i/>
        </w:rPr>
      </w:pPr>
      <w:r w:rsidRPr="00C56E85">
        <w:rPr>
          <w:rFonts w:eastAsia="Calibri" w:cs="Arial"/>
          <w:i/>
        </w:rPr>
        <w:t>b) La o el Secretario General del Comité;</w:t>
      </w:r>
    </w:p>
    <w:p w14:paraId="233C72A8" w14:textId="77777777" w:rsidR="00365C2D" w:rsidRPr="00C56E85" w:rsidRDefault="00365C2D" w:rsidP="00C56E85">
      <w:pPr>
        <w:ind w:left="851" w:right="1134"/>
        <w:contextualSpacing/>
        <w:rPr>
          <w:rFonts w:eastAsia="Calibri" w:cs="Arial"/>
          <w:i/>
        </w:rPr>
      </w:pPr>
      <w:r w:rsidRPr="00C56E85">
        <w:rPr>
          <w:rFonts w:eastAsia="Calibri" w:cs="Arial"/>
          <w:i/>
        </w:rPr>
        <w:t>c) La titular estatal de Promoción Política de la Mujer;</w:t>
      </w:r>
    </w:p>
    <w:p w14:paraId="61074E41" w14:textId="77777777" w:rsidR="00365C2D" w:rsidRPr="00C56E85" w:rsidRDefault="00365C2D" w:rsidP="00C56E85">
      <w:pPr>
        <w:ind w:left="851" w:right="1134"/>
        <w:contextualSpacing/>
        <w:rPr>
          <w:rFonts w:eastAsia="Calibri" w:cs="Arial"/>
          <w:i/>
        </w:rPr>
      </w:pPr>
      <w:r w:rsidRPr="00C56E85">
        <w:rPr>
          <w:rFonts w:eastAsia="Calibri" w:cs="Arial"/>
          <w:i/>
        </w:rPr>
        <w:t>d) La o el titular estatal de Acción Juvenil;</w:t>
      </w:r>
    </w:p>
    <w:p w14:paraId="7051FF6F" w14:textId="77777777" w:rsidR="00365C2D" w:rsidRPr="00C56E85" w:rsidRDefault="00365C2D" w:rsidP="00C56E85">
      <w:pPr>
        <w:ind w:left="851" w:right="1134"/>
        <w:contextualSpacing/>
        <w:rPr>
          <w:rFonts w:eastAsia="Calibri" w:cs="Arial"/>
          <w:i/>
        </w:rPr>
      </w:pPr>
      <w:r w:rsidRPr="00C56E85">
        <w:rPr>
          <w:rFonts w:eastAsia="Calibri" w:cs="Arial"/>
          <w:i/>
        </w:rPr>
        <w:t>e) La o el Tesorero Estatal; y</w:t>
      </w:r>
    </w:p>
    <w:p w14:paraId="14C12DC7" w14:textId="77777777" w:rsidR="00365C2D" w:rsidRPr="00C56E85" w:rsidRDefault="00365C2D" w:rsidP="00C56E85">
      <w:pPr>
        <w:ind w:left="851" w:right="1134"/>
        <w:contextualSpacing/>
        <w:rPr>
          <w:rFonts w:eastAsia="Calibri" w:cs="Arial"/>
          <w:i/>
        </w:rPr>
      </w:pPr>
      <w:r w:rsidRPr="00C56E85">
        <w:rPr>
          <w:rFonts w:eastAsia="Calibri" w:cs="Arial"/>
          <w:i/>
        </w:rPr>
        <w:t>f) Siete militantes del partido, residentes en la entidad con una militancia mínima de cinco años, de los cuales no podrán ser más de cuatro de un mismo género.</w:t>
      </w:r>
    </w:p>
    <w:p w14:paraId="5205E6DC" w14:textId="77777777" w:rsidR="00365C2D" w:rsidRPr="00C56E85" w:rsidRDefault="00365C2D" w:rsidP="00C56E85">
      <w:pPr>
        <w:ind w:left="851" w:right="1134"/>
        <w:contextualSpacing/>
        <w:rPr>
          <w:rFonts w:eastAsia="Calibri" w:cs="Arial"/>
          <w:i/>
        </w:rPr>
      </w:pPr>
    </w:p>
    <w:p w14:paraId="47766F45" w14:textId="77777777" w:rsidR="00365C2D" w:rsidRPr="00C56E85" w:rsidRDefault="00365C2D" w:rsidP="00C56E85">
      <w:pPr>
        <w:ind w:left="851" w:right="1134"/>
        <w:contextualSpacing/>
        <w:rPr>
          <w:rFonts w:eastAsia="Calibri" w:cs="Arial"/>
          <w:i/>
        </w:rPr>
      </w:pPr>
      <w:r w:rsidRPr="00C56E85">
        <w:rPr>
          <w:rFonts w:eastAsia="Calibri" w:cs="Arial"/>
          <w:i/>
        </w:rPr>
        <w:t>2. La elección del Presidente y miembros del Comité Directivo Estatal a que hacen referencia los incisos a),b), y f) se sujetarán al siguiente procedimiento y a lo señalado en los reglamentos correspondientes:</w:t>
      </w:r>
    </w:p>
    <w:p w14:paraId="259792BE" w14:textId="77777777" w:rsidR="00365C2D" w:rsidRPr="00C56E85" w:rsidRDefault="00365C2D" w:rsidP="00C56E85">
      <w:pPr>
        <w:ind w:left="851" w:right="1134"/>
        <w:contextualSpacing/>
        <w:rPr>
          <w:rFonts w:eastAsia="Calibri" w:cs="Arial"/>
          <w:i/>
        </w:rPr>
      </w:pPr>
    </w:p>
    <w:p w14:paraId="42E55359" w14:textId="77777777" w:rsidR="00365C2D" w:rsidRPr="00C56E85" w:rsidRDefault="00365C2D" w:rsidP="00C56E85">
      <w:pPr>
        <w:ind w:left="851" w:right="1134"/>
        <w:contextualSpacing/>
        <w:rPr>
          <w:rFonts w:eastAsia="Calibri" w:cs="Arial"/>
          <w:i/>
        </w:rPr>
      </w:pPr>
      <w:r w:rsidRPr="00C56E85">
        <w:rPr>
          <w:rFonts w:eastAsia="Calibri" w:cs="Arial"/>
          <w:i/>
        </w:rPr>
        <w:t xml:space="preserve">a) </w:t>
      </w:r>
      <w:r w:rsidRPr="00C56E85">
        <w:rPr>
          <w:rFonts w:eastAsia="Calibri" w:cs="Arial"/>
          <w:b/>
          <w:i/>
          <w:u w:val="single"/>
        </w:rPr>
        <w:t>Los interesados en ser electos como Presidentes presentarán solicitud de registro, acompañando la planilla de nombres de los militantes, a que hacen referencia los incisos b) y f) del numeral anterior</w:t>
      </w:r>
      <w:r w:rsidRPr="00C56E85">
        <w:rPr>
          <w:rFonts w:eastAsia="Calibri" w:cs="Arial"/>
          <w:i/>
        </w:rPr>
        <w:t xml:space="preserve">; y el porcentaje de </w:t>
      </w:r>
      <w:r w:rsidRPr="00C56E85">
        <w:rPr>
          <w:rFonts w:eastAsia="Calibri" w:cs="Arial"/>
          <w:i/>
        </w:rPr>
        <w:lastRenderedPageBreak/>
        <w:t>firmas señalado en el reglamento, para lo cual los interesados contarán con por lo menos dos días por cada punto porcentual.</w:t>
      </w:r>
    </w:p>
    <w:p w14:paraId="72BB4C61" w14:textId="77777777" w:rsidR="00365C2D" w:rsidRPr="00C56E85" w:rsidRDefault="00365C2D" w:rsidP="00C56E85">
      <w:pPr>
        <w:ind w:left="851" w:right="1134"/>
        <w:contextualSpacing/>
        <w:rPr>
          <w:rFonts w:eastAsia="Calibri" w:cs="Arial"/>
          <w:i/>
        </w:rPr>
      </w:pPr>
    </w:p>
    <w:p w14:paraId="233D51F0" w14:textId="2ABD46B8" w:rsidR="00365C2D" w:rsidRPr="00C56E85" w:rsidRDefault="00D5008F" w:rsidP="00C56E85">
      <w:pPr>
        <w:ind w:left="851" w:right="1134"/>
        <w:contextualSpacing/>
      </w:pPr>
      <w:r w:rsidRPr="00C56E85">
        <w:rPr>
          <w:rFonts w:eastAsia="Calibri" w:cs="Arial"/>
          <w:i/>
        </w:rPr>
        <w:t>…</w:t>
      </w:r>
    </w:p>
    <w:p w14:paraId="7E7772D8" w14:textId="1EEC184B" w:rsidR="00A50902" w:rsidRPr="00C56E85" w:rsidRDefault="00A50902" w:rsidP="00C56E85">
      <w:r w:rsidRPr="00C56E85">
        <w:rPr>
          <w:bCs/>
          <w:szCs w:val="22"/>
        </w:rPr>
        <w:t xml:space="preserve">En el mismo tenor, se trae a contexto la nota periodística disponible en </w:t>
      </w:r>
      <w:hyperlink r:id="rId16" w:history="1">
        <w:r w:rsidRPr="00C56E85">
          <w:rPr>
            <w:u w:val="single"/>
          </w:rPr>
          <w:t xml:space="preserve">Ratifican a Anuar Azar Figueroa como presidente del PAN en </w:t>
        </w:r>
        <w:proofErr w:type="spellStart"/>
        <w:r w:rsidRPr="00C56E85">
          <w:rPr>
            <w:u w:val="single"/>
          </w:rPr>
          <w:t>Edomex</w:t>
        </w:r>
        <w:proofErr w:type="spellEnd"/>
        <w:r w:rsidRPr="00C56E85">
          <w:rPr>
            <w:u w:val="single"/>
          </w:rPr>
          <w:t xml:space="preserve"> - La Prensa | Noticias policiacas, locales, nacionales</w:t>
        </w:r>
      </w:hyperlink>
      <w:r w:rsidRPr="00C56E85">
        <w:t xml:space="preserve"> que reseña la ratificación de la persona referida en la solicitud, como Presidente del Comité Directivo Estatal, para el periodo del segundo trimestre del 2024 al segundo semestre de 2027, que se ilustra:</w:t>
      </w:r>
    </w:p>
    <w:p w14:paraId="626CB9A7" w14:textId="77777777" w:rsidR="00A50902" w:rsidRPr="00C56E85" w:rsidRDefault="00A50902" w:rsidP="00C56E85"/>
    <w:p w14:paraId="001B35A8" w14:textId="3A8B430F" w:rsidR="00A50902" w:rsidRPr="00C56E85" w:rsidRDefault="00A50902" w:rsidP="00C56E85">
      <w:r w:rsidRPr="00C56E85">
        <w:rPr>
          <w:noProof/>
          <w:lang w:eastAsia="es-MX"/>
        </w:rPr>
        <w:drawing>
          <wp:inline distT="0" distB="0" distL="0" distR="0" wp14:anchorId="0B985877" wp14:editId="4F6D19A4">
            <wp:extent cx="5742940" cy="150431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1504315"/>
                    </a:xfrm>
                    <a:prstGeom prst="rect">
                      <a:avLst/>
                    </a:prstGeom>
                  </pic:spPr>
                </pic:pic>
              </a:graphicData>
            </a:graphic>
          </wp:inline>
        </w:drawing>
      </w:r>
    </w:p>
    <w:p w14:paraId="1EFDD41C" w14:textId="77777777" w:rsidR="00045C5B" w:rsidRPr="00C56E85" w:rsidRDefault="00045C5B" w:rsidP="00C56E85">
      <w:pPr>
        <w:autoSpaceDE w:val="0"/>
        <w:autoSpaceDN w:val="0"/>
        <w:adjustRightInd w:val="0"/>
        <w:rPr>
          <w:rFonts w:eastAsia="Calibri" w:cs="Tahoma"/>
          <w:lang w:val="es-ES" w:eastAsia="es-MX"/>
        </w:rPr>
      </w:pPr>
      <w:r w:rsidRPr="00C56E85">
        <w:rPr>
          <w:rFonts w:eastAsia="Calibri" w:cs="Tahoma"/>
          <w:lang w:val="es-ES" w:eastAsia="es-MX"/>
        </w:rPr>
        <w:t>Por lo tanto, resulta dable ordenar la entrega de la información peticionada en el requerimiento en estudio, de ser el caso en versión pública.</w:t>
      </w:r>
    </w:p>
    <w:p w14:paraId="30B4511D" w14:textId="50506C01" w:rsidR="00365C2D" w:rsidRPr="00C56E85" w:rsidRDefault="00365C2D" w:rsidP="00C56E85">
      <w:pPr>
        <w:rPr>
          <w:rFonts w:eastAsia="Calibri" w:cs="Tahoma"/>
          <w:szCs w:val="22"/>
        </w:rPr>
      </w:pPr>
    </w:p>
    <w:p w14:paraId="4BB372BC" w14:textId="77777777" w:rsidR="00CA3285" w:rsidRPr="00C56E85" w:rsidRDefault="00CA3285" w:rsidP="00C56E85">
      <w:pPr>
        <w:pStyle w:val="Ttulo3"/>
        <w:rPr>
          <w:szCs w:val="22"/>
        </w:rPr>
      </w:pPr>
      <w:bookmarkStart w:id="31" w:name="_Toc172153688"/>
      <w:bookmarkStart w:id="32" w:name="_Toc178603938"/>
      <w:bookmarkStart w:id="33" w:name="_Toc179458039"/>
      <w:bookmarkStart w:id="34" w:name="_Toc182485755"/>
      <w:bookmarkStart w:id="35" w:name="_Toc184230600"/>
      <w:r w:rsidRPr="00C56E85">
        <w:rPr>
          <w:szCs w:val="22"/>
        </w:rPr>
        <w:t>d) Versión pública</w:t>
      </w:r>
      <w:bookmarkEnd w:id="31"/>
      <w:bookmarkEnd w:id="32"/>
      <w:bookmarkEnd w:id="33"/>
      <w:bookmarkEnd w:id="34"/>
      <w:bookmarkEnd w:id="35"/>
    </w:p>
    <w:p w14:paraId="3E456EDD" w14:textId="77777777" w:rsidR="00CA3285" w:rsidRPr="00C56E85" w:rsidRDefault="00CA3285" w:rsidP="00C56E85">
      <w:pPr>
        <w:rPr>
          <w:szCs w:val="22"/>
        </w:rPr>
      </w:pPr>
      <w:r w:rsidRPr="00C56E85">
        <w:rPr>
          <w:szCs w:val="22"/>
        </w:rPr>
        <w:t xml:space="preserve">Para el caso de que el o los documentos de los cuales se ordena su entrega contengan datos personales susceptibles de ser testados, deberán ser entregados en </w:t>
      </w:r>
      <w:r w:rsidRPr="00C56E85">
        <w:rPr>
          <w:b/>
          <w:szCs w:val="22"/>
        </w:rPr>
        <w:t>versión pública</w:t>
      </w:r>
      <w:r w:rsidRPr="00C56E85">
        <w:rPr>
          <w:szCs w:val="22"/>
        </w:rPr>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Pr="00C56E85">
        <w:rPr>
          <w:szCs w:val="22"/>
        </w:rPr>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8BAE297" w14:textId="77777777" w:rsidR="00CA3285" w:rsidRPr="00C56E85" w:rsidRDefault="00CA3285" w:rsidP="00C56E85">
      <w:pPr>
        <w:rPr>
          <w:szCs w:val="22"/>
        </w:rPr>
      </w:pPr>
    </w:p>
    <w:p w14:paraId="04936738" w14:textId="77777777" w:rsidR="00CA3285" w:rsidRPr="00C56E85" w:rsidRDefault="00CA3285" w:rsidP="00C56E85">
      <w:pPr>
        <w:rPr>
          <w:szCs w:val="22"/>
        </w:rPr>
      </w:pPr>
      <w:r w:rsidRPr="00C56E85">
        <w:rPr>
          <w:szCs w:val="22"/>
        </w:rPr>
        <w:t>A este respecto, los artículos 3, fracciones IX, XX, XXI y XLV; 51 y 52 de la Ley de Transparencia y Acceso a la Información Pública del Estado de México y Municipios establecen:</w:t>
      </w:r>
    </w:p>
    <w:p w14:paraId="25EB70D7" w14:textId="77777777" w:rsidR="00CA3285" w:rsidRPr="00C56E85" w:rsidRDefault="00CA3285" w:rsidP="00C56E85">
      <w:pPr>
        <w:rPr>
          <w:szCs w:val="22"/>
        </w:rPr>
      </w:pPr>
    </w:p>
    <w:p w14:paraId="5454A300" w14:textId="77777777" w:rsidR="00CA3285" w:rsidRPr="00C56E85" w:rsidRDefault="00CA3285" w:rsidP="00C56E85">
      <w:pPr>
        <w:pStyle w:val="Puesto"/>
        <w:rPr>
          <w:szCs w:val="22"/>
        </w:rPr>
      </w:pPr>
      <w:r w:rsidRPr="00C56E85">
        <w:rPr>
          <w:b/>
          <w:szCs w:val="22"/>
        </w:rPr>
        <w:t xml:space="preserve">“Artículo 3. </w:t>
      </w:r>
      <w:r w:rsidRPr="00C56E85">
        <w:rPr>
          <w:szCs w:val="22"/>
        </w:rPr>
        <w:t xml:space="preserve">Para los efectos de la presente Ley se entenderá por: </w:t>
      </w:r>
    </w:p>
    <w:p w14:paraId="4DFE07FF" w14:textId="77777777" w:rsidR="00CA3285" w:rsidRPr="00C56E85" w:rsidRDefault="00CA3285" w:rsidP="00C56E85">
      <w:pPr>
        <w:pStyle w:val="Puesto"/>
        <w:rPr>
          <w:szCs w:val="22"/>
        </w:rPr>
      </w:pPr>
      <w:r w:rsidRPr="00C56E85">
        <w:rPr>
          <w:b/>
          <w:szCs w:val="22"/>
        </w:rPr>
        <w:t>IX.</w:t>
      </w:r>
      <w:r w:rsidRPr="00C56E85">
        <w:rPr>
          <w:szCs w:val="22"/>
        </w:rPr>
        <w:t xml:space="preserve"> </w:t>
      </w:r>
      <w:r w:rsidRPr="00C56E85">
        <w:rPr>
          <w:b/>
          <w:szCs w:val="22"/>
        </w:rPr>
        <w:t xml:space="preserve">Datos personales: </w:t>
      </w:r>
      <w:r w:rsidRPr="00C56E85">
        <w:rPr>
          <w:szCs w:val="22"/>
        </w:rPr>
        <w:t xml:space="preserve">La información concerniente a una persona, identificada o identificable según lo dispuesto por la Ley de Protección de Datos Personales del Estado de México; </w:t>
      </w:r>
    </w:p>
    <w:p w14:paraId="2585A90A" w14:textId="77777777" w:rsidR="00CA3285" w:rsidRPr="00C56E85" w:rsidRDefault="00CA3285" w:rsidP="00C56E85">
      <w:pPr>
        <w:pStyle w:val="Puesto"/>
        <w:rPr>
          <w:szCs w:val="22"/>
        </w:rPr>
      </w:pPr>
    </w:p>
    <w:p w14:paraId="13B2B196" w14:textId="77777777" w:rsidR="00CA3285" w:rsidRPr="00C56E85" w:rsidRDefault="00CA3285" w:rsidP="00C56E85">
      <w:pPr>
        <w:pStyle w:val="Puesto"/>
        <w:rPr>
          <w:szCs w:val="22"/>
        </w:rPr>
      </w:pPr>
      <w:r w:rsidRPr="00C56E85">
        <w:rPr>
          <w:b/>
          <w:szCs w:val="22"/>
        </w:rPr>
        <w:t>XX.</w:t>
      </w:r>
      <w:r w:rsidRPr="00C56E85">
        <w:rPr>
          <w:szCs w:val="22"/>
        </w:rPr>
        <w:t xml:space="preserve"> </w:t>
      </w:r>
      <w:r w:rsidRPr="00C56E85">
        <w:rPr>
          <w:b/>
          <w:szCs w:val="22"/>
        </w:rPr>
        <w:t>Información clasificada:</w:t>
      </w:r>
      <w:r w:rsidRPr="00C56E85">
        <w:rPr>
          <w:szCs w:val="22"/>
        </w:rPr>
        <w:t xml:space="preserve"> Aquella considerada por la presente Ley como reservada o confidencial; </w:t>
      </w:r>
    </w:p>
    <w:p w14:paraId="49538FDF" w14:textId="77777777" w:rsidR="00CA3285" w:rsidRPr="00C56E85" w:rsidRDefault="00CA3285" w:rsidP="00C56E85">
      <w:pPr>
        <w:pStyle w:val="Puesto"/>
        <w:rPr>
          <w:szCs w:val="22"/>
        </w:rPr>
      </w:pPr>
    </w:p>
    <w:p w14:paraId="25C349B0" w14:textId="77777777" w:rsidR="00CA3285" w:rsidRPr="00C56E85" w:rsidRDefault="00CA3285" w:rsidP="00C56E85">
      <w:pPr>
        <w:pStyle w:val="Puesto"/>
        <w:rPr>
          <w:szCs w:val="22"/>
        </w:rPr>
      </w:pPr>
      <w:r w:rsidRPr="00C56E85">
        <w:rPr>
          <w:b/>
          <w:szCs w:val="22"/>
        </w:rPr>
        <w:t>XXI.</w:t>
      </w:r>
      <w:r w:rsidRPr="00C56E85">
        <w:rPr>
          <w:szCs w:val="22"/>
        </w:rPr>
        <w:t xml:space="preserve"> </w:t>
      </w:r>
      <w:r w:rsidRPr="00C56E85">
        <w:rPr>
          <w:b/>
          <w:szCs w:val="22"/>
        </w:rPr>
        <w:t>Información confidencial</w:t>
      </w:r>
      <w:r w:rsidRPr="00C56E85">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FEE9916" w14:textId="77777777" w:rsidR="00CA3285" w:rsidRPr="00C56E85" w:rsidRDefault="00CA3285" w:rsidP="00C56E85">
      <w:pPr>
        <w:pStyle w:val="Puesto"/>
        <w:rPr>
          <w:szCs w:val="22"/>
        </w:rPr>
      </w:pPr>
    </w:p>
    <w:p w14:paraId="0F73CB05" w14:textId="77777777" w:rsidR="00CA3285" w:rsidRPr="00C56E85" w:rsidRDefault="00CA3285" w:rsidP="00C56E85">
      <w:pPr>
        <w:pStyle w:val="Puesto"/>
        <w:rPr>
          <w:szCs w:val="22"/>
        </w:rPr>
      </w:pPr>
      <w:r w:rsidRPr="00C56E85">
        <w:rPr>
          <w:b/>
          <w:szCs w:val="22"/>
        </w:rPr>
        <w:t>XLV. Versión pública:</w:t>
      </w:r>
      <w:r w:rsidRPr="00C56E85">
        <w:rPr>
          <w:szCs w:val="22"/>
        </w:rPr>
        <w:t xml:space="preserve"> Documento en el que se elimine, suprime o borra la información clasificada como reservada o confidencial para permitir su acceso. </w:t>
      </w:r>
    </w:p>
    <w:p w14:paraId="6840331D" w14:textId="77777777" w:rsidR="00CA3285" w:rsidRPr="00C56E85" w:rsidRDefault="00CA3285" w:rsidP="00C56E85">
      <w:pPr>
        <w:pStyle w:val="Puesto"/>
        <w:rPr>
          <w:szCs w:val="22"/>
        </w:rPr>
      </w:pPr>
    </w:p>
    <w:p w14:paraId="01F5D780" w14:textId="77777777" w:rsidR="00CA3285" w:rsidRPr="00C56E85" w:rsidRDefault="00CA3285" w:rsidP="00C56E85">
      <w:pPr>
        <w:pStyle w:val="Puesto"/>
        <w:rPr>
          <w:szCs w:val="22"/>
        </w:rPr>
      </w:pPr>
      <w:r w:rsidRPr="00C56E85">
        <w:rPr>
          <w:b/>
          <w:szCs w:val="22"/>
        </w:rPr>
        <w:t>Artículo 51.</w:t>
      </w:r>
      <w:r w:rsidRPr="00C56E85">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C56E85">
        <w:rPr>
          <w:b/>
          <w:szCs w:val="22"/>
        </w:rPr>
        <w:t xml:space="preserve">y tendrá la responsabilidad de verificar en cada caso que la misma no sea confidencial o reservada. </w:t>
      </w:r>
      <w:r w:rsidRPr="00C56E85">
        <w:rPr>
          <w:szCs w:val="22"/>
        </w:rPr>
        <w:t>Dicha Unidad contará con las facultades internas necesarias para gestionar la atención a las solicitudes de información en los términos de la Ley General y la presente Ley.</w:t>
      </w:r>
    </w:p>
    <w:p w14:paraId="4F58F58F" w14:textId="77777777" w:rsidR="00CA3285" w:rsidRPr="00C56E85" w:rsidRDefault="00CA3285" w:rsidP="00C56E85">
      <w:pPr>
        <w:pStyle w:val="Puesto"/>
        <w:rPr>
          <w:szCs w:val="22"/>
        </w:rPr>
      </w:pPr>
    </w:p>
    <w:p w14:paraId="22D1414D" w14:textId="77777777" w:rsidR="00CA3285" w:rsidRPr="00C56E85" w:rsidRDefault="00CA3285" w:rsidP="00C56E85">
      <w:pPr>
        <w:pStyle w:val="Puesto"/>
        <w:rPr>
          <w:szCs w:val="22"/>
        </w:rPr>
      </w:pPr>
      <w:r w:rsidRPr="00C56E85">
        <w:rPr>
          <w:b/>
          <w:szCs w:val="22"/>
        </w:rPr>
        <w:t>Artículo 52.</w:t>
      </w:r>
      <w:r w:rsidRPr="00C56E85">
        <w:rPr>
          <w:szCs w:val="22"/>
        </w:rPr>
        <w:t xml:space="preserve"> Las solicitudes de acceso a la información y las respuestas que se les dé, incluyendo, en su caso, </w:t>
      </w:r>
      <w:r w:rsidRPr="00C56E85">
        <w:rPr>
          <w:szCs w:val="22"/>
          <w:u w:val="single"/>
        </w:rPr>
        <w:t xml:space="preserve">la información entregada, así como las resoluciones a los recursos que en su caso se promuevan serán públicas, y de ser el caso que contenga datos personales </w:t>
      </w:r>
      <w:r w:rsidRPr="00C56E85">
        <w:rPr>
          <w:szCs w:val="22"/>
          <w:u w:val="single"/>
        </w:rPr>
        <w:lastRenderedPageBreak/>
        <w:t>que deban ser protegidos se podrá dar su acceso en su versión pública</w:t>
      </w:r>
      <w:r w:rsidRPr="00C56E85">
        <w:rPr>
          <w:szCs w:val="22"/>
        </w:rPr>
        <w:t>, siempre y cuando la resolución de referencia se someta a un proceso de disociación, es decir, no haga identificable al titular de tales datos personales.” (Énfasis añadido)</w:t>
      </w:r>
    </w:p>
    <w:p w14:paraId="50C2E2FD" w14:textId="77777777" w:rsidR="00CA3285" w:rsidRPr="00C56E85" w:rsidRDefault="00CA3285" w:rsidP="00C56E85">
      <w:pPr>
        <w:rPr>
          <w:szCs w:val="22"/>
        </w:rPr>
      </w:pPr>
    </w:p>
    <w:p w14:paraId="5F8AF0B4" w14:textId="77777777" w:rsidR="00CA3285" w:rsidRPr="00C56E85" w:rsidRDefault="00CA3285" w:rsidP="00C56E85">
      <w:pPr>
        <w:rPr>
          <w:szCs w:val="22"/>
        </w:rPr>
      </w:pPr>
      <w:r w:rsidRPr="00C56E85">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0411FB3" w14:textId="77777777" w:rsidR="00CA3285" w:rsidRPr="00C56E85" w:rsidRDefault="00CA3285" w:rsidP="00C56E85">
      <w:pPr>
        <w:rPr>
          <w:szCs w:val="22"/>
        </w:rPr>
      </w:pPr>
    </w:p>
    <w:p w14:paraId="0D6A0EF7" w14:textId="77777777" w:rsidR="00CA3285" w:rsidRPr="00C56E85" w:rsidRDefault="00CA3285" w:rsidP="00C56E85">
      <w:pPr>
        <w:pStyle w:val="Puesto"/>
        <w:rPr>
          <w:szCs w:val="22"/>
        </w:rPr>
      </w:pPr>
      <w:r w:rsidRPr="00C56E85">
        <w:rPr>
          <w:b/>
          <w:szCs w:val="22"/>
        </w:rPr>
        <w:t>“Artículo 22.</w:t>
      </w:r>
      <w:r w:rsidRPr="00C56E85">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38CCD3CD" w14:textId="77777777" w:rsidR="00CA3285" w:rsidRPr="00C56E85" w:rsidRDefault="00CA3285" w:rsidP="00C56E85">
      <w:pPr>
        <w:rPr>
          <w:szCs w:val="22"/>
        </w:rPr>
      </w:pPr>
    </w:p>
    <w:p w14:paraId="24E6308C" w14:textId="77777777" w:rsidR="00CA3285" w:rsidRPr="00C56E85" w:rsidRDefault="00CA3285" w:rsidP="00C56E85">
      <w:pPr>
        <w:pStyle w:val="Puesto"/>
        <w:rPr>
          <w:szCs w:val="22"/>
        </w:rPr>
      </w:pPr>
      <w:r w:rsidRPr="00C56E85">
        <w:rPr>
          <w:b/>
          <w:szCs w:val="22"/>
        </w:rPr>
        <w:t>Artículo 38.</w:t>
      </w:r>
      <w:r w:rsidRPr="00C56E85">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56E85">
        <w:rPr>
          <w:b/>
          <w:szCs w:val="22"/>
        </w:rPr>
        <w:t>”</w:t>
      </w:r>
      <w:r w:rsidRPr="00C56E85">
        <w:rPr>
          <w:szCs w:val="22"/>
        </w:rPr>
        <w:t xml:space="preserve"> </w:t>
      </w:r>
    </w:p>
    <w:p w14:paraId="2DE132DE" w14:textId="77777777" w:rsidR="00CA3285" w:rsidRPr="00C56E85" w:rsidRDefault="00CA3285" w:rsidP="00C56E85">
      <w:pPr>
        <w:rPr>
          <w:i/>
          <w:szCs w:val="22"/>
        </w:rPr>
      </w:pPr>
    </w:p>
    <w:p w14:paraId="3369377B" w14:textId="77777777" w:rsidR="00CA3285" w:rsidRPr="00C56E85" w:rsidRDefault="00CA3285" w:rsidP="00C56E85">
      <w:pPr>
        <w:rPr>
          <w:szCs w:val="22"/>
        </w:rPr>
      </w:pPr>
      <w:r w:rsidRPr="00C56E85">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6823270" w14:textId="77777777" w:rsidR="00CA3285" w:rsidRPr="00C56E85" w:rsidRDefault="00CA3285" w:rsidP="00C56E85">
      <w:pPr>
        <w:rPr>
          <w:szCs w:val="22"/>
        </w:rPr>
      </w:pPr>
    </w:p>
    <w:p w14:paraId="2BD5DAD7" w14:textId="77777777" w:rsidR="00CA3285" w:rsidRPr="00C56E85" w:rsidRDefault="00CA3285" w:rsidP="00C56E85">
      <w:pPr>
        <w:rPr>
          <w:szCs w:val="22"/>
        </w:rPr>
      </w:pPr>
      <w:r w:rsidRPr="00C56E85">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C56E85">
        <w:rPr>
          <w:b/>
          <w:szCs w:val="22"/>
        </w:rPr>
        <w:t>EL SUJETO OBLIGADO,</w:t>
      </w:r>
      <w:r w:rsidRPr="00C56E85">
        <w:rPr>
          <w:szCs w:val="22"/>
        </w:rPr>
        <w:t xml:space="preserve"> por lo que, todo dato personal susceptible de clasificación debe ser protegido.</w:t>
      </w:r>
    </w:p>
    <w:p w14:paraId="46393003" w14:textId="77777777" w:rsidR="00CA3285" w:rsidRPr="00C56E85" w:rsidRDefault="00CA3285" w:rsidP="00C56E85">
      <w:pPr>
        <w:rPr>
          <w:szCs w:val="22"/>
        </w:rPr>
      </w:pPr>
    </w:p>
    <w:p w14:paraId="1AF3CEFD" w14:textId="77777777" w:rsidR="00CA3285" w:rsidRPr="00C56E85" w:rsidRDefault="00CA3285" w:rsidP="00C56E85">
      <w:pPr>
        <w:rPr>
          <w:szCs w:val="22"/>
        </w:rPr>
      </w:pPr>
      <w:r w:rsidRPr="00C56E85">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65888F8" w14:textId="77777777" w:rsidR="00CA3285" w:rsidRPr="00C56E85" w:rsidRDefault="00CA3285" w:rsidP="00C56E85">
      <w:pPr>
        <w:rPr>
          <w:szCs w:val="22"/>
        </w:rPr>
      </w:pPr>
    </w:p>
    <w:p w14:paraId="5D8B4964" w14:textId="77777777" w:rsidR="00CA3285" w:rsidRPr="00C56E85" w:rsidRDefault="00CA3285" w:rsidP="00C56E85">
      <w:pPr>
        <w:rPr>
          <w:szCs w:val="22"/>
        </w:rPr>
      </w:pPr>
      <w:r w:rsidRPr="00C56E85">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38B5D1E" w14:textId="77777777" w:rsidR="00CA3285" w:rsidRPr="00C56E85" w:rsidRDefault="00CA3285" w:rsidP="00C56E85">
      <w:pPr>
        <w:rPr>
          <w:szCs w:val="22"/>
        </w:rPr>
      </w:pPr>
    </w:p>
    <w:p w14:paraId="54800EEE" w14:textId="77777777" w:rsidR="00CA3285" w:rsidRPr="00C56E85" w:rsidRDefault="00CA3285" w:rsidP="00C56E85">
      <w:pPr>
        <w:pStyle w:val="Puesto"/>
        <w:rPr>
          <w:b/>
          <w:szCs w:val="22"/>
        </w:rPr>
      </w:pPr>
      <w:r w:rsidRPr="00C56E85">
        <w:rPr>
          <w:b/>
          <w:szCs w:val="22"/>
        </w:rPr>
        <w:t>Ley de Transparencia y Acceso a la Información Pública del Estado de México y Municipios</w:t>
      </w:r>
    </w:p>
    <w:p w14:paraId="4FC9A1CB" w14:textId="77777777" w:rsidR="00CA3285" w:rsidRPr="00C56E85" w:rsidRDefault="00CA3285" w:rsidP="00C56E85">
      <w:pPr>
        <w:rPr>
          <w:szCs w:val="22"/>
        </w:rPr>
      </w:pPr>
    </w:p>
    <w:p w14:paraId="0550C0B7" w14:textId="77777777" w:rsidR="00CA3285" w:rsidRPr="00C56E85" w:rsidRDefault="00CA3285" w:rsidP="00C56E85">
      <w:pPr>
        <w:pStyle w:val="Puesto"/>
        <w:rPr>
          <w:szCs w:val="22"/>
        </w:rPr>
      </w:pPr>
      <w:r w:rsidRPr="00C56E85">
        <w:rPr>
          <w:b/>
          <w:szCs w:val="22"/>
        </w:rPr>
        <w:t xml:space="preserve">“Artículo 49. </w:t>
      </w:r>
      <w:r w:rsidRPr="00C56E85">
        <w:rPr>
          <w:szCs w:val="22"/>
        </w:rPr>
        <w:t>Los Comités de Transparencia tendrán las siguientes atribuciones:</w:t>
      </w:r>
    </w:p>
    <w:p w14:paraId="05FDE967" w14:textId="77777777" w:rsidR="00CA3285" w:rsidRPr="00C56E85" w:rsidRDefault="00CA3285" w:rsidP="00C56E85">
      <w:pPr>
        <w:pStyle w:val="Puesto"/>
        <w:rPr>
          <w:szCs w:val="22"/>
        </w:rPr>
      </w:pPr>
      <w:r w:rsidRPr="00C56E85">
        <w:rPr>
          <w:b/>
          <w:szCs w:val="22"/>
        </w:rPr>
        <w:t>VIII.</w:t>
      </w:r>
      <w:r w:rsidRPr="00C56E85">
        <w:rPr>
          <w:szCs w:val="22"/>
        </w:rPr>
        <w:t xml:space="preserve"> Aprobar, modificar o revocar la clasificación de la información;</w:t>
      </w:r>
    </w:p>
    <w:p w14:paraId="78EFBB61" w14:textId="77777777" w:rsidR="00CA3285" w:rsidRPr="00C56E85" w:rsidRDefault="00CA3285" w:rsidP="00C56E85">
      <w:pPr>
        <w:pStyle w:val="Puesto"/>
        <w:rPr>
          <w:szCs w:val="22"/>
        </w:rPr>
      </w:pPr>
    </w:p>
    <w:p w14:paraId="1FF46377" w14:textId="77777777" w:rsidR="00CA3285" w:rsidRPr="00C56E85" w:rsidRDefault="00CA3285" w:rsidP="00C56E85">
      <w:pPr>
        <w:pStyle w:val="Puesto"/>
        <w:rPr>
          <w:szCs w:val="22"/>
        </w:rPr>
      </w:pPr>
      <w:r w:rsidRPr="00C56E85">
        <w:rPr>
          <w:b/>
          <w:szCs w:val="22"/>
        </w:rPr>
        <w:t>Artículo 132.</w:t>
      </w:r>
      <w:r w:rsidRPr="00C56E85">
        <w:rPr>
          <w:szCs w:val="22"/>
        </w:rPr>
        <w:t xml:space="preserve"> La clasificación de la información se llevará a cabo en el momento en que:</w:t>
      </w:r>
    </w:p>
    <w:p w14:paraId="7D987D01" w14:textId="77777777" w:rsidR="00CA3285" w:rsidRPr="00C56E85" w:rsidRDefault="00CA3285" w:rsidP="00C56E85">
      <w:pPr>
        <w:pStyle w:val="Puesto"/>
        <w:rPr>
          <w:szCs w:val="22"/>
        </w:rPr>
      </w:pPr>
      <w:r w:rsidRPr="00C56E85">
        <w:rPr>
          <w:b/>
          <w:szCs w:val="22"/>
        </w:rPr>
        <w:t>I.</w:t>
      </w:r>
      <w:r w:rsidRPr="00C56E85">
        <w:rPr>
          <w:szCs w:val="22"/>
        </w:rPr>
        <w:t xml:space="preserve"> Se reciba una solicitud de acceso a la información;</w:t>
      </w:r>
    </w:p>
    <w:p w14:paraId="5E009914" w14:textId="77777777" w:rsidR="00CA3285" w:rsidRPr="00C56E85" w:rsidRDefault="00CA3285" w:rsidP="00C56E85">
      <w:pPr>
        <w:pStyle w:val="Puesto"/>
        <w:rPr>
          <w:szCs w:val="22"/>
        </w:rPr>
      </w:pPr>
      <w:r w:rsidRPr="00C56E85">
        <w:rPr>
          <w:b/>
          <w:szCs w:val="22"/>
        </w:rPr>
        <w:t>II.</w:t>
      </w:r>
      <w:r w:rsidRPr="00C56E85">
        <w:rPr>
          <w:szCs w:val="22"/>
        </w:rPr>
        <w:t xml:space="preserve"> Se determine mediante resolución de autoridad competente; o</w:t>
      </w:r>
    </w:p>
    <w:p w14:paraId="57FD8F12" w14:textId="77777777" w:rsidR="00CA3285" w:rsidRPr="00C56E85" w:rsidRDefault="00CA3285" w:rsidP="00C56E85">
      <w:pPr>
        <w:pStyle w:val="Puesto"/>
        <w:rPr>
          <w:b/>
          <w:szCs w:val="22"/>
        </w:rPr>
      </w:pPr>
      <w:r w:rsidRPr="00C56E85">
        <w:rPr>
          <w:b/>
          <w:szCs w:val="22"/>
        </w:rPr>
        <w:t>III.</w:t>
      </w:r>
      <w:r w:rsidRPr="00C56E85">
        <w:rPr>
          <w:szCs w:val="22"/>
        </w:rPr>
        <w:t xml:space="preserve"> Se generen versiones públicas para dar cumplimiento a las obligaciones de transparencia previstas en esta Ley.</w:t>
      </w:r>
      <w:r w:rsidRPr="00C56E85">
        <w:rPr>
          <w:b/>
          <w:szCs w:val="22"/>
        </w:rPr>
        <w:t>”</w:t>
      </w:r>
    </w:p>
    <w:p w14:paraId="35669A94" w14:textId="77777777" w:rsidR="00CA3285" w:rsidRPr="00C56E85" w:rsidRDefault="00CA3285" w:rsidP="00C56E85">
      <w:pPr>
        <w:pStyle w:val="Puesto"/>
        <w:rPr>
          <w:szCs w:val="22"/>
        </w:rPr>
      </w:pPr>
    </w:p>
    <w:p w14:paraId="3C44EEF7" w14:textId="77777777" w:rsidR="00CA3285" w:rsidRPr="00C56E85" w:rsidRDefault="00CA3285" w:rsidP="00C56E85">
      <w:pPr>
        <w:pStyle w:val="Puesto"/>
        <w:rPr>
          <w:szCs w:val="22"/>
        </w:rPr>
      </w:pPr>
      <w:r w:rsidRPr="00C56E85">
        <w:rPr>
          <w:b/>
          <w:szCs w:val="22"/>
        </w:rPr>
        <w:t>“Segundo. -</w:t>
      </w:r>
      <w:r w:rsidRPr="00C56E85">
        <w:rPr>
          <w:szCs w:val="22"/>
        </w:rPr>
        <w:t xml:space="preserve"> Para efectos de los presentes Lineamientos Generales, se entenderá por:</w:t>
      </w:r>
    </w:p>
    <w:p w14:paraId="3B905358" w14:textId="77777777" w:rsidR="00CA3285" w:rsidRPr="00C56E85" w:rsidRDefault="00CA3285" w:rsidP="00C56E85">
      <w:pPr>
        <w:pStyle w:val="Puesto"/>
        <w:rPr>
          <w:szCs w:val="22"/>
        </w:rPr>
      </w:pPr>
      <w:r w:rsidRPr="00C56E85">
        <w:rPr>
          <w:b/>
          <w:szCs w:val="22"/>
        </w:rPr>
        <w:t>XVIII.</w:t>
      </w:r>
      <w:r w:rsidRPr="00C56E85">
        <w:rPr>
          <w:szCs w:val="22"/>
        </w:rPr>
        <w:t xml:space="preserve">  </w:t>
      </w:r>
      <w:r w:rsidRPr="00C56E85">
        <w:rPr>
          <w:b/>
          <w:szCs w:val="22"/>
        </w:rPr>
        <w:t>Versión pública:</w:t>
      </w:r>
      <w:r w:rsidRPr="00C56E85">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ADA3A1A" w14:textId="77777777" w:rsidR="00CA3285" w:rsidRPr="00C56E85" w:rsidRDefault="00CA3285" w:rsidP="00C56E85">
      <w:pPr>
        <w:pStyle w:val="Puesto"/>
        <w:rPr>
          <w:szCs w:val="22"/>
        </w:rPr>
      </w:pPr>
    </w:p>
    <w:p w14:paraId="10F3B6D6" w14:textId="77777777" w:rsidR="00CA3285" w:rsidRPr="00C56E85" w:rsidRDefault="00CA3285" w:rsidP="00C56E85">
      <w:pPr>
        <w:pStyle w:val="Puesto"/>
        <w:rPr>
          <w:b/>
          <w:szCs w:val="22"/>
        </w:rPr>
      </w:pPr>
      <w:r w:rsidRPr="00C56E85">
        <w:rPr>
          <w:b/>
          <w:szCs w:val="22"/>
        </w:rPr>
        <w:t>Lineamientos Generales en materia de Clasificación y Desclasificación de la Información</w:t>
      </w:r>
    </w:p>
    <w:p w14:paraId="70B9FCD7" w14:textId="77777777" w:rsidR="00CA3285" w:rsidRPr="00C56E85" w:rsidRDefault="00CA3285" w:rsidP="00C56E85">
      <w:pPr>
        <w:pStyle w:val="Puesto"/>
        <w:rPr>
          <w:szCs w:val="22"/>
        </w:rPr>
      </w:pPr>
    </w:p>
    <w:p w14:paraId="2A25C0CA" w14:textId="77777777" w:rsidR="00CA3285" w:rsidRPr="00C56E85" w:rsidRDefault="00CA3285" w:rsidP="00C56E85">
      <w:pPr>
        <w:pStyle w:val="Puesto"/>
        <w:rPr>
          <w:szCs w:val="22"/>
        </w:rPr>
      </w:pPr>
      <w:r w:rsidRPr="00C56E85">
        <w:rPr>
          <w:b/>
          <w:szCs w:val="22"/>
        </w:rPr>
        <w:t>Cuarto.</w:t>
      </w:r>
      <w:r w:rsidRPr="00C56E85">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561C274" w14:textId="77777777" w:rsidR="00CA3285" w:rsidRPr="00C56E85" w:rsidRDefault="00CA3285" w:rsidP="00C56E85">
      <w:pPr>
        <w:pStyle w:val="Puesto"/>
        <w:rPr>
          <w:szCs w:val="22"/>
        </w:rPr>
      </w:pPr>
      <w:r w:rsidRPr="00C56E85">
        <w:rPr>
          <w:szCs w:val="22"/>
        </w:rPr>
        <w:t>Los sujetos obligados deberán aplicar, de manera estricta, las excepciones al derecho de acceso a la información y sólo podrán invocarlas cuando acrediten su procedencia.</w:t>
      </w:r>
    </w:p>
    <w:p w14:paraId="126D910B" w14:textId="77777777" w:rsidR="00CA3285" w:rsidRPr="00C56E85" w:rsidRDefault="00CA3285" w:rsidP="00C56E85">
      <w:pPr>
        <w:pStyle w:val="Puesto"/>
        <w:rPr>
          <w:szCs w:val="22"/>
        </w:rPr>
      </w:pPr>
    </w:p>
    <w:p w14:paraId="10620F9E" w14:textId="77777777" w:rsidR="00CA3285" w:rsidRPr="00C56E85" w:rsidRDefault="00CA3285" w:rsidP="00C56E85">
      <w:pPr>
        <w:pStyle w:val="Puesto"/>
        <w:rPr>
          <w:szCs w:val="22"/>
        </w:rPr>
      </w:pPr>
      <w:r w:rsidRPr="00C56E85">
        <w:rPr>
          <w:b/>
          <w:szCs w:val="22"/>
        </w:rPr>
        <w:t>Quinto.</w:t>
      </w:r>
      <w:r w:rsidRPr="00C56E85">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CFDD1DB" w14:textId="77777777" w:rsidR="00CA3285" w:rsidRPr="00C56E85" w:rsidRDefault="00CA3285" w:rsidP="00C56E85">
      <w:pPr>
        <w:pStyle w:val="Puesto"/>
        <w:rPr>
          <w:szCs w:val="22"/>
        </w:rPr>
      </w:pPr>
    </w:p>
    <w:p w14:paraId="50686D8A" w14:textId="77777777" w:rsidR="00CA3285" w:rsidRPr="00C56E85" w:rsidRDefault="00CA3285" w:rsidP="00C56E85">
      <w:pPr>
        <w:pStyle w:val="Puesto"/>
        <w:rPr>
          <w:szCs w:val="22"/>
        </w:rPr>
      </w:pPr>
      <w:r w:rsidRPr="00C56E85">
        <w:rPr>
          <w:b/>
          <w:szCs w:val="22"/>
        </w:rPr>
        <w:t>Sexto.</w:t>
      </w:r>
      <w:r w:rsidRPr="00C56E85">
        <w:rPr>
          <w:szCs w:val="22"/>
        </w:rPr>
        <w:t xml:space="preserve"> Se deroga.</w:t>
      </w:r>
    </w:p>
    <w:p w14:paraId="513F1CB3" w14:textId="77777777" w:rsidR="00CA3285" w:rsidRPr="00C56E85" w:rsidRDefault="00CA3285" w:rsidP="00C56E85">
      <w:pPr>
        <w:pStyle w:val="Puesto"/>
        <w:rPr>
          <w:szCs w:val="22"/>
        </w:rPr>
      </w:pPr>
    </w:p>
    <w:p w14:paraId="7D3CE97F" w14:textId="77777777" w:rsidR="00CA3285" w:rsidRPr="00C56E85" w:rsidRDefault="00CA3285" w:rsidP="00C56E85">
      <w:pPr>
        <w:pStyle w:val="Puesto"/>
        <w:rPr>
          <w:szCs w:val="22"/>
        </w:rPr>
      </w:pPr>
      <w:r w:rsidRPr="00C56E85">
        <w:rPr>
          <w:b/>
          <w:szCs w:val="22"/>
        </w:rPr>
        <w:t>Séptimo.</w:t>
      </w:r>
      <w:r w:rsidRPr="00C56E85">
        <w:rPr>
          <w:szCs w:val="22"/>
        </w:rPr>
        <w:t xml:space="preserve"> La clasificación de la información se llevará a cabo en el momento en que:</w:t>
      </w:r>
    </w:p>
    <w:p w14:paraId="24D6B19D" w14:textId="77777777" w:rsidR="00CA3285" w:rsidRPr="00C56E85" w:rsidRDefault="00CA3285" w:rsidP="00C56E85">
      <w:pPr>
        <w:pStyle w:val="Puesto"/>
        <w:rPr>
          <w:szCs w:val="22"/>
        </w:rPr>
      </w:pPr>
      <w:r w:rsidRPr="00C56E85">
        <w:rPr>
          <w:b/>
          <w:szCs w:val="22"/>
        </w:rPr>
        <w:t>I.</w:t>
      </w:r>
      <w:r w:rsidRPr="00C56E85">
        <w:rPr>
          <w:szCs w:val="22"/>
        </w:rPr>
        <w:t xml:space="preserve">        Se reciba una solicitud de acceso a la información;</w:t>
      </w:r>
    </w:p>
    <w:p w14:paraId="5B688CE8" w14:textId="77777777" w:rsidR="00CA3285" w:rsidRPr="00C56E85" w:rsidRDefault="00CA3285" w:rsidP="00C56E85">
      <w:pPr>
        <w:pStyle w:val="Puesto"/>
        <w:rPr>
          <w:szCs w:val="22"/>
        </w:rPr>
      </w:pPr>
      <w:r w:rsidRPr="00C56E85">
        <w:rPr>
          <w:b/>
          <w:szCs w:val="22"/>
        </w:rPr>
        <w:t>II.</w:t>
      </w:r>
      <w:r w:rsidRPr="00C56E85">
        <w:rPr>
          <w:szCs w:val="22"/>
        </w:rPr>
        <w:t xml:space="preserve">       Se determine mediante resolución del Comité de Transparencia, el órgano garante competente, o en cumplimiento a una sentencia del Poder Judicial; o</w:t>
      </w:r>
    </w:p>
    <w:p w14:paraId="54F274F3" w14:textId="77777777" w:rsidR="00CA3285" w:rsidRPr="00C56E85" w:rsidRDefault="00CA3285" w:rsidP="00C56E85">
      <w:pPr>
        <w:pStyle w:val="Puesto"/>
        <w:rPr>
          <w:szCs w:val="22"/>
        </w:rPr>
      </w:pPr>
      <w:r w:rsidRPr="00C56E85">
        <w:rPr>
          <w:b/>
          <w:szCs w:val="22"/>
        </w:rPr>
        <w:lastRenderedPageBreak/>
        <w:t>III.</w:t>
      </w:r>
      <w:r w:rsidRPr="00C56E85">
        <w:rPr>
          <w:szCs w:val="22"/>
        </w:rPr>
        <w:t xml:space="preserve">      Se generen versiones públicas para dar cumplimiento a las obligaciones de transparencia previstas en la Ley General, la Ley Federal y las correspondientes de las entidades federativas.</w:t>
      </w:r>
    </w:p>
    <w:p w14:paraId="747D71DB" w14:textId="77777777" w:rsidR="00CA3285" w:rsidRPr="00C56E85" w:rsidRDefault="00CA3285" w:rsidP="00C56E85">
      <w:pPr>
        <w:pStyle w:val="Puesto"/>
        <w:rPr>
          <w:szCs w:val="22"/>
        </w:rPr>
      </w:pPr>
      <w:r w:rsidRPr="00C56E85">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0B85C7C3" w14:textId="77777777" w:rsidR="00CA3285" w:rsidRPr="00C56E85" w:rsidRDefault="00CA3285" w:rsidP="00C56E85">
      <w:pPr>
        <w:pStyle w:val="Puesto"/>
        <w:rPr>
          <w:szCs w:val="22"/>
        </w:rPr>
      </w:pPr>
    </w:p>
    <w:p w14:paraId="264D3837" w14:textId="77777777" w:rsidR="00CA3285" w:rsidRPr="00C56E85" w:rsidRDefault="00CA3285" w:rsidP="00C56E85">
      <w:pPr>
        <w:pStyle w:val="Puesto"/>
        <w:rPr>
          <w:szCs w:val="22"/>
        </w:rPr>
      </w:pPr>
      <w:r w:rsidRPr="00C56E85">
        <w:rPr>
          <w:b/>
          <w:szCs w:val="22"/>
        </w:rPr>
        <w:t>Octavo.</w:t>
      </w:r>
      <w:r w:rsidRPr="00C56E85">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B726E8B" w14:textId="77777777" w:rsidR="00CA3285" w:rsidRPr="00C56E85" w:rsidRDefault="00CA3285" w:rsidP="00C56E85">
      <w:pPr>
        <w:pStyle w:val="Puesto"/>
        <w:rPr>
          <w:szCs w:val="22"/>
        </w:rPr>
      </w:pPr>
      <w:r w:rsidRPr="00C56E85">
        <w:rPr>
          <w:szCs w:val="22"/>
        </w:rPr>
        <w:t>Para motivar la clasificación se deberán señalar las razones o circunstancias especiales que lo llevaron a concluir que el caso particular se ajusta al supuesto previsto por la norma legal invocada como fundamento.</w:t>
      </w:r>
    </w:p>
    <w:p w14:paraId="7007BF28" w14:textId="77777777" w:rsidR="00CA3285" w:rsidRPr="00C56E85" w:rsidRDefault="00CA3285" w:rsidP="00C56E85">
      <w:pPr>
        <w:pStyle w:val="Puesto"/>
        <w:rPr>
          <w:szCs w:val="22"/>
        </w:rPr>
      </w:pPr>
      <w:r w:rsidRPr="00C56E85">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43D5AB0" w14:textId="77777777" w:rsidR="00CA3285" w:rsidRPr="00C56E85" w:rsidRDefault="00CA3285" w:rsidP="00C56E85">
      <w:pPr>
        <w:pStyle w:val="Puesto"/>
        <w:rPr>
          <w:szCs w:val="22"/>
        </w:rPr>
      </w:pPr>
    </w:p>
    <w:p w14:paraId="70CD0733" w14:textId="77777777" w:rsidR="00CA3285" w:rsidRPr="00C56E85" w:rsidRDefault="00CA3285" w:rsidP="00C56E85">
      <w:pPr>
        <w:pStyle w:val="Puesto"/>
        <w:rPr>
          <w:szCs w:val="22"/>
        </w:rPr>
      </w:pPr>
      <w:r w:rsidRPr="00C56E85">
        <w:rPr>
          <w:b/>
          <w:szCs w:val="22"/>
        </w:rPr>
        <w:t>Noveno.</w:t>
      </w:r>
      <w:r w:rsidRPr="00C56E85">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49A13B6" w14:textId="77777777" w:rsidR="00CA3285" w:rsidRPr="00C56E85" w:rsidRDefault="00CA3285" w:rsidP="00C56E85">
      <w:pPr>
        <w:pStyle w:val="Puesto"/>
        <w:rPr>
          <w:szCs w:val="22"/>
        </w:rPr>
      </w:pPr>
    </w:p>
    <w:p w14:paraId="25F2DB0D" w14:textId="77777777" w:rsidR="00CA3285" w:rsidRPr="00C56E85" w:rsidRDefault="00CA3285" w:rsidP="00C56E85">
      <w:pPr>
        <w:pStyle w:val="Puesto"/>
        <w:rPr>
          <w:szCs w:val="22"/>
        </w:rPr>
      </w:pPr>
      <w:r w:rsidRPr="00C56E85">
        <w:rPr>
          <w:b/>
          <w:szCs w:val="22"/>
        </w:rPr>
        <w:t>Décimo.</w:t>
      </w:r>
      <w:r w:rsidRPr="00C56E85">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0CA4275" w14:textId="77777777" w:rsidR="00CA3285" w:rsidRPr="00C56E85" w:rsidRDefault="00CA3285" w:rsidP="00C56E85">
      <w:pPr>
        <w:pStyle w:val="Puesto"/>
        <w:rPr>
          <w:szCs w:val="22"/>
        </w:rPr>
      </w:pPr>
      <w:r w:rsidRPr="00C56E85">
        <w:rPr>
          <w:szCs w:val="22"/>
        </w:rPr>
        <w:t>En ausencia de los titulares de las áreas, la información será clasificada o desclasificada por la persona que lo supla, en términos de la normativa que rija la actuación del sujeto obligado.</w:t>
      </w:r>
    </w:p>
    <w:p w14:paraId="1A648050" w14:textId="77777777" w:rsidR="00CA3285" w:rsidRPr="00C56E85" w:rsidRDefault="00CA3285" w:rsidP="00C56E85">
      <w:pPr>
        <w:pStyle w:val="Puesto"/>
        <w:rPr>
          <w:b/>
          <w:szCs w:val="22"/>
        </w:rPr>
      </w:pPr>
      <w:r w:rsidRPr="00C56E85">
        <w:rPr>
          <w:b/>
          <w:szCs w:val="22"/>
        </w:rPr>
        <w:t>Décimo primero.</w:t>
      </w:r>
      <w:r w:rsidRPr="00C56E85">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56E85">
        <w:rPr>
          <w:b/>
          <w:szCs w:val="22"/>
        </w:rPr>
        <w:t>”</w:t>
      </w:r>
    </w:p>
    <w:p w14:paraId="1C9B2FA4" w14:textId="77777777" w:rsidR="00CA3285" w:rsidRPr="00C56E85" w:rsidRDefault="00CA3285" w:rsidP="00C56E85">
      <w:pPr>
        <w:rPr>
          <w:szCs w:val="22"/>
        </w:rPr>
      </w:pPr>
    </w:p>
    <w:p w14:paraId="087F715C" w14:textId="77777777" w:rsidR="00CA3285" w:rsidRPr="00C56E85" w:rsidRDefault="00CA3285" w:rsidP="00C56E85">
      <w:pPr>
        <w:rPr>
          <w:szCs w:val="22"/>
        </w:rPr>
      </w:pPr>
      <w:r w:rsidRPr="00C56E85">
        <w:rPr>
          <w:szCs w:val="22"/>
        </w:rPr>
        <w:lastRenderedPageBreak/>
        <w:t xml:space="preserve">Consecuentemente, se destaca que la versión pública que elabore </w:t>
      </w:r>
      <w:r w:rsidRPr="00C56E85">
        <w:rPr>
          <w:b/>
          <w:szCs w:val="22"/>
        </w:rPr>
        <w:t>EL SUJETO OBLIGADO</w:t>
      </w:r>
      <w:r w:rsidRPr="00C56E85">
        <w:rPr>
          <w:szCs w:val="22"/>
        </w:rPr>
        <w:t xml:space="preserve"> debe cumplir con las formalidades exigidas en la Ley, por lo que para tal efecto emitirá el </w:t>
      </w:r>
      <w:r w:rsidRPr="00C56E85">
        <w:rPr>
          <w:b/>
          <w:szCs w:val="22"/>
        </w:rPr>
        <w:t>Acuerdo del Comité de Transparencia</w:t>
      </w:r>
      <w:r w:rsidRPr="00C56E85">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C2C948A" w14:textId="77777777" w:rsidR="00CA3285" w:rsidRPr="00C56E85" w:rsidRDefault="00CA3285" w:rsidP="00C56E85">
      <w:pPr>
        <w:contextualSpacing/>
        <w:rPr>
          <w:rFonts w:eastAsia="Calibri" w:cs="Tahoma"/>
          <w:bCs/>
          <w:szCs w:val="22"/>
        </w:rPr>
      </w:pPr>
    </w:p>
    <w:p w14:paraId="754B3BDC" w14:textId="77777777" w:rsidR="00CA3285" w:rsidRPr="00C56E85" w:rsidRDefault="00CA3285" w:rsidP="00C56E85">
      <w:pPr>
        <w:pStyle w:val="Ttulo3"/>
        <w:rPr>
          <w:szCs w:val="22"/>
        </w:rPr>
      </w:pPr>
      <w:bookmarkStart w:id="36" w:name="_Toc184230601"/>
      <w:r w:rsidRPr="00C56E85">
        <w:rPr>
          <w:rFonts w:eastAsia="Calibri"/>
          <w:szCs w:val="22"/>
        </w:rPr>
        <w:t xml:space="preserve">e) </w:t>
      </w:r>
      <w:r w:rsidRPr="00C56E85">
        <w:rPr>
          <w:szCs w:val="22"/>
        </w:rPr>
        <w:t>Conclusión</w:t>
      </w:r>
      <w:bookmarkEnd w:id="36"/>
    </w:p>
    <w:p w14:paraId="62445CEF" w14:textId="2DA5162E" w:rsidR="00CA3285" w:rsidRPr="00C56E85" w:rsidRDefault="00CA3285" w:rsidP="00C56E85">
      <w:pPr>
        <w:rPr>
          <w:rFonts w:cs="Tahoma"/>
          <w:bCs/>
          <w:iCs/>
          <w:szCs w:val="22"/>
        </w:rPr>
      </w:pPr>
      <w:r w:rsidRPr="00C56E85">
        <w:rPr>
          <w:rFonts w:cs="Arial"/>
          <w:szCs w:val="22"/>
        </w:rPr>
        <w:t xml:space="preserve">Por lo </w:t>
      </w:r>
      <w:r w:rsidRPr="00C56E85">
        <w:rPr>
          <w:rFonts w:cs="Arial"/>
          <w:szCs w:val="22"/>
          <w:lang w:eastAsia="es-CO"/>
        </w:rPr>
        <w:t>anteriormente</w:t>
      </w:r>
      <w:r w:rsidRPr="00C56E85">
        <w:rPr>
          <w:rFonts w:cs="Arial"/>
          <w:szCs w:val="22"/>
        </w:rPr>
        <w:t xml:space="preserve"> expuesto, este Instituto estima que las razones o motivos de inconformidad hechos valer por </w:t>
      </w:r>
      <w:r w:rsidRPr="00C56E85">
        <w:rPr>
          <w:rFonts w:cs="Arial"/>
          <w:b/>
          <w:szCs w:val="22"/>
        </w:rPr>
        <w:t>LA PARTE RECURRENTE</w:t>
      </w:r>
      <w:r w:rsidRPr="00C56E85">
        <w:rPr>
          <w:rFonts w:cs="Arial"/>
          <w:szCs w:val="22"/>
        </w:rPr>
        <w:t xml:space="preserve"> devienen </w:t>
      </w:r>
      <w:r w:rsidRPr="00C56E85">
        <w:rPr>
          <w:rFonts w:cs="Arial"/>
          <w:b/>
          <w:szCs w:val="22"/>
        </w:rPr>
        <w:t>fundadas</w:t>
      </w:r>
      <w:r w:rsidRPr="00C56E85">
        <w:rPr>
          <w:rFonts w:cs="Arial"/>
          <w:szCs w:val="22"/>
        </w:rPr>
        <w:t xml:space="preserve"> y suficientes para </w:t>
      </w:r>
      <w:r w:rsidRPr="00C56E85">
        <w:rPr>
          <w:rFonts w:cs="Arial"/>
          <w:b/>
          <w:szCs w:val="22"/>
        </w:rPr>
        <w:t>REVOCAR</w:t>
      </w:r>
      <w:r w:rsidRPr="00C56E85">
        <w:rPr>
          <w:rFonts w:cs="Arial"/>
          <w:szCs w:val="22"/>
        </w:rPr>
        <w:t xml:space="preserve"> la respuesta del </w:t>
      </w:r>
      <w:r w:rsidRPr="00C56E85">
        <w:rPr>
          <w:rFonts w:cs="Arial"/>
          <w:b/>
          <w:szCs w:val="22"/>
        </w:rPr>
        <w:t>SUJETO OBLIGADO</w:t>
      </w:r>
      <w:r w:rsidRPr="00C56E85">
        <w:rPr>
          <w:rFonts w:cs="Arial"/>
          <w:szCs w:val="22"/>
        </w:rPr>
        <w:t xml:space="preserve"> y ordenarle haga entrega de la información descrita en el presente Considerando</w:t>
      </w:r>
      <w:r w:rsidR="00FC67E4" w:rsidRPr="00C56E85">
        <w:rPr>
          <w:rFonts w:cs="Arial"/>
          <w:szCs w:val="22"/>
        </w:rPr>
        <w:t>.</w:t>
      </w:r>
    </w:p>
    <w:p w14:paraId="73AE19F5" w14:textId="77777777" w:rsidR="00CA3285" w:rsidRPr="00C56E85" w:rsidRDefault="00CA3285" w:rsidP="00C56E85">
      <w:pPr>
        <w:rPr>
          <w:rFonts w:cs="Arial"/>
          <w:szCs w:val="22"/>
        </w:rPr>
      </w:pPr>
    </w:p>
    <w:p w14:paraId="7926C3BC" w14:textId="77777777" w:rsidR="00CA3285" w:rsidRDefault="00CA3285" w:rsidP="00C56E85">
      <w:pPr>
        <w:ind w:right="-93"/>
        <w:rPr>
          <w:rFonts w:cs="Tahoma"/>
          <w:bCs/>
          <w:szCs w:val="22"/>
        </w:rPr>
      </w:pPr>
      <w:bookmarkStart w:id="37" w:name="_Hlk165381027"/>
      <w:r w:rsidRPr="00C56E8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8A19225" w14:textId="77777777" w:rsidR="00C56E85" w:rsidRPr="00C56E85" w:rsidRDefault="00C56E85" w:rsidP="00C56E85">
      <w:pPr>
        <w:ind w:right="-93"/>
        <w:rPr>
          <w:rFonts w:cs="Tahoma"/>
          <w:bCs/>
          <w:szCs w:val="22"/>
        </w:rPr>
      </w:pPr>
    </w:p>
    <w:p w14:paraId="5F300DB0" w14:textId="77777777" w:rsidR="00CA3285" w:rsidRPr="00C56E85" w:rsidRDefault="00CA3285" w:rsidP="00C56E85">
      <w:pPr>
        <w:pStyle w:val="Ttulo1"/>
        <w:rPr>
          <w:szCs w:val="22"/>
        </w:rPr>
      </w:pPr>
      <w:bookmarkStart w:id="38" w:name="_Toc172203622"/>
      <w:bookmarkStart w:id="39" w:name="_Toc174614255"/>
      <w:bookmarkStart w:id="40" w:name="_Toc175213884"/>
      <w:bookmarkStart w:id="41" w:name="_Toc184230602"/>
      <w:bookmarkEnd w:id="37"/>
      <w:r w:rsidRPr="00C56E85">
        <w:rPr>
          <w:szCs w:val="22"/>
        </w:rPr>
        <w:lastRenderedPageBreak/>
        <w:t>RESUELVE</w:t>
      </w:r>
      <w:bookmarkEnd w:id="38"/>
      <w:bookmarkEnd w:id="39"/>
      <w:bookmarkEnd w:id="40"/>
      <w:bookmarkEnd w:id="41"/>
    </w:p>
    <w:p w14:paraId="518A05A8" w14:textId="77777777" w:rsidR="00CA3285" w:rsidRPr="00C56E85" w:rsidRDefault="00CA3285" w:rsidP="00C56E85">
      <w:pPr>
        <w:ind w:right="113"/>
        <w:rPr>
          <w:rFonts w:cs="Arial"/>
          <w:b/>
          <w:szCs w:val="22"/>
        </w:rPr>
      </w:pPr>
    </w:p>
    <w:p w14:paraId="3707ED60" w14:textId="3A678DDB" w:rsidR="00CA3285" w:rsidRPr="00C56E85" w:rsidRDefault="00CA3285" w:rsidP="00C56E85">
      <w:pPr>
        <w:widowControl w:val="0"/>
        <w:rPr>
          <w:rFonts w:eastAsia="Calibri" w:cs="Tahoma"/>
          <w:bCs/>
          <w:szCs w:val="22"/>
          <w:lang w:eastAsia="en-US"/>
        </w:rPr>
      </w:pPr>
      <w:r w:rsidRPr="00C56E85">
        <w:rPr>
          <w:b/>
          <w:bCs/>
          <w:szCs w:val="22"/>
        </w:rPr>
        <w:t>PRIMERO.</w:t>
      </w:r>
      <w:r w:rsidRPr="00C56E85">
        <w:rPr>
          <w:szCs w:val="22"/>
        </w:rPr>
        <w:t xml:space="preserve"> </w:t>
      </w:r>
      <w:r w:rsidRPr="00C56E85">
        <w:rPr>
          <w:rFonts w:cs="Tahoma"/>
          <w:szCs w:val="22"/>
        </w:rPr>
        <w:t xml:space="preserve">Se </w:t>
      </w:r>
      <w:r w:rsidRPr="00C56E85">
        <w:rPr>
          <w:rFonts w:cs="Tahoma"/>
          <w:b/>
          <w:bCs/>
          <w:szCs w:val="22"/>
        </w:rPr>
        <w:t>REVOCA</w:t>
      </w:r>
      <w:r w:rsidRPr="00C56E85">
        <w:rPr>
          <w:rFonts w:cs="Tahoma"/>
          <w:szCs w:val="22"/>
        </w:rPr>
        <w:t xml:space="preserve"> la respuesta entregada por el </w:t>
      </w:r>
      <w:r w:rsidRPr="00C56E85">
        <w:rPr>
          <w:rFonts w:cs="Tahoma"/>
          <w:b/>
          <w:bCs/>
          <w:szCs w:val="22"/>
        </w:rPr>
        <w:t>SUJETO OBLIGADO</w:t>
      </w:r>
      <w:r w:rsidRPr="00C56E85">
        <w:rPr>
          <w:rFonts w:cs="Tahoma"/>
          <w:szCs w:val="22"/>
        </w:rPr>
        <w:t xml:space="preserve"> en la solicitud de información </w:t>
      </w:r>
      <w:r w:rsidR="00BB3322" w:rsidRPr="00C56E85">
        <w:rPr>
          <w:rFonts w:cs="Tahoma"/>
          <w:b/>
          <w:bCs/>
          <w:szCs w:val="22"/>
        </w:rPr>
        <w:t>00062/PAN/IP/2024</w:t>
      </w:r>
      <w:r w:rsidRPr="00C56E85">
        <w:rPr>
          <w:rFonts w:cs="Tahoma"/>
          <w:bCs/>
          <w:szCs w:val="22"/>
        </w:rPr>
        <w:t xml:space="preserve">, </w:t>
      </w:r>
      <w:r w:rsidRPr="00C56E85">
        <w:rPr>
          <w:rFonts w:eastAsia="Calibri" w:cs="Tahoma"/>
          <w:bCs/>
          <w:szCs w:val="22"/>
          <w:lang w:eastAsia="en-US"/>
        </w:rPr>
        <w:t xml:space="preserve">por resultar </w:t>
      </w:r>
      <w:r w:rsidRPr="00C56E85">
        <w:rPr>
          <w:rFonts w:eastAsia="Calibri" w:cs="Tahoma"/>
          <w:b/>
          <w:bCs/>
          <w:szCs w:val="22"/>
          <w:lang w:eastAsia="en-US"/>
        </w:rPr>
        <w:t>FUNDADAS</w:t>
      </w:r>
      <w:r w:rsidRPr="00C56E85">
        <w:rPr>
          <w:rFonts w:eastAsia="Calibri" w:cs="Tahoma"/>
          <w:bCs/>
          <w:szCs w:val="22"/>
          <w:lang w:eastAsia="en-US"/>
        </w:rPr>
        <w:t xml:space="preserve"> las razones o motivos de inconformidad hechos valer por </w:t>
      </w:r>
      <w:r w:rsidRPr="00C56E85">
        <w:rPr>
          <w:rFonts w:eastAsia="Calibri" w:cs="Tahoma"/>
          <w:b/>
          <w:szCs w:val="22"/>
          <w:lang w:eastAsia="en-US"/>
        </w:rPr>
        <w:t>LA PARTE RECURRENTE</w:t>
      </w:r>
      <w:r w:rsidRPr="00C56E85">
        <w:rPr>
          <w:rFonts w:eastAsia="Calibri" w:cs="Tahoma"/>
          <w:bCs/>
          <w:szCs w:val="22"/>
          <w:lang w:eastAsia="en-US"/>
        </w:rPr>
        <w:t xml:space="preserve"> en el Recurso de Revisión </w:t>
      </w:r>
      <w:r w:rsidR="00BB3322" w:rsidRPr="00C56E85">
        <w:rPr>
          <w:rFonts w:eastAsiaTheme="minorHAnsi" w:cstheme="minorBidi"/>
          <w:b/>
          <w:bCs/>
          <w:szCs w:val="22"/>
          <w:lang w:eastAsia="en-US"/>
        </w:rPr>
        <w:t>07142/INFOEM/IP/RR/2024</w:t>
      </w:r>
      <w:r w:rsidRPr="00C56E85">
        <w:rPr>
          <w:rFonts w:eastAsiaTheme="minorHAnsi" w:cstheme="minorBidi"/>
          <w:szCs w:val="22"/>
          <w:lang w:eastAsia="en-US"/>
        </w:rPr>
        <w:t>,</w:t>
      </w:r>
      <w:r w:rsidRPr="00C56E85">
        <w:rPr>
          <w:rFonts w:cs="Tahoma"/>
          <w:b/>
          <w:szCs w:val="22"/>
        </w:rPr>
        <w:t xml:space="preserve"> </w:t>
      </w:r>
      <w:r w:rsidRPr="00C56E85">
        <w:rPr>
          <w:rFonts w:eastAsia="Calibri" w:cs="Tahoma"/>
          <w:bCs/>
          <w:szCs w:val="22"/>
          <w:lang w:eastAsia="en-US"/>
        </w:rPr>
        <w:t xml:space="preserve">en términos del considerando </w:t>
      </w:r>
      <w:r w:rsidRPr="00C56E85">
        <w:rPr>
          <w:rFonts w:eastAsia="Calibri" w:cs="Tahoma"/>
          <w:b/>
          <w:szCs w:val="22"/>
          <w:lang w:eastAsia="en-US"/>
        </w:rPr>
        <w:t>SEGUNDO</w:t>
      </w:r>
      <w:r w:rsidRPr="00C56E85">
        <w:rPr>
          <w:rFonts w:eastAsia="Calibri" w:cs="Tahoma"/>
          <w:bCs/>
          <w:szCs w:val="22"/>
          <w:lang w:eastAsia="en-US"/>
        </w:rPr>
        <w:t xml:space="preserve"> de la presente Resolución.</w:t>
      </w:r>
    </w:p>
    <w:p w14:paraId="462A5291" w14:textId="77777777" w:rsidR="00CA3285" w:rsidRPr="00C56E85" w:rsidRDefault="00CA3285" w:rsidP="00C56E85">
      <w:pPr>
        <w:widowControl w:val="0"/>
        <w:rPr>
          <w:rFonts w:eastAsia="Calibri" w:cs="Tahoma"/>
          <w:bCs/>
          <w:szCs w:val="22"/>
          <w:lang w:eastAsia="en-US"/>
        </w:rPr>
      </w:pPr>
    </w:p>
    <w:p w14:paraId="60AE6495" w14:textId="31B9E094" w:rsidR="00CA3285" w:rsidRPr="00C56E85" w:rsidRDefault="00CA3285" w:rsidP="00C56E85">
      <w:pPr>
        <w:ind w:right="-93"/>
        <w:rPr>
          <w:rFonts w:eastAsia="Calibri" w:cs="Tahoma"/>
          <w:bCs/>
          <w:szCs w:val="22"/>
          <w:lang w:eastAsia="en-US"/>
        </w:rPr>
      </w:pPr>
      <w:r w:rsidRPr="00C56E85">
        <w:rPr>
          <w:rFonts w:eastAsia="Calibri" w:cs="Tahoma"/>
          <w:b/>
          <w:bCs/>
          <w:szCs w:val="22"/>
          <w:lang w:eastAsia="en-US"/>
        </w:rPr>
        <w:t>SEGUNDO.</w:t>
      </w:r>
      <w:r w:rsidRPr="00C56E85">
        <w:rPr>
          <w:rFonts w:eastAsia="Calibri" w:cs="Tahoma"/>
          <w:szCs w:val="22"/>
        </w:rPr>
        <w:t xml:space="preserve"> Se </w:t>
      </w:r>
      <w:r w:rsidRPr="00C56E85">
        <w:rPr>
          <w:rFonts w:eastAsia="Calibri" w:cs="Tahoma"/>
          <w:b/>
          <w:szCs w:val="22"/>
        </w:rPr>
        <w:t xml:space="preserve">ORDENA </w:t>
      </w:r>
      <w:r w:rsidRPr="00C56E85">
        <w:rPr>
          <w:rFonts w:eastAsia="Calibri" w:cs="Tahoma"/>
          <w:szCs w:val="22"/>
        </w:rPr>
        <w:t xml:space="preserve">al </w:t>
      </w:r>
      <w:r w:rsidRPr="00C56E85">
        <w:rPr>
          <w:rFonts w:eastAsia="Calibri" w:cs="Tahoma"/>
          <w:b/>
          <w:bCs/>
          <w:szCs w:val="22"/>
        </w:rPr>
        <w:t>SUJETO OBLIGADO</w:t>
      </w:r>
      <w:r w:rsidRPr="00C56E85">
        <w:rPr>
          <w:rFonts w:eastAsia="Calibri" w:cs="Tahoma"/>
          <w:szCs w:val="22"/>
        </w:rPr>
        <w:t xml:space="preserve">, </w:t>
      </w:r>
      <w:r w:rsidRPr="00C56E85">
        <w:rPr>
          <w:rFonts w:eastAsia="Calibri" w:cs="Tahoma"/>
          <w:bCs/>
          <w:szCs w:val="22"/>
          <w:lang w:eastAsia="en-US"/>
        </w:rPr>
        <w:t xml:space="preserve">a efecto de que entregue a través del </w:t>
      </w:r>
      <w:r w:rsidRPr="00C56E85">
        <w:rPr>
          <w:rFonts w:eastAsia="Calibri" w:cs="Tahoma"/>
          <w:b/>
          <w:bCs/>
          <w:szCs w:val="22"/>
          <w:lang w:eastAsia="en-US"/>
        </w:rPr>
        <w:t>SAIMEX</w:t>
      </w:r>
      <w:r w:rsidRPr="00C56E85">
        <w:rPr>
          <w:rFonts w:eastAsia="Calibri" w:cs="Tahoma"/>
          <w:bCs/>
          <w:szCs w:val="22"/>
          <w:lang w:eastAsia="en-US"/>
        </w:rPr>
        <w:t>, de ser procedente en versión pública de lo siguiente:</w:t>
      </w:r>
    </w:p>
    <w:p w14:paraId="1D559527" w14:textId="77777777" w:rsidR="00CA3285" w:rsidRPr="00C56E85" w:rsidRDefault="00CA3285" w:rsidP="00C56E85">
      <w:pPr>
        <w:widowControl w:val="0"/>
        <w:spacing w:line="276" w:lineRule="auto"/>
        <w:rPr>
          <w:b/>
          <w:bCs/>
          <w:szCs w:val="22"/>
        </w:rPr>
      </w:pPr>
    </w:p>
    <w:p w14:paraId="038E22F2" w14:textId="68893325" w:rsidR="0080354D" w:rsidRPr="00C56E85" w:rsidRDefault="0080354D" w:rsidP="00C56E85">
      <w:pPr>
        <w:pStyle w:val="Puesto"/>
        <w:numPr>
          <w:ilvl w:val="0"/>
          <w:numId w:val="11"/>
        </w:numPr>
        <w:ind w:left="851" w:right="822" w:firstLine="0"/>
      </w:pPr>
      <w:r w:rsidRPr="00C56E85">
        <w:t xml:space="preserve">Informe </w:t>
      </w:r>
      <w:r w:rsidR="000717FA" w:rsidRPr="00C56E85">
        <w:t>semestral</w:t>
      </w:r>
      <w:r w:rsidRPr="00C56E85">
        <w:t xml:space="preserve"> de labores de </w:t>
      </w:r>
      <w:r w:rsidR="002A385D" w:rsidRPr="00C56E85">
        <w:t xml:space="preserve">la persona referida en la solicitud de información como </w:t>
      </w:r>
      <w:r w:rsidRPr="00C56E85">
        <w:t xml:space="preserve">Presidente del Comité Directivo Estatal, del 25 de octubre de 2021 al 16 de octubre de 2024. </w:t>
      </w:r>
    </w:p>
    <w:p w14:paraId="248AF584" w14:textId="77777777" w:rsidR="0080354D" w:rsidRPr="00C56E85" w:rsidRDefault="0080354D" w:rsidP="00C56E85">
      <w:pPr>
        <w:pStyle w:val="Puesto"/>
        <w:ind w:left="851" w:right="822"/>
      </w:pPr>
    </w:p>
    <w:p w14:paraId="7EDF4134" w14:textId="17BFC613" w:rsidR="0080354D" w:rsidRPr="00C56E85" w:rsidRDefault="0080354D" w:rsidP="00C56E85">
      <w:pPr>
        <w:pStyle w:val="Puesto"/>
        <w:numPr>
          <w:ilvl w:val="0"/>
          <w:numId w:val="11"/>
        </w:numPr>
        <w:ind w:left="851" w:right="822" w:firstLine="0"/>
      </w:pPr>
      <w:r w:rsidRPr="00C56E85">
        <w:t>Las facturas pagadas por el Comité Directivo Estatal del 01 de enero al 16 de octubre de 2024.</w:t>
      </w:r>
    </w:p>
    <w:p w14:paraId="3B1AC128" w14:textId="67E0A2D4" w:rsidR="0080354D" w:rsidRPr="00C56E85" w:rsidRDefault="0080354D" w:rsidP="00C56E85">
      <w:pPr>
        <w:pStyle w:val="Puesto"/>
        <w:ind w:left="851" w:right="822"/>
      </w:pPr>
    </w:p>
    <w:p w14:paraId="155D949B" w14:textId="48DA403B" w:rsidR="00CA3285" w:rsidRPr="00C56E85" w:rsidRDefault="0080354D" w:rsidP="00C56E85">
      <w:pPr>
        <w:pStyle w:val="Puesto"/>
        <w:numPr>
          <w:ilvl w:val="0"/>
          <w:numId w:val="11"/>
        </w:numPr>
        <w:ind w:left="851" w:right="822" w:firstLine="0"/>
      </w:pPr>
      <w:r w:rsidRPr="00C56E85">
        <w:t xml:space="preserve">Documentos presentados por </w:t>
      </w:r>
      <w:r w:rsidR="002A385D" w:rsidRPr="00C56E85">
        <w:t xml:space="preserve">la persona referida en la solicitud de información, para el </w:t>
      </w:r>
      <w:r w:rsidRPr="00C56E85">
        <w:t xml:space="preserve">registro como candidato a Presidente del Comité Directivo Estatal para </w:t>
      </w:r>
      <w:r w:rsidR="002A385D" w:rsidRPr="00C56E85">
        <w:t>el periodo del segundo trimestre del 2024 al segundo semestre de 2027</w:t>
      </w:r>
      <w:r w:rsidRPr="00C56E85">
        <w:t>.</w:t>
      </w:r>
    </w:p>
    <w:p w14:paraId="2FD37B8E" w14:textId="77777777" w:rsidR="0080354D" w:rsidRPr="00C56E85" w:rsidRDefault="0080354D" w:rsidP="00C56E85">
      <w:pPr>
        <w:pStyle w:val="Puesto"/>
        <w:ind w:left="851" w:right="822"/>
        <w:rPr>
          <w:rFonts w:eastAsia="Calibri" w:cs="Tahoma"/>
          <w:bCs/>
          <w:lang w:eastAsia="en-US"/>
        </w:rPr>
      </w:pPr>
    </w:p>
    <w:p w14:paraId="421AB96D" w14:textId="77777777" w:rsidR="00CA3285" w:rsidRPr="00C56E85" w:rsidRDefault="00CA3285" w:rsidP="00C56E85">
      <w:pPr>
        <w:pStyle w:val="Puesto"/>
        <w:ind w:left="851" w:right="822"/>
      </w:pPr>
      <w:r w:rsidRPr="00C56E85">
        <w:rPr>
          <w:rFonts w:eastAsia="Calibri" w:cs="Tahoma"/>
          <w:bCs/>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6487081" w14:textId="77777777" w:rsidR="00CA3285" w:rsidRPr="00C56E85" w:rsidRDefault="00CA3285" w:rsidP="00C56E85">
      <w:pPr>
        <w:spacing w:line="240" w:lineRule="auto"/>
        <w:ind w:left="360"/>
        <w:rPr>
          <w:i/>
          <w:iCs/>
          <w:szCs w:val="22"/>
        </w:rPr>
      </w:pPr>
    </w:p>
    <w:p w14:paraId="6F5D2295" w14:textId="77777777" w:rsidR="00CA3285" w:rsidRPr="00C56E85" w:rsidRDefault="00CA3285" w:rsidP="00C56E85">
      <w:pPr>
        <w:rPr>
          <w:szCs w:val="22"/>
        </w:rPr>
      </w:pPr>
      <w:r w:rsidRPr="00C56E85">
        <w:rPr>
          <w:b/>
          <w:bCs/>
          <w:szCs w:val="22"/>
        </w:rPr>
        <w:t>TERCERO.</w:t>
      </w:r>
      <w:r w:rsidRPr="00C56E85">
        <w:rPr>
          <w:szCs w:val="22"/>
        </w:rPr>
        <w:t xml:space="preserve"> Notifíquese vía Sistema de Acceso a la Información Mexiquense (</w:t>
      </w:r>
      <w:r w:rsidRPr="00C56E85">
        <w:rPr>
          <w:b/>
          <w:szCs w:val="22"/>
        </w:rPr>
        <w:t>SAIMEX</w:t>
      </w:r>
      <w:r w:rsidRPr="00C56E85">
        <w:rPr>
          <w:szCs w:val="22"/>
        </w:rPr>
        <w:t xml:space="preserve">) la presente resolución al Titular de la Unidad de Transparencia del </w:t>
      </w:r>
      <w:r w:rsidRPr="00C56E85">
        <w:rPr>
          <w:b/>
          <w:bCs/>
          <w:szCs w:val="22"/>
        </w:rPr>
        <w:t>SUJETO OBLIGADO</w:t>
      </w:r>
      <w:r w:rsidRPr="00C56E85">
        <w:rPr>
          <w:szCs w:val="22"/>
        </w:rPr>
        <w:t xml:space="preserve">, para que conforme al artículo 186 último párrafo, 189 segundo párrafo y 194 de la Ley de Transparencia y Acceso a la Información Pública del Estado de México y Municipios, dé </w:t>
      </w:r>
      <w:r w:rsidRPr="00C56E85">
        <w:rPr>
          <w:szCs w:val="22"/>
        </w:rPr>
        <w:lastRenderedPageBreak/>
        <w:t xml:space="preserve">cumplimiento a lo ordenado dentro del plazo de </w:t>
      </w:r>
      <w:r w:rsidRPr="00C56E85">
        <w:rPr>
          <w:b/>
          <w:bCs/>
          <w:szCs w:val="22"/>
        </w:rPr>
        <w:t>diez días hábiles</w:t>
      </w:r>
      <w:r w:rsidRPr="00C56E85">
        <w:rPr>
          <w:szCs w:val="22"/>
        </w:rPr>
        <w:t xml:space="preserve">, e informe a este Instituto en un plazo de </w:t>
      </w:r>
      <w:r w:rsidRPr="00C56E85">
        <w:rPr>
          <w:b/>
          <w:bCs/>
          <w:szCs w:val="22"/>
        </w:rPr>
        <w:t>tres días hábiles</w:t>
      </w:r>
      <w:r w:rsidRPr="00C56E85">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3049048" w14:textId="77777777" w:rsidR="00CA3285" w:rsidRPr="00C56E85" w:rsidRDefault="00CA3285" w:rsidP="00C56E85">
      <w:pPr>
        <w:rPr>
          <w:szCs w:val="22"/>
        </w:rPr>
      </w:pPr>
    </w:p>
    <w:p w14:paraId="4120188F" w14:textId="77777777" w:rsidR="00CA3285" w:rsidRPr="00C56E85" w:rsidRDefault="00CA3285" w:rsidP="00C56E85">
      <w:pPr>
        <w:rPr>
          <w:szCs w:val="22"/>
        </w:rPr>
      </w:pPr>
      <w:r w:rsidRPr="00C56E85">
        <w:rPr>
          <w:b/>
          <w:bCs/>
          <w:szCs w:val="22"/>
        </w:rPr>
        <w:t>CUARTO.</w:t>
      </w:r>
      <w:r w:rsidRPr="00C56E85">
        <w:rPr>
          <w:szCs w:val="22"/>
        </w:rPr>
        <w:t xml:space="preserve"> Notifíquese a </w:t>
      </w:r>
      <w:r w:rsidRPr="00C56E85">
        <w:rPr>
          <w:b/>
          <w:bCs/>
          <w:szCs w:val="22"/>
        </w:rPr>
        <w:t>LA PARTE RECURRENTE</w:t>
      </w:r>
      <w:r w:rsidRPr="00C56E85">
        <w:rPr>
          <w:szCs w:val="22"/>
        </w:rPr>
        <w:t xml:space="preserve"> la presente resolución vía Sistema de Acceso a la Información Mexiquense (</w:t>
      </w:r>
      <w:r w:rsidRPr="00C56E85">
        <w:rPr>
          <w:b/>
          <w:szCs w:val="22"/>
        </w:rPr>
        <w:t>SAIMEX</w:t>
      </w:r>
      <w:r w:rsidRPr="00C56E85">
        <w:rPr>
          <w:szCs w:val="22"/>
        </w:rPr>
        <w:t>).</w:t>
      </w:r>
    </w:p>
    <w:p w14:paraId="075B1034" w14:textId="77777777" w:rsidR="00CA3285" w:rsidRPr="00C56E85" w:rsidRDefault="00CA3285" w:rsidP="00C56E85">
      <w:pPr>
        <w:rPr>
          <w:szCs w:val="22"/>
        </w:rPr>
      </w:pPr>
    </w:p>
    <w:p w14:paraId="4B893DBB" w14:textId="77777777" w:rsidR="00CA3285" w:rsidRPr="00C56E85" w:rsidRDefault="00CA3285" w:rsidP="00C56E85">
      <w:pPr>
        <w:rPr>
          <w:szCs w:val="22"/>
        </w:rPr>
      </w:pPr>
      <w:r w:rsidRPr="00C56E85">
        <w:rPr>
          <w:b/>
          <w:bCs/>
          <w:szCs w:val="22"/>
        </w:rPr>
        <w:t>QUINTO</w:t>
      </w:r>
      <w:r w:rsidRPr="00C56E85">
        <w:rPr>
          <w:szCs w:val="22"/>
        </w:rPr>
        <w:t xml:space="preserve">. Hágase del conocimiento a </w:t>
      </w:r>
      <w:r w:rsidRPr="00C56E85">
        <w:rPr>
          <w:b/>
          <w:bCs/>
          <w:szCs w:val="22"/>
        </w:rPr>
        <w:t>LA PARTE RECURRENTE</w:t>
      </w:r>
      <w:r w:rsidRPr="00C56E85">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B121A87" w14:textId="77777777" w:rsidR="00CA3285" w:rsidRPr="00C56E85" w:rsidRDefault="00CA3285" w:rsidP="00C56E85">
      <w:pPr>
        <w:rPr>
          <w:szCs w:val="22"/>
        </w:rPr>
      </w:pPr>
    </w:p>
    <w:p w14:paraId="3090A6F4" w14:textId="77777777" w:rsidR="00CA3285" w:rsidRPr="00C56E85" w:rsidRDefault="00CA3285" w:rsidP="00C56E85">
      <w:pPr>
        <w:rPr>
          <w:szCs w:val="22"/>
        </w:rPr>
      </w:pPr>
      <w:r w:rsidRPr="00C56E85">
        <w:rPr>
          <w:b/>
          <w:bCs/>
          <w:szCs w:val="22"/>
        </w:rPr>
        <w:t>SEXTO.</w:t>
      </w:r>
      <w:r w:rsidRPr="00C56E85">
        <w:rPr>
          <w:szCs w:val="22"/>
        </w:rPr>
        <w:t xml:space="preserve"> De conformidad con el artículo 198 de la Ley de Transparencia y Acceso a la Información Pública del Estado de México y Municipios, el </w:t>
      </w:r>
      <w:r w:rsidRPr="00C56E85">
        <w:rPr>
          <w:b/>
          <w:bCs/>
          <w:szCs w:val="22"/>
        </w:rPr>
        <w:t>SUJETO OBLIGADO</w:t>
      </w:r>
      <w:r w:rsidRPr="00C56E85">
        <w:rPr>
          <w:szCs w:val="22"/>
        </w:rPr>
        <w:t xml:space="preserve"> podrá solicitar una ampliación de plazo de manera fundada y motivada, para el cumplimiento de la presente resolución.</w:t>
      </w:r>
    </w:p>
    <w:p w14:paraId="3861A67F" w14:textId="77777777" w:rsidR="00CA3285" w:rsidRDefault="00CA3285" w:rsidP="00C56E85">
      <w:pPr>
        <w:rPr>
          <w:rFonts w:eastAsia="Palatino Linotype" w:cs="Palatino Linotype"/>
          <w:szCs w:val="22"/>
        </w:rPr>
      </w:pPr>
    </w:p>
    <w:p w14:paraId="40252099" w14:textId="77777777" w:rsidR="00C56E85" w:rsidRDefault="00C56E85" w:rsidP="00C56E85">
      <w:pPr>
        <w:rPr>
          <w:rFonts w:eastAsia="Palatino Linotype" w:cs="Palatino Linotype"/>
          <w:szCs w:val="22"/>
        </w:rPr>
      </w:pPr>
    </w:p>
    <w:p w14:paraId="6B606373" w14:textId="77777777" w:rsidR="00C56E85" w:rsidRDefault="00C56E85" w:rsidP="00C56E85">
      <w:pPr>
        <w:rPr>
          <w:rFonts w:eastAsia="Palatino Linotype" w:cs="Palatino Linotype"/>
          <w:szCs w:val="22"/>
        </w:rPr>
      </w:pPr>
    </w:p>
    <w:p w14:paraId="6BD412C2" w14:textId="77777777" w:rsidR="00C56E85" w:rsidRDefault="00C56E85" w:rsidP="00C56E85">
      <w:pPr>
        <w:rPr>
          <w:rFonts w:eastAsia="Palatino Linotype" w:cs="Palatino Linotype"/>
          <w:szCs w:val="22"/>
        </w:rPr>
      </w:pPr>
    </w:p>
    <w:p w14:paraId="41E0908A" w14:textId="77777777" w:rsidR="00C56E85" w:rsidRDefault="00C56E85" w:rsidP="00C56E85">
      <w:pPr>
        <w:rPr>
          <w:rFonts w:eastAsia="Palatino Linotype" w:cs="Palatino Linotype"/>
          <w:szCs w:val="22"/>
        </w:rPr>
      </w:pPr>
    </w:p>
    <w:p w14:paraId="5F15E5E8" w14:textId="77777777" w:rsidR="00C56E85" w:rsidRPr="00C56E85" w:rsidRDefault="00C56E85" w:rsidP="00C56E85">
      <w:pPr>
        <w:rPr>
          <w:rFonts w:eastAsia="Palatino Linotype" w:cs="Palatino Linotype"/>
          <w:szCs w:val="22"/>
        </w:rPr>
      </w:pPr>
    </w:p>
    <w:p w14:paraId="153D3766" w14:textId="721198B7" w:rsidR="00CA3285" w:rsidRPr="00C56E85" w:rsidRDefault="00CA3285" w:rsidP="00C56E85">
      <w:pPr>
        <w:rPr>
          <w:rFonts w:eastAsia="Palatino Linotype" w:cs="Palatino Linotype"/>
          <w:szCs w:val="22"/>
        </w:rPr>
      </w:pPr>
      <w:r w:rsidRPr="00C56E85">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w:t>
      </w:r>
      <w:r w:rsidR="00045C5B" w:rsidRPr="00C56E85">
        <w:rPr>
          <w:rFonts w:eastAsia="Palatino Linotype" w:cs="Palatino Linotype"/>
          <w:szCs w:val="22"/>
        </w:rPr>
        <w:t>SEGUNDA</w:t>
      </w:r>
      <w:r w:rsidRPr="00C56E85">
        <w:rPr>
          <w:rFonts w:eastAsia="Palatino Linotype" w:cs="Palatino Linotype"/>
          <w:szCs w:val="22"/>
        </w:rPr>
        <w:t xml:space="preserve"> SESIÓN ORDINARIA, CELEBRADA EL </w:t>
      </w:r>
      <w:r w:rsidR="00045C5B" w:rsidRPr="00C56E85">
        <w:rPr>
          <w:rFonts w:eastAsia="Palatino Linotype" w:cs="Palatino Linotype"/>
          <w:szCs w:val="22"/>
        </w:rPr>
        <w:t>CUATRO DE DICIEMBRE</w:t>
      </w:r>
      <w:r w:rsidRPr="00C56E85">
        <w:rPr>
          <w:rFonts w:eastAsia="Palatino Linotype" w:cs="Palatino Linotype"/>
          <w:szCs w:val="22"/>
        </w:rPr>
        <w:t xml:space="preserve"> DE DOS MIL VEINTICUATRO, ANTE EL SECRETARIO TÉCNICO DEL PLENO, ALEXIS TAPIA RAMÍREZ.</w:t>
      </w:r>
    </w:p>
    <w:p w14:paraId="6882EEB0" w14:textId="77777777" w:rsidR="00CA3285" w:rsidRPr="00C56E85" w:rsidRDefault="00CA3285" w:rsidP="00C56E85">
      <w:pPr>
        <w:ind w:right="-93"/>
      </w:pPr>
      <w:r w:rsidRPr="00C56E85">
        <w:rPr>
          <w:rFonts w:eastAsia="Palatino Linotype" w:cs="Palatino Linotype"/>
          <w:sz w:val="18"/>
          <w:szCs w:val="14"/>
        </w:rPr>
        <w:t>SCMM/AGZ/DEMF/PAG</w:t>
      </w:r>
    </w:p>
    <w:p w14:paraId="08E74E9C" w14:textId="6621E512" w:rsidR="00C56E85" w:rsidRDefault="00C56E85">
      <w:pPr>
        <w:spacing w:after="160" w:line="259" w:lineRule="auto"/>
        <w:jc w:val="left"/>
        <w:rPr>
          <w:rFonts w:eastAsia="Calibri" w:cs="Tahoma"/>
          <w:bCs/>
          <w:szCs w:val="22"/>
          <w:lang w:eastAsia="en-US"/>
        </w:rPr>
      </w:pPr>
      <w:r>
        <w:rPr>
          <w:rFonts w:eastAsia="Calibri" w:cs="Tahoma"/>
          <w:bCs/>
          <w:szCs w:val="22"/>
          <w:lang w:eastAsia="en-US"/>
        </w:rPr>
        <w:br w:type="page"/>
      </w:r>
    </w:p>
    <w:p w14:paraId="3D5DE40B" w14:textId="77777777" w:rsidR="00664420" w:rsidRPr="00C56E85" w:rsidRDefault="00664420" w:rsidP="00C56E85">
      <w:pPr>
        <w:tabs>
          <w:tab w:val="center" w:pos="4568"/>
        </w:tabs>
        <w:ind w:right="-93"/>
        <w:rPr>
          <w:rFonts w:eastAsia="Calibri" w:cs="Tahoma"/>
          <w:bCs/>
          <w:szCs w:val="22"/>
          <w:lang w:eastAsia="en-US"/>
        </w:rPr>
      </w:pPr>
    </w:p>
    <w:p w14:paraId="2CBF5E03" w14:textId="77777777" w:rsidR="00664420" w:rsidRPr="00C56E85" w:rsidRDefault="00664420" w:rsidP="00C56E85">
      <w:pPr>
        <w:tabs>
          <w:tab w:val="center" w:pos="4568"/>
        </w:tabs>
        <w:ind w:right="-93"/>
        <w:rPr>
          <w:rFonts w:eastAsia="Calibri" w:cs="Tahoma"/>
          <w:bCs/>
          <w:szCs w:val="22"/>
          <w:lang w:eastAsia="en-US"/>
        </w:rPr>
      </w:pPr>
    </w:p>
    <w:p w14:paraId="44865A6D" w14:textId="77777777" w:rsidR="00664420" w:rsidRPr="00C56E85" w:rsidRDefault="00664420" w:rsidP="00C56E85">
      <w:pPr>
        <w:tabs>
          <w:tab w:val="center" w:pos="4568"/>
        </w:tabs>
        <w:ind w:right="-93"/>
        <w:rPr>
          <w:rFonts w:eastAsia="Calibri" w:cs="Tahoma"/>
          <w:bCs/>
          <w:szCs w:val="22"/>
          <w:lang w:eastAsia="en-US"/>
        </w:rPr>
      </w:pPr>
    </w:p>
    <w:p w14:paraId="7147F06B" w14:textId="77777777" w:rsidR="00664420" w:rsidRPr="00C56E85" w:rsidRDefault="00664420" w:rsidP="00C56E85">
      <w:pPr>
        <w:tabs>
          <w:tab w:val="center" w:pos="4568"/>
        </w:tabs>
        <w:ind w:right="-93"/>
        <w:rPr>
          <w:rFonts w:eastAsia="Calibri" w:cs="Tahoma"/>
          <w:bCs/>
          <w:szCs w:val="22"/>
          <w:lang w:eastAsia="en-US"/>
        </w:rPr>
      </w:pPr>
    </w:p>
    <w:p w14:paraId="6FDF3D7E" w14:textId="77777777" w:rsidR="00664420" w:rsidRPr="00C56E85" w:rsidRDefault="00664420" w:rsidP="00C56E85">
      <w:pPr>
        <w:tabs>
          <w:tab w:val="center" w:pos="4568"/>
        </w:tabs>
        <w:ind w:right="-93"/>
        <w:rPr>
          <w:rFonts w:eastAsia="Calibri" w:cs="Tahoma"/>
          <w:bCs/>
          <w:szCs w:val="22"/>
          <w:lang w:eastAsia="en-US"/>
        </w:rPr>
      </w:pPr>
    </w:p>
    <w:p w14:paraId="6246F818" w14:textId="77777777" w:rsidR="00664420" w:rsidRPr="00C56E85" w:rsidRDefault="00664420" w:rsidP="00C56E85">
      <w:pPr>
        <w:tabs>
          <w:tab w:val="center" w:pos="4568"/>
        </w:tabs>
        <w:ind w:right="-93"/>
        <w:rPr>
          <w:rFonts w:eastAsia="Calibri" w:cs="Tahoma"/>
          <w:bCs/>
          <w:szCs w:val="22"/>
          <w:lang w:eastAsia="en-US"/>
        </w:rPr>
      </w:pPr>
    </w:p>
    <w:p w14:paraId="57A88B28" w14:textId="77777777" w:rsidR="00664420" w:rsidRPr="00C56E85" w:rsidRDefault="00664420" w:rsidP="00C56E85">
      <w:pPr>
        <w:tabs>
          <w:tab w:val="center" w:pos="4568"/>
        </w:tabs>
        <w:ind w:right="-93"/>
        <w:rPr>
          <w:rFonts w:eastAsia="Calibri" w:cs="Tahoma"/>
          <w:bCs/>
          <w:szCs w:val="22"/>
          <w:lang w:eastAsia="en-US"/>
        </w:rPr>
      </w:pPr>
    </w:p>
    <w:p w14:paraId="77EF6095" w14:textId="77777777" w:rsidR="00664420" w:rsidRPr="00C56E85" w:rsidRDefault="00664420" w:rsidP="00C56E85">
      <w:pPr>
        <w:tabs>
          <w:tab w:val="center" w:pos="4568"/>
        </w:tabs>
        <w:ind w:right="-93"/>
        <w:rPr>
          <w:rFonts w:eastAsia="Calibri" w:cs="Tahoma"/>
          <w:bCs/>
          <w:szCs w:val="22"/>
          <w:lang w:eastAsia="en-US"/>
        </w:rPr>
      </w:pPr>
    </w:p>
    <w:p w14:paraId="35593947" w14:textId="77777777" w:rsidR="00664420" w:rsidRPr="00C56E85" w:rsidRDefault="00664420" w:rsidP="00C56E85">
      <w:pPr>
        <w:tabs>
          <w:tab w:val="center" w:pos="4568"/>
        </w:tabs>
        <w:ind w:right="-93"/>
        <w:rPr>
          <w:rFonts w:eastAsia="Calibri" w:cs="Tahoma"/>
          <w:bCs/>
          <w:szCs w:val="22"/>
          <w:lang w:eastAsia="en-US"/>
        </w:rPr>
      </w:pPr>
    </w:p>
    <w:p w14:paraId="3AF72A17" w14:textId="77777777" w:rsidR="00664420" w:rsidRPr="00C56E85" w:rsidRDefault="00664420" w:rsidP="00C56E85">
      <w:pPr>
        <w:tabs>
          <w:tab w:val="center" w:pos="4568"/>
        </w:tabs>
        <w:ind w:right="-93"/>
        <w:rPr>
          <w:rFonts w:eastAsia="Calibri" w:cs="Tahoma"/>
          <w:bCs/>
          <w:szCs w:val="22"/>
          <w:lang w:eastAsia="en-US"/>
        </w:rPr>
      </w:pPr>
    </w:p>
    <w:p w14:paraId="37169144" w14:textId="77777777" w:rsidR="00664420" w:rsidRPr="00C56E85" w:rsidRDefault="00664420" w:rsidP="00C56E85">
      <w:pPr>
        <w:tabs>
          <w:tab w:val="center" w:pos="4568"/>
        </w:tabs>
        <w:ind w:right="-93"/>
        <w:rPr>
          <w:rFonts w:eastAsia="Calibri" w:cs="Tahoma"/>
          <w:bCs/>
          <w:szCs w:val="22"/>
          <w:lang w:eastAsia="en-US"/>
        </w:rPr>
      </w:pPr>
    </w:p>
    <w:p w14:paraId="77CFC088" w14:textId="77777777" w:rsidR="00664420" w:rsidRPr="00C56E85" w:rsidRDefault="00664420" w:rsidP="00C56E85">
      <w:pPr>
        <w:tabs>
          <w:tab w:val="center" w:pos="4568"/>
        </w:tabs>
        <w:ind w:right="-93"/>
        <w:rPr>
          <w:rFonts w:eastAsia="Calibri" w:cs="Tahoma"/>
          <w:bCs/>
          <w:szCs w:val="22"/>
          <w:lang w:eastAsia="en-US"/>
        </w:rPr>
      </w:pPr>
    </w:p>
    <w:p w14:paraId="781A11A5" w14:textId="77777777" w:rsidR="00664420" w:rsidRPr="00C56E85" w:rsidRDefault="00664420" w:rsidP="00C56E85">
      <w:pPr>
        <w:tabs>
          <w:tab w:val="center" w:pos="4568"/>
        </w:tabs>
        <w:ind w:right="-93"/>
        <w:rPr>
          <w:rFonts w:eastAsia="Calibri" w:cs="Tahoma"/>
          <w:bCs/>
          <w:szCs w:val="22"/>
          <w:lang w:eastAsia="en-US"/>
        </w:rPr>
      </w:pPr>
    </w:p>
    <w:p w14:paraId="5B4ADFF3" w14:textId="77777777" w:rsidR="00A131AC" w:rsidRPr="00C56E85" w:rsidRDefault="00A131AC" w:rsidP="00C56E85"/>
    <w:sectPr w:rsidR="00A131AC" w:rsidRPr="00C56E85"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53A2A" w14:textId="77777777" w:rsidR="00086956" w:rsidRDefault="00086956" w:rsidP="00664420">
      <w:pPr>
        <w:spacing w:line="240" w:lineRule="auto"/>
      </w:pPr>
      <w:r>
        <w:separator/>
      </w:r>
    </w:p>
  </w:endnote>
  <w:endnote w:type="continuationSeparator" w:id="0">
    <w:p w14:paraId="7858A7BE" w14:textId="77777777" w:rsidR="00086956" w:rsidRDefault="0008695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82E24" w:rsidRDefault="00B82E24">
    <w:pPr>
      <w:tabs>
        <w:tab w:val="center" w:pos="4550"/>
        <w:tab w:val="left" w:pos="5818"/>
      </w:tabs>
      <w:ind w:right="260"/>
      <w:jc w:val="right"/>
      <w:rPr>
        <w:color w:val="071320" w:themeColor="text2" w:themeShade="80"/>
        <w:sz w:val="24"/>
        <w:szCs w:val="24"/>
      </w:rPr>
    </w:pPr>
  </w:p>
  <w:p w14:paraId="1BCA7F23" w14:textId="77777777" w:rsidR="00B82E24" w:rsidRDefault="00B82E2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82E24" w:rsidRDefault="00B82E2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278F2" w:rsidRPr="008278F2">
      <w:rPr>
        <w:noProof/>
        <w:color w:val="0A1D30" w:themeColor="text2" w:themeShade="BF"/>
        <w:sz w:val="24"/>
        <w:szCs w:val="24"/>
        <w:lang w:val="es-ES"/>
      </w:rPr>
      <w:t>32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278F2" w:rsidRPr="008278F2">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B82E24" w:rsidRDefault="00B82E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01F07" w14:textId="77777777" w:rsidR="00086956" w:rsidRDefault="00086956" w:rsidP="00664420">
      <w:pPr>
        <w:spacing w:line="240" w:lineRule="auto"/>
      </w:pPr>
      <w:r>
        <w:separator/>
      </w:r>
    </w:p>
  </w:footnote>
  <w:footnote w:type="continuationSeparator" w:id="0">
    <w:p w14:paraId="0D2AE7E3" w14:textId="77777777" w:rsidR="00086956" w:rsidRDefault="00086956" w:rsidP="00664420">
      <w:pPr>
        <w:spacing w:line="240" w:lineRule="auto"/>
      </w:pPr>
      <w:r>
        <w:continuationSeparator/>
      </w:r>
    </w:p>
  </w:footnote>
  <w:footnote w:id="1">
    <w:p w14:paraId="09A4200D" w14:textId="0D7FD465" w:rsidR="007006F9" w:rsidRDefault="007006F9">
      <w:pPr>
        <w:pStyle w:val="Textonotapie"/>
      </w:pPr>
      <w:r>
        <w:rPr>
          <w:rStyle w:val="Refdenotaalpie"/>
        </w:rPr>
        <w:footnoteRef/>
      </w:r>
      <w:r>
        <w:t xml:space="preserve"> </w:t>
      </w:r>
      <w:hyperlink r:id="rId1" w:history="1">
        <w:r>
          <w:rPr>
            <w:rStyle w:val="Hipervnculo"/>
            <w:rFonts w:eastAsiaTheme="majorEastAsia"/>
          </w:rPr>
          <w:t>cppp-PAN-estatutos.pdf</w:t>
        </w:r>
      </w:hyperlink>
    </w:p>
  </w:footnote>
  <w:footnote w:id="2">
    <w:p w14:paraId="11A02923" w14:textId="18A75E86" w:rsidR="003A1CF1" w:rsidRDefault="003A1CF1">
      <w:pPr>
        <w:pStyle w:val="Textonotapie"/>
      </w:pPr>
      <w:r>
        <w:rPr>
          <w:rStyle w:val="Refdenotaalpie"/>
        </w:rPr>
        <w:footnoteRef/>
      </w:r>
      <w:r>
        <w:t xml:space="preserve"> </w:t>
      </w:r>
      <w:hyperlink r:id="rId2" w:history="1">
        <w:r w:rsidRPr="003A1CF1">
          <w:rPr>
            <w:rStyle w:val="Hipervnculo"/>
          </w:rPr>
          <w:t>Reglamentos y Estatutos – PAN ESTADO DE MÉXICO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82E24" w:rsidRPr="00330DA7" w14:paraId="070A4B18" w14:textId="77777777" w:rsidTr="003F35FD">
      <w:trPr>
        <w:trHeight w:val="144"/>
        <w:jc w:val="right"/>
      </w:trPr>
      <w:tc>
        <w:tcPr>
          <w:tcW w:w="2727" w:type="dxa"/>
        </w:tcPr>
        <w:p w14:paraId="62B7493A" w14:textId="77777777" w:rsidR="00B82E24" w:rsidRPr="00330DA7" w:rsidRDefault="00B82E24"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75EC575" w:rsidR="00B82E24" w:rsidRPr="00A90C72" w:rsidRDefault="00B82E24" w:rsidP="006D59EF">
          <w:pPr>
            <w:tabs>
              <w:tab w:val="right" w:pos="8838"/>
            </w:tabs>
            <w:ind w:left="-74" w:right="-105"/>
            <w:rPr>
              <w:rFonts w:eastAsia="Calibri" w:cs="Tahoma"/>
              <w:szCs w:val="22"/>
              <w:lang w:eastAsia="en-US"/>
            </w:rPr>
          </w:pPr>
          <w:r w:rsidRPr="006D59EF">
            <w:rPr>
              <w:rFonts w:eastAsia="Calibri" w:cs="Tahoma"/>
              <w:szCs w:val="22"/>
              <w:lang w:eastAsia="en-US"/>
            </w:rPr>
            <w:t>07142/INFOEM/IP/RR/2024</w:t>
          </w:r>
        </w:p>
      </w:tc>
    </w:tr>
    <w:tr w:rsidR="00B82E24" w:rsidRPr="00330DA7" w14:paraId="4521E058" w14:textId="77777777" w:rsidTr="003F35FD">
      <w:trPr>
        <w:trHeight w:val="283"/>
        <w:jc w:val="right"/>
      </w:trPr>
      <w:tc>
        <w:tcPr>
          <w:tcW w:w="2727" w:type="dxa"/>
        </w:tcPr>
        <w:p w14:paraId="0B68C086" w14:textId="77777777" w:rsidR="00B82E24" w:rsidRPr="00330DA7" w:rsidRDefault="00B82E24"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8F97D00" w:rsidR="00B82E24" w:rsidRPr="00952DD0" w:rsidRDefault="00B82E24" w:rsidP="003F35FD">
          <w:pPr>
            <w:tabs>
              <w:tab w:val="left" w:pos="2834"/>
              <w:tab w:val="right" w:pos="8838"/>
            </w:tabs>
            <w:ind w:left="-108" w:right="-105"/>
            <w:rPr>
              <w:rFonts w:eastAsia="Calibri" w:cs="Tahoma"/>
              <w:szCs w:val="22"/>
              <w:lang w:eastAsia="en-US"/>
            </w:rPr>
          </w:pPr>
          <w:r w:rsidRPr="005043E2">
            <w:rPr>
              <w:rFonts w:eastAsia="Calibri" w:cs="Tahoma"/>
              <w:szCs w:val="22"/>
              <w:lang w:eastAsia="en-US"/>
            </w:rPr>
            <w:t>Partido Acción Nacional</w:t>
          </w:r>
        </w:p>
      </w:tc>
    </w:tr>
    <w:tr w:rsidR="00B82E24" w:rsidRPr="00330DA7" w14:paraId="6331D9B6" w14:textId="77777777" w:rsidTr="003F35FD">
      <w:trPr>
        <w:trHeight w:val="283"/>
        <w:jc w:val="right"/>
      </w:trPr>
      <w:tc>
        <w:tcPr>
          <w:tcW w:w="2727" w:type="dxa"/>
        </w:tcPr>
        <w:p w14:paraId="3FA86BAE" w14:textId="68E88B1D" w:rsidR="00B82E24" w:rsidRPr="00330DA7" w:rsidRDefault="00B82E24"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82E24" w:rsidRPr="00EA66FC" w:rsidRDefault="00B82E24"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82E24" w:rsidRPr="00443C6B" w:rsidRDefault="00B82E2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82E24" w:rsidRPr="00330DA7" w14:paraId="29CFF901" w14:textId="77777777" w:rsidTr="004B56B4">
      <w:trPr>
        <w:trHeight w:val="1435"/>
      </w:trPr>
      <w:tc>
        <w:tcPr>
          <w:tcW w:w="283" w:type="dxa"/>
          <w:shd w:val="clear" w:color="auto" w:fill="auto"/>
        </w:tcPr>
        <w:p w14:paraId="046B9F8F" w14:textId="56D2D896" w:rsidR="00B82E24" w:rsidRPr="00330DA7" w:rsidRDefault="00B82E24"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82E24" w:rsidRPr="00330DA7" w14:paraId="04F272D2" w14:textId="77777777" w:rsidTr="004B56B4">
            <w:trPr>
              <w:trHeight w:val="144"/>
            </w:trPr>
            <w:tc>
              <w:tcPr>
                <w:tcW w:w="2727" w:type="dxa"/>
              </w:tcPr>
              <w:p w14:paraId="2FD4DBF6" w14:textId="77777777" w:rsidR="00B82E24" w:rsidRPr="00330DA7" w:rsidRDefault="00B82E24" w:rsidP="005F3813">
                <w:pPr>
                  <w:tabs>
                    <w:tab w:val="right" w:pos="8838"/>
                  </w:tabs>
                  <w:spacing w:line="240" w:lineRule="auto"/>
                  <w:ind w:left="-74" w:right="-108"/>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08DE2129" w:rsidR="00B82E24" w:rsidRPr="00A90C72" w:rsidRDefault="00B82E24" w:rsidP="006D59EF">
                <w:pPr>
                  <w:tabs>
                    <w:tab w:val="right" w:pos="8838"/>
                  </w:tabs>
                  <w:spacing w:line="240" w:lineRule="auto"/>
                  <w:ind w:left="-74" w:right="-108"/>
                  <w:rPr>
                    <w:rFonts w:eastAsia="Calibri" w:cs="Tahoma"/>
                    <w:szCs w:val="22"/>
                    <w:lang w:eastAsia="en-US"/>
                  </w:rPr>
                </w:pPr>
                <w:r w:rsidRPr="006D59EF">
                  <w:rPr>
                    <w:rFonts w:eastAsia="Calibri" w:cs="Tahoma"/>
                    <w:szCs w:val="22"/>
                    <w:lang w:eastAsia="en-US"/>
                  </w:rPr>
                  <w:t>07142/INFOEM/IP/RR/2024</w:t>
                </w:r>
              </w:p>
            </w:tc>
            <w:tc>
              <w:tcPr>
                <w:tcW w:w="3402" w:type="dxa"/>
              </w:tcPr>
              <w:p w14:paraId="71DEA1CF" w14:textId="77777777" w:rsidR="00B82E24" w:rsidRDefault="00B82E24" w:rsidP="005F3813">
                <w:pPr>
                  <w:tabs>
                    <w:tab w:val="right" w:pos="8838"/>
                  </w:tabs>
                  <w:spacing w:line="240" w:lineRule="auto"/>
                  <w:ind w:left="-74" w:right="-108"/>
                  <w:rPr>
                    <w:rFonts w:eastAsia="Calibri" w:cs="Tahoma"/>
                    <w:szCs w:val="22"/>
                    <w:lang w:eastAsia="en-US"/>
                  </w:rPr>
                </w:pPr>
              </w:p>
            </w:tc>
          </w:tr>
          <w:tr w:rsidR="00B82E24" w:rsidRPr="00330DA7" w14:paraId="05C58951" w14:textId="77777777" w:rsidTr="004B56B4">
            <w:trPr>
              <w:trHeight w:val="144"/>
            </w:trPr>
            <w:tc>
              <w:tcPr>
                <w:tcW w:w="2727" w:type="dxa"/>
              </w:tcPr>
              <w:p w14:paraId="642B9610" w14:textId="77777777" w:rsidR="00B82E24" w:rsidRPr="00330DA7" w:rsidRDefault="00B82E24" w:rsidP="005F3813">
                <w:pPr>
                  <w:tabs>
                    <w:tab w:val="right" w:pos="8838"/>
                  </w:tabs>
                  <w:spacing w:line="240" w:lineRule="auto"/>
                  <w:ind w:left="-74" w:right="-108"/>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0B994289" w:rsidR="00B82E24" w:rsidRPr="005F19B1" w:rsidRDefault="00B82E24" w:rsidP="005F3813">
                <w:pPr>
                  <w:tabs>
                    <w:tab w:val="left" w:pos="3122"/>
                    <w:tab w:val="right" w:pos="8838"/>
                  </w:tabs>
                  <w:spacing w:line="240" w:lineRule="auto"/>
                  <w:ind w:left="-105" w:right="-108"/>
                  <w:rPr>
                    <w:rFonts w:eastAsia="Calibri" w:cs="Tahoma"/>
                    <w:szCs w:val="22"/>
                    <w:lang w:eastAsia="en-US"/>
                  </w:rPr>
                </w:pPr>
              </w:p>
            </w:tc>
            <w:tc>
              <w:tcPr>
                <w:tcW w:w="3402" w:type="dxa"/>
              </w:tcPr>
              <w:p w14:paraId="73F47F53" w14:textId="77777777" w:rsidR="00B82E24" w:rsidRPr="005F19B1" w:rsidRDefault="00B82E24" w:rsidP="005F3813">
                <w:pPr>
                  <w:tabs>
                    <w:tab w:val="left" w:pos="3122"/>
                    <w:tab w:val="right" w:pos="8838"/>
                  </w:tabs>
                  <w:spacing w:line="240" w:lineRule="auto"/>
                  <w:ind w:left="-105" w:right="-108"/>
                  <w:rPr>
                    <w:rFonts w:eastAsia="Calibri" w:cs="Tahoma"/>
                    <w:szCs w:val="22"/>
                    <w:lang w:eastAsia="en-US"/>
                  </w:rPr>
                </w:pPr>
              </w:p>
            </w:tc>
          </w:tr>
          <w:bookmarkEnd w:id="2"/>
          <w:tr w:rsidR="00B82E24" w:rsidRPr="00330DA7" w14:paraId="00E6CDC1" w14:textId="77777777" w:rsidTr="004B56B4">
            <w:trPr>
              <w:trHeight w:val="283"/>
            </w:trPr>
            <w:tc>
              <w:tcPr>
                <w:tcW w:w="2727" w:type="dxa"/>
              </w:tcPr>
              <w:p w14:paraId="0631AD24" w14:textId="77777777" w:rsidR="00B82E24" w:rsidRPr="00330DA7" w:rsidRDefault="00B82E24"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5E6015B" w:rsidR="00B82E24" w:rsidRPr="00952DD0" w:rsidRDefault="00B82E24" w:rsidP="005F3813">
                <w:pPr>
                  <w:tabs>
                    <w:tab w:val="left" w:pos="2834"/>
                    <w:tab w:val="right" w:pos="8838"/>
                  </w:tabs>
                  <w:spacing w:line="240" w:lineRule="auto"/>
                  <w:ind w:left="-108" w:right="-108"/>
                  <w:rPr>
                    <w:rFonts w:eastAsia="Calibri" w:cs="Tahoma"/>
                    <w:szCs w:val="22"/>
                    <w:lang w:eastAsia="en-US"/>
                  </w:rPr>
                </w:pPr>
                <w:r w:rsidRPr="005043E2">
                  <w:rPr>
                    <w:rFonts w:eastAsia="Calibri" w:cs="Tahoma"/>
                    <w:szCs w:val="22"/>
                    <w:lang w:eastAsia="en-US"/>
                  </w:rPr>
                  <w:t>Partido Acción Nacional</w:t>
                </w:r>
              </w:p>
            </w:tc>
            <w:tc>
              <w:tcPr>
                <w:tcW w:w="3402" w:type="dxa"/>
              </w:tcPr>
              <w:p w14:paraId="3A7DA319" w14:textId="77777777" w:rsidR="00B82E24" w:rsidRPr="00A90C72" w:rsidRDefault="00B82E24" w:rsidP="005F3813">
                <w:pPr>
                  <w:tabs>
                    <w:tab w:val="left" w:pos="2834"/>
                    <w:tab w:val="right" w:pos="8838"/>
                  </w:tabs>
                  <w:spacing w:line="240" w:lineRule="auto"/>
                  <w:ind w:left="-108" w:right="-108"/>
                  <w:rPr>
                    <w:rFonts w:eastAsia="Calibri" w:cs="Tahoma"/>
                    <w:szCs w:val="22"/>
                    <w:lang w:eastAsia="en-US"/>
                  </w:rPr>
                </w:pPr>
              </w:p>
            </w:tc>
          </w:tr>
          <w:tr w:rsidR="00B82E24" w:rsidRPr="00330DA7" w14:paraId="0F6CD8D2" w14:textId="77777777" w:rsidTr="004B56B4">
            <w:trPr>
              <w:trHeight w:val="283"/>
            </w:trPr>
            <w:tc>
              <w:tcPr>
                <w:tcW w:w="2727" w:type="dxa"/>
              </w:tcPr>
              <w:p w14:paraId="31700628" w14:textId="032DD90E" w:rsidR="00B82E24" w:rsidRPr="00330DA7" w:rsidRDefault="00B82E24"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82E24" w:rsidRPr="00EA66FC" w:rsidRDefault="00B82E24"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82E24" w:rsidRPr="00330DA7" w:rsidRDefault="00B82E24" w:rsidP="005F3813">
                <w:pPr>
                  <w:tabs>
                    <w:tab w:val="right" w:pos="8838"/>
                  </w:tabs>
                  <w:spacing w:line="240" w:lineRule="auto"/>
                  <w:ind w:left="-108" w:right="-108"/>
                  <w:rPr>
                    <w:rFonts w:eastAsia="Calibri" w:cs="Tahoma"/>
                    <w:szCs w:val="22"/>
                    <w:lang w:eastAsia="en-US"/>
                  </w:rPr>
                </w:pPr>
              </w:p>
            </w:tc>
          </w:tr>
        </w:tbl>
        <w:p w14:paraId="5DC6AC61" w14:textId="77777777" w:rsidR="00B82E24" w:rsidRPr="00330DA7" w:rsidRDefault="00B82E24" w:rsidP="004B56B4">
          <w:pPr>
            <w:tabs>
              <w:tab w:val="right" w:pos="8838"/>
            </w:tabs>
            <w:ind w:left="-28"/>
            <w:rPr>
              <w:rFonts w:ascii="Arial" w:eastAsia="Calibri" w:hAnsi="Arial" w:cs="Arial"/>
              <w:b/>
              <w:szCs w:val="22"/>
              <w:lang w:eastAsia="en-US"/>
            </w:rPr>
          </w:pPr>
        </w:p>
      </w:tc>
    </w:tr>
  </w:tbl>
  <w:p w14:paraId="2A906731" w14:textId="77777777" w:rsidR="00B82E24" w:rsidRPr="00765661" w:rsidRDefault="00086956"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65pt;margin-top:-128.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7C1E"/>
    <w:multiLevelType w:val="hybridMultilevel"/>
    <w:tmpl w:val="A6C44D1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18D904AF"/>
    <w:multiLevelType w:val="hybridMultilevel"/>
    <w:tmpl w:val="7E4C8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2333E7"/>
    <w:multiLevelType w:val="hybridMultilevel"/>
    <w:tmpl w:val="C9B23E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E803AC"/>
    <w:multiLevelType w:val="hybridMultilevel"/>
    <w:tmpl w:val="A5D6A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4291A67"/>
    <w:multiLevelType w:val="hybridMultilevel"/>
    <w:tmpl w:val="F50A169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 w15:restartNumberingAfterBreak="0">
    <w:nsid w:val="665B7CF6"/>
    <w:multiLevelType w:val="hybridMultilevel"/>
    <w:tmpl w:val="5F3C168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15:restartNumberingAfterBreak="0">
    <w:nsid w:val="74DA1BAF"/>
    <w:multiLevelType w:val="multilevel"/>
    <w:tmpl w:val="5FFCB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63A5AD1"/>
    <w:multiLevelType w:val="multilevel"/>
    <w:tmpl w:val="BB622D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3"/>
  </w:num>
  <w:num w:numId="2">
    <w:abstractNumId w:val="5"/>
  </w:num>
  <w:num w:numId="3">
    <w:abstractNumId w:val="1"/>
  </w:num>
  <w:num w:numId="4">
    <w:abstractNumId w:val="2"/>
  </w:num>
  <w:num w:numId="5">
    <w:abstractNumId w:val="7"/>
  </w:num>
  <w:num w:numId="6">
    <w:abstractNumId w:val="10"/>
  </w:num>
  <w:num w:numId="7">
    <w:abstractNumId w:val="9"/>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21886"/>
    <w:rsid w:val="00023457"/>
    <w:rsid w:val="000269BA"/>
    <w:rsid w:val="000318BC"/>
    <w:rsid w:val="00034097"/>
    <w:rsid w:val="00036589"/>
    <w:rsid w:val="0004392C"/>
    <w:rsid w:val="00043F62"/>
    <w:rsid w:val="00044BDF"/>
    <w:rsid w:val="00045C5B"/>
    <w:rsid w:val="00054DD6"/>
    <w:rsid w:val="00057B2D"/>
    <w:rsid w:val="000717FA"/>
    <w:rsid w:val="000729BE"/>
    <w:rsid w:val="00073F86"/>
    <w:rsid w:val="000748DF"/>
    <w:rsid w:val="00075514"/>
    <w:rsid w:val="00080071"/>
    <w:rsid w:val="000820ED"/>
    <w:rsid w:val="00082A7D"/>
    <w:rsid w:val="000853B7"/>
    <w:rsid w:val="000863CE"/>
    <w:rsid w:val="00086956"/>
    <w:rsid w:val="00086B1B"/>
    <w:rsid w:val="000871BE"/>
    <w:rsid w:val="000925BE"/>
    <w:rsid w:val="000931F8"/>
    <w:rsid w:val="0009347C"/>
    <w:rsid w:val="0009480D"/>
    <w:rsid w:val="000A57F7"/>
    <w:rsid w:val="000A5D72"/>
    <w:rsid w:val="000B193A"/>
    <w:rsid w:val="000B3962"/>
    <w:rsid w:val="000B4579"/>
    <w:rsid w:val="000C671B"/>
    <w:rsid w:val="000C7151"/>
    <w:rsid w:val="000D0D67"/>
    <w:rsid w:val="000D13AD"/>
    <w:rsid w:val="000E09C4"/>
    <w:rsid w:val="000E3851"/>
    <w:rsid w:val="000E3F69"/>
    <w:rsid w:val="000E4D48"/>
    <w:rsid w:val="000E5A90"/>
    <w:rsid w:val="000F0C15"/>
    <w:rsid w:val="000F47FD"/>
    <w:rsid w:val="00104035"/>
    <w:rsid w:val="00113286"/>
    <w:rsid w:val="0011350D"/>
    <w:rsid w:val="00113CFA"/>
    <w:rsid w:val="00113E1A"/>
    <w:rsid w:val="00122332"/>
    <w:rsid w:val="00124714"/>
    <w:rsid w:val="001259D3"/>
    <w:rsid w:val="00125D09"/>
    <w:rsid w:val="00126BAB"/>
    <w:rsid w:val="0013398A"/>
    <w:rsid w:val="00134ED3"/>
    <w:rsid w:val="00141876"/>
    <w:rsid w:val="0014207B"/>
    <w:rsid w:val="00150C49"/>
    <w:rsid w:val="00156B02"/>
    <w:rsid w:val="00160D8F"/>
    <w:rsid w:val="00163F08"/>
    <w:rsid w:val="00164403"/>
    <w:rsid w:val="00167FA5"/>
    <w:rsid w:val="00176CA6"/>
    <w:rsid w:val="00182B71"/>
    <w:rsid w:val="00186A19"/>
    <w:rsid w:val="001913B7"/>
    <w:rsid w:val="00192B07"/>
    <w:rsid w:val="00197F95"/>
    <w:rsid w:val="001A3C48"/>
    <w:rsid w:val="001A5691"/>
    <w:rsid w:val="001A58B3"/>
    <w:rsid w:val="001A684C"/>
    <w:rsid w:val="001B469C"/>
    <w:rsid w:val="001B733E"/>
    <w:rsid w:val="001C0C12"/>
    <w:rsid w:val="001C1234"/>
    <w:rsid w:val="001C1AE4"/>
    <w:rsid w:val="001C5F83"/>
    <w:rsid w:val="001C7688"/>
    <w:rsid w:val="001C7E98"/>
    <w:rsid w:val="001D0C50"/>
    <w:rsid w:val="001D321F"/>
    <w:rsid w:val="001D4CD0"/>
    <w:rsid w:val="001F1BE3"/>
    <w:rsid w:val="001F3515"/>
    <w:rsid w:val="002051CD"/>
    <w:rsid w:val="0020698B"/>
    <w:rsid w:val="00207DEA"/>
    <w:rsid w:val="00211229"/>
    <w:rsid w:val="00212CEC"/>
    <w:rsid w:val="00214FC7"/>
    <w:rsid w:val="00215548"/>
    <w:rsid w:val="002163E8"/>
    <w:rsid w:val="00221CDF"/>
    <w:rsid w:val="00224352"/>
    <w:rsid w:val="00225C9B"/>
    <w:rsid w:val="00225D98"/>
    <w:rsid w:val="002268D4"/>
    <w:rsid w:val="00227FB3"/>
    <w:rsid w:val="00233005"/>
    <w:rsid w:val="00233778"/>
    <w:rsid w:val="00233F17"/>
    <w:rsid w:val="002346E6"/>
    <w:rsid w:val="002411A0"/>
    <w:rsid w:val="00241ACF"/>
    <w:rsid w:val="00242B28"/>
    <w:rsid w:val="00244FA6"/>
    <w:rsid w:val="0024744C"/>
    <w:rsid w:val="00250799"/>
    <w:rsid w:val="00253742"/>
    <w:rsid w:val="00255111"/>
    <w:rsid w:val="0025601C"/>
    <w:rsid w:val="00260CEB"/>
    <w:rsid w:val="00260F26"/>
    <w:rsid w:val="00267635"/>
    <w:rsid w:val="002807DD"/>
    <w:rsid w:val="00283C65"/>
    <w:rsid w:val="00285B81"/>
    <w:rsid w:val="00286AFF"/>
    <w:rsid w:val="00286F15"/>
    <w:rsid w:val="002912A1"/>
    <w:rsid w:val="002939DF"/>
    <w:rsid w:val="0029492C"/>
    <w:rsid w:val="0029656A"/>
    <w:rsid w:val="002A10C4"/>
    <w:rsid w:val="002A3601"/>
    <w:rsid w:val="002A385D"/>
    <w:rsid w:val="002B1314"/>
    <w:rsid w:val="002B3577"/>
    <w:rsid w:val="002B4A8C"/>
    <w:rsid w:val="002B6ADA"/>
    <w:rsid w:val="002B7C6F"/>
    <w:rsid w:val="002D111C"/>
    <w:rsid w:val="002D4423"/>
    <w:rsid w:val="002D4497"/>
    <w:rsid w:val="002E0855"/>
    <w:rsid w:val="002E08BE"/>
    <w:rsid w:val="002E2C99"/>
    <w:rsid w:val="002E6465"/>
    <w:rsid w:val="002E69F0"/>
    <w:rsid w:val="002E6DBB"/>
    <w:rsid w:val="002F1C00"/>
    <w:rsid w:val="002F46FE"/>
    <w:rsid w:val="002F4DBD"/>
    <w:rsid w:val="00302476"/>
    <w:rsid w:val="00315789"/>
    <w:rsid w:val="003171F3"/>
    <w:rsid w:val="00320AFE"/>
    <w:rsid w:val="00321E6F"/>
    <w:rsid w:val="00321F51"/>
    <w:rsid w:val="003244E0"/>
    <w:rsid w:val="00331F35"/>
    <w:rsid w:val="00333057"/>
    <w:rsid w:val="0033442A"/>
    <w:rsid w:val="0033585B"/>
    <w:rsid w:val="00335CDF"/>
    <w:rsid w:val="00336B4B"/>
    <w:rsid w:val="00336D38"/>
    <w:rsid w:val="0034310E"/>
    <w:rsid w:val="00360C31"/>
    <w:rsid w:val="00360DDD"/>
    <w:rsid w:val="00362A11"/>
    <w:rsid w:val="00365C2D"/>
    <w:rsid w:val="003713E8"/>
    <w:rsid w:val="00372AF0"/>
    <w:rsid w:val="0038205E"/>
    <w:rsid w:val="0038284C"/>
    <w:rsid w:val="003907A4"/>
    <w:rsid w:val="00397C55"/>
    <w:rsid w:val="003A16C4"/>
    <w:rsid w:val="003A1CF1"/>
    <w:rsid w:val="003A36BE"/>
    <w:rsid w:val="003A40C1"/>
    <w:rsid w:val="003A552F"/>
    <w:rsid w:val="003A7ED3"/>
    <w:rsid w:val="003B3762"/>
    <w:rsid w:val="003B5D3E"/>
    <w:rsid w:val="003B62E6"/>
    <w:rsid w:val="003B77A8"/>
    <w:rsid w:val="003C1E36"/>
    <w:rsid w:val="003D35BF"/>
    <w:rsid w:val="003D37E4"/>
    <w:rsid w:val="003D43DC"/>
    <w:rsid w:val="003D71C4"/>
    <w:rsid w:val="003E45CF"/>
    <w:rsid w:val="003E5FDB"/>
    <w:rsid w:val="003F35FD"/>
    <w:rsid w:val="003F5E69"/>
    <w:rsid w:val="003F71AC"/>
    <w:rsid w:val="003F770F"/>
    <w:rsid w:val="003F780F"/>
    <w:rsid w:val="004004E2"/>
    <w:rsid w:val="0040131D"/>
    <w:rsid w:val="00406F5A"/>
    <w:rsid w:val="00413154"/>
    <w:rsid w:val="0041385B"/>
    <w:rsid w:val="0041709A"/>
    <w:rsid w:val="004252F1"/>
    <w:rsid w:val="00426E7F"/>
    <w:rsid w:val="00430A6E"/>
    <w:rsid w:val="004325D2"/>
    <w:rsid w:val="004326C1"/>
    <w:rsid w:val="00435F18"/>
    <w:rsid w:val="00441BFA"/>
    <w:rsid w:val="004427CC"/>
    <w:rsid w:val="00442D21"/>
    <w:rsid w:val="00453313"/>
    <w:rsid w:val="00453B6D"/>
    <w:rsid w:val="00454FBD"/>
    <w:rsid w:val="00455859"/>
    <w:rsid w:val="00456274"/>
    <w:rsid w:val="00456D52"/>
    <w:rsid w:val="00464F6A"/>
    <w:rsid w:val="004650AF"/>
    <w:rsid w:val="00466B34"/>
    <w:rsid w:val="00475583"/>
    <w:rsid w:val="00480006"/>
    <w:rsid w:val="0048159A"/>
    <w:rsid w:val="00497BFA"/>
    <w:rsid w:val="004A115C"/>
    <w:rsid w:val="004A44B6"/>
    <w:rsid w:val="004A7CF3"/>
    <w:rsid w:val="004B05E0"/>
    <w:rsid w:val="004B4CBF"/>
    <w:rsid w:val="004B56B4"/>
    <w:rsid w:val="004C1BD1"/>
    <w:rsid w:val="004C2719"/>
    <w:rsid w:val="004C629E"/>
    <w:rsid w:val="004D019F"/>
    <w:rsid w:val="004D18AD"/>
    <w:rsid w:val="004D7988"/>
    <w:rsid w:val="004D7CD8"/>
    <w:rsid w:val="004E10F6"/>
    <w:rsid w:val="004E38B6"/>
    <w:rsid w:val="004E4108"/>
    <w:rsid w:val="004E4B78"/>
    <w:rsid w:val="004E5068"/>
    <w:rsid w:val="004F0690"/>
    <w:rsid w:val="004F24B3"/>
    <w:rsid w:val="004F6E7A"/>
    <w:rsid w:val="004F7A00"/>
    <w:rsid w:val="005043E2"/>
    <w:rsid w:val="0050792D"/>
    <w:rsid w:val="00513801"/>
    <w:rsid w:val="005159D7"/>
    <w:rsid w:val="0052341D"/>
    <w:rsid w:val="00523F48"/>
    <w:rsid w:val="00524E6D"/>
    <w:rsid w:val="005272BD"/>
    <w:rsid w:val="005314A3"/>
    <w:rsid w:val="00535015"/>
    <w:rsid w:val="005365FA"/>
    <w:rsid w:val="00546D39"/>
    <w:rsid w:val="00553FCB"/>
    <w:rsid w:val="0055491A"/>
    <w:rsid w:val="00554934"/>
    <w:rsid w:val="005603CE"/>
    <w:rsid w:val="00562CFB"/>
    <w:rsid w:val="00564961"/>
    <w:rsid w:val="00565088"/>
    <w:rsid w:val="00566167"/>
    <w:rsid w:val="005666D8"/>
    <w:rsid w:val="00566A24"/>
    <w:rsid w:val="00567436"/>
    <w:rsid w:val="005723CB"/>
    <w:rsid w:val="00575400"/>
    <w:rsid w:val="005764EC"/>
    <w:rsid w:val="005776E3"/>
    <w:rsid w:val="005856CA"/>
    <w:rsid w:val="00590734"/>
    <w:rsid w:val="00590892"/>
    <w:rsid w:val="005928D2"/>
    <w:rsid w:val="0059321F"/>
    <w:rsid w:val="005A253B"/>
    <w:rsid w:val="005A2DBC"/>
    <w:rsid w:val="005A2E48"/>
    <w:rsid w:val="005B18AF"/>
    <w:rsid w:val="005B2E16"/>
    <w:rsid w:val="005C494E"/>
    <w:rsid w:val="005D5A50"/>
    <w:rsid w:val="005E1917"/>
    <w:rsid w:val="005E2369"/>
    <w:rsid w:val="005E7210"/>
    <w:rsid w:val="005F08BC"/>
    <w:rsid w:val="005F2743"/>
    <w:rsid w:val="005F2D93"/>
    <w:rsid w:val="005F3813"/>
    <w:rsid w:val="005F5301"/>
    <w:rsid w:val="005F5C51"/>
    <w:rsid w:val="005F65B7"/>
    <w:rsid w:val="005F7E3F"/>
    <w:rsid w:val="00600163"/>
    <w:rsid w:val="00600FED"/>
    <w:rsid w:val="00602AC8"/>
    <w:rsid w:val="006041A0"/>
    <w:rsid w:val="006067C7"/>
    <w:rsid w:val="00607C4B"/>
    <w:rsid w:val="00611CB3"/>
    <w:rsid w:val="006153F0"/>
    <w:rsid w:val="006159AD"/>
    <w:rsid w:val="00620D1E"/>
    <w:rsid w:val="00623941"/>
    <w:rsid w:val="006273C6"/>
    <w:rsid w:val="00632C7F"/>
    <w:rsid w:val="00633C99"/>
    <w:rsid w:val="0063740E"/>
    <w:rsid w:val="006425AC"/>
    <w:rsid w:val="00644A42"/>
    <w:rsid w:val="00644E92"/>
    <w:rsid w:val="00646436"/>
    <w:rsid w:val="0065172E"/>
    <w:rsid w:val="00655F38"/>
    <w:rsid w:val="00661924"/>
    <w:rsid w:val="00664420"/>
    <w:rsid w:val="00670197"/>
    <w:rsid w:val="00670D3E"/>
    <w:rsid w:val="006740EA"/>
    <w:rsid w:val="00674B17"/>
    <w:rsid w:val="00675166"/>
    <w:rsid w:val="00682F10"/>
    <w:rsid w:val="00682FB7"/>
    <w:rsid w:val="0068416B"/>
    <w:rsid w:val="00685CF1"/>
    <w:rsid w:val="00686502"/>
    <w:rsid w:val="00692552"/>
    <w:rsid w:val="0069268F"/>
    <w:rsid w:val="006A0C80"/>
    <w:rsid w:val="006A28B4"/>
    <w:rsid w:val="006A61F1"/>
    <w:rsid w:val="006A646A"/>
    <w:rsid w:val="006B10B0"/>
    <w:rsid w:val="006B2561"/>
    <w:rsid w:val="006B43A3"/>
    <w:rsid w:val="006B7F3A"/>
    <w:rsid w:val="006C1423"/>
    <w:rsid w:val="006C3622"/>
    <w:rsid w:val="006C773A"/>
    <w:rsid w:val="006D2613"/>
    <w:rsid w:val="006D4095"/>
    <w:rsid w:val="006D42B5"/>
    <w:rsid w:val="006D59EF"/>
    <w:rsid w:val="006E1893"/>
    <w:rsid w:val="006E23FF"/>
    <w:rsid w:val="006E25BC"/>
    <w:rsid w:val="006E59CD"/>
    <w:rsid w:val="006E6BBC"/>
    <w:rsid w:val="006F05A0"/>
    <w:rsid w:val="006F1BDB"/>
    <w:rsid w:val="006F64E7"/>
    <w:rsid w:val="006F7071"/>
    <w:rsid w:val="006F7768"/>
    <w:rsid w:val="007006F9"/>
    <w:rsid w:val="00703BC7"/>
    <w:rsid w:val="00707158"/>
    <w:rsid w:val="00712200"/>
    <w:rsid w:val="00717E59"/>
    <w:rsid w:val="00721C72"/>
    <w:rsid w:val="00721C9E"/>
    <w:rsid w:val="00725300"/>
    <w:rsid w:val="007328F2"/>
    <w:rsid w:val="00733526"/>
    <w:rsid w:val="007369BE"/>
    <w:rsid w:val="0075086A"/>
    <w:rsid w:val="007530D0"/>
    <w:rsid w:val="00760756"/>
    <w:rsid w:val="00761E54"/>
    <w:rsid w:val="00766ECE"/>
    <w:rsid w:val="00766FB5"/>
    <w:rsid w:val="00770CD4"/>
    <w:rsid w:val="0077232C"/>
    <w:rsid w:val="0077382A"/>
    <w:rsid w:val="00773E03"/>
    <w:rsid w:val="00775AED"/>
    <w:rsid w:val="00775BFC"/>
    <w:rsid w:val="007771D7"/>
    <w:rsid w:val="0078291B"/>
    <w:rsid w:val="00783C1E"/>
    <w:rsid w:val="0078615D"/>
    <w:rsid w:val="007861AF"/>
    <w:rsid w:val="007916B7"/>
    <w:rsid w:val="00797492"/>
    <w:rsid w:val="007978D7"/>
    <w:rsid w:val="007A2722"/>
    <w:rsid w:val="007A2AD8"/>
    <w:rsid w:val="007A3459"/>
    <w:rsid w:val="007B034E"/>
    <w:rsid w:val="007B6074"/>
    <w:rsid w:val="007B7451"/>
    <w:rsid w:val="007B7B00"/>
    <w:rsid w:val="007C17CC"/>
    <w:rsid w:val="007C1C17"/>
    <w:rsid w:val="007C487D"/>
    <w:rsid w:val="007C6519"/>
    <w:rsid w:val="007D0316"/>
    <w:rsid w:val="007D1C55"/>
    <w:rsid w:val="007D317F"/>
    <w:rsid w:val="007D4E64"/>
    <w:rsid w:val="007E0710"/>
    <w:rsid w:val="007E42B7"/>
    <w:rsid w:val="007E5492"/>
    <w:rsid w:val="007E5A3D"/>
    <w:rsid w:val="007F107E"/>
    <w:rsid w:val="007F2531"/>
    <w:rsid w:val="007F3FBF"/>
    <w:rsid w:val="007F5D06"/>
    <w:rsid w:val="007F5ECA"/>
    <w:rsid w:val="0080354D"/>
    <w:rsid w:val="00803A08"/>
    <w:rsid w:val="00805A6E"/>
    <w:rsid w:val="00806633"/>
    <w:rsid w:val="00807778"/>
    <w:rsid w:val="00815BD4"/>
    <w:rsid w:val="0082245B"/>
    <w:rsid w:val="0082247D"/>
    <w:rsid w:val="008240F1"/>
    <w:rsid w:val="00824DD7"/>
    <w:rsid w:val="00826371"/>
    <w:rsid w:val="00826A93"/>
    <w:rsid w:val="008278F2"/>
    <w:rsid w:val="00834935"/>
    <w:rsid w:val="0083518A"/>
    <w:rsid w:val="008351FD"/>
    <w:rsid w:val="008363CB"/>
    <w:rsid w:val="00837517"/>
    <w:rsid w:val="008422F0"/>
    <w:rsid w:val="008436D6"/>
    <w:rsid w:val="00851468"/>
    <w:rsid w:val="00856078"/>
    <w:rsid w:val="00860FE2"/>
    <w:rsid w:val="008629A5"/>
    <w:rsid w:val="0086314D"/>
    <w:rsid w:val="00865CF4"/>
    <w:rsid w:val="00866058"/>
    <w:rsid w:val="008669DA"/>
    <w:rsid w:val="00866B94"/>
    <w:rsid w:val="00874B50"/>
    <w:rsid w:val="008750D5"/>
    <w:rsid w:val="0087567C"/>
    <w:rsid w:val="00876DBC"/>
    <w:rsid w:val="00883B3C"/>
    <w:rsid w:val="008842E9"/>
    <w:rsid w:val="00893BA2"/>
    <w:rsid w:val="00893F31"/>
    <w:rsid w:val="008944C8"/>
    <w:rsid w:val="00896AF7"/>
    <w:rsid w:val="008A09B9"/>
    <w:rsid w:val="008A46A1"/>
    <w:rsid w:val="008A6003"/>
    <w:rsid w:val="008A623B"/>
    <w:rsid w:val="008A6656"/>
    <w:rsid w:val="008A6AB7"/>
    <w:rsid w:val="008A6F88"/>
    <w:rsid w:val="008B1E16"/>
    <w:rsid w:val="008B38DB"/>
    <w:rsid w:val="008B62FA"/>
    <w:rsid w:val="008C1615"/>
    <w:rsid w:val="008C1B87"/>
    <w:rsid w:val="008C7FAF"/>
    <w:rsid w:val="008D70EA"/>
    <w:rsid w:val="008E1316"/>
    <w:rsid w:val="008E19A7"/>
    <w:rsid w:val="008E5FF0"/>
    <w:rsid w:val="008F3837"/>
    <w:rsid w:val="008F6A6B"/>
    <w:rsid w:val="00900DC0"/>
    <w:rsid w:val="00903511"/>
    <w:rsid w:val="00910FD2"/>
    <w:rsid w:val="0091206F"/>
    <w:rsid w:val="009124C0"/>
    <w:rsid w:val="009164A5"/>
    <w:rsid w:val="00917204"/>
    <w:rsid w:val="0091733B"/>
    <w:rsid w:val="00923307"/>
    <w:rsid w:val="00930622"/>
    <w:rsid w:val="00931437"/>
    <w:rsid w:val="00933F51"/>
    <w:rsid w:val="00934ECD"/>
    <w:rsid w:val="00940F4F"/>
    <w:rsid w:val="00942A3F"/>
    <w:rsid w:val="00944EFF"/>
    <w:rsid w:val="009527DA"/>
    <w:rsid w:val="00953430"/>
    <w:rsid w:val="00955DCC"/>
    <w:rsid w:val="00960309"/>
    <w:rsid w:val="00960996"/>
    <w:rsid w:val="00964368"/>
    <w:rsid w:val="0096663A"/>
    <w:rsid w:val="00970EB3"/>
    <w:rsid w:val="0097187E"/>
    <w:rsid w:val="00975CA6"/>
    <w:rsid w:val="00977BCC"/>
    <w:rsid w:val="00983EEF"/>
    <w:rsid w:val="00984ADE"/>
    <w:rsid w:val="009855AA"/>
    <w:rsid w:val="0098569A"/>
    <w:rsid w:val="00987343"/>
    <w:rsid w:val="00991944"/>
    <w:rsid w:val="0099459E"/>
    <w:rsid w:val="009A1803"/>
    <w:rsid w:val="009A2D78"/>
    <w:rsid w:val="009A42BF"/>
    <w:rsid w:val="009A7A3B"/>
    <w:rsid w:val="009A7C10"/>
    <w:rsid w:val="009B2945"/>
    <w:rsid w:val="009B38F6"/>
    <w:rsid w:val="009B5F64"/>
    <w:rsid w:val="009C0E17"/>
    <w:rsid w:val="009C5299"/>
    <w:rsid w:val="009C644C"/>
    <w:rsid w:val="009C7CDB"/>
    <w:rsid w:val="009D2BEA"/>
    <w:rsid w:val="009D5BDE"/>
    <w:rsid w:val="009D69F6"/>
    <w:rsid w:val="009E2D18"/>
    <w:rsid w:val="009E2DEE"/>
    <w:rsid w:val="009E3CDF"/>
    <w:rsid w:val="009E57D9"/>
    <w:rsid w:val="009F797C"/>
    <w:rsid w:val="00A00828"/>
    <w:rsid w:val="00A0449B"/>
    <w:rsid w:val="00A053F2"/>
    <w:rsid w:val="00A10E0E"/>
    <w:rsid w:val="00A131AC"/>
    <w:rsid w:val="00A13713"/>
    <w:rsid w:val="00A13828"/>
    <w:rsid w:val="00A16CEE"/>
    <w:rsid w:val="00A16D85"/>
    <w:rsid w:val="00A20FEB"/>
    <w:rsid w:val="00A21A20"/>
    <w:rsid w:val="00A24A46"/>
    <w:rsid w:val="00A24D6A"/>
    <w:rsid w:val="00A30BB5"/>
    <w:rsid w:val="00A32CA5"/>
    <w:rsid w:val="00A33BDB"/>
    <w:rsid w:val="00A35300"/>
    <w:rsid w:val="00A36A99"/>
    <w:rsid w:val="00A42706"/>
    <w:rsid w:val="00A4392F"/>
    <w:rsid w:val="00A45D1C"/>
    <w:rsid w:val="00A50902"/>
    <w:rsid w:val="00A53315"/>
    <w:rsid w:val="00A5371E"/>
    <w:rsid w:val="00A64191"/>
    <w:rsid w:val="00A64C3F"/>
    <w:rsid w:val="00A665E5"/>
    <w:rsid w:val="00A70EF0"/>
    <w:rsid w:val="00A71845"/>
    <w:rsid w:val="00A72AEE"/>
    <w:rsid w:val="00A742B6"/>
    <w:rsid w:val="00A75AC7"/>
    <w:rsid w:val="00A81896"/>
    <w:rsid w:val="00A81DC8"/>
    <w:rsid w:val="00A82F04"/>
    <w:rsid w:val="00A84AD6"/>
    <w:rsid w:val="00A84F9F"/>
    <w:rsid w:val="00A850A3"/>
    <w:rsid w:val="00A9208D"/>
    <w:rsid w:val="00A93923"/>
    <w:rsid w:val="00A96D91"/>
    <w:rsid w:val="00A97CF8"/>
    <w:rsid w:val="00AA1DCB"/>
    <w:rsid w:val="00AA364B"/>
    <w:rsid w:val="00AA4517"/>
    <w:rsid w:val="00AA4FA7"/>
    <w:rsid w:val="00AA6EA9"/>
    <w:rsid w:val="00AB07CD"/>
    <w:rsid w:val="00AB1BE1"/>
    <w:rsid w:val="00AB2729"/>
    <w:rsid w:val="00AB497D"/>
    <w:rsid w:val="00AB52D6"/>
    <w:rsid w:val="00AC0209"/>
    <w:rsid w:val="00AC05F1"/>
    <w:rsid w:val="00AC2DB8"/>
    <w:rsid w:val="00AC3CA0"/>
    <w:rsid w:val="00AC3F25"/>
    <w:rsid w:val="00AC51DA"/>
    <w:rsid w:val="00AD0E9E"/>
    <w:rsid w:val="00AD71A7"/>
    <w:rsid w:val="00AE0232"/>
    <w:rsid w:val="00AE3DA7"/>
    <w:rsid w:val="00AE6FFC"/>
    <w:rsid w:val="00AE7030"/>
    <w:rsid w:val="00AF03C4"/>
    <w:rsid w:val="00AF6BE6"/>
    <w:rsid w:val="00B0006C"/>
    <w:rsid w:val="00B00941"/>
    <w:rsid w:val="00B03976"/>
    <w:rsid w:val="00B03AB8"/>
    <w:rsid w:val="00B047A8"/>
    <w:rsid w:val="00B05F2B"/>
    <w:rsid w:val="00B1412F"/>
    <w:rsid w:val="00B22A80"/>
    <w:rsid w:val="00B23C0A"/>
    <w:rsid w:val="00B32A27"/>
    <w:rsid w:val="00B36404"/>
    <w:rsid w:val="00B416E8"/>
    <w:rsid w:val="00B46490"/>
    <w:rsid w:val="00B50E12"/>
    <w:rsid w:val="00B540DC"/>
    <w:rsid w:val="00B54463"/>
    <w:rsid w:val="00B55F8F"/>
    <w:rsid w:val="00B562C2"/>
    <w:rsid w:val="00B60BFC"/>
    <w:rsid w:val="00B626B5"/>
    <w:rsid w:val="00B62F57"/>
    <w:rsid w:val="00B660FB"/>
    <w:rsid w:val="00B71BF2"/>
    <w:rsid w:val="00B747F1"/>
    <w:rsid w:val="00B763DD"/>
    <w:rsid w:val="00B77C1D"/>
    <w:rsid w:val="00B82086"/>
    <w:rsid w:val="00B82E24"/>
    <w:rsid w:val="00B83675"/>
    <w:rsid w:val="00B96520"/>
    <w:rsid w:val="00B97A00"/>
    <w:rsid w:val="00BA07E0"/>
    <w:rsid w:val="00BA0CF7"/>
    <w:rsid w:val="00BA45C1"/>
    <w:rsid w:val="00BA55A8"/>
    <w:rsid w:val="00BB2ABF"/>
    <w:rsid w:val="00BB3322"/>
    <w:rsid w:val="00BB3CAA"/>
    <w:rsid w:val="00BB64F4"/>
    <w:rsid w:val="00BB7B48"/>
    <w:rsid w:val="00BC17A4"/>
    <w:rsid w:val="00BC2617"/>
    <w:rsid w:val="00BC67B0"/>
    <w:rsid w:val="00BC7CDB"/>
    <w:rsid w:val="00BD0200"/>
    <w:rsid w:val="00BD3640"/>
    <w:rsid w:val="00BD3F4F"/>
    <w:rsid w:val="00BD5A7C"/>
    <w:rsid w:val="00BD63AB"/>
    <w:rsid w:val="00BD7F14"/>
    <w:rsid w:val="00BE22D7"/>
    <w:rsid w:val="00BE413E"/>
    <w:rsid w:val="00BE4A8B"/>
    <w:rsid w:val="00BE5FAE"/>
    <w:rsid w:val="00BE7A1B"/>
    <w:rsid w:val="00BF0221"/>
    <w:rsid w:val="00BF091A"/>
    <w:rsid w:val="00BF4236"/>
    <w:rsid w:val="00BF47DD"/>
    <w:rsid w:val="00BF4EAD"/>
    <w:rsid w:val="00BF70F9"/>
    <w:rsid w:val="00C018EB"/>
    <w:rsid w:val="00C02B2B"/>
    <w:rsid w:val="00C02F8E"/>
    <w:rsid w:val="00C049E2"/>
    <w:rsid w:val="00C05AB7"/>
    <w:rsid w:val="00C14971"/>
    <w:rsid w:val="00C14B8D"/>
    <w:rsid w:val="00C219BE"/>
    <w:rsid w:val="00C22DCF"/>
    <w:rsid w:val="00C23074"/>
    <w:rsid w:val="00C2691C"/>
    <w:rsid w:val="00C32E8B"/>
    <w:rsid w:val="00C348DE"/>
    <w:rsid w:val="00C36795"/>
    <w:rsid w:val="00C431BF"/>
    <w:rsid w:val="00C458D6"/>
    <w:rsid w:val="00C46120"/>
    <w:rsid w:val="00C461EC"/>
    <w:rsid w:val="00C5073C"/>
    <w:rsid w:val="00C507D4"/>
    <w:rsid w:val="00C53124"/>
    <w:rsid w:val="00C5325A"/>
    <w:rsid w:val="00C53939"/>
    <w:rsid w:val="00C56E85"/>
    <w:rsid w:val="00C661E9"/>
    <w:rsid w:val="00C66268"/>
    <w:rsid w:val="00C66569"/>
    <w:rsid w:val="00C67A70"/>
    <w:rsid w:val="00C70866"/>
    <w:rsid w:val="00C70B3F"/>
    <w:rsid w:val="00C71CEF"/>
    <w:rsid w:val="00C72DAA"/>
    <w:rsid w:val="00C75036"/>
    <w:rsid w:val="00C77802"/>
    <w:rsid w:val="00C80B14"/>
    <w:rsid w:val="00C81D9A"/>
    <w:rsid w:val="00C82CA9"/>
    <w:rsid w:val="00C83D8B"/>
    <w:rsid w:val="00C84660"/>
    <w:rsid w:val="00C846C3"/>
    <w:rsid w:val="00C85F22"/>
    <w:rsid w:val="00C861F8"/>
    <w:rsid w:val="00C950EE"/>
    <w:rsid w:val="00C97FC6"/>
    <w:rsid w:val="00CA1018"/>
    <w:rsid w:val="00CA25D9"/>
    <w:rsid w:val="00CA3285"/>
    <w:rsid w:val="00CA3A28"/>
    <w:rsid w:val="00CA434C"/>
    <w:rsid w:val="00CA6053"/>
    <w:rsid w:val="00CB3913"/>
    <w:rsid w:val="00CB57C3"/>
    <w:rsid w:val="00CB7B1F"/>
    <w:rsid w:val="00CB7B7E"/>
    <w:rsid w:val="00CB7E9A"/>
    <w:rsid w:val="00CC296F"/>
    <w:rsid w:val="00CC29E8"/>
    <w:rsid w:val="00CC58EF"/>
    <w:rsid w:val="00CC7757"/>
    <w:rsid w:val="00CC783A"/>
    <w:rsid w:val="00CD0871"/>
    <w:rsid w:val="00CD0B92"/>
    <w:rsid w:val="00CD22FC"/>
    <w:rsid w:val="00CD3D41"/>
    <w:rsid w:val="00CD633E"/>
    <w:rsid w:val="00CE0F4F"/>
    <w:rsid w:val="00CE29D3"/>
    <w:rsid w:val="00CF10BE"/>
    <w:rsid w:val="00CF2D8B"/>
    <w:rsid w:val="00CF3C01"/>
    <w:rsid w:val="00CF4BF4"/>
    <w:rsid w:val="00CF63D9"/>
    <w:rsid w:val="00CF7586"/>
    <w:rsid w:val="00D02CF1"/>
    <w:rsid w:val="00D036D3"/>
    <w:rsid w:val="00D06018"/>
    <w:rsid w:val="00D070C7"/>
    <w:rsid w:val="00D07A10"/>
    <w:rsid w:val="00D107BD"/>
    <w:rsid w:val="00D1261A"/>
    <w:rsid w:val="00D13782"/>
    <w:rsid w:val="00D13A56"/>
    <w:rsid w:val="00D14B5D"/>
    <w:rsid w:val="00D1629C"/>
    <w:rsid w:val="00D165E4"/>
    <w:rsid w:val="00D201B7"/>
    <w:rsid w:val="00D239ED"/>
    <w:rsid w:val="00D27906"/>
    <w:rsid w:val="00D2790D"/>
    <w:rsid w:val="00D33EB4"/>
    <w:rsid w:val="00D37288"/>
    <w:rsid w:val="00D43F40"/>
    <w:rsid w:val="00D4676B"/>
    <w:rsid w:val="00D5008F"/>
    <w:rsid w:val="00D51ECD"/>
    <w:rsid w:val="00D52C04"/>
    <w:rsid w:val="00D568DC"/>
    <w:rsid w:val="00D6170E"/>
    <w:rsid w:val="00D64B5C"/>
    <w:rsid w:val="00D65B16"/>
    <w:rsid w:val="00D67CEF"/>
    <w:rsid w:val="00D713EE"/>
    <w:rsid w:val="00D75D31"/>
    <w:rsid w:val="00D75EE6"/>
    <w:rsid w:val="00D84FB9"/>
    <w:rsid w:val="00D8666D"/>
    <w:rsid w:val="00D916CC"/>
    <w:rsid w:val="00D91CB4"/>
    <w:rsid w:val="00D94DDB"/>
    <w:rsid w:val="00DA4BBD"/>
    <w:rsid w:val="00DB024D"/>
    <w:rsid w:val="00DB1576"/>
    <w:rsid w:val="00DB1A3C"/>
    <w:rsid w:val="00DB1C09"/>
    <w:rsid w:val="00DB24ED"/>
    <w:rsid w:val="00DB28CE"/>
    <w:rsid w:val="00DB3665"/>
    <w:rsid w:val="00DC367D"/>
    <w:rsid w:val="00DC71C4"/>
    <w:rsid w:val="00DD43D8"/>
    <w:rsid w:val="00DD45ED"/>
    <w:rsid w:val="00DD5AAA"/>
    <w:rsid w:val="00DD6A3F"/>
    <w:rsid w:val="00DE1133"/>
    <w:rsid w:val="00DE285A"/>
    <w:rsid w:val="00DE3E7B"/>
    <w:rsid w:val="00DE656C"/>
    <w:rsid w:val="00DF01A7"/>
    <w:rsid w:val="00DF039B"/>
    <w:rsid w:val="00DF60AF"/>
    <w:rsid w:val="00E02754"/>
    <w:rsid w:val="00E03991"/>
    <w:rsid w:val="00E071FF"/>
    <w:rsid w:val="00E07597"/>
    <w:rsid w:val="00E11702"/>
    <w:rsid w:val="00E16BF5"/>
    <w:rsid w:val="00E17291"/>
    <w:rsid w:val="00E21995"/>
    <w:rsid w:val="00E22F2B"/>
    <w:rsid w:val="00E236E1"/>
    <w:rsid w:val="00E325AD"/>
    <w:rsid w:val="00E33714"/>
    <w:rsid w:val="00E347B2"/>
    <w:rsid w:val="00E37A3F"/>
    <w:rsid w:val="00E37D3C"/>
    <w:rsid w:val="00E400A7"/>
    <w:rsid w:val="00E40CD8"/>
    <w:rsid w:val="00E415FE"/>
    <w:rsid w:val="00E41722"/>
    <w:rsid w:val="00E42F58"/>
    <w:rsid w:val="00E47B8A"/>
    <w:rsid w:val="00E50FA5"/>
    <w:rsid w:val="00E572D8"/>
    <w:rsid w:val="00E62E6A"/>
    <w:rsid w:val="00E65CDD"/>
    <w:rsid w:val="00E727BA"/>
    <w:rsid w:val="00E810F7"/>
    <w:rsid w:val="00E832DA"/>
    <w:rsid w:val="00E8367E"/>
    <w:rsid w:val="00E83EF5"/>
    <w:rsid w:val="00E9137B"/>
    <w:rsid w:val="00E9335C"/>
    <w:rsid w:val="00E9747A"/>
    <w:rsid w:val="00EA2677"/>
    <w:rsid w:val="00EA5674"/>
    <w:rsid w:val="00EA5B2F"/>
    <w:rsid w:val="00EA66FE"/>
    <w:rsid w:val="00EC7CC9"/>
    <w:rsid w:val="00EC7E8F"/>
    <w:rsid w:val="00ED1788"/>
    <w:rsid w:val="00ED1C1E"/>
    <w:rsid w:val="00ED5B8A"/>
    <w:rsid w:val="00ED7170"/>
    <w:rsid w:val="00EE1B1C"/>
    <w:rsid w:val="00EE2AF2"/>
    <w:rsid w:val="00EE44F7"/>
    <w:rsid w:val="00EE69EA"/>
    <w:rsid w:val="00EE78BF"/>
    <w:rsid w:val="00EF1CA6"/>
    <w:rsid w:val="00EF4FF9"/>
    <w:rsid w:val="00EF70F1"/>
    <w:rsid w:val="00F00010"/>
    <w:rsid w:val="00F05B15"/>
    <w:rsid w:val="00F0679F"/>
    <w:rsid w:val="00F0712F"/>
    <w:rsid w:val="00F07EE6"/>
    <w:rsid w:val="00F14E9C"/>
    <w:rsid w:val="00F16ACE"/>
    <w:rsid w:val="00F171D8"/>
    <w:rsid w:val="00F23C4F"/>
    <w:rsid w:val="00F27EB1"/>
    <w:rsid w:val="00F302EC"/>
    <w:rsid w:val="00F33CC8"/>
    <w:rsid w:val="00F34811"/>
    <w:rsid w:val="00F35BC2"/>
    <w:rsid w:val="00F36527"/>
    <w:rsid w:val="00F37AB2"/>
    <w:rsid w:val="00F4124A"/>
    <w:rsid w:val="00F41723"/>
    <w:rsid w:val="00F4481C"/>
    <w:rsid w:val="00F45BEB"/>
    <w:rsid w:val="00F46F46"/>
    <w:rsid w:val="00F53E56"/>
    <w:rsid w:val="00F54A8C"/>
    <w:rsid w:val="00F560A8"/>
    <w:rsid w:val="00F57997"/>
    <w:rsid w:val="00F57C01"/>
    <w:rsid w:val="00F616E2"/>
    <w:rsid w:val="00F617C4"/>
    <w:rsid w:val="00F72670"/>
    <w:rsid w:val="00F7584E"/>
    <w:rsid w:val="00F75D23"/>
    <w:rsid w:val="00F86C94"/>
    <w:rsid w:val="00F97BAC"/>
    <w:rsid w:val="00FA5957"/>
    <w:rsid w:val="00FA5B5E"/>
    <w:rsid w:val="00FA7155"/>
    <w:rsid w:val="00FA7829"/>
    <w:rsid w:val="00FB1AF5"/>
    <w:rsid w:val="00FB1C2A"/>
    <w:rsid w:val="00FB5587"/>
    <w:rsid w:val="00FB7410"/>
    <w:rsid w:val="00FB7BC4"/>
    <w:rsid w:val="00FC1EAB"/>
    <w:rsid w:val="00FC1FFB"/>
    <w:rsid w:val="00FC289E"/>
    <w:rsid w:val="00FC3CE0"/>
    <w:rsid w:val="00FC406D"/>
    <w:rsid w:val="00FC67E4"/>
    <w:rsid w:val="00FC6CBC"/>
    <w:rsid w:val="00FC7519"/>
    <w:rsid w:val="00FD06A8"/>
    <w:rsid w:val="00FD31FC"/>
    <w:rsid w:val="00FD6C50"/>
    <w:rsid w:val="00FD7B88"/>
    <w:rsid w:val="00FE23C1"/>
    <w:rsid w:val="00FE4F1F"/>
    <w:rsid w:val="00FE7A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UnresolvedMention">
    <w:name w:val="Unresolved Mention"/>
    <w:basedOn w:val="Fuentedeprrafopredeter"/>
    <w:uiPriority w:val="99"/>
    <w:semiHidden/>
    <w:unhideWhenUsed/>
    <w:rsid w:val="003A1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7258">
      <w:bodyDiv w:val="1"/>
      <w:marLeft w:val="0"/>
      <w:marRight w:val="0"/>
      <w:marTop w:val="0"/>
      <w:marBottom w:val="0"/>
      <w:divBdr>
        <w:top w:val="none" w:sz="0" w:space="0" w:color="auto"/>
        <w:left w:val="none" w:sz="0" w:space="0" w:color="auto"/>
        <w:bottom w:val="none" w:sz="0" w:space="0" w:color="auto"/>
        <w:right w:val="none" w:sz="0" w:space="0" w:color="auto"/>
      </w:divBdr>
    </w:div>
    <w:div w:id="30153106">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29981237">
      <w:bodyDiv w:val="1"/>
      <w:marLeft w:val="0"/>
      <w:marRight w:val="0"/>
      <w:marTop w:val="0"/>
      <w:marBottom w:val="0"/>
      <w:divBdr>
        <w:top w:val="none" w:sz="0" w:space="0" w:color="auto"/>
        <w:left w:val="none" w:sz="0" w:space="0" w:color="auto"/>
        <w:bottom w:val="none" w:sz="0" w:space="0" w:color="auto"/>
        <w:right w:val="none" w:sz="0" w:space="0" w:color="auto"/>
      </w:divBdr>
      <w:divsChild>
        <w:div w:id="1676222204">
          <w:marLeft w:val="0"/>
          <w:marRight w:val="0"/>
          <w:marTop w:val="0"/>
          <w:marBottom w:val="0"/>
          <w:divBdr>
            <w:top w:val="none" w:sz="0" w:space="0" w:color="auto"/>
            <w:left w:val="none" w:sz="0" w:space="0" w:color="auto"/>
            <w:bottom w:val="none" w:sz="0" w:space="0" w:color="auto"/>
            <w:right w:val="none" w:sz="0" w:space="0" w:color="auto"/>
          </w:divBdr>
        </w:div>
      </w:divsChild>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55582789">
      <w:bodyDiv w:val="1"/>
      <w:marLeft w:val="0"/>
      <w:marRight w:val="0"/>
      <w:marTop w:val="0"/>
      <w:marBottom w:val="0"/>
      <w:divBdr>
        <w:top w:val="none" w:sz="0" w:space="0" w:color="auto"/>
        <w:left w:val="none" w:sz="0" w:space="0" w:color="auto"/>
        <w:bottom w:val="none" w:sz="0" w:space="0" w:color="auto"/>
        <w:right w:val="none" w:sz="0" w:space="0" w:color="auto"/>
      </w:divBdr>
    </w:div>
    <w:div w:id="162284748">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04055091">
      <w:bodyDiv w:val="1"/>
      <w:marLeft w:val="0"/>
      <w:marRight w:val="0"/>
      <w:marTop w:val="0"/>
      <w:marBottom w:val="0"/>
      <w:divBdr>
        <w:top w:val="none" w:sz="0" w:space="0" w:color="auto"/>
        <w:left w:val="none" w:sz="0" w:space="0" w:color="auto"/>
        <w:bottom w:val="none" w:sz="0" w:space="0" w:color="auto"/>
        <w:right w:val="none" w:sz="0" w:space="0" w:color="auto"/>
      </w:divBdr>
      <w:divsChild>
        <w:div w:id="788742279">
          <w:marLeft w:val="0"/>
          <w:marRight w:val="0"/>
          <w:marTop w:val="0"/>
          <w:marBottom w:val="0"/>
          <w:divBdr>
            <w:top w:val="none" w:sz="0" w:space="0" w:color="auto"/>
            <w:left w:val="none" w:sz="0" w:space="0" w:color="auto"/>
            <w:bottom w:val="none" w:sz="0" w:space="0" w:color="auto"/>
            <w:right w:val="none" w:sz="0" w:space="0" w:color="auto"/>
          </w:divBdr>
        </w:div>
      </w:divsChild>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69481474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90784613">
      <w:bodyDiv w:val="1"/>
      <w:marLeft w:val="0"/>
      <w:marRight w:val="0"/>
      <w:marTop w:val="0"/>
      <w:marBottom w:val="0"/>
      <w:divBdr>
        <w:top w:val="none" w:sz="0" w:space="0" w:color="auto"/>
        <w:left w:val="none" w:sz="0" w:space="0" w:color="auto"/>
        <w:bottom w:val="none" w:sz="0" w:space="0" w:color="auto"/>
        <w:right w:val="none" w:sz="0" w:space="0" w:color="auto"/>
      </w:divBdr>
    </w:div>
    <w:div w:id="822043853">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39390163">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42510893">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521360667">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34196389">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la-prensa.com.mx/metropoli/ratifican-a-anuar-azar-figueroa-como-presidente-del-pan-en-edomex-12530244.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n.org.mx/prensa/asume-anuar-azar-presidencia-del-pan-edom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anedomex.org/reglamentos-y-estatutos/" TargetMode="External"/><Relationship Id="rId1" Type="http://schemas.openxmlformats.org/officeDocument/2006/relationships/hyperlink" Target="https://www.ine.mx/wp-content/uploads/2021/02/cppp-PAN-estatut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2710E790-5144-4B60-A75D-3EAFF14C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34</Pages>
  <Words>8808</Words>
  <Characters>48449</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Chávez</dc:creator>
  <cp:keywords/>
  <dc:description/>
  <cp:lastModifiedBy>infoem607b</cp:lastModifiedBy>
  <cp:revision>9</cp:revision>
  <cp:lastPrinted>2024-12-06T16:43:00Z</cp:lastPrinted>
  <dcterms:created xsi:type="dcterms:W3CDTF">2024-11-28T18:08:00Z</dcterms:created>
  <dcterms:modified xsi:type="dcterms:W3CDTF">2024-12-06T16:43:00Z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